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5CFE164E">
      <w:pPr>
        <w:pStyle w:val="20"/>
        <w:kinsoku w:val="0"/>
        <w:overflowPunct w:val="0"/>
        <w:rPr>
          <w:rFonts w:hint="eastAsia" w:ascii="宋体" w:hAnsi="宋体" w:cs="宋体"/>
          <w:color w:val="auto"/>
          <w:sz w:val="20"/>
          <w:highlight w:val="none"/>
        </w:rPr>
      </w:pPr>
      <w:bookmarkStart w:id="0" w:name="_Toc217446030"/>
      <w:bookmarkStart w:id="1" w:name="_Toc183682338"/>
      <w:r>
        <w:rPr>
          <w:rFonts w:hint="eastAsia"/>
          <w:color w:val="auto"/>
          <w:highlight w:val="none"/>
        </w:rPr>
        <w:drawing>
          <wp:anchor distT="0" distB="0" distL="114300" distR="114300" simplePos="0" relativeHeight="251659264" behindDoc="1" locked="0" layoutInCell="1" allowOverlap="1">
            <wp:simplePos x="0" y="0"/>
            <wp:positionH relativeFrom="column">
              <wp:posOffset>-919480</wp:posOffset>
            </wp:positionH>
            <wp:positionV relativeFrom="paragraph">
              <wp:posOffset>-958215</wp:posOffset>
            </wp:positionV>
            <wp:extent cx="7791450" cy="10781030"/>
            <wp:effectExtent l="0" t="0" r="0" b="1270"/>
            <wp:wrapNone/>
            <wp:docPr id="18" name="图片 18" descr="2-2-3辅助图形3白底"/>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2-2-3辅助图形3白底"/>
                    <pic:cNvPicPr>
                      <a:picLocks noChangeAspect="1"/>
                    </pic:cNvPicPr>
                  </pic:nvPicPr>
                  <pic:blipFill>
                    <a:blip r:embed="rId19"/>
                    <a:stretch>
                      <a:fillRect/>
                    </a:stretch>
                  </pic:blipFill>
                  <pic:spPr>
                    <a:xfrm>
                      <a:off x="0" y="0"/>
                      <a:ext cx="7791450" cy="10781030"/>
                    </a:xfrm>
                    <a:prstGeom prst="rect">
                      <a:avLst/>
                    </a:prstGeom>
                  </pic:spPr>
                </pic:pic>
              </a:graphicData>
            </a:graphic>
          </wp:anchor>
        </w:drawing>
      </w:r>
    </w:p>
    <w:p w14:paraId="44128859">
      <w:pPr>
        <w:tabs>
          <w:tab w:val="left" w:pos="1710"/>
        </w:tabs>
        <w:rPr>
          <w:rFonts w:hint="eastAsia" w:ascii="宋体" w:hAnsi="宋体" w:cs="宋体"/>
          <w:color w:val="auto"/>
          <w:highlight w:val="none"/>
        </w:rPr>
      </w:pPr>
    </w:p>
    <w:p w14:paraId="3D74C79A">
      <w:pPr>
        <w:tabs>
          <w:tab w:val="left" w:pos="1710"/>
        </w:tabs>
        <w:rPr>
          <w:rFonts w:hint="eastAsia" w:ascii="宋体" w:hAnsi="宋体" w:cs="宋体"/>
          <w:color w:val="auto"/>
          <w:highlight w:val="none"/>
        </w:rPr>
      </w:pPr>
    </w:p>
    <w:p w14:paraId="701B57EE">
      <w:pPr>
        <w:tabs>
          <w:tab w:val="left" w:pos="1710"/>
        </w:tabs>
        <w:rPr>
          <w:rFonts w:hint="eastAsia" w:ascii="宋体" w:hAnsi="宋体" w:cs="宋体"/>
          <w:color w:val="auto"/>
          <w:highlight w:val="none"/>
        </w:rPr>
      </w:pPr>
    </w:p>
    <w:p w14:paraId="7CD117CC">
      <w:pPr>
        <w:tabs>
          <w:tab w:val="left" w:pos="1710"/>
        </w:tabs>
        <w:rPr>
          <w:rFonts w:hint="eastAsia" w:ascii="宋体" w:hAnsi="宋体" w:cs="宋体"/>
          <w:color w:val="auto"/>
          <w:highlight w:val="none"/>
        </w:rPr>
      </w:pPr>
    </w:p>
    <w:p w14:paraId="67108281">
      <w:pPr>
        <w:tabs>
          <w:tab w:val="left" w:pos="1710"/>
        </w:tabs>
        <w:rPr>
          <w:rFonts w:hint="eastAsia" w:ascii="宋体" w:hAnsi="宋体" w:cs="宋体"/>
          <w:color w:val="auto"/>
          <w:highlight w:val="none"/>
        </w:rPr>
      </w:pPr>
    </w:p>
    <w:p w14:paraId="3F2EC9B9">
      <w:pPr>
        <w:tabs>
          <w:tab w:val="left" w:pos="1710"/>
        </w:tabs>
        <w:rPr>
          <w:rFonts w:hint="eastAsia" w:ascii="宋体" w:hAnsi="宋体" w:cs="宋体"/>
          <w:color w:val="auto"/>
          <w:highlight w:val="none"/>
        </w:rPr>
      </w:pPr>
    </w:p>
    <w:p w14:paraId="70C87F28">
      <w:pPr>
        <w:tabs>
          <w:tab w:val="left" w:pos="1710"/>
        </w:tabs>
        <w:jc w:val="center"/>
        <w:rPr>
          <w:rFonts w:hint="eastAsia" w:ascii="宋体" w:hAnsi="宋体" w:cs="宋体"/>
          <w:color w:val="auto"/>
          <w:highlight w:val="none"/>
        </w:rPr>
      </w:pPr>
      <w:r>
        <w:rPr>
          <w:rFonts w:hint="eastAsia"/>
          <w:color w:val="auto"/>
          <w:highlight w:val="none"/>
        </w:rPr>
        <w:drawing>
          <wp:inline distT="0" distB="0" distL="114300" distR="114300">
            <wp:extent cx="4654550" cy="584200"/>
            <wp:effectExtent l="0" t="0" r="12700" b="6350"/>
            <wp:docPr id="19" name="图片 19" descr="1-2-1LOGO中英文全称横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1-2-1LOGO中英文全称横式"/>
                    <pic:cNvPicPr>
                      <a:picLocks noChangeAspect="1"/>
                    </pic:cNvPicPr>
                  </pic:nvPicPr>
                  <pic:blipFill>
                    <a:blip r:embed="rId20"/>
                    <a:stretch>
                      <a:fillRect/>
                    </a:stretch>
                  </pic:blipFill>
                  <pic:spPr>
                    <a:xfrm>
                      <a:off x="0" y="0"/>
                      <a:ext cx="4654550" cy="584200"/>
                    </a:xfrm>
                    <a:prstGeom prst="rect">
                      <a:avLst/>
                    </a:prstGeom>
                  </pic:spPr>
                </pic:pic>
              </a:graphicData>
            </a:graphic>
          </wp:inline>
        </w:drawing>
      </w:r>
    </w:p>
    <w:p w14:paraId="04FC3BAD">
      <w:pPr>
        <w:tabs>
          <w:tab w:val="left" w:pos="1710"/>
        </w:tabs>
        <w:rPr>
          <w:rFonts w:hint="eastAsia" w:ascii="宋体" w:hAnsi="宋体" w:cs="宋体"/>
          <w:color w:val="auto"/>
          <w:highlight w:val="none"/>
        </w:rPr>
      </w:pPr>
    </w:p>
    <w:p w14:paraId="5D66AC46">
      <w:pPr>
        <w:tabs>
          <w:tab w:val="left" w:pos="1710"/>
        </w:tabs>
        <w:rPr>
          <w:rFonts w:hint="eastAsia" w:ascii="宋体" w:hAnsi="宋体" w:cs="宋体"/>
          <w:color w:val="auto"/>
          <w:highlight w:val="none"/>
        </w:rPr>
      </w:pPr>
    </w:p>
    <w:p w14:paraId="428D5612">
      <w:pPr>
        <w:tabs>
          <w:tab w:val="left" w:pos="1710"/>
        </w:tabs>
        <w:rPr>
          <w:rFonts w:hint="eastAsia" w:ascii="宋体" w:hAnsi="宋体" w:cs="宋体"/>
          <w:color w:val="auto"/>
          <w:highlight w:val="none"/>
        </w:rPr>
      </w:pPr>
    </w:p>
    <w:p w14:paraId="53326B4B">
      <w:pPr>
        <w:tabs>
          <w:tab w:val="left" w:pos="1710"/>
        </w:tabs>
        <w:rPr>
          <w:rFonts w:hint="eastAsia" w:ascii="宋体" w:hAnsi="宋体" w:cs="宋体"/>
          <w:color w:val="auto"/>
          <w:highlight w:val="none"/>
        </w:rPr>
      </w:pPr>
    </w:p>
    <w:p w14:paraId="7FC53E68">
      <w:pPr>
        <w:tabs>
          <w:tab w:val="left" w:pos="1710"/>
        </w:tabs>
        <w:rPr>
          <w:rFonts w:hint="eastAsia" w:ascii="宋体" w:hAnsi="宋体" w:cs="宋体"/>
          <w:color w:val="auto"/>
          <w:highlight w:val="none"/>
        </w:rPr>
      </w:pPr>
    </w:p>
    <w:p w14:paraId="28549BED">
      <w:pPr>
        <w:tabs>
          <w:tab w:val="left" w:pos="1710"/>
        </w:tabs>
        <w:rPr>
          <w:rFonts w:hint="eastAsia" w:ascii="宋体" w:hAnsi="宋体" w:cs="宋体"/>
          <w:color w:val="auto"/>
          <w:highlight w:val="none"/>
        </w:rPr>
      </w:pPr>
    </w:p>
    <w:p w14:paraId="32244DE7">
      <w:pPr>
        <w:tabs>
          <w:tab w:val="left" w:pos="1710"/>
        </w:tabs>
        <w:rPr>
          <w:rFonts w:hint="eastAsia" w:ascii="宋体" w:hAnsi="宋体" w:cs="宋体"/>
          <w:color w:val="auto"/>
          <w:highlight w:val="none"/>
        </w:rPr>
      </w:pPr>
    </w:p>
    <w:p w14:paraId="7473785B">
      <w:pPr>
        <w:tabs>
          <w:tab w:val="left" w:pos="1710"/>
        </w:tabs>
        <w:rPr>
          <w:rFonts w:hint="eastAsia" w:ascii="宋体" w:hAnsi="宋体" w:cs="宋体"/>
          <w:color w:val="auto"/>
          <w:highlight w:val="none"/>
        </w:rPr>
      </w:pPr>
    </w:p>
    <w:tbl>
      <w:tblPr>
        <w:tblStyle w:val="5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64"/>
        <w:gridCol w:w="5942"/>
      </w:tblGrid>
      <w:tr w14:paraId="3004C3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9" w:hRule="atLeast"/>
          <w:jc w:val="center"/>
        </w:trPr>
        <w:tc>
          <w:tcPr>
            <w:tcW w:w="7706" w:type="dxa"/>
            <w:gridSpan w:val="2"/>
            <w:tcBorders>
              <w:top w:val="nil"/>
              <w:left w:val="nil"/>
              <w:right w:val="nil"/>
            </w:tcBorders>
            <w:noWrap w:val="0"/>
            <w:vAlign w:val="top"/>
          </w:tcPr>
          <w:p w14:paraId="593B7668">
            <w:pPr>
              <w:snapToGrid w:val="0"/>
              <w:spacing w:line="240" w:lineRule="atLeast"/>
              <w:jc w:val="center"/>
              <w:rPr>
                <w:rFonts w:hint="eastAsia" w:ascii="宋体" w:hAnsi="宋体" w:cs="宋体"/>
                <w:b/>
                <w:color w:val="auto"/>
                <w:sz w:val="60"/>
                <w:szCs w:val="60"/>
                <w:highlight w:val="none"/>
              </w:rPr>
            </w:pPr>
            <w:r>
              <w:rPr>
                <w:rFonts w:hint="eastAsia" w:ascii="宋体" w:hAnsi="宋体" w:cs="宋体"/>
                <w:b/>
                <w:color w:val="auto"/>
                <w:sz w:val="60"/>
                <w:szCs w:val="60"/>
                <w:highlight w:val="none"/>
              </w:rPr>
              <w:t>采购文件</w:t>
            </w:r>
          </w:p>
        </w:tc>
      </w:tr>
      <w:tr w14:paraId="10D29D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7" w:hRule="exact"/>
          <w:jc w:val="center"/>
        </w:trPr>
        <w:tc>
          <w:tcPr>
            <w:tcW w:w="1764" w:type="dxa"/>
            <w:noWrap w:val="0"/>
            <w:vAlign w:val="center"/>
          </w:tcPr>
          <w:p w14:paraId="01FF70C9">
            <w:pPr>
              <w:rPr>
                <w:rFonts w:hint="eastAsia" w:ascii="宋体" w:hAnsi="宋体" w:cs="宋体"/>
                <w:b/>
                <w:color w:val="auto"/>
                <w:sz w:val="32"/>
                <w:szCs w:val="32"/>
                <w:highlight w:val="none"/>
              </w:rPr>
            </w:pPr>
            <w:r>
              <w:rPr>
                <w:rFonts w:hint="eastAsia" w:ascii="宋体" w:hAnsi="宋体" w:cs="宋体"/>
                <w:b/>
                <w:color w:val="auto"/>
                <w:sz w:val="32"/>
                <w:szCs w:val="32"/>
                <w:highlight w:val="none"/>
              </w:rPr>
              <w:t>项目名称：</w:t>
            </w:r>
          </w:p>
        </w:tc>
        <w:tc>
          <w:tcPr>
            <w:tcW w:w="5942" w:type="dxa"/>
            <w:noWrap w:val="0"/>
            <w:vAlign w:val="center"/>
          </w:tcPr>
          <w:p w14:paraId="3AACACDD">
            <w:pPr>
              <w:rPr>
                <w:rFonts w:hint="eastAsia" w:ascii="宋体" w:hAnsi="宋体" w:eastAsia="宋体" w:cs="宋体"/>
                <w:b/>
                <w:color w:val="auto"/>
                <w:sz w:val="32"/>
                <w:szCs w:val="32"/>
                <w:highlight w:val="none"/>
                <w:lang w:eastAsia="zh-CN"/>
              </w:rPr>
            </w:pPr>
            <w:r>
              <w:rPr>
                <w:rFonts w:hint="eastAsia" w:ascii="宋体" w:hAnsi="宋体" w:cs="宋体"/>
                <w:b/>
                <w:color w:val="auto"/>
                <w:sz w:val="32"/>
                <w:szCs w:val="32"/>
                <w:highlight w:val="none"/>
                <w:lang w:eastAsia="zh-CN"/>
              </w:rPr>
              <w:t>大新县全茗镇政教村政屯优质稻特色产业基地配套农田水利</w:t>
            </w:r>
          </w:p>
        </w:tc>
      </w:tr>
      <w:tr w14:paraId="1EB8A2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jc w:val="center"/>
        </w:trPr>
        <w:tc>
          <w:tcPr>
            <w:tcW w:w="1764" w:type="dxa"/>
            <w:noWrap w:val="0"/>
            <w:vAlign w:val="center"/>
          </w:tcPr>
          <w:p w14:paraId="704412C8">
            <w:pPr>
              <w:rPr>
                <w:rFonts w:hint="eastAsia" w:ascii="宋体" w:hAnsi="宋体" w:cs="宋体"/>
                <w:b/>
                <w:color w:val="auto"/>
                <w:sz w:val="32"/>
                <w:szCs w:val="32"/>
                <w:highlight w:val="none"/>
              </w:rPr>
            </w:pPr>
            <w:r>
              <w:rPr>
                <w:rFonts w:hint="eastAsia" w:ascii="宋体" w:hAnsi="宋体" w:cs="宋体"/>
                <w:b/>
                <w:color w:val="auto"/>
                <w:sz w:val="32"/>
                <w:szCs w:val="32"/>
                <w:highlight w:val="none"/>
              </w:rPr>
              <w:t>项目编号：</w:t>
            </w:r>
          </w:p>
        </w:tc>
        <w:tc>
          <w:tcPr>
            <w:tcW w:w="5942" w:type="dxa"/>
            <w:noWrap w:val="0"/>
            <w:vAlign w:val="center"/>
          </w:tcPr>
          <w:p w14:paraId="77D1E952">
            <w:pPr>
              <w:rPr>
                <w:rFonts w:hint="eastAsia" w:ascii="宋体" w:hAnsi="宋体" w:eastAsia="宋体" w:cs="宋体"/>
                <w:b/>
                <w:color w:val="auto"/>
                <w:sz w:val="32"/>
                <w:szCs w:val="32"/>
                <w:highlight w:val="none"/>
                <w:lang w:eastAsia="zh-CN"/>
              </w:rPr>
            </w:pPr>
            <w:r>
              <w:rPr>
                <w:rFonts w:hint="eastAsia" w:ascii="宋体" w:hAnsi="宋体" w:cs="宋体"/>
                <w:b/>
                <w:color w:val="auto"/>
                <w:sz w:val="32"/>
                <w:szCs w:val="32"/>
                <w:highlight w:val="none"/>
                <w:lang w:val="en-US" w:eastAsia="zh-CN"/>
              </w:rPr>
              <w:t xml:space="preserve"> CZZC2026-C2-240174-JDZB  </w:t>
            </w:r>
          </w:p>
        </w:tc>
      </w:tr>
      <w:tr w14:paraId="60449F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jc w:val="center"/>
        </w:trPr>
        <w:tc>
          <w:tcPr>
            <w:tcW w:w="1764" w:type="dxa"/>
            <w:noWrap w:val="0"/>
            <w:vAlign w:val="center"/>
          </w:tcPr>
          <w:p w14:paraId="47180D4B">
            <w:pPr>
              <w:rPr>
                <w:rFonts w:hint="eastAsia" w:ascii="宋体" w:hAnsi="宋体" w:cs="宋体"/>
                <w:b/>
                <w:color w:val="auto"/>
                <w:sz w:val="32"/>
                <w:szCs w:val="32"/>
                <w:highlight w:val="none"/>
              </w:rPr>
            </w:pPr>
            <w:r>
              <w:rPr>
                <w:rFonts w:hint="eastAsia" w:ascii="宋体" w:hAnsi="宋体" w:cs="宋体"/>
                <w:b/>
                <w:color w:val="auto"/>
                <w:sz w:val="32"/>
                <w:szCs w:val="32"/>
                <w:highlight w:val="none"/>
              </w:rPr>
              <w:t>联系电话：</w:t>
            </w:r>
          </w:p>
        </w:tc>
        <w:tc>
          <w:tcPr>
            <w:tcW w:w="5942" w:type="dxa"/>
            <w:noWrap w:val="0"/>
            <w:vAlign w:val="center"/>
          </w:tcPr>
          <w:p w14:paraId="68A66EFE">
            <w:pPr>
              <w:rPr>
                <w:rFonts w:hint="eastAsia" w:ascii="宋体" w:hAnsi="宋体" w:eastAsia="宋体" w:cs="宋体"/>
                <w:b/>
                <w:color w:val="auto"/>
                <w:sz w:val="32"/>
                <w:szCs w:val="32"/>
                <w:highlight w:val="none"/>
                <w:lang w:val="en-US" w:eastAsia="zh-CN"/>
              </w:rPr>
            </w:pPr>
            <w:r>
              <w:rPr>
                <w:rFonts w:hint="eastAsia" w:ascii="宋体" w:hAnsi="宋体" w:cs="宋体"/>
                <w:b/>
                <w:color w:val="auto"/>
                <w:sz w:val="32"/>
                <w:szCs w:val="32"/>
                <w:highlight w:val="none"/>
                <w:lang w:eastAsia="zh-CN"/>
              </w:rPr>
              <w:t>0771-7911517</w:t>
            </w:r>
          </w:p>
        </w:tc>
      </w:tr>
      <w:tr w14:paraId="4E9386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jc w:val="center"/>
        </w:trPr>
        <w:tc>
          <w:tcPr>
            <w:tcW w:w="1764" w:type="dxa"/>
            <w:noWrap w:val="0"/>
            <w:vAlign w:val="center"/>
          </w:tcPr>
          <w:p w14:paraId="79C50E7A">
            <w:pPr>
              <w:rPr>
                <w:rFonts w:hint="eastAsia" w:ascii="宋体" w:hAnsi="宋体" w:cs="宋体"/>
                <w:b/>
                <w:color w:val="auto"/>
                <w:sz w:val="32"/>
                <w:szCs w:val="32"/>
                <w:highlight w:val="none"/>
              </w:rPr>
            </w:pPr>
            <w:r>
              <w:rPr>
                <w:rFonts w:hint="eastAsia" w:ascii="宋体" w:hAnsi="宋体" w:cs="宋体"/>
                <w:b/>
                <w:color w:val="auto"/>
                <w:sz w:val="32"/>
                <w:szCs w:val="32"/>
                <w:highlight w:val="none"/>
              </w:rPr>
              <w:t>采购方式：</w:t>
            </w:r>
          </w:p>
        </w:tc>
        <w:tc>
          <w:tcPr>
            <w:tcW w:w="5942" w:type="dxa"/>
            <w:noWrap w:val="0"/>
            <w:vAlign w:val="center"/>
          </w:tcPr>
          <w:p w14:paraId="60328B88">
            <w:pPr>
              <w:rPr>
                <w:rFonts w:hint="eastAsia" w:ascii="宋体" w:hAnsi="宋体" w:cs="宋体"/>
                <w:b/>
                <w:color w:val="auto"/>
                <w:sz w:val="32"/>
                <w:szCs w:val="32"/>
                <w:highlight w:val="none"/>
              </w:rPr>
            </w:pPr>
            <w:r>
              <w:rPr>
                <w:rFonts w:hint="eastAsia" w:ascii="宋体" w:hAnsi="宋体" w:cs="宋体"/>
                <w:b/>
                <w:color w:val="auto"/>
                <w:sz w:val="32"/>
                <w:szCs w:val="32"/>
                <w:highlight w:val="none"/>
              </w:rPr>
              <w:t>竞争性磋商</w:t>
            </w:r>
          </w:p>
        </w:tc>
      </w:tr>
    </w:tbl>
    <w:p w14:paraId="575F63A5">
      <w:pPr>
        <w:tabs>
          <w:tab w:val="left" w:pos="1710"/>
        </w:tabs>
        <w:rPr>
          <w:rFonts w:hint="eastAsia" w:ascii="宋体" w:hAnsi="宋体" w:cs="宋体"/>
          <w:color w:val="auto"/>
          <w:highlight w:val="none"/>
        </w:rPr>
      </w:pPr>
    </w:p>
    <w:p w14:paraId="396FB637">
      <w:pPr>
        <w:rPr>
          <w:rFonts w:hint="eastAsia" w:ascii="宋体" w:hAnsi="宋体" w:cs="宋体"/>
          <w:color w:val="auto"/>
          <w:highlight w:val="none"/>
        </w:rPr>
      </w:pPr>
    </w:p>
    <w:p w14:paraId="3683C42D">
      <w:pPr>
        <w:rPr>
          <w:rFonts w:hint="eastAsia" w:ascii="宋体" w:hAnsi="宋体" w:cs="宋体"/>
          <w:color w:val="auto"/>
          <w:highlight w:val="none"/>
        </w:rPr>
      </w:pPr>
    </w:p>
    <w:p w14:paraId="24E71BCF">
      <w:pPr>
        <w:rPr>
          <w:rFonts w:hint="eastAsia" w:ascii="宋体" w:hAnsi="宋体" w:cs="宋体"/>
          <w:color w:val="auto"/>
          <w:highlight w:val="none"/>
        </w:rPr>
      </w:pPr>
    </w:p>
    <w:p w14:paraId="7934222D">
      <w:pPr>
        <w:rPr>
          <w:rFonts w:hint="eastAsia" w:ascii="宋体" w:hAnsi="宋体" w:cs="宋体"/>
          <w:color w:val="auto"/>
          <w:highlight w:val="none"/>
        </w:rPr>
      </w:pPr>
    </w:p>
    <w:p w14:paraId="1D599E37">
      <w:pPr>
        <w:rPr>
          <w:rFonts w:hint="eastAsia" w:ascii="宋体" w:hAnsi="宋体" w:cs="宋体"/>
          <w:color w:val="auto"/>
          <w:highlight w:val="none"/>
        </w:rPr>
      </w:pPr>
    </w:p>
    <w:tbl>
      <w:tblPr>
        <w:tblStyle w:val="55"/>
        <w:tblW w:w="0" w:type="auto"/>
        <w:jc w:val="center"/>
        <w:tblLayout w:type="fixed"/>
        <w:tblCellMar>
          <w:top w:w="0" w:type="dxa"/>
          <w:left w:w="108" w:type="dxa"/>
          <w:bottom w:w="0" w:type="dxa"/>
          <w:right w:w="108" w:type="dxa"/>
        </w:tblCellMar>
      </w:tblPr>
      <w:tblGrid>
        <w:gridCol w:w="2707"/>
        <w:gridCol w:w="6"/>
        <w:gridCol w:w="5571"/>
      </w:tblGrid>
      <w:tr w14:paraId="0AFEB828">
        <w:tblPrEx>
          <w:tblCellMar>
            <w:top w:w="0" w:type="dxa"/>
            <w:left w:w="108" w:type="dxa"/>
            <w:bottom w:w="0" w:type="dxa"/>
            <w:right w:w="108" w:type="dxa"/>
          </w:tblCellMar>
        </w:tblPrEx>
        <w:trPr>
          <w:trHeight w:val="703" w:hRule="atLeast"/>
          <w:jc w:val="center"/>
        </w:trPr>
        <w:tc>
          <w:tcPr>
            <w:tcW w:w="2707" w:type="dxa"/>
            <w:noWrap w:val="0"/>
            <w:vAlign w:val="center"/>
          </w:tcPr>
          <w:p w14:paraId="4EDCE1DC">
            <w:pPr>
              <w:autoSpaceDE w:val="0"/>
              <w:autoSpaceDN w:val="0"/>
              <w:adjustRightInd w:val="0"/>
              <w:jc w:val="right"/>
              <w:rPr>
                <w:rFonts w:hint="eastAsia" w:ascii="宋体" w:hAnsi="宋体" w:cs="宋体"/>
                <w:b/>
                <w:color w:val="auto"/>
                <w:sz w:val="32"/>
                <w:szCs w:val="32"/>
                <w:highlight w:val="none"/>
              </w:rPr>
            </w:pPr>
            <w:r>
              <w:rPr>
                <w:rFonts w:hint="eastAsia" w:ascii="宋体" w:hAnsi="宋体" w:cs="宋体"/>
                <w:b/>
                <w:color w:val="auto"/>
                <w:sz w:val="32"/>
                <w:szCs w:val="32"/>
                <w:highlight w:val="none"/>
              </w:rPr>
              <w:t>采购人：</w:t>
            </w:r>
          </w:p>
        </w:tc>
        <w:tc>
          <w:tcPr>
            <w:tcW w:w="5577" w:type="dxa"/>
            <w:gridSpan w:val="2"/>
            <w:noWrap w:val="0"/>
            <w:vAlign w:val="center"/>
          </w:tcPr>
          <w:p w14:paraId="3D07BB3C">
            <w:pPr>
              <w:autoSpaceDE w:val="0"/>
              <w:autoSpaceDN w:val="0"/>
              <w:adjustRightInd w:val="0"/>
              <w:jc w:val="left"/>
              <w:rPr>
                <w:rFonts w:hint="eastAsia" w:ascii="宋体" w:hAnsi="宋体" w:cs="宋体"/>
                <w:b/>
                <w:color w:val="auto"/>
                <w:sz w:val="32"/>
                <w:szCs w:val="32"/>
                <w:highlight w:val="none"/>
              </w:rPr>
            </w:pPr>
            <w:r>
              <w:rPr>
                <w:rFonts w:hint="eastAsia" w:ascii="宋体" w:hAnsi="宋体" w:cs="宋体"/>
                <w:b/>
                <w:color w:val="auto"/>
                <w:sz w:val="32"/>
                <w:szCs w:val="32"/>
                <w:highlight w:val="none"/>
              </w:rPr>
              <w:t>大新县农业农村局</w:t>
            </w:r>
          </w:p>
        </w:tc>
      </w:tr>
      <w:tr w14:paraId="3D5D9480">
        <w:tblPrEx>
          <w:tblCellMar>
            <w:top w:w="0" w:type="dxa"/>
            <w:left w:w="108" w:type="dxa"/>
            <w:bottom w:w="0" w:type="dxa"/>
            <w:right w:w="108" w:type="dxa"/>
          </w:tblCellMar>
        </w:tblPrEx>
        <w:trPr>
          <w:trHeight w:val="703" w:hRule="atLeast"/>
          <w:jc w:val="center"/>
        </w:trPr>
        <w:tc>
          <w:tcPr>
            <w:tcW w:w="2713" w:type="dxa"/>
            <w:gridSpan w:val="2"/>
            <w:noWrap w:val="0"/>
            <w:vAlign w:val="top"/>
          </w:tcPr>
          <w:p w14:paraId="5E49DDBB">
            <w:pPr>
              <w:autoSpaceDE w:val="0"/>
              <w:autoSpaceDN w:val="0"/>
              <w:adjustRightInd w:val="0"/>
              <w:jc w:val="right"/>
              <w:rPr>
                <w:rFonts w:hint="eastAsia" w:ascii="宋体" w:hAnsi="宋体" w:cs="宋体"/>
                <w:b/>
                <w:color w:val="auto"/>
                <w:sz w:val="32"/>
                <w:szCs w:val="32"/>
                <w:highlight w:val="none"/>
              </w:rPr>
            </w:pPr>
            <w:r>
              <w:rPr>
                <w:rFonts w:hint="eastAsia" w:ascii="宋体" w:hAnsi="宋体" w:cs="宋体"/>
                <w:b/>
                <w:color w:val="auto"/>
                <w:sz w:val="32"/>
                <w:szCs w:val="32"/>
                <w:highlight w:val="none"/>
              </w:rPr>
              <w:t>采购代理机构：</w:t>
            </w:r>
          </w:p>
        </w:tc>
        <w:tc>
          <w:tcPr>
            <w:tcW w:w="5571" w:type="dxa"/>
            <w:noWrap w:val="0"/>
            <w:vAlign w:val="top"/>
          </w:tcPr>
          <w:p w14:paraId="503C99D5">
            <w:pPr>
              <w:autoSpaceDE w:val="0"/>
              <w:autoSpaceDN w:val="0"/>
              <w:adjustRightInd w:val="0"/>
              <w:rPr>
                <w:rFonts w:hint="eastAsia" w:ascii="宋体" w:hAnsi="宋体" w:cs="宋体"/>
                <w:b/>
                <w:color w:val="auto"/>
                <w:sz w:val="32"/>
                <w:szCs w:val="32"/>
                <w:highlight w:val="none"/>
                <w:u w:val="single"/>
              </w:rPr>
            </w:pPr>
            <w:r>
              <w:rPr>
                <w:rFonts w:hint="eastAsia" w:ascii="宋体" w:hAnsi="宋体" w:cs="宋体"/>
                <w:b/>
                <w:color w:val="auto"/>
                <w:sz w:val="32"/>
                <w:szCs w:val="32"/>
                <w:highlight w:val="none"/>
              </w:rPr>
              <w:t>广西机电设备招标有限公司</w:t>
            </w:r>
          </w:p>
        </w:tc>
      </w:tr>
    </w:tbl>
    <w:p w14:paraId="539BFEB5">
      <w:pPr>
        <w:rPr>
          <w:rFonts w:hint="eastAsia" w:ascii="宋体" w:hAnsi="宋体" w:cs="宋体"/>
          <w:color w:val="auto"/>
          <w:highlight w:val="none"/>
        </w:rPr>
      </w:pPr>
    </w:p>
    <w:p w14:paraId="4CB65C4A">
      <w:pPr>
        <w:ind w:firstLine="321" w:firstLineChars="100"/>
        <w:jc w:val="center"/>
        <w:rPr>
          <w:rFonts w:hint="eastAsia" w:ascii="宋体" w:hAnsi="宋体" w:cs="宋体"/>
          <w:b/>
          <w:color w:val="auto"/>
          <w:sz w:val="32"/>
          <w:szCs w:val="32"/>
          <w:highlight w:val="none"/>
        </w:rPr>
        <w:sectPr>
          <w:headerReference r:id="rId3" w:type="first"/>
          <w:footerReference r:id="rId6" w:type="first"/>
          <w:footerReference r:id="rId4" w:type="default"/>
          <w:footerReference r:id="rId5" w:type="even"/>
          <w:type w:val="nextColumn"/>
          <w:pgSz w:w="11906" w:h="16838"/>
          <w:pgMar w:top="1418" w:right="1418" w:bottom="1246" w:left="1418" w:header="851" w:footer="992" w:gutter="0"/>
          <w:pgNumType w:start="0"/>
          <w:cols w:space="720" w:num="1"/>
          <w:titlePg/>
          <w:docGrid w:linePitch="312" w:charSpace="0"/>
        </w:sectPr>
      </w:pPr>
      <w:r>
        <w:rPr>
          <w:rFonts w:hint="eastAsia" w:ascii="宋体" w:hAnsi="宋体" w:cs="宋体"/>
          <w:b/>
          <w:color w:val="auto"/>
          <w:sz w:val="32"/>
          <w:szCs w:val="32"/>
          <w:highlight w:val="none"/>
        </w:rPr>
        <w:t>202</w:t>
      </w:r>
      <w:r>
        <w:rPr>
          <w:rFonts w:hint="eastAsia" w:ascii="宋体" w:hAnsi="宋体" w:cs="宋体"/>
          <w:b/>
          <w:color w:val="auto"/>
          <w:sz w:val="32"/>
          <w:szCs w:val="32"/>
          <w:highlight w:val="none"/>
          <w:lang w:val="en-US" w:eastAsia="zh-CN"/>
        </w:rPr>
        <w:t>6</w:t>
      </w:r>
      <w:r>
        <w:rPr>
          <w:rFonts w:hint="eastAsia" w:ascii="宋体" w:hAnsi="宋体" w:cs="宋体"/>
          <w:b/>
          <w:color w:val="auto"/>
          <w:sz w:val="32"/>
          <w:szCs w:val="32"/>
          <w:highlight w:val="none"/>
        </w:rPr>
        <w:t>年</w:t>
      </w:r>
      <w:r>
        <w:rPr>
          <w:rFonts w:hint="eastAsia" w:ascii="宋体" w:hAnsi="宋体" w:cs="宋体"/>
          <w:b/>
          <w:color w:val="auto"/>
          <w:sz w:val="32"/>
          <w:szCs w:val="32"/>
          <w:highlight w:val="none"/>
          <w:lang w:val="en-US" w:eastAsia="zh-CN"/>
        </w:rPr>
        <w:t>10月</w:t>
      </w:r>
    </w:p>
    <w:p w14:paraId="18088563">
      <w:pPr>
        <w:rPr>
          <w:rFonts w:hint="eastAsia" w:ascii="宋体" w:hAnsi="宋体" w:cs="宋体"/>
          <w:color w:val="auto"/>
          <w:sz w:val="32"/>
          <w:szCs w:val="32"/>
          <w:highlight w:val="none"/>
        </w:rPr>
      </w:pPr>
    </w:p>
    <w:p w14:paraId="6B4CAEA8">
      <w:pPr>
        <w:pStyle w:val="35"/>
        <w:tabs>
          <w:tab w:val="right" w:leader="dot" w:pos="9070"/>
          <w:tab w:val="clear" w:pos="8398"/>
        </w:tabs>
        <w:jc w:val="center"/>
        <w:rPr>
          <w:color w:val="auto"/>
          <w:sz w:val="32"/>
          <w:szCs w:val="32"/>
          <w:highlight w:val="none"/>
        </w:rPr>
      </w:pPr>
      <w:r>
        <w:rPr>
          <w:rFonts w:hint="eastAsia" w:cs="宋体"/>
          <w:color w:val="auto"/>
          <w:highlight w:val="none"/>
        </w:rPr>
        <w:fldChar w:fldCharType="begin"/>
      </w:r>
      <w:r>
        <w:rPr>
          <w:rStyle w:val="62"/>
          <w:rFonts w:hint="eastAsia" w:cs="宋体"/>
          <w:color w:val="auto"/>
          <w:highlight w:val="none"/>
        </w:rPr>
        <w:instrText xml:space="preserve"> TOC \o "1-1" \h \z \u </w:instrText>
      </w:r>
      <w:r>
        <w:rPr>
          <w:rFonts w:hint="eastAsia" w:cs="宋体"/>
          <w:color w:val="auto"/>
          <w:highlight w:val="none"/>
        </w:rPr>
        <w:fldChar w:fldCharType="separate"/>
      </w:r>
      <w:r>
        <w:rPr>
          <w:rFonts w:hint="eastAsia" w:cs="宋体"/>
          <w:color w:val="auto"/>
          <w:sz w:val="32"/>
          <w:szCs w:val="32"/>
          <w:highlight w:val="none"/>
        </w:rPr>
        <w:fldChar w:fldCharType="begin"/>
      </w:r>
      <w:r>
        <w:rPr>
          <w:rFonts w:hint="eastAsia" w:cs="宋体"/>
          <w:color w:val="auto"/>
          <w:sz w:val="32"/>
          <w:szCs w:val="32"/>
          <w:highlight w:val="none"/>
        </w:rPr>
        <w:instrText xml:space="preserve"> HYPERLINK \l _Toc10649 </w:instrText>
      </w:r>
      <w:r>
        <w:rPr>
          <w:rFonts w:hint="eastAsia" w:cs="宋体"/>
          <w:color w:val="auto"/>
          <w:sz w:val="32"/>
          <w:szCs w:val="32"/>
          <w:highlight w:val="none"/>
        </w:rPr>
        <w:fldChar w:fldCharType="separate"/>
      </w:r>
      <w:r>
        <w:rPr>
          <w:rFonts w:hint="eastAsia" w:hAnsi="宋体" w:cs="宋体"/>
          <w:color w:val="auto"/>
          <w:sz w:val="32"/>
          <w:szCs w:val="40"/>
          <w:highlight w:val="none"/>
        </w:rPr>
        <w:t>目    录</w:t>
      </w:r>
      <w:r>
        <w:rPr>
          <w:rFonts w:hint="eastAsia" w:cs="宋体"/>
          <w:color w:val="auto"/>
          <w:sz w:val="32"/>
          <w:szCs w:val="32"/>
          <w:highlight w:val="none"/>
        </w:rPr>
        <w:fldChar w:fldCharType="end"/>
      </w:r>
    </w:p>
    <w:p w14:paraId="0D0BD714">
      <w:pPr>
        <w:pStyle w:val="35"/>
        <w:keepNext w:val="0"/>
        <w:keepLines w:val="0"/>
        <w:pageBreakBefore w:val="0"/>
        <w:widowControl w:val="0"/>
        <w:tabs>
          <w:tab w:val="right" w:leader="dot" w:pos="9070"/>
          <w:tab w:val="clear" w:pos="8398"/>
        </w:tabs>
        <w:kinsoku/>
        <w:wordWrap/>
        <w:overflowPunct/>
        <w:topLinePunct w:val="0"/>
        <w:autoSpaceDE/>
        <w:autoSpaceDN/>
        <w:bidi w:val="0"/>
        <w:adjustRightInd/>
        <w:snapToGrid/>
        <w:spacing w:line="360" w:lineRule="auto"/>
        <w:textAlignment w:val="auto"/>
        <w:rPr>
          <w:color w:val="auto"/>
          <w:highlight w:val="none"/>
        </w:rPr>
      </w:pPr>
      <w:r>
        <w:rPr>
          <w:rFonts w:hint="eastAsia" w:cs="宋体"/>
          <w:color w:val="auto"/>
          <w:szCs w:val="28"/>
          <w:highlight w:val="none"/>
        </w:rPr>
        <w:fldChar w:fldCharType="begin"/>
      </w:r>
      <w:r>
        <w:rPr>
          <w:rFonts w:hint="eastAsia" w:cs="宋体"/>
          <w:color w:val="auto"/>
          <w:szCs w:val="28"/>
          <w:highlight w:val="none"/>
        </w:rPr>
        <w:instrText xml:space="preserve"> HYPERLINK \l _Toc4322 </w:instrText>
      </w:r>
      <w:r>
        <w:rPr>
          <w:rFonts w:hint="eastAsia" w:cs="宋体"/>
          <w:color w:val="auto"/>
          <w:szCs w:val="28"/>
          <w:highlight w:val="none"/>
        </w:rPr>
        <w:fldChar w:fldCharType="separate"/>
      </w:r>
      <w:r>
        <w:rPr>
          <w:rFonts w:hint="eastAsia" w:hAnsi="宋体" w:cs="宋体"/>
          <w:color w:val="auto"/>
          <w:szCs w:val="32"/>
          <w:highlight w:val="none"/>
        </w:rPr>
        <w:t>第一章  竞争性磋商公告</w:t>
      </w:r>
      <w:r>
        <w:rPr>
          <w:color w:val="auto"/>
          <w:highlight w:val="none"/>
        </w:rPr>
        <w:tab/>
      </w:r>
      <w:r>
        <w:rPr>
          <w:color w:val="auto"/>
          <w:highlight w:val="none"/>
        </w:rPr>
        <w:fldChar w:fldCharType="begin"/>
      </w:r>
      <w:r>
        <w:rPr>
          <w:color w:val="auto"/>
          <w:highlight w:val="none"/>
        </w:rPr>
        <w:instrText xml:space="preserve"> PAGEREF _Toc4322 \h </w:instrText>
      </w:r>
      <w:r>
        <w:rPr>
          <w:color w:val="auto"/>
          <w:highlight w:val="none"/>
        </w:rPr>
        <w:fldChar w:fldCharType="separate"/>
      </w:r>
      <w:r>
        <w:rPr>
          <w:color w:val="auto"/>
          <w:highlight w:val="none"/>
        </w:rPr>
        <w:t>1</w:t>
      </w:r>
      <w:r>
        <w:rPr>
          <w:color w:val="auto"/>
          <w:highlight w:val="none"/>
        </w:rPr>
        <w:fldChar w:fldCharType="end"/>
      </w:r>
      <w:r>
        <w:rPr>
          <w:rFonts w:hint="eastAsia" w:cs="宋体"/>
          <w:color w:val="auto"/>
          <w:szCs w:val="28"/>
          <w:highlight w:val="none"/>
        </w:rPr>
        <w:fldChar w:fldCharType="end"/>
      </w:r>
    </w:p>
    <w:p w14:paraId="6A94A764">
      <w:pPr>
        <w:pStyle w:val="35"/>
        <w:keepNext w:val="0"/>
        <w:keepLines w:val="0"/>
        <w:pageBreakBefore w:val="0"/>
        <w:widowControl w:val="0"/>
        <w:tabs>
          <w:tab w:val="right" w:leader="dot" w:pos="9070"/>
          <w:tab w:val="clear" w:pos="8398"/>
        </w:tabs>
        <w:kinsoku/>
        <w:wordWrap/>
        <w:overflowPunct/>
        <w:topLinePunct w:val="0"/>
        <w:autoSpaceDE/>
        <w:autoSpaceDN/>
        <w:bidi w:val="0"/>
        <w:adjustRightInd/>
        <w:snapToGrid/>
        <w:spacing w:line="360" w:lineRule="auto"/>
        <w:textAlignment w:val="auto"/>
        <w:rPr>
          <w:color w:val="auto"/>
          <w:highlight w:val="none"/>
        </w:rPr>
      </w:pPr>
      <w:r>
        <w:rPr>
          <w:rFonts w:hint="eastAsia" w:cs="宋体"/>
          <w:color w:val="auto"/>
          <w:szCs w:val="28"/>
          <w:highlight w:val="none"/>
        </w:rPr>
        <w:fldChar w:fldCharType="begin"/>
      </w:r>
      <w:r>
        <w:rPr>
          <w:rFonts w:hint="eastAsia" w:cs="宋体"/>
          <w:color w:val="auto"/>
          <w:szCs w:val="28"/>
          <w:highlight w:val="none"/>
        </w:rPr>
        <w:instrText xml:space="preserve"> HYPERLINK \l _Toc14732 </w:instrText>
      </w:r>
      <w:r>
        <w:rPr>
          <w:rFonts w:hint="eastAsia" w:cs="宋体"/>
          <w:color w:val="auto"/>
          <w:szCs w:val="28"/>
          <w:highlight w:val="none"/>
        </w:rPr>
        <w:fldChar w:fldCharType="separate"/>
      </w:r>
      <w:r>
        <w:rPr>
          <w:rFonts w:hint="eastAsia" w:hAnsi="宋体" w:cs="宋体"/>
          <w:color w:val="auto"/>
          <w:szCs w:val="32"/>
          <w:highlight w:val="none"/>
        </w:rPr>
        <w:t>第二章  采购需求</w:t>
      </w:r>
      <w:r>
        <w:rPr>
          <w:color w:val="auto"/>
          <w:highlight w:val="none"/>
        </w:rPr>
        <w:tab/>
      </w:r>
      <w:r>
        <w:rPr>
          <w:color w:val="auto"/>
          <w:highlight w:val="none"/>
        </w:rPr>
        <w:fldChar w:fldCharType="begin"/>
      </w:r>
      <w:r>
        <w:rPr>
          <w:color w:val="auto"/>
          <w:highlight w:val="none"/>
        </w:rPr>
        <w:instrText xml:space="preserve"> PAGEREF _Toc14732 \h </w:instrText>
      </w:r>
      <w:r>
        <w:rPr>
          <w:color w:val="auto"/>
          <w:highlight w:val="none"/>
        </w:rPr>
        <w:fldChar w:fldCharType="separate"/>
      </w:r>
      <w:r>
        <w:rPr>
          <w:color w:val="auto"/>
          <w:highlight w:val="none"/>
        </w:rPr>
        <w:t>4</w:t>
      </w:r>
      <w:r>
        <w:rPr>
          <w:color w:val="auto"/>
          <w:highlight w:val="none"/>
        </w:rPr>
        <w:fldChar w:fldCharType="end"/>
      </w:r>
      <w:r>
        <w:rPr>
          <w:rFonts w:hint="eastAsia" w:cs="宋体"/>
          <w:color w:val="auto"/>
          <w:szCs w:val="28"/>
          <w:highlight w:val="none"/>
        </w:rPr>
        <w:fldChar w:fldCharType="end"/>
      </w:r>
    </w:p>
    <w:p w14:paraId="49C5CEC3">
      <w:pPr>
        <w:pStyle w:val="35"/>
        <w:keepNext w:val="0"/>
        <w:keepLines w:val="0"/>
        <w:pageBreakBefore w:val="0"/>
        <w:widowControl w:val="0"/>
        <w:tabs>
          <w:tab w:val="right" w:leader="dot" w:pos="9070"/>
          <w:tab w:val="clear" w:pos="8398"/>
        </w:tabs>
        <w:kinsoku/>
        <w:wordWrap/>
        <w:overflowPunct/>
        <w:topLinePunct w:val="0"/>
        <w:autoSpaceDE/>
        <w:autoSpaceDN/>
        <w:bidi w:val="0"/>
        <w:adjustRightInd/>
        <w:snapToGrid/>
        <w:spacing w:line="360" w:lineRule="auto"/>
        <w:textAlignment w:val="auto"/>
        <w:rPr>
          <w:color w:val="auto"/>
          <w:highlight w:val="none"/>
        </w:rPr>
      </w:pPr>
      <w:r>
        <w:rPr>
          <w:rFonts w:hint="eastAsia" w:cs="宋体"/>
          <w:color w:val="auto"/>
          <w:szCs w:val="28"/>
          <w:highlight w:val="none"/>
        </w:rPr>
        <w:fldChar w:fldCharType="begin"/>
      </w:r>
      <w:r>
        <w:rPr>
          <w:rFonts w:hint="eastAsia" w:cs="宋体"/>
          <w:color w:val="auto"/>
          <w:szCs w:val="28"/>
          <w:highlight w:val="none"/>
        </w:rPr>
        <w:instrText xml:space="preserve"> HYPERLINK \l _Toc30062 </w:instrText>
      </w:r>
      <w:r>
        <w:rPr>
          <w:rFonts w:hint="eastAsia" w:cs="宋体"/>
          <w:color w:val="auto"/>
          <w:szCs w:val="28"/>
          <w:highlight w:val="none"/>
        </w:rPr>
        <w:fldChar w:fldCharType="separate"/>
      </w:r>
      <w:r>
        <w:rPr>
          <w:rFonts w:hint="eastAsia" w:hAnsi="宋体" w:cs="宋体"/>
          <w:color w:val="auto"/>
          <w:szCs w:val="32"/>
          <w:highlight w:val="none"/>
        </w:rPr>
        <w:t>第三章  供应商须知</w:t>
      </w:r>
      <w:r>
        <w:rPr>
          <w:color w:val="auto"/>
          <w:highlight w:val="none"/>
        </w:rPr>
        <w:tab/>
      </w:r>
      <w:r>
        <w:rPr>
          <w:color w:val="auto"/>
          <w:highlight w:val="none"/>
        </w:rPr>
        <w:fldChar w:fldCharType="begin"/>
      </w:r>
      <w:r>
        <w:rPr>
          <w:color w:val="auto"/>
          <w:highlight w:val="none"/>
        </w:rPr>
        <w:instrText xml:space="preserve"> PAGEREF _Toc30062 \h </w:instrText>
      </w:r>
      <w:r>
        <w:rPr>
          <w:color w:val="auto"/>
          <w:highlight w:val="none"/>
        </w:rPr>
        <w:fldChar w:fldCharType="separate"/>
      </w:r>
      <w:r>
        <w:rPr>
          <w:color w:val="auto"/>
          <w:highlight w:val="none"/>
        </w:rPr>
        <w:t>8</w:t>
      </w:r>
      <w:r>
        <w:rPr>
          <w:color w:val="auto"/>
          <w:highlight w:val="none"/>
        </w:rPr>
        <w:fldChar w:fldCharType="end"/>
      </w:r>
      <w:r>
        <w:rPr>
          <w:rFonts w:hint="eastAsia" w:cs="宋体"/>
          <w:color w:val="auto"/>
          <w:szCs w:val="28"/>
          <w:highlight w:val="none"/>
        </w:rPr>
        <w:fldChar w:fldCharType="end"/>
      </w:r>
    </w:p>
    <w:p w14:paraId="20F7FA8C">
      <w:pPr>
        <w:pStyle w:val="35"/>
        <w:keepNext w:val="0"/>
        <w:keepLines w:val="0"/>
        <w:pageBreakBefore w:val="0"/>
        <w:widowControl w:val="0"/>
        <w:tabs>
          <w:tab w:val="right" w:leader="dot" w:pos="9070"/>
          <w:tab w:val="clear" w:pos="8398"/>
        </w:tabs>
        <w:kinsoku/>
        <w:wordWrap/>
        <w:overflowPunct/>
        <w:topLinePunct w:val="0"/>
        <w:autoSpaceDE/>
        <w:autoSpaceDN/>
        <w:bidi w:val="0"/>
        <w:adjustRightInd/>
        <w:snapToGrid/>
        <w:spacing w:line="360" w:lineRule="auto"/>
        <w:textAlignment w:val="auto"/>
        <w:rPr>
          <w:color w:val="auto"/>
          <w:highlight w:val="none"/>
        </w:rPr>
      </w:pPr>
      <w:r>
        <w:rPr>
          <w:rFonts w:hint="eastAsia" w:cs="宋体"/>
          <w:color w:val="auto"/>
          <w:szCs w:val="28"/>
          <w:highlight w:val="none"/>
        </w:rPr>
        <w:fldChar w:fldCharType="begin"/>
      </w:r>
      <w:r>
        <w:rPr>
          <w:rFonts w:hint="eastAsia" w:cs="宋体"/>
          <w:color w:val="auto"/>
          <w:szCs w:val="28"/>
          <w:highlight w:val="none"/>
        </w:rPr>
        <w:instrText xml:space="preserve"> HYPERLINK \l _Toc27610 </w:instrText>
      </w:r>
      <w:r>
        <w:rPr>
          <w:rFonts w:hint="eastAsia" w:cs="宋体"/>
          <w:color w:val="auto"/>
          <w:szCs w:val="28"/>
          <w:highlight w:val="none"/>
        </w:rPr>
        <w:fldChar w:fldCharType="separate"/>
      </w:r>
      <w:r>
        <w:rPr>
          <w:rFonts w:hint="eastAsia" w:hAnsi="宋体" w:cs="宋体"/>
          <w:color w:val="auto"/>
          <w:szCs w:val="32"/>
          <w:highlight w:val="none"/>
        </w:rPr>
        <w:t>第四章  评审方法及标准</w:t>
      </w:r>
      <w:r>
        <w:rPr>
          <w:color w:val="auto"/>
          <w:highlight w:val="none"/>
        </w:rPr>
        <w:tab/>
      </w:r>
      <w:r>
        <w:rPr>
          <w:color w:val="auto"/>
          <w:highlight w:val="none"/>
        </w:rPr>
        <w:fldChar w:fldCharType="begin"/>
      </w:r>
      <w:r>
        <w:rPr>
          <w:color w:val="auto"/>
          <w:highlight w:val="none"/>
        </w:rPr>
        <w:instrText xml:space="preserve"> PAGEREF _Toc27610 \h </w:instrText>
      </w:r>
      <w:r>
        <w:rPr>
          <w:color w:val="auto"/>
          <w:highlight w:val="none"/>
        </w:rPr>
        <w:fldChar w:fldCharType="separate"/>
      </w:r>
      <w:r>
        <w:rPr>
          <w:color w:val="auto"/>
          <w:highlight w:val="none"/>
        </w:rPr>
        <w:t>27</w:t>
      </w:r>
      <w:r>
        <w:rPr>
          <w:color w:val="auto"/>
          <w:highlight w:val="none"/>
        </w:rPr>
        <w:fldChar w:fldCharType="end"/>
      </w:r>
      <w:r>
        <w:rPr>
          <w:rFonts w:hint="eastAsia" w:cs="宋体"/>
          <w:color w:val="auto"/>
          <w:szCs w:val="28"/>
          <w:highlight w:val="none"/>
        </w:rPr>
        <w:fldChar w:fldCharType="end"/>
      </w:r>
    </w:p>
    <w:p w14:paraId="409417C2">
      <w:pPr>
        <w:pStyle w:val="35"/>
        <w:keepNext w:val="0"/>
        <w:keepLines w:val="0"/>
        <w:pageBreakBefore w:val="0"/>
        <w:widowControl w:val="0"/>
        <w:tabs>
          <w:tab w:val="right" w:leader="dot" w:pos="9070"/>
          <w:tab w:val="clear" w:pos="8398"/>
        </w:tabs>
        <w:kinsoku/>
        <w:wordWrap/>
        <w:overflowPunct/>
        <w:topLinePunct w:val="0"/>
        <w:autoSpaceDE/>
        <w:autoSpaceDN/>
        <w:bidi w:val="0"/>
        <w:adjustRightInd/>
        <w:snapToGrid/>
        <w:spacing w:line="360" w:lineRule="auto"/>
        <w:textAlignment w:val="auto"/>
        <w:rPr>
          <w:color w:val="auto"/>
          <w:highlight w:val="none"/>
        </w:rPr>
      </w:pPr>
      <w:r>
        <w:rPr>
          <w:rFonts w:hint="eastAsia" w:cs="宋体"/>
          <w:color w:val="auto"/>
          <w:szCs w:val="28"/>
          <w:highlight w:val="none"/>
        </w:rPr>
        <w:fldChar w:fldCharType="begin"/>
      </w:r>
      <w:r>
        <w:rPr>
          <w:rFonts w:hint="eastAsia" w:cs="宋体"/>
          <w:color w:val="auto"/>
          <w:szCs w:val="28"/>
          <w:highlight w:val="none"/>
        </w:rPr>
        <w:instrText xml:space="preserve"> HYPERLINK \l _Toc26446 </w:instrText>
      </w:r>
      <w:r>
        <w:rPr>
          <w:rFonts w:hint="eastAsia" w:cs="宋体"/>
          <w:color w:val="auto"/>
          <w:szCs w:val="28"/>
          <w:highlight w:val="none"/>
        </w:rPr>
        <w:fldChar w:fldCharType="separate"/>
      </w:r>
      <w:r>
        <w:rPr>
          <w:rFonts w:hint="eastAsia" w:hAnsi="宋体" w:cs="宋体"/>
          <w:color w:val="auto"/>
          <w:szCs w:val="32"/>
          <w:highlight w:val="none"/>
        </w:rPr>
        <w:t>第五章  合同主要条款格式</w:t>
      </w:r>
      <w:r>
        <w:rPr>
          <w:color w:val="auto"/>
          <w:highlight w:val="none"/>
        </w:rPr>
        <w:tab/>
      </w:r>
      <w:r>
        <w:rPr>
          <w:color w:val="auto"/>
          <w:highlight w:val="none"/>
        </w:rPr>
        <w:fldChar w:fldCharType="begin"/>
      </w:r>
      <w:r>
        <w:rPr>
          <w:color w:val="auto"/>
          <w:highlight w:val="none"/>
        </w:rPr>
        <w:instrText xml:space="preserve"> PAGEREF _Toc26446 \h </w:instrText>
      </w:r>
      <w:r>
        <w:rPr>
          <w:color w:val="auto"/>
          <w:highlight w:val="none"/>
        </w:rPr>
        <w:fldChar w:fldCharType="separate"/>
      </w:r>
      <w:r>
        <w:rPr>
          <w:color w:val="auto"/>
          <w:highlight w:val="none"/>
        </w:rPr>
        <w:t>35</w:t>
      </w:r>
      <w:r>
        <w:rPr>
          <w:color w:val="auto"/>
          <w:highlight w:val="none"/>
        </w:rPr>
        <w:fldChar w:fldCharType="end"/>
      </w:r>
      <w:r>
        <w:rPr>
          <w:rFonts w:hint="eastAsia" w:cs="宋体"/>
          <w:color w:val="auto"/>
          <w:szCs w:val="28"/>
          <w:highlight w:val="none"/>
        </w:rPr>
        <w:fldChar w:fldCharType="end"/>
      </w:r>
    </w:p>
    <w:p w14:paraId="40980648">
      <w:pPr>
        <w:pStyle w:val="35"/>
        <w:keepNext w:val="0"/>
        <w:keepLines w:val="0"/>
        <w:pageBreakBefore w:val="0"/>
        <w:widowControl w:val="0"/>
        <w:tabs>
          <w:tab w:val="right" w:leader="dot" w:pos="9070"/>
          <w:tab w:val="clear" w:pos="8398"/>
        </w:tabs>
        <w:kinsoku/>
        <w:wordWrap/>
        <w:overflowPunct/>
        <w:topLinePunct w:val="0"/>
        <w:autoSpaceDE/>
        <w:autoSpaceDN/>
        <w:bidi w:val="0"/>
        <w:adjustRightInd/>
        <w:snapToGrid/>
        <w:spacing w:line="360" w:lineRule="auto"/>
        <w:textAlignment w:val="auto"/>
        <w:rPr>
          <w:color w:val="auto"/>
          <w:highlight w:val="none"/>
        </w:rPr>
      </w:pPr>
      <w:r>
        <w:rPr>
          <w:rFonts w:hint="eastAsia" w:cs="宋体"/>
          <w:color w:val="auto"/>
          <w:szCs w:val="28"/>
          <w:highlight w:val="none"/>
        </w:rPr>
        <w:fldChar w:fldCharType="begin"/>
      </w:r>
      <w:r>
        <w:rPr>
          <w:rFonts w:hint="eastAsia" w:cs="宋体"/>
          <w:color w:val="auto"/>
          <w:szCs w:val="28"/>
          <w:highlight w:val="none"/>
        </w:rPr>
        <w:instrText xml:space="preserve"> HYPERLINK \l _Toc506 </w:instrText>
      </w:r>
      <w:r>
        <w:rPr>
          <w:rFonts w:hint="eastAsia" w:cs="宋体"/>
          <w:color w:val="auto"/>
          <w:szCs w:val="28"/>
          <w:highlight w:val="none"/>
        </w:rPr>
        <w:fldChar w:fldCharType="separate"/>
      </w:r>
      <w:r>
        <w:rPr>
          <w:rFonts w:hint="eastAsia" w:hAnsi="宋体" w:cs="宋体"/>
          <w:color w:val="auto"/>
          <w:szCs w:val="32"/>
          <w:highlight w:val="none"/>
        </w:rPr>
        <w:t>第六章  响应文件格式</w:t>
      </w:r>
      <w:r>
        <w:rPr>
          <w:color w:val="auto"/>
          <w:highlight w:val="none"/>
        </w:rPr>
        <w:tab/>
      </w:r>
      <w:r>
        <w:rPr>
          <w:color w:val="auto"/>
          <w:highlight w:val="none"/>
        </w:rPr>
        <w:fldChar w:fldCharType="begin"/>
      </w:r>
      <w:r>
        <w:rPr>
          <w:color w:val="auto"/>
          <w:highlight w:val="none"/>
        </w:rPr>
        <w:instrText xml:space="preserve"> PAGEREF _Toc506 \h </w:instrText>
      </w:r>
      <w:r>
        <w:rPr>
          <w:color w:val="auto"/>
          <w:highlight w:val="none"/>
        </w:rPr>
        <w:fldChar w:fldCharType="separate"/>
      </w:r>
      <w:r>
        <w:rPr>
          <w:color w:val="auto"/>
          <w:highlight w:val="none"/>
        </w:rPr>
        <w:t>43</w:t>
      </w:r>
      <w:r>
        <w:rPr>
          <w:color w:val="auto"/>
          <w:highlight w:val="none"/>
        </w:rPr>
        <w:fldChar w:fldCharType="end"/>
      </w:r>
      <w:r>
        <w:rPr>
          <w:rFonts w:hint="eastAsia" w:cs="宋体"/>
          <w:color w:val="auto"/>
          <w:szCs w:val="28"/>
          <w:highlight w:val="none"/>
        </w:rPr>
        <w:fldChar w:fldCharType="end"/>
      </w:r>
    </w:p>
    <w:p w14:paraId="56F6B336">
      <w:pPr>
        <w:pStyle w:val="35"/>
        <w:ind w:firstLine="241"/>
        <w:rPr>
          <w:rFonts w:hint="eastAsia" w:cs="宋体"/>
          <w:color w:val="auto"/>
          <w:sz w:val="28"/>
          <w:szCs w:val="28"/>
          <w:highlight w:val="none"/>
        </w:rPr>
        <w:sectPr>
          <w:headerReference r:id="rId7" w:type="first"/>
          <w:pgSz w:w="11906" w:h="16838"/>
          <w:pgMar w:top="1418" w:right="1418" w:bottom="1246" w:left="1418" w:header="851" w:footer="992" w:gutter="0"/>
          <w:pgNumType w:start="0"/>
          <w:cols w:space="720" w:num="1"/>
          <w:titlePg/>
          <w:docGrid w:linePitch="312" w:charSpace="0"/>
        </w:sectPr>
      </w:pPr>
      <w:r>
        <w:rPr>
          <w:rFonts w:hint="eastAsia" w:cs="宋体"/>
          <w:color w:val="auto"/>
          <w:szCs w:val="28"/>
          <w:highlight w:val="none"/>
        </w:rPr>
        <w:fldChar w:fldCharType="end"/>
      </w:r>
    </w:p>
    <w:p w14:paraId="5E13BDAE">
      <w:pPr>
        <w:pStyle w:val="28"/>
        <w:keepNext w:val="0"/>
        <w:keepLines w:val="0"/>
        <w:pageBreakBefore w:val="0"/>
        <w:widowControl w:val="0"/>
        <w:kinsoku/>
        <w:wordWrap/>
        <w:overflowPunct/>
        <w:topLinePunct w:val="0"/>
        <w:autoSpaceDE/>
        <w:autoSpaceDN/>
        <w:bidi w:val="0"/>
        <w:adjustRightInd/>
        <w:snapToGrid w:val="0"/>
        <w:spacing w:before="120" w:after="120" w:line="360" w:lineRule="auto"/>
        <w:jc w:val="center"/>
        <w:textAlignment w:val="auto"/>
        <w:outlineLvl w:val="0"/>
        <w:rPr>
          <w:rFonts w:hint="eastAsia" w:hAnsi="宋体" w:cs="宋体"/>
          <w:color w:val="auto"/>
          <w:sz w:val="32"/>
          <w:szCs w:val="32"/>
          <w:highlight w:val="none"/>
        </w:rPr>
      </w:pPr>
      <w:bookmarkStart w:id="2" w:name="_Toc254970489"/>
      <w:bookmarkStart w:id="3" w:name="_Toc254970630"/>
      <w:bookmarkStart w:id="4" w:name="_Toc4322"/>
      <w:r>
        <w:rPr>
          <w:rFonts w:hint="eastAsia" w:hAnsi="宋体" w:cs="宋体"/>
          <w:color w:val="auto"/>
          <w:sz w:val="32"/>
          <w:szCs w:val="32"/>
          <w:highlight w:val="none"/>
        </w:rPr>
        <w:t xml:space="preserve">第一章  </w:t>
      </w:r>
      <w:bookmarkEnd w:id="2"/>
      <w:bookmarkEnd w:id="3"/>
      <w:r>
        <w:rPr>
          <w:rFonts w:hint="eastAsia" w:hAnsi="宋体" w:cs="宋体"/>
          <w:color w:val="auto"/>
          <w:sz w:val="32"/>
          <w:szCs w:val="32"/>
          <w:highlight w:val="none"/>
        </w:rPr>
        <w:t>竞争性磋商公告</w:t>
      </w:r>
      <w:bookmarkEnd w:id="4"/>
    </w:p>
    <w:p w14:paraId="1CEBFFC2">
      <w:pPr>
        <w:spacing w:line="400" w:lineRule="exact"/>
        <w:jc w:val="center"/>
        <w:rPr>
          <w:rFonts w:hint="eastAsia" w:ascii="宋体" w:hAnsi="宋体" w:cs="宋体"/>
          <w:b/>
          <w:bCs/>
          <w:color w:val="auto"/>
          <w:kern w:val="0"/>
          <w:sz w:val="24"/>
          <w:highlight w:val="none"/>
        </w:rPr>
      </w:pPr>
      <w:r>
        <w:rPr>
          <w:rFonts w:hint="eastAsia" w:ascii="宋体" w:hAnsi="宋体" w:cs="宋体"/>
          <w:b/>
          <w:bCs/>
          <w:color w:val="auto"/>
          <w:kern w:val="0"/>
          <w:sz w:val="24"/>
          <w:highlight w:val="none"/>
        </w:rPr>
        <w:t>广西机电设备招标有限公司关于</w:t>
      </w:r>
      <w:r>
        <w:rPr>
          <w:rFonts w:hint="eastAsia" w:ascii="宋体" w:hAnsi="宋体" w:cs="宋体"/>
          <w:b/>
          <w:bCs/>
          <w:color w:val="auto"/>
          <w:kern w:val="0"/>
          <w:sz w:val="24"/>
          <w:highlight w:val="none"/>
          <w:lang w:eastAsia="zh-CN"/>
        </w:rPr>
        <w:t>大新县全茗镇政教村政屯优质稻特色产业基地配套农田水利</w:t>
      </w:r>
      <w:r>
        <w:rPr>
          <w:rFonts w:hint="eastAsia" w:ascii="宋体" w:hAnsi="宋体" w:cs="宋体"/>
          <w:b/>
          <w:bCs/>
          <w:color w:val="auto"/>
          <w:kern w:val="0"/>
          <w:sz w:val="24"/>
          <w:highlight w:val="none"/>
        </w:rPr>
        <w:t>竞争性磋商公告</w:t>
      </w:r>
    </w:p>
    <w:p w14:paraId="7AE5C1E8">
      <w:pPr>
        <w:spacing w:line="312" w:lineRule="auto"/>
        <w:ind w:firstLine="420" w:firstLineChars="200"/>
        <w:jc w:val="left"/>
        <w:rPr>
          <w:rFonts w:hint="eastAsia" w:ascii="宋体" w:hAnsi="宋体" w:cs="宋体"/>
          <w:color w:val="auto"/>
          <w:kern w:val="0"/>
          <w:szCs w:val="21"/>
          <w:highlight w:val="none"/>
        </w:rPr>
      </w:pPr>
    </w:p>
    <w:p w14:paraId="6BAEE556">
      <w:pPr>
        <w:spacing w:line="312" w:lineRule="auto"/>
        <w:ind w:firstLine="420" w:firstLineChars="20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项目概况：</w:t>
      </w:r>
      <w:r>
        <w:rPr>
          <w:rFonts w:hint="eastAsia" w:ascii="宋体" w:hAnsi="宋体" w:eastAsia="宋体" w:cs="宋体"/>
          <w:color w:val="auto"/>
          <w:sz w:val="21"/>
          <w:szCs w:val="21"/>
          <w:highlight w:val="none"/>
          <w:lang w:eastAsia="zh-CN"/>
        </w:rPr>
        <w:t>大新县全茗镇政教村政屯优质稻特色产业基地配套农田水利</w:t>
      </w:r>
      <w:r>
        <w:rPr>
          <w:rFonts w:hint="eastAsia" w:ascii="宋体" w:hAnsi="宋体" w:eastAsia="宋体" w:cs="宋体"/>
          <w:color w:val="auto"/>
          <w:kern w:val="0"/>
          <w:sz w:val="21"/>
          <w:szCs w:val="21"/>
          <w:highlight w:val="none"/>
        </w:rPr>
        <w:t>项目的潜在供应商应在</w:t>
      </w:r>
      <w:r>
        <w:rPr>
          <w:rFonts w:hint="eastAsia" w:ascii="宋体" w:hAnsi="宋体" w:eastAsia="宋体" w:cs="宋体"/>
          <w:color w:val="auto"/>
          <w:sz w:val="21"/>
          <w:szCs w:val="21"/>
          <w:highlight w:val="none"/>
        </w:rPr>
        <w:t>广西政府采购云平台 （https://www.gcy.zfcg.gxzf.gov.cn/）获取采购文件，并于</w:t>
      </w:r>
      <w:r>
        <w:rPr>
          <w:rFonts w:hint="eastAsia" w:ascii="宋体" w:hAnsi="宋体" w:eastAsia="宋体" w:cs="宋体"/>
          <w:color w:val="auto"/>
          <w:sz w:val="21"/>
          <w:szCs w:val="21"/>
          <w:highlight w:val="none"/>
          <w:u w:val="none"/>
          <w:lang w:eastAsia="zh-CN"/>
        </w:rPr>
        <w:t>2026年</w:t>
      </w:r>
      <w:r>
        <w:rPr>
          <w:rFonts w:hint="eastAsia" w:ascii="宋体" w:hAnsi="宋体" w:eastAsia="宋体" w:cs="宋体"/>
          <w:color w:val="auto"/>
          <w:sz w:val="21"/>
          <w:szCs w:val="21"/>
          <w:highlight w:val="none"/>
          <w:u w:val="none"/>
          <w:lang w:val="en-US" w:eastAsia="zh-CN"/>
        </w:rPr>
        <w:t>10月19日</w:t>
      </w:r>
      <w:r>
        <w:rPr>
          <w:rFonts w:hint="eastAsia" w:ascii="宋体" w:hAnsi="宋体" w:eastAsia="宋体" w:cs="宋体"/>
          <w:color w:val="auto"/>
          <w:sz w:val="21"/>
          <w:szCs w:val="21"/>
          <w:highlight w:val="none"/>
          <w:u w:val="none"/>
          <w:lang w:eastAsia="zh-CN"/>
        </w:rPr>
        <w:t>16:00</w:t>
      </w:r>
      <w:r>
        <w:rPr>
          <w:rFonts w:hint="eastAsia" w:ascii="宋体" w:hAnsi="宋体" w:eastAsia="宋体" w:cs="宋体"/>
          <w:color w:val="auto"/>
          <w:sz w:val="21"/>
          <w:szCs w:val="21"/>
          <w:highlight w:val="none"/>
        </w:rPr>
        <w:t>（北京时间）前提交响应文件。</w:t>
      </w:r>
    </w:p>
    <w:p w14:paraId="26A600FA">
      <w:pPr>
        <w:spacing w:line="312" w:lineRule="auto"/>
        <w:ind w:firstLine="422" w:firstLineChars="200"/>
        <w:jc w:val="left"/>
        <w:rPr>
          <w:rFonts w:hint="eastAsia" w:ascii="宋体" w:hAnsi="宋体" w:eastAsia="宋体" w:cs="宋体"/>
          <w:b/>
          <w:bCs/>
          <w:color w:val="auto"/>
          <w:kern w:val="0"/>
          <w:sz w:val="21"/>
          <w:szCs w:val="21"/>
          <w:highlight w:val="none"/>
        </w:rPr>
      </w:pPr>
      <w:r>
        <w:rPr>
          <w:rFonts w:hint="eastAsia" w:ascii="宋体" w:hAnsi="宋体" w:eastAsia="宋体" w:cs="宋体"/>
          <w:b/>
          <w:bCs/>
          <w:color w:val="auto"/>
          <w:kern w:val="0"/>
          <w:sz w:val="21"/>
          <w:szCs w:val="21"/>
          <w:highlight w:val="none"/>
        </w:rPr>
        <w:t>一、项目基本情况</w:t>
      </w:r>
    </w:p>
    <w:p w14:paraId="53D1A59F">
      <w:pPr>
        <w:spacing w:line="312" w:lineRule="auto"/>
        <w:ind w:firstLine="420" w:firstLineChars="200"/>
        <w:jc w:val="left"/>
        <w:rPr>
          <w:rFonts w:hint="eastAsia" w:ascii="宋体" w:hAnsi="宋体" w:eastAsia="宋体" w:cs="宋体"/>
          <w:color w:val="auto"/>
          <w:kern w:val="0"/>
          <w:sz w:val="21"/>
          <w:szCs w:val="21"/>
          <w:highlight w:val="none"/>
          <w:lang w:eastAsia="zh-CN"/>
        </w:rPr>
      </w:pPr>
      <w:r>
        <w:rPr>
          <w:rFonts w:hint="eastAsia" w:ascii="宋体" w:hAnsi="宋体" w:eastAsia="宋体" w:cs="宋体"/>
          <w:color w:val="auto"/>
          <w:kern w:val="0"/>
          <w:sz w:val="21"/>
          <w:szCs w:val="21"/>
          <w:highlight w:val="none"/>
        </w:rPr>
        <w:t>项目编号：CZZC2026-C2-240174-JDZB</w:t>
      </w:r>
      <w:r>
        <w:rPr>
          <w:rFonts w:hint="eastAsia" w:ascii="宋体" w:hAnsi="宋体" w:eastAsia="宋体" w:cs="宋体"/>
          <w:color w:val="auto"/>
          <w:sz w:val="21"/>
          <w:szCs w:val="21"/>
          <w:highlight w:val="none"/>
          <w:lang w:eastAsia="zh-CN"/>
        </w:rPr>
        <w:t xml:space="preserve">  </w:t>
      </w:r>
    </w:p>
    <w:p w14:paraId="5650E62D">
      <w:pPr>
        <w:spacing w:line="312" w:lineRule="auto"/>
        <w:ind w:firstLine="420" w:firstLineChars="200"/>
        <w:jc w:val="left"/>
        <w:rPr>
          <w:rFonts w:hint="eastAsia" w:ascii="宋体" w:hAnsi="宋体" w:eastAsia="宋体" w:cs="宋体"/>
          <w:color w:val="auto"/>
          <w:kern w:val="0"/>
          <w:sz w:val="21"/>
          <w:szCs w:val="21"/>
          <w:highlight w:val="none"/>
          <w:lang w:eastAsia="zh-CN"/>
        </w:rPr>
      </w:pPr>
      <w:r>
        <w:rPr>
          <w:rFonts w:hint="eastAsia" w:ascii="宋体" w:hAnsi="宋体" w:eastAsia="宋体" w:cs="宋体"/>
          <w:color w:val="auto"/>
          <w:kern w:val="0"/>
          <w:sz w:val="21"/>
          <w:szCs w:val="21"/>
          <w:highlight w:val="none"/>
        </w:rPr>
        <w:t>项目名称：</w:t>
      </w:r>
      <w:r>
        <w:rPr>
          <w:rFonts w:hint="eastAsia" w:ascii="宋体" w:hAnsi="宋体" w:eastAsia="宋体" w:cs="宋体"/>
          <w:color w:val="auto"/>
          <w:sz w:val="21"/>
          <w:szCs w:val="21"/>
          <w:highlight w:val="none"/>
          <w:lang w:eastAsia="zh-CN"/>
        </w:rPr>
        <w:t>大新县全茗镇政教村政屯优质稻特色产业基地配套农田水利</w:t>
      </w:r>
    </w:p>
    <w:p w14:paraId="5F6C0468">
      <w:pPr>
        <w:spacing w:line="312" w:lineRule="auto"/>
        <w:ind w:firstLine="420" w:firstLineChars="200"/>
        <w:jc w:val="left"/>
        <w:rPr>
          <w:rFonts w:hint="eastAsia" w:ascii="宋体" w:hAnsi="宋体" w:eastAsia="宋体" w:cs="宋体"/>
          <w:color w:val="auto"/>
          <w:kern w:val="0"/>
          <w:sz w:val="21"/>
          <w:szCs w:val="21"/>
          <w:highlight w:val="none"/>
        </w:rPr>
      </w:pPr>
      <w:bookmarkStart w:id="5" w:name="_Hlk77608065"/>
      <w:r>
        <w:rPr>
          <w:rFonts w:hint="eastAsia" w:ascii="宋体" w:hAnsi="宋体" w:eastAsia="宋体" w:cs="宋体"/>
          <w:color w:val="auto"/>
          <w:kern w:val="0"/>
          <w:sz w:val="21"/>
          <w:szCs w:val="21"/>
          <w:highlight w:val="none"/>
        </w:rPr>
        <w:t>采购方式：竞争性磋商</w:t>
      </w:r>
    </w:p>
    <w:p w14:paraId="69B4B409">
      <w:pPr>
        <w:spacing w:line="312" w:lineRule="auto"/>
        <w:ind w:firstLine="420" w:firstLineChars="200"/>
        <w:jc w:val="lef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rPr>
        <w:t>预算总金额（元）：</w:t>
      </w:r>
      <w:r>
        <w:rPr>
          <w:rFonts w:hint="eastAsia" w:ascii="宋体" w:hAnsi="宋体" w:eastAsia="宋体" w:cs="宋体"/>
          <w:color w:val="auto"/>
          <w:kern w:val="0"/>
          <w:sz w:val="21"/>
          <w:szCs w:val="21"/>
          <w:highlight w:val="none"/>
          <w:lang w:eastAsia="zh-CN"/>
        </w:rPr>
        <w:t xml:space="preserve"> 2538466.47</w:t>
      </w:r>
    </w:p>
    <w:p w14:paraId="44BB81A6">
      <w:pPr>
        <w:spacing w:line="312" w:lineRule="auto"/>
        <w:ind w:firstLine="420" w:firstLineChars="20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采购需求：</w:t>
      </w:r>
    </w:p>
    <w:p w14:paraId="0D47B081">
      <w:pPr>
        <w:spacing w:line="312" w:lineRule="auto"/>
        <w:ind w:firstLine="420" w:firstLineChars="200"/>
        <w:jc w:val="left"/>
        <w:rPr>
          <w:rFonts w:hint="eastAsia" w:ascii="宋体" w:hAnsi="宋体" w:eastAsia="宋体" w:cs="宋体"/>
          <w:color w:val="auto"/>
          <w:kern w:val="0"/>
          <w:sz w:val="21"/>
          <w:szCs w:val="21"/>
          <w:highlight w:val="none"/>
          <w:lang w:eastAsia="zh-CN"/>
        </w:rPr>
      </w:pPr>
      <w:r>
        <w:rPr>
          <w:rFonts w:hint="eastAsia" w:ascii="宋体" w:hAnsi="宋体" w:eastAsia="宋体" w:cs="宋体"/>
          <w:color w:val="auto"/>
          <w:kern w:val="0"/>
          <w:sz w:val="21"/>
          <w:szCs w:val="21"/>
          <w:highlight w:val="none"/>
        </w:rPr>
        <w:t>标项名称：</w:t>
      </w:r>
      <w:r>
        <w:rPr>
          <w:rFonts w:hint="eastAsia" w:ascii="宋体" w:hAnsi="宋体" w:eastAsia="宋体" w:cs="宋体"/>
          <w:color w:val="auto"/>
          <w:sz w:val="21"/>
          <w:szCs w:val="21"/>
          <w:highlight w:val="none"/>
          <w:lang w:eastAsia="zh-CN"/>
        </w:rPr>
        <w:t>大新县全茗镇政教村政屯优质稻特色产业基地配套农田水利</w:t>
      </w:r>
    </w:p>
    <w:p w14:paraId="2DB426E3">
      <w:pPr>
        <w:spacing w:line="312" w:lineRule="auto"/>
        <w:ind w:firstLine="735" w:firstLineChars="35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数量：1</w:t>
      </w:r>
    </w:p>
    <w:p w14:paraId="20488771">
      <w:pPr>
        <w:spacing w:line="312" w:lineRule="auto"/>
        <w:ind w:firstLine="735" w:firstLineChars="350"/>
        <w:jc w:val="left"/>
        <w:rPr>
          <w:rFonts w:hint="eastAsia" w:ascii="宋体" w:hAnsi="宋体" w:eastAsia="宋体" w:cs="宋体"/>
          <w:color w:val="auto"/>
          <w:kern w:val="0"/>
          <w:sz w:val="21"/>
          <w:szCs w:val="21"/>
          <w:highlight w:val="none"/>
          <w:lang w:eastAsia="zh-CN"/>
        </w:rPr>
      </w:pPr>
      <w:r>
        <w:rPr>
          <w:rFonts w:hint="eastAsia" w:ascii="宋体" w:hAnsi="宋体" w:eastAsia="宋体" w:cs="宋体"/>
          <w:color w:val="auto"/>
          <w:kern w:val="0"/>
          <w:sz w:val="21"/>
          <w:szCs w:val="21"/>
          <w:highlight w:val="none"/>
        </w:rPr>
        <w:t>预算金额（元）：</w:t>
      </w:r>
      <w:r>
        <w:rPr>
          <w:rFonts w:hint="eastAsia" w:ascii="宋体" w:hAnsi="宋体" w:eastAsia="宋体" w:cs="宋体"/>
          <w:color w:val="auto"/>
          <w:kern w:val="0"/>
          <w:sz w:val="21"/>
          <w:szCs w:val="21"/>
          <w:highlight w:val="none"/>
          <w:lang w:eastAsia="zh-CN"/>
        </w:rPr>
        <w:t xml:space="preserve"> 2538466.47</w:t>
      </w:r>
    </w:p>
    <w:p w14:paraId="3DEBB322">
      <w:pPr>
        <w:spacing w:line="312" w:lineRule="auto"/>
        <w:ind w:firstLine="420" w:firstLineChars="20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简要规格描述或项目基本概况介绍、用途：</w:t>
      </w:r>
      <w:r>
        <w:rPr>
          <w:rFonts w:hint="eastAsia" w:ascii="宋体" w:hAnsi="宋体" w:eastAsia="宋体" w:cs="宋体"/>
          <w:color w:val="auto"/>
          <w:kern w:val="0"/>
          <w:sz w:val="21"/>
          <w:szCs w:val="21"/>
          <w:highlight w:val="none"/>
          <w:lang w:eastAsia="zh-CN"/>
        </w:rPr>
        <w:t>本工程为大新县全茗镇政教村政屯优质稻特色产业基地配套农田水利，主要施工内容：</w:t>
      </w:r>
      <w:r>
        <w:rPr>
          <w:rFonts w:hint="eastAsia" w:ascii="宋体" w:hAnsi="宋体" w:cs="宋体"/>
          <w:color w:val="auto"/>
          <w:kern w:val="0"/>
          <w:sz w:val="21"/>
          <w:szCs w:val="21"/>
          <w:highlight w:val="none"/>
          <w:lang w:eastAsia="zh-CN"/>
        </w:rPr>
        <w:t>本工程主要建设内容为排水沟硬化4 条，全长2026m。</w:t>
      </w:r>
      <w:r>
        <w:rPr>
          <w:rFonts w:hint="eastAsia" w:ascii="宋体" w:hAnsi="宋体" w:eastAsia="宋体" w:cs="宋体"/>
          <w:color w:val="auto"/>
          <w:kern w:val="0"/>
          <w:sz w:val="21"/>
          <w:szCs w:val="21"/>
          <w:highlight w:val="none"/>
        </w:rPr>
        <w:t>（具体按施工图纸、工程量清单、采购文件及相关补充通知的全部内容）。</w:t>
      </w:r>
    </w:p>
    <w:p w14:paraId="1D1975FF">
      <w:pPr>
        <w:spacing w:line="312" w:lineRule="auto"/>
        <w:ind w:firstLine="735" w:firstLineChars="350"/>
        <w:jc w:val="left"/>
        <w:rPr>
          <w:rFonts w:hint="eastAsia" w:ascii="宋体" w:hAnsi="宋体" w:eastAsia="宋体" w:cs="宋体"/>
          <w:color w:val="auto"/>
          <w:kern w:val="0"/>
          <w:sz w:val="21"/>
          <w:szCs w:val="21"/>
          <w:highlight w:val="none"/>
          <w:lang w:eastAsia="zh-CN"/>
        </w:rPr>
      </w:pPr>
      <w:r>
        <w:rPr>
          <w:rFonts w:hint="eastAsia" w:ascii="宋体" w:hAnsi="宋体" w:eastAsia="宋体" w:cs="宋体"/>
          <w:color w:val="auto"/>
          <w:kern w:val="0"/>
          <w:sz w:val="21"/>
          <w:szCs w:val="21"/>
          <w:highlight w:val="none"/>
        </w:rPr>
        <w:t>最高限价（如有）：</w:t>
      </w:r>
      <w:r>
        <w:rPr>
          <w:rFonts w:hint="eastAsia" w:ascii="宋体" w:hAnsi="宋体" w:eastAsia="宋体" w:cs="宋体"/>
          <w:color w:val="auto"/>
          <w:kern w:val="0"/>
          <w:sz w:val="21"/>
          <w:szCs w:val="21"/>
          <w:highlight w:val="none"/>
          <w:lang w:eastAsia="zh-CN"/>
        </w:rPr>
        <w:t>2538466.47</w:t>
      </w:r>
    </w:p>
    <w:p w14:paraId="27547B99">
      <w:pPr>
        <w:spacing w:line="312" w:lineRule="auto"/>
        <w:ind w:firstLine="735" w:firstLineChars="35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合同履约期限：</w:t>
      </w:r>
      <w:r>
        <w:rPr>
          <w:rFonts w:hint="eastAsia" w:ascii="宋体" w:hAnsi="宋体" w:eastAsia="宋体" w:cs="宋体"/>
          <w:color w:val="auto"/>
          <w:kern w:val="0"/>
          <w:sz w:val="21"/>
          <w:szCs w:val="21"/>
          <w:highlight w:val="none"/>
          <w:lang w:eastAsia="zh-CN"/>
        </w:rPr>
        <w:t>自合同签订之日起</w:t>
      </w:r>
      <w:r>
        <w:rPr>
          <w:rFonts w:hint="eastAsia" w:ascii="宋体" w:hAnsi="宋体" w:eastAsia="宋体" w:cs="宋体"/>
          <w:color w:val="auto"/>
          <w:kern w:val="0"/>
          <w:sz w:val="21"/>
          <w:szCs w:val="21"/>
          <w:highlight w:val="none"/>
          <w:lang w:val="en-US" w:eastAsia="zh-CN"/>
        </w:rPr>
        <w:t>180</w:t>
      </w:r>
      <w:r>
        <w:rPr>
          <w:rFonts w:hint="eastAsia" w:ascii="宋体" w:hAnsi="宋体" w:eastAsia="宋体" w:cs="宋体"/>
          <w:color w:val="auto"/>
          <w:kern w:val="0"/>
          <w:sz w:val="21"/>
          <w:szCs w:val="21"/>
          <w:highlight w:val="none"/>
          <w:lang w:eastAsia="zh-CN"/>
        </w:rPr>
        <w:t>日历天</w:t>
      </w:r>
      <w:r>
        <w:rPr>
          <w:rFonts w:hint="eastAsia" w:ascii="宋体" w:hAnsi="宋体" w:eastAsia="宋体" w:cs="宋体"/>
          <w:color w:val="auto"/>
          <w:kern w:val="0"/>
          <w:sz w:val="21"/>
          <w:szCs w:val="21"/>
          <w:highlight w:val="none"/>
        </w:rPr>
        <w:t>。</w:t>
      </w:r>
    </w:p>
    <w:p w14:paraId="2058612A">
      <w:pPr>
        <w:spacing w:line="312" w:lineRule="auto"/>
        <w:ind w:firstLine="735" w:firstLineChars="35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本项目（</w:t>
      </w:r>
      <w:r>
        <w:rPr>
          <w:rFonts w:hint="eastAsia" w:ascii="宋体" w:hAnsi="宋体" w:eastAsia="宋体" w:cs="宋体"/>
          <w:color w:val="auto"/>
          <w:sz w:val="21"/>
          <w:szCs w:val="21"/>
          <w:highlight w:val="none"/>
        </w:rPr>
        <w:t>否</w:t>
      </w:r>
      <w:r>
        <w:rPr>
          <w:rFonts w:hint="eastAsia" w:ascii="宋体" w:hAnsi="宋体" w:eastAsia="宋体" w:cs="宋体"/>
          <w:color w:val="auto"/>
          <w:kern w:val="0"/>
          <w:sz w:val="21"/>
          <w:szCs w:val="21"/>
          <w:highlight w:val="none"/>
        </w:rPr>
        <w:t>）接受联合体。</w:t>
      </w:r>
    </w:p>
    <w:p w14:paraId="101A1AED">
      <w:pPr>
        <w:spacing w:line="312" w:lineRule="auto"/>
        <w:ind w:firstLine="735" w:firstLineChars="35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备注：/</w:t>
      </w:r>
    </w:p>
    <w:bookmarkEnd w:id="5"/>
    <w:p w14:paraId="1FD4C581">
      <w:pPr>
        <w:spacing w:line="312" w:lineRule="auto"/>
        <w:ind w:firstLine="422" w:firstLineChars="200"/>
        <w:jc w:val="left"/>
        <w:rPr>
          <w:rFonts w:hint="eastAsia" w:ascii="宋体" w:hAnsi="宋体" w:eastAsia="宋体" w:cs="宋体"/>
          <w:b/>
          <w:bCs/>
          <w:color w:val="auto"/>
          <w:kern w:val="0"/>
          <w:sz w:val="21"/>
          <w:szCs w:val="21"/>
          <w:highlight w:val="none"/>
        </w:rPr>
      </w:pPr>
      <w:r>
        <w:rPr>
          <w:rFonts w:hint="eastAsia" w:ascii="宋体" w:hAnsi="宋体" w:eastAsia="宋体" w:cs="宋体"/>
          <w:b/>
          <w:bCs/>
          <w:color w:val="auto"/>
          <w:kern w:val="0"/>
          <w:sz w:val="21"/>
          <w:szCs w:val="21"/>
          <w:highlight w:val="none"/>
        </w:rPr>
        <w:t>二、申请人的资格要求</w:t>
      </w:r>
    </w:p>
    <w:p w14:paraId="4320A36C">
      <w:pPr>
        <w:spacing w:line="312" w:lineRule="auto"/>
        <w:ind w:firstLine="420" w:firstLineChars="20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1.满足《中华人民共和国政府采购法》第二十二条规定；</w:t>
      </w:r>
    </w:p>
    <w:p w14:paraId="3929F0A6">
      <w:pPr>
        <w:spacing w:line="312" w:lineRule="auto"/>
        <w:ind w:firstLine="420" w:firstLineChars="200"/>
        <w:jc w:val="left"/>
        <w:rPr>
          <w:rFonts w:hint="eastAsia" w:ascii="宋体" w:hAnsi="宋体" w:eastAsia="宋体" w:cs="宋体"/>
          <w:strike/>
          <w:color w:val="auto"/>
          <w:kern w:val="0"/>
          <w:sz w:val="21"/>
          <w:szCs w:val="21"/>
          <w:highlight w:val="none"/>
          <w:lang w:eastAsia="zh-CN"/>
        </w:rPr>
      </w:pPr>
      <w:r>
        <w:rPr>
          <w:rFonts w:hint="eastAsia" w:ascii="宋体" w:hAnsi="宋体" w:eastAsia="宋体" w:cs="宋体"/>
          <w:color w:val="auto"/>
          <w:sz w:val="21"/>
          <w:szCs w:val="21"/>
          <w:highlight w:val="none"/>
        </w:rPr>
        <w:t>2</w:t>
      </w:r>
      <w:r>
        <w:rPr>
          <w:rFonts w:hint="eastAsia" w:ascii="宋体" w:hAnsi="宋体" w:eastAsia="宋体" w:cs="宋体"/>
          <w:color w:val="auto"/>
          <w:kern w:val="0"/>
          <w:sz w:val="21"/>
          <w:szCs w:val="21"/>
          <w:highlight w:val="none"/>
        </w:rPr>
        <w:t>.</w:t>
      </w:r>
      <w:r>
        <w:rPr>
          <w:rFonts w:hint="eastAsia" w:ascii="宋体" w:hAnsi="宋体" w:eastAsia="宋体" w:cs="宋体"/>
          <w:color w:val="auto"/>
          <w:sz w:val="21"/>
          <w:szCs w:val="21"/>
          <w:highlight w:val="none"/>
        </w:rPr>
        <w:t>落实政府采购政策需满足的资格要求：</w:t>
      </w:r>
      <w:bookmarkStart w:id="6" w:name="_Hlk132732708"/>
      <w:r>
        <w:rPr>
          <w:rFonts w:hint="eastAsia" w:ascii="宋体" w:hAnsi="宋体" w:eastAsia="宋体" w:cs="宋体"/>
          <w:color w:val="auto"/>
          <w:sz w:val="21"/>
          <w:szCs w:val="21"/>
          <w:highlight w:val="none"/>
        </w:rPr>
        <w:t>供应商为中小微企业或残疾人福利企业或监狱企业</w:t>
      </w:r>
      <w:bookmarkEnd w:id="6"/>
      <w:r>
        <w:rPr>
          <w:rFonts w:hint="eastAsia" w:ascii="宋体" w:hAnsi="宋体" w:eastAsia="宋体" w:cs="宋体"/>
          <w:color w:val="auto"/>
          <w:sz w:val="21"/>
          <w:szCs w:val="21"/>
          <w:highlight w:val="none"/>
          <w:lang w:eastAsia="zh-CN"/>
        </w:rPr>
        <w:t>。</w:t>
      </w:r>
    </w:p>
    <w:p w14:paraId="6F6F5DBC">
      <w:pPr>
        <w:spacing w:line="312" w:lineRule="auto"/>
        <w:ind w:firstLine="420" w:firstLineChars="20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3.本项目的特定资格要求：</w:t>
      </w:r>
    </w:p>
    <w:p w14:paraId="3B830F61">
      <w:pPr>
        <w:spacing w:line="312" w:lineRule="auto"/>
        <w:ind w:firstLine="420" w:firstLineChars="20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（1）资质要求：具</w:t>
      </w:r>
      <w:r>
        <w:rPr>
          <w:rFonts w:hint="eastAsia" w:ascii="宋体" w:hAnsi="宋体" w:eastAsia="宋体" w:cs="宋体"/>
          <w:color w:val="auto"/>
          <w:sz w:val="21"/>
          <w:szCs w:val="21"/>
          <w:highlight w:val="none"/>
        </w:rPr>
        <w:t>备</w:t>
      </w:r>
      <w:r>
        <w:rPr>
          <w:rFonts w:hint="eastAsia" w:ascii="宋体" w:hAnsi="宋体" w:eastAsia="宋体" w:cs="宋体"/>
          <w:b/>
          <w:bCs/>
          <w:color w:val="auto"/>
          <w:sz w:val="21"/>
          <w:szCs w:val="21"/>
          <w:highlight w:val="none"/>
          <w:u w:val="single"/>
        </w:rPr>
        <w:t>水利水电工程施工总承包叁级(含)以上或市政公用工程施工总承包叁级(含)以上</w:t>
      </w:r>
      <w:r>
        <w:rPr>
          <w:rFonts w:hint="eastAsia" w:ascii="宋体" w:hAnsi="宋体" w:eastAsia="宋体" w:cs="宋体"/>
          <w:b/>
          <w:bCs/>
          <w:color w:val="auto"/>
          <w:sz w:val="21"/>
          <w:szCs w:val="21"/>
          <w:highlight w:val="none"/>
        </w:rPr>
        <w:t>资质</w:t>
      </w:r>
      <w:r>
        <w:rPr>
          <w:rFonts w:hint="eastAsia" w:ascii="宋体" w:hAnsi="宋体" w:eastAsia="宋体" w:cs="宋体"/>
          <w:color w:val="auto"/>
          <w:kern w:val="0"/>
          <w:sz w:val="21"/>
          <w:szCs w:val="21"/>
          <w:highlight w:val="none"/>
        </w:rPr>
        <w:t>，</w:t>
      </w:r>
      <w:r>
        <w:rPr>
          <w:rFonts w:hint="eastAsia" w:ascii="宋体" w:hAnsi="宋体" w:eastAsia="宋体" w:cs="宋体"/>
          <w:color w:val="auto"/>
          <w:sz w:val="21"/>
          <w:szCs w:val="21"/>
          <w:highlight w:val="none"/>
        </w:rPr>
        <w:t>具备有效的安全生产许可证</w:t>
      </w:r>
      <w:r>
        <w:rPr>
          <w:rFonts w:hint="eastAsia" w:ascii="宋体" w:hAnsi="宋体" w:eastAsia="宋体" w:cs="宋体"/>
          <w:color w:val="auto"/>
          <w:kern w:val="0"/>
          <w:sz w:val="21"/>
          <w:szCs w:val="21"/>
          <w:highlight w:val="none"/>
        </w:rPr>
        <w:t>。</w:t>
      </w:r>
    </w:p>
    <w:p w14:paraId="02A91A48">
      <w:pPr>
        <w:spacing w:line="312" w:lineRule="auto"/>
        <w:ind w:firstLine="420" w:firstLineChars="20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（2）人员要求</w:t>
      </w:r>
    </w:p>
    <w:p w14:paraId="1BACD7BF">
      <w:pPr>
        <w:spacing w:line="312" w:lineRule="auto"/>
        <w:ind w:firstLine="420" w:firstLineChars="20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项目经理要求：</w:t>
      </w:r>
      <w:r>
        <w:rPr>
          <w:rFonts w:hint="eastAsia" w:ascii="宋体" w:hAnsi="宋体" w:eastAsia="宋体" w:cs="宋体"/>
          <w:b/>
          <w:bCs/>
          <w:color w:val="auto"/>
          <w:kern w:val="0"/>
          <w:sz w:val="21"/>
          <w:szCs w:val="21"/>
          <w:highlight w:val="none"/>
          <w:u w:val="single"/>
        </w:rPr>
        <w:t>水利水电工程或市政公用工程专业</w:t>
      </w:r>
      <w:r>
        <w:rPr>
          <w:rFonts w:hint="eastAsia" w:ascii="宋体" w:hAnsi="宋体" w:eastAsia="宋体" w:cs="宋体"/>
          <w:b/>
          <w:bCs/>
          <w:color w:val="auto"/>
          <w:kern w:val="0"/>
          <w:sz w:val="21"/>
          <w:szCs w:val="21"/>
          <w:highlight w:val="none"/>
          <w:lang w:eastAsia="zh-CN"/>
        </w:rPr>
        <w:t>贰</w:t>
      </w:r>
      <w:r>
        <w:rPr>
          <w:rFonts w:hint="eastAsia" w:ascii="宋体" w:hAnsi="宋体" w:eastAsia="宋体" w:cs="宋体"/>
          <w:b/>
          <w:bCs/>
          <w:color w:val="auto"/>
          <w:kern w:val="0"/>
          <w:sz w:val="21"/>
          <w:szCs w:val="21"/>
          <w:highlight w:val="none"/>
        </w:rPr>
        <w:t>级</w:t>
      </w:r>
      <w:r>
        <w:rPr>
          <w:rFonts w:hint="eastAsia" w:ascii="宋体" w:hAnsi="宋体" w:eastAsia="宋体" w:cs="宋体"/>
          <w:b/>
          <w:bCs/>
          <w:color w:val="auto"/>
          <w:kern w:val="0"/>
          <w:sz w:val="21"/>
          <w:szCs w:val="21"/>
          <w:highlight w:val="none"/>
          <w:lang w:eastAsia="zh-CN"/>
        </w:rPr>
        <w:t>以上（含本级）</w:t>
      </w:r>
      <w:r>
        <w:rPr>
          <w:rFonts w:hint="eastAsia" w:ascii="宋体" w:hAnsi="宋体" w:eastAsia="宋体" w:cs="宋体"/>
          <w:b/>
          <w:bCs/>
          <w:color w:val="auto"/>
          <w:kern w:val="0"/>
          <w:sz w:val="21"/>
          <w:szCs w:val="21"/>
          <w:highlight w:val="none"/>
        </w:rPr>
        <w:t>注册建造师执业资格</w:t>
      </w:r>
      <w:r>
        <w:rPr>
          <w:rFonts w:hint="eastAsia" w:ascii="宋体" w:hAnsi="宋体" w:eastAsia="宋体" w:cs="宋体"/>
          <w:color w:val="auto"/>
          <w:kern w:val="0"/>
          <w:sz w:val="21"/>
          <w:szCs w:val="21"/>
          <w:highlight w:val="none"/>
        </w:rPr>
        <w:t>，具备有效的安全生产考核合格证书（B类）</w:t>
      </w:r>
      <w:r>
        <w:rPr>
          <w:rFonts w:hint="eastAsia" w:ascii="宋体" w:hAnsi="宋体" w:eastAsia="宋体" w:cs="宋体"/>
          <w:color w:val="auto"/>
          <w:kern w:val="0"/>
          <w:sz w:val="21"/>
          <w:szCs w:val="21"/>
          <w:highlight w:val="none"/>
          <w:lang w:eastAsia="zh-CN"/>
        </w:rPr>
        <w:t>，</w:t>
      </w:r>
      <w:r>
        <w:rPr>
          <w:rFonts w:hint="eastAsia" w:ascii="宋体" w:hAnsi="宋体" w:eastAsia="宋体" w:cs="宋体"/>
          <w:color w:val="auto"/>
          <w:sz w:val="21"/>
          <w:szCs w:val="21"/>
          <w:highlight w:val="none"/>
          <w:lang w:val="en-US" w:eastAsia="zh-CN"/>
        </w:rPr>
        <w:t>且未担任其他在建建设工程项目的项目经理</w:t>
      </w:r>
      <w:r>
        <w:rPr>
          <w:rFonts w:hint="eastAsia" w:ascii="宋体" w:hAnsi="宋体" w:eastAsia="宋体" w:cs="宋体"/>
          <w:color w:val="auto"/>
          <w:kern w:val="0"/>
          <w:sz w:val="21"/>
          <w:szCs w:val="21"/>
          <w:highlight w:val="none"/>
        </w:rPr>
        <w:t>。</w:t>
      </w:r>
    </w:p>
    <w:p w14:paraId="1F0895E1">
      <w:pPr>
        <w:spacing w:line="312" w:lineRule="auto"/>
        <w:ind w:firstLine="420" w:firstLineChars="200"/>
        <w:jc w:val="left"/>
        <w:rPr>
          <w:rFonts w:hint="eastAsia" w:ascii="宋体" w:hAnsi="宋体" w:eastAsia="宋体" w:cs="宋体"/>
          <w:color w:val="auto"/>
          <w:kern w:val="0"/>
          <w:sz w:val="21"/>
          <w:szCs w:val="21"/>
          <w:highlight w:val="none"/>
        </w:rPr>
      </w:pPr>
      <w:r>
        <w:rPr>
          <w:rFonts w:hint="eastAsia" w:ascii="宋体" w:hAnsi="宋体" w:eastAsia="宋体" w:cs="宋体"/>
          <w:color w:val="auto"/>
          <w:sz w:val="21"/>
          <w:szCs w:val="21"/>
          <w:highlight w:val="none"/>
        </w:rPr>
        <w:t>专职安全员</w:t>
      </w:r>
      <w:r>
        <w:rPr>
          <w:rFonts w:hint="eastAsia" w:ascii="宋体" w:hAnsi="宋体" w:eastAsia="宋体" w:cs="宋体"/>
          <w:color w:val="auto"/>
          <w:kern w:val="0"/>
          <w:sz w:val="21"/>
          <w:szCs w:val="21"/>
          <w:highlight w:val="none"/>
        </w:rPr>
        <w:t>要求：</w:t>
      </w:r>
      <w:r>
        <w:rPr>
          <w:rFonts w:hint="eastAsia" w:ascii="宋体" w:hAnsi="宋体" w:eastAsia="宋体" w:cs="宋体"/>
          <w:color w:val="auto"/>
          <w:sz w:val="21"/>
          <w:szCs w:val="21"/>
          <w:highlight w:val="none"/>
        </w:rPr>
        <w:t>须具备有效的安全生产考核合格证书（C类）。</w:t>
      </w:r>
    </w:p>
    <w:p w14:paraId="246CC099">
      <w:pPr>
        <w:spacing w:line="312" w:lineRule="auto"/>
        <w:ind w:firstLine="420" w:firstLineChars="20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（3）业绩要求：无。</w:t>
      </w:r>
    </w:p>
    <w:p w14:paraId="15843021">
      <w:pPr>
        <w:spacing w:line="312" w:lineRule="auto"/>
        <w:ind w:firstLine="420" w:firstLineChars="20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4）单位负责人为同一人或者存在直接控股、管理关系的不同供应商，不得参加本项目同一合同项下的政府采购活动。为本项目提供整体设计、规范编制或者项目管理、监理、检测等服务的供应商，不得再参加本项目的采购活动。</w:t>
      </w:r>
    </w:p>
    <w:p w14:paraId="021F0F8B">
      <w:pPr>
        <w:spacing w:line="312" w:lineRule="auto"/>
        <w:ind w:firstLine="420" w:firstLineChars="20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（5）未被列入失信被执行人、重大税收违法失信主体、政府采购严重违法失信行为记录名单。</w:t>
      </w:r>
    </w:p>
    <w:p w14:paraId="39B8431D">
      <w:pPr>
        <w:spacing w:line="312" w:lineRule="auto"/>
        <w:ind w:firstLine="420" w:firstLineChars="200"/>
        <w:jc w:val="left"/>
        <w:rPr>
          <w:rFonts w:hint="eastAsia" w:ascii="宋体" w:hAnsi="宋体" w:eastAsia="宋体" w:cs="宋体"/>
          <w:color w:val="auto"/>
          <w:kern w:val="0"/>
          <w:sz w:val="21"/>
          <w:szCs w:val="21"/>
          <w:highlight w:val="none"/>
        </w:rPr>
      </w:pPr>
      <w:bookmarkStart w:id="7" w:name="_Hlk132732817"/>
      <w:r>
        <w:rPr>
          <w:rFonts w:hint="eastAsia" w:ascii="宋体" w:hAnsi="宋体" w:eastAsia="宋体" w:cs="宋体"/>
          <w:color w:val="auto"/>
          <w:sz w:val="21"/>
          <w:szCs w:val="21"/>
          <w:highlight w:val="none"/>
        </w:rPr>
        <w:t>（6）</w:t>
      </w:r>
      <w:r>
        <w:rPr>
          <w:rFonts w:hint="eastAsia" w:ascii="宋体" w:hAnsi="宋体" w:eastAsia="宋体" w:cs="宋体"/>
          <w:color w:val="auto"/>
          <w:kern w:val="0"/>
          <w:sz w:val="21"/>
          <w:szCs w:val="21"/>
          <w:highlight w:val="none"/>
        </w:rPr>
        <w:t>本项目（不允许）分包。</w:t>
      </w:r>
    </w:p>
    <w:p w14:paraId="2EC7F1D9">
      <w:pPr>
        <w:spacing w:line="312"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rPr>
        <w:t>（7）本项目（不接受）联合体。</w:t>
      </w:r>
      <w:bookmarkEnd w:id="7"/>
    </w:p>
    <w:p w14:paraId="56B96082">
      <w:pPr>
        <w:spacing w:line="312" w:lineRule="auto"/>
        <w:ind w:firstLine="420" w:firstLineChars="20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（8）按照</w:t>
      </w:r>
      <w:r>
        <w:rPr>
          <w:rFonts w:hint="eastAsia" w:ascii="宋体" w:hAnsi="宋体" w:eastAsia="宋体" w:cs="宋体"/>
          <w:color w:val="auto"/>
          <w:sz w:val="21"/>
          <w:szCs w:val="21"/>
          <w:highlight w:val="none"/>
        </w:rPr>
        <w:t>磋商</w:t>
      </w:r>
      <w:r>
        <w:rPr>
          <w:rFonts w:hint="eastAsia" w:ascii="宋体" w:hAnsi="宋体" w:eastAsia="宋体" w:cs="宋体"/>
          <w:color w:val="auto"/>
          <w:kern w:val="0"/>
          <w:sz w:val="21"/>
          <w:szCs w:val="21"/>
          <w:highlight w:val="none"/>
        </w:rPr>
        <w:t>公告的规定获得</w:t>
      </w:r>
      <w:r>
        <w:rPr>
          <w:rFonts w:hint="eastAsia" w:ascii="宋体" w:hAnsi="宋体" w:eastAsia="宋体" w:cs="宋体"/>
          <w:color w:val="auto"/>
          <w:sz w:val="21"/>
          <w:szCs w:val="21"/>
          <w:highlight w:val="none"/>
        </w:rPr>
        <w:t>采购文件</w:t>
      </w:r>
      <w:r>
        <w:rPr>
          <w:rFonts w:hint="eastAsia" w:ascii="宋体" w:hAnsi="宋体" w:eastAsia="宋体" w:cs="宋体"/>
          <w:color w:val="auto"/>
          <w:kern w:val="0"/>
          <w:sz w:val="21"/>
          <w:szCs w:val="21"/>
          <w:highlight w:val="none"/>
        </w:rPr>
        <w:t>。采购文件有规定时按要求提交磋商保证金。</w:t>
      </w:r>
    </w:p>
    <w:p w14:paraId="0CA7FF4E">
      <w:pPr>
        <w:spacing w:line="312" w:lineRule="auto"/>
        <w:ind w:firstLine="422" w:firstLineChars="200"/>
        <w:jc w:val="left"/>
        <w:rPr>
          <w:rFonts w:hint="eastAsia" w:ascii="宋体" w:hAnsi="宋体" w:eastAsia="宋体" w:cs="宋体"/>
          <w:b/>
          <w:bCs/>
          <w:color w:val="auto"/>
          <w:kern w:val="0"/>
          <w:sz w:val="21"/>
          <w:szCs w:val="21"/>
          <w:highlight w:val="none"/>
        </w:rPr>
      </w:pPr>
      <w:r>
        <w:rPr>
          <w:rFonts w:hint="eastAsia" w:ascii="宋体" w:hAnsi="宋体" w:eastAsia="宋体" w:cs="宋体"/>
          <w:b/>
          <w:bCs/>
          <w:color w:val="auto"/>
          <w:kern w:val="0"/>
          <w:sz w:val="21"/>
          <w:szCs w:val="21"/>
          <w:highlight w:val="none"/>
        </w:rPr>
        <w:t>三、获取采购文件</w:t>
      </w:r>
    </w:p>
    <w:p w14:paraId="549B1BFE">
      <w:pPr>
        <w:spacing w:line="312"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时间：</w:t>
      </w:r>
      <w:r>
        <w:rPr>
          <w:rFonts w:hint="eastAsia" w:ascii="宋体" w:hAnsi="宋体" w:eastAsia="宋体" w:cs="宋体"/>
          <w:color w:val="auto"/>
          <w:sz w:val="21"/>
          <w:szCs w:val="21"/>
          <w:highlight w:val="none"/>
          <w:u w:val="single"/>
          <w:lang w:eastAsia="zh-CN"/>
        </w:rPr>
        <w:t>2026年</w:t>
      </w:r>
      <w:r>
        <w:rPr>
          <w:rFonts w:hint="eastAsia" w:ascii="宋体" w:hAnsi="宋体" w:eastAsia="宋体" w:cs="宋体"/>
          <w:color w:val="auto"/>
          <w:sz w:val="21"/>
          <w:szCs w:val="21"/>
          <w:highlight w:val="none"/>
          <w:u w:val="single"/>
          <w:lang w:val="en-US" w:eastAsia="zh-CN"/>
        </w:rPr>
        <w:t>10</w:t>
      </w:r>
      <w:r>
        <w:rPr>
          <w:rFonts w:hint="eastAsia" w:ascii="宋体" w:hAnsi="宋体" w:eastAsia="宋体" w:cs="宋体"/>
          <w:color w:val="auto"/>
          <w:sz w:val="21"/>
          <w:szCs w:val="21"/>
          <w:highlight w:val="none"/>
          <w:u w:val="single"/>
          <w:lang w:eastAsia="zh-CN"/>
        </w:rPr>
        <w:t>月</w:t>
      </w:r>
      <w:r>
        <w:rPr>
          <w:rFonts w:hint="eastAsia" w:ascii="宋体" w:hAnsi="宋体" w:eastAsia="宋体" w:cs="宋体"/>
          <w:color w:val="auto"/>
          <w:sz w:val="21"/>
          <w:szCs w:val="21"/>
          <w:highlight w:val="none"/>
          <w:u w:val="single"/>
          <w:lang w:val="en-US" w:eastAsia="zh-CN"/>
        </w:rPr>
        <w:t>8</w:t>
      </w:r>
      <w:r>
        <w:rPr>
          <w:rFonts w:hint="eastAsia" w:ascii="宋体" w:hAnsi="宋体" w:eastAsia="宋体" w:cs="宋体"/>
          <w:color w:val="auto"/>
          <w:sz w:val="21"/>
          <w:szCs w:val="21"/>
          <w:highlight w:val="none"/>
          <w:u w:val="single"/>
          <w:lang w:eastAsia="zh-CN"/>
        </w:rPr>
        <w:t>日</w:t>
      </w:r>
      <w:r>
        <w:rPr>
          <w:rFonts w:hint="eastAsia" w:ascii="宋体" w:hAnsi="宋体" w:eastAsia="宋体" w:cs="宋体"/>
          <w:color w:val="auto"/>
          <w:sz w:val="21"/>
          <w:szCs w:val="21"/>
          <w:highlight w:val="none"/>
          <w:u w:val="single"/>
        </w:rPr>
        <w:t>起至</w:t>
      </w:r>
      <w:r>
        <w:rPr>
          <w:rFonts w:hint="eastAsia" w:ascii="宋体" w:hAnsi="宋体" w:eastAsia="宋体" w:cs="宋体"/>
          <w:color w:val="auto"/>
          <w:sz w:val="21"/>
          <w:szCs w:val="21"/>
          <w:highlight w:val="none"/>
          <w:u w:val="single"/>
          <w:lang w:eastAsia="zh-CN"/>
        </w:rPr>
        <w:t>2026年</w:t>
      </w:r>
      <w:r>
        <w:rPr>
          <w:rFonts w:hint="eastAsia" w:ascii="宋体" w:hAnsi="宋体" w:eastAsia="宋体" w:cs="宋体"/>
          <w:color w:val="auto"/>
          <w:sz w:val="21"/>
          <w:szCs w:val="21"/>
          <w:highlight w:val="none"/>
          <w:u w:val="single"/>
          <w:lang w:val="en-US" w:eastAsia="zh-CN"/>
        </w:rPr>
        <w:t>10</w:t>
      </w:r>
      <w:r>
        <w:rPr>
          <w:rFonts w:hint="eastAsia" w:ascii="宋体" w:hAnsi="宋体" w:eastAsia="宋体" w:cs="宋体"/>
          <w:color w:val="auto"/>
          <w:sz w:val="21"/>
          <w:szCs w:val="21"/>
          <w:highlight w:val="none"/>
          <w:u w:val="single"/>
          <w:lang w:eastAsia="zh-CN"/>
        </w:rPr>
        <w:t>月</w:t>
      </w:r>
      <w:r>
        <w:rPr>
          <w:rFonts w:hint="eastAsia" w:ascii="宋体" w:hAnsi="宋体" w:eastAsia="宋体" w:cs="宋体"/>
          <w:color w:val="auto"/>
          <w:sz w:val="21"/>
          <w:szCs w:val="21"/>
          <w:highlight w:val="none"/>
          <w:u w:val="single"/>
          <w:lang w:val="en-US" w:eastAsia="zh-CN"/>
        </w:rPr>
        <w:t>14</w:t>
      </w:r>
      <w:r>
        <w:rPr>
          <w:rFonts w:hint="eastAsia" w:ascii="宋体" w:hAnsi="宋体" w:eastAsia="宋体" w:cs="宋体"/>
          <w:color w:val="auto"/>
          <w:sz w:val="21"/>
          <w:szCs w:val="21"/>
          <w:highlight w:val="none"/>
          <w:u w:val="single"/>
          <w:lang w:eastAsia="zh-CN"/>
        </w:rPr>
        <w:t>日</w:t>
      </w:r>
      <w:r>
        <w:rPr>
          <w:rFonts w:hint="eastAsia" w:ascii="宋体" w:hAnsi="宋体" w:eastAsia="宋体" w:cs="宋体"/>
          <w:color w:val="auto"/>
          <w:sz w:val="21"/>
          <w:szCs w:val="21"/>
          <w:highlight w:val="none"/>
        </w:rPr>
        <w:t>，每天上午</w:t>
      </w:r>
      <w:r>
        <w:rPr>
          <w:rFonts w:hint="eastAsia" w:ascii="宋体" w:hAnsi="宋体" w:eastAsia="宋体" w:cs="宋体"/>
          <w:color w:val="auto"/>
          <w:sz w:val="21"/>
          <w:szCs w:val="21"/>
          <w:highlight w:val="none"/>
          <w:u w:val="single"/>
        </w:rPr>
        <w:t>08时30分至12时00分，下午14时30分至1</w:t>
      </w:r>
      <w:r>
        <w:rPr>
          <w:rFonts w:hint="eastAsia" w:ascii="宋体" w:hAnsi="宋体" w:eastAsia="宋体" w:cs="宋体"/>
          <w:color w:val="auto"/>
          <w:sz w:val="21"/>
          <w:szCs w:val="21"/>
          <w:highlight w:val="none"/>
          <w:u w:val="single"/>
          <w:lang w:val="en-US" w:eastAsia="zh-CN"/>
        </w:rPr>
        <w:t>7</w:t>
      </w:r>
      <w:r>
        <w:rPr>
          <w:rFonts w:hint="eastAsia" w:ascii="宋体" w:hAnsi="宋体" w:eastAsia="宋体" w:cs="宋体"/>
          <w:color w:val="auto"/>
          <w:sz w:val="21"/>
          <w:szCs w:val="21"/>
          <w:highlight w:val="none"/>
          <w:u w:val="single"/>
        </w:rPr>
        <w:t>时</w:t>
      </w:r>
      <w:r>
        <w:rPr>
          <w:rFonts w:hint="eastAsia" w:ascii="宋体" w:hAnsi="宋体" w:eastAsia="宋体" w:cs="宋体"/>
          <w:color w:val="auto"/>
          <w:sz w:val="21"/>
          <w:szCs w:val="21"/>
          <w:highlight w:val="none"/>
          <w:u w:val="single"/>
          <w:lang w:val="en-US" w:eastAsia="zh-CN"/>
        </w:rPr>
        <w:t>3</w:t>
      </w:r>
      <w:r>
        <w:rPr>
          <w:rFonts w:hint="eastAsia" w:ascii="宋体" w:hAnsi="宋体" w:eastAsia="宋体" w:cs="宋体"/>
          <w:color w:val="auto"/>
          <w:sz w:val="21"/>
          <w:szCs w:val="21"/>
          <w:highlight w:val="none"/>
          <w:u w:val="single"/>
        </w:rPr>
        <w:t>0分</w:t>
      </w:r>
      <w:r>
        <w:rPr>
          <w:rFonts w:hint="eastAsia" w:ascii="宋体" w:hAnsi="宋体" w:eastAsia="宋体" w:cs="宋体"/>
          <w:color w:val="auto"/>
          <w:sz w:val="21"/>
          <w:szCs w:val="21"/>
          <w:highlight w:val="none"/>
        </w:rPr>
        <w:t>（北京时间，法定节假日除外）。</w:t>
      </w:r>
    </w:p>
    <w:p w14:paraId="185AC08A">
      <w:pPr>
        <w:spacing w:line="312" w:lineRule="auto"/>
        <w:ind w:firstLine="420" w:firstLineChars="200"/>
        <w:jc w:val="left"/>
        <w:rPr>
          <w:rFonts w:hint="eastAsia" w:ascii="宋体" w:hAnsi="宋体" w:eastAsia="宋体" w:cs="宋体"/>
          <w:color w:val="auto"/>
          <w:sz w:val="21"/>
          <w:szCs w:val="21"/>
          <w:highlight w:val="none"/>
        </w:rPr>
      </w:pPr>
      <w:bookmarkStart w:id="8" w:name="_Hlk46137393"/>
      <w:r>
        <w:rPr>
          <w:rFonts w:hint="eastAsia" w:ascii="宋体" w:hAnsi="宋体" w:eastAsia="宋体" w:cs="宋体"/>
          <w:color w:val="auto"/>
          <w:sz w:val="21"/>
          <w:szCs w:val="21"/>
          <w:highlight w:val="none"/>
        </w:rPr>
        <w:t>地点（网址）</w:t>
      </w:r>
      <w:bookmarkEnd w:id="8"/>
      <w:r>
        <w:rPr>
          <w:rFonts w:hint="eastAsia" w:ascii="宋体" w:hAnsi="宋体" w:eastAsia="宋体" w:cs="宋体"/>
          <w:color w:val="auto"/>
          <w:sz w:val="21"/>
          <w:szCs w:val="21"/>
          <w:highlight w:val="none"/>
          <w:lang w:eastAsia="zh-CN"/>
        </w:rPr>
        <w:t>：</w:t>
      </w:r>
      <w:r>
        <w:rPr>
          <w:rFonts w:hint="eastAsia" w:ascii="宋体" w:hAnsi="宋体" w:eastAsia="宋体" w:cs="宋体"/>
          <w:color w:val="auto"/>
          <w:kern w:val="0"/>
          <w:sz w:val="21"/>
          <w:szCs w:val="21"/>
          <w:highlight w:val="none"/>
        </w:rPr>
        <w:t>广西政府采购云平台（https://www.gcy.zfcg.gxzf.gov.cn/）</w:t>
      </w:r>
    </w:p>
    <w:p w14:paraId="18B7DB71">
      <w:pPr>
        <w:spacing w:line="312"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方式：供应商登录</w:t>
      </w:r>
      <w:r>
        <w:rPr>
          <w:rFonts w:hint="eastAsia" w:ascii="宋体" w:hAnsi="宋体" w:eastAsia="宋体" w:cs="宋体"/>
          <w:color w:val="auto"/>
          <w:kern w:val="0"/>
          <w:sz w:val="21"/>
          <w:szCs w:val="21"/>
          <w:highlight w:val="none"/>
        </w:rPr>
        <w:t>广西政府采购云平台</w:t>
      </w:r>
      <w:r>
        <w:rPr>
          <w:rFonts w:hint="eastAsia" w:ascii="宋体" w:hAnsi="宋体" w:eastAsia="宋体" w:cs="宋体"/>
          <w:color w:val="auto"/>
          <w:sz w:val="21"/>
          <w:szCs w:val="21"/>
          <w:highlight w:val="none"/>
        </w:rPr>
        <w:t>在线申请获取采购文件（进入“项目采购”应用，在获取采购文件菜单中选择项目，申请获取采购文件）</w:t>
      </w:r>
    </w:p>
    <w:p w14:paraId="65FA558F">
      <w:pPr>
        <w:spacing w:line="312"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售价（元）：0</w:t>
      </w:r>
    </w:p>
    <w:p w14:paraId="5597BBC2">
      <w:pPr>
        <w:spacing w:line="312" w:lineRule="auto"/>
        <w:ind w:firstLine="422" w:firstLineChars="200"/>
        <w:jc w:val="left"/>
        <w:rPr>
          <w:rFonts w:hint="eastAsia" w:ascii="宋体" w:hAnsi="宋体" w:eastAsia="宋体" w:cs="宋体"/>
          <w:b/>
          <w:bCs/>
          <w:color w:val="auto"/>
          <w:kern w:val="0"/>
          <w:sz w:val="21"/>
          <w:szCs w:val="21"/>
          <w:highlight w:val="none"/>
        </w:rPr>
      </w:pPr>
      <w:r>
        <w:rPr>
          <w:rFonts w:hint="eastAsia" w:ascii="宋体" w:hAnsi="宋体" w:eastAsia="宋体" w:cs="宋体"/>
          <w:b/>
          <w:bCs/>
          <w:color w:val="auto"/>
          <w:kern w:val="0"/>
          <w:sz w:val="21"/>
          <w:szCs w:val="21"/>
          <w:highlight w:val="none"/>
        </w:rPr>
        <w:t>四、响应文件提交</w:t>
      </w:r>
    </w:p>
    <w:p w14:paraId="06EABA56">
      <w:pPr>
        <w:spacing w:line="312" w:lineRule="auto"/>
        <w:ind w:firstLine="420" w:firstLineChars="20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截止时间：</w:t>
      </w:r>
      <w:r>
        <w:rPr>
          <w:rFonts w:hint="eastAsia" w:ascii="宋体" w:hAnsi="宋体" w:eastAsia="宋体" w:cs="宋体"/>
          <w:color w:val="auto"/>
          <w:sz w:val="21"/>
          <w:szCs w:val="21"/>
          <w:highlight w:val="none"/>
          <w:u w:val="none"/>
          <w:lang w:eastAsia="zh-CN"/>
        </w:rPr>
        <w:t>2026年</w:t>
      </w:r>
      <w:r>
        <w:rPr>
          <w:rFonts w:hint="eastAsia" w:ascii="宋体" w:hAnsi="宋体" w:eastAsia="宋体" w:cs="宋体"/>
          <w:color w:val="auto"/>
          <w:sz w:val="21"/>
          <w:szCs w:val="21"/>
          <w:highlight w:val="none"/>
          <w:u w:val="none"/>
          <w:lang w:val="en-US" w:eastAsia="zh-CN"/>
        </w:rPr>
        <w:t>10月19日</w:t>
      </w:r>
      <w:r>
        <w:rPr>
          <w:rFonts w:hint="eastAsia" w:ascii="宋体" w:hAnsi="宋体" w:eastAsia="宋体" w:cs="宋体"/>
          <w:color w:val="auto"/>
          <w:sz w:val="21"/>
          <w:szCs w:val="21"/>
          <w:highlight w:val="none"/>
          <w:u w:val="none"/>
          <w:lang w:eastAsia="zh-CN"/>
        </w:rPr>
        <w:t>16:00</w:t>
      </w:r>
      <w:r>
        <w:rPr>
          <w:rFonts w:hint="eastAsia" w:ascii="宋体" w:hAnsi="宋体" w:eastAsia="宋体" w:cs="宋体"/>
          <w:color w:val="auto"/>
          <w:kern w:val="0"/>
          <w:sz w:val="21"/>
          <w:szCs w:val="21"/>
          <w:highlight w:val="none"/>
        </w:rPr>
        <w:t>（北京时间）</w:t>
      </w:r>
    </w:p>
    <w:p w14:paraId="67BC3355">
      <w:pPr>
        <w:spacing w:line="312" w:lineRule="auto"/>
        <w:ind w:firstLine="420" w:firstLineChars="20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地点（网址）：</w:t>
      </w:r>
      <w:r>
        <w:rPr>
          <w:rFonts w:hint="eastAsia" w:ascii="宋体" w:hAnsi="宋体" w:eastAsia="宋体" w:cs="宋体"/>
          <w:color w:val="auto"/>
          <w:sz w:val="21"/>
          <w:szCs w:val="21"/>
          <w:highlight w:val="none"/>
        </w:rPr>
        <w:t>本项目为全流程电子化项目，没有现场递交响应文件及现场截标环节，通过广西政府采购云平台（https://www.gcy.zfcg.gxzf.gov.cn/）实行在线电子响应，供应商应先安装广西政府采购云平台新版客户端（请自行前往广西政府采购网-办事服务-下载专区进行下载），并按照本项目采购文件和广西政府采购云平台的要求使用CA认证编制、加密响应文件后在响应截止时间前上传至广西政府采购云平台，供应商在广西政府采购云平台提交电子版响应文件时，请填写参加远程截标活动经办人联系方式。</w:t>
      </w:r>
    </w:p>
    <w:p w14:paraId="7D632790">
      <w:pPr>
        <w:spacing w:line="312" w:lineRule="auto"/>
        <w:ind w:firstLine="422" w:firstLineChars="200"/>
        <w:jc w:val="left"/>
        <w:rPr>
          <w:rFonts w:hint="eastAsia" w:ascii="宋体" w:hAnsi="宋体" w:eastAsia="宋体" w:cs="宋体"/>
          <w:b/>
          <w:bCs/>
          <w:color w:val="auto"/>
          <w:kern w:val="0"/>
          <w:sz w:val="21"/>
          <w:szCs w:val="21"/>
          <w:highlight w:val="none"/>
        </w:rPr>
      </w:pPr>
      <w:r>
        <w:rPr>
          <w:rFonts w:hint="eastAsia" w:ascii="宋体" w:hAnsi="宋体" w:eastAsia="宋体" w:cs="宋体"/>
          <w:b/>
          <w:bCs/>
          <w:color w:val="auto"/>
          <w:kern w:val="0"/>
          <w:sz w:val="21"/>
          <w:szCs w:val="21"/>
          <w:highlight w:val="none"/>
        </w:rPr>
        <w:t>五、开启</w:t>
      </w:r>
    </w:p>
    <w:p w14:paraId="11AF3899">
      <w:pPr>
        <w:spacing w:line="312" w:lineRule="auto"/>
        <w:ind w:firstLine="422" w:firstLineChars="200"/>
        <w:jc w:val="left"/>
        <w:rPr>
          <w:rFonts w:hint="eastAsia" w:ascii="宋体" w:hAnsi="宋体" w:eastAsia="宋体" w:cs="宋体"/>
          <w:color w:val="auto"/>
          <w:kern w:val="0"/>
          <w:sz w:val="21"/>
          <w:szCs w:val="21"/>
          <w:highlight w:val="none"/>
        </w:rPr>
      </w:pPr>
      <w:r>
        <w:rPr>
          <w:rFonts w:hint="eastAsia" w:ascii="宋体" w:hAnsi="宋体" w:eastAsia="宋体" w:cs="宋体"/>
          <w:b/>
          <w:bCs/>
          <w:color w:val="auto"/>
          <w:kern w:val="0"/>
          <w:sz w:val="21"/>
          <w:szCs w:val="21"/>
          <w:highlight w:val="none"/>
        </w:rPr>
        <w:t>开启时间：</w:t>
      </w:r>
      <w:r>
        <w:rPr>
          <w:rFonts w:hint="eastAsia" w:ascii="宋体" w:hAnsi="宋体" w:eastAsia="宋体" w:cs="宋体"/>
          <w:color w:val="auto"/>
          <w:sz w:val="21"/>
          <w:szCs w:val="21"/>
          <w:highlight w:val="none"/>
          <w:u w:val="none"/>
          <w:lang w:eastAsia="zh-CN"/>
        </w:rPr>
        <w:t>2026年</w:t>
      </w:r>
      <w:r>
        <w:rPr>
          <w:rFonts w:hint="eastAsia" w:ascii="宋体" w:hAnsi="宋体" w:eastAsia="宋体" w:cs="宋体"/>
          <w:color w:val="auto"/>
          <w:sz w:val="21"/>
          <w:szCs w:val="21"/>
          <w:highlight w:val="none"/>
          <w:u w:val="none"/>
          <w:lang w:val="en-US" w:eastAsia="zh-CN"/>
        </w:rPr>
        <w:t>10月19日</w:t>
      </w:r>
      <w:r>
        <w:rPr>
          <w:rFonts w:hint="eastAsia" w:ascii="宋体" w:hAnsi="宋体" w:eastAsia="宋体" w:cs="宋体"/>
          <w:color w:val="auto"/>
          <w:sz w:val="21"/>
          <w:szCs w:val="21"/>
          <w:highlight w:val="none"/>
          <w:u w:val="none"/>
          <w:lang w:eastAsia="zh-CN"/>
        </w:rPr>
        <w:t>16:00</w:t>
      </w:r>
      <w:r>
        <w:rPr>
          <w:rFonts w:hint="eastAsia" w:ascii="宋体" w:hAnsi="宋体" w:eastAsia="宋体" w:cs="宋体"/>
          <w:color w:val="auto"/>
          <w:kern w:val="0"/>
          <w:sz w:val="21"/>
          <w:szCs w:val="21"/>
          <w:highlight w:val="none"/>
        </w:rPr>
        <w:t>（北京时间）</w:t>
      </w:r>
    </w:p>
    <w:p w14:paraId="52F817C5">
      <w:pPr>
        <w:spacing w:line="312" w:lineRule="auto"/>
        <w:ind w:firstLine="422" w:firstLineChars="200"/>
        <w:jc w:val="left"/>
        <w:rPr>
          <w:rFonts w:hint="eastAsia" w:ascii="宋体" w:hAnsi="宋体" w:eastAsia="宋体" w:cs="宋体"/>
          <w:b/>
          <w:bCs/>
          <w:color w:val="auto"/>
          <w:kern w:val="0"/>
          <w:sz w:val="21"/>
          <w:szCs w:val="21"/>
          <w:highlight w:val="none"/>
        </w:rPr>
      </w:pPr>
      <w:r>
        <w:rPr>
          <w:rFonts w:hint="eastAsia" w:ascii="宋体" w:hAnsi="宋体" w:eastAsia="宋体" w:cs="宋体"/>
          <w:b/>
          <w:bCs/>
          <w:color w:val="auto"/>
          <w:kern w:val="0"/>
          <w:sz w:val="21"/>
          <w:szCs w:val="21"/>
          <w:highlight w:val="none"/>
        </w:rPr>
        <w:t>地点：</w:t>
      </w:r>
      <w:r>
        <w:rPr>
          <w:rFonts w:hint="eastAsia" w:ascii="宋体" w:hAnsi="宋体" w:eastAsia="宋体" w:cs="宋体"/>
          <w:color w:val="auto"/>
          <w:sz w:val="21"/>
          <w:szCs w:val="21"/>
          <w:highlight w:val="none"/>
        </w:rPr>
        <w:t>供应商登录</w:t>
      </w:r>
      <w:r>
        <w:rPr>
          <w:rFonts w:hint="eastAsia" w:ascii="宋体" w:hAnsi="宋体" w:eastAsia="宋体" w:cs="宋体"/>
          <w:color w:val="auto"/>
          <w:kern w:val="0"/>
          <w:sz w:val="21"/>
          <w:szCs w:val="21"/>
          <w:highlight w:val="none"/>
        </w:rPr>
        <w:t>广西政府采购云平台</w:t>
      </w:r>
      <w:r>
        <w:rPr>
          <w:rFonts w:hint="eastAsia" w:ascii="宋体" w:hAnsi="宋体" w:eastAsia="宋体" w:cs="宋体"/>
          <w:color w:val="auto"/>
          <w:sz w:val="21"/>
          <w:szCs w:val="21"/>
          <w:highlight w:val="none"/>
        </w:rPr>
        <w:t>电子开标大厅截标。</w:t>
      </w:r>
    </w:p>
    <w:p w14:paraId="3512EBA1">
      <w:pPr>
        <w:spacing w:line="312" w:lineRule="auto"/>
        <w:ind w:firstLine="422" w:firstLineChars="200"/>
        <w:jc w:val="left"/>
        <w:rPr>
          <w:rFonts w:hint="eastAsia" w:ascii="宋体" w:hAnsi="宋体" w:eastAsia="宋体" w:cs="宋体"/>
          <w:b/>
          <w:bCs/>
          <w:color w:val="auto"/>
          <w:kern w:val="0"/>
          <w:sz w:val="21"/>
          <w:szCs w:val="21"/>
          <w:highlight w:val="none"/>
        </w:rPr>
      </w:pPr>
      <w:r>
        <w:rPr>
          <w:rFonts w:hint="eastAsia" w:ascii="宋体" w:hAnsi="宋体" w:eastAsia="宋体" w:cs="宋体"/>
          <w:b/>
          <w:bCs/>
          <w:color w:val="auto"/>
          <w:kern w:val="0"/>
          <w:sz w:val="21"/>
          <w:szCs w:val="21"/>
          <w:highlight w:val="none"/>
        </w:rPr>
        <w:t>六、公告期限</w:t>
      </w:r>
    </w:p>
    <w:p w14:paraId="24925B1E">
      <w:pPr>
        <w:spacing w:line="312" w:lineRule="auto"/>
        <w:ind w:firstLine="420" w:firstLineChars="20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自本公告发布之日起5个工作日。</w:t>
      </w:r>
    </w:p>
    <w:p w14:paraId="29B2BDEB">
      <w:pPr>
        <w:spacing w:line="312" w:lineRule="auto"/>
        <w:ind w:firstLine="422" w:firstLineChars="200"/>
        <w:jc w:val="left"/>
        <w:rPr>
          <w:rFonts w:hint="eastAsia" w:ascii="宋体" w:hAnsi="宋体" w:eastAsia="宋体" w:cs="宋体"/>
          <w:b/>
          <w:bCs/>
          <w:color w:val="auto"/>
          <w:kern w:val="0"/>
          <w:sz w:val="21"/>
          <w:szCs w:val="21"/>
          <w:highlight w:val="none"/>
        </w:rPr>
      </w:pPr>
      <w:r>
        <w:rPr>
          <w:rFonts w:hint="eastAsia" w:ascii="宋体" w:hAnsi="宋体" w:eastAsia="宋体" w:cs="宋体"/>
          <w:b/>
          <w:bCs/>
          <w:color w:val="auto"/>
          <w:kern w:val="0"/>
          <w:sz w:val="21"/>
          <w:szCs w:val="21"/>
          <w:highlight w:val="none"/>
        </w:rPr>
        <w:t>七、其他补充事宜</w:t>
      </w:r>
    </w:p>
    <w:p w14:paraId="3B9C1699">
      <w:pPr>
        <w:spacing w:line="312" w:lineRule="auto"/>
        <w:ind w:firstLine="420" w:firstLineChars="20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1.公告发布媒体：广西壮族自治区政府采购网、中国政府采购网</w:t>
      </w:r>
    </w:p>
    <w:p w14:paraId="5BFF9DAD">
      <w:pPr>
        <w:spacing w:line="312" w:lineRule="auto"/>
        <w:ind w:firstLine="420" w:firstLineChars="20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2.需落实的政府采购政策：本项目适用政府采购促进中小企业、监狱企业发展、促进残疾人就业、节能环保等有关政策，具体详见</w:t>
      </w:r>
      <w:r>
        <w:rPr>
          <w:rFonts w:hint="eastAsia" w:ascii="宋体" w:hAnsi="宋体" w:eastAsia="宋体" w:cs="宋体"/>
          <w:color w:val="auto"/>
          <w:sz w:val="21"/>
          <w:szCs w:val="21"/>
          <w:highlight w:val="none"/>
        </w:rPr>
        <w:t>采购</w:t>
      </w:r>
      <w:r>
        <w:rPr>
          <w:rFonts w:hint="eastAsia" w:ascii="宋体" w:hAnsi="宋体" w:eastAsia="宋体" w:cs="宋体"/>
          <w:color w:val="auto"/>
          <w:kern w:val="0"/>
          <w:sz w:val="21"/>
          <w:szCs w:val="21"/>
          <w:highlight w:val="none"/>
        </w:rPr>
        <w:t>文件。</w:t>
      </w:r>
    </w:p>
    <w:p w14:paraId="64B1C697">
      <w:pPr>
        <w:spacing w:line="312" w:lineRule="auto"/>
        <w:ind w:firstLine="420" w:firstLineChars="20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3.本项目供应商的产生方式：</w:t>
      </w:r>
      <w:r>
        <w:rPr>
          <w:rFonts w:hint="eastAsia" w:ascii="宋体" w:hAnsi="宋体" w:eastAsia="宋体" w:cs="宋体"/>
          <w:color w:val="auto"/>
          <w:sz w:val="21"/>
          <w:szCs w:val="21"/>
          <w:highlight w:val="none"/>
        </w:rPr>
        <w:t>发布公告征集；</w:t>
      </w:r>
    </w:p>
    <w:p w14:paraId="79CB7758">
      <w:pPr>
        <w:spacing w:line="312" w:lineRule="auto"/>
        <w:ind w:firstLine="420" w:firstLineChars="20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4.注意事项：</w:t>
      </w:r>
    </w:p>
    <w:p w14:paraId="14E966A9">
      <w:pPr>
        <w:spacing w:line="276" w:lineRule="auto"/>
        <w:ind w:firstLine="420" w:firstLineChars="200"/>
        <w:jc w:val="left"/>
        <w:rPr>
          <w:rFonts w:hint="eastAsia" w:ascii="宋体" w:hAnsi="宋体" w:eastAsia="宋体" w:cs="宋体"/>
          <w:color w:val="auto"/>
          <w:sz w:val="21"/>
          <w:szCs w:val="21"/>
          <w:highlight w:val="none"/>
        </w:rPr>
      </w:pPr>
      <w:bookmarkStart w:id="9" w:name="_Hlk49778118"/>
      <w:r>
        <w:rPr>
          <w:rFonts w:hint="eastAsia" w:ascii="宋体" w:hAnsi="宋体" w:eastAsia="宋体" w:cs="宋体"/>
          <w:color w:val="auto"/>
          <w:kern w:val="0"/>
          <w:sz w:val="21"/>
          <w:szCs w:val="21"/>
          <w:highlight w:val="none"/>
        </w:rPr>
        <w:t>（1）</w:t>
      </w:r>
      <w:r>
        <w:rPr>
          <w:rFonts w:hint="eastAsia" w:ascii="宋体" w:hAnsi="宋体" w:eastAsia="宋体" w:cs="宋体"/>
          <w:color w:val="auto"/>
          <w:sz w:val="21"/>
          <w:szCs w:val="21"/>
          <w:highlight w:val="none"/>
        </w:rPr>
        <w:t>未进行网上注册并办理数字证书（CA认证）的供应商将无法参与本项目政府采购活动，潜在供应商应当在响应截止时间前，完成广西政府采购云平台上的CA数字证书办理及响应文件的提交。完成CA数字证书办理预计7日左右，建议各供应商抓紧时间办理。</w:t>
      </w:r>
    </w:p>
    <w:p w14:paraId="7937C09E">
      <w:pPr>
        <w:spacing w:line="276" w:lineRule="auto"/>
        <w:ind w:firstLine="420" w:firstLineChars="200"/>
        <w:jc w:val="left"/>
        <w:rPr>
          <w:rFonts w:hint="eastAsia" w:ascii="宋体" w:hAnsi="宋体" w:eastAsia="宋体" w:cs="宋体"/>
          <w:color w:val="auto"/>
          <w:kern w:val="0"/>
          <w:sz w:val="21"/>
          <w:szCs w:val="21"/>
          <w:highlight w:val="none"/>
        </w:rPr>
      </w:pPr>
      <w:r>
        <w:rPr>
          <w:rFonts w:hint="eastAsia" w:ascii="宋体" w:hAnsi="宋体" w:eastAsia="宋体" w:cs="宋体"/>
          <w:color w:val="auto"/>
          <w:sz w:val="21"/>
          <w:szCs w:val="21"/>
          <w:highlight w:val="none"/>
        </w:rPr>
        <w:t>（2）为确保网上操作合法、有效和安全，请供应商确保在电子投标过程中能够对相关数据电文进行加密和使用电子签章，妥善保管CA数字证书并使用有效的CA数字证书参与整个招标活动。</w:t>
      </w:r>
    </w:p>
    <w:p w14:paraId="7D88143B">
      <w:pPr>
        <w:spacing w:line="276" w:lineRule="auto"/>
        <w:ind w:firstLine="420" w:firstLineChars="20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（3）若对项目采购电子交易系统操作有疑问，可登录广西政府采购云平台（https://www.gcy.zfcg.gxzf.gov.cn/），点击右侧咨询小采或帮助文档或拨打客服热线95763。</w:t>
      </w:r>
    </w:p>
    <w:p w14:paraId="30EC0282">
      <w:pPr>
        <w:widowControl/>
        <w:spacing w:line="380" w:lineRule="exact"/>
        <w:ind w:firstLine="420" w:firstLineChars="20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（4）本项目采用远程异地评审，主会场在广西机电设备招标有限公司崇左分公司评标室（广西崇左市德天路28号），副会场在广西机电设备招标有限公司（广西南宁市金湖路63号金源CBD现代城B座7层）。</w:t>
      </w:r>
    </w:p>
    <w:p w14:paraId="492E100A">
      <w:pPr>
        <w:widowControl/>
        <w:spacing w:line="38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根据《崇左市财政局关于进一步做好线上“政采贷”融资业务工作的通知》（崇财采〔2023〕10号），供应商如有需要可凭成交通知书、政府采购合同，通过中征应收账款融资服务平台向银行在线申请“政采贷”融资。（具体详见采购文件中关于“政采贷”相关信息）</w:t>
      </w:r>
    </w:p>
    <w:p w14:paraId="76DFDA1D">
      <w:pPr>
        <w:widowControl/>
        <w:spacing w:line="380" w:lineRule="exact"/>
        <w:ind w:firstLine="420" w:firstLineChars="20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6</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kern w:val="0"/>
          <w:sz w:val="21"/>
          <w:szCs w:val="21"/>
          <w:highlight w:val="none"/>
        </w:rPr>
        <w:t>本项目按照崇左市财政局关于推行政府采购领域信用承诺制度的通知的要求，供应商在参与崇左市政府采购活动时，供应商只需以书面形式提供《崇左市政府采购供应商信用承诺函》，即可替代《中华人民共和国政府采购法实施条例》第十七条第一款第（一）项至第（四）项所规定的基本资格条件相关材料，具体不再提供的资质材料有：法人或者</w:t>
      </w:r>
      <w:r>
        <w:rPr>
          <w:rFonts w:hint="eastAsia" w:ascii="宋体" w:hAnsi="宋体" w:eastAsia="宋体" w:cs="宋体"/>
          <w:color w:val="auto"/>
          <w:kern w:val="0"/>
          <w:sz w:val="21"/>
          <w:szCs w:val="21"/>
          <w:highlight w:val="none"/>
          <w:lang w:eastAsia="zh-CN"/>
        </w:rPr>
        <w:t>其</w:t>
      </w:r>
      <w:r>
        <w:rPr>
          <w:rFonts w:hint="eastAsia" w:ascii="宋体" w:hAnsi="宋体" w:eastAsia="宋体" w:cs="宋体"/>
          <w:color w:val="auto"/>
          <w:kern w:val="0"/>
          <w:sz w:val="21"/>
          <w:szCs w:val="21"/>
          <w:highlight w:val="none"/>
        </w:rPr>
        <w:t>他组织的营业执照等证明文件，自然人的身份证明、财务状况报告、依法缴纳税收和社会保障资金相关证明材料、有履行合同所必需的设备和专业技术能力相关证明材料、参加政府采购活动前3年内在经营活动中没有重大违法记录相关证明材料。</w:t>
      </w:r>
    </w:p>
    <w:bookmarkEnd w:id="9"/>
    <w:p w14:paraId="214ECE2B">
      <w:pPr>
        <w:spacing w:line="276" w:lineRule="auto"/>
        <w:ind w:firstLine="422" w:firstLineChars="200"/>
        <w:rPr>
          <w:rFonts w:hint="eastAsia" w:ascii="宋体" w:hAnsi="宋体" w:eastAsia="宋体" w:cs="宋体"/>
          <w:b/>
          <w:bCs/>
          <w:color w:val="auto"/>
          <w:kern w:val="0"/>
          <w:sz w:val="21"/>
          <w:szCs w:val="21"/>
          <w:highlight w:val="none"/>
        </w:rPr>
      </w:pPr>
      <w:r>
        <w:rPr>
          <w:rFonts w:hint="eastAsia" w:ascii="宋体" w:hAnsi="宋体" w:eastAsia="宋体" w:cs="宋体"/>
          <w:b/>
          <w:bCs/>
          <w:color w:val="auto"/>
          <w:kern w:val="0"/>
          <w:sz w:val="21"/>
          <w:szCs w:val="21"/>
          <w:highlight w:val="none"/>
        </w:rPr>
        <w:t>八、对本次采购提出询问，请按以下方式联系</w:t>
      </w:r>
    </w:p>
    <w:p w14:paraId="5948F2D9">
      <w:pPr>
        <w:spacing w:line="312" w:lineRule="auto"/>
        <w:ind w:firstLine="420" w:firstLineChars="200"/>
        <w:jc w:val="left"/>
        <w:rPr>
          <w:rFonts w:hint="eastAsia" w:ascii="宋体" w:hAnsi="宋体" w:eastAsia="宋体" w:cs="宋体"/>
          <w:color w:val="auto"/>
          <w:kern w:val="0"/>
          <w:sz w:val="21"/>
          <w:szCs w:val="21"/>
          <w:highlight w:val="none"/>
        </w:rPr>
      </w:pPr>
      <w:bookmarkStart w:id="10" w:name="_Toc254970490"/>
      <w:bookmarkStart w:id="11" w:name="_Toc254970631"/>
      <w:r>
        <w:rPr>
          <w:rFonts w:hint="eastAsia" w:ascii="宋体" w:hAnsi="宋体" w:eastAsia="宋体" w:cs="宋体"/>
          <w:color w:val="auto"/>
          <w:kern w:val="0"/>
          <w:sz w:val="21"/>
          <w:szCs w:val="21"/>
          <w:highlight w:val="none"/>
        </w:rPr>
        <w:t>1.采购人信息</w:t>
      </w:r>
    </w:p>
    <w:p w14:paraId="54BB7167">
      <w:pPr>
        <w:spacing w:line="312" w:lineRule="auto"/>
        <w:ind w:firstLine="420" w:firstLineChars="200"/>
        <w:jc w:val="left"/>
        <w:rPr>
          <w:rFonts w:hint="eastAsia" w:ascii="宋体" w:hAnsi="宋体" w:eastAsia="宋体" w:cs="宋体"/>
          <w:color w:val="auto"/>
          <w:kern w:val="0"/>
          <w:sz w:val="21"/>
          <w:szCs w:val="21"/>
          <w:highlight w:val="none"/>
        </w:rPr>
      </w:pPr>
      <w:bookmarkStart w:id="12" w:name="_Hlk19048373"/>
      <w:r>
        <w:rPr>
          <w:rFonts w:hint="eastAsia" w:ascii="宋体" w:hAnsi="宋体" w:eastAsia="宋体" w:cs="宋体"/>
          <w:color w:val="auto"/>
          <w:kern w:val="0"/>
          <w:sz w:val="21"/>
          <w:szCs w:val="21"/>
          <w:highlight w:val="none"/>
        </w:rPr>
        <w:t>名称：大新县农业农村局</w:t>
      </w:r>
    </w:p>
    <w:p w14:paraId="2B4E1C07">
      <w:pPr>
        <w:spacing w:line="312" w:lineRule="auto"/>
        <w:ind w:firstLine="420" w:firstLineChars="20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地址：广西崇左市大新县桃城镇养利中路450号</w:t>
      </w:r>
    </w:p>
    <w:p w14:paraId="2CAF46BF">
      <w:pPr>
        <w:spacing w:line="312" w:lineRule="auto"/>
        <w:ind w:firstLine="420" w:firstLineChars="20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项目联系人：蓝志伟</w:t>
      </w:r>
    </w:p>
    <w:p w14:paraId="21E8A59C">
      <w:pPr>
        <w:spacing w:line="312" w:lineRule="auto"/>
        <w:ind w:firstLine="420" w:firstLineChars="20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项目联系方式：0771-3628908</w:t>
      </w:r>
    </w:p>
    <w:bookmarkEnd w:id="12"/>
    <w:p w14:paraId="04142074">
      <w:pPr>
        <w:spacing w:line="312" w:lineRule="auto"/>
        <w:ind w:firstLine="420" w:firstLineChars="20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2.采购代理机构信息</w:t>
      </w:r>
    </w:p>
    <w:p w14:paraId="163B812D">
      <w:pPr>
        <w:spacing w:line="312" w:lineRule="auto"/>
        <w:ind w:firstLine="420" w:firstLineChars="20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名称：广西机电设备招标有限公司</w:t>
      </w:r>
    </w:p>
    <w:p w14:paraId="2FFBE28F">
      <w:pPr>
        <w:spacing w:line="312" w:lineRule="auto"/>
        <w:ind w:firstLine="420" w:firstLineChars="200"/>
        <w:jc w:val="lef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rPr>
        <w:t>地址：</w:t>
      </w:r>
      <w:r>
        <w:rPr>
          <w:rFonts w:hint="eastAsia" w:ascii="宋体" w:hAnsi="宋体" w:eastAsia="宋体" w:cs="宋体"/>
          <w:color w:val="auto"/>
          <w:kern w:val="0"/>
          <w:sz w:val="21"/>
          <w:szCs w:val="21"/>
          <w:highlight w:val="none"/>
          <w:lang w:eastAsia="zh-CN"/>
        </w:rPr>
        <w:t>崇左市德天路</w:t>
      </w:r>
      <w:r>
        <w:rPr>
          <w:rFonts w:hint="eastAsia" w:ascii="宋体" w:hAnsi="宋体" w:eastAsia="宋体" w:cs="宋体"/>
          <w:color w:val="auto"/>
          <w:kern w:val="0"/>
          <w:sz w:val="21"/>
          <w:szCs w:val="21"/>
          <w:highlight w:val="none"/>
          <w:lang w:val="en-US" w:eastAsia="zh-CN"/>
        </w:rPr>
        <w:t>28号</w:t>
      </w:r>
    </w:p>
    <w:p w14:paraId="0D1ED69F">
      <w:pPr>
        <w:spacing w:line="312" w:lineRule="auto"/>
        <w:ind w:firstLine="420" w:firstLineChars="200"/>
        <w:jc w:val="left"/>
        <w:rPr>
          <w:rFonts w:hint="eastAsia" w:ascii="宋体" w:hAnsi="宋体" w:eastAsia="宋体" w:cs="宋体"/>
          <w:color w:val="auto"/>
          <w:kern w:val="0"/>
          <w:sz w:val="21"/>
          <w:szCs w:val="21"/>
          <w:highlight w:val="none"/>
          <w:lang w:eastAsia="zh-CN"/>
        </w:rPr>
      </w:pPr>
      <w:r>
        <w:rPr>
          <w:rFonts w:hint="eastAsia" w:ascii="宋体" w:hAnsi="宋体" w:eastAsia="宋体" w:cs="宋体"/>
          <w:color w:val="auto"/>
          <w:kern w:val="0"/>
          <w:sz w:val="21"/>
          <w:szCs w:val="21"/>
          <w:highlight w:val="none"/>
        </w:rPr>
        <w:t>联系方式：</w:t>
      </w:r>
      <w:r>
        <w:rPr>
          <w:rFonts w:hint="eastAsia" w:ascii="宋体" w:hAnsi="宋体" w:eastAsia="宋体" w:cs="宋体"/>
          <w:color w:val="auto"/>
          <w:kern w:val="0"/>
          <w:sz w:val="21"/>
          <w:szCs w:val="21"/>
          <w:highlight w:val="none"/>
          <w:lang w:eastAsia="zh-CN"/>
        </w:rPr>
        <w:t>0771-7911517</w:t>
      </w:r>
    </w:p>
    <w:p w14:paraId="793FF916">
      <w:pPr>
        <w:spacing w:line="312" w:lineRule="auto"/>
        <w:ind w:firstLine="420" w:firstLineChars="200"/>
        <w:jc w:val="lef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rPr>
        <w:t>项目联系人：梅莹、梁耿高、</w:t>
      </w:r>
      <w:r>
        <w:rPr>
          <w:rFonts w:hint="eastAsia" w:ascii="宋体" w:hAnsi="宋体" w:eastAsia="宋体" w:cs="宋体"/>
          <w:color w:val="auto"/>
          <w:kern w:val="0"/>
          <w:sz w:val="21"/>
          <w:szCs w:val="21"/>
          <w:highlight w:val="none"/>
          <w:lang w:val="en-US" w:eastAsia="zh-CN"/>
        </w:rPr>
        <w:t>陆丽春、旷若兰</w:t>
      </w:r>
    </w:p>
    <w:p w14:paraId="71CB9037">
      <w:pPr>
        <w:spacing w:line="312" w:lineRule="auto"/>
        <w:ind w:firstLine="420" w:firstLineChars="20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项目联系方式：</w:t>
      </w:r>
      <w:r>
        <w:rPr>
          <w:rFonts w:hint="eastAsia" w:ascii="宋体" w:hAnsi="宋体" w:eastAsia="宋体" w:cs="宋体"/>
          <w:color w:val="auto"/>
          <w:kern w:val="0"/>
          <w:sz w:val="21"/>
          <w:szCs w:val="21"/>
          <w:highlight w:val="none"/>
          <w:lang w:eastAsia="zh-CN"/>
        </w:rPr>
        <w:t>0771-7911517</w:t>
      </w:r>
      <w:r>
        <w:rPr>
          <w:rFonts w:hint="eastAsia" w:ascii="宋体" w:hAnsi="宋体" w:eastAsia="宋体" w:cs="宋体"/>
          <w:color w:val="auto"/>
          <w:kern w:val="0"/>
          <w:sz w:val="21"/>
          <w:szCs w:val="21"/>
          <w:highlight w:val="none"/>
          <w:lang w:val="en-US" w:eastAsia="zh-CN"/>
        </w:rPr>
        <w:t>，</w:t>
      </w:r>
      <w:r>
        <w:rPr>
          <w:rFonts w:hint="eastAsia" w:ascii="宋体" w:hAnsi="宋体" w:eastAsia="宋体" w:cs="宋体"/>
          <w:color w:val="auto"/>
          <w:kern w:val="0"/>
          <w:sz w:val="21"/>
          <w:szCs w:val="21"/>
          <w:highlight w:val="none"/>
        </w:rPr>
        <w:t>dept_qzzb@gxbidding.cn</w:t>
      </w:r>
    </w:p>
    <w:p w14:paraId="7C91563A">
      <w:pPr>
        <w:spacing w:line="312" w:lineRule="auto"/>
        <w:ind w:firstLine="422" w:firstLineChars="200"/>
        <w:jc w:val="right"/>
        <w:rPr>
          <w:rFonts w:hint="eastAsia" w:ascii="宋体" w:hAnsi="宋体" w:eastAsia="宋体" w:cs="宋体"/>
          <w:b/>
          <w:bCs/>
          <w:color w:val="auto"/>
          <w:kern w:val="0"/>
          <w:sz w:val="21"/>
          <w:szCs w:val="21"/>
          <w:highlight w:val="none"/>
        </w:rPr>
      </w:pPr>
    </w:p>
    <w:p w14:paraId="69D143A0">
      <w:pPr>
        <w:spacing w:line="312" w:lineRule="auto"/>
        <w:ind w:firstLine="420" w:firstLineChars="200"/>
        <w:jc w:val="right"/>
        <w:rPr>
          <w:rFonts w:hint="eastAsia" w:ascii="宋体" w:hAnsi="宋体" w:eastAsia="宋体" w:cs="宋体"/>
          <w:color w:val="auto"/>
          <w:kern w:val="0"/>
          <w:sz w:val="21"/>
          <w:szCs w:val="21"/>
          <w:highlight w:val="none"/>
        </w:rPr>
      </w:pPr>
    </w:p>
    <w:p w14:paraId="336B4B92">
      <w:pPr>
        <w:spacing w:line="312" w:lineRule="auto"/>
        <w:ind w:firstLine="420" w:firstLineChars="200"/>
        <w:jc w:val="righ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广西机电设备招标有限公司</w:t>
      </w:r>
    </w:p>
    <w:bookmarkEnd w:id="10"/>
    <w:bookmarkEnd w:id="11"/>
    <w:p w14:paraId="3937DBC1">
      <w:pPr>
        <w:jc w:val="right"/>
        <w:rPr>
          <w:rFonts w:hint="eastAsia" w:ascii="宋体" w:hAnsi="宋体" w:eastAsia="宋体" w:cs="宋体"/>
          <w:color w:val="auto"/>
          <w:sz w:val="21"/>
          <w:szCs w:val="21"/>
          <w:highlight w:val="none"/>
        </w:rPr>
        <w:sectPr>
          <w:footerReference r:id="rId9" w:type="first"/>
          <w:headerReference r:id="rId8" w:type="default"/>
          <w:pgSz w:w="11906" w:h="16838"/>
          <w:pgMar w:top="851" w:right="1133" w:bottom="1246" w:left="1418" w:header="851" w:footer="797" w:gutter="0"/>
          <w:cols w:space="720" w:num="1"/>
          <w:docGrid w:linePitch="312" w:charSpace="0"/>
        </w:sectPr>
      </w:pPr>
      <w:bookmarkStart w:id="13" w:name="_Toc14732"/>
      <w:bookmarkStart w:id="14" w:name="_Hlk89187818"/>
      <w:r>
        <w:rPr>
          <w:rFonts w:hint="eastAsia" w:ascii="宋体" w:hAnsi="宋体" w:eastAsia="宋体" w:cs="宋体"/>
          <w:color w:val="auto"/>
          <w:sz w:val="21"/>
          <w:szCs w:val="21"/>
          <w:highlight w:val="none"/>
          <w:u w:val="none"/>
          <w:lang w:eastAsia="zh-CN"/>
        </w:rPr>
        <w:t>2026年</w:t>
      </w:r>
      <w:r>
        <w:rPr>
          <w:rFonts w:hint="eastAsia" w:ascii="宋体" w:hAnsi="宋体" w:eastAsia="宋体" w:cs="宋体"/>
          <w:color w:val="auto"/>
          <w:sz w:val="21"/>
          <w:szCs w:val="21"/>
          <w:highlight w:val="none"/>
          <w:u w:val="none"/>
          <w:lang w:val="en-US" w:eastAsia="zh-CN"/>
        </w:rPr>
        <w:t>10</w:t>
      </w:r>
      <w:r>
        <w:rPr>
          <w:rFonts w:hint="eastAsia" w:ascii="宋体" w:hAnsi="宋体" w:eastAsia="宋体" w:cs="宋体"/>
          <w:color w:val="auto"/>
          <w:sz w:val="21"/>
          <w:szCs w:val="21"/>
          <w:highlight w:val="none"/>
          <w:u w:val="none"/>
          <w:lang w:eastAsia="zh-CN"/>
        </w:rPr>
        <w:t>月</w:t>
      </w:r>
      <w:r>
        <w:rPr>
          <w:rFonts w:hint="eastAsia" w:ascii="宋体" w:hAnsi="宋体" w:eastAsia="宋体" w:cs="宋体"/>
          <w:color w:val="auto"/>
          <w:sz w:val="21"/>
          <w:szCs w:val="21"/>
          <w:highlight w:val="none"/>
          <w:u w:val="none"/>
          <w:lang w:val="en-US" w:eastAsia="zh-CN"/>
        </w:rPr>
        <w:t>8</w:t>
      </w:r>
      <w:r>
        <w:rPr>
          <w:rFonts w:hint="eastAsia" w:ascii="宋体" w:hAnsi="宋体" w:eastAsia="宋体" w:cs="宋体"/>
          <w:color w:val="auto"/>
          <w:sz w:val="21"/>
          <w:szCs w:val="21"/>
          <w:highlight w:val="none"/>
          <w:u w:val="none"/>
          <w:lang w:eastAsia="zh-CN"/>
        </w:rPr>
        <w:t>日</w:t>
      </w:r>
    </w:p>
    <w:p w14:paraId="2C766666">
      <w:pPr>
        <w:pStyle w:val="28"/>
        <w:snapToGrid w:val="0"/>
        <w:spacing w:before="120" w:after="120" w:line="320" w:lineRule="exact"/>
        <w:jc w:val="center"/>
        <w:outlineLvl w:val="0"/>
        <w:rPr>
          <w:rFonts w:hint="eastAsia" w:hAnsi="宋体" w:cs="宋体"/>
          <w:color w:val="auto"/>
          <w:sz w:val="32"/>
          <w:szCs w:val="32"/>
          <w:highlight w:val="none"/>
        </w:rPr>
      </w:pPr>
      <w:r>
        <w:rPr>
          <w:rFonts w:hint="eastAsia" w:hAnsi="宋体" w:cs="宋体"/>
          <w:color w:val="auto"/>
          <w:sz w:val="32"/>
          <w:szCs w:val="32"/>
          <w:highlight w:val="none"/>
        </w:rPr>
        <w:t>第二章  采购需求</w:t>
      </w:r>
      <w:bookmarkEnd w:id="13"/>
    </w:p>
    <w:p w14:paraId="25EF9386">
      <w:pPr>
        <w:jc w:val="center"/>
        <w:rPr>
          <w:rFonts w:hint="eastAsia" w:ascii="宋体" w:hAnsi="宋体" w:cs="宋体"/>
          <w:color w:val="auto"/>
          <w:sz w:val="28"/>
          <w:szCs w:val="28"/>
          <w:highlight w:val="none"/>
        </w:rPr>
      </w:pPr>
    </w:p>
    <w:p w14:paraId="04024382">
      <w:pPr>
        <w:spacing w:line="312" w:lineRule="auto"/>
        <w:ind w:firstLine="562" w:firstLineChars="200"/>
        <w:jc w:val="left"/>
        <w:outlineLvl w:val="1"/>
        <w:rPr>
          <w:rFonts w:hint="eastAsia" w:ascii="宋体" w:hAnsi="宋体" w:cs="宋体"/>
          <w:b/>
          <w:color w:val="auto"/>
          <w:kern w:val="0"/>
          <w:sz w:val="28"/>
          <w:szCs w:val="28"/>
          <w:highlight w:val="none"/>
        </w:rPr>
      </w:pPr>
      <w:r>
        <w:rPr>
          <w:rFonts w:hint="eastAsia" w:ascii="宋体" w:hAnsi="宋体" w:cs="宋体"/>
          <w:b/>
          <w:color w:val="auto"/>
          <w:kern w:val="0"/>
          <w:sz w:val="28"/>
          <w:szCs w:val="28"/>
          <w:highlight w:val="none"/>
        </w:rPr>
        <w:t>一、工程量清单</w:t>
      </w:r>
    </w:p>
    <w:p w14:paraId="62A85064">
      <w:pPr>
        <w:spacing w:line="312" w:lineRule="auto"/>
        <w:ind w:firstLine="420" w:firstLineChars="200"/>
        <w:jc w:val="left"/>
        <w:rPr>
          <w:rFonts w:hint="eastAsia" w:ascii="宋体" w:hAnsi="宋体" w:cs="宋体"/>
          <w:color w:val="auto"/>
          <w:highlight w:val="none"/>
        </w:rPr>
      </w:pPr>
      <w:r>
        <w:rPr>
          <w:rFonts w:hint="eastAsia" w:ascii="宋体" w:hAnsi="宋体" w:cs="宋体"/>
          <w:bCs/>
          <w:color w:val="auto"/>
          <w:kern w:val="0"/>
          <w:szCs w:val="21"/>
          <w:highlight w:val="none"/>
        </w:rPr>
        <w:t>工程量清单详见本采购文件附件。</w:t>
      </w:r>
    </w:p>
    <w:p w14:paraId="3A2E8C28">
      <w:pPr>
        <w:spacing w:line="312" w:lineRule="auto"/>
        <w:ind w:firstLine="562" w:firstLineChars="200"/>
        <w:jc w:val="left"/>
        <w:outlineLvl w:val="1"/>
        <w:rPr>
          <w:rFonts w:hint="eastAsia" w:ascii="宋体" w:hAnsi="宋体" w:cs="宋体"/>
          <w:b/>
          <w:color w:val="auto"/>
          <w:kern w:val="0"/>
          <w:sz w:val="28"/>
          <w:szCs w:val="28"/>
          <w:highlight w:val="none"/>
        </w:rPr>
      </w:pPr>
      <w:r>
        <w:rPr>
          <w:rFonts w:hint="eastAsia" w:ascii="宋体" w:hAnsi="宋体" w:cs="宋体"/>
          <w:b/>
          <w:color w:val="auto"/>
          <w:kern w:val="0"/>
          <w:sz w:val="28"/>
          <w:szCs w:val="28"/>
          <w:highlight w:val="none"/>
        </w:rPr>
        <w:t>二、图纸</w:t>
      </w:r>
    </w:p>
    <w:p w14:paraId="31CBFBD4">
      <w:pPr>
        <w:spacing w:line="312" w:lineRule="auto"/>
        <w:ind w:firstLine="420" w:firstLineChars="200"/>
        <w:jc w:val="left"/>
        <w:rPr>
          <w:rFonts w:hint="eastAsia" w:ascii="宋体" w:hAnsi="宋体" w:cs="宋体"/>
          <w:bCs/>
          <w:color w:val="auto"/>
          <w:kern w:val="0"/>
          <w:szCs w:val="21"/>
          <w:highlight w:val="none"/>
        </w:rPr>
      </w:pPr>
      <w:r>
        <w:rPr>
          <w:rFonts w:hint="eastAsia" w:ascii="宋体" w:hAnsi="宋体" w:cs="宋体"/>
          <w:bCs/>
          <w:color w:val="auto"/>
          <w:kern w:val="0"/>
          <w:szCs w:val="21"/>
          <w:highlight w:val="none"/>
        </w:rPr>
        <w:t>图纸详见本采购文件附件。</w:t>
      </w:r>
    </w:p>
    <w:p w14:paraId="6C9AF722">
      <w:pPr>
        <w:spacing w:line="312" w:lineRule="auto"/>
        <w:ind w:firstLine="562" w:firstLineChars="200"/>
        <w:jc w:val="left"/>
        <w:outlineLvl w:val="1"/>
        <w:rPr>
          <w:rFonts w:hint="eastAsia" w:ascii="宋体" w:hAnsi="宋体" w:cs="宋体"/>
          <w:b/>
          <w:color w:val="auto"/>
          <w:kern w:val="0"/>
          <w:sz w:val="28"/>
          <w:szCs w:val="28"/>
          <w:highlight w:val="none"/>
        </w:rPr>
      </w:pPr>
      <w:r>
        <w:rPr>
          <w:rFonts w:hint="eastAsia" w:ascii="宋体" w:hAnsi="宋体" w:cs="宋体"/>
          <w:b/>
          <w:color w:val="auto"/>
          <w:kern w:val="0"/>
          <w:sz w:val="28"/>
          <w:szCs w:val="28"/>
          <w:highlight w:val="none"/>
        </w:rPr>
        <w:t>三、技术要求</w:t>
      </w:r>
    </w:p>
    <w:p w14:paraId="4DC1635B">
      <w:pPr>
        <w:spacing w:line="312" w:lineRule="auto"/>
        <w:ind w:firstLine="420" w:firstLineChars="200"/>
        <w:jc w:val="left"/>
        <w:rPr>
          <w:rFonts w:hint="eastAsia" w:ascii="宋体" w:hAnsi="宋体" w:cs="宋体"/>
          <w:bCs/>
          <w:color w:val="auto"/>
          <w:kern w:val="0"/>
          <w:szCs w:val="21"/>
          <w:highlight w:val="none"/>
        </w:rPr>
      </w:pPr>
      <w:r>
        <w:rPr>
          <w:rFonts w:hint="eastAsia" w:ascii="宋体" w:hAnsi="宋体" w:cs="宋体"/>
          <w:bCs/>
          <w:color w:val="auto"/>
          <w:kern w:val="0"/>
          <w:szCs w:val="21"/>
          <w:highlight w:val="none"/>
        </w:rPr>
        <w:t>1、项目概况：</w:t>
      </w:r>
      <w:r>
        <w:rPr>
          <w:rFonts w:hint="eastAsia" w:ascii="宋体" w:hAnsi="宋体" w:cs="宋体"/>
          <w:color w:val="auto"/>
          <w:kern w:val="0"/>
          <w:szCs w:val="21"/>
          <w:highlight w:val="none"/>
          <w:lang w:eastAsia="zh-CN"/>
        </w:rPr>
        <w:t>本工程为大新县全茗镇政教村政屯优质稻特色产业基地配套农田水利，主要施工内容：本工程主要建设内容为排水沟硬化4 条，全长2026m</w:t>
      </w:r>
      <w:bookmarkStart w:id="142" w:name="_GoBack"/>
      <w:bookmarkEnd w:id="142"/>
      <w:r>
        <w:rPr>
          <w:rFonts w:hint="eastAsia" w:ascii="宋体" w:hAnsi="宋体" w:cs="宋体"/>
          <w:color w:val="auto"/>
          <w:kern w:val="0"/>
          <w:szCs w:val="21"/>
          <w:highlight w:val="none"/>
          <w:lang w:eastAsia="zh-CN"/>
        </w:rPr>
        <w:t>。</w:t>
      </w:r>
      <w:r>
        <w:rPr>
          <w:rFonts w:hint="eastAsia" w:ascii="宋体" w:hAnsi="宋体" w:cs="宋体"/>
          <w:color w:val="auto"/>
          <w:kern w:val="0"/>
          <w:szCs w:val="21"/>
          <w:highlight w:val="none"/>
        </w:rPr>
        <w:t>（具体按施工图纸、工程量清单、采购文件及相关补充通知的全部内容）。</w:t>
      </w:r>
    </w:p>
    <w:p w14:paraId="2DE967F5">
      <w:pPr>
        <w:spacing w:line="312" w:lineRule="auto"/>
        <w:ind w:firstLine="420" w:firstLineChars="200"/>
        <w:jc w:val="left"/>
        <w:rPr>
          <w:rFonts w:hint="eastAsia" w:ascii="宋体" w:hAnsi="宋体" w:eastAsia="宋体" w:cs="宋体"/>
          <w:bCs/>
          <w:color w:val="auto"/>
          <w:kern w:val="0"/>
          <w:szCs w:val="21"/>
          <w:highlight w:val="none"/>
          <w:lang w:eastAsia="zh-CN"/>
        </w:rPr>
      </w:pPr>
      <w:r>
        <w:rPr>
          <w:rFonts w:hint="eastAsia" w:ascii="宋体" w:hAnsi="宋体" w:cs="宋体"/>
          <w:bCs/>
          <w:color w:val="auto"/>
          <w:kern w:val="0"/>
          <w:szCs w:val="21"/>
          <w:highlight w:val="none"/>
        </w:rPr>
        <w:t>2、建设地点：</w:t>
      </w:r>
      <w:r>
        <w:rPr>
          <w:rFonts w:hint="eastAsia" w:ascii="宋体" w:hAnsi="宋体" w:cs="宋体"/>
          <w:bCs/>
          <w:color w:val="auto"/>
          <w:kern w:val="0"/>
          <w:szCs w:val="21"/>
          <w:highlight w:val="none"/>
          <w:lang w:eastAsia="zh-CN"/>
        </w:rPr>
        <w:t>大新县全茗镇政教村政屯</w:t>
      </w:r>
      <w:r>
        <w:rPr>
          <w:rFonts w:hint="eastAsia" w:ascii="宋体" w:hAnsi="宋体" w:cs="宋体"/>
          <w:bCs/>
          <w:color w:val="auto"/>
          <w:kern w:val="0"/>
          <w:szCs w:val="21"/>
          <w:highlight w:val="none"/>
        </w:rPr>
        <w:t>。</w:t>
      </w:r>
    </w:p>
    <w:p w14:paraId="7709FC6A">
      <w:pPr>
        <w:spacing w:line="312" w:lineRule="auto"/>
        <w:ind w:firstLine="420" w:firstLineChars="200"/>
        <w:jc w:val="left"/>
        <w:rPr>
          <w:rFonts w:hint="eastAsia" w:ascii="宋体" w:hAnsi="宋体" w:eastAsia="宋体" w:cs="宋体"/>
          <w:bCs/>
          <w:color w:val="auto"/>
          <w:kern w:val="0"/>
          <w:szCs w:val="21"/>
          <w:highlight w:val="none"/>
          <w:lang w:eastAsia="zh-CN"/>
        </w:rPr>
      </w:pPr>
      <w:r>
        <w:rPr>
          <w:rFonts w:hint="eastAsia" w:ascii="宋体" w:hAnsi="宋体" w:cs="宋体"/>
          <w:bCs/>
          <w:color w:val="auto"/>
          <w:kern w:val="0"/>
          <w:szCs w:val="21"/>
          <w:highlight w:val="none"/>
        </w:rPr>
        <w:t>3、建设范围：</w:t>
      </w:r>
      <w:r>
        <w:rPr>
          <w:rFonts w:hint="eastAsia" w:ascii="宋体" w:hAnsi="宋体" w:cs="宋体"/>
          <w:color w:val="auto"/>
          <w:kern w:val="0"/>
          <w:szCs w:val="21"/>
          <w:highlight w:val="none"/>
          <w:lang w:eastAsia="zh-CN"/>
        </w:rPr>
        <w:t>本工程主要建设内容为排水沟硬化4 条，全长2026m。</w:t>
      </w:r>
    </w:p>
    <w:p w14:paraId="68DF27C6">
      <w:pPr>
        <w:spacing w:line="312" w:lineRule="auto"/>
        <w:ind w:firstLine="420" w:firstLineChars="200"/>
        <w:jc w:val="left"/>
        <w:rPr>
          <w:rFonts w:hint="eastAsia" w:ascii="宋体" w:hAnsi="宋体" w:eastAsia="宋体" w:cs="宋体"/>
          <w:bCs/>
          <w:color w:val="auto"/>
          <w:kern w:val="0"/>
          <w:szCs w:val="21"/>
          <w:highlight w:val="none"/>
          <w:lang w:val="en-US" w:eastAsia="zh-CN"/>
        </w:rPr>
      </w:pPr>
      <w:r>
        <w:rPr>
          <w:rFonts w:hint="eastAsia" w:ascii="宋体" w:hAnsi="宋体" w:cs="宋体"/>
          <w:bCs/>
          <w:color w:val="auto"/>
          <w:kern w:val="0"/>
          <w:szCs w:val="21"/>
          <w:highlight w:val="none"/>
        </w:rPr>
        <w:t>4、最高限价：</w:t>
      </w:r>
      <w:r>
        <w:rPr>
          <w:rFonts w:hint="eastAsia" w:ascii="宋体" w:hAnsi="宋体" w:cs="宋体"/>
          <w:color w:val="auto"/>
          <w:kern w:val="0"/>
          <w:szCs w:val="21"/>
          <w:highlight w:val="none"/>
          <w:lang w:eastAsia="zh-CN"/>
        </w:rPr>
        <w:t>2538466.47</w:t>
      </w:r>
      <w:r>
        <w:rPr>
          <w:rFonts w:hint="eastAsia" w:ascii="宋体" w:hAnsi="宋体" w:cs="宋体"/>
          <w:bCs/>
          <w:color w:val="auto"/>
          <w:kern w:val="0"/>
          <w:szCs w:val="21"/>
          <w:highlight w:val="none"/>
          <w:lang w:val="en-US" w:eastAsia="zh-CN"/>
        </w:rPr>
        <w:t>元（安全生产责任保险费应按招标工程量清单中给出的安责险暂估价的具体金额填写，不得调整。）</w:t>
      </w:r>
    </w:p>
    <w:p w14:paraId="059EFCFB">
      <w:pPr>
        <w:spacing w:line="312" w:lineRule="auto"/>
        <w:ind w:firstLine="420" w:firstLineChars="200"/>
        <w:jc w:val="left"/>
        <w:rPr>
          <w:rFonts w:hint="eastAsia" w:ascii="宋体" w:hAnsi="宋体" w:cs="宋体"/>
          <w:bCs/>
          <w:color w:val="auto"/>
          <w:kern w:val="0"/>
          <w:szCs w:val="21"/>
          <w:highlight w:val="none"/>
        </w:rPr>
      </w:pPr>
      <w:r>
        <w:rPr>
          <w:rFonts w:hint="eastAsia" w:ascii="宋体" w:hAnsi="宋体" w:cs="宋体"/>
          <w:bCs/>
          <w:color w:val="auto"/>
          <w:kern w:val="0"/>
          <w:szCs w:val="21"/>
          <w:highlight w:val="none"/>
        </w:rPr>
        <w:t>5、工期要求：</w:t>
      </w:r>
      <w:r>
        <w:rPr>
          <w:rFonts w:hint="eastAsia" w:ascii="宋体" w:hAnsi="宋体" w:cs="宋体"/>
          <w:bCs/>
          <w:color w:val="auto"/>
          <w:kern w:val="0"/>
          <w:szCs w:val="21"/>
          <w:highlight w:val="none"/>
          <w:lang w:val="en-US" w:eastAsia="zh-CN"/>
        </w:rPr>
        <w:t>180</w:t>
      </w:r>
      <w:r>
        <w:rPr>
          <w:rFonts w:hint="eastAsia" w:ascii="宋体" w:hAnsi="宋体" w:cs="宋体"/>
          <w:color w:val="auto"/>
          <w:szCs w:val="21"/>
          <w:highlight w:val="none"/>
        </w:rPr>
        <w:t>日历天</w:t>
      </w:r>
    </w:p>
    <w:p w14:paraId="7ED137D2">
      <w:pPr>
        <w:spacing w:line="312" w:lineRule="auto"/>
        <w:ind w:firstLine="420" w:firstLineChars="200"/>
        <w:jc w:val="left"/>
        <w:rPr>
          <w:rFonts w:hint="eastAsia" w:ascii="宋体" w:hAnsi="宋体" w:cs="宋体"/>
          <w:bCs/>
          <w:color w:val="auto"/>
          <w:kern w:val="0"/>
          <w:szCs w:val="21"/>
          <w:highlight w:val="none"/>
        </w:rPr>
      </w:pPr>
      <w:r>
        <w:rPr>
          <w:rFonts w:hint="eastAsia" w:ascii="宋体" w:hAnsi="宋体" w:cs="宋体"/>
          <w:bCs/>
          <w:color w:val="auto"/>
          <w:kern w:val="0"/>
          <w:szCs w:val="21"/>
          <w:highlight w:val="none"/>
        </w:rPr>
        <w:t>6、质量要求：达到国家施工验收规范合格标准。</w:t>
      </w:r>
    </w:p>
    <w:p w14:paraId="1923F364">
      <w:pPr>
        <w:spacing w:line="312" w:lineRule="auto"/>
        <w:ind w:firstLine="420" w:firstLineChars="200"/>
        <w:jc w:val="left"/>
        <w:rPr>
          <w:rFonts w:hint="default" w:ascii="宋体" w:hAnsi="宋体" w:eastAsia="宋体" w:cs="宋体"/>
          <w:bCs/>
          <w:color w:val="auto"/>
          <w:kern w:val="0"/>
          <w:szCs w:val="21"/>
          <w:highlight w:val="none"/>
          <w:lang w:val="en-US" w:eastAsia="zh-CN"/>
        </w:rPr>
      </w:pPr>
      <w:r>
        <w:rPr>
          <w:rFonts w:hint="eastAsia" w:ascii="宋体" w:hAnsi="宋体" w:cs="宋体"/>
          <w:bCs/>
          <w:color w:val="auto"/>
          <w:kern w:val="0"/>
          <w:szCs w:val="21"/>
          <w:highlight w:val="none"/>
        </w:rPr>
        <w:t>7、</w:t>
      </w:r>
      <w:r>
        <w:rPr>
          <w:rFonts w:hint="eastAsia" w:ascii="宋体" w:hAnsi="宋体" w:cs="宋体"/>
          <w:bCs/>
          <w:color w:val="auto"/>
          <w:kern w:val="0"/>
          <w:szCs w:val="21"/>
          <w:highlight w:val="none"/>
          <w:lang w:val="en-US" w:eastAsia="zh-CN"/>
        </w:rPr>
        <w:t>承包方式</w:t>
      </w:r>
      <w:r>
        <w:rPr>
          <w:rFonts w:hint="eastAsia" w:ascii="宋体" w:hAnsi="宋体" w:cs="宋体"/>
          <w:bCs/>
          <w:color w:val="auto"/>
          <w:kern w:val="0"/>
          <w:szCs w:val="21"/>
          <w:highlight w:val="none"/>
        </w:rPr>
        <w:t>：</w:t>
      </w:r>
      <w:r>
        <w:rPr>
          <w:rFonts w:hint="eastAsia" w:ascii="宋体" w:hAnsi="宋体" w:cs="宋体"/>
          <w:bCs/>
          <w:color w:val="auto"/>
          <w:kern w:val="0"/>
          <w:szCs w:val="21"/>
          <w:highlight w:val="none"/>
          <w:lang w:val="en-US" w:eastAsia="zh-CN"/>
        </w:rPr>
        <w:t>单价承包</w:t>
      </w:r>
    </w:p>
    <w:p w14:paraId="4CEEF1C0">
      <w:pPr>
        <w:spacing w:line="312" w:lineRule="auto"/>
        <w:ind w:firstLine="562" w:firstLineChars="200"/>
        <w:jc w:val="left"/>
        <w:outlineLvl w:val="1"/>
        <w:rPr>
          <w:rFonts w:hint="eastAsia" w:ascii="宋体" w:hAnsi="宋体" w:cs="宋体"/>
          <w:b/>
          <w:color w:val="auto"/>
          <w:kern w:val="0"/>
          <w:sz w:val="28"/>
          <w:szCs w:val="28"/>
          <w:highlight w:val="none"/>
        </w:rPr>
      </w:pPr>
      <w:r>
        <w:rPr>
          <w:rFonts w:hint="eastAsia" w:ascii="宋体" w:hAnsi="宋体" w:cs="宋体"/>
          <w:b/>
          <w:color w:val="auto"/>
          <w:kern w:val="0"/>
          <w:sz w:val="28"/>
          <w:szCs w:val="28"/>
          <w:highlight w:val="none"/>
        </w:rPr>
        <w:t>四、商务要求</w:t>
      </w:r>
    </w:p>
    <w:p w14:paraId="388275C0">
      <w:pPr>
        <w:spacing w:line="312" w:lineRule="auto"/>
        <w:ind w:firstLine="420" w:firstLineChars="200"/>
        <w:jc w:val="left"/>
        <w:rPr>
          <w:rFonts w:hint="eastAsia" w:ascii="宋体" w:hAnsi="宋体" w:cs="宋体"/>
          <w:bCs/>
          <w:color w:val="auto"/>
          <w:kern w:val="0"/>
          <w:szCs w:val="21"/>
          <w:highlight w:val="none"/>
        </w:rPr>
      </w:pPr>
      <w:r>
        <w:rPr>
          <w:rFonts w:hint="eastAsia" w:ascii="宋体" w:hAnsi="宋体" w:cs="宋体"/>
          <w:bCs/>
          <w:color w:val="auto"/>
          <w:kern w:val="0"/>
          <w:szCs w:val="21"/>
          <w:highlight w:val="none"/>
        </w:rPr>
        <w:t>1、工期要求：</w:t>
      </w:r>
      <w:r>
        <w:rPr>
          <w:rFonts w:hint="eastAsia" w:ascii="宋体" w:hAnsi="宋体" w:cs="宋体"/>
          <w:bCs/>
          <w:color w:val="auto"/>
          <w:kern w:val="0"/>
          <w:szCs w:val="21"/>
          <w:highlight w:val="none"/>
          <w:lang w:val="en-US" w:eastAsia="zh-CN"/>
        </w:rPr>
        <w:t>180</w:t>
      </w:r>
      <w:r>
        <w:rPr>
          <w:rFonts w:hint="eastAsia" w:ascii="宋体" w:hAnsi="宋体" w:cs="宋体"/>
          <w:bCs/>
          <w:color w:val="auto"/>
          <w:kern w:val="0"/>
          <w:szCs w:val="21"/>
          <w:highlight w:val="none"/>
        </w:rPr>
        <w:t>日历天</w:t>
      </w:r>
    </w:p>
    <w:p w14:paraId="42D049B2">
      <w:pPr>
        <w:spacing w:line="312" w:lineRule="auto"/>
        <w:ind w:firstLine="420" w:firstLineChars="200"/>
        <w:jc w:val="left"/>
        <w:rPr>
          <w:rFonts w:hint="eastAsia" w:ascii="宋体" w:hAnsi="宋体" w:cs="宋体"/>
          <w:bCs/>
          <w:color w:val="auto"/>
          <w:kern w:val="0"/>
          <w:szCs w:val="21"/>
          <w:highlight w:val="none"/>
        </w:rPr>
      </w:pPr>
      <w:r>
        <w:rPr>
          <w:rFonts w:hint="eastAsia" w:ascii="宋体" w:hAnsi="宋体" w:cs="宋体"/>
          <w:bCs/>
          <w:color w:val="auto"/>
          <w:kern w:val="0"/>
          <w:szCs w:val="21"/>
          <w:highlight w:val="none"/>
        </w:rPr>
        <w:t>2、增值税计税方法：一般计税法。</w:t>
      </w:r>
    </w:p>
    <w:p w14:paraId="6FEEDEF8">
      <w:pPr>
        <w:spacing w:line="312" w:lineRule="auto"/>
        <w:ind w:firstLine="422" w:firstLineChars="200"/>
        <w:jc w:val="left"/>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3</w:t>
      </w:r>
      <w:r>
        <w:rPr>
          <w:rFonts w:hint="eastAsia" w:ascii="宋体" w:hAnsi="宋体" w:cs="宋体"/>
          <w:b/>
          <w:bCs/>
          <w:color w:val="auto"/>
          <w:kern w:val="0"/>
          <w:szCs w:val="21"/>
          <w:highlight w:val="none"/>
          <w:lang w:eastAsia="zh-CN"/>
        </w:rPr>
        <w:t>、</w:t>
      </w:r>
      <w:r>
        <w:rPr>
          <w:rFonts w:hint="eastAsia" w:ascii="宋体" w:hAnsi="宋体" w:eastAsia="宋体" w:cs="宋体"/>
          <w:b/>
          <w:bCs/>
          <w:color w:val="auto"/>
          <w:kern w:val="0"/>
          <w:szCs w:val="21"/>
          <w:highlight w:val="none"/>
        </w:rPr>
        <w:t>响应报价（已标价工程量清单）编制说明</w:t>
      </w:r>
    </w:p>
    <w:p w14:paraId="17F3F028">
      <w:pPr>
        <w:spacing w:line="312" w:lineRule="auto"/>
        <w:ind w:firstLine="420" w:firstLineChars="200"/>
        <w:jc w:val="left"/>
        <w:rPr>
          <w:rFonts w:hint="eastAsia" w:ascii="宋体" w:hAnsi="宋体" w:eastAsia="宋体" w:cs="宋体"/>
          <w:bCs/>
          <w:color w:val="auto"/>
          <w:kern w:val="0"/>
          <w:szCs w:val="21"/>
          <w:highlight w:val="none"/>
        </w:rPr>
      </w:pPr>
      <w:r>
        <w:rPr>
          <w:rFonts w:hint="eastAsia" w:ascii="宋体" w:hAnsi="宋体" w:eastAsia="宋体" w:cs="宋体"/>
          <w:bCs/>
          <w:color w:val="auto"/>
          <w:kern w:val="0"/>
          <w:szCs w:val="21"/>
          <w:highlight w:val="none"/>
        </w:rPr>
        <w:t>3.1供应商应依据采购文件、工程量清单以及《计价规范》、《计算规范》自主报价，自主报价不得违反计价规范强制性条文规定。供应商不得采用总价让利或以百分比让利等形式进行报价，任何优惠（或降价、让利）均应反映在相应清单项目的综合单价中。同时，不得出现任意一项单价重大让利，不得以自有机械闲置、自有材料等不计成本为由低于工程成本报价。</w:t>
      </w:r>
    </w:p>
    <w:p w14:paraId="57096589">
      <w:pPr>
        <w:spacing w:line="312" w:lineRule="auto"/>
        <w:ind w:firstLine="420" w:firstLineChars="200"/>
        <w:jc w:val="left"/>
        <w:rPr>
          <w:rFonts w:hint="eastAsia" w:ascii="宋体" w:hAnsi="宋体" w:eastAsia="宋体" w:cs="宋体"/>
          <w:bCs/>
          <w:color w:val="auto"/>
          <w:kern w:val="0"/>
          <w:szCs w:val="21"/>
          <w:highlight w:val="none"/>
        </w:rPr>
      </w:pPr>
      <w:r>
        <w:rPr>
          <w:rFonts w:hint="eastAsia" w:ascii="宋体" w:hAnsi="宋体" w:eastAsia="宋体" w:cs="宋体"/>
          <w:bCs/>
          <w:color w:val="auto"/>
          <w:kern w:val="0"/>
          <w:szCs w:val="21"/>
          <w:highlight w:val="none"/>
        </w:rPr>
        <w:t>3.2</w:t>
      </w:r>
      <w:r>
        <w:rPr>
          <w:rFonts w:hint="eastAsia" w:ascii="宋体" w:hAnsi="宋体" w:eastAsia="宋体" w:cs="宋体"/>
          <w:b/>
          <w:color w:val="auto"/>
          <w:kern w:val="0"/>
          <w:szCs w:val="21"/>
          <w:highlight w:val="none"/>
        </w:rPr>
        <w:t>供应商应按工程量清单填报价格。项目编码、项目名称、项目特征、计量单位、已标价工程量必须与工程量清单一致，供应商不得对工程量清单项目进行增减调整</w:t>
      </w:r>
      <w:r>
        <w:rPr>
          <w:rFonts w:hint="eastAsia" w:ascii="宋体" w:hAnsi="宋体" w:eastAsia="宋体" w:cs="宋体"/>
          <w:bCs/>
          <w:color w:val="auto"/>
          <w:kern w:val="0"/>
          <w:szCs w:val="21"/>
          <w:highlight w:val="none"/>
        </w:rPr>
        <w:t>。</w:t>
      </w:r>
    </w:p>
    <w:p w14:paraId="7298F33E">
      <w:pPr>
        <w:spacing w:line="312" w:lineRule="auto"/>
        <w:ind w:firstLine="420" w:firstLineChars="200"/>
        <w:jc w:val="left"/>
        <w:rPr>
          <w:rFonts w:hint="eastAsia" w:ascii="宋体" w:hAnsi="宋体" w:eastAsia="宋体" w:cs="宋体"/>
          <w:bCs/>
          <w:color w:val="auto"/>
          <w:kern w:val="0"/>
          <w:szCs w:val="21"/>
          <w:highlight w:val="none"/>
        </w:rPr>
      </w:pPr>
      <w:r>
        <w:rPr>
          <w:rFonts w:hint="eastAsia" w:ascii="宋体" w:hAnsi="宋体" w:eastAsia="宋体" w:cs="宋体"/>
          <w:bCs/>
          <w:color w:val="auto"/>
          <w:kern w:val="0"/>
          <w:szCs w:val="21"/>
          <w:highlight w:val="none"/>
        </w:rPr>
        <w:t>3.3综合单价中应包含采购文件中划分的应由供应商承担的风险范围及其费用。</w:t>
      </w:r>
    </w:p>
    <w:p w14:paraId="12759B45">
      <w:pPr>
        <w:spacing w:line="312" w:lineRule="auto"/>
        <w:ind w:firstLine="420" w:firstLineChars="200"/>
        <w:jc w:val="left"/>
        <w:rPr>
          <w:rFonts w:hint="eastAsia" w:ascii="宋体" w:hAnsi="宋体" w:eastAsia="宋体" w:cs="宋体"/>
          <w:bCs/>
          <w:color w:val="auto"/>
          <w:kern w:val="0"/>
          <w:szCs w:val="21"/>
          <w:highlight w:val="none"/>
        </w:rPr>
      </w:pPr>
      <w:r>
        <w:rPr>
          <w:rFonts w:hint="eastAsia" w:ascii="宋体" w:hAnsi="宋体" w:eastAsia="宋体" w:cs="宋体"/>
          <w:bCs/>
          <w:color w:val="auto"/>
          <w:kern w:val="0"/>
          <w:szCs w:val="21"/>
          <w:highlight w:val="none"/>
        </w:rPr>
        <w:t>3.4分部分项工程项目和单价措施项目，应根据采购文件和工程量清单项目中的特征描述确定综合单价计算。如出现工程量清单特征描述与设计图纸不符时，供应商应以工程量清单的项目特征描述为准，确定响应报价的综合单价。</w:t>
      </w:r>
    </w:p>
    <w:p w14:paraId="7CE431AD">
      <w:pPr>
        <w:spacing w:line="312" w:lineRule="auto"/>
        <w:ind w:firstLine="420" w:firstLineChars="200"/>
        <w:jc w:val="left"/>
        <w:rPr>
          <w:rFonts w:hint="eastAsia" w:ascii="宋体" w:hAnsi="宋体" w:eastAsia="宋体" w:cs="宋体"/>
          <w:bCs/>
          <w:color w:val="auto"/>
          <w:kern w:val="0"/>
          <w:szCs w:val="21"/>
          <w:highlight w:val="none"/>
        </w:rPr>
      </w:pPr>
      <w:r>
        <w:rPr>
          <w:rFonts w:hint="eastAsia" w:ascii="宋体" w:hAnsi="宋体" w:eastAsia="宋体" w:cs="宋体"/>
          <w:bCs/>
          <w:color w:val="auto"/>
          <w:kern w:val="0"/>
          <w:szCs w:val="21"/>
          <w:highlight w:val="none"/>
        </w:rPr>
        <w:t>3.5总价措施项目的金额应根据采购文件及拟定的施工组织设计或施工方案，按计价规范的规定自主确定。但安全文明施工费按国家、省级或行业建设主管部门的有关规定执行，作为不竞争费用单列。</w:t>
      </w:r>
    </w:p>
    <w:p w14:paraId="04C8F4C5">
      <w:pPr>
        <w:spacing w:line="312" w:lineRule="auto"/>
        <w:ind w:firstLine="420" w:firstLineChars="200"/>
        <w:jc w:val="left"/>
        <w:rPr>
          <w:rFonts w:hint="eastAsia" w:ascii="宋体" w:hAnsi="宋体" w:eastAsia="宋体" w:cs="宋体"/>
          <w:bCs/>
          <w:color w:val="auto"/>
          <w:kern w:val="0"/>
          <w:szCs w:val="21"/>
          <w:highlight w:val="none"/>
        </w:rPr>
      </w:pPr>
      <w:r>
        <w:rPr>
          <w:rFonts w:hint="eastAsia" w:ascii="宋体" w:hAnsi="宋体" w:eastAsia="宋体" w:cs="宋体"/>
          <w:bCs/>
          <w:color w:val="auto"/>
          <w:kern w:val="0"/>
          <w:szCs w:val="21"/>
          <w:highlight w:val="none"/>
        </w:rPr>
        <w:t>3.6其他项目费应按下列规定报价：</w:t>
      </w:r>
    </w:p>
    <w:p w14:paraId="48E6B1F0">
      <w:pPr>
        <w:spacing w:line="312" w:lineRule="auto"/>
        <w:ind w:firstLine="420" w:firstLineChars="200"/>
        <w:jc w:val="left"/>
        <w:rPr>
          <w:rFonts w:hint="eastAsia" w:ascii="宋体" w:hAnsi="宋体" w:eastAsia="宋体" w:cs="宋体"/>
          <w:bCs/>
          <w:color w:val="auto"/>
          <w:kern w:val="0"/>
          <w:szCs w:val="21"/>
          <w:highlight w:val="none"/>
        </w:rPr>
      </w:pPr>
      <w:r>
        <w:rPr>
          <w:rFonts w:hint="eastAsia" w:ascii="宋体" w:hAnsi="宋体" w:eastAsia="宋体" w:cs="宋体"/>
          <w:bCs/>
          <w:color w:val="auto"/>
          <w:kern w:val="0"/>
          <w:szCs w:val="21"/>
          <w:highlight w:val="none"/>
        </w:rPr>
        <w:t>（1）暂列金额应按工程量清单中列出的金额填写；</w:t>
      </w:r>
    </w:p>
    <w:p w14:paraId="4B4B364B">
      <w:pPr>
        <w:spacing w:line="312" w:lineRule="auto"/>
        <w:ind w:firstLine="420" w:firstLineChars="200"/>
        <w:jc w:val="left"/>
        <w:rPr>
          <w:rFonts w:hint="eastAsia" w:ascii="宋体" w:hAnsi="宋体" w:eastAsia="宋体" w:cs="宋体"/>
          <w:bCs/>
          <w:color w:val="auto"/>
          <w:kern w:val="0"/>
          <w:szCs w:val="21"/>
          <w:highlight w:val="none"/>
        </w:rPr>
      </w:pPr>
      <w:r>
        <w:rPr>
          <w:rFonts w:hint="eastAsia" w:ascii="宋体" w:hAnsi="宋体" w:eastAsia="宋体" w:cs="宋体"/>
          <w:bCs/>
          <w:color w:val="auto"/>
          <w:kern w:val="0"/>
          <w:szCs w:val="21"/>
          <w:highlight w:val="none"/>
        </w:rPr>
        <w:t>（2）材料、工程设备暂估价应按工程量清单中列出的单价计入综合单价；</w:t>
      </w:r>
    </w:p>
    <w:p w14:paraId="3725EA19">
      <w:pPr>
        <w:spacing w:line="312" w:lineRule="auto"/>
        <w:ind w:firstLine="420" w:firstLineChars="200"/>
        <w:jc w:val="left"/>
        <w:rPr>
          <w:rFonts w:hint="eastAsia" w:ascii="宋体" w:hAnsi="宋体" w:eastAsia="宋体" w:cs="宋体"/>
          <w:bCs/>
          <w:color w:val="auto"/>
          <w:kern w:val="0"/>
          <w:szCs w:val="21"/>
          <w:highlight w:val="none"/>
        </w:rPr>
      </w:pPr>
      <w:r>
        <w:rPr>
          <w:rFonts w:hint="eastAsia" w:ascii="宋体" w:hAnsi="宋体" w:eastAsia="宋体" w:cs="宋体"/>
          <w:bCs/>
          <w:color w:val="auto"/>
          <w:kern w:val="0"/>
          <w:szCs w:val="21"/>
          <w:highlight w:val="none"/>
        </w:rPr>
        <w:t>（3）专业工程暂估价应按工程量清单中列出的金额填写；</w:t>
      </w:r>
    </w:p>
    <w:p w14:paraId="5121DF13">
      <w:pPr>
        <w:spacing w:line="312" w:lineRule="auto"/>
        <w:ind w:firstLine="420" w:firstLineChars="200"/>
        <w:jc w:val="left"/>
        <w:rPr>
          <w:rFonts w:hint="eastAsia" w:ascii="宋体" w:hAnsi="宋体" w:eastAsia="宋体" w:cs="宋体"/>
          <w:bCs/>
          <w:color w:val="auto"/>
          <w:kern w:val="0"/>
          <w:szCs w:val="21"/>
          <w:highlight w:val="none"/>
        </w:rPr>
      </w:pPr>
      <w:r>
        <w:rPr>
          <w:rFonts w:hint="eastAsia" w:ascii="宋体" w:hAnsi="宋体" w:eastAsia="宋体" w:cs="宋体"/>
          <w:bCs/>
          <w:color w:val="auto"/>
          <w:kern w:val="0"/>
          <w:szCs w:val="21"/>
          <w:highlight w:val="none"/>
        </w:rPr>
        <w:t>（4）计日工应按工程量清单中列出的项目和估算数量，自主确定综合单价并计算计日工总额；计日工单价均不含规费和税金；</w:t>
      </w:r>
    </w:p>
    <w:p w14:paraId="2D04F552">
      <w:pPr>
        <w:spacing w:line="360" w:lineRule="auto"/>
        <w:ind w:firstLine="420" w:firstLineChars="200"/>
        <w:rPr>
          <w:rFonts w:hint="eastAsia" w:ascii="宋体" w:hAnsi="宋体" w:eastAsia="宋体" w:cs="宋体"/>
          <w:bCs/>
          <w:color w:val="auto"/>
          <w:kern w:val="0"/>
          <w:szCs w:val="21"/>
          <w:highlight w:val="none"/>
        </w:rPr>
      </w:pPr>
      <w:r>
        <w:rPr>
          <w:rFonts w:hint="eastAsia" w:ascii="宋体" w:hAnsi="宋体" w:eastAsia="宋体" w:cs="宋体"/>
          <w:bCs/>
          <w:color w:val="auto"/>
          <w:kern w:val="0"/>
          <w:szCs w:val="21"/>
          <w:highlight w:val="none"/>
        </w:rPr>
        <w:t>（5）总承包服务费应根据工程量清单中列出的内容和供应材料、设备情况，按照采购人提出的协调、配合与服务要求和施工现场管理需要自主确定。</w:t>
      </w:r>
    </w:p>
    <w:p w14:paraId="4EA0C5C0">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（6）对建设单位创建优质工程的，鼓励在控制价和预算中按我区工程建设定额规定计列工程优质费，并明确工程优质费不可竞争。</w:t>
      </w:r>
    </w:p>
    <w:p w14:paraId="10172195">
      <w:pPr>
        <w:spacing w:line="312" w:lineRule="auto"/>
        <w:ind w:firstLine="420" w:firstLineChars="200"/>
        <w:jc w:val="left"/>
        <w:rPr>
          <w:rFonts w:hint="eastAsia" w:ascii="宋体" w:hAnsi="宋体" w:eastAsia="宋体" w:cs="宋体"/>
          <w:bCs/>
          <w:color w:val="auto"/>
          <w:kern w:val="0"/>
          <w:szCs w:val="21"/>
          <w:highlight w:val="none"/>
        </w:rPr>
      </w:pPr>
      <w:r>
        <w:rPr>
          <w:rFonts w:hint="eastAsia" w:ascii="宋体" w:hAnsi="宋体" w:eastAsia="宋体" w:cs="宋体"/>
          <w:bCs/>
          <w:color w:val="auto"/>
          <w:kern w:val="0"/>
          <w:szCs w:val="21"/>
          <w:highlight w:val="none"/>
        </w:rPr>
        <w:t>3.7规费和增值税应按规定确定，作为不可竞争费用。</w:t>
      </w:r>
    </w:p>
    <w:p w14:paraId="7E4D7CFF">
      <w:pPr>
        <w:spacing w:line="312" w:lineRule="auto"/>
        <w:ind w:firstLine="420" w:firstLineChars="200"/>
        <w:jc w:val="left"/>
        <w:rPr>
          <w:rFonts w:hint="eastAsia" w:ascii="宋体" w:hAnsi="宋体" w:eastAsia="宋体" w:cs="宋体"/>
          <w:bCs/>
          <w:color w:val="auto"/>
          <w:kern w:val="0"/>
          <w:szCs w:val="21"/>
          <w:highlight w:val="none"/>
        </w:rPr>
      </w:pPr>
      <w:r>
        <w:rPr>
          <w:rFonts w:hint="eastAsia" w:ascii="宋体" w:hAnsi="宋体" w:eastAsia="宋体" w:cs="宋体"/>
          <w:bCs/>
          <w:color w:val="auto"/>
          <w:kern w:val="0"/>
          <w:szCs w:val="21"/>
          <w:highlight w:val="none"/>
        </w:rPr>
        <w:t>3.8工程量清单与计价表中列明的所有需要填写的单价和合价的项目，供应商均应填写且只允许有一个报价。未填写单价和合价的项目，视为此项费用已包含在已标价工程量清单中其他项目的单价和合价之中。竣工结算时，此项目不得重新组价予以调整。</w:t>
      </w:r>
    </w:p>
    <w:p w14:paraId="2E089C03">
      <w:pPr>
        <w:spacing w:line="312" w:lineRule="auto"/>
        <w:ind w:firstLine="420" w:firstLineChars="200"/>
        <w:jc w:val="left"/>
        <w:rPr>
          <w:rFonts w:hint="eastAsia" w:ascii="宋体" w:hAnsi="宋体" w:eastAsia="宋体" w:cs="宋体"/>
          <w:bCs/>
          <w:color w:val="auto"/>
          <w:kern w:val="0"/>
          <w:szCs w:val="21"/>
          <w:highlight w:val="none"/>
        </w:rPr>
      </w:pPr>
      <w:r>
        <w:rPr>
          <w:rFonts w:hint="eastAsia" w:ascii="宋体" w:hAnsi="宋体" w:eastAsia="宋体" w:cs="宋体"/>
          <w:bCs/>
          <w:color w:val="auto"/>
          <w:kern w:val="0"/>
          <w:szCs w:val="21"/>
          <w:highlight w:val="none"/>
        </w:rPr>
        <w:t>3.9响应总价应当与分部分项工程费、措施项目费、其他项目费和规费、增值税的合计金额一致。</w:t>
      </w:r>
    </w:p>
    <w:p w14:paraId="5C2C3044">
      <w:pPr>
        <w:spacing w:line="312" w:lineRule="auto"/>
        <w:ind w:firstLine="420" w:firstLineChars="200"/>
        <w:jc w:val="left"/>
        <w:rPr>
          <w:rFonts w:hint="eastAsia" w:ascii="宋体" w:hAnsi="宋体" w:eastAsia="宋体" w:cs="宋体"/>
          <w:bCs/>
          <w:color w:val="auto"/>
          <w:kern w:val="0"/>
          <w:szCs w:val="21"/>
          <w:highlight w:val="none"/>
        </w:rPr>
      </w:pPr>
      <w:r>
        <w:rPr>
          <w:rFonts w:hint="eastAsia" w:ascii="宋体" w:hAnsi="宋体" w:eastAsia="宋体" w:cs="宋体"/>
          <w:bCs/>
          <w:color w:val="auto"/>
          <w:kern w:val="0"/>
          <w:szCs w:val="21"/>
          <w:highlight w:val="none"/>
        </w:rPr>
        <w:t>3.10供应商应按《</w:t>
      </w:r>
      <w:r>
        <w:rPr>
          <w:rFonts w:hint="eastAsia" w:ascii="宋体" w:hAnsi="宋体" w:eastAsia="宋体" w:cs="宋体"/>
          <w:color w:val="auto"/>
          <w:highlight w:val="none"/>
        </w:rPr>
        <w:t>允许调整主要材料和工程设备一览表</w:t>
      </w:r>
      <w:r>
        <w:rPr>
          <w:rFonts w:hint="eastAsia" w:ascii="宋体" w:hAnsi="宋体" w:eastAsia="宋体" w:cs="宋体"/>
          <w:bCs/>
          <w:color w:val="auto"/>
          <w:kern w:val="0"/>
          <w:szCs w:val="21"/>
          <w:highlight w:val="none"/>
        </w:rPr>
        <w:t>》的内容填报，不得擅自调整材料和设备名称型号规格、单位、风险系数、基准单价。</w:t>
      </w:r>
    </w:p>
    <w:p w14:paraId="58E684C8">
      <w:pPr>
        <w:spacing w:line="312" w:lineRule="auto"/>
        <w:ind w:firstLine="420" w:firstLineChars="200"/>
        <w:jc w:val="left"/>
        <w:rPr>
          <w:rFonts w:hint="eastAsia" w:ascii="宋体" w:hAnsi="宋体" w:eastAsia="宋体" w:cs="宋体"/>
          <w:bCs/>
          <w:color w:val="auto"/>
          <w:kern w:val="0"/>
          <w:szCs w:val="21"/>
          <w:highlight w:val="none"/>
        </w:rPr>
      </w:pPr>
      <w:r>
        <w:rPr>
          <w:rFonts w:hint="eastAsia" w:ascii="宋体" w:hAnsi="宋体" w:eastAsia="宋体" w:cs="宋体"/>
          <w:bCs/>
          <w:color w:val="auto"/>
          <w:kern w:val="0"/>
          <w:szCs w:val="21"/>
          <w:highlight w:val="none"/>
        </w:rPr>
        <w:t>3.11响应报价表格按本工程工程量清单表格要求填写，并应按采购文件的要求，附上《工程量清单综合单价分析表》和《主要清单项目工料机分析表》。</w:t>
      </w:r>
    </w:p>
    <w:p w14:paraId="31885C8A">
      <w:pPr>
        <w:spacing w:line="312" w:lineRule="auto"/>
        <w:ind w:firstLine="420" w:firstLineChars="200"/>
        <w:jc w:val="left"/>
        <w:rPr>
          <w:rFonts w:hint="eastAsia" w:ascii="宋体" w:hAnsi="宋体" w:eastAsia="宋体" w:cs="宋体"/>
          <w:bCs/>
          <w:color w:val="auto"/>
          <w:kern w:val="0"/>
          <w:szCs w:val="21"/>
          <w:highlight w:val="none"/>
        </w:rPr>
      </w:pPr>
      <w:r>
        <w:rPr>
          <w:rFonts w:hint="eastAsia" w:ascii="宋体" w:hAnsi="宋体" w:eastAsia="宋体" w:cs="宋体"/>
          <w:bCs/>
          <w:color w:val="auto"/>
          <w:kern w:val="0"/>
          <w:szCs w:val="21"/>
          <w:highlight w:val="none"/>
        </w:rPr>
        <w:t>未尽事宜详见本工程工程量清单、预算金额编制说明以及现行《计价规范》等有关规定执行。</w:t>
      </w:r>
    </w:p>
    <w:p w14:paraId="47AED94C">
      <w:pPr>
        <w:spacing w:line="312" w:lineRule="auto"/>
        <w:ind w:firstLine="420" w:firstLineChars="200"/>
        <w:jc w:val="left"/>
        <w:rPr>
          <w:rFonts w:hint="eastAsia" w:ascii="宋体" w:hAnsi="宋体" w:cs="宋体"/>
          <w:bCs/>
          <w:color w:val="auto"/>
          <w:kern w:val="0"/>
          <w:szCs w:val="21"/>
          <w:highlight w:val="none"/>
        </w:rPr>
      </w:pPr>
      <w:r>
        <w:rPr>
          <w:rFonts w:hint="eastAsia" w:ascii="宋体" w:hAnsi="宋体" w:cs="宋体"/>
          <w:bCs/>
          <w:color w:val="auto"/>
          <w:kern w:val="0"/>
          <w:szCs w:val="21"/>
          <w:highlight w:val="none"/>
          <w:lang w:val="en-US" w:eastAsia="zh-CN"/>
        </w:rPr>
        <w:t>4</w:t>
      </w:r>
      <w:r>
        <w:rPr>
          <w:rFonts w:hint="eastAsia" w:ascii="宋体" w:hAnsi="宋体" w:cs="宋体"/>
          <w:bCs/>
          <w:color w:val="auto"/>
          <w:kern w:val="0"/>
          <w:szCs w:val="21"/>
          <w:highlight w:val="none"/>
        </w:rPr>
        <w:t>、付款条件：</w:t>
      </w:r>
    </w:p>
    <w:p w14:paraId="081E48FA">
      <w:pPr>
        <w:widowControl/>
        <w:shd w:val="clear" w:color="auto" w:fill="FFFFFF"/>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（一）资金支付办法按照《广西财政衔接推进乡村振兴补助资金管理办法》和财政国库管理制度有关规定进行。</w:t>
      </w:r>
    </w:p>
    <w:p w14:paraId="67C0C4D3">
      <w:pPr>
        <w:widowControl/>
        <w:shd w:val="clear" w:color="auto" w:fill="FFFFFF"/>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(二)</w:t>
      </w:r>
      <w:r>
        <w:rPr>
          <w:rFonts w:hint="eastAsia"/>
          <w:color w:val="auto"/>
          <w:highlight w:val="none"/>
          <w:lang w:val="en-US" w:eastAsia="zh-CN"/>
        </w:rPr>
        <w:t>成交供应商</w:t>
      </w:r>
      <w:r>
        <w:rPr>
          <w:rFonts w:hint="eastAsia" w:ascii="宋体" w:hAnsi="宋体" w:eastAsia="宋体" w:cs="宋体"/>
          <w:color w:val="auto"/>
          <w:szCs w:val="21"/>
          <w:highlight w:val="none"/>
          <w:lang w:val="en-US" w:eastAsia="zh-CN"/>
        </w:rPr>
        <w:t>不得以任何理由拒付农民工工资。工程款分次支付：1.一旦签订合同并进场施工，</w:t>
      </w:r>
      <w:r>
        <w:rPr>
          <w:rFonts w:hint="eastAsia"/>
          <w:color w:val="auto"/>
          <w:highlight w:val="none"/>
          <w:lang w:val="en-US" w:eastAsia="zh-CN"/>
        </w:rPr>
        <w:t>采购人</w:t>
      </w:r>
      <w:r>
        <w:rPr>
          <w:rFonts w:hint="eastAsia" w:ascii="宋体" w:hAnsi="宋体" w:eastAsia="宋体" w:cs="宋体"/>
          <w:color w:val="auto"/>
          <w:szCs w:val="21"/>
          <w:highlight w:val="none"/>
          <w:lang w:val="en-US" w:eastAsia="zh-CN"/>
        </w:rPr>
        <w:t>在收到</w:t>
      </w:r>
      <w:r>
        <w:rPr>
          <w:rFonts w:hint="eastAsia"/>
          <w:color w:val="auto"/>
          <w:highlight w:val="none"/>
          <w:lang w:val="en-US" w:eastAsia="zh-CN"/>
        </w:rPr>
        <w:t>成交供应商</w:t>
      </w:r>
      <w:r>
        <w:rPr>
          <w:rFonts w:hint="eastAsia" w:ascii="宋体" w:hAnsi="宋体" w:eastAsia="宋体" w:cs="宋体"/>
          <w:color w:val="auto"/>
          <w:szCs w:val="21"/>
          <w:highlight w:val="none"/>
          <w:lang w:val="en-US" w:eastAsia="zh-CN"/>
        </w:rPr>
        <w:t>开具相应发票的十个工作日内，按合同价预拨付不超过30%的资金给乙方；2.工程完工后，经</w:t>
      </w:r>
      <w:r>
        <w:rPr>
          <w:rFonts w:hint="eastAsia"/>
          <w:color w:val="auto"/>
          <w:highlight w:val="none"/>
          <w:lang w:val="en-US" w:eastAsia="zh-CN"/>
        </w:rPr>
        <w:t>采购人</w:t>
      </w:r>
      <w:r>
        <w:rPr>
          <w:rFonts w:hint="eastAsia" w:ascii="宋体" w:hAnsi="宋体" w:eastAsia="宋体" w:cs="宋体"/>
          <w:color w:val="auto"/>
          <w:szCs w:val="21"/>
          <w:highlight w:val="none"/>
          <w:lang w:val="en-US" w:eastAsia="zh-CN"/>
        </w:rPr>
        <w:t>技术人员初检认定质量合格的并收到</w:t>
      </w:r>
      <w:r>
        <w:rPr>
          <w:rFonts w:hint="eastAsia"/>
          <w:color w:val="auto"/>
          <w:highlight w:val="none"/>
          <w:lang w:val="en-US" w:eastAsia="zh-CN"/>
        </w:rPr>
        <w:t>成交供应商</w:t>
      </w:r>
      <w:r>
        <w:rPr>
          <w:rFonts w:hint="eastAsia" w:ascii="宋体" w:hAnsi="宋体" w:eastAsia="宋体" w:cs="宋体"/>
          <w:color w:val="auto"/>
          <w:szCs w:val="21"/>
          <w:highlight w:val="none"/>
          <w:lang w:val="en-US" w:eastAsia="zh-CN"/>
        </w:rPr>
        <w:t>开具相应发票的三十日内，拨付80%工程进度款给</w:t>
      </w:r>
      <w:r>
        <w:rPr>
          <w:rFonts w:hint="eastAsia"/>
          <w:color w:val="auto"/>
          <w:highlight w:val="none"/>
          <w:lang w:val="en-US" w:eastAsia="zh-CN"/>
        </w:rPr>
        <w:t>成交供应商</w:t>
      </w:r>
      <w:r>
        <w:rPr>
          <w:rFonts w:hint="eastAsia" w:ascii="宋体" w:hAnsi="宋体" w:eastAsia="宋体" w:cs="宋体"/>
          <w:color w:val="auto"/>
          <w:szCs w:val="21"/>
          <w:highlight w:val="none"/>
          <w:lang w:val="en-US" w:eastAsia="zh-CN"/>
        </w:rPr>
        <w:t>《扣除第一次预付款项》。如确属需返修的工程，视返修工程量情况酌情拨付工程款：3.工程竣工并经县级验收合格后，并收到</w:t>
      </w:r>
      <w:r>
        <w:rPr>
          <w:rFonts w:hint="eastAsia"/>
          <w:color w:val="auto"/>
          <w:highlight w:val="none"/>
          <w:lang w:val="en-US" w:eastAsia="zh-CN"/>
        </w:rPr>
        <w:t>成交供应商</w:t>
      </w:r>
      <w:r>
        <w:rPr>
          <w:rFonts w:hint="eastAsia" w:ascii="宋体" w:hAnsi="宋体" w:eastAsia="宋体" w:cs="宋体"/>
          <w:color w:val="auto"/>
          <w:szCs w:val="21"/>
          <w:highlight w:val="none"/>
          <w:lang w:val="en-US" w:eastAsia="zh-CN"/>
        </w:rPr>
        <w:t>开具相应发票的三十日内，</w:t>
      </w:r>
      <w:r>
        <w:rPr>
          <w:rFonts w:hint="eastAsia"/>
          <w:color w:val="auto"/>
          <w:highlight w:val="none"/>
          <w:lang w:val="en-US" w:eastAsia="zh-CN"/>
        </w:rPr>
        <w:t>采购人</w:t>
      </w:r>
      <w:r>
        <w:rPr>
          <w:rFonts w:hint="eastAsia" w:ascii="宋体" w:hAnsi="宋体" w:eastAsia="宋体" w:cs="宋体"/>
          <w:color w:val="auto"/>
          <w:szCs w:val="21"/>
          <w:highlight w:val="none"/>
          <w:lang w:val="en-US" w:eastAsia="zh-CN"/>
        </w:rPr>
        <w:t>可拨付90%工程款给</w:t>
      </w:r>
      <w:r>
        <w:rPr>
          <w:rFonts w:hint="eastAsia"/>
          <w:color w:val="auto"/>
          <w:highlight w:val="none"/>
          <w:lang w:val="en-US" w:eastAsia="zh-CN"/>
        </w:rPr>
        <w:t>成交供应商</w:t>
      </w:r>
      <w:r>
        <w:rPr>
          <w:rFonts w:hint="eastAsia" w:ascii="宋体" w:hAnsi="宋体" w:eastAsia="宋体" w:cs="宋体"/>
          <w:color w:val="auto"/>
          <w:szCs w:val="21"/>
          <w:highlight w:val="none"/>
          <w:lang w:val="en-US" w:eastAsia="zh-CN"/>
        </w:rPr>
        <w:t>《扣除第一次预付款项和第二次工程进度款》；4.由审计部门结算造价审计后，按审计部门审定的结算造价金额预留 3%作为工程质保金后一次性结清工程款《扣除预付款项和进度款项》；5.如未发生工程质量保修行为的，竣工验收满 1年后，由</w:t>
      </w:r>
      <w:r>
        <w:rPr>
          <w:rFonts w:hint="eastAsia"/>
          <w:color w:val="auto"/>
          <w:highlight w:val="none"/>
          <w:lang w:val="en-US" w:eastAsia="zh-CN"/>
        </w:rPr>
        <w:t>采购人</w:t>
      </w:r>
      <w:r>
        <w:rPr>
          <w:rFonts w:hint="eastAsia" w:ascii="宋体" w:hAnsi="宋体" w:eastAsia="宋体" w:cs="宋体"/>
          <w:color w:val="auto"/>
          <w:szCs w:val="21"/>
          <w:highlight w:val="none"/>
          <w:lang w:val="en-US" w:eastAsia="zh-CN"/>
        </w:rPr>
        <w:t>及有关技术人员签证后退还工程质保金给</w:t>
      </w:r>
      <w:r>
        <w:rPr>
          <w:rFonts w:hint="eastAsia"/>
          <w:color w:val="auto"/>
          <w:highlight w:val="none"/>
          <w:lang w:val="en-US" w:eastAsia="zh-CN"/>
        </w:rPr>
        <w:t>成交供应商</w:t>
      </w:r>
      <w:r>
        <w:rPr>
          <w:rFonts w:hint="eastAsia" w:ascii="宋体" w:hAnsi="宋体" w:eastAsia="宋体" w:cs="宋体"/>
          <w:color w:val="auto"/>
          <w:szCs w:val="21"/>
          <w:highlight w:val="none"/>
          <w:lang w:val="en-US" w:eastAsia="zh-CN"/>
        </w:rPr>
        <w:t xml:space="preserve">。 </w:t>
      </w:r>
    </w:p>
    <w:p w14:paraId="28AD5BBB">
      <w:pPr>
        <w:widowControl/>
        <w:shd w:val="clear" w:color="auto" w:fill="FFFFFF"/>
        <w:spacing w:line="360" w:lineRule="auto"/>
        <w:ind w:firstLine="420" w:firstLineChars="200"/>
        <w:rPr>
          <w:rFonts w:hint="eastAsia" w:ascii="宋体" w:hAnsi="宋体" w:eastAsia="宋体" w:cs="宋体"/>
          <w:bCs/>
          <w:color w:val="auto"/>
          <w:kern w:val="0"/>
          <w:szCs w:val="21"/>
          <w:highlight w:val="none"/>
        </w:rPr>
      </w:pPr>
      <w:r>
        <w:rPr>
          <w:rFonts w:hint="eastAsia" w:ascii="宋体" w:hAnsi="宋体" w:eastAsia="宋体" w:cs="宋体"/>
          <w:color w:val="auto"/>
          <w:szCs w:val="21"/>
          <w:highlight w:val="none"/>
          <w:lang w:val="en-US" w:eastAsia="zh-CN"/>
        </w:rPr>
        <w:t>③支付方式：银行转账。</w:t>
      </w:r>
    </w:p>
    <w:p w14:paraId="15ACB1DB">
      <w:pPr>
        <w:spacing w:line="312" w:lineRule="auto"/>
        <w:ind w:firstLine="420" w:firstLineChars="200"/>
        <w:jc w:val="left"/>
        <w:rPr>
          <w:rFonts w:hint="eastAsia" w:ascii="宋体" w:hAnsi="宋体" w:cs="宋体"/>
          <w:bCs/>
          <w:color w:val="auto"/>
          <w:kern w:val="0"/>
          <w:szCs w:val="21"/>
          <w:highlight w:val="none"/>
        </w:rPr>
      </w:pPr>
      <w:r>
        <w:rPr>
          <w:rFonts w:hint="eastAsia" w:ascii="宋体" w:hAnsi="宋体" w:cs="宋体"/>
          <w:bCs/>
          <w:color w:val="auto"/>
          <w:kern w:val="0"/>
          <w:szCs w:val="21"/>
          <w:highlight w:val="none"/>
          <w:lang w:val="en-US" w:eastAsia="zh-CN"/>
        </w:rPr>
        <w:t>5</w:t>
      </w:r>
      <w:r>
        <w:rPr>
          <w:rFonts w:hint="eastAsia" w:ascii="宋体" w:hAnsi="宋体" w:cs="宋体"/>
          <w:bCs/>
          <w:color w:val="auto"/>
          <w:kern w:val="0"/>
          <w:szCs w:val="21"/>
          <w:highlight w:val="none"/>
        </w:rPr>
        <w:t>、质量保修期：自工程竣工验收合格之日起一年。</w:t>
      </w:r>
    </w:p>
    <w:p w14:paraId="180C0533">
      <w:pPr>
        <w:spacing w:line="312" w:lineRule="auto"/>
        <w:ind w:firstLine="420" w:firstLineChars="200"/>
        <w:jc w:val="left"/>
        <w:rPr>
          <w:rFonts w:hint="eastAsia" w:ascii="宋体" w:hAnsi="宋体" w:cs="宋体"/>
          <w:b/>
          <w:color w:val="auto"/>
          <w:kern w:val="0"/>
          <w:sz w:val="28"/>
          <w:szCs w:val="28"/>
          <w:highlight w:val="none"/>
        </w:rPr>
      </w:pPr>
      <w:r>
        <w:rPr>
          <w:rFonts w:hint="eastAsia" w:ascii="宋体" w:hAnsi="宋体" w:cs="宋体"/>
          <w:bCs/>
          <w:color w:val="auto"/>
          <w:kern w:val="0"/>
          <w:szCs w:val="21"/>
          <w:highlight w:val="none"/>
          <w:lang w:val="en-US" w:eastAsia="zh-CN"/>
        </w:rPr>
        <w:t>6</w:t>
      </w:r>
      <w:r>
        <w:rPr>
          <w:rFonts w:hint="eastAsia" w:ascii="宋体" w:hAnsi="宋体" w:cs="宋体"/>
          <w:bCs/>
          <w:color w:val="auto"/>
          <w:kern w:val="0"/>
          <w:szCs w:val="21"/>
          <w:highlight w:val="none"/>
        </w:rPr>
        <w:t>、缺陷责任期：自竣工日期起满</w:t>
      </w:r>
      <w:r>
        <w:rPr>
          <w:rFonts w:hint="eastAsia" w:ascii="宋体" w:hAnsi="宋体" w:cs="宋体"/>
          <w:bCs/>
          <w:color w:val="auto"/>
          <w:kern w:val="0"/>
          <w:szCs w:val="21"/>
          <w:highlight w:val="none"/>
          <w:lang w:val="en-US" w:eastAsia="zh-CN"/>
        </w:rPr>
        <w:t>12</w:t>
      </w:r>
      <w:r>
        <w:rPr>
          <w:rFonts w:hint="eastAsia" w:ascii="宋体" w:hAnsi="宋体" w:cs="宋体"/>
          <w:bCs/>
          <w:color w:val="auto"/>
          <w:kern w:val="0"/>
          <w:szCs w:val="21"/>
          <w:highlight w:val="none"/>
        </w:rPr>
        <w:t>个月。</w:t>
      </w:r>
    </w:p>
    <w:p w14:paraId="77B4377A">
      <w:pPr>
        <w:spacing w:line="312" w:lineRule="auto"/>
        <w:ind w:firstLine="562" w:firstLineChars="200"/>
        <w:jc w:val="left"/>
        <w:outlineLvl w:val="1"/>
        <w:rPr>
          <w:rFonts w:hint="eastAsia" w:ascii="宋体" w:hAnsi="宋体" w:cs="宋体"/>
          <w:b/>
          <w:color w:val="auto"/>
          <w:kern w:val="0"/>
          <w:sz w:val="28"/>
          <w:szCs w:val="28"/>
          <w:highlight w:val="none"/>
        </w:rPr>
      </w:pPr>
      <w:bookmarkStart w:id="15" w:name="_Hlk101188646"/>
      <w:r>
        <w:rPr>
          <w:rFonts w:hint="eastAsia" w:ascii="宋体" w:hAnsi="宋体" w:cs="宋体"/>
          <w:b/>
          <w:color w:val="auto"/>
          <w:kern w:val="0"/>
          <w:sz w:val="28"/>
          <w:szCs w:val="28"/>
          <w:highlight w:val="none"/>
        </w:rPr>
        <w:t>五、本项目标的所属行业</w:t>
      </w:r>
    </w:p>
    <w:p w14:paraId="0248AF97">
      <w:pPr>
        <w:spacing w:line="312" w:lineRule="auto"/>
        <w:ind w:firstLine="420" w:firstLineChars="200"/>
        <w:jc w:val="left"/>
        <w:rPr>
          <w:rFonts w:hint="eastAsia" w:ascii="宋体" w:hAnsi="宋体" w:cs="宋体"/>
          <w:bCs/>
          <w:color w:val="auto"/>
          <w:kern w:val="0"/>
          <w:szCs w:val="21"/>
          <w:highlight w:val="none"/>
        </w:rPr>
      </w:pPr>
      <w:bookmarkStart w:id="16" w:name="_Hlk74905748"/>
      <w:r>
        <w:rPr>
          <w:rFonts w:hint="eastAsia" w:ascii="宋体" w:hAnsi="宋体" w:cs="宋体"/>
          <w:bCs/>
          <w:color w:val="auto"/>
          <w:kern w:val="0"/>
          <w:szCs w:val="21"/>
          <w:highlight w:val="none"/>
        </w:rPr>
        <w:t>本项目所属行业建筑业</w:t>
      </w:r>
      <w:bookmarkEnd w:id="16"/>
      <w:r>
        <w:rPr>
          <w:rFonts w:hint="eastAsia" w:ascii="宋体" w:hAnsi="宋体" w:cs="宋体"/>
          <w:bCs/>
          <w:color w:val="auto"/>
          <w:kern w:val="0"/>
          <w:szCs w:val="21"/>
          <w:highlight w:val="none"/>
        </w:rPr>
        <w:t>。</w:t>
      </w:r>
    </w:p>
    <w:p w14:paraId="4017CFE0">
      <w:pPr>
        <w:rPr>
          <w:rFonts w:hint="eastAsia" w:ascii="宋体" w:hAnsi="宋体" w:cs="宋体"/>
          <w:color w:val="auto"/>
          <w:sz w:val="28"/>
          <w:szCs w:val="28"/>
          <w:highlight w:val="none"/>
        </w:rPr>
      </w:pPr>
      <w:bookmarkStart w:id="17" w:name="_Hlk133572867"/>
      <w:r>
        <w:rPr>
          <w:rFonts w:hint="eastAsia" w:ascii="宋体" w:hAnsi="宋体" w:cs="宋体"/>
          <w:color w:val="auto"/>
          <w:sz w:val="28"/>
          <w:szCs w:val="28"/>
          <w:highlight w:val="none"/>
        </w:rPr>
        <w:br w:type="page"/>
      </w:r>
    </w:p>
    <w:p w14:paraId="35EA8F6B">
      <w:pPr>
        <w:spacing w:line="528" w:lineRule="exact"/>
        <w:ind w:firstLine="280" w:firstLineChars="100"/>
        <w:rPr>
          <w:rFonts w:hint="eastAsia" w:ascii="宋体" w:hAnsi="宋体" w:cs="宋体"/>
          <w:color w:val="auto"/>
          <w:sz w:val="28"/>
          <w:szCs w:val="28"/>
          <w:highlight w:val="none"/>
        </w:rPr>
      </w:pPr>
      <w:r>
        <w:rPr>
          <w:rFonts w:hint="eastAsia" w:ascii="宋体" w:hAnsi="宋体" w:cs="宋体"/>
          <w:color w:val="auto"/>
          <w:sz w:val="28"/>
          <w:szCs w:val="28"/>
          <w:highlight w:val="none"/>
        </w:rPr>
        <w:t>附件：</w:t>
      </w:r>
    </w:p>
    <w:p w14:paraId="2430B519">
      <w:pPr>
        <w:spacing w:line="528" w:lineRule="exact"/>
        <w:ind w:firstLine="280" w:firstLineChars="100"/>
        <w:jc w:val="center"/>
        <w:rPr>
          <w:rFonts w:hint="eastAsia" w:ascii="宋体" w:hAnsi="宋体" w:cs="宋体"/>
          <w:color w:val="auto"/>
          <w:sz w:val="28"/>
          <w:szCs w:val="28"/>
          <w:highlight w:val="none"/>
        </w:rPr>
      </w:pPr>
      <w:r>
        <w:rPr>
          <w:rFonts w:hint="eastAsia" w:ascii="宋体" w:hAnsi="宋体" w:cs="宋体"/>
          <w:color w:val="auto"/>
          <w:sz w:val="28"/>
          <w:szCs w:val="28"/>
          <w:highlight w:val="none"/>
        </w:rPr>
        <w:t>中小微企业划型标准</w:t>
      </w:r>
    </w:p>
    <w:tbl>
      <w:tblPr>
        <w:tblStyle w:val="55"/>
        <w:tblW w:w="8706" w:type="dxa"/>
        <w:jc w:val="center"/>
        <w:tblLayout w:type="fixed"/>
        <w:tblCellMar>
          <w:top w:w="0" w:type="dxa"/>
          <w:left w:w="108" w:type="dxa"/>
          <w:bottom w:w="0" w:type="dxa"/>
          <w:right w:w="108" w:type="dxa"/>
        </w:tblCellMar>
      </w:tblPr>
      <w:tblGrid>
        <w:gridCol w:w="1446"/>
        <w:gridCol w:w="1701"/>
        <w:gridCol w:w="1134"/>
        <w:gridCol w:w="1846"/>
        <w:gridCol w:w="1570"/>
        <w:gridCol w:w="1009"/>
      </w:tblGrid>
      <w:tr w14:paraId="0E0655EC">
        <w:tblPrEx>
          <w:tblCellMar>
            <w:top w:w="0" w:type="dxa"/>
            <w:left w:w="108" w:type="dxa"/>
            <w:bottom w:w="0" w:type="dxa"/>
            <w:right w:w="108" w:type="dxa"/>
          </w:tblCellMar>
        </w:tblPrEx>
        <w:trPr>
          <w:trHeight w:val="279" w:hRule="atLeast"/>
          <w:jc w:val="center"/>
        </w:trPr>
        <w:tc>
          <w:tcPr>
            <w:tcW w:w="1446" w:type="dxa"/>
            <w:tcBorders>
              <w:top w:val="single" w:color="auto" w:sz="4" w:space="0"/>
              <w:left w:val="single" w:color="auto" w:sz="4" w:space="0"/>
              <w:bottom w:val="single" w:color="auto" w:sz="4" w:space="0"/>
              <w:right w:val="single" w:color="auto" w:sz="4" w:space="0"/>
            </w:tcBorders>
            <w:noWrap w:val="0"/>
            <w:vAlign w:val="center"/>
          </w:tcPr>
          <w:p w14:paraId="498FD648">
            <w:pPr>
              <w:widowControl/>
              <w:jc w:val="left"/>
              <w:rPr>
                <w:rFonts w:hint="eastAsia" w:ascii="宋体" w:hAnsi="宋体" w:cs="宋体"/>
                <w:color w:val="auto"/>
                <w:szCs w:val="21"/>
                <w:highlight w:val="none"/>
              </w:rPr>
            </w:pPr>
            <w:r>
              <w:rPr>
                <w:rFonts w:hint="eastAsia" w:ascii="宋体" w:hAnsi="宋体" w:cs="宋体"/>
                <w:color w:val="auto"/>
                <w:szCs w:val="21"/>
                <w:highlight w:val="none"/>
              </w:rPr>
              <w:t>行业名称</w:t>
            </w:r>
          </w:p>
        </w:tc>
        <w:tc>
          <w:tcPr>
            <w:tcW w:w="1701" w:type="dxa"/>
            <w:tcBorders>
              <w:top w:val="single" w:color="auto" w:sz="4" w:space="0"/>
              <w:left w:val="nil"/>
              <w:bottom w:val="single" w:color="auto" w:sz="4" w:space="0"/>
              <w:right w:val="single" w:color="auto" w:sz="4" w:space="0"/>
            </w:tcBorders>
            <w:noWrap w:val="0"/>
            <w:vAlign w:val="center"/>
          </w:tcPr>
          <w:p w14:paraId="3E4E1D40">
            <w:pPr>
              <w:widowControl/>
              <w:jc w:val="left"/>
              <w:rPr>
                <w:rFonts w:hint="eastAsia" w:ascii="宋体" w:hAnsi="宋体" w:cs="宋体"/>
                <w:color w:val="auto"/>
                <w:szCs w:val="21"/>
                <w:highlight w:val="none"/>
              </w:rPr>
            </w:pPr>
            <w:r>
              <w:rPr>
                <w:rFonts w:hint="eastAsia" w:ascii="宋体" w:hAnsi="宋体" w:cs="宋体"/>
                <w:color w:val="auto"/>
                <w:szCs w:val="21"/>
                <w:highlight w:val="none"/>
              </w:rPr>
              <w:t>指标名称</w:t>
            </w:r>
          </w:p>
        </w:tc>
        <w:tc>
          <w:tcPr>
            <w:tcW w:w="1134" w:type="dxa"/>
            <w:tcBorders>
              <w:top w:val="single" w:color="auto" w:sz="4" w:space="0"/>
              <w:left w:val="nil"/>
              <w:bottom w:val="single" w:color="auto" w:sz="4" w:space="0"/>
              <w:right w:val="single" w:color="auto" w:sz="4" w:space="0"/>
            </w:tcBorders>
            <w:noWrap w:val="0"/>
            <w:vAlign w:val="center"/>
          </w:tcPr>
          <w:p w14:paraId="114CD294">
            <w:pPr>
              <w:widowControl/>
              <w:jc w:val="left"/>
              <w:rPr>
                <w:rFonts w:hint="eastAsia" w:ascii="宋体" w:hAnsi="宋体" w:cs="宋体"/>
                <w:color w:val="auto"/>
                <w:szCs w:val="21"/>
                <w:highlight w:val="none"/>
              </w:rPr>
            </w:pPr>
            <w:r>
              <w:rPr>
                <w:rFonts w:hint="eastAsia" w:ascii="宋体" w:hAnsi="宋体" w:cs="宋体"/>
                <w:color w:val="auto"/>
                <w:szCs w:val="21"/>
                <w:highlight w:val="none"/>
              </w:rPr>
              <w:t>计量单位</w:t>
            </w:r>
          </w:p>
        </w:tc>
        <w:tc>
          <w:tcPr>
            <w:tcW w:w="1846" w:type="dxa"/>
            <w:tcBorders>
              <w:top w:val="single" w:color="auto" w:sz="4" w:space="0"/>
              <w:left w:val="nil"/>
              <w:bottom w:val="single" w:color="auto" w:sz="4" w:space="0"/>
              <w:right w:val="single" w:color="auto" w:sz="4" w:space="0"/>
            </w:tcBorders>
            <w:noWrap w:val="0"/>
            <w:vAlign w:val="center"/>
          </w:tcPr>
          <w:p w14:paraId="18F01E8A">
            <w:pPr>
              <w:widowControl/>
              <w:jc w:val="left"/>
              <w:rPr>
                <w:rFonts w:hint="eastAsia" w:ascii="宋体" w:hAnsi="宋体" w:cs="宋体"/>
                <w:color w:val="auto"/>
                <w:szCs w:val="21"/>
                <w:highlight w:val="none"/>
              </w:rPr>
            </w:pPr>
            <w:r>
              <w:rPr>
                <w:rFonts w:hint="eastAsia" w:ascii="宋体" w:hAnsi="宋体" w:cs="宋体"/>
                <w:color w:val="auto"/>
                <w:szCs w:val="21"/>
                <w:highlight w:val="none"/>
              </w:rPr>
              <w:t>中型</w:t>
            </w:r>
          </w:p>
        </w:tc>
        <w:tc>
          <w:tcPr>
            <w:tcW w:w="1570" w:type="dxa"/>
            <w:tcBorders>
              <w:top w:val="single" w:color="auto" w:sz="4" w:space="0"/>
              <w:left w:val="nil"/>
              <w:bottom w:val="single" w:color="auto" w:sz="4" w:space="0"/>
              <w:right w:val="single" w:color="auto" w:sz="4" w:space="0"/>
            </w:tcBorders>
            <w:noWrap w:val="0"/>
            <w:vAlign w:val="center"/>
          </w:tcPr>
          <w:p w14:paraId="389EBFBE">
            <w:pPr>
              <w:widowControl/>
              <w:jc w:val="left"/>
              <w:rPr>
                <w:rFonts w:hint="eastAsia" w:ascii="宋体" w:hAnsi="宋体" w:cs="宋体"/>
                <w:color w:val="auto"/>
                <w:szCs w:val="21"/>
                <w:highlight w:val="none"/>
              </w:rPr>
            </w:pPr>
            <w:r>
              <w:rPr>
                <w:rFonts w:hint="eastAsia" w:ascii="宋体" w:hAnsi="宋体" w:cs="宋体"/>
                <w:color w:val="auto"/>
                <w:szCs w:val="21"/>
                <w:highlight w:val="none"/>
              </w:rPr>
              <w:t>小型</w:t>
            </w:r>
          </w:p>
        </w:tc>
        <w:tc>
          <w:tcPr>
            <w:tcW w:w="1009" w:type="dxa"/>
            <w:tcBorders>
              <w:top w:val="single" w:color="auto" w:sz="4" w:space="0"/>
              <w:left w:val="nil"/>
              <w:bottom w:val="single" w:color="auto" w:sz="4" w:space="0"/>
              <w:right w:val="single" w:color="auto" w:sz="4" w:space="0"/>
            </w:tcBorders>
            <w:noWrap w:val="0"/>
            <w:vAlign w:val="center"/>
          </w:tcPr>
          <w:p w14:paraId="266A6C48">
            <w:pPr>
              <w:widowControl/>
              <w:jc w:val="left"/>
              <w:rPr>
                <w:rFonts w:hint="eastAsia" w:ascii="宋体" w:hAnsi="宋体" w:cs="宋体"/>
                <w:color w:val="auto"/>
                <w:szCs w:val="21"/>
                <w:highlight w:val="none"/>
              </w:rPr>
            </w:pPr>
            <w:r>
              <w:rPr>
                <w:rFonts w:hint="eastAsia" w:ascii="宋体" w:hAnsi="宋体" w:cs="宋体"/>
                <w:color w:val="auto"/>
                <w:szCs w:val="21"/>
                <w:highlight w:val="none"/>
              </w:rPr>
              <w:t>微型</w:t>
            </w:r>
          </w:p>
        </w:tc>
      </w:tr>
      <w:tr w14:paraId="46743F93">
        <w:tblPrEx>
          <w:tblCellMar>
            <w:top w:w="0" w:type="dxa"/>
            <w:left w:w="108" w:type="dxa"/>
            <w:bottom w:w="0" w:type="dxa"/>
            <w:right w:w="108" w:type="dxa"/>
          </w:tblCellMar>
        </w:tblPrEx>
        <w:trPr>
          <w:trHeight w:val="220" w:hRule="atLeast"/>
          <w:jc w:val="center"/>
        </w:trPr>
        <w:tc>
          <w:tcPr>
            <w:tcW w:w="1446" w:type="dxa"/>
            <w:tcBorders>
              <w:top w:val="nil"/>
              <w:left w:val="single" w:color="auto" w:sz="4" w:space="0"/>
              <w:bottom w:val="single" w:color="auto" w:sz="4" w:space="0"/>
              <w:right w:val="single" w:color="auto" w:sz="4" w:space="0"/>
            </w:tcBorders>
            <w:noWrap w:val="0"/>
            <w:vAlign w:val="bottom"/>
          </w:tcPr>
          <w:p w14:paraId="28C1B80D">
            <w:pPr>
              <w:widowControl/>
              <w:jc w:val="center"/>
              <w:rPr>
                <w:rFonts w:hint="eastAsia" w:ascii="宋体" w:hAnsi="宋体" w:cs="宋体"/>
                <w:color w:val="auto"/>
                <w:szCs w:val="21"/>
                <w:highlight w:val="none"/>
              </w:rPr>
            </w:pPr>
            <w:r>
              <w:rPr>
                <w:rFonts w:hint="eastAsia" w:ascii="宋体" w:hAnsi="宋体" w:cs="宋体"/>
                <w:color w:val="auto"/>
                <w:szCs w:val="21"/>
                <w:highlight w:val="none"/>
              </w:rPr>
              <w:t>农、林、牧、渔</w:t>
            </w:r>
          </w:p>
        </w:tc>
        <w:tc>
          <w:tcPr>
            <w:tcW w:w="1701" w:type="dxa"/>
            <w:tcBorders>
              <w:top w:val="nil"/>
              <w:left w:val="nil"/>
              <w:bottom w:val="single" w:color="auto" w:sz="4" w:space="0"/>
              <w:right w:val="single" w:color="auto" w:sz="4" w:space="0"/>
            </w:tcBorders>
            <w:noWrap w:val="0"/>
            <w:vAlign w:val="center"/>
          </w:tcPr>
          <w:p w14:paraId="12BF3CF1">
            <w:pPr>
              <w:widowControl/>
              <w:jc w:val="left"/>
              <w:rPr>
                <w:rFonts w:hint="eastAsia" w:ascii="宋体" w:hAnsi="宋体" w:cs="宋体"/>
                <w:color w:val="auto"/>
                <w:szCs w:val="21"/>
                <w:highlight w:val="none"/>
              </w:rPr>
            </w:pPr>
            <w:r>
              <w:rPr>
                <w:rFonts w:hint="eastAsia" w:ascii="宋体" w:hAnsi="宋体" w:cs="宋体"/>
                <w:color w:val="auto"/>
                <w:szCs w:val="21"/>
                <w:highlight w:val="none"/>
              </w:rPr>
              <w:t>营业收入（Y）</w:t>
            </w:r>
          </w:p>
        </w:tc>
        <w:tc>
          <w:tcPr>
            <w:tcW w:w="1134" w:type="dxa"/>
            <w:tcBorders>
              <w:top w:val="nil"/>
              <w:left w:val="nil"/>
              <w:bottom w:val="single" w:color="auto" w:sz="4" w:space="0"/>
              <w:right w:val="single" w:color="auto" w:sz="4" w:space="0"/>
            </w:tcBorders>
            <w:noWrap w:val="0"/>
            <w:vAlign w:val="center"/>
          </w:tcPr>
          <w:p w14:paraId="31199363">
            <w:pPr>
              <w:widowControl/>
              <w:jc w:val="left"/>
              <w:rPr>
                <w:rFonts w:hint="eastAsia" w:ascii="宋体" w:hAnsi="宋体" w:cs="宋体"/>
                <w:color w:val="auto"/>
                <w:szCs w:val="21"/>
                <w:highlight w:val="none"/>
              </w:rPr>
            </w:pPr>
            <w:r>
              <w:rPr>
                <w:rFonts w:hint="eastAsia" w:ascii="宋体" w:hAnsi="宋体" w:cs="宋体"/>
                <w:color w:val="auto"/>
                <w:szCs w:val="21"/>
                <w:highlight w:val="none"/>
              </w:rPr>
              <w:t>万元</w:t>
            </w:r>
          </w:p>
        </w:tc>
        <w:tc>
          <w:tcPr>
            <w:tcW w:w="1846" w:type="dxa"/>
            <w:tcBorders>
              <w:top w:val="nil"/>
              <w:left w:val="nil"/>
              <w:bottom w:val="single" w:color="auto" w:sz="4" w:space="0"/>
              <w:right w:val="single" w:color="auto" w:sz="4" w:space="0"/>
            </w:tcBorders>
            <w:noWrap w:val="0"/>
            <w:vAlign w:val="center"/>
          </w:tcPr>
          <w:p w14:paraId="57F17314">
            <w:pPr>
              <w:widowControl/>
              <w:jc w:val="left"/>
              <w:rPr>
                <w:rFonts w:hint="eastAsia" w:ascii="宋体" w:hAnsi="宋体" w:cs="宋体"/>
                <w:color w:val="auto"/>
                <w:szCs w:val="21"/>
                <w:highlight w:val="none"/>
              </w:rPr>
            </w:pPr>
            <w:r>
              <w:rPr>
                <w:rFonts w:hint="eastAsia" w:ascii="宋体" w:hAnsi="宋体" w:cs="宋体"/>
                <w:color w:val="auto"/>
                <w:szCs w:val="21"/>
                <w:highlight w:val="none"/>
              </w:rPr>
              <w:t>500≤Y＜20000</w:t>
            </w:r>
          </w:p>
        </w:tc>
        <w:tc>
          <w:tcPr>
            <w:tcW w:w="1570" w:type="dxa"/>
            <w:tcBorders>
              <w:top w:val="nil"/>
              <w:left w:val="nil"/>
              <w:bottom w:val="single" w:color="auto" w:sz="4" w:space="0"/>
              <w:right w:val="single" w:color="auto" w:sz="4" w:space="0"/>
            </w:tcBorders>
            <w:noWrap w:val="0"/>
            <w:vAlign w:val="center"/>
          </w:tcPr>
          <w:p w14:paraId="15D9BEF3">
            <w:pPr>
              <w:widowControl/>
              <w:jc w:val="left"/>
              <w:rPr>
                <w:rFonts w:hint="eastAsia" w:ascii="宋体" w:hAnsi="宋体" w:cs="宋体"/>
                <w:color w:val="auto"/>
                <w:szCs w:val="21"/>
                <w:highlight w:val="none"/>
              </w:rPr>
            </w:pPr>
            <w:r>
              <w:rPr>
                <w:rFonts w:hint="eastAsia" w:ascii="宋体" w:hAnsi="宋体" w:cs="宋体"/>
                <w:color w:val="auto"/>
                <w:szCs w:val="21"/>
                <w:highlight w:val="none"/>
              </w:rPr>
              <w:t>50≤Y＜500</w:t>
            </w:r>
          </w:p>
        </w:tc>
        <w:tc>
          <w:tcPr>
            <w:tcW w:w="1009" w:type="dxa"/>
            <w:tcBorders>
              <w:top w:val="nil"/>
              <w:left w:val="nil"/>
              <w:bottom w:val="single" w:color="auto" w:sz="4" w:space="0"/>
              <w:right w:val="single" w:color="auto" w:sz="4" w:space="0"/>
            </w:tcBorders>
            <w:noWrap w:val="0"/>
            <w:vAlign w:val="center"/>
          </w:tcPr>
          <w:p w14:paraId="429263B1">
            <w:pPr>
              <w:widowControl/>
              <w:jc w:val="left"/>
              <w:rPr>
                <w:rFonts w:hint="eastAsia" w:ascii="宋体" w:hAnsi="宋体" w:cs="宋体"/>
                <w:color w:val="auto"/>
                <w:szCs w:val="21"/>
                <w:highlight w:val="none"/>
              </w:rPr>
            </w:pPr>
            <w:r>
              <w:rPr>
                <w:rFonts w:hint="eastAsia" w:ascii="宋体" w:hAnsi="宋体" w:cs="宋体"/>
                <w:color w:val="auto"/>
                <w:szCs w:val="21"/>
                <w:highlight w:val="none"/>
              </w:rPr>
              <w:t>Y＜50</w:t>
            </w:r>
          </w:p>
        </w:tc>
      </w:tr>
      <w:tr w14:paraId="24C30868">
        <w:tblPrEx>
          <w:tblCellMar>
            <w:top w:w="0" w:type="dxa"/>
            <w:left w:w="108" w:type="dxa"/>
            <w:bottom w:w="0" w:type="dxa"/>
            <w:right w:w="108" w:type="dxa"/>
          </w:tblCellMar>
        </w:tblPrEx>
        <w:trPr>
          <w:trHeight w:val="220" w:hRule="atLeast"/>
          <w:jc w:val="center"/>
        </w:trPr>
        <w:tc>
          <w:tcPr>
            <w:tcW w:w="1446" w:type="dxa"/>
            <w:vMerge w:val="restart"/>
            <w:tcBorders>
              <w:top w:val="nil"/>
              <w:left w:val="single" w:color="auto" w:sz="4" w:space="0"/>
              <w:bottom w:val="single" w:color="auto" w:sz="4" w:space="0"/>
              <w:right w:val="single" w:color="auto" w:sz="4" w:space="0"/>
            </w:tcBorders>
            <w:noWrap w:val="0"/>
            <w:vAlign w:val="bottom"/>
          </w:tcPr>
          <w:p w14:paraId="783638FE">
            <w:pPr>
              <w:widowControl/>
              <w:jc w:val="center"/>
              <w:rPr>
                <w:rFonts w:hint="eastAsia" w:ascii="宋体" w:hAnsi="宋体" w:cs="宋体"/>
                <w:color w:val="auto"/>
                <w:szCs w:val="21"/>
                <w:highlight w:val="none"/>
              </w:rPr>
            </w:pPr>
            <w:r>
              <w:rPr>
                <w:rFonts w:hint="eastAsia" w:ascii="宋体" w:hAnsi="宋体" w:cs="宋体"/>
                <w:color w:val="auto"/>
                <w:szCs w:val="21"/>
                <w:highlight w:val="none"/>
              </w:rPr>
              <w:t>工业</w:t>
            </w:r>
          </w:p>
        </w:tc>
        <w:tc>
          <w:tcPr>
            <w:tcW w:w="1701" w:type="dxa"/>
            <w:tcBorders>
              <w:top w:val="nil"/>
              <w:left w:val="nil"/>
              <w:bottom w:val="single" w:color="auto" w:sz="4" w:space="0"/>
              <w:right w:val="single" w:color="auto" w:sz="4" w:space="0"/>
            </w:tcBorders>
            <w:noWrap w:val="0"/>
            <w:vAlign w:val="center"/>
          </w:tcPr>
          <w:p w14:paraId="71FAD745">
            <w:pPr>
              <w:widowControl/>
              <w:jc w:val="left"/>
              <w:rPr>
                <w:rFonts w:hint="eastAsia" w:ascii="宋体" w:hAnsi="宋体" w:cs="宋体"/>
                <w:color w:val="auto"/>
                <w:szCs w:val="21"/>
                <w:highlight w:val="none"/>
              </w:rPr>
            </w:pPr>
            <w:r>
              <w:rPr>
                <w:rFonts w:hint="eastAsia" w:ascii="宋体" w:hAnsi="宋体" w:cs="宋体"/>
                <w:color w:val="auto"/>
                <w:szCs w:val="21"/>
                <w:highlight w:val="none"/>
              </w:rPr>
              <w:t>从业人员（X）</w:t>
            </w:r>
          </w:p>
        </w:tc>
        <w:tc>
          <w:tcPr>
            <w:tcW w:w="1134" w:type="dxa"/>
            <w:tcBorders>
              <w:top w:val="nil"/>
              <w:left w:val="nil"/>
              <w:bottom w:val="single" w:color="auto" w:sz="4" w:space="0"/>
              <w:right w:val="single" w:color="auto" w:sz="4" w:space="0"/>
            </w:tcBorders>
            <w:noWrap w:val="0"/>
            <w:vAlign w:val="center"/>
          </w:tcPr>
          <w:p w14:paraId="54C7F7F3">
            <w:pPr>
              <w:widowControl/>
              <w:jc w:val="left"/>
              <w:rPr>
                <w:rFonts w:hint="eastAsia" w:ascii="宋体" w:hAnsi="宋体" w:cs="宋体"/>
                <w:color w:val="auto"/>
                <w:szCs w:val="21"/>
                <w:highlight w:val="none"/>
              </w:rPr>
            </w:pPr>
            <w:r>
              <w:rPr>
                <w:rFonts w:hint="eastAsia" w:ascii="宋体" w:hAnsi="宋体" w:cs="宋体"/>
                <w:color w:val="auto"/>
                <w:szCs w:val="21"/>
                <w:highlight w:val="none"/>
              </w:rPr>
              <w:t>人</w:t>
            </w:r>
          </w:p>
        </w:tc>
        <w:tc>
          <w:tcPr>
            <w:tcW w:w="1846" w:type="dxa"/>
            <w:tcBorders>
              <w:top w:val="nil"/>
              <w:left w:val="nil"/>
              <w:bottom w:val="single" w:color="auto" w:sz="4" w:space="0"/>
              <w:right w:val="single" w:color="auto" w:sz="4" w:space="0"/>
            </w:tcBorders>
            <w:noWrap w:val="0"/>
            <w:vAlign w:val="center"/>
          </w:tcPr>
          <w:p w14:paraId="4B67D462">
            <w:pPr>
              <w:widowControl/>
              <w:jc w:val="left"/>
              <w:rPr>
                <w:rFonts w:hint="eastAsia" w:ascii="宋体" w:hAnsi="宋体" w:cs="宋体"/>
                <w:color w:val="auto"/>
                <w:szCs w:val="21"/>
                <w:highlight w:val="none"/>
              </w:rPr>
            </w:pPr>
            <w:r>
              <w:rPr>
                <w:rFonts w:hint="eastAsia" w:ascii="宋体" w:hAnsi="宋体" w:cs="宋体"/>
                <w:color w:val="auto"/>
                <w:szCs w:val="21"/>
                <w:highlight w:val="none"/>
              </w:rPr>
              <w:t>300≤X＜1000</w:t>
            </w:r>
          </w:p>
        </w:tc>
        <w:tc>
          <w:tcPr>
            <w:tcW w:w="1570" w:type="dxa"/>
            <w:tcBorders>
              <w:top w:val="nil"/>
              <w:left w:val="nil"/>
              <w:bottom w:val="single" w:color="auto" w:sz="4" w:space="0"/>
              <w:right w:val="single" w:color="auto" w:sz="4" w:space="0"/>
            </w:tcBorders>
            <w:noWrap w:val="0"/>
            <w:vAlign w:val="center"/>
          </w:tcPr>
          <w:p w14:paraId="159D0B46">
            <w:pPr>
              <w:widowControl/>
              <w:jc w:val="left"/>
              <w:rPr>
                <w:rFonts w:hint="eastAsia" w:ascii="宋体" w:hAnsi="宋体" w:cs="宋体"/>
                <w:color w:val="auto"/>
                <w:szCs w:val="21"/>
                <w:highlight w:val="none"/>
              </w:rPr>
            </w:pPr>
            <w:r>
              <w:rPr>
                <w:rFonts w:hint="eastAsia" w:ascii="宋体" w:hAnsi="宋体" w:cs="宋体"/>
                <w:color w:val="auto"/>
                <w:szCs w:val="21"/>
                <w:highlight w:val="none"/>
              </w:rPr>
              <w:t>20≤X＜300</w:t>
            </w:r>
          </w:p>
        </w:tc>
        <w:tc>
          <w:tcPr>
            <w:tcW w:w="1009" w:type="dxa"/>
            <w:tcBorders>
              <w:top w:val="nil"/>
              <w:left w:val="nil"/>
              <w:bottom w:val="single" w:color="auto" w:sz="4" w:space="0"/>
              <w:right w:val="single" w:color="auto" w:sz="4" w:space="0"/>
            </w:tcBorders>
            <w:noWrap w:val="0"/>
            <w:vAlign w:val="center"/>
          </w:tcPr>
          <w:p w14:paraId="4FFECF6F">
            <w:pPr>
              <w:widowControl/>
              <w:jc w:val="left"/>
              <w:rPr>
                <w:rFonts w:hint="eastAsia" w:ascii="宋体" w:hAnsi="宋体" w:cs="宋体"/>
                <w:color w:val="auto"/>
                <w:szCs w:val="21"/>
                <w:highlight w:val="none"/>
              </w:rPr>
            </w:pPr>
            <w:r>
              <w:rPr>
                <w:rFonts w:hint="eastAsia" w:ascii="宋体" w:hAnsi="宋体" w:cs="宋体"/>
                <w:color w:val="auto"/>
                <w:szCs w:val="21"/>
                <w:highlight w:val="none"/>
              </w:rPr>
              <w:t>X＜20</w:t>
            </w:r>
          </w:p>
        </w:tc>
      </w:tr>
      <w:tr w14:paraId="1E1D62F8">
        <w:tblPrEx>
          <w:tblCellMar>
            <w:top w:w="0" w:type="dxa"/>
            <w:left w:w="108" w:type="dxa"/>
            <w:bottom w:w="0" w:type="dxa"/>
            <w:right w:w="108" w:type="dxa"/>
          </w:tblCellMar>
        </w:tblPrEx>
        <w:trPr>
          <w:trHeight w:val="220" w:hRule="atLeast"/>
          <w:jc w:val="center"/>
        </w:trPr>
        <w:tc>
          <w:tcPr>
            <w:tcW w:w="1446" w:type="dxa"/>
            <w:vMerge w:val="continue"/>
            <w:tcBorders>
              <w:top w:val="nil"/>
              <w:left w:val="single" w:color="auto" w:sz="4" w:space="0"/>
              <w:bottom w:val="single" w:color="auto" w:sz="4" w:space="0"/>
              <w:right w:val="single" w:color="auto" w:sz="4" w:space="0"/>
            </w:tcBorders>
            <w:noWrap w:val="0"/>
            <w:vAlign w:val="center"/>
          </w:tcPr>
          <w:p w14:paraId="6BD1BB73">
            <w:pPr>
              <w:widowControl/>
              <w:jc w:val="left"/>
              <w:rPr>
                <w:rFonts w:hint="eastAsia" w:ascii="宋体" w:hAnsi="宋体" w:cs="宋体"/>
                <w:color w:val="auto"/>
                <w:szCs w:val="21"/>
                <w:highlight w:val="none"/>
              </w:rPr>
            </w:pPr>
          </w:p>
        </w:tc>
        <w:tc>
          <w:tcPr>
            <w:tcW w:w="1701" w:type="dxa"/>
            <w:tcBorders>
              <w:top w:val="nil"/>
              <w:left w:val="nil"/>
              <w:bottom w:val="single" w:color="auto" w:sz="4" w:space="0"/>
              <w:right w:val="single" w:color="auto" w:sz="4" w:space="0"/>
            </w:tcBorders>
            <w:noWrap w:val="0"/>
            <w:vAlign w:val="center"/>
          </w:tcPr>
          <w:p w14:paraId="5E51FF76">
            <w:pPr>
              <w:widowControl/>
              <w:jc w:val="left"/>
              <w:rPr>
                <w:rFonts w:hint="eastAsia" w:ascii="宋体" w:hAnsi="宋体" w:cs="宋体"/>
                <w:color w:val="auto"/>
                <w:szCs w:val="21"/>
                <w:highlight w:val="none"/>
              </w:rPr>
            </w:pPr>
            <w:r>
              <w:rPr>
                <w:rFonts w:hint="eastAsia" w:ascii="宋体" w:hAnsi="宋体" w:cs="宋体"/>
                <w:color w:val="auto"/>
                <w:szCs w:val="21"/>
                <w:highlight w:val="none"/>
              </w:rPr>
              <w:t>营业收入（Y）</w:t>
            </w:r>
          </w:p>
        </w:tc>
        <w:tc>
          <w:tcPr>
            <w:tcW w:w="1134" w:type="dxa"/>
            <w:tcBorders>
              <w:top w:val="nil"/>
              <w:left w:val="nil"/>
              <w:bottom w:val="single" w:color="auto" w:sz="4" w:space="0"/>
              <w:right w:val="single" w:color="auto" w:sz="4" w:space="0"/>
            </w:tcBorders>
            <w:noWrap w:val="0"/>
            <w:vAlign w:val="center"/>
          </w:tcPr>
          <w:p w14:paraId="18B12FD0">
            <w:pPr>
              <w:widowControl/>
              <w:jc w:val="left"/>
              <w:rPr>
                <w:rFonts w:hint="eastAsia" w:ascii="宋体" w:hAnsi="宋体" w:cs="宋体"/>
                <w:color w:val="auto"/>
                <w:szCs w:val="21"/>
                <w:highlight w:val="none"/>
              </w:rPr>
            </w:pPr>
            <w:r>
              <w:rPr>
                <w:rFonts w:hint="eastAsia" w:ascii="宋体" w:hAnsi="宋体" w:cs="宋体"/>
                <w:color w:val="auto"/>
                <w:szCs w:val="21"/>
                <w:highlight w:val="none"/>
              </w:rPr>
              <w:t>万元</w:t>
            </w:r>
          </w:p>
        </w:tc>
        <w:tc>
          <w:tcPr>
            <w:tcW w:w="1846" w:type="dxa"/>
            <w:tcBorders>
              <w:top w:val="nil"/>
              <w:left w:val="nil"/>
              <w:bottom w:val="single" w:color="auto" w:sz="4" w:space="0"/>
              <w:right w:val="single" w:color="auto" w:sz="4" w:space="0"/>
            </w:tcBorders>
            <w:noWrap w:val="0"/>
            <w:vAlign w:val="center"/>
          </w:tcPr>
          <w:p w14:paraId="1DA482F4">
            <w:pPr>
              <w:widowControl/>
              <w:jc w:val="left"/>
              <w:rPr>
                <w:rFonts w:hint="eastAsia" w:ascii="宋体" w:hAnsi="宋体" w:cs="宋体"/>
                <w:color w:val="auto"/>
                <w:szCs w:val="21"/>
                <w:highlight w:val="none"/>
              </w:rPr>
            </w:pPr>
            <w:r>
              <w:rPr>
                <w:rFonts w:hint="eastAsia" w:ascii="宋体" w:hAnsi="宋体" w:cs="宋体"/>
                <w:color w:val="auto"/>
                <w:szCs w:val="21"/>
                <w:highlight w:val="none"/>
              </w:rPr>
              <w:t>2000≤Y＜40000</w:t>
            </w:r>
          </w:p>
        </w:tc>
        <w:tc>
          <w:tcPr>
            <w:tcW w:w="1570" w:type="dxa"/>
            <w:tcBorders>
              <w:top w:val="nil"/>
              <w:left w:val="nil"/>
              <w:bottom w:val="single" w:color="auto" w:sz="4" w:space="0"/>
              <w:right w:val="single" w:color="auto" w:sz="4" w:space="0"/>
            </w:tcBorders>
            <w:noWrap w:val="0"/>
            <w:vAlign w:val="center"/>
          </w:tcPr>
          <w:p w14:paraId="04769163">
            <w:pPr>
              <w:widowControl/>
              <w:jc w:val="left"/>
              <w:rPr>
                <w:rFonts w:hint="eastAsia" w:ascii="宋体" w:hAnsi="宋体" w:cs="宋体"/>
                <w:color w:val="auto"/>
                <w:szCs w:val="21"/>
                <w:highlight w:val="none"/>
              </w:rPr>
            </w:pPr>
            <w:r>
              <w:rPr>
                <w:rFonts w:hint="eastAsia" w:ascii="宋体" w:hAnsi="宋体" w:cs="宋体"/>
                <w:color w:val="auto"/>
                <w:szCs w:val="21"/>
                <w:highlight w:val="none"/>
              </w:rPr>
              <w:t>300≤Y＜2000</w:t>
            </w:r>
          </w:p>
        </w:tc>
        <w:tc>
          <w:tcPr>
            <w:tcW w:w="1009" w:type="dxa"/>
            <w:tcBorders>
              <w:top w:val="nil"/>
              <w:left w:val="nil"/>
              <w:bottom w:val="single" w:color="auto" w:sz="4" w:space="0"/>
              <w:right w:val="single" w:color="auto" w:sz="4" w:space="0"/>
            </w:tcBorders>
            <w:noWrap w:val="0"/>
            <w:vAlign w:val="center"/>
          </w:tcPr>
          <w:p w14:paraId="58F05369">
            <w:pPr>
              <w:widowControl/>
              <w:jc w:val="left"/>
              <w:rPr>
                <w:rFonts w:hint="eastAsia" w:ascii="宋体" w:hAnsi="宋体" w:cs="宋体"/>
                <w:color w:val="auto"/>
                <w:szCs w:val="21"/>
                <w:highlight w:val="none"/>
              </w:rPr>
            </w:pPr>
            <w:r>
              <w:rPr>
                <w:rFonts w:hint="eastAsia" w:ascii="宋体" w:hAnsi="宋体" w:cs="宋体"/>
                <w:color w:val="auto"/>
                <w:szCs w:val="21"/>
                <w:highlight w:val="none"/>
              </w:rPr>
              <w:t>Y＜300</w:t>
            </w:r>
          </w:p>
        </w:tc>
      </w:tr>
      <w:tr w14:paraId="6A975C60">
        <w:tblPrEx>
          <w:tblCellMar>
            <w:top w:w="0" w:type="dxa"/>
            <w:left w:w="108" w:type="dxa"/>
            <w:bottom w:w="0" w:type="dxa"/>
            <w:right w:w="108" w:type="dxa"/>
          </w:tblCellMar>
        </w:tblPrEx>
        <w:trPr>
          <w:trHeight w:val="220" w:hRule="atLeast"/>
          <w:jc w:val="center"/>
        </w:trPr>
        <w:tc>
          <w:tcPr>
            <w:tcW w:w="1446" w:type="dxa"/>
            <w:vMerge w:val="restart"/>
            <w:tcBorders>
              <w:top w:val="nil"/>
              <w:left w:val="single" w:color="auto" w:sz="4" w:space="0"/>
              <w:bottom w:val="single" w:color="auto" w:sz="4" w:space="0"/>
              <w:right w:val="single" w:color="auto" w:sz="4" w:space="0"/>
            </w:tcBorders>
            <w:noWrap w:val="0"/>
            <w:vAlign w:val="bottom"/>
          </w:tcPr>
          <w:p w14:paraId="1D271289">
            <w:pPr>
              <w:widowControl/>
              <w:jc w:val="center"/>
              <w:rPr>
                <w:rFonts w:hint="eastAsia" w:ascii="宋体" w:hAnsi="宋体" w:cs="宋体"/>
                <w:color w:val="auto"/>
                <w:szCs w:val="21"/>
                <w:highlight w:val="none"/>
              </w:rPr>
            </w:pPr>
            <w:r>
              <w:rPr>
                <w:rFonts w:hint="eastAsia" w:ascii="宋体" w:hAnsi="宋体" w:cs="宋体"/>
                <w:color w:val="auto"/>
                <w:szCs w:val="21"/>
                <w:highlight w:val="none"/>
              </w:rPr>
              <w:t>建筑业</w:t>
            </w:r>
          </w:p>
        </w:tc>
        <w:tc>
          <w:tcPr>
            <w:tcW w:w="1701" w:type="dxa"/>
            <w:tcBorders>
              <w:top w:val="nil"/>
              <w:left w:val="nil"/>
              <w:bottom w:val="single" w:color="auto" w:sz="4" w:space="0"/>
              <w:right w:val="single" w:color="auto" w:sz="4" w:space="0"/>
            </w:tcBorders>
            <w:noWrap w:val="0"/>
            <w:vAlign w:val="center"/>
          </w:tcPr>
          <w:p w14:paraId="2426FA4E">
            <w:pPr>
              <w:widowControl/>
              <w:jc w:val="left"/>
              <w:rPr>
                <w:rFonts w:hint="eastAsia" w:ascii="宋体" w:hAnsi="宋体" w:cs="宋体"/>
                <w:color w:val="auto"/>
                <w:szCs w:val="21"/>
                <w:highlight w:val="none"/>
              </w:rPr>
            </w:pPr>
            <w:r>
              <w:rPr>
                <w:rFonts w:hint="eastAsia" w:ascii="宋体" w:hAnsi="宋体" w:cs="宋体"/>
                <w:color w:val="auto"/>
                <w:szCs w:val="21"/>
                <w:highlight w:val="none"/>
              </w:rPr>
              <w:t>营业收入（Y）</w:t>
            </w:r>
          </w:p>
        </w:tc>
        <w:tc>
          <w:tcPr>
            <w:tcW w:w="1134" w:type="dxa"/>
            <w:tcBorders>
              <w:top w:val="nil"/>
              <w:left w:val="nil"/>
              <w:bottom w:val="single" w:color="auto" w:sz="4" w:space="0"/>
              <w:right w:val="single" w:color="auto" w:sz="4" w:space="0"/>
            </w:tcBorders>
            <w:noWrap w:val="0"/>
            <w:vAlign w:val="center"/>
          </w:tcPr>
          <w:p w14:paraId="4A07B42B">
            <w:pPr>
              <w:widowControl/>
              <w:jc w:val="left"/>
              <w:rPr>
                <w:rFonts w:hint="eastAsia" w:ascii="宋体" w:hAnsi="宋体" w:cs="宋体"/>
                <w:color w:val="auto"/>
                <w:szCs w:val="21"/>
                <w:highlight w:val="none"/>
              </w:rPr>
            </w:pPr>
            <w:r>
              <w:rPr>
                <w:rFonts w:hint="eastAsia" w:ascii="宋体" w:hAnsi="宋体" w:cs="宋体"/>
                <w:color w:val="auto"/>
                <w:szCs w:val="21"/>
                <w:highlight w:val="none"/>
              </w:rPr>
              <w:t>万元</w:t>
            </w:r>
          </w:p>
        </w:tc>
        <w:tc>
          <w:tcPr>
            <w:tcW w:w="1846" w:type="dxa"/>
            <w:tcBorders>
              <w:top w:val="nil"/>
              <w:left w:val="nil"/>
              <w:bottom w:val="single" w:color="auto" w:sz="4" w:space="0"/>
              <w:right w:val="single" w:color="auto" w:sz="4" w:space="0"/>
            </w:tcBorders>
            <w:noWrap w:val="0"/>
            <w:vAlign w:val="center"/>
          </w:tcPr>
          <w:p w14:paraId="62E4D376">
            <w:pPr>
              <w:widowControl/>
              <w:jc w:val="left"/>
              <w:rPr>
                <w:rFonts w:hint="eastAsia" w:ascii="宋体" w:hAnsi="宋体" w:cs="宋体"/>
                <w:color w:val="auto"/>
                <w:szCs w:val="21"/>
                <w:highlight w:val="none"/>
              </w:rPr>
            </w:pPr>
            <w:r>
              <w:rPr>
                <w:rFonts w:hint="eastAsia" w:ascii="宋体" w:hAnsi="宋体" w:cs="宋体"/>
                <w:color w:val="auto"/>
                <w:szCs w:val="21"/>
                <w:highlight w:val="none"/>
              </w:rPr>
              <w:t>6000≤Y＜80000</w:t>
            </w:r>
          </w:p>
        </w:tc>
        <w:tc>
          <w:tcPr>
            <w:tcW w:w="1570" w:type="dxa"/>
            <w:tcBorders>
              <w:top w:val="nil"/>
              <w:left w:val="nil"/>
              <w:bottom w:val="single" w:color="auto" w:sz="4" w:space="0"/>
              <w:right w:val="single" w:color="auto" w:sz="4" w:space="0"/>
            </w:tcBorders>
            <w:noWrap w:val="0"/>
            <w:vAlign w:val="center"/>
          </w:tcPr>
          <w:p w14:paraId="0299F68A">
            <w:pPr>
              <w:widowControl/>
              <w:jc w:val="left"/>
              <w:rPr>
                <w:rFonts w:hint="eastAsia" w:ascii="宋体" w:hAnsi="宋体" w:cs="宋体"/>
                <w:color w:val="auto"/>
                <w:szCs w:val="21"/>
                <w:highlight w:val="none"/>
              </w:rPr>
            </w:pPr>
            <w:r>
              <w:rPr>
                <w:rFonts w:hint="eastAsia" w:ascii="宋体" w:hAnsi="宋体" w:cs="宋体"/>
                <w:color w:val="auto"/>
                <w:szCs w:val="21"/>
                <w:highlight w:val="none"/>
              </w:rPr>
              <w:t>300≤Y＜6000</w:t>
            </w:r>
          </w:p>
        </w:tc>
        <w:tc>
          <w:tcPr>
            <w:tcW w:w="1009" w:type="dxa"/>
            <w:tcBorders>
              <w:top w:val="nil"/>
              <w:left w:val="nil"/>
              <w:bottom w:val="single" w:color="auto" w:sz="4" w:space="0"/>
              <w:right w:val="single" w:color="auto" w:sz="4" w:space="0"/>
            </w:tcBorders>
            <w:noWrap w:val="0"/>
            <w:vAlign w:val="center"/>
          </w:tcPr>
          <w:p w14:paraId="58A934B4">
            <w:pPr>
              <w:widowControl/>
              <w:jc w:val="left"/>
              <w:rPr>
                <w:rFonts w:hint="eastAsia" w:ascii="宋体" w:hAnsi="宋体" w:cs="宋体"/>
                <w:color w:val="auto"/>
                <w:szCs w:val="21"/>
                <w:highlight w:val="none"/>
              </w:rPr>
            </w:pPr>
            <w:r>
              <w:rPr>
                <w:rFonts w:hint="eastAsia" w:ascii="宋体" w:hAnsi="宋体" w:cs="宋体"/>
                <w:color w:val="auto"/>
                <w:szCs w:val="21"/>
                <w:highlight w:val="none"/>
              </w:rPr>
              <w:t>Y＜300</w:t>
            </w:r>
          </w:p>
        </w:tc>
      </w:tr>
      <w:tr w14:paraId="70F5EBD2">
        <w:tblPrEx>
          <w:tblCellMar>
            <w:top w:w="0" w:type="dxa"/>
            <w:left w:w="108" w:type="dxa"/>
            <w:bottom w:w="0" w:type="dxa"/>
            <w:right w:w="108" w:type="dxa"/>
          </w:tblCellMar>
        </w:tblPrEx>
        <w:trPr>
          <w:trHeight w:val="220" w:hRule="atLeast"/>
          <w:jc w:val="center"/>
        </w:trPr>
        <w:tc>
          <w:tcPr>
            <w:tcW w:w="1446" w:type="dxa"/>
            <w:vMerge w:val="continue"/>
            <w:tcBorders>
              <w:top w:val="nil"/>
              <w:left w:val="single" w:color="auto" w:sz="4" w:space="0"/>
              <w:bottom w:val="single" w:color="auto" w:sz="4" w:space="0"/>
              <w:right w:val="single" w:color="auto" w:sz="4" w:space="0"/>
            </w:tcBorders>
            <w:noWrap w:val="0"/>
            <w:vAlign w:val="center"/>
          </w:tcPr>
          <w:p w14:paraId="11215C79">
            <w:pPr>
              <w:widowControl/>
              <w:jc w:val="left"/>
              <w:rPr>
                <w:rFonts w:hint="eastAsia" w:ascii="宋体" w:hAnsi="宋体" w:cs="宋体"/>
                <w:color w:val="auto"/>
                <w:szCs w:val="21"/>
                <w:highlight w:val="none"/>
              </w:rPr>
            </w:pPr>
          </w:p>
        </w:tc>
        <w:tc>
          <w:tcPr>
            <w:tcW w:w="1701" w:type="dxa"/>
            <w:tcBorders>
              <w:top w:val="nil"/>
              <w:left w:val="nil"/>
              <w:bottom w:val="single" w:color="auto" w:sz="4" w:space="0"/>
              <w:right w:val="single" w:color="auto" w:sz="4" w:space="0"/>
            </w:tcBorders>
            <w:noWrap w:val="0"/>
            <w:vAlign w:val="center"/>
          </w:tcPr>
          <w:p w14:paraId="3A871FA9">
            <w:pPr>
              <w:widowControl/>
              <w:jc w:val="left"/>
              <w:rPr>
                <w:rFonts w:hint="eastAsia" w:ascii="宋体" w:hAnsi="宋体" w:cs="宋体"/>
                <w:color w:val="auto"/>
                <w:szCs w:val="21"/>
                <w:highlight w:val="none"/>
              </w:rPr>
            </w:pPr>
            <w:r>
              <w:rPr>
                <w:rFonts w:hint="eastAsia" w:ascii="宋体" w:hAnsi="宋体" w:cs="宋体"/>
                <w:color w:val="auto"/>
                <w:szCs w:val="21"/>
                <w:highlight w:val="none"/>
              </w:rPr>
              <w:t>资产总额（Z）</w:t>
            </w:r>
          </w:p>
        </w:tc>
        <w:tc>
          <w:tcPr>
            <w:tcW w:w="1134" w:type="dxa"/>
            <w:tcBorders>
              <w:top w:val="nil"/>
              <w:left w:val="nil"/>
              <w:bottom w:val="single" w:color="auto" w:sz="4" w:space="0"/>
              <w:right w:val="single" w:color="auto" w:sz="4" w:space="0"/>
            </w:tcBorders>
            <w:noWrap w:val="0"/>
            <w:vAlign w:val="center"/>
          </w:tcPr>
          <w:p w14:paraId="695FC0C4">
            <w:pPr>
              <w:widowControl/>
              <w:jc w:val="left"/>
              <w:rPr>
                <w:rFonts w:hint="eastAsia" w:ascii="宋体" w:hAnsi="宋体" w:cs="宋体"/>
                <w:color w:val="auto"/>
                <w:szCs w:val="21"/>
                <w:highlight w:val="none"/>
              </w:rPr>
            </w:pPr>
            <w:r>
              <w:rPr>
                <w:rFonts w:hint="eastAsia" w:ascii="宋体" w:hAnsi="宋体" w:cs="宋体"/>
                <w:color w:val="auto"/>
                <w:szCs w:val="21"/>
                <w:highlight w:val="none"/>
              </w:rPr>
              <w:t>万元</w:t>
            </w:r>
          </w:p>
        </w:tc>
        <w:tc>
          <w:tcPr>
            <w:tcW w:w="1846" w:type="dxa"/>
            <w:tcBorders>
              <w:top w:val="nil"/>
              <w:left w:val="nil"/>
              <w:bottom w:val="single" w:color="auto" w:sz="4" w:space="0"/>
              <w:right w:val="single" w:color="auto" w:sz="4" w:space="0"/>
            </w:tcBorders>
            <w:noWrap w:val="0"/>
            <w:vAlign w:val="center"/>
          </w:tcPr>
          <w:p w14:paraId="35D0E52E">
            <w:pPr>
              <w:widowControl/>
              <w:jc w:val="left"/>
              <w:rPr>
                <w:rFonts w:hint="eastAsia" w:ascii="宋体" w:hAnsi="宋体" w:cs="宋体"/>
                <w:color w:val="auto"/>
                <w:szCs w:val="21"/>
                <w:highlight w:val="none"/>
              </w:rPr>
            </w:pPr>
            <w:r>
              <w:rPr>
                <w:rFonts w:hint="eastAsia" w:ascii="宋体" w:hAnsi="宋体" w:cs="宋体"/>
                <w:color w:val="auto"/>
                <w:szCs w:val="21"/>
                <w:highlight w:val="none"/>
              </w:rPr>
              <w:t>5000≤Z＜80000</w:t>
            </w:r>
          </w:p>
        </w:tc>
        <w:tc>
          <w:tcPr>
            <w:tcW w:w="1570" w:type="dxa"/>
            <w:tcBorders>
              <w:top w:val="nil"/>
              <w:left w:val="nil"/>
              <w:bottom w:val="single" w:color="auto" w:sz="4" w:space="0"/>
              <w:right w:val="single" w:color="auto" w:sz="4" w:space="0"/>
            </w:tcBorders>
            <w:noWrap w:val="0"/>
            <w:vAlign w:val="center"/>
          </w:tcPr>
          <w:p w14:paraId="6B422E87">
            <w:pPr>
              <w:widowControl/>
              <w:jc w:val="left"/>
              <w:rPr>
                <w:rFonts w:hint="eastAsia" w:ascii="宋体" w:hAnsi="宋体" w:cs="宋体"/>
                <w:color w:val="auto"/>
                <w:szCs w:val="21"/>
                <w:highlight w:val="none"/>
              </w:rPr>
            </w:pPr>
            <w:r>
              <w:rPr>
                <w:rFonts w:hint="eastAsia" w:ascii="宋体" w:hAnsi="宋体" w:cs="宋体"/>
                <w:color w:val="auto"/>
                <w:szCs w:val="21"/>
                <w:highlight w:val="none"/>
              </w:rPr>
              <w:t>300≤Z＜5000</w:t>
            </w:r>
          </w:p>
        </w:tc>
        <w:tc>
          <w:tcPr>
            <w:tcW w:w="1009" w:type="dxa"/>
            <w:tcBorders>
              <w:top w:val="nil"/>
              <w:left w:val="nil"/>
              <w:bottom w:val="single" w:color="auto" w:sz="4" w:space="0"/>
              <w:right w:val="single" w:color="auto" w:sz="4" w:space="0"/>
            </w:tcBorders>
            <w:noWrap w:val="0"/>
            <w:vAlign w:val="center"/>
          </w:tcPr>
          <w:p w14:paraId="4B7D4153">
            <w:pPr>
              <w:widowControl/>
              <w:jc w:val="left"/>
              <w:rPr>
                <w:rFonts w:hint="eastAsia" w:ascii="宋体" w:hAnsi="宋体" w:cs="宋体"/>
                <w:color w:val="auto"/>
                <w:szCs w:val="21"/>
                <w:highlight w:val="none"/>
              </w:rPr>
            </w:pPr>
            <w:r>
              <w:rPr>
                <w:rFonts w:hint="eastAsia" w:ascii="宋体" w:hAnsi="宋体" w:cs="宋体"/>
                <w:color w:val="auto"/>
                <w:szCs w:val="21"/>
                <w:highlight w:val="none"/>
              </w:rPr>
              <w:t>Z＜300</w:t>
            </w:r>
          </w:p>
        </w:tc>
      </w:tr>
      <w:tr w14:paraId="077F6DA0">
        <w:tblPrEx>
          <w:tblCellMar>
            <w:top w:w="0" w:type="dxa"/>
            <w:left w:w="108" w:type="dxa"/>
            <w:bottom w:w="0" w:type="dxa"/>
            <w:right w:w="108" w:type="dxa"/>
          </w:tblCellMar>
        </w:tblPrEx>
        <w:trPr>
          <w:trHeight w:val="220" w:hRule="atLeast"/>
          <w:jc w:val="center"/>
        </w:trPr>
        <w:tc>
          <w:tcPr>
            <w:tcW w:w="1446" w:type="dxa"/>
            <w:vMerge w:val="restart"/>
            <w:tcBorders>
              <w:top w:val="nil"/>
              <w:left w:val="single" w:color="auto" w:sz="4" w:space="0"/>
              <w:bottom w:val="single" w:color="auto" w:sz="4" w:space="0"/>
              <w:right w:val="single" w:color="auto" w:sz="4" w:space="0"/>
            </w:tcBorders>
            <w:noWrap w:val="0"/>
            <w:vAlign w:val="bottom"/>
          </w:tcPr>
          <w:p w14:paraId="6AC27715">
            <w:pPr>
              <w:widowControl/>
              <w:ind w:firstLine="315" w:firstLineChars="150"/>
              <w:rPr>
                <w:rFonts w:hint="eastAsia" w:ascii="宋体" w:hAnsi="宋体" w:cs="宋体"/>
                <w:color w:val="auto"/>
                <w:szCs w:val="21"/>
                <w:highlight w:val="none"/>
              </w:rPr>
            </w:pPr>
            <w:r>
              <w:rPr>
                <w:rFonts w:hint="eastAsia" w:ascii="宋体" w:hAnsi="宋体" w:cs="宋体"/>
                <w:color w:val="auto"/>
                <w:szCs w:val="21"/>
                <w:highlight w:val="none"/>
              </w:rPr>
              <w:t>批发业</w:t>
            </w:r>
          </w:p>
        </w:tc>
        <w:tc>
          <w:tcPr>
            <w:tcW w:w="1701" w:type="dxa"/>
            <w:tcBorders>
              <w:top w:val="nil"/>
              <w:left w:val="nil"/>
              <w:bottom w:val="single" w:color="auto" w:sz="4" w:space="0"/>
              <w:right w:val="single" w:color="auto" w:sz="4" w:space="0"/>
            </w:tcBorders>
            <w:noWrap w:val="0"/>
            <w:vAlign w:val="center"/>
          </w:tcPr>
          <w:p w14:paraId="64E9D426">
            <w:pPr>
              <w:widowControl/>
              <w:jc w:val="left"/>
              <w:rPr>
                <w:rFonts w:hint="eastAsia" w:ascii="宋体" w:hAnsi="宋体" w:cs="宋体"/>
                <w:color w:val="auto"/>
                <w:szCs w:val="21"/>
                <w:highlight w:val="none"/>
              </w:rPr>
            </w:pPr>
            <w:r>
              <w:rPr>
                <w:rFonts w:hint="eastAsia" w:ascii="宋体" w:hAnsi="宋体" w:cs="宋体"/>
                <w:color w:val="auto"/>
                <w:szCs w:val="21"/>
                <w:highlight w:val="none"/>
              </w:rPr>
              <w:t>从业人员（X）</w:t>
            </w:r>
          </w:p>
        </w:tc>
        <w:tc>
          <w:tcPr>
            <w:tcW w:w="1134" w:type="dxa"/>
            <w:tcBorders>
              <w:top w:val="nil"/>
              <w:left w:val="nil"/>
              <w:bottom w:val="single" w:color="auto" w:sz="4" w:space="0"/>
              <w:right w:val="single" w:color="auto" w:sz="4" w:space="0"/>
            </w:tcBorders>
            <w:noWrap w:val="0"/>
            <w:vAlign w:val="center"/>
          </w:tcPr>
          <w:p w14:paraId="1A80A112">
            <w:pPr>
              <w:widowControl/>
              <w:jc w:val="left"/>
              <w:rPr>
                <w:rFonts w:hint="eastAsia" w:ascii="宋体" w:hAnsi="宋体" w:cs="宋体"/>
                <w:color w:val="auto"/>
                <w:szCs w:val="21"/>
                <w:highlight w:val="none"/>
              </w:rPr>
            </w:pPr>
            <w:r>
              <w:rPr>
                <w:rFonts w:hint="eastAsia" w:ascii="宋体" w:hAnsi="宋体" w:cs="宋体"/>
                <w:color w:val="auto"/>
                <w:szCs w:val="21"/>
                <w:highlight w:val="none"/>
              </w:rPr>
              <w:t>人</w:t>
            </w:r>
          </w:p>
        </w:tc>
        <w:tc>
          <w:tcPr>
            <w:tcW w:w="1846" w:type="dxa"/>
            <w:tcBorders>
              <w:top w:val="nil"/>
              <w:left w:val="nil"/>
              <w:bottom w:val="single" w:color="auto" w:sz="4" w:space="0"/>
              <w:right w:val="single" w:color="auto" w:sz="4" w:space="0"/>
            </w:tcBorders>
            <w:noWrap w:val="0"/>
            <w:vAlign w:val="center"/>
          </w:tcPr>
          <w:p w14:paraId="383BD0BD">
            <w:pPr>
              <w:widowControl/>
              <w:jc w:val="left"/>
              <w:rPr>
                <w:rFonts w:hint="eastAsia" w:ascii="宋体" w:hAnsi="宋体" w:cs="宋体"/>
                <w:color w:val="auto"/>
                <w:szCs w:val="21"/>
                <w:highlight w:val="none"/>
              </w:rPr>
            </w:pPr>
            <w:r>
              <w:rPr>
                <w:rFonts w:hint="eastAsia" w:ascii="宋体" w:hAnsi="宋体" w:cs="宋体"/>
                <w:color w:val="auto"/>
                <w:szCs w:val="21"/>
                <w:highlight w:val="none"/>
              </w:rPr>
              <w:t>20≤X＜200</w:t>
            </w:r>
          </w:p>
        </w:tc>
        <w:tc>
          <w:tcPr>
            <w:tcW w:w="1570" w:type="dxa"/>
            <w:tcBorders>
              <w:top w:val="nil"/>
              <w:left w:val="nil"/>
              <w:bottom w:val="single" w:color="auto" w:sz="4" w:space="0"/>
              <w:right w:val="single" w:color="auto" w:sz="4" w:space="0"/>
            </w:tcBorders>
            <w:noWrap w:val="0"/>
            <w:vAlign w:val="center"/>
          </w:tcPr>
          <w:p w14:paraId="6F6B1ED9">
            <w:pPr>
              <w:widowControl/>
              <w:jc w:val="left"/>
              <w:rPr>
                <w:rFonts w:hint="eastAsia" w:ascii="宋体" w:hAnsi="宋体" w:cs="宋体"/>
                <w:color w:val="auto"/>
                <w:szCs w:val="21"/>
                <w:highlight w:val="none"/>
              </w:rPr>
            </w:pPr>
            <w:r>
              <w:rPr>
                <w:rFonts w:hint="eastAsia" w:ascii="宋体" w:hAnsi="宋体" w:cs="宋体"/>
                <w:color w:val="auto"/>
                <w:szCs w:val="21"/>
                <w:highlight w:val="none"/>
              </w:rPr>
              <w:t>5≤X＜20</w:t>
            </w:r>
          </w:p>
        </w:tc>
        <w:tc>
          <w:tcPr>
            <w:tcW w:w="1009" w:type="dxa"/>
            <w:tcBorders>
              <w:top w:val="nil"/>
              <w:left w:val="nil"/>
              <w:bottom w:val="single" w:color="auto" w:sz="4" w:space="0"/>
              <w:right w:val="single" w:color="auto" w:sz="4" w:space="0"/>
            </w:tcBorders>
            <w:noWrap w:val="0"/>
            <w:vAlign w:val="center"/>
          </w:tcPr>
          <w:p w14:paraId="3913C72E">
            <w:pPr>
              <w:widowControl/>
              <w:jc w:val="left"/>
              <w:rPr>
                <w:rFonts w:hint="eastAsia" w:ascii="宋体" w:hAnsi="宋体" w:cs="宋体"/>
                <w:color w:val="auto"/>
                <w:szCs w:val="21"/>
                <w:highlight w:val="none"/>
              </w:rPr>
            </w:pPr>
            <w:r>
              <w:rPr>
                <w:rFonts w:hint="eastAsia" w:ascii="宋体" w:hAnsi="宋体" w:cs="宋体"/>
                <w:color w:val="auto"/>
                <w:szCs w:val="21"/>
                <w:highlight w:val="none"/>
              </w:rPr>
              <w:t>X＜5</w:t>
            </w:r>
          </w:p>
        </w:tc>
      </w:tr>
      <w:tr w14:paraId="43B295DE">
        <w:tblPrEx>
          <w:tblCellMar>
            <w:top w:w="0" w:type="dxa"/>
            <w:left w:w="108" w:type="dxa"/>
            <w:bottom w:w="0" w:type="dxa"/>
            <w:right w:w="108" w:type="dxa"/>
          </w:tblCellMar>
        </w:tblPrEx>
        <w:trPr>
          <w:trHeight w:val="220" w:hRule="atLeast"/>
          <w:jc w:val="center"/>
        </w:trPr>
        <w:tc>
          <w:tcPr>
            <w:tcW w:w="1446" w:type="dxa"/>
            <w:vMerge w:val="continue"/>
            <w:tcBorders>
              <w:top w:val="nil"/>
              <w:left w:val="single" w:color="auto" w:sz="4" w:space="0"/>
              <w:bottom w:val="single" w:color="auto" w:sz="4" w:space="0"/>
              <w:right w:val="single" w:color="auto" w:sz="4" w:space="0"/>
            </w:tcBorders>
            <w:noWrap w:val="0"/>
            <w:vAlign w:val="center"/>
          </w:tcPr>
          <w:p w14:paraId="45C12DC5">
            <w:pPr>
              <w:widowControl/>
              <w:jc w:val="left"/>
              <w:rPr>
                <w:rFonts w:hint="eastAsia" w:ascii="宋体" w:hAnsi="宋体" w:cs="宋体"/>
                <w:color w:val="auto"/>
                <w:szCs w:val="21"/>
                <w:highlight w:val="none"/>
              </w:rPr>
            </w:pPr>
          </w:p>
        </w:tc>
        <w:tc>
          <w:tcPr>
            <w:tcW w:w="1701" w:type="dxa"/>
            <w:tcBorders>
              <w:top w:val="nil"/>
              <w:left w:val="nil"/>
              <w:bottom w:val="single" w:color="auto" w:sz="4" w:space="0"/>
              <w:right w:val="single" w:color="auto" w:sz="4" w:space="0"/>
            </w:tcBorders>
            <w:noWrap w:val="0"/>
            <w:vAlign w:val="center"/>
          </w:tcPr>
          <w:p w14:paraId="4B69441B">
            <w:pPr>
              <w:widowControl/>
              <w:jc w:val="left"/>
              <w:rPr>
                <w:rFonts w:hint="eastAsia" w:ascii="宋体" w:hAnsi="宋体" w:cs="宋体"/>
                <w:color w:val="auto"/>
                <w:szCs w:val="21"/>
                <w:highlight w:val="none"/>
              </w:rPr>
            </w:pPr>
            <w:r>
              <w:rPr>
                <w:rFonts w:hint="eastAsia" w:ascii="宋体" w:hAnsi="宋体" w:cs="宋体"/>
                <w:color w:val="auto"/>
                <w:szCs w:val="21"/>
                <w:highlight w:val="none"/>
              </w:rPr>
              <w:t>营业收入（Y）</w:t>
            </w:r>
          </w:p>
        </w:tc>
        <w:tc>
          <w:tcPr>
            <w:tcW w:w="1134" w:type="dxa"/>
            <w:tcBorders>
              <w:top w:val="nil"/>
              <w:left w:val="nil"/>
              <w:bottom w:val="single" w:color="auto" w:sz="4" w:space="0"/>
              <w:right w:val="single" w:color="auto" w:sz="4" w:space="0"/>
            </w:tcBorders>
            <w:noWrap w:val="0"/>
            <w:vAlign w:val="center"/>
          </w:tcPr>
          <w:p w14:paraId="6845ED62">
            <w:pPr>
              <w:widowControl/>
              <w:jc w:val="left"/>
              <w:rPr>
                <w:rFonts w:hint="eastAsia" w:ascii="宋体" w:hAnsi="宋体" w:cs="宋体"/>
                <w:color w:val="auto"/>
                <w:szCs w:val="21"/>
                <w:highlight w:val="none"/>
              </w:rPr>
            </w:pPr>
            <w:r>
              <w:rPr>
                <w:rFonts w:hint="eastAsia" w:ascii="宋体" w:hAnsi="宋体" w:cs="宋体"/>
                <w:color w:val="auto"/>
                <w:szCs w:val="21"/>
                <w:highlight w:val="none"/>
              </w:rPr>
              <w:t>万元</w:t>
            </w:r>
          </w:p>
        </w:tc>
        <w:tc>
          <w:tcPr>
            <w:tcW w:w="1846" w:type="dxa"/>
            <w:tcBorders>
              <w:top w:val="nil"/>
              <w:left w:val="nil"/>
              <w:bottom w:val="single" w:color="auto" w:sz="4" w:space="0"/>
              <w:right w:val="single" w:color="auto" w:sz="4" w:space="0"/>
            </w:tcBorders>
            <w:noWrap w:val="0"/>
            <w:vAlign w:val="center"/>
          </w:tcPr>
          <w:p w14:paraId="7D70F6CD">
            <w:pPr>
              <w:widowControl/>
              <w:jc w:val="left"/>
              <w:rPr>
                <w:rFonts w:hint="eastAsia" w:ascii="宋体" w:hAnsi="宋体" w:cs="宋体"/>
                <w:color w:val="auto"/>
                <w:szCs w:val="21"/>
                <w:highlight w:val="none"/>
              </w:rPr>
            </w:pPr>
            <w:r>
              <w:rPr>
                <w:rFonts w:hint="eastAsia" w:ascii="宋体" w:hAnsi="宋体" w:cs="宋体"/>
                <w:color w:val="auto"/>
                <w:szCs w:val="21"/>
                <w:highlight w:val="none"/>
              </w:rPr>
              <w:t>5000≤Y＜40000</w:t>
            </w:r>
          </w:p>
        </w:tc>
        <w:tc>
          <w:tcPr>
            <w:tcW w:w="1570" w:type="dxa"/>
            <w:tcBorders>
              <w:top w:val="nil"/>
              <w:left w:val="nil"/>
              <w:bottom w:val="single" w:color="auto" w:sz="4" w:space="0"/>
              <w:right w:val="single" w:color="auto" w:sz="4" w:space="0"/>
            </w:tcBorders>
            <w:noWrap w:val="0"/>
            <w:vAlign w:val="center"/>
          </w:tcPr>
          <w:p w14:paraId="462A57D3">
            <w:pPr>
              <w:widowControl/>
              <w:jc w:val="left"/>
              <w:rPr>
                <w:rFonts w:hint="eastAsia" w:ascii="宋体" w:hAnsi="宋体" w:cs="宋体"/>
                <w:color w:val="auto"/>
                <w:szCs w:val="21"/>
                <w:highlight w:val="none"/>
              </w:rPr>
            </w:pPr>
            <w:r>
              <w:rPr>
                <w:rFonts w:hint="eastAsia" w:ascii="宋体" w:hAnsi="宋体" w:cs="宋体"/>
                <w:color w:val="auto"/>
                <w:szCs w:val="21"/>
                <w:highlight w:val="none"/>
              </w:rPr>
              <w:t>1000≤Y＜5000</w:t>
            </w:r>
          </w:p>
        </w:tc>
        <w:tc>
          <w:tcPr>
            <w:tcW w:w="1009" w:type="dxa"/>
            <w:tcBorders>
              <w:top w:val="nil"/>
              <w:left w:val="nil"/>
              <w:bottom w:val="single" w:color="auto" w:sz="4" w:space="0"/>
              <w:right w:val="single" w:color="auto" w:sz="4" w:space="0"/>
            </w:tcBorders>
            <w:noWrap w:val="0"/>
            <w:vAlign w:val="center"/>
          </w:tcPr>
          <w:p w14:paraId="0A33999D">
            <w:pPr>
              <w:widowControl/>
              <w:jc w:val="left"/>
              <w:rPr>
                <w:rFonts w:hint="eastAsia" w:ascii="宋体" w:hAnsi="宋体" w:cs="宋体"/>
                <w:color w:val="auto"/>
                <w:szCs w:val="21"/>
                <w:highlight w:val="none"/>
              </w:rPr>
            </w:pPr>
            <w:r>
              <w:rPr>
                <w:rFonts w:hint="eastAsia" w:ascii="宋体" w:hAnsi="宋体" w:cs="宋体"/>
                <w:color w:val="auto"/>
                <w:szCs w:val="21"/>
                <w:highlight w:val="none"/>
              </w:rPr>
              <w:t>Y＜1000</w:t>
            </w:r>
          </w:p>
        </w:tc>
      </w:tr>
      <w:tr w14:paraId="6D234AB7">
        <w:tblPrEx>
          <w:tblCellMar>
            <w:top w:w="0" w:type="dxa"/>
            <w:left w:w="108" w:type="dxa"/>
            <w:bottom w:w="0" w:type="dxa"/>
            <w:right w:w="108" w:type="dxa"/>
          </w:tblCellMar>
        </w:tblPrEx>
        <w:trPr>
          <w:trHeight w:val="220" w:hRule="atLeast"/>
          <w:jc w:val="center"/>
        </w:trPr>
        <w:tc>
          <w:tcPr>
            <w:tcW w:w="1446" w:type="dxa"/>
            <w:vMerge w:val="restart"/>
            <w:tcBorders>
              <w:top w:val="nil"/>
              <w:left w:val="single" w:color="auto" w:sz="4" w:space="0"/>
              <w:bottom w:val="single" w:color="auto" w:sz="4" w:space="0"/>
              <w:right w:val="single" w:color="auto" w:sz="4" w:space="0"/>
            </w:tcBorders>
            <w:noWrap w:val="0"/>
            <w:vAlign w:val="bottom"/>
          </w:tcPr>
          <w:p w14:paraId="474D74E4">
            <w:pPr>
              <w:widowControl/>
              <w:jc w:val="center"/>
              <w:rPr>
                <w:rFonts w:hint="eastAsia" w:ascii="宋体" w:hAnsi="宋体" w:cs="宋体"/>
                <w:color w:val="auto"/>
                <w:szCs w:val="21"/>
                <w:highlight w:val="none"/>
              </w:rPr>
            </w:pPr>
            <w:r>
              <w:rPr>
                <w:rFonts w:hint="eastAsia" w:ascii="宋体" w:hAnsi="宋体" w:cs="宋体"/>
                <w:color w:val="auto"/>
                <w:szCs w:val="21"/>
                <w:highlight w:val="none"/>
              </w:rPr>
              <w:t>零售业</w:t>
            </w:r>
          </w:p>
        </w:tc>
        <w:tc>
          <w:tcPr>
            <w:tcW w:w="1701" w:type="dxa"/>
            <w:tcBorders>
              <w:top w:val="nil"/>
              <w:left w:val="nil"/>
              <w:bottom w:val="single" w:color="auto" w:sz="4" w:space="0"/>
              <w:right w:val="single" w:color="auto" w:sz="4" w:space="0"/>
            </w:tcBorders>
            <w:noWrap w:val="0"/>
            <w:vAlign w:val="center"/>
          </w:tcPr>
          <w:p w14:paraId="0A1D8220">
            <w:pPr>
              <w:widowControl/>
              <w:jc w:val="left"/>
              <w:rPr>
                <w:rFonts w:hint="eastAsia" w:ascii="宋体" w:hAnsi="宋体" w:cs="宋体"/>
                <w:color w:val="auto"/>
                <w:szCs w:val="21"/>
                <w:highlight w:val="none"/>
              </w:rPr>
            </w:pPr>
            <w:r>
              <w:rPr>
                <w:rFonts w:hint="eastAsia" w:ascii="宋体" w:hAnsi="宋体" w:cs="宋体"/>
                <w:color w:val="auto"/>
                <w:szCs w:val="21"/>
                <w:highlight w:val="none"/>
              </w:rPr>
              <w:t>从业人员（X）</w:t>
            </w:r>
          </w:p>
        </w:tc>
        <w:tc>
          <w:tcPr>
            <w:tcW w:w="1134" w:type="dxa"/>
            <w:tcBorders>
              <w:top w:val="nil"/>
              <w:left w:val="nil"/>
              <w:bottom w:val="single" w:color="auto" w:sz="4" w:space="0"/>
              <w:right w:val="single" w:color="auto" w:sz="4" w:space="0"/>
            </w:tcBorders>
            <w:noWrap w:val="0"/>
            <w:vAlign w:val="center"/>
          </w:tcPr>
          <w:p w14:paraId="1DD44CDC">
            <w:pPr>
              <w:widowControl/>
              <w:jc w:val="left"/>
              <w:rPr>
                <w:rFonts w:hint="eastAsia" w:ascii="宋体" w:hAnsi="宋体" w:cs="宋体"/>
                <w:color w:val="auto"/>
                <w:szCs w:val="21"/>
                <w:highlight w:val="none"/>
              </w:rPr>
            </w:pPr>
            <w:r>
              <w:rPr>
                <w:rFonts w:hint="eastAsia" w:ascii="宋体" w:hAnsi="宋体" w:cs="宋体"/>
                <w:color w:val="auto"/>
                <w:szCs w:val="21"/>
                <w:highlight w:val="none"/>
              </w:rPr>
              <w:t>人</w:t>
            </w:r>
          </w:p>
        </w:tc>
        <w:tc>
          <w:tcPr>
            <w:tcW w:w="1846" w:type="dxa"/>
            <w:tcBorders>
              <w:top w:val="nil"/>
              <w:left w:val="nil"/>
              <w:bottom w:val="single" w:color="auto" w:sz="4" w:space="0"/>
              <w:right w:val="single" w:color="auto" w:sz="4" w:space="0"/>
            </w:tcBorders>
            <w:noWrap w:val="0"/>
            <w:vAlign w:val="center"/>
          </w:tcPr>
          <w:p w14:paraId="1A8DF1DB">
            <w:pPr>
              <w:widowControl/>
              <w:jc w:val="left"/>
              <w:rPr>
                <w:rFonts w:hint="eastAsia" w:ascii="宋体" w:hAnsi="宋体" w:cs="宋体"/>
                <w:color w:val="auto"/>
                <w:szCs w:val="21"/>
                <w:highlight w:val="none"/>
              </w:rPr>
            </w:pPr>
            <w:r>
              <w:rPr>
                <w:rFonts w:hint="eastAsia" w:ascii="宋体" w:hAnsi="宋体" w:cs="宋体"/>
                <w:color w:val="auto"/>
                <w:szCs w:val="21"/>
                <w:highlight w:val="none"/>
              </w:rPr>
              <w:t>50≤X＜300</w:t>
            </w:r>
          </w:p>
        </w:tc>
        <w:tc>
          <w:tcPr>
            <w:tcW w:w="1570" w:type="dxa"/>
            <w:tcBorders>
              <w:top w:val="nil"/>
              <w:left w:val="nil"/>
              <w:bottom w:val="single" w:color="auto" w:sz="4" w:space="0"/>
              <w:right w:val="single" w:color="auto" w:sz="4" w:space="0"/>
            </w:tcBorders>
            <w:noWrap w:val="0"/>
            <w:vAlign w:val="center"/>
          </w:tcPr>
          <w:p w14:paraId="2D3CEAF4">
            <w:pPr>
              <w:widowControl/>
              <w:jc w:val="left"/>
              <w:rPr>
                <w:rFonts w:hint="eastAsia" w:ascii="宋体" w:hAnsi="宋体" w:cs="宋体"/>
                <w:color w:val="auto"/>
                <w:szCs w:val="21"/>
                <w:highlight w:val="none"/>
              </w:rPr>
            </w:pPr>
            <w:r>
              <w:rPr>
                <w:rFonts w:hint="eastAsia" w:ascii="宋体" w:hAnsi="宋体" w:cs="宋体"/>
                <w:color w:val="auto"/>
                <w:szCs w:val="21"/>
                <w:highlight w:val="none"/>
              </w:rPr>
              <w:t>10≤X＜50</w:t>
            </w:r>
          </w:p>
        </w:tc>
        <w:tc>
          <w:tcPr>
            <w:tcW w:w="1009" w:type="dxa"/>
            <w:tcBorders>
              <w:top w:val="nil"/>
              <w:left w:val="nil"/>
              <w:bottom w:val="single" w:color="auto" w:sz="4" w:space="0"/>
              <w:right w:val="single" w:color="auto" w:sz="4" w:space="0"/>
            </w:tcBorders>
            <w:noWrap w:val="0"/>
            <w:vAlign w:val="center"/>
          </w:tcPr>
          <w:p w14:paraId="2E036072">
            <w:pPr>
              <w:widowControl/>
              <w:jc w:val="left"/>
              <w:rPr>
                <w:rFonts w:hint="eastAsia" w:ascii="宋体" w:hAnsi="宋体" w:cs="宋体"/>
                <w:color w:val="auto"/>
                <w:szCs w:val="21"/>
                <w:highlight w:val="none"/>
              </w:rPr>
            </w:pPr>
            <w:r>
              <w:rPr>
                <w:rFonts w:hint="eastAsia" w:ascii="宋体" w:hAnsi="宋体" w:cs="宋体"/>
                <w:color w:val="auto"/>
                <w:szCs w:val="21"/>
                <w:highlight w:val="none"/>
              </w:rPr>
              <w:t>X＜10</w:t>
            </w:r>
          </w:p>
        </w:tc>
      </w:tr>
      <w:tr w14:paraId="4D337F4E">
        <w:tblPrEx>
          <w:tblCellMar>
            <w:top w:w="0" w:type="dxa"/>
            <w:left w:w="108" w:type="dxa"/>
            <w:bottom w:w="0" w:type="dxa"/>
            <w:right w:w="108" w:type="dxa"/>
          </w:tblCellMar>
        </w:tblPrEx>
        <w:trPr>
          <w:trHeight w:val="220" w:hRule="atLeast"/>
          <w:jc w:val="center"/>
        </w:trPr>
        <w:tc>
          <w:tcPr>
            <w:tcW w:w="1446" w:type="dxa"/>
            <w:vMerge w:val="continue"/>
            <w:tcBorders>
              <w:top w:val="nil"/>
              <w:left w:val="single" w:color="auto" w:sz="4" w:space="0"/>
              <w:bottom w:val="single" w:color="auto" w:sz="4" w:space="0"/>
              <w:right w:val="single" w:color="auto" w:sz="4" w:space="0"/>
            </w:tcBorders>
            <w:noWrap w:val="0"/>
            <w:vAlign w:val="center"/>
          </w:tcPr>
          <w:p w14:paraId="1CFEA100">
            <w:pPr>
              <w:widowControl/>
              <w:jc w:val="left"/>
              <w:rPr>
                <w:rFonts w:hint="eastAsia" w:ascii="宋体" w:hAnsi="宋体" w:cs="宋体"/>
                <w:color w:val="auto"/>
                <w:szCs w:val="21"/>
                <w:highlight w:val="none"/>
              </w:rPr>
            </w:pPr>
          </w:p>
        </w:tc>
        <w:tc>
          <w:tcPr>
            <w:tcW w:w="1701" w:type="dxa"/>
            <w:tcBorders>
              <w:top w:val="nil"/>
              <w:left w:val="nil"/>
              <w:bottom w:val="single" w:color="auto" w:sz="4" w:space="0"/>
              <w:right w:val="single" w:color="auto" w:sz="4" w:space="0"/>
            </w:tcBorders>
            <w:noWrap w:val="0"/>
            <w:vAlign w:val="center"/>
          </w:tcPr>
          <w:p w14:paraId="057737CA">
            <w:pPr>
              <w:widowControl/>
              <w:jc w:val="left"/>
              <w:rPr>
                <w:rFonts w:hint="eastAsia" w:ascii="宋体" w:hAnsi="宋体" w:cs="宋体"/>
                <w:color w:val="auto"/>
                <w:szCs w:val="21"/>
                <w:highlight w:val="none"/>
              </w:rPr>
            </w:pPr>
            <w:r>
              <w:rPr>
                <w:rFonts w:hint="eastAsia" w:ascii="宋体" w:hAnsi="宋体" w:cs="宋体"/>
                <w:color w:val="auto"/>
                <w:szCs w:val="21"/>
                <w:highlight w:val="none"/>
              </w:rPr>
              <w:t>营业收入（Y）</w:t>
            </w:r>
          </w:p>
        </w:tc>
        <w:tc>
          <w:tcPr>
            <w:tcW w:w="1134" w:type="dxa"/>
            <w:tcBorders>
              <w:top w:val="nil"/>
              <w:left w:val="nil"/>
              <w:bottom w:val="single" w:color="auto" w:sz="4" w:space="0"/>
              <w:right w:val="single" w:color="auto" w:sz="4" w:space="0"/>
            </w:tcBorders>
            <w:noWrap w:val="0"/>
            <w:vAlign w:val="center"/>
          </w:tcPr>
          <w:p w14:paraId="0A6B5574">
            <w:pPr>
              <w:widowControl/>
              <w:jc w:val="left"/>
              <w:rPr>
                <w:rFonts w:hint="eastAsia" w:ascii="宋体" w:hAnsi="宋体" w:cs="宋体"/>
                <w:color w:val="auto"/>
                <w:szCs w:val="21"/>
                <w:highlight w:val="none"/>
              </w:rPr>
            </w:pPr>
            <w:r>
              <w:rPr>
                <w:rFonts w:hint="eastAsia" w:ascii="宋体" w:hAnsi="宋体" w:cs="宋体"/>
                <w:color w:val="auto"/>
                <w:szCs w:val="21"/>
                <w:highlight w:val="none"/>
              </w:rPr>
              <w:t>万元</w:t>
            </w:r>
          </w:p>
        </w:tc>
        <w:tc>
          <w:tcPr>
            <w:tcW w:w="1846" w:type="dxa"/>
            <w:tcBorders>
              <w:top w:val="nil"/>
              <w:left w:val="nil"/>
              <w:bottom w:val="single" w:color="auto" w:sz="4" w:space="0"/>
              <w:right w:val="single" w:color="auto" w:sz="4" w:space="0"/>
            </w:tcBorders>
            <w:noWrap w:val="0"/>
            <w:vAlign w:val="center"/>
          </w:tcPr>
          <w:p w14:paraId="5528798A">
            <w:pPr>
              <w:widowControl/>
              <w:jc w:val="left"/>
              <w:rPr>
                <w:rFonts w:hint="eastAsia" w:ascii="宋体" w:hAnsi="宋体" w:cs="宋体"/>
                <w:color w:val="auto"/>
                <w:szCs w:val="21"/>
                <w:highlight w:val="none"/>
              </w:rPr>
            </w:pPr>
            <w:r>
              <w:rPr>
                <w:rFonts w:hint="eastAsia" w:ascii="宋体" w:hAnsi="宋体" w:cs="宋体"/>
                <w:color w:val="auto"/>
                <w:szCs w:val="21"/>
                <w:highlight w:val="none"/>
              </w:rPr>
              <w:t>500≤Y＜20000</w:t>
            </w:r>
          </w:p>
        </w:tc>
        <w:tc>
          <w:tcPr>
            <w:tcW w:w="1570" w:type="dxa"/>
            <w:tcBorders>
              <w:top w:val="nil"/>
              <w:left w:val="nil"/>
              <w:bottom w:val="single" w:color="auto" w:sz="4" w:space="0"/>
              <w:right w:val="single" w:color="auto" w:sz="4" w:space="0"/>
            </w:tcBorders>
            <w:noWrap w:val="0"/>
            <w:vAlign w:val="center"/>
          </w:tcPr>
          <w:p w14:paraId="3FDF0A53">
            <w:pPr>
              <w:widowControl/>
              <w:jc w:val="left"/>
              <w:rPr>
                <w:rFonts w:hint="eastAsia" w:ascii="宋体" w:hAnsi="宋体" w:cs="宋体"/>
                <w:color w:val="auto"/>
                <w:szCs w:val="21"/>
                <w:highlight w:val="none"/>
              </w:rPr>
            </w:pPr>
            <w:r>
              <w:rPr>
                <w:rFonts w:hint="eastAsia" w:ascii="宋体" w:hAnsi="宋体" w:cs="宋体"/>
                <w:color w:val="auto"/>
                <w:szCs w:val="21"/>
                <w:highlight w:val="none"/>
              </w:rPr>
              <w:t>100≤Y＜500</w:t>
            </w:r>
          </w:p>
        </w:tc>
        <w:tc>
          <w:tcPr>
            <w:tcW w:w="1009" w:type="dxa"/>
            <w:tcBorders>
              <w:top w:val="nil"/>
              <w:left w:val="nil"/>
              <w:bottom w:val="single" w:color="auto" w:sz="4" w:space="0"/>
              <w:right w:val="single" w:color="auto" w:sz="4" w:space="0"/>
            </w:tcBorders>
            <w:noWrap w:val="0"/>
            <w:vAlign w:val="center"/>
          </w:tcPr>
          <w:p w14:paraId="64EA3BE7">
            <w:pPr>
              <w:widowControl/>
              <w:jc w:val="left"/>
              <w:rPr>
                <w:rFonts w:hint="eastAsia" w:ascii="宋体" w:hAnsi="宋体" w:cs="宋体"/>
                <w:color w:val="auto"/>
                <w:szCs w:val="21"/>
                <w:highlight w:val="none"/>
              </w:rPr>
            </w:pPr>
            <w:r>
              <w:rPr>
                <w:rFonts w:hint="eastAsia" w:ascii="宋体" w:hAnsi="宋体" w:cs="宋体"/>
                <w:color w:val="auto"/>
                <w:szCs w:val="21"/>
                <w:highlight w:val="none"/>
              </w:rPr>
              <w:t>Y＜100</w:t>
            </w:r>
          </w:p>
        </w:tc>
      </w:tr>
      <w:tr w14:paraId="7581204E">
        <w:tblPrEx>
          <w:tblCellMar>
            <w:top w:w="0" w:type="dxa"/>
            <w:left w:w="108" w:type="dxa"/>
            <w:bottom w:w="0" w:type="dxa"/>
            <w:right w:w="108" w:type="dxa"/>
          </w:tblCellMar>
        </w:tblPrEx>
        <w:trPr>
          <w:trHeight w:val="220" w:hRule="atLeast"/>
          <w:jc w:val="center"/>
        </w:trPr>
        <w:tc>
          <w:tcPr>
            <w:tcW w:w="1446" w:type="dxa"/>
            <w:vMerge w:val="restart"/>
            <w:tcBorders>
              <w:top w:val="nil"/>
              <w:left w:val="single" w:color="auto" w:sz="4" w:space="0"/>
              <w:bottom w:val="single" w:color="auto" w:sz="4" w:space="0"/>
              <w:right w:val="single" w:color="auto" w:sz="4" w:space="0"/>
            </w:tcBorders>
            <w:noWrap w:val="0"/>
            <w:vAlign w:val="bottom"/>
          </w:tcPr>
          <w:p w14:paraId="3C75A3A0">
            <w:pPr>
              <w:widowControl/>
              <w:jc w:val="center"/>
              <w:rPr>
                <w:rFonts w:hint="eastAsia" w:ascii="宋体" w:hAnsi="宋体" w:cs="宋体"/>
                <w:color w:val="auto"/>
                <w:szCs w:val="21"/>
                <w:highlight w:val="none"/>
              </w:rPr>
            </w:pPr>
            <w:r>
              <w:rPr>
                <w:rFonts w:hint="eastAsia" w:ascii="宋体" w:hAnsi="宋体" w:cs="宋体"/>
                <w:color w:val="auto"/>
                <w:szCs w:val="21"/>
                <w:highlight w:val="none"/>
              </w:rPr>
              <w:t>交通运输业</w:t>
            </w:r>
          </w:p>
        </w:tc>
        <w:tc>
          <w:tcPr>
            <w:tcW w:w="1701" w:type="dxa"/>
            <w:tcBorders>
              <w:top w:val="nil"/>
              <w:left w:val="nil"/>
              <w:bottom w:val="single" w:color="auto" w:sz="4" w:space="0"/>
              <w:right w:val="single" w:color="auto" w:sz="4" w:space="0"/>
            </w:tcBorders>
            <w:noWrap w:val="0"/>
            <w:vAlign w:val="center"/>
          </w:tcPr>
          <w:p w14:paraId="2792E777">
            <w:pPr>
              <w:widowControl/>
              <w:jc w:val="left"/>
              <w:rPr>
                <w:rFonts w:hint="eastAsia" w:ascii="宋体" w:hAnsi="宋体" w:cs="宋体"/>
                <w:color w:val="auto"/>
                <w:szCs w:val="21"/>
                <w:highlight w:val="none"/>
              </w:rPr>
            </w:pPr>
            <w:r>
              <w:rPr>
                <w:rFonts w:hint="eastAsia" w:ascii="宋体" w:hAnsi="宋体" w:cs="宋体"/>
                <w:color w:val="auto"/>
                <w:szCs w:val="21"/>
                <w:highlight w:val="none"/>
              </w:rPr>
              <w:t>从业人员（X）</w:t>
            </w:r>
          </w:p>
        </w:tc>
        <w:tc>
          <w:tcPr>
            <w:tcW w:w="1134" w:type="dxa"/>
            <w:tcBorders>
              <w:top w:val="nil"/>
              <w:left w:val="nil"/>
              <w:bottom w:val="single" w:color="auto" w:sz="4" w:space="0"/>
              <w:right w:val="single" w:color="auto" w:sz="4" w:space="0"/>
            </w:tcBorders>
            <w:noWrap w:val="0"/>
            <w:vAlign w:val="center"/>
          </w:tcPr>
          <w:p w14:paraId="756BC5F9">
            <w:pPr>
              <w:widowControl/>
              <w:jc w:val="left"/>
              <w:rPr>
                <w:rFonts w:hint="eastAsia" w:ascii="宋体" w:hAnsi="宋体" w:cs="宋体"/>
                <w:color w:val="auto"/>
                <w:szCs w:val="21"/>
                <w:highlight w:val="none"/>
              </w:rPr>
            </w:pPr>
            <w:r>
              <w:rPr>
                <w:rFonts w:hint="eastAsia" w:ascii="宋体" w:hAnsi="宋体" w:cs="宋体"/>
                <w:color w:val="auto"/>
                <w:szCs w:val="21"/>
                <w:highlight w:val="none"/>
              </w:rPr>
              <w:t>人</w:t>
            </w:r>
          </w:p>
        </w:tc>
        <w:tc>
          <w:tcPr>
            <w:tcW w:w="1846" w:type="dxa"/>
            <w:tcBorders>
              <w:top w:val="nil"/>
              <w:left w:val="nil"/>
              <w:bottom w:val="single" w:color="auto" w:sz="4" w:space="0"/>
              <w:right w:val="single" w:color="auto" w:sz="4" w:space="0"/>
            </w:tcBorders>
            <w:noWrap w:val="0"/>
            <w:vAlign w:val="center"/>
          </w:tcPr>
          <w:p w14:paraId="3D2284C8">
            <w:pPr>
              <w:widowControl/>
              <w:jc w:val="left"/>
              <w:rPr>
                <w:rFonts w:hint="eastAsia" w:ascii="宋体" w:hAnsi="宋体" w:cs="宋体"/>
                <w:color w:val="auto"/>
                <w:szCs w:val="21"/>
                <w:highlight w:val="none"/>
              </w:rPr>
            </w:pPr>
            <w:r>
              <w:rPr>
                <w:rFonts w:hint="eastAsia" w:ascii="宋体" w:hAnsi="宋体" w:cs="宋体"/>
                <w:color w:val="auto"/>
                <w:szCs w:val="21"/>
                <w:highlight w:val="none"/>
              </w:rPr>
              <w:t>300≤X＜1000</w:t>
            </w:r>
          </w:p>
        </w:tc>
        <w:tc>
          <w:tcPr>
            <w:tcW w:w="1570" w:type="dxa"/>
            <w:tcBorders>
              <w:top w:val="nil"/>
              <w:left w:val="nil"/>
              <w:bottom w:val="single" w:color="auto" w:sz="4" w:space="0"/>
              <w:right w:val="single" w:color="auto" w:sz="4" w:space="0"/>
            </w:tcBorders>
            <w:noWrap w:val="0"/>
            <w:vAlign w:val="center"/>
          </w:tcPr>
          <w:p w14:paraId="40E3ADA3">
            <w:pPr>
              <w:widowControl/>
              <w:jc w:val="left"/>
              <w:rPr>
                <w:rFonts w:hint="eastAsia" w:ascii="宋体" w:hAnsi="宋体" w:cs="宋体"/>
                <w:color w:val="auto"/>
                <w:szCs w:val="21"/>
                <w:highlight w:val="none"/>
              </w:rPr>
            </w:pPr>
            <w:r>
              <w:rPr>
                <w:rFonts w:hint="eastAsia" w:ascii="宋体" w:hAnsi="宋体" w:cs="宋体"/>
                <w:color w:val="auto"/>
                <w:szCs w:val="21"/>
                <w:highlight w:val="none"/>
              </w:rPr>
              <w:t>20≤X＜300</w:t>
            </w:r>
          </w:p>
        </w:tc>
        <w:tc>
          <w:tcPr>
            <w:tcW w:w="1009" w:type="dxa"/>
            <w:tcBorders>
              <w:top w:val="nil"/>
              <w:left w:val="nil"/>
              <w:bottom w:val="single" w:color="auto" w:sz="4" w:space="0"/>
              <w:right w:val="single" w:color="auto" w:sz="4" w:space="0"/>
            </w:tcBorders>
            <w:noWrap w:val="0"/>
            <w:vAlign w:val="center"/>
          </w:tcPr>
          <w:p w14:paraId="4CBAE3F3">
            <w:pPr>
              <w:widowControl/>
              <w:jc w:val="left"/>
              <w:rPr>
                <w:rFonts w:hint="eastAsia" w:ascii="宋体" w:hAnsi="宋体" w:cs="宋体"/>
                <w:color w:val="auto"/>
                <w:szCs w:val="21"/>
                <w:highlight w:val="none"/>
              </w:rPr>
            </w:pPr>
            <w:r>
              <w:rPr>
                <w:rFonts w:hint="eastAsia" w:ascii="宋体" w:hAnsi="宋体" w:cs="宋体"/>
                <w:color w:val="auto"/>
                <w:szCs w:val="21"/>
                <w:highlight w:val="none"/>
              </w:rPr>
              <w:t>X＜20</w:t>
            </w:r>
          </w:p>
        </w:tc>
      </w:tr>
      <w:tr w14:paraId="7903DCA6">
        <w:tblPrEx>
          <w:tblCellMar>
            <w:top w:w="0" w:type="dxa"/>
            <w:left w:w="108" w:type="dxa"/>
            <w:bottom w:w="0" w:type="dxa"/>
            <w:right w:w="108" w:type="dxa"/>
          </w:tblCellMar>
        </w:tblPrEx>
        <w:trPr>
          <w:trHeight w:val="220" w:hRule="atLeast"/>
          <w:jc w:val="center"/>
        </w:trPr>
        <w:tc>
          <w:tcPr>
            <w:tcW w:w="1446" w:type="dxa"/>
            <w:vMerge w:val="continue"/>
            <w:tcBorders>
              <w:top w:val="nil"/>
              <w:left w:val="single" w:color="auto" w:sz="4" w:space="0"/>
              <w:bottom w:val="single" w:color="auto" w:sz="4" w:space="0"/>
              <w:right w:val="single" w:color="auto" w:sz="4" w:space="0"/>
            </w:tcBorders>
            <w:noWrap w:val="0"/>
            <w:vAlign w:val="center"/>
          </w:tcPr>
          <w:p w14:paraId="702D9507">
            <w:pPr>
              <w:widowControl/>
              <w:jc w:val="left"/>
              <w:rPr>
                <w:rFonts w:hint="eastAsia" w:ascii="宋体" w:hAnsi="宋体" w:cs="宋体"/>
                <w:color w:val="auto"/>
                <w:szCs w:val="21"/>
                <w:highlight w:val="none"/>
              </w:rPr>
            </w:pPr>
          </w:p>
        </w:tc>
        <w:tc>
          <w:tcPr>
            <w:tcW w:w="1701" w:type="dxa"/>
            <w:tcBorders>
              <w:top w:val="nil"/>
              <w:left w:val="nil"/>
              <w:bottom w:val="single" w:color="auto" w:sz="4" w:space="0"/>
              <w:right w:val="single" w:color="auto" w:sz="4" w:space="0"/>
            </w:tcBorders>
            <w:noWrap w:val="0"/>
            <w:vAlign w:val="center"/>
          </w:tcPr>
          <w:p w14:paraId="6C2595FA">
            <w:pPr>
              <w:widowControl/>
              <w:jc w:val="left"/>
              <w:rPr>
                <w:rFonts w:hint="eastAsia" w:ascii="宋体" w:hAnsi="宋体" w:cs="宋体"/>
                <w:color w:val="auto"/>
                <w:szCs w:val="21"/>
                <w:highlight w:val="none"/>
              </w:rPr>
            </w:pPr>
            <w:r>
              <w:rPr>
                <w:rFonts w:hint="eastAsia" w:ascii="宋体" w:hAnsi="宋体" w:cs="宋体"/>
                <w:color w:val="auto"/>
                <w:szCs w:val="21"/>
                <w:highlight w:val="none"/>
              </w:rPr>
              <w:t>营业收入（Y）</w:t>
            </w:r>
          </w:p>
        </w:tc>
        <w:tc>
          <w:tcPr>
            <w:tcW w:w="1134" w:type="dxa"/>
            <w:tcBorders>
              <w:top w:val="nil"/>
              <w:left w:val="nil"/>
              <w:bottom w:val="single" w:color="auto" w:sz="4" w:space="0"/>
              <w:right w:val="single" w:color="auto" w:sz="4" w:space="0"/>
            </w:tcBorders>
            <w:noWrap w:val="0"/>
            <w:vAlign w:val="center"/>
          </w:tcPr>
          <w:p w14:paraId="4E8FC9B1">
            <w:pPr>
              <w:widowControl/>
              <w:jc w:val="left"/>
              <w:rPr>
                <w:rFonts w:hint="eastAsia" w:ascii="宋体" w:hAnsi="宋体" w:cs="宋体"/>
                <w:color w:val="auto"/>
                <w:szCs w:val="21"/>
                <w:highlight w:val="none"/>
              </w:rPr>
            </w:pPr>
            <w:r>
              <w:rPr>
                <w:rFonts w:hint="eastAsia" w:ascii="宋体" w:hAnsi="宋体" w:cs="宋体"/>
                <w:color w:val="auto"/>
                <w:szCs w:val="21"/>
                <w:highlight w:val="none"/>
              </w:rPr>
              <w:t>万元</w:t>
            </w:r>
          </w:p>
        </w:tc>
        <w:tc>
          <w:tcPr>
            <w:tcW w:w="1846" w:type="dxa"/>
            <w:tcBorders>
              <w:top w:val="nil"/>
              <w:left w:val="nil"/>
              <w:bottom w:val="single" w:color="auto" w:sz="4" w:space="0"/>
              <w:right w:val="single" w:color="auto" w:sz="4" w:space="0"/>
            </w:tcBorders>
            <w:noWrap w:val="0"/>
            <w:vAlign w:val="center"/>
          </w:tcPr>
          <w:p w14:paraId="70223947">
            <w:pPr>
              <w:widowControl/>
              <w:jc w:val="left"/>
              <w:rPr>
                <w:rFonts w:hint="eastAsia" w:ascii="宋体" w:hAnsi="宋体" w:cs="宋体"/>
                <w:color w:val="auto"/>
                <w:szCs w:val="21"/>
                <w:highlight w:val="none"/>
              </w:rPr>
            </w:pPr>
            <w:r>
              <w:rPr>
                <w:rFonts w:hint="eastAsia" w:ascii="宋体" w:hAnsi="宋体" w:cs="宋体"/>
                <w:color w:val="auto"/>
                <w:szCs w:val="21"/>
                <w:highlight w:val="none"/>
              </w:rPr>
              <w:t>3000≤Y＜30000</w:t>
            </w:r>
          </w:p>
        </w:tc>
        <w:tc>
          <w:tcPr>
            <w:tcW w:w="1570" w:type="dxa"/>
            <w:tcBorders>
              <w:top w:val="nil"/>
              <w:left w:val="nil"/>
              <w:bottom w:val="single" w:color="auto" w:sz="4" w:space="0"/>
              <w:right w:val="single" w:color="auto" w:sz="4" w:space="0"/>
            </w:tcBorders>
            <w:noWrap w:val="0"/>
            <w:vAlign w:val="center"/>
          </w:tcPr>
          <w:p w14:paraId="1E65E394">
            <w:pPr>
              <w:widowControl/>
              <w:jc w:val="left"/>
              <w:rPr>
                <w:rFonts w:hint="eastAsia" w:ascii="宋体" w:hAnsi="宋体" w:cs="宋体"/>
                <w:color w:val="auto"/>
                <w:szCs w:val="21"/>
                <w:highlight w:val="none"/>
              </w:rPr>
            </w:pPr>
            <w:r>
              <w:rPr>
                <w:rFonts w:hint="eastAsia" w:ascii="宋体" w:hAnsi="宋体" w:cs="宋体"/>
                <w:color w:val="auto"/>
                <w:szCs w:val="21"/>
                <w:highlight w:val="none"/>
              </w:rPr>
              <w:t>200≤Y＜3000</w:t>
            </w:r>
          </w:p>
        </w:tc>
        <w:tc>
          <w:tcPr>
            <w:tcW w:w="1009" w:type="dxa"/>
            <w:tcBorders>
              <w:top w:val="nil"/>
              <w:left w:val="nil"/>
              <w:bottom w:val="single" w:color="auto" w:sz="4" w:space="0"/>
              <w:right w:val="single" w:color="auto" w:sz="4" w:space="0"/>
            </w:tcBorders>
            <w:noWrap w:val="0"/>
            <w:vAlign w:val="center"/>
          </w:tcPr>
          <w:p w14:paraId="1F33246D">
            <w:pPr>
              <w:widowControl/>
              <w:jc w:val="left"/>
              <w:rPr>
                <w:rFonts w:hint="eastAsia" w:ascii="宋体" w:hAnsi="宋体" w:cs="宋体"/>
                <w:color w:val="auto"/>
                <w:szCs w:val="21"/>
                <w:highlight w:val="none"/>
              </w:rPr>
            </w:pPr>
            <w:r>
              <w:rPr>
                <w:rFonts w:hint="eastAsia" w:ascii="宋体" w:hAnsi="宋体" w:cs="宋体"/>
                <w:color w:val="auto"/>
                <w:szCs w:val="21"/>
                <w:highlight w:val="none"/>
              </w:rPr>
              <w:t>Y＜200</w:t>
            </w:r>
          </w:p>
        </w:tc>
      </w:tr>
      <w:tr w14:paraId="260BC08A">
        <w:tblPrEx>
          <w:tblCellMar>
            <w:top w:w="0" w:type="dxa"/>
            <w:left w:w="108" w:type="dxa"/>
            <w:bottom w:w="0" w:type="dxa"/>
            <w:right w:w="108" w:type="dxa"/>
          </w:tblCellMar>
        </w:tblPrEx>
        <w:trPr>
          <w:trHeight w:val="220" w:hRule="atLeast"/>
          <w:jc w:val="center"/>
        </w:trPr>
        <w:tc>
          <w:tcPr>
            <w:tcW w:w="1446" w:type="dxa"/>
            <w:vMerge w:val="restart"/>
            <w:tcBorders>
              <w:top w:val="nil"/>
              <w:left w:val="single" w:color="auto" w:sz="4" w:space="0"/>
              <w:bottom w:val="single" w:color="auto" w:sz="4" w:space="0"/>
              <w:right w:val="single" w:color="auto" w:sz="4" w:space="0"/>
            </w:tcBorders>
            <w:noWrap w:val="0"/>
            <w:vAlign w:val="bottom"/>
          </w:tcPr>
          <w:p w14:paraId="2C2A9C3B">
            <w:pPr>
              <w:widowControl/>
              <w:jc w:val="center"/>
              <w:rPr>
                <w:rFonts w:hint="eastAsia" w:ascii="宋体" w:hAnsi="宋体" w:cs="宋体"/>
                <w:color w:val="auto"/>
                <w:szCs w:val="21"/>
                <w:highlight w:val="none"/>
              </w:rPr>
            </w:pPr>
            <w:r>
              <w:rPr>
                <w:rFonts w:hint="eastAsia" w:ascii="宋体" w:hAnsi="宋体" w:cs="宋体"/>
                <w:color w:val="auto"/>
                <w:szCs w:val="21"/>
                <w:highlight w:val="none"/>
              </w:rPr>
              <w:t>仓储业</w:t>
            </w:r>
          </w:p>
        </w:tc>
        <w:tc>
          <w:tcPr>
            <w:tcW w:w="1701" w:type="dxa"/>
            <w:tcBorders>
              <w:top w:val="nil"/>
              <w:left w:val="nil"/>
              <w:bottom w:val="single" w:color="auto" w:sz="4" w:space="0"/>
              <w:right w:val="single" w:color="auto" w:sz="4" w:space="0"/>
            </w:tcBorders>
            <w:noWrap w:val="0"/>
            <w:vAlign w:val="center"/>
          </w:tcPr>
          <w:p w14:paraId="0E5996A3">
            <w:pPr>
              <w:widowControl/>
              <w:jc w:val="left"/>
              <w:rPr>
                <w:rFonts w:hint="eastAsia" w:ascii="宋体" w:hAnsi="宋体" w:cs="宋体"/>
                <w:color w:val="auto"/>
                <w:szCs w:val="21"/>
                <w:highlight w:val="none"/>
              </w:rPr>
            </w:pPr>
            <w:r>
              <w:rPr>
                <w:rFonts w:hint="eastAsia" w:ascii="宋体" w:hAnsi="宋体" w:cs="宋体"/>
                <w:color w:val="auto"/>
                <w:szCs w:val="21"/>
                <w:highlight w:val="none"/>
              </w:rPr>
              <w:t>从业人员（X）</w:t>
            </w:r>
          </w:p>
        </w:tc>
        <w:tc>
          <w:tcPr>
            <w:tcW w:w="1134" w:type="dxa"/>
            <w:tcBorders>
              <w:top w:val="nil"/>
              <w:left w:val="nil"/>
              <w:bottom w:val="single" w:color="auto" w:sz="4" w:space="0"/>
              <w:right w:val="single" w:color="auto" w:sz="4" w:space="0"/>
            </w:tcBorders>
            <w:noWrap w:val="0"/>
            <w:vAlign w:val="center"/>
          </w:tcPr>
          <w:p w14:paraId="65874D23">
            <w:pPr>
              <w:widowControl/>
              <w:jc w:val="left"/>
              <w:rPr>
                <w:rFonts w:hint="eastAsia" w:ascii="宋体" w:hAnsi="宋体" w:cs="宋体"/>
                <w:color w:val="auto"/>
                <w:szCs w:val="21"/>
                <w:highlight w:val="none"/>
              </w:rPr>
            </w:pPr>
            <w:r>
              <w:rPr>
                <w:rFonts w:hint="eastAsia" w:ascii="宋体" w:hAnsi="宋体" w:cs="宋体"/>
                <w:color w:val="auto"/>
                <w:szCs w:val="21"/>
                <w:highlight w:val="none"/>
              </w:rPr>
              <w:t>人</w:t>
            </w:r>
          </w:p>
        </w:tc>
        <w:tc>
          <w:tcPr>
            <w:tcW w:w="1846" w:type="dxa"/>
            <w:tcBorders>
              <w:top w:val="nil"/>
              <w:left w:val="nil"/>
              <w:bottom w:val="single" w:color="auto" w:sz="4" w:space="0"/>
              <w:right w:val="single" w:color="auto" w:sz="4" w:space="0"/>
            </w:tcBorders>
            <w:noWrap w:val="0"/>
            <w:vAlign w:val="center"/>
          </w:tcPr>
          <w:p w14:paraId="344B7A2A">
            <w:pPr>
              <w:widowControl/>
              <w:jc w:val="left"/>
              <w:rPr>
                <w:rFonts w:hint="eastAsia" w:ascii="宋体" w:hAnsi="宋体" w:cs="宋体"/>
                <w:color w:val="auto"/>
                <w:szCs w:val="21"/>
                <w:highlight w:val="none"/>
              </w:rPr>
            </w:pPr>
            <w:r>
              <w:rPr>
                <w:rFonts w:hint="eastAsia" w:ascii="宋体" w:hAnsi="宋体" w:cs="宋体"/>
                <w:color w:val="auto"/>
                <w:szCs w:val="21"/>
                <w:highlight w:val="none"/>
              </w:rPr>
              <w:t>100≤X＜200</w:t>
            </w:r>
          </w:p>
        </w:tc>
        <w:tc>
          <w:tcPr>
            <w:tcW w:w="1570" w:type="dxa"/>
            <w:tcBorders>
              <w:top w:val="nil"/>
              <w:left w:val="nil"/>
              <w:bottom w:val="single" w:color="auto" w:sz="4" w:space="0"/>
              <w:right w:val="single" w:color="auto" w:sz="4" w:space="0"/>
            </w:tcBorders>
            <w:noWrap w:val="0"/>
            <w:vAlign w:val="center"/>
          </w:tcPr>
          <w:p w14:paraId="7B1F2CA1">
            <w:pPr>
              <w:widowControl/>
              <w:jc w:val="left"/>
              <w:rPr>
                <w:rFonts w:hint="eastAsia" w:ascii="宋体" w:hAnsi="宋体" w:cs="宋体"/>
                <w:color w:val="auto"/>
                <w:szCs w:val="21"/>
                <w:highlight w:val="none"/>
              </w:rPr>
            </w:pPr>
            <w:r>
              <w:rPr>
                <w:rFonts w:hint="eastAsia" w:ascii="宋体" w:hAnsi="宋体" w:cs="宋体"/>
                <w:color w:val="auto"/>
                <w:szCs w:val="21"/>
                <w:highlight w:val="none"/>
              </w:rPr>
              <w:t>20≤X＜100</w:t>
            </w:r>
          </w:p>
        </w:tc>
        <w:tc>
          <w:tcPr>
            <w:tcW w:w="1009" w:type="dxa"/>
            <w:tcBorders>
              <w:top w:val="nil"/>
              <w:left w:val="nil"/>
              <w:bottom w:val="single" w:color="auto" w:sz="4" w:space="0"/>
              <w:right w:val="single" w:color="auto" w:sz="4" w:space="0"/>
            </w:tcBorders>
            <w:noWrap w:val="0"/>
            <w:vAlign w:val="center"/>
          </w:tcPr>
          <w:p w14:paraId="77006766">
            <w:pPr>
              <w:widowControl/>
              <w:jc w:val="left"/>
              <w:rPr>
                <w:rFonts w:hint="eastAsia" w:ascii="宋体" w:hAnsi="宋体" w:cs="宋体"/>
                <w:color w:val="auto"/>
                <w:szCs w:val="21"/>
                <w:highlight w:val="none"/>
              </w:rPr>
            </w:pPr>
            <w:r>
              <w:rPr>
                <w:rFonts w:hint="eastAsia" w:ascii="宋体" w:hAnsi="宋体" w:cs="宋体"/>
                <w:color w:val="auto"/>
                <w:szCs w:val="21"/>
                <w:highlight w:val="none"/>
              </w:rPr>
              <w:t>X＜20</w:t>
            </w:r>
          </w:p>
        </w:tc>
      </w:tr>
      <w:tr w14:paraId="15F3A206">
        <w:tblPrEx>
          <w:tblCellMar>
            <w:top w:w="0" w:type="dxa"/>
            <w:left w:w="108" w:type="dxa"/>
            <w:bottom w:w="0" w:type="dxa"/>
            <w:right w:w="108" w:type="dxa"/>
          </w:tblCellMar>
        </w:tblPrEx>
        <w:trPr>
          <w:trHeight w:val="220" w:hRule="atLeast"/>
          <w:jc w:val="center"/>
        </w:trPr>
        <w:tc>
          <w:tcPr>
            <w:tcW w:w="1446" w:type="dxa"/>
            <w:vMerge w:val="continue"/>
            <w:tcBorders>
              <w:top w:val="nil"/>
              <w:left w:val="single" w:color="auto" w:sz="4" w:space="0"/>
              <w:bottom w:val="single" w:color="auto" w:sz="4" w:space="0"/>
              <w:right w:val="single" w:color="auto" w:sz="4" w:space="0"/>
            </w:tcBorders>
            <w:noWrap w:val="0"/>
            <w:vAlign w:val="center"/>
          </w:tcPr>
          <w:p w14:paraId="0C81620A">
            <w:pPr>
              <w:widowControl/>
              <w:jc w:val="left"/>
              <w:rPr>
                <w:rFonts w:hint="eastAsia" w:ascii="宋体" w:hAnsi="宋体" w:cs="宋体"/>
                <w:color w:val="auto"/>
                <w:szCs w:val="21"/>
                <w:highlight w:val="none"/>
              </w:rPr>
            </w:pPr>
          </w:p>
        </w:tc>
        <w:tc>
          <w:tcPr>
            <w:tcW w:w="1701" w:type="dxa"/>
            <w:tcBorders>
              <w:top w:val="nil"/>
              <w:left w:val="nil"/>
              <w:bottom w:val="single" w:color="auto" w:sz="4" w:space="0"/>
              <w:right w:val="single" w:color="auto" w:sz="4" w:space="0"/>
            </w:tcBorders>
            <w:noWrap w:val="0"/>
            <w:vAlign w:val="center"/>
          </w:tcPr>
          <w:p w14:paraId="672C676D">
            <w:pPr>
              <w:widowControl/>
              <w:jc w:val="left"/>
              <w:rPr>
                <w:rFonts w:hint="eastAsia" w:ascii="宋体" w:hAnsi="宋体" w:cs="宋体"/>
                <w:color w:val="auto"/>
                <w:szCs w:val="21"/>
                <w:highlight w:val="none"/>
              </w:rPr>
            </w:pPr>
            <w:r>
              <w:rPr>
                <w:rFonts w:hint="eastAsia" w:ascii="宋体" w:hAnsi="宋体" w:cs="宋体"/>
                <w:color w:val="auto"/>
                <w:szCs w:val="21"/>
                <w:highlight w:val="none"/>
              </w:rPr>
              <w:t>营业收入（Y）</w:t>
            </w:r>
          </w:p>
        </w:tc>
        <w:tc>
          <w:tcPr>
            <w:tcW w:w="1134" w:type="dxa"/>
            <w:tcBorders>
              <w:top w:val="nil"/>
              <w:left w:val="nil"/>
              <w:bottom w:val="single" w:color="auto" w:sz="4" w:space="0"/>
              <w:right w:val="single" w:color="auto" w:sz="4" w:space="0"/>
            </w:tcBorders>
            <w:noWrap w:val="0"/>
            <w:vAlign w:val="center"/>
          </w:tcPr>
          <w:p w14:paraId="14EDF256">
            <w:pPr>
              <w:widowControl/>
              <w:jc w:val="left"/>
              <w:rPr>
                <w:rFonts w:hint="eastAsia" w:ascii="宋体" w:hAnsi="宋体" w:cs="宋体"/>
                <w:color w:val="auto"/>
                <w:szCs w:val="21"/>
                <w:highlight w:val="none"/>
              </w:rPr>
            </w:pPr>
            <w:r>
              <w:rPr>
                <w:rFonts w:hint="eastAsia" w:ascii="宋体" w:hAnsi="宋体" w:cs="宋体"/>
                <w:color w:val="auto"/>
                <w:szCs w:val="21"/>
                <w:highlight w:val="none"/>
              </w:rPr>
              <w:t>万元</w:t>
            </w:r>
          </w:p>
        </w:tc>
        <w:tc>
          <w:tcPr>
            <w:tcW w:w="1846" w:type="dxa"/>
            <w:tcBorders>
              <w:top w:val="nil"/>
              <w:left w:val="nil"/>
              <w:bottom w:val="single" w:color="auto" w:sz="4" w:space="0"/>
              <w:right w:val="single" w:color="auto" w:sz="4" w:space="0"/>
            </w:tcBorders>
            <w:noWrap w:val="0"/>
            <w:vAlign w:val="center"/>
          </w:tcPr>
          <w:p w14:paraId="62D4A56B">
            <w:pPr>
              <w:widowControl/>
              <w:jc w:val="left"/>
              <w:rPr>
                <w:rFonts w:hint="eastAsia" w:ascii="宋体" w:hAnsi="宋体" w:cs="宋体"/>
                <w:color w:val="auto"/>
                <w:szCs w:val="21"/>
                <w:highlight w:val="none"/>
              </w:rPr>
            </w:pPr>
            <w:r>
              <w:rPr>
                <w:rFonts w:hint="eastAsia" w:ascii="宋体" w:hAnsi="宋体" w:cs="宋体"/>
                <w:color w:val="auto"/>
                <w:szCs w:val="21"/>
                <w:highlight w:val="none"/>
              </w:rPr>
              <w:t>1000≤Y＜30000</w:t>
            </w:r>
          </w:p>
        </w:tc>
        <w:tc>
          <w:tcPr>
            <w:tcW w:w="1570" w:type="dxa"/>
            <w:tcBorders>
              <w:top w:val="nil"/>
              <w:left w:val="nil"/>
              <w:bottom w:val="single" w:color="auto" w:sz="4" w:space="0"/>
              <w:right w:val="single" w:color="auto" w:sz="4" w:space="0"/>
            </w:tcBorders>
            <w:noWrap w:val="0"/>
            <w:vAlign w:val="center"/>
          </w:tcPr>
          <w:p w14:paraId="344B35FC">
            <w:pPr>
              <w:widowControl/>
              <w:jc w:val="left"/>
              <w:rPr>
                <w:rFonts w:hint="eastAsia" w:ascii="宋体" w:hAnsi="宋体" w:cs="宋体"/>
                <w:color w:val="auto"/>
                <w:szCs w:val="21"/>
                <w:highlight w:val="none"/>
              </w:rPr>
            </w:pPr>
            <w:r>
              <w:rPr>
                <w:rFonts w:hint="eastAsia" w:ascii="宋体" w:hAnsi="宋体" w:cs="宋体"/>
                <w:color w:val="auto"/>
                <w:szCs w:val="21"/>
                <w:highlight w:val="none"/>
              </w:rPr>
              <w:t>100≤Y＜1000</w:t>
            </w:r>
          </w:p>
        </w:tc>
        <w:tc>
          <w:tcPr>
            <w:tcW w:w="1009" w:type="dxa"/>
            <w:tcBorders>
              <w:top w:val="nil"/>
              <w:left w:val="nil"/>
              <w:bottom w:val="single" w:color="auto" w:sz="4" w:space="0"/>
              <w:right w:val="single" w:color="auto" w:sz="4" w:space="0"/>
            </w:tcBorders>
            <w:noWrap w:val="0"/>
            <w:vAlign w:val="center"/>
          </w:tcPr>
          <w:p w14:paraId="2C3E336E">
            <w:pPr>
              <w:widowControl/>
              <w:jc w:val="left"/>
              <w:rPr>
                <w:rFonts w:hint="eastAsia" w:ascii="宋体" w:hAnsi="宋体" w:cs="宋体"/>
                <w:color w:val="auto"/>
                <w:szCs w:val="21"/>
                <w:highlight w:val="none"/>
              </w:rPr>
            </w:pPr>
            <w:r>
              <w:rPr>
                <w:rFonts w:hint="eastAsia" w:ascii="宋体" w:hAnsi="宋体" w:cs="宋体"/>
                <w:color w:val="auto"/>
                <w:szCs w:val="21"/>
                <w:highlight w:val="none"/>
              </w:rPr>
              <w:t>Y＜100</w:t>
            </w:r>
          </w:p>
        </w:tc>
      </w:tr>
      <w:tr w14:paraId="1025EF43">
        <w:tblPrEx>
          <w:tblCellMar>
            <w:top w:w="0" w:type="dxa"/>
            <w:left w:w="108" w:type="dxa"/>
            <w:bottom w:w="0" w:type="dxa"/>
            <w:right w:w="108" w:type="dxa"/>
          </w:tblCellMar>
        </w:tblPrEx>
        <w:trPr>
          <w:trHeight w:val="220" w:hRule="atLeast"/>
          <w:jc w:val="center"/>
        </w:trPr>
        <w:tc>
          <w:tcPr>
            <w:tcW w:w="1446" w:type="dxa"/>
            <w:vMerge w:val="restart"/>
            <w:tcBorders>
              <w:top w:val="nil"/>
              <w:left w:val="single" w:color="auto" w:sz="4" w:space="0"/>
              <w:bottom w:val="single" w:color="auto" w:sz="4" w:space="0"/>
              <w:right w:val="single" w:color="auto" w:sz="4" w:space="0"/>
            </w:tcBorders>
            <w:noWrap w:val="0"/>
            <w:vAlign w:val="bottom"/>
          </w:tcPr>
          <w:p w14:paraId="1901E854">
            <w:pPr>
              <w:widowControl/>
              <w:jc w:val="center"/>
              <w:rPr>
                <w:rFonts w:hint="eastAsia" w:ascii="宋体" w:hAnsi="宋体" w:cs="宋体"/>
                <w:color w:val="auto"/>
                <w:szCs w:val="21"/>
                <w:highlight w:val="none"/>
              </w:rPr>
            </w:pPr>
            <w:r>
              <w:rPr>
                <w:rFonts w:hint="eastAsia" w:ascii="宋体" w:hAnsi="宋体" w:cs="宋体"/>
                <w:color w:val="auto"/>
                <w:szCs w:val="21"/>
                <w:highlight w:val="none"/>
              </w:rPr>
              <w:t>邮政业</w:t>
            </w:r>
          </w:p>
        </w:tc>
        <w:tc>
          <w:tcPr>
            <w:tcW w:w="1701" w:type="dxa"/>
            <w:tcBorders>
              <w:top w:val="nil"/>
              <w:left w:val="nil"/>
              <w:bottom w:val="single" w:color="auto" w:sz="4" w:space="0"/>
              <w:right w:val="single" w:color="auto" w:sz="4" w:space="0"/>
            </w:tcBorders>
            <w:noWrap w:val="0"/>
            <w:vAlign w:val="center"/>
          </w:tcPr>
          <w:p w14:paraId="172CB6B4">
            <w:pPr>
              <w:widowControl/>
              <w:jc w:val="left"/>
              <w:rPr>
                <w:rFonts w:hint="eastAsia" w:ascii="宋体" w:hAnsi="宋体" w:cs="宋体"/>
                <w:color w:val="auto"/>
                <w:szCs w:val="21"/>
                <w:highlight w:val="none"/>
              </w:rPr>
            </w:pPr>
            <w:r>
              <w:rPr>
                <w:rFonts w:hint="eastAsia" w:ascii="宋体" w:hAnsi="宋体" w:cs="宋体"/>
                <w:color w:val="auto"/>
                <w:szCs w:val="21"/>
                <w:highlight w:val="none"/>
              </w:rPr>
              <w:t>从业人员（X）</w:t>
            </w:r>
          </w:p>
        </w:tc>
        <w:tc>
          <w:tcPr>
            <w:tcW w:w="1134" w:type="dxa"/>
            <w:tcBorders>
              <w:top w:val="nil"/>
              <w:left w:val="nil"/>
              <w:bottom w:val="single" w:color="auto" w:sz="4" w:space="0"/>
              <w:right w:val="single" w:color="auto" w:sz="4" w:space="0"/>
            </w:tcBorders>
            <w:noWrap w:val="0"/>
            <w:vAlign w:val="center"/>
          </w:tcPr>
          <w:p w14:paraId="7DCB2195">
            <w:pPr>
              <w:widowControl/>
              <w:jc w:val="left"/>
              <w:rPr>
                <w:rFonts w:hint="eastAsia" w:ascii="宋体" w:hAnsi="宋体" w:cs="宋体"/>
                <w:color w:val="auto"/>
                <w:szCs w:val="21"/>
                <w:highlight w:val="none"/>
              </w:rPr>
            </w:pPr>
            <w:r>
              <w:rPr>
                <w:rFonts w:hint="eastAsia" w:ascii="宋体" w:hAnsi="宋体" w:cs="宋体"/>
                <w:color w:val="auto"/>
                <w:szCs w:val="21"/>
                <w:highlight w:val="none"/>
              </w:rPr>
              <w:t>人</w:t>
            </w:r>
          </w:p>
        </w:tc>
        <w:tc>
          <w:tcPr>
            <w:tcW w:w="1846" w:type="dxa"/>
            <w:tcBorders>
              <w:top w:val="nil"/>
              <w:left w:val="nil"/>
              <w:bottom w:val="single" w:color="auto" w:sz="4" w:space="0"/>
              <w:right w:val="single" w:color="auto" w:sz="4" w:space="0"/>
            </w:tcBorders>
            <w:noWrap w:val="0"/>
            <w:vAlign w:val="center"/>
          </w:tcPr>
          <w:p w14:paraId="48C5A02E">
            <w:pPr>
              <w:widowControl/>
              <w:jc w:val="left"/>
              <w:rPr>
                <w:rFonts w:hint="eastAsia" w:ascii="宋体" w:hAnsi="宋体" w:cs="宋体"/>
                <w:color w:val="auto"/>
                <w:szCs w:val="21"/>
                <w:highlight w:val="none"/>
              </w:rPr>
            </w:pPr>
            <w:r>
              <w:rPr>
                <w:rFonts w:hint="eastAsia" w:ascii="宋体" w:hAnsi="宋体" w:cs="宋体"/>
                <w:color w:val="auto"/>
                <w:szCs w:val="21"/>
                <w:highlight w:val="none"/>
              </w:rPr>
              <w:t>300≤X＜1000</w:t>
            </w:r>
          </w:p>
        </w:tc>
        <w:tc>
          <w:tcPr>
            <w:tcW w:w="1570" w:type="dxa"/>
            <w:tcBorders>
              <w:top w:val="nil"/>
              <w:left w:val="nil"/>
              <w:bottom w:val="single" w:color="auto" w:sz="4" w:space="0"/>
              <w:right w:val="single" w:color="auto" w:sz="4" w:space="0"/>
            </w:tcBorders>
            <w:noWrap w:val="0"/>
            <w:vAlign w:val="center"/>
          </w:tcPr>
          <w:p w14:paraId="24F60CE9">
            <w:pPr>
              <w:widowControl/>
              <w:jc w:val="left"/>
              <w:rPr>
                <w:rFonts w:hint="eastAsia" w:ascii="宋体" w:hAnsi="宋体" w:cs="宋体"/>
                <w:color w:val="auto"/>
                <w:szCs w:val="21"/>
                <w:highlight w:val="none"/>
              </w:rPr>
            </w:pPr>
            <w:r>
              <w:rPr>
                <w:rFonts w:hint="eastAsia" w:ascii="宋体" w:hAnsi="宋体" w:cs="宋体"/>
                <w:color w:val="auto"/>
                <w:szCs w:val="21"/>
                <w:highlight w:val="none"/>
              </w:rPr>
              <w:t>20≤X＜300</w:t>
            </w:r>
          </w:p>
        </w:tc>
        <w:tc>
          <w:tcPr>
            <w:tcW w:w="1009" w:type="dxa"/>
            <w:tcBorders>
              <w:top w:val="nil"/>
              <w:left w:val="nil"/>
              <w:bottom w:val="single" w:color="auto" w:sz="4" w:space="0"/>
              <w:right w:val="single" w:color="auto" w:sz="4" w:space="0"/>
            </w:tcBorders>
            <w:noWrap w:val="0"/>
            <w:vAlign w:val="center"/>
          </w:tcPr>
          <w:p w14:paraId="55DB9E15">
            <w:pPr>
              <w:widowControl/>
              <w:jc w:val="left"/>
              <w:rPr>
                <w:rFonts w:hint="eastAsia" w:ascii="宋体" w:hAnsi="宋体" w:cs="宋体"/>
                <w:color w:val="auto"/>
                <w:szCs w:val="21"/>
                <w:highlight w:val="none"/>
              </w:rPr>
            </w:pPr>
            <w:r>
              <w:rPr>
                <w:rFonts w:hint="eastAsia" w:ascii="宋体" w:hAnsi="宋体" w:cs="宋体"/>
                <w:color w:val="auto"/>
                <w:szCs w:val="21"/>
                <w:highlight w:val="none"/>
              </w:rPr>
              <w:t>X＜20</w:t>
            </w:r>
          </w:p>
        </w:tc>
      </w:tr>
      <w:tr w14:paraId="7F40BF23">
        <w:tblPrEx>
          <w:tblCellMar>
            <w:top w:w="0" w:type="dxa"/>
            <w:left w:w="108" w:type="dxa"/>
            <w:bottom w:w="0" w:type="dxa"/>
            <w:right w:w="108" w:type="dxa"/>
          </w:tblCellMar>
        </w:tblPrEx>
        <w:trPr>
          <w:trHeight w:val="220" w:hRule="atLeast"/>
          <w:jc w:val="center"/>
        </w:trPr>
        <w:tc>
          <w:tcPr>
            <w:tcW w:w="1446" w:type="dxa"/>
            <w:vMerge w:val="continue"/>
            <w:tcBorders>
              <w:top w:val="nil"/>
              <w:left w:val="single" w:color="auto" w:sz="4" w:space="0"/>
              <w:bottom w:val="single" w:color="auto" w:sz="4" w:space="0"/>
              <w:right w:val="single" w:color="auto" w:sz="4" w:space="0"/>
            </w:tcBorders>
            <w:noWrap w:val="0"/>
            <w:vAlign w:val="center"/>
          </w:tcPr>
          <w:p w14:paraId="07FF5581">
            <w:pPr>
              <w:widowControl/>
              <w:jc w:val="left"/>
              <w:rPr>
                <w:rFonts w:hint="eastAsia" w:ascii="宋体" w:hAnsi="宋体" w:cs="宋体"/>
                <w:color w:val="auto"/>
                <w:szCs w:val="21"/>
                <w:highlight w:val="none"/>
              </w:rPr>
            </w:pPr>
          </w:p>
        </w:tc>
        <w:tc>
          <w:tcPr>
            <w:tcW w:w="1701" w:type="dxa"/>
            <w:tcBorders>
              <w:top w:val="nil"/>
              <w:left w:val="nil"/>
              <w:bottom w:val="single" w:color="auto" w:sz="4" w:space="0"/>
              <w:right w:val="single" w:color="auto" w:sz="4" w:space="0"/>
            </w:tcBorders>
            <w:noWrap w:val="0"/>
            <w:vAlign w:val="center"/>
          </w:tcPr>
          <w:p w14:paraId="0955E0AC">
            <w:pPr>
              <w:widowControl/>
              <w:jc w:val="left"/>
              <w:rPr>
                <w:rFonts w:hint="eastAsia" w:ascii="宋体" w:hAnsi="宋体" w:cs="宋体"/>
                <w:color w:val="auto"/>
                <w:szCs w:val="21"/>
                <w:highlight w:val="none"/>
              </w:rPr>
            </w:pPr>
            <w:r>
              <w:rPr>
                <w:rFonts w:hint="eastAsia" w:ascii="宋体" w:hAnsi="宋体" w:cs="宋体"/>
                <w:color w:val="auto"/>
                <w:szCs w:val="21"/>
                <w:highlight w:val="none"/>
              </w:rPr>
              <w:t>营业收入（Y）</w:t>
            </w:r>
          </w:p>
        </w:tc>
        <w:tc>
          <w:tcPr>
            <w:tcW w:w="1134" w:type="dxa"/>
            <w:tcBorders>
              <w:top w:val="nil"/>
              <w:left w:val="nil"/>
              <w:bottom w:val="single" w:color="auto" w:sz="4" w:space="0"/>
              <w:right w:val="single" w:color="auto" w:sz="4" w:space="0"/>
            </w:tcBorders>
            <w:noWrap w:val="0"/>
            <w:vAlign w:val="center"/>
          </w:tcPr>
          <w:p w14:paraId="6C5B6A86">
            <w:pPr>
              <w:widowControl/>
              <w:jc w:val="left"/>
              <w:rPr>
                <w:rFonts w:hint="eastAsia" w:ascii="宋体" w:hAnsi="宋体" w:cs="宋体"/>
                <w:color w:val="auto"/>
                <w:szCs w:val="21"/>
                <w:highlight w:val="none"/>
              </w:rPr>
            </w:pPr>
            <w:r>
              <w:rPr>
                <w:rFonts w:hint="eastAsia" w:ascii="宋体" w:hAnsi="宋体" w:cs="宋体"/>
                <w:color w:val="auto"/>
                <w:szCs w:val="21"/>
                <w:highlight w:val="none"/>
              </w:rPr>
              <w:t>万元</w:t>
            </w:r>
          </w:p>
        </w:tc>
        <w:tc>
          <w:tcPr>
            <w:tcW w:w="1846" w:type="dxa"/>
            <w:tcBorders>
              <w:top w:val="nil"/>
              <w:left w:val="nil"/>
              <w:bottom w:val="single" w:color="auto" w:sz="4" w:space="0"/>
              <w:right w:val="single" w:color="auto" w:sz="4" w:space="0"/>
            </w:tcBorders>
            <w:noWrap w:val="0"/>
            <w:vAlign w:val="center"/>
          </w:tcPr>
          <w:p w14:paraId="280EA254">
            <w:pPr>
              <w:widowControl/>
              <w:jc w:val="left"/>
              <w:rPr>
                <w:rFonts w:hint="eastAsia" w:ascii="宋体" w:hAnsi="宋体" w:cs="宋体"/>
                <w:color w:val="auto"/>
                <w:szCs w:val="21"/>
                <w:highlight w:val="none"/>
              </w:rPr>
            </w:pPr>
            <w:r>
              <w:rPr>
                <w:rFonts w:hint="eastAsia" w:ascii="宋体" w:hAnsi="宋体" w:cs="宋体"/>
                <w:color w:val="auto"/>
                <w:szCs w:val="21"/>
                <w:highlight w:val="none"/>
              </w:rPr>
              <w:t>2000≤Y＜30000</w:t>
            </w:r>
          </w:p>
        </w:tc>
        <w:tc>
          <w:tcPr>
            <w:tcW w:w="1570" w:type="dxa"/>
            <w:tcBorders>
              <w:top w:val="nil"/>
              <w:left w:val="nil"/>
              <w:bottom w:val="single" w:color="auto" w:sz="4" w:space="0"/>
              <w:right w:val="single" w:color="auto" w:sz="4" w:space="0"/>
            </w:tcBorders>
            <w:noWrap w:val="0"/>
            <w:vAlign w:val="center"/>
          </w:tcPr>
          <w:p w14:paraId="5AF23928">
            <w:pPr>
              <w:widowControl/>
              <w:jc w:val="left"/>
              <w:rPr>
                <w:rFonts w:hint="eastAsia" w:ascii="宋体" w:hAnsi="宋体" w:cs="宋体"/>
                <w:color w:val="auto"/>
                <w:szCs w:val="21"/>
                <w:highlight w:val="none"/>
              </w:rPr>
            </w:pPr>
            <w:r>
              <w:rPr>
                <w:rFonts w:hint="eastAsia" w:ascii="宋体" w:hAnsi="宋体" w:cs="宋体"/>
                <w:color w:val="auto"/>
                <w:szCs w:val="21"/>
                <w:highlight w:val="none"/>
              </w:rPr>
              <w:t>100≤Y＜2000</w:t>
            </w:r>
          </w:p>
        </w:tc>
        <w:tc>
          <w:tcPr>
            <w:tcW w:w="1009" w:type="dxa"/>
            <w:tcBorders>
              <w:top w:val="nil"/>
              <w:left w:val="nil"/>
              <w:bottom w:val="single" w:color="auto" w:sz="4" w:space="0"/>
              <w:right w:val="single" w:color="auto" w:sz="4" w:space="0"/>
            </w:tcBorders>
            <w:noWrap w:val="0"/>
            <w:vAlign w:val="center"/>
          </w:tcPr>
          <w:p w14:paraId="11B243C9">
            <w:pPr>
              <w:widowControl/>
              <w:jc w:val="left"/>
              <w:rPr>
                <w:rFonts w:hint="eastAsia" w:ascii="宋体" w:hAnsi="宋体" w:cs="宋体"/>
                <w:color w:val="auto"/>
                <w:szCs w:val="21"/>
                <w:highlight w:val="none"/>
              </w:rPr>
            </w:pPr>
            <w:r>
              <w:rPr>
                <w:rFonts w:hint="eastAsia" w:ascii="宋体" w:hAnsi="宋体" w:cs="宋体"/>
                <w:color w:val="auto"/>
                <w:szCs w:val="21"/>
                <w:highlight w:val="none"/>
              </w:rPr>
              <w:t>Y＜100</w:t>
            </w:r>
          </w:p>
        </w:tc>
      </w:tr>
      <w:tr w14:paraId="0093411C">
        <w:tblPrEx>
          <w:tblCellMar>
            <w:top w:w="0" w:type="dxa"/>
            <w:left w:w="108" w:type="dxa"/>
            <w:bottom w:w="0" w:type="dxa"/>
            <w:right w:w="108" w:type="dxa"/>
          </w:tblCellMar>
        </w:tblPrEx>
        <w:trPr>
          <w:trHeight w:val="220" w:hRule="atLeast"/>
          <w:jc w:val="center"/>
        </w:trPr>
        <w:tc>
          <w:tcPr>
            <w:tcW w:w="1446" w:type="dxa"/>
            <w:vMerge w:val="restart"/>
            <w:tcBorders>
              <w:top w:val="nil"/>
              <w:left w:val="single" w:color="auto" w:sz="4" w:space="0"/>
              <w:bottom w:val="single" w:color="auto" w:sz="4" w:space="0"/>
              <w:right w:val="single" w:color="auto" w:sz="4" w:space="0"/>
            </w:tcBorders>
            <w:noWrap w:val="0"/>
            <w:vAlign w:val="bottom"/>
          </w:tcPr>
          <w:p w14:paraId="3E35932A">
            <w:pPr>
              <w:widowControl/>
              <w:jc w:val="center"/>
              <w:rPr>
                <w:rFonts w:hint="eastAsia" w:ascii="宋体" w:hAnsi="宋体" w:cs="宋体"/>
                <w:color w:val="auto"/>
                <w:szCs w:val="21"/>
                <w:highlight w:val="none"/>
              </w:rPr>
            </w:pPr>
            <w:r>
              <w:rPr>
                <w:rFonts w:hint="eastAsia" w:ascii="宋体" w:hAnsi="宋体" w:cs="宋体"/>
                <w:color w:val="auto"/>
                <w:szCs w:val="21"/>
                <w:highlight w:val="none"/>
              </w:rPr>
              <w:t>住宿业</w:t>
            </w:r>
          </w:p>
        </w:tc>
        <w:tc>
          <w:tcPr>
            <w:tcW w:w="1701" w:type="dxa"/>
            <w:tcBorders>
              <w:top w:val="nil"/>
              <w:left w:val="nil"/>
              <w:bottom w:val="single" w:color="auto" w:sz="4" w:space="0"/>
              <w:right w:val="single" w:color="auto" w:sz="4" w:space="0"/>
            </w:tcBorders>
            <w:noWrap w:val="0"/>
            <w:vAlign w:val="center"/>
          </w:tcPr>
          <w:p w14:paraId="05C97ACC">
            <w:pPr>
              <w:widowControl/>
              <w:jc w:val="left"/>
              <w:rPr>
                <w:rFonts w:hint="eastAsia" w:ascii="宋体" w:hAnsi="宋体" w:cs="宋体"/>
                <w:color w:val="auto"/>
                <w:szCs w:val="21"/>
                <w:highlight w:val="none"/>
              </w:rPr>
            </w:pPr>
            <w:r>
              <w:rPr>
                <w:rFonts w:hint="eastAsia" w:ascii="宋体" w:hAnsi="宋体" w:cs="宋体"/>
                <w:color w:val="auto"/>
                <w:szCs w:val="21"/>
                <w:highlight w:val="none"/>
              </w:rPr>
              <w:t>从业人员（X）</w:t>
            </w:r>
          </w:p>
        </w:tc>
        <w:tc>
          <w:tcPr>
            <w:tcW w:w="1134" w:type="dxa"/>
            <w:tcBorders>
              <w:top w:val="nil"/>
              <w:left w:val="nil"/>
              <w:bottom w:val="single" w:color="auto" w:sz="4" w:space="0"/>
              <w:right w:val="single" w:color="auto" w:sz="4" w:space="0"/>
            </w:tcBorders>
            <w:noWrap w:val="0"/>
            <w:vAlign w:val="center"/>
          </w:tcPr>
          <w:p w14:paraId="03804557">
            <w:pPr>
              <w:widowControl/>
              <w:jc w:val="left"/>
              <w:rPr>
                <w:rFonts w:hint="eastAsia" w:ascii="宋体" w:hAnsi="宋体" w:cs="宋体"/>
                <w:color w:val="auto"/>
                <w:szCs w:val="21"/>
                <w:highlight w:val="none"/>
              </w:rPr>
            </w:pPr>
            <w:r>
              <w:rPr>
                <w:rFonts w:hint="eastAsia" w:ascii="宋体" w:hAnsi="宋体" w:cs="宋体"/>
                <w:color w:val="auto"/>
                <w:szCs w:val="21"/>
                <w:highlight w:val="none"/>
              </w:rPr>
              <w:t>人</w:t>
            </w:r>
          </w:p>
        </w:tc>
        <w:tc>
          <w:tcPr>
            <w:tcW w:w="1846" w:type="dxa"/>
            <w:tcBorders>
              <w:top w:val="nil"/>
              <w:left w:val="nil"/>
              <w:bottom w:val="single" w:color="auto" w:sz="4" w:space="0"/>
              <w:right w:val="single" w:color="auto" w:sz="4" w:space="0"/>
            </w:tcBorders>
            <w:noWrap w:val="0"/>
            <w:vAlign w:val="center"/>
          </w:tcPr>
          <w:p w14:paraId="7EE5646B">
            <w:pPr>
              <w:widowControl/>
              <w:jc w:val="left"/>
              <w:rPr>
                <w:rFonts w:hint="eastAsia" w:ascii="宋体" w:hAnsi="宋体" w:cs="宋体"/>
                <w:color w:val="auto"/>
                <w:szCs w:val="21"/>
                <w:highlight w:val="none"/>
              </w:rPr>
            </w:pPr>
            <w:r>
              <w:rPr>
                <w:rFonts w:hint="eastAsia" w:ascii="宋体" w:hAnsi="宋体" w:cs="宋体"/>
                <w:color w:val="auto"/>
                <w:szCs w:val="21"/>
                <w:highlight w:val="none"/>
              </w:rPr>
              <w:t>100≤X＜300</w:t>
            </w:r>
          </w:p>
        </w:tc>
        <w:tc>
          <w:tcPr>
            <w:tcW w:w="1570" w:type="dxa"/>
            <w:tcBorders>
              <w:top w:val="nil"/>
              <w:left w:val="nil"/>
              <w:bottom w:val="single" w:color="auto" w:sz="4" w:space="0"/>
              <w:right w:val="single" w:color="auto" w:sz="4" w:space="0"/>
            </w:tcBorders>
            <w:noWrap w:val="0"/>
            <w:vAlign w:val="center"/>
          </w:tcPr>
          <w:p w14:paraId="00A046D2">
            <w:pPr>
              <w:widowControl/>
              <w:jc w:val="left"/>
              <w:rPr>
                <w:rFonts w:hint="eastAsia" w:ascii="宋体" w:hAnsi="宋体" w:cs="宋体"/>
                <w:color w:val="auto"/>
                <w:szCs w:val="21"/>
                <w:highlight w:val="none"/>
              </w:rPr>
            </w:pPr>
            <w:r>
              <w:rPr>
                <w:rFonts w:hint="eastAsia" w:ascii="宋体" w:hAnsi="宋体" w:cs="宋体"/>
                <w:color w:val="auto"/>
                <w:szCs w:val="21"/>
                <w:highlight w:val="none"/>
              </w:rPr>
              <w:t>10≤X＜100</w:t>
            </w:r>
          </w:p>
        </w:tc>
        <w:tc>
          <w:tcPr>
            <w:tcW w:w="1009" w:type="dxa"/>
            <w:tcBorders>
              <w:top w:val="nil"/>
              <w:left w:val="nil"/>
              <w:bottom w:val="single" w:color="auto" w:sz="4" w:space="0"/>
              <w:right w:val="single" w:color="auto" w:sz="4" w:space="0"/>
            </w:tcBorders>
            <w:noWrap w:val="0"/>
            <w:vAlign w:val="center"/>
          </w:tcPr>
          <w:p w14:paraId="7FAA67D6">
            <w:pPr>
              <w:widowControl/>
              <w:jc w:val="left"/>
              <w:rPr>
                <w:rFonts w:hint="eastAsia" w:ascii="宋体" w:hAnsi="宋体" w:cs="宋体"/>
                <w:color w:val="auto"/>
                <w:szCs w:val="21"/>
                <w:highlight w:val="none"/>
              </w:rPr>
            </w:pPr>
            <w:r>
              <w:rPr>
                <w:rFonts w:hint="eastAsia" w:ascii="宋体" w:hAnsi="宋体" w:cs="宋体"/>
                <w:color w:val="auto"/>
                <w:szCs w:val="21"/>
                <w:highlight w:val="none"/>
              </w:rPr>
              <w:t>X＜10</w:t>
            </w:r>
          </w:p>
        </w:tc>
      </w:tr>
      <w:tr w14:paraId="273A204F">
        <w:tblPrEx>
          <w:tblCellMar>
            <w:top w:w="0" w:type="dxa"/>
            <w:left w:w="108" w:type="dxa"/>
            <w:bottom w:w="0" w:type="dxa"/>
            <w:right w:w="108" w:type="dxa"/>
          </w:tblCellMar>
        </w:tblPrEx>
        <w:trPr>
          <w:trHeight w:val="220" w:hRule="atLeast"/>
          <w:jc w:val="center"/>
        </w:trPr>
        <w:tc>
          <w:tcPr>
            <w:tcW w:w="1446" w:type="dxa"/>
            <w:vMerge w:val="continue"/>
            <w:tcBorders>
              <w:top w:val="nil"/>
              <w:left w:val="single" w:color="auto" w:sz="4" w:space="0"/>
              <w:bottom w:val="single" w:color="auto" w:sz="4" w:space="0"/>
              <w:right w:val="single" w:color="auto" w:sz="4" w:space="0"/>
            </w:tcBorders>
            <w:noWrap w:val="0"/>
            <w:vAlign w:val="center"/>
          </w:tcPr>
          <w:p w14:paraId="49DF0CA4">
            <w:pPr>
              <w:widowControl/>
              <w:jc w:val="left"/>
              <w:rPr>
                <w:rFonts w:hint="eastAsia" w:ascii="宋体" w:hAnsi="宋体" w:cs="宋体"/>
                <w:color w:val="auto"/>
                <w:szCs w:val="21"/>
                <w:highlight w:val="none"/>
              </w:rPr>
            </w:pPr>
          </w:p>
        </w:tc>
        <w:tc>
          <w:tcPr>
            <w:tcW w:w="1701" w:type="dxa"/>
            <w:tcBorders>
              <w:top w:val="nil"/>
              <w:left w:val="nil"/>
              <w:bottom w:val="single" w:color="auto" w:sz="4" w:space="0"/>
              <w:right w:val="single" w:color="auto" w:sz="4" w:space="0"/>
            </w:tcBorders>
            <w:noWrap w:val="0"/>
            <w:vAlign w:val="center"/>
          </w:tcPr>
          <w:p w14:paraId="437BD8C9">
            <w:pPr>
              <w:widowControl/>
              <w:jc w:val="left"/>
              <w:rPr>
                <w:rFonts w:hint="eastAsia" w:ascii="宋体" w:hAnsi="宋体" w:cs="宋体"/>
                <w:color w:val="auto"/>
                <w:szCs w:val="21"/>
                <w:highlight w:val="none"/>
              </w:rPr>
            </w:pPr>
            <w:r>
              <w:rPr>
                <w:rFonts w:hint="eastAsia" w:ascii="宋体" w:hAnsi="宋体" w:cs="宋体"/>
                <w:color w:val="auto"/>
                <w:szCs w:val="21"/>
                <w:highlight w:val="none"/>
              </w:rPr>
              <w:t>营业收入（Y）</w:t>
            </w:r>
          </w:p>
        </w:tc>
        <w:tc>
          <w:tcPr>
            <w:tcW w:w="1134" w:type="dxa"/>
            <w:tcBorders>
              <w:top w:val="nil"/>
              <w:left w:val="nil"/>
              <w:bottom w:val="single" w:color="auto" w:sz="4" w:space="0"/>
              <w:right w:val="single" w:color="auto" w:sz="4" w:space="0"/>
            </w:tcBorders>
            <w:noWrap w:val="0"/>
            <w:vAlign w:val="center"/>
          </w:tcPr>
          <w:p w14:paraId="3824BA56">
            <w:pPr>
              <w:widowControl/>
              <w:jc w:val="left"/>
              <w:rPr>
                <w:rFonts w:hint="eastAsia" w:ascii="宋体" w:hAnsi="宋体" w:cs="宋体"/>
                <w:color w:val="auto"/>
                <w:szCs w:val="21"/>
                <w:highlight w:val="none"/>
              </w:rPr>
            </w:pPr>
            <w:r>
              <w:rPr>
                <w:rFonts w:hint="eastAsia" w:ascii="宋体" w:hAnsi="宋体" w:cs="宋体"/>
                <w:color w:val="auto"/>
                <w:szCs w:val="21"/>
                <w:highlight w:val="none"/>
              </w:rPr>
              <w:t>万元</w:t>
            </w:r>
          </w:p>
        </w:tc>
        <w:tc>
          <w:tcPr>
            <w:tcW w:w="1846" w:type="dxa"/>
            <w:tcBorders>
              <w:top w:val="nil"/>
              <w:left w:val="nil"/>
              <w:bottom w:val="single" w:color="auto" w:sz="4" w:space="0"/>
              <w:right w:val="single" w:color="auto" w:sz="4" w:space="0"/>
            </w:tcBorders>
            <w:noWrap w:val="0"/>
            <w:vAlign w:val="center"/>
          </w:tcPr>
          <w:p w14:paraId="78870CB4">
            <w:pPr>
              <w:widowControl/>
              <w:jc w:val="left"/>
              <w:rPr>
                <w:rFonts w:hint="eastAsia" w:ascii="宋体" w:hAnsi="宋体" w:cs="宋体"/>
                <w:color w:val="auto"/>
                <w:szCs w:val="21"/>
                <w:highlight w:val="none"/>
              </w:rPr>
            </w:pPr>
            <w:r>
              <w:rPr>
                <w:rFonts w:hint="eastAsia" w:ascii="宋体" w:hAnsi="宋体" w:cs="宋体"/>
                <w:color w:val="auto"/>
                <w:szCs w:val="21"/>
                <w:highlight w:val="none"/>
              </w:rPr>
              <w:t>2000≤Y＜10000</w:t>
            </w:r>
          </w:p>
        </w:tc>
        <w:tc>
          <w:tcPr>
            <w:tcW w:w="1570" w:type="dxa"/>
            <w:tcBorders>
              <w:top w:val="nil"/>
              <w:left w:val="nil"/>
              <w:bottom w:val="single" w:color="auto" w:sz="4" w:space="0"/>
              <w:right w:val="single" w:color="auto" w:sz="4" w:space="0"/>
            </w:tcBorders>
            <w:noWrap w:val="0"/>
            <w:vAlign w:val="center"/>
          </w:tcPr>
          <w:p w14:paraId="2F59D2A0">
            <w:pPr>
              <w:widowControl/>
              <w:jc w:val="left"/>
              <w:rPr>
                <w:rFonts w:hint="eastAsia" w:ascii="宋体" w:hAnsi="宋体" w:cs="宋体"/>
                <w:color w:val="auto"/>
                <w:szCs w:val="21"/>
                <w:highlight w:val="none"/>
              </w:rPr>
            </w:pPr>
            <w:r>
              <w:rPr>
                <w:rFonts w:hint="eastAsia" w:ascii="宋体" w:hAnsi="宋体" w:cs="宋体"/>
                <w:color w:val="auto"/>
                <w:szCs w:val="21"/>
                <w:highlight w:val="none"/>
              </w:rPr>
              <w:t>100≤Y＜2000</w:t>
            </w:r>
          </w:p>
        </w:tc>
        <w:tc>
          <w:tcPr>
            <w:tcW w:w="1009" w:type="dxa"/>
            <w:tcBorders>
              <w:top w:val="nil"/>
              <w:left w:val="nil"/>
              <w:bottom w:val="single" w:color="auto" w:sz="4" w:space="0"/>
              <w:right w:val="single" w:color="auto" w:sz="4" w:space="0"/>
            </w:tcBorders>
            <w:noWrap w:val="0"/>
            <w:vAlign w:val="center"/>
          </w:tcPr>
          <w:p w14:paraId="387F56C6">
            <w:pPr>
              <w:widowControl/>
              <w:jc w:val="left"/>
              <w:rPr>
                <w:rFonts w:hint="eastAsia" w:ascii="宋体" w:hAnsi="宋体" w:cs="宋体"/>
                <w:color w:val="auto"/>
                <w:szCs w:val="21"/>
                <w:highlight w:val="none"/>
              </w:rPr>
            </w:pPr>
            <w:r>
              <w:rPr>
                <w:rFonts w:hint="eastAsia" w:ascii="宋体" w:hAnsi="宋体" w:cs="宋体"/>
                <w:color w:val="auto"/>
                <w:szCs w:val="21"/>
                <w:highlight w:val="none"/>
              </w:rPr>
              <w:t>Y＜100</w:t>
            </w:r>
          </w:p>
        </w:tc>
      </w:tr>
      <w:tr w14:paraId="3561A084">
        <w:tblPrEx>
          <w:tblCellMar>
            <w:top w:w="0" w:type="dxa"/>
            <w:left w:w="108" w:type="dxa"/>
            <w:bottom w:w="0" w:type="dxa"/>
            <w:right w:w="108" w:type="dxa"/>
          </w:tblCellMar>
        </w:tblPrEx>
        <w:trPr>
          <w:trHeight w:val="220" w:hRule="atLeast"/>
          <w:jc w:val="center"/>
        </w:trPr>
        <w:tc>
          <w:tcPr>
            <w:tcW w:w="1446" w:type="dxa"/>
            <w:vMerge w:val="restart"/>
            <w:tcBorders>
              <w:top w:val="nil"/>
              <w:left w:val="single" w:color="auto" w:sz="4" w:space="0"/>
              <w:bottom w:val="single" w:color="auto" w:sz="4" w:space="0"/>
              <w:right w:val="single" w:color="auto" w:sz="4" w:space="0"/>
            </w:tcBorders>
            <w:noWrap w:val="0"/>
            <w:vAlign w:val="bottom"/>
          </w:tcPr>
          <w:p w14:paraId="3EA847B3">
            <w:pPr>
              <w:widowControl/>
              <w:jc w:val="center"/>
              <w:rPr>
                <w:rFonts w:hint="eastAsia" w:ascii="宋体" w:hAnsi="宋体" w:cs="宋体"/>
                <w:color w:val="auto"/>
                <w:szCs w:val="21"/>
                <w:highlight w:val="none"/>
              </w:rPr>
            </w:pPr>
            <w:r>
              <w:rPr>
                <w:rFonts w:hint="eastAsia" w:ascii="宋体" w:hAnsi="宋体" w:cs="宋体"/>
                <w:color w:val="auto"/>
                <w:szCs w:val="21"/>
                <w:highlight w:val="none"/>
              </w:rPr>
              <w:t>餐饮业</w:t>
            </w:r>
          </w:p>
        </w:tc>
        <w:tc>
          <w:tcPr>
            <w:tcW w:w="1701" w:type="dxa"/>
            <w:tcBorders>
              <w:top w:val="nil"/>
              <w:left w:val="nil"/>
              <w:bottom w:val="single" w:color="auto" w:sz="4" w:space="0"/>
              <w:right w:val="single" w:color="auto" w:sz="4" w:space="0"/>
            </w:tcBorders>
            <w:noWrap w:val="0"/>
            <w:vAlign w:val="center"/>
          </w:tcPr>
          <w:p w14:paraId="65976DCE">
            <w:pPr>
              <w:widowControl/>
              <w:jc w:val="left"/>
              <w:rPr>
                <w:rFonts w:hint="eastAsia" w:ascii="宋体" w:hAnsi="宋体" w:cs="宋体"/>
                <w:color w:val="auto"/>
                <w:szCs w:val="21"/>
                <w:highlight w:val="none"/>
              </w:rPr>
            </w:pPr>
            <w:r>
              <w:rPr>
                <w:rFonts w:hint="eastAsia" w:ascii="宋体" w:hAnsi="宋体" w:cs="宋体"/>
                <w:color w:val="auto"/>
                <w:szCs w:val="21"/>
                <w:highlight w:val="none"/>
              </w:rPr>
              <w:t>从业人员（X）</w:t>
            </w:r>
          </w:p>
        </w:tc>
        <w:tc>
          <w:tcPr>
            <w:tcW w:w="1134" w:type="dxa"/>
            <w:tcBorders>
              <w:top w:val="nil"/>
              <w:left w:val="nil"/>
              <w:bottom w:val="single" w:color="auto" w:sz="4" w:space="0"/>
              <w:right w:val="single" w:color="auto" w:sz="4" w:space="0"/>
            </w:tcBorders>
            <w:noWrap w:val="0"/>
            <w:vAlign w:val="center"/>
          </w:tcPr>
          <w:p w14:paraId="07AA7A34">
            <w:pPr>
              <w:widowControl/>
              <w:jc w:val="left"/>
              <w:rPr>
                <w:rFonts w:hint="eastAsia" w:ascii="宋体" w:hAnsi="宋体" w:cs="宋体"/>
                <w:color w:val="auto"/>
                <w:szCs w:val="21"/>
                <w:highlight w:val="none"/>
              </w:rPr>
            </w:pPr>
            <w:r>
              <w:rPr>
                <w:rFonts w:hint="eastAsia" w:ascii="宋体" w:hAnsi="宋体" w:cs="宋体"/>
                <w:color w:val="auto"/>
                <w:szCs w:val="21"/>
                <w:highlight w:val="none"/>
              </w:rPr>
              <w:t>人</w:t>
            </w:r>
          </w:p>
        </w:tc>
        <w:tc>
          <w:tcPr>
            <w:tcW w:w="1846" w:type="dxa"/>
            <w:tcBorders>
              <w:top w:val="nil"/>
              <w:left w:val="nil"/>
              <w:bottom w:val="single" w:color="auto" w:sz="4" w:space="0"/>
              <w:right w:val="single" w:color="auto" w:sz="4" w:space="0"/>
            </w:tcBorders>
            <w:noWrap w:val="0"/>
            <w:vAlign w:val="center"/>
          </w:tcPr>
          <w:p w14:paraId="71CF0249">
            <w:pPr>
              <w:widowControl/>
              <w:jc w:val="left"/>
              <w:rPr>
                <w:rFonts w:hint="eastAsia" w:ascii="宋体" w:hAnsi="宋体" w:cs="宋体"/>
                <w:color w:val="auto"/>
                <w:szCs w:val="21"/>
                <w:highlight w:val="none"/>
              </w:rPr>
            </w:pPr>
            <w:r>
              <w:rPr>
                <w:rFonts w:hint="eastAsia" w:ascii="宋体" w:hAnsi="宋体" w:cs="宋体"/>
                <w:color w:val="auto"/>
                <w:szCs w:val="21"/>
                <w:highlight w:val="none"/>
              </w:rPr>
              <w:t>100≤X＜300</w:t>
            </w:r>
          </w:p>
        </w:tc>
        <w:tc>
          <w:tcPr>
            <w:tcW w:w="1570" w:type="dxa"/>
            <w:tcBorders>
              <w:top w:val="nil"/>
              <w:left w:val="nil"/>
              <w:bottom w:val="single" w:color="auto" w:sz="4" w:space="0"/>
              <w:right w:val="single" w:color="auto" w:sz="4" w:space="0"/>
            </w:tcBorders>
            <w:noWrap w:val="0"/>
            <w:vAlign w:val="center"/>
          </w:tcPr>
          <w:p w14:paraId="4AEFE4E6">
            <w:pPr>
              <w:widowControl/>
              <w:jc w:val="left"/>
              <w:rPr>
                <w:rFonts w:hint="eastAsia" w:ascii="宋体" w:hAnsi="宋体" w:cs="宋体"/>
                <w:color w:val="auto"/>
                <w:szCs w:val="21"/>
                <w:highlight w:val="none"/>
              </w:rPr>
            </w:pPr>
            <w:r>
              <w:rPr>
                <w:rFonts w:hint="eastAsia" w:ascii="宋体" w:hAnsi="宋体" w:cs="宋体"/>
                <w:color w:val="auto"/>
                <w:szCs w:val="21"/>
                <w:highlight w:val="none"/>
              </w:rPr>
              <w:t>10≤X＜100</w:t>
            </w:r>
          </w:p>
        </w:tc>
        <w:tc>
          <w:tcPr>
            <w:tcW w:w="1009" w:type="dxa"/>
            <w:tcBorders>
              <w:top w:val="nil"/>
              <w:left w:val="nil"/>
              <w:bottom w:val="single" w:color="auto" w:sz="4" w:space="0"/>
              <w:right w:val="single" w:color="auto" w:sz="4" w:space="0"/>
            </w:tcBorders>
            <w:noWrap w:val="0"/>
            <w:vAlign w:val="center"/>
          </w:tcPr>
          <w:p w14:paraId="6629AF2B">
            <w:pPr>
              <w:widowControl/>
              <w:jc w:val="left"/>
              <w:rPr>
                <w:rFonts w:hint="eastAsia" w:ascii="宋体" w:hAnsi="宋体" w:cs="宋体"/>
                <w:color w:val="auto"/>
                <w:szCs w:val="21"/>
                <w:highlight w:val="none"/>
              </w:rPr>
            </w:pPr>
            <w:r>
              <w:rPr>
                <w:rFonts w:hint="eastAsia" w:ascii="宋体" w:hAnsi="宋体" w:cs="宋体"/>
                <w:color w:val="auto"/>
                <w:szCs w:val="21"/>
                <w:highlight w:val="none"/>
              </w:rPr>
              <w:t>X＜10</w:t>
            </w:r>
          </w:p>
        </w:tc>
      </w:tr>
      <w:tr w14:paraId="789BF278">
        <w:tblPrEx>
          <w:tblCellMar>
            <w:top w:w="0" w:type="dxa"/>
            <w:left w:w="108" w:type="dxa"/>
            <w:bottom w:w="0" w:type="dxa"/>
            <w:right w:w="108" w:type="dxa"/>
          </w:tblCellMar>
        </w:tblPrEx>
        <w:trPr>
          <w:trHeight w:val="220" w:hRule="atLeast"/>
          <w:jc w:val="center"/>
        </w:trPr>
        <w:tc>
          <w:tcPr>
            <w:tcW w:w="1446" w:type="dxa"/>
            <w:vMerge w:val="continue"/>
            <w:tcBorders>
              <w:top w:val="nil"/>
              <w:left w:val="single" w:color="auto" w:sz="4" w:space="0"/>
              <w:bottom w:val="single" w:color="auto" w:sz="4" w:space="0"/>
              <w:right w:val="single" w:color="auto" w:sz="4" w:space="0"/>
            </w:tcBorders>
            <w:noWrap w:val="0"/>
            <w:vAlign w:val="center"/>
          </w:tcPr>
          <w:p w14:paraId="6AA92974">
            <w:pPr>
              <w:widowControl/>
              <w:jc w:val="left"/>
              <w:rPr>
                <w:rFonts w:hint="eastAsia" w:ascii="宋体" w:hAnsi="宋体" w:cs="宋体"/>
                <w:color w:val="auto"/>
                <w:szCs w:val="21"/>
                <w:highlight w:val="none"/>
              </w:rPr>
            </w:pPr>
          </w:p>
        </w:tc>
        <w:tc>
          <w:tcPr>
            <w:tcW w:w="1701" w:type="dxa"/>
            <w:tcBorders>
              <w:top w:val="nil"/>
              <w:left w:val="nil"/>
              <w:bottom w:val="single" w:color="auto" w:sz="4" w:space="0"/>
              <w:right w:val="single" w:color="auto" w:sz="4" w:space="0"/>
            </w:tcBorders>
            <w:noWrap w:val="0"/>
            <w:vAlign w:val="center"/>
          </w:tcPr>
          <w:p w14:paraId="6ADAE020">
            <w:pPr>
              <w:widowControl/>
              <w:jc w:val="left"/>
              <w:rPr>
                <w:rFonts w:hint="eastAsia" w:ascii="宋体" w:hAnsi="宋体" w:cs="宋体"/>
                <w:color w:val="auto"/>
                <w:szCs w:val="21"/>
                <w:highlight w:val="none"/>
              </w:rPr>
            </w:pPr>
            <w:r>
              <w:rPr>
                <w:rFonts w:hint="eastAsia" w:ascii="宋体" w:hAnsi="宋体" w:cs="宋体"/>
                <w:color w:val="auto"/>
                <w:szCs w:val="21"/>
                <w:highlight w:val="none"/>
              </w:rPr>
              <w:t>营业收入（Y）</w:t>
            </w:r>
          </w:p>
        </w:tc>
        <w:tc>
          <w:tcPr>
            <w:tcW w:w="1134" w:type="dxa"/>
            <w:tcBorders>
              <w:top w:val="nil"/>
              <w:left w:val="nil"/>
              <w:bottom w:val="single" w:color="auto" w:sz="4" w:space="0"/>
              <w:right w:val="single" w:color="auto" w:sz="4" w:space="0"/>
            </w:tcBorders>
            <w:noWrap w:val="0"/>
            <w:vAlign w:val="center"/>
          </w:tcPr>
          <w:p w14:paraId="6969E674">
            <w:pPr>
              <w:widowControl/>
              <w:jc w:val="left"/>
              <w:rPr>
                <w:rFonts w:hint="eastAsia" w:ascii="宋体" w:hAnsi="宋体" w:cs="宋体"/>
                <w:color w:val="auto"/>
                <w:szCs w:val="21"/>
                <w:highlight w:val="none"/>
              </w:rPr>
            </w:pPr>
            <w:r>
              <w:rPr>
                <w:rFonts w:hint="eastAsia" w:ascii="宋体" w:hAnsi="宋体" w:cs="宋体"/>
                <w:color w:val="auto"/>
                <w:szCs w:val="21"/>
                <w:highlight w:val="none"/>
              </w:rPr>
              <w:t>万元</w:t>
            </w:r>
          </w:p>
        </w:tc>
        <w:tc>
          <w:tcPr>
            <w:tcW w:w="1846" w:type="dxa"/>
            <w:tcBorders>
              <w:top w:val="nil"/>
              <w:left w:val="nil"/>
              <w:bottom w:val="single" w:color="auto" w:sz="4" w:space="0"/>
              <w:right w:val="single" w:color="auto" w:sz="4" w:space="0"/>
            </w:tcBorders>
            <w:noWrap w:val="0"/>
            <w:vAlign w:val="center"/>
          </w:tcPr>
          <w:p w14:paraId="269B9327">
            <w:pPr>
              <w:widowControl/>
              <w:jc w:val="left"/>
              <w:rPr>
                <w:rFonts w:hint="eastAsia" w:ascii="宋体" w:hAnsi="宋体" w:cs="宋体"/>
                <w:color w:val="auto"/>
                <w:szCs w:val="21"/>
                <w:highlight w:val="none"/>
              </w:rPr>
            </w:pPr>
            <w:r>
              <w:rPr>
                <w:rFonts w:hint="eastAsia" w:ascii="宋体" w:hAnsi="宋体" w:cs="宋体"/>
                <w:color w:val="auto"/>
                <w:szCs w:val="21"/>
                <w:highlight w:val="none"/>
              </w:rPr>
              <w:t>2000≤Y＜10000</w:t>
            </w:r>
          </w:p>
        </w:tc>
        <w:tc>
          <w:tcPr>
            <w:tcW w:w="1570" w:type="dxa"/>
            <w:tcBorders>
              <w:top w:val="nil"/>
              <w:left w:val="nil"/>
              <w:bottom w:val="single" w:color="auto" w:sz="4" w:space="0"/>
              <w:right w:val="single" w:color="auto" w:sz="4" w:space="0"/>
            </w:tcBorders>
            <w:noWrap w:val="0"/>
            <w:vAlign w:val="center"/>
          </w:tcPr>
          <w:p w14:paraId="3CABB2AC">
            <w:pPr>
              <w:widowControl/>
              <w:jc w:val="left"/>
              <w:rPr>
                <w:rFonts w:hint="eastAsia" w:ascii="宋体" w:hAnsi="宋体" w:cs="宋体"/>
                <w:color w:val="auto"/>
                <w:szCs w:val="21"/>
                <w:highlight w:val="none"/>
              </w:rPr>
            </w:pPr>
            <w:r>
              <w:rPr>
                <w:rFonts w:hint="eastAsia" w:ascii="宋体" w:hAnsi="宋体" w:cs="宋体"/>
                <w:color w:val="auto"/>
                <w:szCs w:val="21"/>
                <w:highlight w:val="none"/>
              </w:rPr>
              <w:t>100≤Y＜2000</w:t>
            </w:r>
          </w:p>
        </w:tc>
        <w:tc>
          <w:tcPr>
            <w:tcW w:w="1009" w:type="dxa"/>
            <w:tcBorders>
              <w:top w:val="nil"/>
              <w:left w:val="nil"/>
              <w:bottom w:val="single" w:color="auto" w:sz="4" w:space="0"/>
              <w:right w:val="single" w:color="auto" w:sz="4" w:space="0"/>
            </w:tcBorders>
            <w:noWrap w:val="0"/>
            <w:vAlign w:val="center"/>
          </w:tcPr>
          <w:p w14:paraId="7528DE18">
            <w:pPr>
              <w:widowControl/>
              <w:jc w:val="left"/>
              <w:rPr>
                <w:rFonts w:hint="eastAsia" w:ascii="宋体" w:hAnsi="宋体" w:cs="宋体"/>
                <w:color w:val="auto"/>
                <w:szCs w:val="21"/>
                <w:highlight w:val="none"/>
              </w:rPr>
            </w:pPr>
            <w:r>
              <w:rPr>
                <w:rFonts w:hint="eastAsia" w:ascii="宋体" w:hAnsi="宋体" w:cs="宋体"/>
                <w:color w:val="auto"/>
                <w:szCs w:val="21"/>
                <w:highlight w:val="none"/>
              </w:rPr>
              <w:t>Y＜100</w:t>
            </w:r>
          </w:p>
        </w:tc>
      </w:tr>
      <w:tr w14:paraId="37A1A9D7">
        <w:tblPrEx>
          <w:tblCellMar>
            <w:top w:w="0" w:type="dxa"/>
            <w:left w:w="108" w:type="dxa"/>
            <w:bottom w:w="0" w:type="dxa"/>
            <w:right w:w="108" w:type="dxa"/>
          </w:tblCellMar>
        </w:tblPrEx>
        <w:trPr>
          <w:trHeight w:val="220" w:hRule="atLeast"/>
          <w:jc w:val="center"/>
        </w:trPr>
        <w:tc>
          <w:tcPr>
            <w:tcW w:w="1446" w:type="dxa"/>
            <w:vMerge w:val="restart"/>
            <w:tcBorders>
              <w:top w:val="nil"/>
              <w:left w:val="single" w:color="auto" w:sz="4" w:space="0"/>
              <w:bottom w:val="single" w:color="auto" w:sz="4" w:space="0"/>
              <w:right w:val="single" w:color="auto" w:sz="4" w:space="0"/>
            </w:tcBorders>
            <w:noWrap w:val="0"/>
            <w:vAlign w:val="bottom"/>
          </w:tcPr>
          <w:p w14:paraId="25F11A1F">
            <w:pPr>
              <w:widowControl/>
              <w:jc w:val="center"/>
              <w:rPr>
                <w:rFonts w:hint="eastAsia" w:ascii="宋体" w:hAnsi="宋体" w:cs="宋体"/>
                <w:color w:val="auto"/>
                <w:szCs w:val="21"/>
                <w:highlight w:val="none"/>
              </w:rPr>
            </w:pPr>
            <w:r>
              <w:rPr>
                <w:rFonts w:hint="eastAsia" w:ascii="宋体" w:hAnsi="宋体" w:cs="宋体"/>
                <w:color w:val="auto"/>
                <w:szCs w:val="21"/>
                <w:highlight w:val="none"/>
              </w:rPr>
              <w:t>信息传输业</w:t>
            </w:r>
          </w:p>
        </w:tc>
        <w:tc>
          <w:tcPr>
            <w:tcW w:w="1701" w:type="dxa"/>
            <w:tcBorders>
              <w:top w:val="nil"/>
              <w:left w:val="nil"/>
              <w:bottom w:val="single" w:color="auto" w:sz="4" w:space="0"/>
              <w:right w:val="single" w:color="auto" w:sz="4" w:space="0"/>
            </w:tcBorders>
            <w:noWrap w:val="0"/>
            <w:vAlign w:val="center"/>
          </w:tcPr>
          <w:p w14:paraId="4A2BA9FC">
            <w:pPr>
              <w:widowControl/>
              <w:jc w:val="left"/>
              <w:rPr>
                <w:rFonts w:hint="eastAsia" w:ascii="宋体" w:hAnsi="宋体" w:cs="宋体"/>
                <w:color w:val="auto"/>
                <w:szCs w:val="21"/>
                <w:highlight w:val="none"/>
              </w:rPr>
            </w:pPr>
            <w:r>
              <w:rPr>
                <w:rFonts w:hint="eastAsia" w:ascii="宋体" w:hAnsi="宋体" w:cs="宋体"/>
                <w:color w:val="auto"/>
                <w:szCs w:val="21"/>
                <w:highlight w:val="none"/>
              </w:rPr>
              <w:t>从业人员（X）</w:t>
            </w:r>
          </w:p>
        </w:tc>
        <w:tc>
          <w:tcPr>
            <w:tcW w:w="1134" w:type="dxa"/>
            <w:tcBorders>
              <w:top w:val="nil"/>
              <w:left w:val="nil"/>
              <w:bottom w:val="single" w:color="auto" w:sz="4" w:space="0"/>
              <w:right w:val="single" w:color="auto" w:sz="4" w:space="0"/>
            </w:tcBorders>
            <w:noWrap w:val="0"/>
            <w:vAlign w:val="center"/>
          </w:tcPr>
          <w:p w14:paraId="4C0B617A">
            <w:pPr>
              <w:widowControl/>
              <w:jc w:val="left"/>
              <w:rPr>
                <w:rFonts w:hint="eastAsia" w:ascii="宋体" w:hAnsi="宋体" w:cs="宋体"/>
                <w:color w:val="auto"/>
                <w:szCs w:val="21"/>
                <w:highlight w:val="none"/>
              </w:rPr>
            </w:pPr>
            <w:r>
              <w:rPr>
                <w:rFonts w:hint="eastAsia" w:ascii="宋体" w:hAnsi="宋体" w:cs="宋体"/>
                <w:color w:val="auto"/>
                <w:szCs w:val="21"/>
                <w:highlight w:val="none"/>
              </w:rPr>
              <w:t>人</w:t>
            </w:r>
          </w:p>
        </w:tc>
        <w:tc>
          <w:tcPr>
            <w:tcW w:w="1846" w:type="dxa"/>
            <w:tcBorders>
              <w:top w:val="nil"/>
              <w:left w:val="nil"/>
              <w:bottom w:val="single" w:color="auto" w:sz="4" w:space="0"/>
              <w:right w:val="single" w:color="auto" w:sz="4" w:space="0"/>
            </w:tcBorders>
            <w:noWrap w:val="0"/>
            <w:vAlign w:val="center"/>
          </w:tcPr>
          <w:p w14:paraId="78EF874E">
            <w:pPr>
              <w:widowControl/>
              <w:jc w:val="left"/>
              <w:rPr>
                <w:rFonts w:hint="eastAsia" w:ascii="宋体" w:hAnsi="宋体" w:cs="宋体"/>
                <w:color w:val="auto"/>
                <w:szCs w:val="21"/>
                <w:highlight w:val="none"/>
              </w:rPr>
            </w:pPr>
            <w:r>
              <w:rPr>
                <w:rFonts w:hint="eastAsia" w:ascii="宋体" w:hAnsi="宋体" w:cs="宋体"/>
                <w:color w:val="auto"/>
                <w:szCs w:val="21"/>
                <w:highlight w:val="none"/>
              </w:rPr>
              <w:t>100≤X＜2000</w:t>
            </w:r>
          </w:p>
        </w:tc>
        <w:tc>
          <w:tcPr>
            <w:tcW w:w="1570" w:type="dxa"/>
            <w:tcBorders>
              <w:top w:val="nil"/>
              <w:left w:val="nil"/>
              <w:bottom w:val="single" w:color="auto" w:sz="4" w:space="0"/>
              <w:right w:val="single" w:color="auto" w:sz="4" w:space="0"/>
            </w:tcBorders>
            <w:noWrap w:val="0"/>
            <w:vAlign w:val="center"/>
          </w:tcPr>
          <w:p w14:paraId="64B68727">
            <w:pPr>
              <w:widowControl/>
              <w:jc w:val="left"/>
              <w:rPr>
                <w:rFonts w:hint="eastAsia" w:ascii="宋体" w:hAnsi="宋体" w:cs="宋体"/>
                <w:color w:val="auto"/>
                <w:szCs w:val="21"/>
                <w:highlight w:val="none"/>
              </w:rPr>
            </w:pPr>
            <w:r>
              <w:rPr>
                <w:rFonts w:hint="eastAsia" w:ascii="宋体" w:hAnsi="宋体" w:cs="宋体"/>
                <w:color w:val="auto"/>
                <w:szCs w:val="21"/>
                <w:highlight w:val="none"/>
              </w:rPr>
              <w:t>10≤X＜100</w:t>
            </w:r>
          </w:p>
        </w:tc>
        <w:tc>
          <w:tcPr>
            <w:tcW w:w="1009" w:type="dxa"/>
            <w:tcBorders>
              <w:top w:val="nil"/>
              <w:left w:val="nil"/>
              <w:bottom w:val="single" w:color="auto" w:sz="4" w:space="0"/>
              <w:right w:val="single" w:color="auto" w:sz="4" w:space="0"/>
            </w:tcBorders>
            <w:noWrap w:val="0"/>
            <w:vAlign w:val="center"/>
          </w:tcPr>
          <w:p w14:paraId="3F811D19">
            <w:pPr>
              <w:widowControl/>
              <w:jc w:val="left"/>
              <w:rPr>
                <w:rFonts w:hint="eastAsia" w:ascii="宋体" w:hAnsi="宋体" w:cs="宋体"/>
                <w:color w:val="auto"/>
                <w:szCs w:val="21"/>
                <w:highlight w:val="none"/>
              </w:rPr>
            </w:pPr>
            <w:r>
              <w:rPr>
                <w:rFonts w:hint="eastAsia" w:ascii="宋体" w:hAnsi="宋体" w:cs="宋体"/>
                <w:color w:val="auto"/>
                <w:szCs w:val="21"/>
                <w:highlight w:val="none"/>
              </w:rPr>
              <w:t>X＜10</w:t>
            </w:r>
          </w:p>
        </w:tc>
      </w:tr>
      <w:tr w14:paraId="7D046707">
        <w:tblPrEx>
          <w:tblCellMar>
            <w:top w:w="0" w:type="dxa"/>
            <w:left w:w="108" w:type="dxa"/>
            <w:bottom w:w="0" w:type="dxa"/>
            <w:right w:w="108" w:type="dxa"/>
          </w:tblCellMar>
        </w:tblPrEx>
        <w:trPr>
          <w:trHeight w:val="220" w:hRule="atLeast"/>
          <w:jc w:val="center"/>
        </w:trPr>
        <w:tc>
          <w:tcPr>
            <w:tcW w:w="1446" w:type="dxa"/>
            <w:vMerge w:val="continue"/>
            <w:tcBorders>
              <w:top w:val="nil"/>
              <w:left w:val="single" w:color="auto" w:sz="4" w:space="0"/>
              <w:bottom w:val="single" w:color="auto" w:sz="4" w:space="0"/>
              <w:right w:val="single" w:color="auto" w:sz="4" w:space="0"/>
            </w:tcBorders>
            <w:noWrap w:val="0"/>
            <w:vAlign w:val="center"/>
          </w:tcPr>
          <w:p w14:paraId="6AD5DDF8">
            <w:pPr>
              <w:widowControl/>
              <w:jc w:val="left"/>
              <w:rPr>
                <w:rFonts w:hint="eastAsia" w:ascii="宋体" w:hAnsi="宋体" w:cs="宋体"/>
                <w:color w:val="auto"/>
                <w:szCs w:val="21"/>
                <w:highlight w:val="none"/>
              </w:rPr>
            </w:pPr>
          </w:p>
        </w:tc>
        <w:tc>
          <w:tcPr>
            <w:tcW w:w="1701" w:type="dxa"/>
            <w:tcBorders>
              <w:top w:val="nil"/>
              <w:left w:val="nil"/>
              <w:bottom w:val="single" w:color="auto" w:sz="4" w:space="0"/>
              <w:right w:val="single" w:color="auto" w:sz="4" w:space="0"/>
            </w:tcBorders>
            <w:noWrap w:val="0"/>
            <w:vAlign w:val="center"/>
          </w:tcPr>
          <w:p w14:paraId="5FB09BD1">
            <w:pPr>
              <w:widowControl/>
              <w:jc w:val="left"/>
              <w:rPr>
                <w:rFonts w:hint="eastAsia" w:ascii="宋体" w:hAnsi="宋体" w:cs="宋体"/>
                <w:color w:val="auto"/>
                <w:szCs w:val="21"/>
                <w:highlight w:val="none"/>
              </w:rPr>
            </w:pPr>
            <w:r>
              <w:rPr>
                <w:rFonts w:hint="eastAsia" w:ascii="宋体" w:hAnsi="宋体" w:cs="宋体"/>
                <w:color w:val="auto"/>
                <w:szCs w:val="21"/>
                <w:highlight w:val="none"/>
              </w:rPr>
              <w:t>营业收入（Y）</w:t>
            </w:r>
          </w:p>
        </w:tc>
        <w:tc>
          <w:tcPr>
            <w:tcW w:w="1134" w:type="dxa"/>
            <w:tcBorders>
              <w:top w:val="nil"/>
              <w:left w:val="nil"/>
              <w:bottom w:val="single" w:color="auto" w:sz="4" w:space="0"/>
              <w:right w:val="single" w:color="auto" w:sz="4" w:space="0"/>
            </w:tcBorders>
            <w:noWrap w:val="0"/>
            <w:vAlign w:val="center"/>
          </w:tcPr>
          <w:p w14:paraId="24D7FE8E">
            <w:pPr>
              <w:widowControl/>
              <w:jc w:val="left"/>
              <w:rPr>
                <w:rFonts w:hint="eastAsia" w:ascii="宋体" w:hAnsi="宋体" w:cs="宋体"/>
                <w:color w:val="auto"/>
                <w:szCs w:val="21"/>
                <w:highlight w:val="none"/>
              </w:rPr>
            </w:pPr>
            <w:r>
              <w:rPr>
                <w:rFonts w:hint="eastAsia" w:ascii="宋体" w:hAnsi="宋体" w:cs="宋体"/>
                <w:color w:val="auto"/>
                <w:szCs w:val="21"/>
                <w:highlight w:val="none"/>
              </w:rPr>
              <w:t>万元</w:t>
            </w:r>
          </w:p>
        </w:tc>
        <w:tc>
          <w:tcPr>
            <w:tcW w:w="1846" w:type="dxa"/>
            <w:tcBorders>
              <w:top w:val="nil"/>
              <w:left w:val="nil"/>
              <w:bottom w:val="single" w:color="auto" w:sz="4" w:space="0"/>
              <w:right w:val="single" w:color="auto" w:sz="4" w:space="0"/>
            </w:tcBorders>
            <w:noWrap w:val="0"/>
            <w:vAlign w:val="center"/>
          </w:tcPr>
          <w:p w14:paraId="04B9FB6F">
            <w:pPr>
              <w:widowControl/>
              <w:jc w:val="left"/>
              <w:rPr>
                <w:rFonts w:hint="eastAsia" w:ascii="宋体" w:hAnsi="宋体" w:cs="宋体"/>
                <w:color w:val="auto"/>
                <w:szCs w:val="21"/>
                <w:highlight w:val="none"/>
              </w:rPr>
            </w:pPr>
            <w:r>
              <w:rPr>
                <w:rFonts w:hint="eastAsia" w:ascii="宋体" w:hAnsi="宋体" w:cs="宋体"/>
                <w:color w:val="auto"/>
                <w:szCs w:val="21"/>
                <w:highlight w:val="none"/>
              </w:rPr>
              <w:t>1000≤Y＜100000</w:t>
            </w:r>
          </w:p>
        </w:tc>
        <w:tc>
          <w:tcPr>
            <w:tcW w:w="1570" w:type="dxa"/>
            <w:tcBorders>
              <w:top w:val="nil"/>
              <w:left w:val="nil"/>
              <w:bottom w:val="single" w:color="auto" w:sz="4" w:space="0"/>
              <w:right w:val="single" w:color="auto" w:sz="4" w:space="0"/>
            </w:tcBorders>
            <w:noWrap w:val="0"/>
            <w:vAlign w:val="center"/>
          </w:tcPr>
          <w:p w14:paraId="55546826">
            <w:pPr>
              <w:widowControl/>
              <w:jc w:val="left"/>
              <w:rPr>
                <w:rFonts w:hint="eastAsia" w:ascii="宋体" w:hAnsi="宋体" w:cs="宋体"/>
                <w:color w:val="auto"/>
                <w:szCs w:val="21"/>
                <w:highlight w:val="none"/>
              </w:rPr>
            </w:pPr>
            <w:r>
              <w:rPr>
                <w:rFonts w:hint="eastAsia" w:ascii="宋体" w:hAnsi="宋体" w:cs="宋体"/>
                <w:color w:val="auto"/>
                <w:szCs w:val="21"/>
                <w:highlight w:val="none"/>
              </w:rPr>
              <w:t>100≤Y＜1000</w:t>
            </w:r>
          </w:p>
        </w:tc>
        <w:tc>
          <w:tcPr>
            <w:tcW w:w="1009" w:type="dxa"/>
            <w:tcBorders>
              <w:top w:val="nil"/>
              <w:left w:val="nil"/>
              <w:bottom w:val="single" w:color="auto" w:sz="4" w:space="0"/>
              <w:right w:val="single" w:color="auto" w:sz="4" w:space="0"/>
            </w:tcBorders>
            <w:noWrap w:val="0"/>
            <w:vAlign w:val="center"/>
          </w:tcPr>
          <w:p w14:paraId="353D46BA">
            <w:pPr>
              <w:widowControl/>
              <w:jc w:val="left"/>
              <w:rPr>
                <w:rFonts w:hint="eastAsia" w:ascii="宋体" w:hAnsi="宋体" w:cs="宋体"/>
                <w:color w:val="auto"/>
                <w:szCs w:val="21"/>
                <w:highlight w:val="none"/>
              </w:rPr>
            </w:pPr>
            <w:r>
              <w:rPr>
                <w:rFonts w:hint="eastAsia" w:ascii="宋体" w:hAnsi="宋体" w:cs="宋体"/>
                <w:color w:val="auto"/>
                <w:szCs w:val="21"/>
                <w:highlight w:val="none"/>
              </w:rPr>
              <w:t>Y＜100</w:t>
            </w:r>
          </w:p>
        </w:tc>
      </w:tr>
      <w:tr w14:paraId="197188F5">
        <w:tblPrEx>
          <w:tblCellMar>
            <w:top w:w="0" w:type="dxa"/>
            <w:left w:w="108" w:type="dxa"/>
            <w:bottom w:w="0" w:type="dxa"/>
            <w:right w:w="108" w:type="dxa"/>
          </w:tblCellMar>
        </w:tblPrEx>
        <w:trPr>
          <w:trHeight w:val="220" w:hRule="atLeast"/>
          <w:jc w:val="center"/>
        </w:trPr>
        <w:tc>
          <w:tcPr>
            <w:tcW w:w="1446" w:type="dxa"/>
            <w:vMerge w:val="restart"/>
            <w:tcBorders>
              <w:top w:val="nil"/>
              <w:left w:val="single" w:color="auto" w:sz="4" w:space="0"/>
              <w:bottom w:val="single" w:color="auto" w:sz="4" w:space="0"/>
              <w:right w:val="single" w:color="auto" w:sz="4" w:space="0"/>
            </w:tcBorders>
            <w:noWrap w:val="0"/>
            <w:vAlign w:val="bottom"/>
          </w:tcPr>
          <w:p w14:paraId="45CFF96F">
            <w:pPr>
              <w:widowControl/>
              <w:jc w:val="center"/>
              <w:rPr>
                <w:rFonts w:hint="eastAsia" w:ascii="宋体" w:hAnsi="宋体" w:cs="宋体"/>
                <w:color w:val="auto"/>
                <w:szCs w:val="21"/>
                <w:highlight w:val="none"/>
              </w:rPr>
            </w:pPr>
            <w:r>
              <w:rPr>
                <w:rFonts w:hint="eastAsia" w:ascii="宋体" w:hAnsi="宋体" w:cs="宋体"/>
                <w:color w:val="auto"/>
                <w:szCs w:val="21"/>
                <w:highlight w:val="none"/>
              </w:rPr>
              <w:t>软件和信息技术服务业</w:t>
            </w:r>
          </w:p>
        </w:tc>
        <w:tc>
          <w:tcPr>
            <w:tcW w:w="1701" w:type="dxa"/>
            <w:tcBorders>
              <w:top w:val="nil"/>
              <w:left w:val="nil"/>
              <w:bottom w:val="single" w:color="auto" w:sz="4" w:space="0"/>
              <w:right w:val="single" w:color="auto" w:sz="4" w:space="0"/>
            </w:tcBorders>
            <w:noWrap w:val="0"/>
            <w:vAlign w:val="center"/>
          </w:tcPr>
          <w:p w14:paraId="0CAE6EB4">
            <w:pPr>
              <w:widowControl/>
              <w:jc w:val="left"/>
              <w:rPr>
                <w:rFonts w:hint="eastAsia" w:ascii="宋体" w:hAnsi="宋体" w:cs="宋体"/>
                <w:color w:val="auto"/>
                <w:szCs w:val="21"/>
                <w:highlight w:val="none"/>
              </w:rPr>
            </w:pPr>
            <w:r>
              <w:rPr>
                <w:rFonts w:hint="eastAsia" w:ascii="宋体" w:hAnsi="宋体" w:cs="宋体"/>
                <w:color w:val="auto"/>
                <w:szCs w:val="21"/>
                <w:highlight w:val="none"/>
              </w:rPr>
              <w:t>从业人员（X）</w:t>
            </w:r>
          </w:p>
        </w:tc>
        <w:tc>
          <w:tcPr>
            <w:tcW w:w="1134" w:type="dxa"/>
            <w:tcBorders>
              <w:top w:val="nil"/>
              <w:left w:val="nil"/>
              <w:bottom w:val="single" w:color="auto" w:sz="4" w:space="0"/>
              <w:right w:val="single" w:color="auto" w:sz="4" w:space="0"/>
            </w:tcBorders>
            <w:noWrap w:val="0"/>
            <w:vAlign w:val="center"/>
          </w:tcPr>
          <w:p w14:paraId="2AAFA484">
            <w:pPr>
              <w:widowControl/>
              <w:jc w:val="left"/>
              <w:rPr>
                <w:rFonts w:hint="eastAsia" w:ascii="宋体" w:hAnsi="宋体" w:cs="宋体"/>
                <w:color w:val="auto"/>
                <w:szCs w:val="21"/>
                <w:highlight w:val="none"/>
              </w:rPr>
            </w:pPr>
            <w:r>
              <w:rPr>
                <w:rFonts w:hint="eastAsia" w:ascii="宋体" w:hAnsi="宋体" w:cs="宋体"/>
                <w:color w:val="auto"/>
                <w:szCs w:val="21"/>
                <w:highlight w:val="none"/>
              </w:rPr>
              <w:t>人</w:t>
            </w:r>
          </w:p>
        </w:tc>
        <w:tc>
          <w:tcPr>
            <w:tcW w:w="1846" w:type="dxa"/>
            <w:tcBorders>
              <w:top w:val="nil"/>
              <w:left w:val="nil"/>
              <w:bottom w:val="single" w:color="auto" w:sz="4" w:space="0"/>
              <w:right w:val="single" w:color="auto" w:sz="4" w:space="0"/>
            </w:tcBorders>
            <w:noWrap w:val="0"/>
            <w:vAlign w:val="center"/>
          </w:tcPr>
          <w:p w14:paraId="079B4CAA">
            <w:pPr>
              <w:widowControl/>
              <w:jc w:val="left"/>
              <w:rPr>
                <w:rFonts w:hint="eastAsia" w:ascii="宋体" w:hAnsi="宋体" w:cs="宋体"/>
                <w:color w:val="auto"/>
                <w:szCs w:val="21"/>
                <w:highlight w:val="none"/>
              </w:rPr>
            </w:pPr>
            <w:r>
              <w:rPr>
                <w:rFonts w:hint="eastAsia" w:ascii="宋体" w:hAnsi="宋体" w:cs="宋体"/>
                <w:color w:val="auto"/>
                <w:szCs w:val="21"/>
                <w:highlight w:val="none"/>
              </w:rPr>
              <w:t>100≤X＜300</w:t>
            </w:r>
          </w:p>
        </w:tc>
        <w:tc>
          <w:tcPr>
            <w:tcW w:w="1570" w:type="dxa"/>
            <w:tcBorders>
              <w:top w:val="nil"/>
              <w:left w:val="nil"/>
              <w:bottom w:val="single" w:color="auto" w:sz="4" w:space="0"/>
              <w:right w:val="single" w:color="auto" w:sz="4" w:space="0"/>
            </w:tcBorders>
            <w:noWrap w:val="0"/>
            <w:vAlign w:val="center"/>
          </w:tcPr>
          <w:p w14:paraId="3D3ADB61">
            <w:pPr>
              <w:widowControl/>
              <w:jc w:val="left"/>
              <w:rPr>
                <w:rFonts w:hint="eastAsia" w:ascii="宋体" w:hAnsi="宋体" w:cs="宋体"/>
                <w:color w:val="auto"/>
                <w:szCs w:val="21"/>
                <w:highlight w:val="none"/>
              </w:rPr>
            </w:pPr>
            <w:r>
              <w:rPr>
                <w:rFonts w:hint="eastAsia" w:ascii="宋体" w:hAnsi="宋体" w:cs="宋体"/>
                <w:color w:val="auto"/>
                <w:szCs w:val="21"/>
                <w:highlight w:val="none"/>
              </w:rPr>
              <w:t>10≤X＜100</w:t>
            </w:r>
          </w:p>
        </w:tc>
        <w:tc>
          <w:tcPr>
            <w:tcW w:w="1009" w:type="dxa"/>
            <w:tcBorders>
              <w:top w:val="nil"/>
              <w:left w:val="nil"/>
              <w:bottom w:val="single" w:color="auto" w:sz="4" w:space="0"/>
              <w:right w:val="single" w:color="auto" w:sz="4" w:space="0"/>
            </w:tcBorders>
            <w:noWrap w:val="0"/>
            <w:vAlign w:val="center"/>
          </w:tcPr>
          <w:p w14:paraId="79F47B6E">
            <w:pPr>
              <w:widowControl/>
              <w:jc w:val="left"/>
              <w:rPr>
                <w:rFonts w:hint="eastAsia" w:ascii="宋体" w:hAnsi="宋体" w:cs="宋体"/>
                <w:color w:val="auto"/>
                <w:szCs w:val="21"/>
                <w:highlight w:val="none"/>
              </w:rPr>
            </w:pPr>
            <w:r>
              <w:rPr>
                <w:rFonts w:hint="eastAsia" w:ascii="宋体" w:hAnsi="宋体" w:cs="宋体"/>
                <w:color w:val="auto"/>
                <w:szCs w:val="21"/>
                <w:highlight w:val="none"/>
              </w:rPr>
              <w:t>X＜10</w:t>
            </w:r>
          </w:p>
        </w:tc>
      </w:tr>
      <w:tr w14:paraId="5D20BF5D">
        <w:tblPrEx>
          <w:tblCellMar>
            <w:top w:w="0" w:type="dxa"/>
            <w:left w:w="108" w:type="dxa"/>
            <w:bottom w:w="0" w:type="dxa"/>
            <w:right w:w="108" w:type="dxa"/>
          </w:tblCellMar>
        </w:tblPrEx>
        <w:trPr>
          <w:trHeight w:val="220" w:hRule="atLeast"/>
          <w:jc w:val="center"/>
        </w:trPr>
        <w:tc>
          <w:tcPr>
            <w:tcW w:w="1446" w:type="dxa"/>
            <w:vMerge w:val="continue"/>
            <w:tcBorders>
              <w:top w:val="nil"/>
              <w:left w:val="single" w:color="auto" w:sz="4" w:space="0"/>
              <w:bottom w:val="single" w:color="auto" w:sz="4" w:space="0"/>
              <w:right w:val="single" w:color="auto" w:sz="4" w:space="0"/>
            </w:tcBorders>
            <w:noWrap w:val="0"/>
            <w:vAlign w:val="center"/>
          </w:tcPr>
          <w:p w14:paraId="0E80E4AE">
            <w:pPr>
              <w:widowControl/>
              <w:jc w:val="left"/>
              <w:rPr>
                <w:rFonts w:hint="eastAsia" w:ascii="宋体" w:hAnsi="宋体" w:cs="宋体"/>
                <w:color w:val="auto"/>
                <w:szCs w:val="21"/>
                <w:highlight w:val="none"/>
              </w:rPr>
            </w:pPr>
          </w:p>
        </w:tc>
        <w:tc>
          <w:tcPr>
            <w:tcW w:w="1701" w:type="dxa"/>
            <w:tcBorders>
              <w:top w:val="nil"/>
              <w:left w:val="nil"/>
              <w:bottom w:val="single" w:color="auto" w:sz="4" w:space="0"/>
              <w:right w:val="single" w:color="auto" w:sz="4" w:space="0"/>
            </w:tcBorders>
            <w:noWrap w:val="0"/>
            <w:vAlign w:val="center"/>
          </w:tcPr>
          <w:p w14:paraId="3778A8EA">
            <w:pPr>
              <w:widowControl/>
              <w:jc w:val="left"/>
              <w:rPr>
                <w:rFonts w:hint="eastAsia" w:ascii="宋体" w:hAnsi="宋体" w:cs="宋体"/>
                <w:color w:val="auto"/>
                <w:szCs w:val="21"/>
                <w:highlight w:val="none"/>
              </w:rPr>
            </w:pPr>
            <w:r>
              <w:rPr>
                <w:rFonts w:hint="eastAsia" w:ascii="宋体" w:hAnsi="宋体" w:cs="宋体"/>
                <w:color w:val="auto"/>
                <w:szCs w:val="21"/>
                <w:highlight w:val="none"/>
              </w:rPr>
              <w:t>营业收入（Y）</w:t>
            </w:r>
          </w:p>
        </w:tc>
        <w:tc>
          <w:tcPr>
            <w:tcW w:w="1134" w:type="dxa"/>
            <w:tcBorders>
              <w:top w:val="nil"/>
              <w:left w:val="nil"/>
              <w:bottom w:val="single" w:color="auto" w:sz="4" w:space="0"/>
              <w:right w:val="single" w:color="auto" w:sz="4" w:space="0"/>
            </w:tcBorders>
            <w:noWrap w:val="0"/>
            <w:vAlign w:val="center"/>
          </w:tcPr>
          <w:p w14:paraId="38A74262">
            <w:pPr>
              <w:widowControl/>
              <w:jc w:val="left"/>
              <w:rPr>
                <w:rFonts w:hint="eastAsia" w:ascii="宋体" w:hAnsi="宋体" w:cs="宋体"/>
                <w:color w:val="auto"/>
                <w:szCs w:val="21"/>
                <w:highlight w:val="none"/>
              </w:rPr>
            </w:pPr>
            <w:r>
              <w:rPr>
                <w:rFonts w:hint="eastAsia" w:ascii="宋体" w:hAnsi="宋体" w:cs="宋体"/>
                <w:color w:val="auto"/>
                <w:szCs w:val="21"/>
                <w:highlight w:val="none"/>
              </w:rPr>
              <w:t>万元</w:t>
            </w:r>
          </w:p>
        </w:tc>
        <w:tc>
          <w:tcPr>
            <w:tcW w:w="1846" w:type="dxa"/>
            <w:tcBorders>
              <w:top w:val="nil"/>
              <w:left w:val="nil"/>
              <w:bottom w:val="single" w:color="auto" w:sz="4" w:space="0"/>
              <w:right w:val="single" w:color="auto" w:sz="4" w:space="0"/>
            </w:tcBorders>
            <w:noWrap w:val="0"/>
            <w:vAlign w:val="center"/>
          </w:tcPr>
          <w:p w14:paraId="2BE072B7">
            <w:pPr>
              <w:widowControl/>
              <w:jc w:val="left"/>
              <w:rPr>
                <w:rFonts w:hint="eastAsia" w:ascii="宋体" w:hAnsi="宋体" w:cs="宋体"/>
                <w:color w:val="auto"/>
                <w:szCs w:val="21"/>
                <w:highlight w:val="none"/>
              </w:rPr>
            </w:pPr>
            <w:r>
              <w:rPr>
                <w:rFonts w:hint="eastAsia" w:ascii="宋体" w:hAnsi="宋体" w:cs="宋体"/>
                <w:color w:val="auto"/>
                <w:szCs w:val="21"/>
                <w:highlight w:val="none"/>
              </w:rPr>
              <w:t>1000≤Y＜10000</w:t>
            </w:r>
          </w:p>
        </w:tc>
        <w:tc>
          <w:tcPr>
            <w:tcW w:w="1570" w:type="dxa"/>
            <w:tcBorders>
              <w:top w:val="nil"/>
              <w:left w:val="nil"/>
              <w:bottom w:val="single" w:color="auto" w:sz="4" w:space="0"/>
              <w:right w:val="single" w:color="auto" w:sz="4" w:space="0"/>
            </w:tcBorders>
            <w:noWrap w:val="0"/>
            <w:vAlign w:val="center"/>
          </w:tcPr>
          <w:p w14:paraId="2309BB56">
            <w:pPr>
              <w:widowControl/>
              <w:jc w:val="left"/>
              <w:rPr>
                <w:rFonts w:hint="eastAsia" w:ascii="宋体" w:hAnsi="宋体" w:cs="宋体"/>
                <w:color w:val="auto"/>
                <w:szCs w:val="21"/>
                <w:highlight w:val="none"/>
              </w:rPr>
            </w:pPr>
            <w:r>
              <w:rPr>
                <w:rFonts w:hint="eastAsia" w:ascii="宋体" w:hAnsi="宋体" w:cs="宋体"/>
                <w:color w:val="auto"/>
                <w:szCs w:val="21"/>
                <w:highlight w:val="none"/>
              </w:rPr>
              <w:t>50≤Y＜1000</w:t>
            </w:r>
          </w:p>
        </w:tc>
        <w:tc>
          <w:tcPr>
            <w:tcW w:w="1009" w:type="dxa"/>
            <w:tcBorders>
              <w:top w:val="nil"/>
              <w:left w:val="nil"/>
              <w:bottom w:val="single" w:color="auto" w:sz="4" w:space="0"/>
              <w:right w:val="single" w:color="auto" w:sz="4" w:space="0"/>
            </w:tcBorders>
            <w:noWrap w:val="0"/>
            <w:vAlign w:val="center"/>
          </w:tcPr>
          <w:p w14:paraId="0AED39D2">
            <w:pPr>
              <w:widowControl/>
              <w:jc w:val="left"/>
              <w:rPr>
                <w:rFonts w:hint="eastAsia" w:ascii="宋体" w:hAnsi="宋体" w:cs="宋体"/>
                <w:color w:val="auto"/>
                <w:szCs w:val="21"/>
                <w:highlight w:val="none"/>
              </w:rPr>
            </w:pPr>
            <w:r>
              <w:rPr>
                <w:rFonts w:hint="eastAsia" w:ascii="宋体" w:hAnsi="宋体" w:cs="宋体"/>
                <w:color w:val="auto"/>
                <w:szCs w:val="21"/>
                <w:highlight w:val="none"/>
              </w:rPr>
              <w:t>Y＜50</w:t>
            </w:r>
          </w:p>
        </w:tc>
      </w:tr>
      <w:tr w14:paraId="37147B9C">
        <w:tblPrEx>
          <w:tblCellMar>
            <w:top w:w="0" w:type="dxa"/>
            <w:left w:w="108" w:type="dxa"/>
            <w:bottom w:w="0" w:type="dxa"/>
            <w:right w:w="108" w:type="dxa"/>
          </w:tblCellMar>
        </w:tblPrEx>
        <w:trPr>
          <w:trHeight w:val="220" w:hRule="atLeast"/>
          <w:jc w:val="center"/>
        </w:trPr>
        <w:tc>
          <w:tcPr>
            <w:tcW w:w="1446" w:type="dxa"/>
            <w:vMerge w:val="restart"/>
            <w:tcBorders>
              <w:top w:val="nil"/>
              <w:left w:val="single" w:color="auto" w:sz="4" w:space="0"/>
              <w:bottom w:val="single" w:color="auto" w:sz="4" w:space="0"/>
              <w:right w:val="single" w:color="auto" w:sz="4" w:space="0"/>
            </w:tcBorders>
            <w:noWrap w:val="0"/>
            <w:vAlign w:val="bottom"/>
          </w:tcPr>
          <w:p w14:paraId="67AB5CA6">
            <w:pPr>
              <w:widowControl/>
              <w:jc w:val="center"/>
              <w:rPr>
                <w:rFonts w:hint="eastAsia" w:ascii="宋体" w:hAnsi="宋体" w:cs="宋体"/>
                <w:color w:val="auto"/>
                <w:szCs w:val="21"/>
                <w:highlight w:val="none"/>
              </w:rPr>
            </w:pPr>
            <w:r>
              <w:rPr>
                <w:rFonts w:hint="eastAsia" w:ascii="宋体" w:hAnsi="宋体" w:cs="宋体"/>
                <w:color w:val="auto"/>
                <w:szCs w:val="21"/>
                <w:highlight w:val="none"/>
              </w:rPr>
              <w:t>房地产开发经营</w:t>
            </w:r>
          </w:p>
        </w:tc>
        <w:tc>
          <w:tcPr>
            <w:tcW w:w="1701" w:type="dxa"/>
            <w:tcBorders>
              <w:top w:val="nil"/>
              <w:left w:val="nil"/>
              <w:bottom w:val="single" w:color="auto" w:sz="4" w:space="0"/>
              <w:right w:val="single" w:color="auto" w:sz="4" w:space="0"/>
            </w:tcBorders>
            <w:noWrap w:val="0"/>
            <w:vAlign w:val="center"/>
          </w:tcPr>
          <w:p w14:paraId="76C7F644">
            <w:pPr>
              <w:widowControl/>
              <w:jc w:val="left"/>
              <w:rPr>
                <w:rFonts w:hint="eastAsia" w:ascii="宋体" w:hAnsi="宋体" w:cs="宋体"/>
                <w:color w:val="auto"/>
                <w:szCs w:val="21"/>
                <w:highlight w:val="none"/>
              </w:rPr>
            </w:pPr>
            <w:r>
              <w:rPr>
                <w:rFonts w:hint="eastAsia" w:ascii="宋体" w:hAnsi="宋体" w:cs="宋体"/>
                <w:color w:val="auto"/>
                <w:szCs w:val="21"/>
                <w:highlight w:val="none"/>
              </w:rPr>
              <w:t>营业收入（Y）</w:t>
            </w:r>
          </w:p>
        </w:tc>
        <w:tc>
          <w:tcPr>
            <w:tcW w:w="1134" w:type="dxa"/>
            <w:tcBorders>
              <w:top w:val="nil"/>
              <w:left w:val="nil"/>
              <w:bottom w:val="single" w:color="auto" w:sz="4" w:space="0"/>
              <w:right w:val="single" w:color="auto" w:sz="4" w:space="0"/>
            </w:tcBorders>
            <w:noWrap w:val="0"/>
            <w:vAlign w:val="center"/>
          </w:tcPr>
          <w:p w14:paraId="3B525143">
            <w:pPr>
              <w:widowControl/>
              <w:jc w:val="left"/>
              <w:rPr>
                <w:rFonts w:hint="eastAsia" w:ascii="宋体" w:hAnsi="宋体" w:cs="宋体"/>
                <w:color w:val="auto"/>
                <w:szCs w:val="21"/>
                <w:highlight w:val="none"/>
              </w:rPr>
            </w:pPr>
            <w:r>
              <w:rPr>
                <w:rFonts w:hint="eastAsia" w:ascii="宋体" w:hAnsi="宋体" w:cs="宋体"/>
                <w:color w:val="auto"/>
                <w:szCs w:val="21"/>
                <w:highlight w:val="none"/>
              </w:rPr>
              <w:t>万元</w:t>
            </w:r>
          </w:p>
        </w:tc>
        <w:tc>
          <w:tcPr>
            <w:tcW w:w="1846" w:type="dxa"/>
            <w:tcBorders>
              <w:top w:val="nil"/>
              <w:left w:val="nil"/>
              <w:bottom w:val="single" w:color="auto" w:sz="4" w:space="0"/>
              <w:right w:val="single" w:color="auto" w:sz="4" w:space="0"/>
            </w:tcBorders>
            <w:noWrap w:val="0"/>
            <w:vAlign w:val="center"/>
          </w:tcPr>
          <w:p w14:paraId="329216CF">
            <w:pPr>
              <w:widowControl/>
              <w:jc w:val="left"/>
              <w:rPr>
                <w:rFonts w:hint="eastAsia" w:ascii="宋体" w:hAnsi="宋体" w:cs="宋体"/>
                <w:color w:val="auto"/>
                <w:szCs w:val="21"/>
                <w:highlight w:val="none"/>
              </w:rPr>
            </w:pPr>
            <w:r>
              <w:rPr>
                <w:rFonts w:hint="eastAsia" w:ascii="宋体" w:hAnsi="宋体" w:cs="宋体"/>
                <w:color w:val="auto"/>
                <w:szCs w:val="21"/>
                <w:highlight w:val="none"/>
              </w:rPr>
              <w:t>1000≤Y＜200000</w:t>
            </w:r>
          </w:p>
        </w:tc>
        <w:tc>
          <w:tcPr>
            <w:tcW w:w="1570" w:type="dxa"/>
            <w:tcBorders>
              <w:top w:val="nil"/>
              <w:left w:val="nil"/>
              <w:bottom w:val="single" w:color="auto" w:sz="4" w:space="0"/>
              <w:right w:val="single" w:color="auto" w:sz="4" w:space="0"/>
            </w:tcBorders>
            <w:noWrap w:val="0"/>
            <w:vAlign w:val="center"/>
          </w:tcPr>
          <w:p w14:paraId="39E429C8">
            <w:pPr>
              <w:widowControl/>
              <w:jc w:val="left"/>
              <w:rPr>
                <w:rFonts w:hint="eastAsia" w:ascii="宋体" w:hAnsi="宋体" w:cs="宋体"/>
                <w:color w:val="auto"/>
                <w:szCs w:val="21"/>
                <w:highlight w:val="none"/>
              </w:rPr>
            </w:pPr>
            <w:r>
              <w:rPr>
                <w:rFonts w:hint="eastAsia" w:ascii="宋体" w:hAnsi="宋体" w:cs="宋体"/>
                <w:color w:val="auto"/>
                <w:szCs w:val="21"/>
                <w:highlight w:val="none"/>
              </w:rPr>
              <w:t>100≤X＜1000</w:t>
            </w:r>
          </w:p>
        </w:tc>
        <w:tc>
          <w:tcPr>
            <w:tcW w:w="1009" w:type="dxa"/>
            <w:tcBorders>
              <w:top w:val="nil"/>
              <w:left w:val="nil"/>
              <w:bottom w:val="single" w:color="auto" w:sz="4" w:space="0"/>
              <w:right w:val="single" w:color="auto" w:sz="4" w:space="0"/>
            </w:tcBorders>
            <w:noWrap w:val="0"/>
            <w:vAlign w:val="center"/>
          </w:tcPr>
          <w:p w14:paraId="2BEA7A87">
            <w:pPr>
              <w:widowControl/>
              <w:jc w:val="left"/>
              <w:rPr>
                <w:rFonts w:hint="eastAsia" w:ascii="宋体" w:hAnsi="宋体" w:cs="宋体"/>
                <w:color w:val="auto"/>
                <w:szCs w:val="21"/>
                <w:highlight w:val="none"/>
              </w:rPr>
            </w:pPr>
            <w:r>
              <w:rPr>
                <w:rFonts w:hint="eastAsia" w:ascii="宋体" w:hAnsi="宋体" w:cs="宋体"/>
                <w:color w:val="auto"/>
                <w:szCs w:val="21"/>
                <w:highlight w:val="none"/>
              </w:rPr>
              <w:t>X＜100</w:t>
            </w:r>
          </w:p>
        </w:tc>
      </w:tr>
      <w:tr w14:paraId="5FCB21B9">
        <w:tblPrEx>
          <w:tblCellMar>
            <w:top w:w="0" w:type="dxa"/>
            <w:left w:w="108" w:type="dxa"/>
            <w:bottom w:w="0" w:type="dxa"/>
            <w:right w:w="108" w:type="dxa"/>
          </w:tblCellMar>
        </w:tblPrEx>
        <w:trPr>
          <w:trHeight w:val="220" w:hRule="atLeast"/>
          <w:jc w:val="center"/>
        </w:trPr>
        <w:tc>
          <w:tcPr>
            <w:tcW w:w="1446" w:type="dxa"/>
            <w:vMerge w:val="continue"/>
            <w:tcBorders>
              <w:top w:val="nil"/>
              <w:left w:val="single" w:color="auto" w:sz="4" w:space="0"/>
              <w:bottom w:val="single" w:color="auto" w:sz="4" w:space="0"/>
              <w:right w:val="single" w:color="auto" w:sz="4" w:space="0"/>
            </w:tcBorders>
            <w:noWrap w:val="0"/>
            <w:vAlign w:val="center"/>
          </w:tcPr>
          <w:p w14:paraId="7F546258">
            <w:pPr>
              <w:widowControl/>
              <w:jc w:val="left"/>
              <w:rPr>
                <w:rFonts w:hint="eastAsia" w:ascii="宋体" w:hAnsi="宋体" w:cs="宋体"/>
                <w:color w:val="auto"/>
                <w:szCs w:val="21"/>
                <w:highlight w:val="none"/>
              </w:rPr>
            </w:pPr>
          </w:p>
        </w:tc>
        <w:tc>
          <w:tcPr>
            <w:tcW w:w="1701" w:type="dxa"/>
            <w:tcBorders>
              <w:top w:val="nil"/>
              <w:left w:val="nil"/>
              <w:bottom w:val="single" w:color="auto" w:sz="4" w:space="0"/>
              <w:right w:val="single" w:color="auto" w:sz="4" w:space="0"/>
            </w:tcBorders>
            <w:noWrap w:val="0"/>
            <w:vAlign w:val="center"/>
          </w:tcPr>
          <w:p w14:paraId="129A653E">
            <w:pPr>
              <w:widowControl/>
              <w:jc w:val="left"/>
              <w:rPr>
                <w:rFonts w:hint="eastAsia" w:ascii="宋体" w:hAnsi="宋体" w:cs="宋体"/>
                <w:color w:val="auto"/>
                <w:szCs w:val="21"/>
                <w:highlight w:val="none"/>
              </w:rPr>
            </w:pPr>
            <w:r>
              <w:rPr>
                <w:rFonts w:hint="eastAsia" w:ascii="宋体" w:hAnsi="宋体" w:cs="宋体"/>
                <w:color w:val="auto"/>
                <w:szCs w:val="21"/>
                <w:highlight w:val="none"/>
              </w:rPr>
              <w:t>资产总额（Z）</w:t>
            </w:r>
          </w:p>
        </w:tc>
        <w:tc>
          <w:tcPr>
            <w:tcW w:w="1134" w:type="dxa"/>
            <w:tcBorders>
              <w:top w:val="nil"/>
              <w:left w:val="nil"/>
              <w:bottom w:val="single" w:color="auto" w:sz="4" w:space="0"/>
              <w:right w:val="single" w:color="auto" w:sz="4" w:space="0"/>
            </w:tcBorders>
            <w:noWrap w:val="0"/>
            <w:vAlign w:val="center"/>
          </w:tcPr>
          <w:p w14:paraId="1ECC75A1">
            <w:pPr>
              <w:widowControl/>
              <w:jc w:val="left"/>
              <w:rPr>
                <w:rFonts w:hint="eastAsia" w:ascii="宋体" w:hAnsi="宋体" w:cs="宋体"/>
                <w:color w:val="auto"/>
                <w:szCs w:val="21"/>
                <w:highlight w:val="none"/>
              </w:rPr>
            </w:pPr>
            <w:r>
              <w:rPr>
                <w:rFonts w:hint="eastAsia" w:ascii="宋体" w:hAnsi="宋体" w:cs="宋体"/>
                <w:color w:val="auto"/>
                <w:szCs w:val="21"/>
                <w:highlight w:val="none"/>
              </w:rPr>
              <w:t>万元</w:t>
            </w:r>
          </w:p>
        </w:tc>
        <w:tc>
          <w:tcPr>
            <w:tcW w:w="1846" w:type="dxa"/>
            <w:tcBorders>
              <w:top w:val="nil"/>
              <w:left w:val="nil"/>
              <w:bottom w:val="single" w:color="auto" w:sz="4" w:space="0"/>
              <w:right w:val="single" w:color="auto" w:sz="4" w:space="0"/>
            </w:tcBorders>
            <w:noWrap w:val="0"/>
            <w:vAlign w:val="center"/>
          </w:tcPr>
          <w:p w14:paraId="28E8CBFC">
            <w:pPr>
              <w:widowControl/>
              <w:jc w:val="left"/>
              <w:rPr>
                <w:rFonts w:hint="eastAsia" w:ascii="宋体" w:hAnsi="宋体" w:cs="宋体"/>
                <w:color w:val="auto"/>
                <w:szCs w:val="21"/>
                <w:highlight w:val="none"/>
              </w:rPr>
            </w:pPr>
            <w:r>
              <w:rPr>
                <w:rFonts w:hint="eastAsia" w:ascii="宋体" w:hAnsi="宋体" w:cs="宋体"/>
                <w:color w:val="auto"/>
                <w:szCs w:val="21"/>
                <w:highlight w:val="none"/>
              </w:rPr>
              <w:t>5000≤Z＜10000</w:t>
            </w:r>
          </w:p>
        </w:tc>
        <w:tc>
          <w:tcPr>
            <w:tcW w:w="1570" w:type="dxa"/>
            <w:tcBorders>
              <w:top w:val="nil"/>
              <w:left w:val="nil"/>
              <w:bottom w:val="single" w:color="auto" w:sz="4" w:space="0"/>
              <w:right w:val="single" w:color="auto" w:sz="4" w:space="0"/>
            </w:tcBorders>
            <w:noWrap w:val="0"/>
            <w:vAlign w:val="center"/>
          </w:tcPr>
          <w:p w14:paraId="1B46DF73">
            <w:pPr>
              <w:widowControl/>
              <w:jc w:val="left"/>
              <w:rPr>
                <w:rFonts w:hint="eastAsia" w:ascii="宋体" w:hAnsi="宋体" w:cs="宋体"/>
                <w:color w:val="auto"/>
                <w:szCs w:val="21"/>
                <w:highlight w:val="none"/>
              </w:rPr>
            </w:pPr>
            <w:r>
              <w:rPr>
                <w:rFonts w:hint="eastAsia" w:ascii="宋体" w:hAnsi="宋体" w:cs="宋体"/>
                <w:color w:val="auto"/>
                <w:szCs w:val="21"/>
                <w:highlight w:val="none"/>
              </w:rPr>
              <w:t>2000≤Y＜5000</w:t>
            </w:r>
          </w:p>
        </w:tc>
        <w:tc>
          <w:tcPr>
            <w:tcW w:w="1009" w:type="dxa"/>
            <w:tcBorders>
              <w:top w:val="nil"/>
              <w:left w:val="nil"/>
              <w:bottom w:val="single" w:color="auto" w:sz="4" w:space="0"/>
              <w:right w:val="single" w:color="auto" w:sz="4" w:space="0"/>
            </w:tcBorders>
            <w:noWrap w:val="0"/>
            <w:vAlign w:val="center"/>
          </w:tcPr>
          <w:p w14:paraId="6A475266">
            <w:pPr>
              <w:widowControl/>
              <w:jc w:val="left"/>
              <w:rPr>
                <w:rFonts w:hint="eastAsia" w:ascii="宋体" w:hAnsi="宋体" w:cs="宋体"/>
                <w:color w:val="auto"/>
                <w:szCs w:val="21"/>
                <w:highlight w:val="none"/>
              </w:rPr>
            </w:pPr>
            <w:r>
              <w:rPr>
                <w:rFonts w:hint="eastAsia" w:ascii="宋体" w:hAnsi="宋体" w:cs="宋体"/>
                <w:color w:val="auto"/>
                <w:szCs w:val="21"/>
                <w:highlight w:val="none"/>
              </w:rPr>
              <w:t>Y＜2000</w:t>
            </w:r>
          </w:p>
        </w:tc>
      </w:tr>
      <w:tr w14:paraId="47D21766">
        <w:tblPrEx>
          <w:tblCellMar>
            <w:top w:w="0" w:type="dxa"/>
            <w:left w:w="108" w:type="dxa"/>
            <w:bottom w:w="0" w:type="dxa"/>
            <w:right w:w="108" w:type="dxa"/>
          </w:tblCellMar>
        </w:tblPrEx>
        <w:trPr>
          <w:trHeight w:val="220" w:hRule="atLeast"/>
          <w:jc w:val="center"/>
        </w:trPr>
        <w:tc>
          <w:tcPr>
            <w:tcW w:w="1446" w:type="dxa"/>
            <w:vMerge w:val="restart"/>
            <w:tcBorders>
              <w:top w:val="nil"/>
              <w:left w:val="single" w:color="auto" w:sz="4" w:space="0"/>
              <w:bottom w:val="single" w:color="auto" w:sz="4" w:space="0"/>
              <w:right w:val="single" w:color="auto" w:sz="4" w:space="0"/>
            </w:tcBorders>
            <w:noWrap w:val="0"/>
            <w:vAlign w:val="bottom"/>
          </w:tcPr>
          <w:p w14:paraId="7588FE44">
            <w:pPr>
              <w:widowControl/>
              <w:jc w:val="center"/>
              <w:rPr>
                <w:rFonts w:hint="eastAsia" w:ascii="宋体" w:hAnsi="宋体" w:cs="宋体"/>
                <w:color w:val="auto"/>
                <w:szCs w:val="21"/>
                <w:highlight w:val="none"/>
              </w:rPr>
            </w:pPr>
            <w:r>
              <w:rPr>
                <w:rFonts w:hint="eastAsia" w:ascii="宋体" w:hAnsi="宋体" w:cs="宋体"/>
                <w:color w:val="auto"/>
                <w:szCs w:val="21"/>
                <w:highlight w:val="none"/>
              </w:rPr>
              <w:t>物业管理</w:t>
            </w:r>
          </w:p>
        </w:tc>
        <w:tc>
          <w:tcPr>
            <w:tcW w:w="1701" w:type="dxa"/>
            <w:tcBorders>
              <w:top w:val="nil"/>
              <w:left w:val="nil"/>
              <w:bottom w:val="single" w:color="auto" w:sz="4" w:space="0"/>
              <w:right w:val="single" w:color="auto" w:sz="4" w:space="0"/>
            </w:tcBorders>
            <w:noWrap w:val="0"/>
            <w:vAlign w:val="center"/>
          </w:tcPr>
          <w:p w14:paraId="1360E913">
            <w:pPr>
              <w:widowControl/>
              <w:jc w:val="left"/>
              <w:rPr>
                <w:rFonts w:hint="eastAsia" w:ascii="宋体" w:hAnsi="宋体" w:cs="宋体"/>
                <w:color w:val="auto"/>
                <w:szCs w:val="21"/>
                <w:highlight w:val="none"/>
              </w:rPr>
            </w:pPr>
            <w:r>
              <w:rPr>
                <w:rFonts w:hint="eastAsia" w:ascii="宋体" w:hAnsi="宋体" w:cs="宋体"/>
                <w:color w:val="auto"/>
                <w:szCs w:val="21"/>
                <w:highlight w:val="none"/>
              </w:rPr>
              <w:t>从业人员（X）</w:t>
            </w:r>
          </w:p>
        </w:tc>
        <w:tc>
          <w:tcPr>
            <w:tcW w:w="1134" w:type="dxa"/>
            <w:tcBorders>
              <w:top w:val="nil"/>
              <w:left w:val="nil"/>
              <w:bottom w:val="single" w:color="auto" w:sz="4" w:space="0"/>
              <w:right w:val="single" w:color="auto" w:sz="4" w:space="0"/>
            </w:tcBorders>
            <w:noWrap w:val="0"/>
            <w:vAlign w:val="center"/>
          </w:tcPr>
          <w:p w14:paraId="716F926D">
            <w:pPr>
              <w:widowControl/>
              <w:jc w:val="left"/>
              <w:rPr>
                <w:rFonts w:hint="eastAsia" w:ascii="宋体" w:hAnsi="宋体" w:cs="宋体"/>
                <w:color w:val="auto"/>
                <w:szCs w:val="21"/>
                <w:highlight w:val="none"/>
              </w:rPr>
            </w:pPr>
            <w:r>
              <w:rPr>
                <w:rFonts w:hint="eastAsia" w:ascii="宋体" w:hAnsi="宋体" w:cs="宋体"/>
                <w:color w:val="auto"/>
                <w:szCs w:val="21"/>
                <w:highlight w:val="none"/>
              </w:rPr>
              <w:t>人</w:t>
            </w:r>
          </w:p>
        </w:tc>
        <w:tc>
          <w:tcPr>
            <w:tcW w:w="1846" w:type="dxa"/>
            <w:tcBorders>
              <w:top w:val="nil"/>
              <w:left w:val="nil"/>
              <w:bottom w:val="single" w:color="auto" w:sz="4" w:space="0"/>
              <w:right w:val="single" w:color="auto" w:sz="4" w:space="0"/>
            </w:tcBorders>
            <w:noWrap w:val="0"/>
            <w:vAlign w:val="center"/>
          </w:tcPr>
          <w:p w14:paraId="02628483">
            <w:pPr>
              <w:widowControl/>
              <w:jc w:val="left"/>
              <w:rPr>
                <w:rFonts w:hint="eastAsia" w:ascii="宋体" w:hAnsi="宋体" w:cs="宋体"/>
                <w:color w:val="auto"/>
                <w:szCs w:val="21"/>
                <w:highlight w:val="none"/>
              </w:rPr>
            </w:pPr>
            <w:r>
              <w:rPr>
                <w:rFonts w:hint="eastAsia" w:ascii="宋体" w:hAnsi="宋体" w:cs="宋体"/>
                <w:color w:val="auto"/>
                <w:szCs w:val="21"/>
                <w:highlight w:val="none"/>
              </w:rPr>
              <w:t>300≤X＜1000</w:t>
            </w:r>
          </w:p>
        </w:tc>
        <w:tc>
          <w:tcPr>
            <w:tcW w:w="1570" w:type="dxa"/>
            <w:tcBorders>
              <w:top w:val="nil"/>
              <w:left w:val="nil"/>
              <w:bottom w:val="single" w:color="auto" w:sz="4" w:space="0"/>
              <w:right w:val="single" w:color="auto" w:sz="4" w:space="0"/>
            </w:tcBorders>
            <w:noWrap w:val="0"/>
            <w:vAlign w:val="center"/>
          </w:tcPr>
          <w:p w14:paraId="6FB5A29C">
            <w:pPr>
              <w:widowControl/>
              <w:jc w:val="left"/>
              <w:rPr>
                <w:rFonts w:hint="eastAsia" w:ascii="宋体" w:hAnsi="宋体" w:cs="宋体"/>
                <w:color w:val="auto"/>
                <w:szCs w:val="21"/>
                <w:highlight w:val="none"/>
              </w:rPr>
            </w:pPr>
            <w:r>
              <w:rPr>
                <w:rFonts w:hint="eastAsia" w:ascii="宋体" w:hAnsi="宋体" w:cs="宋体"/>
                <w:color w:val="auto"/>
                <w:szCs w:val="21"/>
                <w:highlight w:val="none"/>
              </w:rPr>
              <w:t>100≤X＜300</w:t>
            </w:r>
          </w:p>
        </w:tc>
        <w:tc>
          <w:tcPr>
            <w:tcW w:w="1009" w:type="dxa"/>
            <w:tcBorders>
              <w:top w:val="nil"/>
              <w:left w:val="nil"/>
              <w:bottom w:val="single" w:color="auto" w:sz="4" w:space="0"/>
              <w:right w:val="single" w:color="auto" w:sz="4" w:space="0"/>
            </w:tcBorders>
            <w:noWrap w:val="0"/>
            <w:vAlign w:val="center"/>
          </w:tcPr>
          <w:p w14:paraId="368A41A6">
            <w:pPr>
              <w:widowControl/>
              <w:jc w:val="left"/>
              <w:rPr>
                <w:rFonts w:hint="eastAsia" w:ascii="宋体" w:hAnsi="宋体" w:cs="宋体"/>
                <w:color w:val="auto"/>
                <w:szCs w:val="21"/>
                <w:highlight w:val="none"/>
              </w:rPr>
            </w:pPr>
            <w:r>
              <w:rPr>
                <w:rFonts w:hint="eastAsia" w:ascii="宋体" w:hAnsi="宋体" w:cs="宋体"/>
                <w:color w:val="auto"/>
                <w:szCs w:val="21"/>
                <w:highlight w:val="none"/>
              </w:rPr>
              <w:t>X＜100</w:t>
            </w:r>
          </w:p>
        </w:tc>
      </w:tr>
      <w:tr w14:paraId="7C21E06B">
        <w:tblPrEx>
          <w:tblCellMar>
            <w:top w:w="0" w:type="dxa"/>
            <w:left w:w="108" w:type="dxa"/>
            <w:bottom w:w="0" w:type="dxa"/>
            <w:right w:w="108" w:type="dxa"/>
          </w:tblCellMar>
        </w:tblPrEx>
        <w:trPr>
          <w:trHeight w:val="220" w:hRule="atLeast"/>
          <w:jc w:val="center"/>
        </w:trPr>
        <w:tc>
          <w:tcPr>
            <w:tcW w:w="1446" w:type="dxa"/>
            <w:vMerge w:val="continue"/>
            <w:tcBorders>
              <w:top w:val="nil"/>
              <w:left w:val="single" w:color="auto" w:sz="4" w:space="0"/>
              <w:bottom w:val="single" w:color="auto" w:sz="4" w:space="0"/>
              <w:right w:val="single" w:color="auto" w:sz="4" w:space="0"/>
            </w:tcBorders>
            <w:noWrap w:val="0"/>
            <w:vAlign w:val="center"/>
          </w:tcPr>
          <w:p w14:paraId="0422DFAB">
            <w:pPr>
              <w:widowControl/>
              <w:jc w:val="left"/>
              <w:rPr>
                <w:rFonts w:hint="eastAsia" w:ascii="宋体" w:hAnsi="宋体" w:cs="宋体"/>
                <w:color w:val="auto"/>
                <w:szCs w:val="21"/>
                <w:highlight w:val="none"/>
              </w:rPr>
            </w:pPr>
          </w:p>
        </w:tc>
        <w:tc>
          <w:tcPr>
            <w:tcW w:w="1701" w:type="dxa"/>
            <w:tcBorders>
              <w:top w:val="nil"/>
              <w:left w:val="nil"/>
              <w:bottom w:val="single" w:color="auto" w:sz="4" w:space="0"/>
              <w:right w:val="single" w:color="auto" w:sz="4" w:space="0"/>
            </w:tcBorders>
            <w:noWrap w:val="0"/>
            <w:vAlign w:val="center"/>
          </w:tcPr>
          <w:p w14:paraId="04FA4E76">
            <w:pPr>
              <w:widowControl/>
              <w:jc w:val="left"/>
              <w:rPr>
                <w:rFonts w:hint="eastAsia" w:ascii="宋体" w:hAnsi="宋体" w:cs="宋体"/>
                <w:color w:val="auto"/>
                <w:szCs w:val="21"/>
                <w:highlight w:val="none"/>
              </w:rPr>
            </w:pPr>
            <w:r>
              <w:rPr>
                <w:rFonts w:hint="eastAsia" w:ascii="宋体" w:hAnsi="宋体" w:cs="宋体"/>
                <w:color w:val="auto"/>
                <w:szCs w:val="21"/>
                <w:highlight w:val="none"/>
              </w:rPr>
              <w:t>营业收入（Y）</w:t>
            </w:r>
          </w:p>
        </w:tc>
        <w:tc>
          <w:tcPr>
            <w:tcW w:w="1134" w:type="dxa"/>
            <w:tcBorders>
              <w:top w:val="nil"/>
              <w:left w:val="nil"/>
              <w:bottom w:val="single" w:color="auto" w:sz="4" w:space="0"/>
              <w:right w:val="single" w:color="auto" w:sz="4" w:space="0"/>
            </w:tcBorders>
            <w:noWrap w:val="0"/>
            <w:vAlign w:val="center"/>
          </w:tcPr>
          <w:p w14:paraId="5205A5FA">
            <w:pPr>
              <w:widowControl/>
              <w:jc w:val="left"/>
              <w:rPr>
                <w:rFonts w:hint="eastAsia" w:ascii="宋体" w:hAnsi="宋体" w:cs="宋体"/>
                <w:color w:val="auto"/>
                <w:szCs w:val="21"/>
                <w:highlight w:val="none"/>
              </w:rPr>
            </w:pPr>
            <w:r>
              <w:rPr>
                <w:rFonts w:hint="eastAsia" w:ascii="宋体" w:hAnsi="宋体" w:cs="宋体"/>
                <w:color w:val="auto"/>
                <w:szCs w:val="21"/>
                <w:highlight w:val="none"/>
              </w:rPr>
              <w:t>万元</w:t>
            </w:r>
          </w:p>
        </w:tc>
        <w:tc>
          <w:tcPr>
            <w:tcW w:w="1846" w:type="dxa"/>
            <w:tcBorders>
              <w:top w:val="nil"/>
              <w:left w:val="nil"/>
              <w:bottom w:val="single" w:color="auto" w:sz="4" w:space="0"/>
              <w:right w:val="single" w:color="auto" w:sz="4" w:space="0"/>
            </w:tcBorders>
            <w:noWrap w:val="0"/>
            <w:vAlign w:val="center"/>
          </w:tcPr>
          <w:p w14:paraId="182F3F01">
            <w:pPr>
              <w:widowControl/>
              <w:jc w:val="left"/>
              <w:rPr>
                <w:rFonts w:hint="eastAsia" w:ascii="宋体" w:hAnsi="宋体" w:cs="宋体"/>
                <w:color w:val="auto"/>
                <w:szCs w:val="21"/>
                <w:highlight w:val="none"/>
              </w:rPr>
            </w:pPr>
            <w:r>
              <w:rPr>
                <w:rFonts w:hint="eastAsia" w:ascii="宋体" w:hAnsi="宋体" w:cs="宋体"/>
                <w:color w:val="auto"/>
                <w:szCs w:val="21"/>
                <w:highlight w:val="none"/>
              </w:rPr>
              <w:t>1000≤Y＜5000</w:t>
            </w:r>
          </w:p>
        </w:tc>
        <w:tc>
          <w:tcPr>
            <w:tcW w:w="1570" w:type="dxa"/>
            <w:tcBorders>
              <w:top w:val="nil"/>
              <w:left w:val="nil"/>
              <w:bottom w:val="single" w:color="auto" w:sz="4" w:space="0"/>
              <w:right w:val="single" w:color="auto" w:sz="4" w:space="0"/>
            </w:tcBorders>
            <w:noWrap w:val="0"/>
            <w:vAlign w:val="center"/>
          </w:tcPr>
          <w:p w14:paraId="3790F251">
            <w:pPr>
              <w:widowControl/>
              <w:jc w:val="left"/>
              <w:rPr>
                <w:rFonts w:hint="eastAsia" w:ascii="宋体" w:hAnsi="宋体" w:cs="宋体"/>
                <w:color w:val="auto"/>
                <w:szCs w:val="21"/>
                <w:highlight w:val="none"/>
              </w:rPr>
            </w:pPr>
            <w:r>
              <w:rPr>
                <w:rFonts w:hint="eastAsia" w:ascii="宋体" w:hAnsi="宋体" w:cs="宋体"/>
                <w:color w:val="auto"/>
                <w:szCs w:val="21"/>
                <w:highlight w:val="none"/>
              </w:rPr>
              <w:t>500≤Y＜1000</w:t>
            </w:r>
          </w:p>
        </w:tc>
        <w:tc>
          <w:tcPr>
            <w:tcW w:w="1009" w:type="dxa"/>
            <w:tcBorders>
              <w:top w:val="nil"/>
              <w:left w:val="nil"/>
              <w:bottom w:val="single" w:color="auto" w:sz="4" w:space="0"/>
              <w:right w:val="single" w:color="auto" w:sz="4" w:space="0"/>
            </w:tcBorders>
            <w:noWrap w:val="0"/>
            <w:vAlign w:val="center"/>
          </w:tcPr>
          <w:p w14:paraId="768185C0">
            <w:pPr>
              <w:widowControl/>
              <w:jc w:val="left"/>
              <w:rPr>
                <w:rFonts w:hint="eastAsia" w:ascii="宋体" w:hAnsi="宋体" w:cs="宋体"/>
                <w:color w:val="auto"/>
                <w:szCs w:val="21"/>
                <w:highlight w:val="none"/>
              </w:rPr>
            </w:pPr>
            <w:r>
              <w:rPr>
                <w:rFonts w:hint="eastAsia" w:ascii="宋体" w:hAnsi="宋体" w:cs="宋体"/>
                <w:color w:val="auto"/>
                <w:szCs w:val="21"/>
                <w:highlight w:val="none"/>
              </w:rPr>
              <w:t>Y＜500</w:t>
            </w:r>
          </w:p>
        </w:tc>
      </w:tr>
      <w:tr w14:paraId="66B3FA30">
        <w:tblPrEx>
          <w:tblCellMar>
            <w:top w:w="0" w:type="dxa"/>
            <w:left w:w="108" w:type="dxa"/>
            <w:bottom w:w="0" w:type="dxa"/>
            <w:right w:w="108" w:type="dxa"/>
          </w:tblCellMar>
        </w:tblPrEx>
        <w:trPr>
          <w:trHeight w:val="220" w:hRule="atLeast"/>
          <w:jc w:val="center"/>
        </w:trPr>
        <w:tc>
          <w:tcPr>
            <w:tcW w:w="1446" w:type="dxa"/>
            <w:vMerge w:val="restart"/>
            <w:tcBorders>
              <w:top w:val="nil"/>
              <w:left w:val="single" w:color="auto" w:sz="4" w:space="0"/>
              <w:bottom w:val="single" w:color="auto" w:sz="4" w:space="0"/>
              <w:right w:val="single" w:color="auto" w:sz="4" w:space="0"/>
            </w:tcBorders>
            <w:noWrap w:val="0"/>
            <w:vAlign w:val="bottom"/>
          </w:tcPr>
          <w:p w14:paraId="103DC28E">
            <w:pPr>
              <w:widowControl/>
              <w:jc w:val="center"/>
              <w:rPr>
                <w:rFonts w:hint="eastAsia" w:ascii="宋体" w:hAnsi="宋体" w:cs="宋体"/>
                <w:color w:val="auto"/>
                <w:szCs w:val="21"/>
                <w:highlight w:val="none"/>
              </w:rPr>
            </w:pPr>
            <w:r>
              <w:rPr>
                <w:rFonts w:hint="eastAsia" w:ascii="宋体" w:hAnsi="宋体" w:cs="宋体"/>
                <w:color w:val="auto"/>
                <w:szCs w:val="21"/>
                <w:highlight w:val="none"/>
              </w:rPr>
              <w:t>租赁和商务服务业</w:t>
            </w:r>
          </w:p>
        </w:tc>
        <w:tc>
          <w:tcPr>
            <w:tcW w:w="1701" w:type="dxa"/>
            <w:tcBorders>
              <w:top w:val="nil"/>
              <w:left w:val="nil"/>
              <w:bottom w:val="single" w:color="auto" w:sz="4" w:space="0"/>
              <w:right w:val="single" w:color="auto" w:sz="4" w:space="0"/>
            </w:tcBorders>
            <w:noWrap w:val="0"/>
            <w:vAlign w:val="center"/>
          </w:tcPr>
          <w:p w14:paraId="4D1FA91B">
            <w:pPr>
              <w:widowControl/>
              <w:jc w:val="left"/>
              <w:rPr>
                <w:rFonts w:hint="eastAsia" w:ascii="宋体" w:hAnsi="宋体" w:cs="宋体"/>
                <w:color w:val="auto"/>
                <w:szCs w:val="21"/>
                <w:highlight w:val="none"/>
              </w:rPr>
            </w:pPr>
            <w:r>
              <w:rPr>
                <w:rFonts w:hint="eastAsia" w:ascii="宋体" w:hAnsi="宋体" w:cs="宋体"/>
                <w:color w:val="auto"/>
                <w:szCs w:val="21"/>
                <w:highlight w:val="none"/>
              </w:rPr>
              <w:t>从业人员（X）</w:t>
            </w:r>
          </w:p>
        </w:tc>
        <w:tc>
          <w:tcPr>
            <w:tcW w:w="1134" w:type="dxa"/>
            <w:tcBorders>
              <w:top w:val="nil"/>
              <w:left w:val="nil"/>
              <w:bottom w:val="single" w:color="auto" w:sz="4" w:space="0"/>
              <w:right w:val="single" w:color="auto" w:sz="4" w:space="0"/>
            </w:tcBorders>
            <w:noWrap w:val="0"/>
            <w:vAlign w:val="center"/>
          </w:tcPr>
          <w:p w14:paraId="2FEA4E93">
            <w:pPr>
              <w:widowControl/>
              <w:jc w:val="left"/>
              <w:rPr>
                <w:rFonts w:hint="eastAsia" w:ascii="宋体" w:hAnsi="宋体" w:cs="宋体"/>
                <w:color w:val="auto"/>
                <w:szCs w:val="21"/>
                <w:highlight w:val="none"/>
              </w:rPr>
            </w:pPr>
            <w:r>
              <w:rPr>
                <w:rFonts w:hint="eastAsia" w:ascii="宋体" w:hAnsi="宋体" w:cs="宋体"/>
                <w:color w:val="auto"/>
                <w:szCs w:val="21"/>
                <w:highlight w:val="none"/>
              </w:rPr>
              <w:t>人</w:t>
            </w:r>
          </w:p>
        </w:tc>
        <w:tc>
          <w:tcPr>
            <w:tcW w:w="1846" w:type="dxa"/>
            <w:tcBorders>
              <w:top w:val="nil"/>
              <w:left w:val="nil"/>
              <w:bottom w:val="single" w:color="auto" w:sz="4" w:space="0"/>
              <w:right w:val="single" w:color="auto" w:sz="4" w:space="0"/>
            </w:tcBorders>
            <w:noWrap w:val="0"/>
            <w:vAlign w:val="center"/>
          </w:tcPr>
          <w:p w14:paraId="35D99AF6">
            <w:pPr>
              <w:widowControl/>
              <w:jc w:val="left"/>
              <w:rPr>
                <w:rFonts w:hint="eastAsia" w:ascii="宋体" w:hAnsi="宋体" w:cs="宋体"/>
                <w:color w:val="auto"/>
                <w:szCs w:val="21"/>
                <w:highlight w:val="none"/>
              </w:rPr>
            </w:pPr>
            <w:r>
              <w:rPr>
                <w:rFonts w:hint="eastAsia" w:ascii="宋体" w:hAnsi="宋体" w:cs="宋体"/>
                <w:color w:val="auto"/>
                <w:szCs w:val="21"/>
                <w:highlight w:val="none"/>
              </w:rPr>
              <w:t>100≤X＜300</w:t>
            </w:r>
          </w:p>
        </w:tc>
        <w:tc>
          <w:tcPr>
            <w:tcW w:w="1570" w:type="dxa"/>
            <w:tcBorders>
              <w:top w:val="nil"/>
              <w:left w:val="nil"/>
              <w:bottom w:val="single" w:color="auto" w:sz="4" w:space="0"/>
              <w:right w:val="single" w:color="auto" w:sz="4" w:space="0"/>
            </w:tcBorders>
            <w:noWrap w:val="0"/>
            <w:vAlign w:val="center"/>
          </w:tcPr>
          <w:p w14:paraId="0A005889">
            <w:pPr>
              <w:widowControl/>
              <w:jc w:val="left"/>
              <w:rPr>
                <w:rFonts w:hint="eastAsia" w:ascii="宋体" w:hAnsi="宋体" w:cs="宋体"/>
                <w:color w:val="auto"/>
                <w:szCs w:val="21"/>
                <w:highlight w:val="none"/>
              </w:rPr>
            </w:pPr>
            <w:r>
              <w:rPr>
                <w:rFonts w:hint="eastAsia" w:ascii="宋体" w:hAnsi="宋体" w:cs="宋体"/>
                <w:color w:val="auto"/>
                <w:szCs w:val="21"/>
                <w:highlight w:val="none"/>
              </w:rPr>
              <w:t>10≤X＜100</w:t>
            </w:r>
          </w:p>
        </w:tc>
        <w:tc>
          <w:tcPr>
            <w:tcW w:w="1009" w:type="dxa"/>
            <w:tcBorders>
              <w:top w:val="nil"/>
              <w:left w:val="nil"/>
              <w:bottom w:val="single" w:color="auto" w:sz="4" w:space="0"/>
              <w:right w:val="single" w:color="auto" w:sz="4" w:space="0"/>
            </w:tcBorders>
            <w:noWrap w:val="0"/>
            <w:vAlign w:val="center"/>
          </w:tcPr>
          <w:p w14:paraId="724D85BA">
            <w:pPr>
              <w:widowControl/>
              <w:jc w:val="left"/>
              <w:rPr>
                <w:rFonts w:hint="eastAsia" w:ascii="宋体" w:hAnsi="宋体" w:cs="宋体"/>
                <w:color w:val="auto"/>
                <w:szCs w:val="21"/>
                <w:highlight w:val="none"/>
              </w:rPr>
            </w:pPr>
            <w:r>
              <w:rPr>
                <w:rFonts w:hint="eastAsia" w:ascii="宋体" w:hAnsi="宋体" w:cs="宋体"/>
                <w:color w:val="auto"/>
                <w:szCs w:val="21"/>
                <w:highlight w:val="none"/>
              </w:rPr>
              <w:t>X＜10</w:t>
            </w:r>
          </w:p>
        </w:tc>
      </w:tr>
      <w:tr w14:paraId="34FF7C14">
        <w:tblPrEx>
          <w:tblCellMar>
            <w:top w:w="0" w:type="dxa"/>
            <w:left w:w="108" w:type="dxa"/>
            <w:bottom w:w="0" w:type="dxa"/>
            <w:right w:w="108" w:type="dxa"/>
          </w:tblCellMar>
        </w:tblPrEx>
        <w:trPr>
          <w:trHeight w:val="220" w:hRule="atLeast"/>
          <w:jc w:val="center"/>
        </w:trPr>
        <w:tc>
          <w:tcPr>
            <w:tcW w:w="1446" w:type="dxa"/>
            <w:vMerge w:val="continue"/>
            <w:tcBorders>
              <w:top w:val="nil"/>
              <w:left w:val="single" w:color="auto" w:sz="4" w:space="0"/>
              <w:bottom w:val="single" w:color="auto" w:sz="4" w:space="0"/>
              <w:right w:val="single" w:color="auto" w:sz="4" w:space="0"/>
            </w:tcBorders>
            <w:noWrap w:val="0"/>
            <w:vAlign w:val="center"/>
          </w:tcPr>
          <w:p w14:paraId="63E60408">
            <w:pPr>
              <w:widowControl/>
              <w:jc w:val="left"/>
              <w:rPr>
                <w:rFonts w:hint="eastAsia" w:ascii="宋体" w:hAnsi="宋体" w:cs="宋体"/>
                <w:color w:val="auto"/>
                <w:szCs w:val="21"/>
                <w:highlight w:val="none"/>
              </w:rPr>
            </w:pPr>
          </w:p>
        </w:tc>
        <w:tc>
          <w:tcPr>
            <w:tcW w:w="1701" w:type="dxa"/>
            <w:tcBorders>
              <w:top w:val="nil"/>
              <w:left w:val="nil"/>
              <w:bottom w:val="single" w:color="auto" w:sz="4" w:space="0"/>
              <w:right w:val="single" w:color="auto" w:sz="4" w:space="0"/>
            </w:tcBorders>
            <w:noWrap w:val="0"/>
            <w:vAlign w:val="center"/>
          </w:tcPr>
          <w:p w14:paraId="7683D59B">
            <w:pPr>
              <w:widowControl/>
              <w:jc w:val="left"/>
              <w:rPr>
                <w:rFonts w:hint="eastAsia" w:ascii="宋体" w:hAnsi="宋体" w:cs="宋体"/>
                <w:color w:val="auto"/>
                <w:szCs w:val="21"/>
                <w:highlight w:val="none"/>
              </w:rPr>
            </w:pPr>
            <w:r>
              <w:rPr>
                <w:rFonts w:hint="eastAsia" w:ascii="宋体" w:hAnsi="宋体" w:cs="宋体"/>
                <w:color w:val="auto"/>
                <w:szCs w:val="21"/>
                <w:highlight w:val="none"/>
              </w:rPr>
              <w:t>资产总额（Z）</w:t>
            </w:r>
          </w:p>
        </w:tc>
        <w:tc>
          <w:tcPr>
            <w:tcW w:w="1134" w:type="dxa"/>
            <w:tcBorders>
              <w:top w:val="nil"/>
              <w:left w:val="nil"/>
              <w:bottom w:val="single" w:color="auto" w:sz="4" w:space="0"/>
              <w:right w:val="single" w:color="auto" w:sz="4" w:space="0"/>
            </w:tcBorders>
            <w:noWrap w:val="0"/>
            <w:vAlign w:val="center"/>
          </w:tcPr>
          <w:p w14:paraId="512BC6ED">
            <w:pPr>
              <w:widowControl/>
              <w:jc w:val="left"/>
              <w:rPr>
                <w:rFonts w:hint="eastAsia" w:ascii="宋体" w:hAnsi="宋体" w:cs="宋体"/>
                <w:color w:val="auto"/>
                <w:szCs w:val="21"/>
                <w:highlight w:val="none"/>
              </w:rPr>
            </w:pPr>
            <w:r>
              <w:rPr>
                <w:rFonts w:hint="eastAsia" w:ascii="宋体" w:hAnsi="宋体" w:cs="宋体"/>
                <w:color w:val="auto"/>
                <w:szCs w:val="21"/>
                <w:highlight w:val="none"/>
              </w:rPr>
              <w:t>万元</w:t>
            </w:r>
          </w:p>
        </w:tc>
        <w:tc>
          <w:tcPr>
            <w:tcW w:w="1846" w:type="dxa"/>
            <w:tcBorders>
              <w:top w:val="nil"/>
              <w:left w:val="nil"/>
              <w:bottom w:val="single" w:color="auto" w:sz="4" w:space="0"/>
              <w:right w:val="single" w:color="auto" w:sz="4" w:space="0"/>
            </w:tcBorders>
            <w:noWrap w:val="0"/>
            <w:vAlign w:val="center"/>
          </w:tcPr>
          <w:p w14:paraId="05F120B6">
            <w:pPr>
              <w:widowControl/>
              <w:jc w:val="left"/>
              <w:rPr>
                <w:rFonts w:hint="eastAsia" w:ascii="宋体" w:hAnsi="宋体" w:cs="宋体"/>
                <w:color w:val="auto"/>
                <w:szCs w:val="21"/>
                <w:highlight w:val="none"/>
              </w:rPr>
            </w:pPr>
            <w:r>
              <w:rPr>
                <w:rFonts w:hint="eastAsia" w:ascii="宋体" w:hAnsi="宋体" w:cs="宋体"/>
                <w:color w:val="auto"/>
                <w:szCs w:val="21"/>
                <w:highlight w:val="none"/>
              </w:rPr>
              <w:t>8000≤Z＜120000</w:t>
            </w:r>
          </w:p>
        </w:tc>
        <w:tc>
          <w:tcPr>
            <w:tcW w:w="1570" w:type="dxa"/>
            <w:tcBorders>
              <w:top w:val="nil"/>
              <w:left w:val="nil"/>
              <w:bottom w:val="single" w:color="auto" w:sz="4" w:space="0"/>
              <w:right w:val="single" w:color="auto" w:sz="4" w:space="0"/>
            </w:tcBorders>
            <w:noWrap w:val="0"/>
            <w:vAlign w:val="center"/>
          </w:tcPr>
          <w:p w14:paraId="327AEDA9">
            <w:pPr>
              <w:widowControl/>
              <w:jc w:val="left"/>
              <w:rPr>
                <w:rFonts w:hint="eastAsia" w:ascii="宋体" w:hAnsi="宋体" w:cs="宋体"/>
                <w:color w:val="auto"/>
                <w:szCs w:val="21"/>
                <w:highlight w:val="none"/>
              </w:rPr>
            </w:pPr>
            <w:r>
              <w:rPr>
                <w:rFonts w:hint="eastAsia" w:ascii="宋体" w:hAnsi="宋体" w:cs="宋体"/>
                <w:color w:val="auto"/>
                <w:szCs w:val="21"/>
                <w:highlight w:val="none"/>
              </w:rPr>
              <w:t>100≤Z＜8000</w:t>
            </w:r>
          </w:p>
        </w:tc>
        <w:tc>
          <w:tcPr>
            <w:tcW w:w="1009" w:type="dxa"/>
            <w:tcBorders>
              <w:top w:val="nil"/>
              <w:left w:val="nil"/>
              <w:bottom w:val="single" w:color="auto" w:sz="4" w:space="0"/>
              <w:right w:val="single" w:color="auto" w:sz="4" w:space="0"/>
            </w:tcBorders>
            <w:noWrap w:val="0"/>
            <w:vAlign w:val="center"/>
          </w:tcPr>
          <w:p w14:paraId="6B38CB75">
            <w:pPr>
              <w:widowControl/>
              <w:jc w:val="left"/>
              <w:rPr>
                <w:rFonts w:hint="eastAsia" w:ascii="宋体" w:hAnsi="宋体" w:cs="宋体"/>
                <w:color w:val="auto"/>
                <w:szCs w:val="21"/>
                <w:highlight w:val="none"/>
              </w:rPr>
            </w:pPr>
            <w:r>
              <w:rPr>
                <w:rFonts w:hint="eastAsia" w:ascii="宋体" w:hAnsi="宋体" w:cs="宋体"/>
                <w:color w:val="auto"/>
                <w:szCs w:val="21"/>
                <w:highlight w:val="none"/>
              </w:rPr>
              <w:t>Y＜100</w:t>
            </w:r>
          </w:p>
        </w:tc>
      </w:tr>
      <w:tr w14:paraId="3BC9E141">
        <w:tblPrEx>
          <w:tblCellMar>
            <w:top w:w="0" w:type="dxa"/>
            <w:left w:w="108" w:type="dxa"/>
            <w:bottom w:w="0" w:type="dxa"/>
            <w:right w:w="108" w:type="dxa"/>
          </w:tblCellMar>
        </w:tblPrEx>
        <w:trPr>
          <w:trHeight w:val="220" w:hRule="atLeast"/>
          <w:jc w:val="center"/>
        </w:trPr>
        <w:tc>
          <w:tcPr>
            <w:tcW w:w="1446" w:type="dxa"/>
            <w:tcBorders>
              <w:top w:val="nil"/>
              <w:left w:val="single" w:color="auto" w:sz="4" w:space="0"/>
              <w:bottom w:val="single" w:color="auto" w:sz="4" w:space="0"/>
              <w:right w:val="single" w:color="auto" w:sz="4" w:space="0"/>
            </w:tcBorders>
            <w:noWrap w:val="0"/>
            <w:vAlign w:val="bottom"/>
          </w:tcPr>
          <w:p w14:paraId="6F12A7AE">
            <w:pPr>
              <w:widowControl/>
              <w:jc w:val="center"/>
              <w:rPr>
                <w:rFonts w:hint="eastAsia" w:ascii="宋体" w:hAnsi="宋体" w:cs="宋体"/>
                <w:color w:val="auto"/>
                <w:szCs w:val="21"/>
                <w:highlight w:val="none"/>
              </w:rPr>
            </w:pPr>
            <w:r>
              <w:rPr>
                <w:rFonts w:hint="eastAsia" w:ascii="宋体" w:hAnsi="宋体" w:cs="宋体"/>
                <w:color w:val="auto"/>
                <w:szCs w:val="21"/>
                <w:highlight w:val="none"/>
              </w:rPr>
              <w:t>其他未列明行业</w:t>
            </w:r>
          </w:p>
        </w:tc>
        <w:tc>
          <w:tcPr>
            <w:tcW w:w="1701" w:type="dxa"/>
            <w:tcBorders>
              <w:top w:val="nil"/>
              <w:left w:val="nil"/>
              <w:bottom w:val="single" w:color="auto" w:sz="4" w:space="0"/>
              <w:right w:val="single" w:color="auto" w:sz="4" w:space="0"/>
            </w:tcBorders>
            <w:noWrap w:val="0"/>
            <w:vAlign w:val="center"/>
          </w:tcPr>
          <w:p w14:paraId="18AAAA20">
            <w:pPr>
              <w:widowControl/>
              <w:jc w:val="left"/>
              <w:rPr>
                <w:rFonts w:hint="eastAsia" w:ascii="宋体" w:hAnsi="宋体" w:cs="宋体"/>
                <w:color w:val="auto"/>
                <w:szCs w:val="21"/>
                <w:highlight w:val="none"/>
              </w:rPr>
            </w:pPr>
            <w:r>
              <w:rPr>
                <w:rFonts w:hint="eastAsia" w:ascii="宋体" w:hAnsi="宋体" w:cs="宋体"/>
                <w:color w:val="auto"/>
                <w:szCs w:val="21"/>
                <w:highlight w:val="none"/>
              </w:rPr>
              <w:t>从业人员（X）</w:t>
            </w:r>
          </w:p>
        </w:tc>
        <w:tc>
          <w:tcPr>
            <w:tcW w:w="1134" w:type="dxa"/>
            <w:tcBorders>
              <w:top w:val="nil"/>
              <w:left w:val="nil"/>
              <w:bottom w:val="single" w:color="auto" w:sz="4" w:space="0"/>
              <w:right w:val="single" w:color="auto" w:sz="4" w:space="0"/>
            </w:tcBorders>
            <w:noWrap w:val="0"/>
            <w:vAlign w:val="center"/>
          </w:tcPr>
          <w:p w14:paraId="73071A05">
            <w:pPr>
              <w:widowControl/>
              <w:jc w:val="left"/>
              <w:rPr>
                <w:rFonts w:hint="eastAsia" w:ascii="宋体" w:hAnsi="宋体" w:cs="宋体"/>
                <w:color w:val="auto"/>
                <w:szCs w:val="21"/>
                <w:highlight w:val="none"/>
              </w:rPr>
            </w:pPr>
            <w:r>
              <w:rPr>
                <w:rFonts w:hint="eastAsia" w:ascii="宋体" w:hAnsi="宋体" w:cs="宋体"/>
                <w:color w:val="auto"/>
                <w:szCs w:val="21"/>
                <w:highlight w:val="none"/>
              </w:rPr>
              <w:t>人</w:t>
            </w:r>
          </w:p>
        </w:tc>
        <w:tc>
          <w:tcPr>
            <w:tcW w:w="1846" w:type="dxa"/>
            <w:tcBorders>
              <w:top w:val="nil"/>
              <w:left w:val="nil"/>
              <w:bottom w:val="single" w:color="auto" w:sz="4" w:space="0"/>
              <w:right w:val="single" w:color="auto" w:sz="4" w:space="0"/>
            </w:tcBorders>
            <w:noWrap w:val="0"/>
            <w:vAlign w:val="center"/>
          </w:tcPr>
          <w:p w14:paraId="0DA7437F">
            <w:pPr>
              <w:widowControl/>
              <w:jc w:val="left"/>
              <w:rPr>
                <w:rFonts w:hint="eastAsia" w:ascii="宋体" w:hAnsi="宋体" w:cs="宋体"/>
                <w:color w:val="auto"/>
                <w:szCs w:val="21"/>
                <w:highlight w:val="none"/>
              </w:rPr>
            </w:pPr>
            <w:r>
              <w:rPr>
                <w:rFonts w:hint="eastAsia" w:ascii="宋体" w:hAnsi="宋体" w:cs="宋体"/>
                <w:color w:val="auto"/>
                <w:szCs w:val="21"/>
                <w:highlight w:val="none"/>
              </w:rPr>
              <w:t>100≤X＜300</w:t>
            </w:r>
          </w:p>
        </w:tc>
        <w:tc>
          <w:tcPr>
            <w:tcW w:w="1570" w:type="dxa"/>
            <w:tcBorders>
              <w:top w:val="nil"/>
              <w:left w:val="nil"/>
              <w:bottom w:val="single" w:color="auto" w:sz="4" w:space="0"/>
              <w:right w:val="single" w:color="auto" w:sz="4" w:space="0"/>
            </w:tcBorders>
            <w:noWrap w:val="0"/>
            <w:vAlign w:val="center"/>
          </w:tcPr>
          <w:p w14:paraId="0968D7A7">
            <w:pPr>
              <w:widowControl/>
              <w:jc w:val="left"/>
              <w:rPr>
                <w:rFonts w:hint="eastAsia" w:ascii="宋体" w:hAnsi="宋体" w:cs="宋体"/>
                <w:color w:val="auto"/>
                <w:szCs w:val="21"/>
                <w:highlight w:val="none"/>
              </w:rPr>
            </w:pPr>
            <w:r>
              <w:rPr>
                <w:rFonts w:hint="eastAsia" w:ascii="宋体" w:hAnsi="宋体" w:cs="宋体"/>
                <w:color w:val="auto"/>
                <w:szCs w:val="21"/>
                <w:highlight w:val="none"/>
              </w:rPr>
              <w:t>10≤X＜100</w:t>
            </w:r>
          </w:p>
        </w:tc>
        <w:tc>
          <w:tcPr>
            <w:tcW w:w="1009" w:type="dxa"/>
            <w:tcBorders>
              <w:top w:val="nil"/>
              <w:left w:val="nil"/>
              <w:bottom w:val="single" w:color="auto" w:sz="4" w:space="0"/>
              <w:right w:val="single" w:color="auto" w:sz="4" w:space="0"/>
            </w:tcBorders>
            <w:noWrap w:val="0"/>
            <w:vAlign w:val="center"/>
          </w:tcPr>
          <w:p w14:paraId="74BC907B">
            <w:pPr>
              <w:widowControl/>
              <w:jc w:val="left"/>
              <w:rPr>
                <w:rFonts w:hint="eastAsia" w:ascii="宋体" w:hAnsi="宋体" w:cs="宋体"/>
                <w:color w:val="auto"/>
                <w:szCs w:val="21"/>
                <w:highlight w:val="none"/>
              </w:rPr>
            </w:pPr>
            <w:r>
              <w:rPr>
                <w:rFonts w:hint="eastAsia" w:ascii="宋体" w:hAnsi="宋体" w:cs="宋体"/>
                <w:color w:val="auto"/>
                <w:szCs w:val="21"/>
                <w:highlight w:val="none"/>
              </w:rPr>
              <w:t>X＜10</w:t>
            </w:r>
          </w:p>
        </w:tc>
      </w:tr>
    </w:tbl>
    <w:p w14:paraId="754F8016">
      <w:pPr>
        <w:spacing w:line="360" w:lineRule="auto"/>
        <w:ind w:firstLine="525" w:firstLineChars="250"/>
        <w:rPr>
          <w:rFonts w:hint="eastAsia" w:ascii="宋体" w:hAnsi="宋体" w:cs="宋体"/>
          <w:color w:val="auto"/>
          <w:szCs w:val="21"/>
          <w:highlight w:val="none"/>
        </w:rPr>
      </w:pPr>
      <w:r>
        <w:rPr>
          <w:rFonts w:hint="eastAsia" w:ascii="宋体" w:hAnsi="宋体" w:cs="宋体"/>
          <w:color w:val="auto"/>
          <w:szCs w:val="21"/>
          <w:highlight w:val="none"/>
        </w:rPr>
        <w:t>说明：上述标准参照《关于印发中小企业划型标准规定的通知》（工信部联企业[2011]300号），大型、中型和小型企业须同时满足所列指标的下限，否则下划一档；微型企业只须满足所列指标中的一项即可。</w:t>
      </w:r>
    </w:p>
    <w:bookmarkEnd w:id="14"/>
    <w:bookmarkEnd w:id="15"/>
    <w:bookmarkEnd w:id="17"/>
    <w:p w14:paraId="740EDF02">
      <w:pPr>
        <w:rPr>
          <w:rFonts w:hint="eastAsia" w:hAnsi="宋体" w:cs="宋体"/>
          <w:color w:val="auto"/>
          <w:sz w:val="32"/>
          <w:szCs w:val="32"/>
          <w:highlight w:val="none"/>
        </w:rPr>
      </w:pPr>
    </w:p>
    <w:p w14:paraId="0B298C76">
      <w:pPr>
        <w:pStyle w:val="28"/>
        <w:snapToGrid w:val="0"/>
        <w:spacing w:before="120" w:after="120" w:line="320" w:lineRule="exact"/>
        <w:jc w:val="center"/>
        <w:outlineLvl w:val="0"/>
        <w:rPr>
          <w:rFonts w:hint="eastAsia" w:hAnsi="宋体" w:cs="宋体"/>
          <w:color w:val="auto"/>
          <w:sz w:val="32"/>
          <w:szCs w:val="32"/>
          <w:highlight w:val="none"/>
        </w:rPr>
      </w:pPr>
      <w:bookmarkStart w:id="18" w:name="_Toc30062"/>
      <w:r>
        <w:rPr>
          <w:rFonts w:hint="eastAsia" w:hAnsi="宋体" w:cs="宋体"/>
          <w:color w:val="auto"/>
          <w:sz w:val="32"/>
          <w:szCs w:val="32"/>
          <w:highlight w:val="none"/>
        </w:rPr>
        <w:t>第三章  供应商须知</w:t>
      </w:r>
      <w:bookmarkEnd w:id="18"/>
      <w:bookmarkStart w:id="19" w:name="_投标人须知前附表"/>
      <w:bookmarkEnd w:id="19"/>
    </w:p>
    <w:p w14:paraId="58B91213">
      <w:pPr>
        <w:pStyle w:val="28"/>
        <w:snapToGrid w:val="0"/>
        <w:spacing w:before="120" w:after="120" w:line="320" w:lineRule="exact"/>
        <w:jc w:val="center"/>
        <w:outlineLvl w:val="1"/>
        <w:rPr>
          <w:rFonts w:hint="eastAsia" w:hAnsi="宋体" w:cs="宋体"/>
          <w:b/>
          <w:bCs/>
          <w:color w:val="auto"/>
          <w:sz w:val="24"/>
          <w:szCs w:val="24"/>
          <w:highlight w:val="none"/>
        </w:rPr>
      </w:pPr>
      <w:bookmarkStart w:id="20" w:name="_Hlk89187839"/>
      <w:r>
        <w:rPr>
          <w:rFonts w:hint="eastAsia" w:hAnsi="宋体" w:cs="宋体"/>
          <w:b/>
          <w:bCs/>
          <w:color w:val="auto"/>
          <w:sz w:val="24"/>
          <w:szCs w:val="24"/>
          <w:highlight w:val="none"/>
        </w:rPr>
        <w:t>供应商须知前附表</w:t>
      </w:r>
    </w:p>
    <w:bookmarkEnd w:id="20"/>
    <w:tbl>
      <w:tblPr>
        <w:tblStyle w:val="55"/>
        <w:tblW w:w="0" w:type="auto"/>
        <w:tblInd w:w="108"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108" w:type="dxa"/>
          <w:bottom w:w="0" w:type="dxa"/>
          <w:right w:w="108" w:type="dxa"/>
        </w:tblCellMar>
      </w:tblPr>
      <w:tblGrid>
        <w:gridCol w:w="1318"/>
        <w:gridCol w:w="1170"/>
        <w:gridCol w:w="6690"/>
      </w:tblGrid>
      <w:tr w14:paraId="1F26D24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9" w:hRule="atLeast"/>
        </w:trPr>
        <w:tc>
          <w:tcPr>
            <w:tcW w:w="1318" w:type="dxa"/>
            <w:tcBorders>
              <w:top w:val="single" w:color="auto" w:sz="4" w:space="0"/>
              <w:left w:val="single" w:color="auto" w:sz="4" w:space="0"/>
              <w:bottom w:val="single" w:color="auto" w:sz="4" w:space="0"/>
              <w:right w:val="single" w:color="auto" w:sz="4" w:space="0"/>
            </w:tcBorders>
            <w:noWrap w:val="0"/>
            <w:vAlign w:val="center"/>
          </w:tcPr>
          <w:p w14:paraId="2A112E32">
            <w:pPr>
              <w:jc w:val="center"/>
              <w:rPr>
                <w:rFonts w:hint="eastAsia" w:ascii="宋体" w:hAnsi="宋体" w:cs="宋体"/>
                <w:b/>
                <w:color w:val="auto"/>
                <w:szCs w:val="21"/>
                <w:highlight w:val="none"/>
              </w:rPr>
            </w:pPr>
            <w:r>
              <w:rPr>
                <w:rFonts w:hint="eastAsia" w:ascii="宋体" w:hAnsi="宋体" w:cs="宋体"/>
                <w:b/>
                <w:color w:val="auto"/>
                <w:szCs w:val="21"/>
                <w:highlight w:val="none"/>
              </w:rPr>
              <w:t>条款号</w:t>
            </w:r>
          </w:p>
        </w:tc>
        <w:tc>
          <w:tcPr>
            <w:tcW w:w="1170" w:type="dxa"/>
            <w:tcBorders>
              <w:top w:val="single" w:color="auto" w:sz="4" w:space="0"/>
              <w:left w:val="single" w:color="auto" w:sz="4" w:space="0"/>
              <w:bottom w:val="single" w:color="auto" w:sz="4" w:space="0"/>
              <w:right w:val="single" w:color="auto" w:sz="4" w:space="0"/>
            </w:tcBorders>
            <w:noWrap w:val="0"/>
            <w:vAlign w:val="center"/>
          </w:tcPr>
          <w:p w14:paraId="77A2FB24">
            <w:pPr>
              <w:jc w:val="center"/>
              <w:rPr>
                <w:rFonts w:hint="eastAsia" w:ascii="宋体" w:hAnsi="宋体" w:cs="宋体"/>
                <w:b/>
                <w:color w:val="auto"/>
                <w:szCs w:val="21"/>
                <w:highlight w:val="none"/>
              </w:rPr>
            </w:pPr>
            <w:r>
              <w:rPr>
                <w:rFonts w:hint="eastAsia" w:ascii="宋体" w:hAnsi="宋体" w:cs="宋体"/>
                <w:b/>
                <w:color w:val="auto"/>
                <w:szCs w:val="21"/>
                <w:highlight w:val="none"/>
              </w:rPr>
              <w:t>要点</w:t>
            </w:r>
          </w:p>
        </w:tc>
        <w:tc>
          <w:tcPr>
            <w:tcW w:w="6690" w:type="dxa"/>
            <w:tcBorders>
              <w:top w:val="single" w:color="auto" w:sz="4" w:space="0"/>
              <w:left w:val="single" w:color="auto" w:sz="4" w:space="0"/>
              <w:bottom w:val="single" w:color="auto" w:sz="4" w:space="0"/>
              <w:right w:val="single" w:color="auto" w:sz="4" w:space="0"/>
            </w:tcBorders>
            <w:noWrap w:val="0"/>
            <w:vAlign w:val="center"/>
          </w:tcPr>
          <w:p w14:paraId="2E23E2F3">
            <w:pPr>
              <w:jc w:val="center"/>
              <w:rPr>
                <w:rFonts w:hint="eastAsia" w:ascii="宋体" w:hAnsi="宋体" w:cs="宋体"/>
                <w:b/>
                <w:color w:val="auto"/>
                <w:szCs w:val="21"/>
                <w:highlight w:val="none"/>
              </w:rPr>
            </w:pPr>
            <w:r>
              <w:rPr>
                <w:rFonts w:hint="eastAsia" w:ascii="宋体" w:hAnsi="宋体" w:cs="宋体"/>
                <w:b/>
                <w:color w:val="auto"/>
                <w:szCs w:val="21"/>
                <w:highlight w:val="none"/>
              </w:rPr>
              <w:t>内容、要求</w:t>
            </w:r>
          </w:p>
        </w:tc>
      </w:tr>
      <w:tr w14:paraId="0F2285C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90" w:hRule="atLeast"/>
        </w:trPr>
        <w:tc>
          <w:tcPr>
            <w:tcW w:w="1318" w:type="dxa"/>
            <w:tcBorders>
              <w:top w:val="single" w:color="auto" w:sz="4" w:space="0"/>
              <w:left w:val="single" w:color="auto" w:sz="4" w:space="0"/>
              <w:bottom w:val="single" w:color="auto" w:sz="4" w:space="0"/>
              <w:right w:val="single" w:color="auto" w:sz="4" w:space="0"/>
            </w:tcBorders>
            <w:noWrap w:val="0"/>
            <w:vAlign w:val="center"/>
          </w:tcPr>
          <w:p w14:paraId="181E8B7F">
            <w:pPr>
              <w:spacing w:line="300" w:lineRule="exact"/>
              <w:jc w:val="center"/>
              <w:rPr>
                <w:rFonts w:hint="eastAsia" w:ascii="宋体" w:hAnsi="宋体" w:cs="宋体"/>
                <w:color w:val="auto"/>
                <w:szCs w:val="21"/>
                <w:highlight w:val="none"/>
              </w:rPr>
            </w:pPr>
            <w:r>
              <w:rPr>
                <w:rFonts w:hint="eastAsia" w:ascii="宋体" w:hAnsi="宋体" w:cs="宋体"/>
                <w:b/>
                <w:color w:val="auto"/>
                <w:szCs w:val="21"/>
                <w:highlight w:val="none"/>
              </w:rPr>
              <w:t>1.3.1</w:t>
            </w:r>
          </w:p>
        </w:tc>
        <w:tc>
          <w:tcPr>
            <w:tcW w:w="1170" w:type="dxa"/>
            <w:tcBorders>
              <w:top w:val="single" w:color="auto" w:sz="4" w:space="0"/>
              <w:left w:val="single" w:color="auto" w:sz="4" w:space="0"/>
              <w:bottom w:val="single" w:color="auto" w:sz="4" w:space="0"/>
              <w:right w:val="single" w:color="auto" w:sz="4" w:space="0"/>
            </w:tcBorders>
            <w:noWrap w:val="0"/>
            <w:vAlign w:val="center"/>
          </w:tcPr>
          <w:p w14:paraId="208626F8">
            <w:pPr>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项目基本信息</w:t>
            </w:r>
          </w:p>
        </w:tc>
        <w:tc>
          <w:tcPr>
            <w:tcW w:w="6690" w:type="dxa"/>
            <w:tcBorders>
              <w:top w:val="single" w:color="auto" w:sz="4" w:space="0"/>
              <w:left w:val="single" w:color="auto" w:sz="4" w:space="0"/>
              <w:bottom w:val="single" w:color="auto" w:sz="4" w:space="0"/>
              <w:right w:val="single" w:color="auto" w:sz="4" w:space="0"/>
            </w:tcBorders>
            <w:noWrap w:val="0"/>
            <w:vAlign w:val="center"/>
          </w:tcPr>
          <w:p w14:paraId="375E482E">
            <w:pPr>
              <w:spacing w:line="300" w:lineRule="exact"/>
              <w:jc w:val="left"/>
              <w:rPr>
                <w:rFonts w:hint="eastAsia" w:ascii="宋体" w:hAnsi="宋体" w:eastAsia="宋体" w:cs="宋体"/>
                <w:color w:val="auto"/>
                <w:szCs w:val="21"/>
                <w:highlight w:val="none"/>
                <w:lang w:eastAsia="zh-CN"/>
              </w:rPr>
            </w:pPr>
            <w:r>
              <w:rPr>
                <w:rFonts w:hint="eastAsia" w:ascii="宋体" w:hAnsi="宋体" w:cs="宋体"/>
                <w:color w:val="auto"/>
                <w:szCs w:val="21"/>
                <w:highlight w:val="none"/>
              </w:rPr>
              <w:t>项目名称：</w:t>
            </w:r>
            <w:r>
              <w:rPr>
                <w:rFonts w:hint="eastAsia" w:ascii="宋体" w:hAnsi="宋体" w:cs="宋体"/>
                <w:color w:val="auto"/>
                <w:szCs w:val="21"/>
                <w:highlight w:val="none"/>
                <w:lang w:eastAsia="zh-CN"/>
              </w:rPr>
              <w:t>大新县全茗镇政教村政屯优质稻特色产业基地配套农田水利</w:t>
            </w:r>
          </w:p>
          <w:p w14:paraId="07EAF1D9">
            <w:pPr>
              <w:spacing w:line="300" w:lineRule="exact"/>
              <w:jc w:val="left"/>
              <w:rPr>
                <w:rFonts w:hint="eastAsia" w:ascii="宋体" w:hAnsi="宋体" w:cs="宋体"/>
                <w:color w:val="auto"/>
                <w:szCs w:val="21"/>
                <w:highlight w:val="none"/>
                <w:lang w:eastAsia="zh-CN"/>
              </w:rPr>
            </w:pPr>
            <w:r>
              <w:rPr>
                <w:rFonts w:hint="eastAsia" w:ascii="宋体" w:hAnsi="宋体" w:cs="宋体"/>
                <w:color w:val="auto"/>
                <w:szCs w:val="21"/>
                <w:highlight w:val="none"/>
              </w:rPr>
              <w:t>项目编号：CZZC2026-C2-240174-JDZB</w:t>
            </w:r>
            <w:r>
              <w:rPr>
                <w:rFonts w:hint="eastAsia" w:ascii="宋体" w:hAnsi="宋体" w:cs="宋体"/>
                <w:color w:val="auto"/>
                <w:szCs w:val="21"/>
                <w:highlight w:val="none"/>
                <w:lang w:eastAsia="zh-CN"/>
              </w:rPr>
              <w:t xml:space="preserve"> </w:t>
            </w:r>
            <w:r>
              <w:rPr>
                <w:rFonts w:hint="eastAsia" w:ascii="宋体" w:hAnsi="宋体" w:cs="宋体"/>
                <w:color w:val="auto"/>
                <w:szCs w:val="21"/>
                <w:highlight w:val="none"/>
              </w:rPr>
              <w:t xml:space="preserve"> </w:t>
            </w:r>
            <w:r>
              <w:rPr>
                <w:rFonts w:hint="eastAsia" w:ascii="宋体" w:hAnsi="宋体" w:cs="宋体"/>
                <w:color w:val="auto"/>
                <w:szCs w:val="21"/>
                <w:highlight w:val="none"/>
                <w:lang w:eastAsia="zh-CN"/>
              </w:rPr>
              <w:t xml:space="preserve"> </w:t>
            </w:r>
          </w:p>
          <w:p w14:paraId="20914930">
            <w:pPr>
              <w:spacing w:line="300" w:lineRule="exact"/>
              <w:jc w:val="left"/>
              <w:rPr>
                <w:rFonts w:hint="eastAsia" w:ascii="宋体" w:hAnsi="宋体" w:eastAsia="微软雅黑" w:cs="宋体"/>
                <w:color w:val="auto"/>
                <w:szCs w:val="21"/>
                <w:highlight w:val="none"/>
                <w:lang w:val="en-US" w:eastAsia="zh-CN"/>
              </w:rPr>
            </w:pPr>
            <w:r>
              <w:rPr>
                <w:rFonts w:hint="eastAsia" w:ascii="宋体" w:hAnsi="宋体" w:cs="宋体"/>
                <w:color w:val="auto"/>
                <w:szCs w:val="21"/>
                <w:highlight w:val="none"/>
                <w:lang w:eastAsia="zh-CN"/>
              </w:rPr>
              <w:t>采购计划号：DXZC2026-C2-01172-001、DXZC2026-C2-01172-00</w:t>
            </w:r>
            <w:r>
              <w:rPr>
                <w:rFonts w:hint="eastAsia" w:ascii="宋体" w:hAnsi="宋体" w:cs="宋体"/>
                <w:color w:val="auto"/>
                <w:szCs w:val="21"/>
                <w:highlight w:val="none"/>
                <w:lang w:val="en-US" w:eastAsia="zh-CN"/>
              </w:rPr>
              <w:t xml:space="preserve">2、DXZC2026-C2-01172-003 </w:t>
            </w:r>
          </w:p>
        </w:tc>
      </w:tr>
      <w:tr w14:paraId="235A37C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90" w:hRule="atLeast"/>
        </w:trPr>
        <w:tc>
          <w:tcPr>
            <w:tcW w:w="1318" w:type="dxa"/>
            <w:tcBorders>
              <w:top w:val="single" w:color="auto" w:sz="4" w:space="0"/>
              <w:left w:val="single" w:color="auto" w:sz="4" w:space="0"/>
              <w:bottom w:val="single" w:color="auto" w:sz="4" w:space="0"/>
              <w:right w:val="single" w:color="auto" w:sz="4" w:space="0"/>
            </w:tcBorders>
            <w:noWrap w:val="0"/>
            <w:vAlign w:val="center"/>
          </w:tcPr>
          <w:p w14:paraId="27BA1A35">
            <w:pPr>
              <w:spacing w:line="300" w:lineRule="exact"/>
              <w:jc w:val="center"/>
              <w:rPr>
                <w:rFonts w:hint="eastAsia" w:ascii="宋体" w:hAnsi="宋体" w:cs="宋体"/>
                <w:color w:val="auto"/>
                <w:szCs w:val="21"/>
                <w:highlight w:val="none"/>
              </w:rPr>
            </w:pPr>
            <w:r>
              <w:rPr>
                <w:rFonts w:hint="eastAsia" w:ascii="宋体" w:hAnsi="宋体" w:cs="宋体"/>
                <w:b/>
                <w:color w:val="auto"/>
                <w:szCs w:val="21"/>
                <w:highlight w:val="none"/>
              </w:rPr>
              <w:t>1.3.1</w:t>
            </w:r>
          </w:p>
        </w:tc>
        <w:tc>
          <w:tcPr>
            <w:tcW w:w="1170" w:type="dxa"/>
            <w:tcBorders>
              <w:top w:val="single" w:color="auto" w:sz="4" w:space="0"/>
              <w:left w:val="single" w:color="auto" w:sz="4" w:space="0"/>
              <w:bottom w:val="single" w:color="auto" w:sz="4" w:space="0"/>
              <w:right w:val="single" w:color="auto" w:sz="4" w:space="0"/>
            </w:tcBorders>
            <w:noWrap w:val="0"/>
            <w:vAlign w:val="center"/>
          </w:tcPr>
          <w:p w14:paraId="406FB455">
            <w:pPr>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建设地点、建设范围、工期及质量要求</w:t>
            </w:r>
          </w:p>
        </w:tc>
        <w:tc>
          <w:tcPr>
            <w:tcW w:w="6690" w:type="dxa"/>
            <w:tcBorders>
              <w:top w:val="single" w:color="auto" w:sz="4" w:space="0"/>
              <w:left w:val="single" w:color="auto" w:sz="4" w:space="0"/>
              <w:bottom w:val="single" w:color="auto" w:sz="4" w:space="0"/>
              <w:right w:val="single" w:color="auto" w:sz="4" w:space="0"/>
            </w:tcBorders>
            <w:noWrap w:val="0"/>
            <w:vAlign w:val="center"/>
          </w:tcPr>
          <w:p w14:paraId="033D6134">
            <w:pPr>
              <w:spacing w:line="300" w:lineRule="exact"/>
              <w:jc w:val="left"/>
              <w:rPr>
                <w:rFonts w:hint="eastAsia" w:ascii="宋体" w:hAnsi="宋体" w:eastAsia="宋体" w:cs="宋体"/>
                <w:color w:val="auto"/>
                <w:szCs w:val="21"/>
                <w:highlight w:val="none"/>
                <w:lang w:eastAsia="zh-CN"/>
              </w:rPr>
            </w:pPr>
            <w:r>
              <w:rPr>
                <w:rFonts w:hint="eastAsia" w:ascii="宋体" w:hAnsi="宋体" w:cs="宋体"/>
                <w:color w:val="auto"/>
                <w:szCs w:val="21"/>
                <w:highlight w:val="none"/>
              </w:rPr>
              <w:t>建设地点：</w:t>
            </w:r>
            <w:r>
              <w:rPr>
                <w:rFonts w:hint="eastAsia" w:ascii="宋体" w:hAnsi="宋体" w:cs="宋体"/>
                <w:color w:val="auto"/>
                <w:szCs w:val="21"/>
                <w:highlight w:val="none"/>
                <w:lang w:eastAsia="zh-CN"/>
              </w:rPr>
              <w:t>大新县全茗镇政教村政屯</w:t>
            </w:r>
            <w:r>
              <w:rPr>
                <w:rFonts w:hint="eastAsia" w:ascii="宋体" w:hAnsi="宋体" w:cs="宋体"/>
                <w:color w:val="auto"/>
                <w:szCs w:val="21"/>
                <w:highlight w:val="none"/>
              </w:rPr>
              <w:t>。</w:t>
            </w:r>
          </w:p>
          <w:p w14:paraId="08206FA8">
            <w:pPr>
              <w:spacing w:line="300" w:lineRule="exact"/>
              <w:jc w:val="left"/>
              <w:rPr>
                <w:rFonts w:hint="eastAsia" w:ascii="宋体" w:hAnsi="宋体" w:cs="宋体"/>
                <w:color w:val="auto"/>
                <w:kern w:val="0"/>
                <w:szCs w:val="21"/>
                <w:highlight w:val="none"/>
                <w:lang w:eastAsia="zh-CN"/>
              </w:rPr>
            </w:pPr>
            <w:r>
              <w:rPr>
                <w:rFonts w:hint="eastAsia" w:ascii="宋体" w:hAnsi="宋体" w:cs="宋体"/>
                <w:color w:val="auto"/>
                <w:szCs w:val="21"/>
                <w:highlight w:val="none"/>
              </w:rPr>
              <w:t>建设范围：</w:t>
            </w:r>
            <w:r>
              <w:rPr>
                <w:rFonts w:hint="eastAsia" w:ascii="宋体" w:hAnsi="宋体" w:cs="宋体"/>
                <w:color w:val="auto"/>
                <w:kern w:val="0"/>
                <w:szCs w:val="21"/>
                <w:highlight w:val="none"/>
                <w:lang w:eastAsia="zh-CN"/>
              </w:rPr>
              <w:t>本工程主要建设内容为排水沟硬化4 条，全长2026m。</w:t>
            </w:r>
          </w:p>
          <w:p w14:paraId="74920522">
            <w:pPr>
              <w:spacing w:line="300" w:lineRule="exact"/>
              <w:jc w:val="left"/>
              <w:rPr>
                <w:rFonts w:hint="eastAsia" w:ascii="宋体" w:hAnsi="宋体" w:cs="宋体"/>
                <w:color w:val="auto"/>
                <w:szCs w:val="21"/>
                <w:highlight w:val="none"/>
              </w:rPr>
            </w:pPr>
            <w:r>
              <w:rPr>
                <w:rFonts w:hint="eastAsia" w:ascii="宋体" w:hAnsi="宋体" w:cs="宋体"/>
                <w:color w:val="auto"/>
                <w:szCs w:val="21"/>
                <w:highlight w:val="none"/>
              </w:rPr>
              <w:t>资金来源：财政衔接乡村振兴补助资金</w:t>
            </w:r>
          </w:p>
          <w:p w14:paraId="79821078">
            <w:pPr>
              <w:spacing w:line="300" w:lineRule="exact"/>
              <w:jc w:val="left"/>
              <w:rPr>
                <w:rFonts w:hint="eastAsia" w:ascii="宋体" w:hAnsi="宋体" w:cs="宋体"/>
                <w:color w:val="auto"/>
                <w:szCs w:val="21"/>
                <w:highlight w:val="none"/>
              </w:rPr>
            </w:pPr>
            <w:r>
              <w:rPr>
                <w:rFonts w:hint="eastAsia" w:ascii="宋体" w:hAnsi="宋体" w:cs="宋体"/>
                <w:color w:val="auto"/>
                <w:szCs w:val="21"/>
                <w:highlight w:val="none"/>
              </w:rPr>
              <w:t>工期要求：</w:t>
            </w:r>
            <w:r>
              <w:rPr>
                <w:rFonts w:hint="eastAsia" w:ascii="宋体" w:hAnsi="宋体" w:cs="宋体"/>
                <w:color w:val="auto"/>
                <w:szCs w:val="21"/>
                <w:highlight w:val="none"/>
                <w:u w:val="single"/>
                <w:lang w:val="en-US" w:eastAsia="zh-CN"/>
              </w:rPr>
              <w:t>180</w:t>
            </w:r>
            <w:r>
              <w:rPr>
                <w:rFonts w:hint="eastAsia" w:ascii="宋体" w:hAnsi="宋体" w:cs="宋体"/>
                <w:color w:val="auto"/>
                <w:szCs w:val="21"/>
                <w:highlight w:val="none"/>
              </w:rPr>
              <w:t>日历天</w:t>
            </w:r>
          </w:p>
          <w:p w14:paraId="6FDE10FA">
            <w:pPr>
              <w:spacing w:line="300" w:lineRule="exact"/>
              <w:jc w:val="left"/>
              <w:rPr>
                <w:rFonts w:hint="eastAsia" w:ascii="宋体" w:hAnsi="宋体" w:cs="宋体"/>
                <w:color w:val="auto"/>
                <w:szCs w:val="21"/>
                <w:highlight w:val="none"/>
              </w:rPr>
            </w:pPr>
            <w:r>
              <w:rPr>
                <w:rFonts w:hint="eastAsia" w:ascii="宋体" w:hAnsi="宋体" w:cs="宋体"/>
                <w:color w:val="auto"/>
                <w:szCs w:val="21"/>
                <w:highlight w:val="none"/>
              </w:rPr>
              <w:t>质量要求：达到国家施工验收规范合格标准。</w:t>
            </w:r>
          </w:p>
          <w:p w14:paraId="03938F30">
            <w:pPr>
              <w:spacing w:line="300" w:lineRule="exact"/>
              <w:jc w:val="left"/>
              <w:rPr>
                <w:rFonts w:hint="eastAsia" w:ascii="宋体" w:hAnsi="宋体" w:cs="宋体"/>
                <w:color w:val="auto"/>
                <w:szCs w:val="21"/>
                <w:highlight w:val="none"/>
              </w:rPr>
            </w:pPr>
            <w:r>
              <w:rPr>
                <w:rFonts w:hint="eastAsia" w:ascii="宋体" w:hAnsi="宋体" w:cs="宋体"/>
                <w:color w:val="auto"/>
                <w:szCs w:val="21"/>
                <w:highlight w:val="none"/>
              </w:rPr>
              <w:t>其他要求：无</w:t>
            </w:r>
          </w:p>
        </w:tc>
      </w:tr>
      <w:tr w14:paraId="47FFB2C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90" w:hRule="atLeast"/>
        </w:trPr>
        <w:tc>
          <w:tcPr>
            <w:tcW w:w="1318" w:type="dxa"/>
            <w:tcBorders>
              <w:top w:val="single" w:color="auto" w:sz="4" w:space="0"/>
              <w:left w:val="single" w:color="auto" w:sz="4" w:space="0"/>
              <w:bottom w:val="single" w:color="auto" w:sz="4" w:space="0"/>
              <w:right w:val="single" w:color="auto" w:sz="4" w:space="0"/>
            </w:tcBorders>
            <w:noWrap w:val="0"/>
            <w:vAlign w:val="center"/>
          </w:tcPr>
          <w:p w14:paraId="646BA53C">
            <w:pPr>
              <w:spacing w:line="300" w:lineRule="exact"/>
              <w:jc w:val="center"/>
              <w:rPr>
                <w:rFonts w:hint="eastAsia" w:ascii="宋体" w:hAnsi="宋体" w:cs="宋体"/>
                <w:b/>
                <w:color w:val="auto"/>
                <w:szCs w:val="21"/>
                <w:highlight w:val="none"/>
              </w:rPr>
            </w:pPr>
            <w:r>
              <w:rPr>
                <w:rFonts w:hint="eastAsia" w:ascii="宋体" w:hAnsi="宋体" w:cs="宋体"/>
                <w:b/>
                <w:color w:val="auto"/>
                <w:szCs w:val="21"/>
                <w:highlight w:val="none"/>
              </w:rPr>
              <w:t>1.3.1</w:t>
            </w:r>
          </w:p>
          <w:p w14:paraId="76387B22">
            <w:pPr>
              <w:spacing w:line="300" w:lineRule="exact"/>
              <w:jc w:val="center"/>
              <w:rPr>
                <w:rFonts w:hint="eastAsia" w:ascii="宋体" w:hAnsi="宋体" w:cs="宋体"/>
                <w:color w:val="auto"/>
                <w:szCs w:val="21"/>
                <w:highlight w:val="none"/>
              </w:rPr>
            </w:pPr>
          </w:p>
        </w:tc>
        <w:tc>
          <w:tcPr>
            <w:tcW w:w="1170" w:type="dxa"/>
            <w:tcBorders>
              <w:top w:val="single" w:color="auto" w:sz="4" w:space="0"/>
              <w:left w:val="single" w:color="auto" w:sz="4" w:space="0"/>
              <w:bottom w:val="single" w:color="auto" w:sz="4" w:space="0"/>
              <w:right w:val="single" w:color="auto" w:sz="4" w:space="0"/>
            </w:tcBorders>
            <w:noWrap w:val="0"/>
            <w:vAlign w:val="center"/>
          </w:tcPr>
          <w:p w14:paraId="7E077958">
            <w:pPr>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增值税计税方法</w:t>
            </w:r>
          </w:p>
        </w:tc>
        <w:tc>
          <w:tcPr>
            <w:tcW w:w="6690" w:type="dxa"/>
            <w:tcBorders>
              <w:top w:val="single" w:color="auto" w:sz="4" w:space="0"/>
              <w:left w:val="single" w:color="auto" w:sz="4" w:space="0"/>
              <w:bottom w:val="single" w:color="auto" w:sz="4" w:space="0"/>
              <w:right w:val="single" w:color="auto" w:sz="4" w:space="0"/>
            </w:tcBorders>
            <w:noWrap w:val="0"/>
            <w:vAlign w:val="center"/>
          </w:tcPr>
          <w:p w14:paraId="36AECE56">
            <w:pPr>
              <w:spacing w:line="300" w:lineRule="exact"/>
              <w:jc w:val="left"/>
              <w:rPr>
                <w:rFonts w:hint="eastAsia" w:ascii="宋体" w:hAnsi="宋体" w:cs="宋体"/>
                <w:color w:val="auto"/>
                <w:szCs w:val="21"/>
                <w:highlight w:val="none"/>
              </w:rPr>
            </w:pPr>
            <w:r>
              <w:rPr>
                <w:rFonts w:hint="eastAsia" w:ascii="宋体" w:hAnsi="宋体" w:cs="宋体"/>
                <w:color w:val="auto"/>
                <w:szCs w:val="21"/>
                <w:highlight w:val="none"/>
              </w:rPr>
              <w:t>本工程增值税计税方法：</w:t>
            </w:r>
            <w:r>
              <w:rPr>
                <w:rFonts w:hint="eastAsia" w:ascii="宋体" w:hAnsi="宋体" w:cs="宋体"/>
                <w:color w:val="auto"/>
                <w:highlight w:val="none"/>
              </w:rPr>
              <w:t>一般计税法</w:t>
            </w:r>
          </w:p>
          <w:p w14:paraId="42497AD8">
            <w:pPr>
              <w:spacing w:line="300" w:lineRule="exact"/>
              <w:jc w:val="left"/>
              <w:rPr>
                <w:rFonts w:hint="eastAsia" w:ascii="宋体" w:hAnsi="宋体" w:cs="宋体"/>
                <w:color w:val="auto"/>
                <w:highlight w:val="none"/>
              </w:rPr>
            </w:pPr>
            <w:r>
              <w:rPr>
                <w:rFonts w:hint="eastAsia" w:ascii="宋体" w:hAnsi="宋体" w:cs="宋体"/>
                <w:color w:val="auto"/>
                <w:highlight w:val="none"/>
              </w:rPr>
              <w:t>注：根据《关于全面推开营业税改征增值税试点的通知》（财税〔2016〕36号）、《关于建筑服务等营改增试点政策的通知》（财税〔2017〕58号）等国家、自治区现行有关文件规定。</w:t>
            </w:r>
          </w:p>
        </w:tc>
      </w:tr>
      <w:tr w14:paraId="2A7A3F1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90" w:hRule="atLeast"/>
        </w:trPr>
        <w:tc>
          <w:tcPr>
            <w:tcW w:w="1318" w:type="dxa"/>
            <w:tcBorders>
              <w:top w:val="single" w:color="auto" w:sz="4" w:space="0"/>
              <w:left w:val="single" w:color="auto" w:sz="4" w:space="0"/>
              <w:bottom w:val="single" w:color="auto" w:sz="4" w:space="0"/>
              <w:right w:val="single" w:color="auto" w:sz="4" w:space="0"/>
            </w:tcBorders>
            <w:noWrap w:val="0"/>
            <w:vAlign w:val="center"/>
          </w:tcPr>
          <w:p w14:paraId="42E5F086">
            <w:pPr>
              <w:spacing w:line="300" w:lineRule="exact"/>
              <w:jc w:val="center"/>
              <w:rPr>
                <w:rFonts w:hint="eastAsia" w:ascii="宋体" w:hAnsi="宋体" w:cs="宋体"/>
                <w:color w:val="auto"/>
                <w:szCs w:val="21"/>
                <w:highlight w:val="none"/>
              </w:rPr>
            </w:pPr>
            <w:r>
              <w:rPr>
                <w:rFonts w:hint="eastAsia" w:ascii="宋体" w:hAnsi="宋体" w:cs="宋体"/>
                <w:b/>
                <w:color w:val="auto"/>
                <w:szCs w:val="21"/>
                <w:highlight w:val="none"/>
              </w:rPr>
              <w:t>1.3.2</w:t>
            </w:r>
          </w:p>
        </w:tc>
        <w:tc>
          <w:tcPr>
            <w:tcW w:w="1170" w:type="dxa"/>
            <w:tcBorders>
              <w:top w:val="single" w:color="auto" w:sz="4" w:space="0"/>
              <w:left w:val="single" w:color="auto" w:sz="4" w:space="0"/>
              <w:bottom w:val="single" w:color="auto" w:sz="4" w:space="0"/>
              <w:right w:val="single" w:color="auto" w:sz="4" w:space="0"/>
            </w:tcBorders>
            <w:noWrap w:val="0"/>
            <w:vAlign w:val="center"/>
          </w:tcPr>
          <w:p w14:paraId="6ECEA0B6">
            <w:pPr>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采购方式</w:t>
            </w:r>
          </w:p>
        </w:tc>
        <w:tc>
          <w:tcPr>
            <w:tcW w:w="6690" w:type="dxa"/>
            <w:tcBorders>
              <w:top w:val="single" w:color="auto" w:sz="4" w:space="0"/>
              <w:left w:val="single" w:color="auto" w:sz="4" w:space="0"/>
              <w:bottom w:val="single" w:color="auto" w:sz="4" w:space="0"/>
              <w:right w:val="single" w:color="auto" w:sz="4" w:space="0"/>
            </w:tcBorders>
            <w:noWrap w:val="0"/>
            <w:vAlign w:val="center"/>
          </w:tcPr>
          <w:p w14:paraId="249BD912">
            <w:pPr>
              <w:spacing w:line="300" w:lineRule="exact"/>
              <w:jc w:val="left"/>
              <w:rPr>
                <w:rFonts w:hint="eastAsia" w:ascii="宋体" w:hAnsi="宋体" w:cs="宋体"/>
                <w:color w:val="auto"/>
                <w:szCs w:val="21"/>
                <w:highlight w:val="none"/>
              </w:rPr>
            </w:pPr>
            <w:r>
              <w:rPr>
                <w:rFonts w:hint="eastAsia" w:ascii="宋体" w:hAnsi="宋体" w:cs="宋体"/>
                <w:color w:val="auto"/>
                <w:szCs w:val="21"/>
                <w:highlight w:val="none"/>
              </w:rPr>
              <w:t>竞争性磋商</w:t>
            </w:r>
          </w:p>
        </w:tc>
      </w:tr>
      <w:tr w14:paraId="23329A0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90" w:hRule="atLeast"/>
        </w:trPr>
        <w:tc>
          <w:tcPr>
            <w:tcW w:w="1318" w:type="dxa"/>
            <w:tcBorders>
              <w:top w:val="single" w:color="auto" w:sz="4" w:space="0"/>
              <w:left w:val="single" w:color="auto" w:sz="4" w:space="0"/>
              <w:bottom w:val="single" w:color="auto" w:sz="4" w:space="0"/>
              <w:right w:val="single" w:color="auto" w:sz="4" w:space="0"/>
            </w:tcBorders>
            <w:noWrap w:val="0"/>
            <w:vAlign w:val="center"/>
          </w:tcPr>
          <w:p w14:paraId="0C66DF24">
            <w:pPr>
              <w:spacing w:line="300" w:lineRule="exact"/>
              <w:jc w:val="center"/>
              <w:rPr>
                <w:rFonts w:hint="eastAsia" w:ascii="宋体" w:hAnsi="宋体" w:cs="宋体"/>
                <w:b/>
                <w:color w:val="auto"/>
                <w:szCs w:val="21"/>
                <w:highlight w:val="none"/>
              </w:rPr>
            </w:pPr>
            <w:r>
              <w:rPr>
                <w:rFonts w:hint="eastAsia" w:ascii="宋体" w:hAnsi="宋体" w:cs="宋体"/>
                <w:b/>
                <w:color w:val="auto"/>
                <w:szCs w:val="21"/>
                <w:highlight w:val="none"/>
              </w:rPr>
              <w:t>1.4</w:t>
            </w:r>
          </w:p>
        </w:tc>
        <w:tc>
          <w:tcPr>
            <w:tcW w:w="1170" w:type="dxa"/>
            <w:tcBorders>
              <w:top w:val="single" w:color="auto" w:sz="4" w:space="0"/>
              <w:left w:val="single" w:color="auto" w:sz="4" w:space="0"/>
              <w:bottom w:val="single" w:color="auto" w:sz="4" w:space="0"/>
              <w:right w:val="single" w:color="auto" w:sz="4" w:space="0"/>
            </w:tcBorders>
            <w:noWrap w:val="0"/>
            <w:vAlign w:val="center"/>
          </w:tcPr>
          <w:p w14:paraId="7CDEDBB1">
            <w:pPr>
              <w:spacing w:line="300" w:lineRule="exact"/>
              <w:jc w:val="center"/>
              <w:rPr>
                <w:rFonts w:hint="eastAsia" w:ascii="宋体" w:hAnsi="宋体" w:cs="宋体"/>
                <w:color w:val="auto"/>
                <w:szCs w:val="21"/>
                <w:highlight w:val="none"/>
                <w:lang w:val="zh-CN"/>
              </w:rPr>
            </w:pPr>
            <w:r>
              <w:rPr>
                <w:rFonts w:hint="eastAsia" w:ascii="宋体" w:hAnsi="宋体" w:cs="宋体"/>
                <w:color w:val="auto"/>
                <w:szCs w:val="21"/>
                <w:highlight w:val="none"/>
                <w:lang w:val="zh-CN"/>
              </w:rPr>
              <w:t>促进中小企业发展措施</w:t>
            </w:r>
          </w:p>
        </w:tc>
        <w:tc>
          <w:tcPr>
            <w:tcW w:w="6690" w:type="dxa"/>
            <w:tcBorders>
              <w:top w:val="single" w:color="auto" w:sz="4" w:space="0"/>
              <w:left w:val="single" w:color="auto" w:sz="4" w:space="0"/>
              <w:bottom w:val="single" w:color="auto" w:sz="4" w:space="0"/>
              <w:right w:val="single" w:color="auto" w:sz="4" w:space="0"/>
            </w:tcBorders>
            <w:noWrap w:val="0"/>
            <w:vAlign w:val="center"/>
          </w:tcPr>
          <w:p w14:paraId="4E44E895">
            <w:pPr>
              <w:spacing w:line="300" w:lineRule="exact"/>
              <w:jc w:val="left"/>
              <w:rPr>
                <w:rFonts w:hint="eastAsia" w:ascii="宋体" w:hAnsi="宋体" w:cs="宋体"/>
                <w:color w:val="auto"/>
                <w:szCs w:val="21"/>
                <w:highlight w:val="none"/>
              </w:rPr>
            </w:pPr>
            <w:r>
              <w:rPr>
                <w:rFonts w:hint="eastAsia" w:ascii="宋体" w:hAnsi="宋体" w:cs="宋体"/>
                <w:color w:val="auto"/>
                <w:szCs w:val="21"/>
                <w:highlight w:val="none"/>
              </w:rPr>
              <w:t>本项目专门面向中小微企业采购。</w:t>
            </w:r>
          </w:p>
          <w:p w14:paraId="3E95AF36">
            <w:pPr>
              <w:spacing w:line="300" w:lineRule="exact"/>
              <w:jc w:val="left"/>
              <w:rPr>
                <w:rFonts w:hint="eastAsia" w:ascii="宋体" w:hAnsi="宋体" w:cs="宋体"/>
                <w:color w:val="auto"/>
                <w:szCs w:val="21"/>
                <w:highlight w:val="none"/>
              </w:rPr>
            </w:pPr>
            <w:r>
              <w:rPr>
                <w:rFonts w:hint="eastAsia" w:ascii="宋体" w:hAnsi="宋体" w:cs="宋体"/>
                <w:color w:val="auto"/>
                <w:szCs w:val="21"/>
                <w:highlight w:val="none"/>
              </w:rPr>
              <w:t>供应商提供《中小企业声明函》中填报采购文件标明所属行业的标的物的工程承建单位应均为中型或小型或微型企业。</w:t>
            </w:r>
          </w:p>
        </w:tc>
      </w:tr>
      <w:tr w14:paraId="1B79E01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90" w:hRule="atLeast"/>
        </w:trPr>
        <w:tc>
          <w:tcPr>
            <w:tcW w:w="1318" w:type="dxa"/>
            <w:tcBorders>
              <w:top w:val="single" w:color="auto" w:sz="4" w:space="0"/>
              <w:left w:val="single" w:color="auto" w:sz="4" w:space="0"/>
              <w:bottom w:val="single" w:color="auto" w:sz="4" w:space="0"/>
              <w:right w:val="single" w:color="auto" w:sz="4" w:space="0"/>
            </w:tcBorders>
            <w:noWrap w:val="0"/>
            <w:vAlign w:val="center"/>
          </w:tcPr>
          <w:p w14:paraId="6060B995">
            <w:pPr>
              <w:spacing w:line="300" w:lineRule="exact"/>
              <w:jc w:val="center"/>
              <w:rPr>
                <w:rFonts w:hint="eastAsia" w:ascii="宋体" w:hAnsi="宋体" w:cs="宋体"/>
                <w:color w:val="auto"/>
                <w:szCs w:val="21"/>
                <w:highlight w:val="none"/>
              </w:rPr>
            </w:pPr>
            <w:r>
              <w:rPr>
                <w:rFonts w:hint="eastAsia" w:ascii="宋体" w:hAnsi="宋体" w:cs="宋体"/>
                <w:b/>
                <w:color w:val="auto"/>
                <w:szCs w:val="21"/>
                <w:highlight w:val="none"/>
              </w:rPr>
              <w:t>1.5.1</w:t>
            </w:r>
          </w:p>
        </w:tc>
        <w:tc>
          <w:tcPr>
            <w:tcW w:w="1170" w:type="dxa"/>
            <w:tcBorders>
              <w:top w:val="single" w:color="auto" w:sz="4" w:space="0"/>
              <w:left w:val="single" w:color="auto" w:sz="4" w:space="0"/>
              <w:bottom w:val="single" w:color="auto" w:sz="4" w:space="0"/>
              <w:right w:val="single" w:color="auto" w:sz="4" w:space="0"/>
            </w:tcBorders>
            <w:noWrap w:val="0"/>
            <w:vAlign w:val="center"/>
          </w:tcPr>
          <w:p w14:paraId="6150C357">
            <w:pPr>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lang w:val="zh-CN"/>
              </w:rPr>
              <w:t>供应商资格条件</w:t>
            </w:r>
          </w:p>
        </w:tc>
        <w:tc>
          <w:tcPr>
            <w:tcW w:w="6690" w:type="dxa"/>
            <w:tcBorders>
              <w:top w:val="single" w:color="auto" w:sz="4" w:space="0"/>
              <w:left w:val="single" w:color="auto" w:sz="4" w:space="0"/>
              <w:bottom w:val="single" w:color="auto" w:sz="4" w:space="0"/>
              <w:right w:val="single" w:color="auto" w:sz="4" w:space="0"/>
            </w:tcBorders>
            <w:noWrap w:val="0"/>
            <w:vAlign w:val="center"/>
          </w:tcPr>
          <w:p w14:paraId="29552BFE">
            <w:pPr>
              <w:spacing w:line="300" w:lineRule="exact"/>
              <w:jc w:val="left"/>
              <w:rPr>
                <w:rFonts w:hint="eastAsia" w:ascii="宋体" w:hAnsi="宋体" w:cs="宋体"/>
                <w:color w:val="auto"/>
                <w:szCs w:val="21"/>
                <w:highlight w:val="none"/>
              </w:rPr>
            </w:pPr>
            <w:r>
              <w:rPr>
                <w:rFonts w:hint="eastAsia" w:ascii="宋体" w:hAnsi="宋体" w:cs="宋体"/>
                <w:color w:val="auto"/>
                <w:szCs w:val="21"/>
                <w:highlight w:val="none"/>
              </w:rPr>
              <w:t>详见磋商公告。</w:t>
            </w:r>
          </w:p>
        </w:tc>
      </w:tr>
      <w:tr w14:paraId="45BBA33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90" w:hRule="atLeast"/>
        </w:trPr>
        <w:tc>
          <w:tcPr>
            <w:tcW w:w="1318" w:type="dxa"/>
            <w:tcBorders>
              <w:top w:val="single" w:color="auto" w:sz="4" w:space="0"/>
              <w:left w:val="single" w:color="auto" w:sz="4" w:space="0"/>
              <w:bottom w:val="single" w:color="auto" w:sz="4" w:space="0"/>
              <w:right w:val="single" w:color="auto" w:sz="4" w:space="0"/>
            </w:tcBorders>
            <w:noWrap w:val="0"/>
            <w:vAlign w:val="center"/>
          </w:tcPr>
          <w:p w14:paraId="440D41C9">
            <w:pPr>
              <w:spacing w:line="300" w:lineRule="exact"/>
              <w:jc w:val="center"/>
              <w:rPr>
                <w:rFonts w:hint="eastAsia" w:ascii="宋体" w:hAnsi="宋体" w:cs="宋体"/>
                <w:b/>
                <w:color w:val="auto"/>
                <w:szCs w:val="21"/>
                <w:highlight w:val="none"/>
              </w:rPr>
            </w:pPr>
            <w:r>
              <w:rPr>
                <w:rFonts w:hint="eastAsia" w:ascii="宋体" w:hAnsi="宋体" w:cs="宋体"/>
                <w:b/>
                <w:color w:val="auto"/>
                <w:szCs w:val="21"/>
                <w:highlight w:val="none"/>
              </w:rPr>
              <w:t>1.5.1</w:t>
            </w:r>
          </w:p>
        </w:tc>
        <w:tc>
          <w:tcPr>
            <w:tcW w:w="1170" w:type="dxa"/>
            <w:tcBorders>
              <w:top w:val="single" w:color="auto" w:sz="4" w:space="0"/>
              <w:left w:val="single" w:color="auto" w:sz="4" w:space="0"/>
              <w:bottom w:val="single" w:color="auto" w:sz="4" w:space="0"/>
              <w:right w:val="single" w:color="auto" w:sz="4" w:space="0"/>
            </w:tcBorders>
            <w:noWrap w:val="0"/>
            <w:vAlign w:val="center"/>
          </w:tcPr>
          <w:p w14:paraId="0A770EDD">
            <w:pPr>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供应商不得存在的情形</w:t>
            </w:r>
          </w:p>
        </w:tc>
        <w:tc>
          <w:tcPr>
            <w:tcW w:w="6690" w:type="dxa"/>
            <w:tcBorders>
              <w:top w:val="single" w:color="auto" w:sz="4" w:space="0"/>
              <w:left w:val="single" w:color="auto" w:sz="4" w:space="0"/>
              <w:bottom w:val="single" w:color="auto" w:sz="4" w:space="0"/>
              <w:right w:val="single" w:color="auto" w:sz="4" w:space="0"/>
            </w:tcBorders>
            <w:noWrap w:val="0"/>
            <w:vAlign w:val="center"/>
          </w:tcPr>
          <w:p w14:paraId="08DDEC5C">
            <w:pPr>
              <w:spacing w:line="300" w:lineRule="exact"/>
              <w:jc w:val="left"/>
              <w:rPr>
                <w:rFonts w:hint="eastAsia" w:ascii="宋体" w:hAnsi="宋体" w:cs="宋体"/>
                <w:color w:val="auto"/>
                <w:szCs w:val="21"/>
                <w:highlight w:val="none"/>
              </w:rPr>
            </w:pPr>
            <w:r>
              <w:rPr>
                <w:rFonts w:hint="eastAsia" w:ascii="宋体" w:hAnsi="宋体" w:cs="宋体"/>
                <w:color w:val="auto"/>
                <w:szCs w:val="21"/>
                <w:highlight w:val="none"/>
              </w:rPr>
              <w:t>（1）与采购人存在利害关系可能影响采购公正性的法人、其他组织；</w:t>
            </w:r>
          </w:p>
          <w:p w14:paraId="40C5D204">
            <w:pPr>
              <w:spacing w:line="300" w:lineRule="exact"/>
              <w:jc w:val="left"/>
              <w:rPr>
                <w:rFonts w:hint="eastAsia" w:ascii="宋体" w:hAnsi="宋体" w:cs="宋体"/>
                <w:color w:val="auto"/>
                <w:szCs w:val="21"/>
                <w:highlight w:val="none"/>
              </w:rPr>
            </w:pPr>
            <w:r>
              <w:rPr>
                <w:rFonts w:hint="eastAsia" w:ascii="宋体" w:hAnsi="宋体" w:cs="宋体"/>
                <w:color w:val="auto"/>
                <w:szCs w:val="21"/>
                <w:highlight w:val="none"/>
              </w:rPr>
              <w:t>（2）为本标段前期准备提供设计或咨询服务的，但设计施工总承包的除外；</w:t>
            </w:r>
          </w:p>
          <w:p w14:paraId="680210FE">
            <w:pPr>
              <w:spacing w:line="300" w:lineRule="exact"/>
              <w:jc w:val="left"/>
              <w:rPr>
                <w:rFonts w:hint="eastAsia" w:ascii="宋体" w:hAnsi="宋体" w:cs="宋体"/>
                <w:color w:val="auto"/>
                <w:szCs w:val="21"/>
                <w:highlight w:val="none"/>
              </w:rPr>
            </w:pPr>
            <w:r>
              <w:rPr>
                <w:rFonts w:hint="eastAsia" w:ascii="宋体" w:hAnsi="宋体" w:cs="宋体"/>
                <w:color w:val="auto"/>
                <w:szCs w:val="21"/>
                <w:highlight w:val="none"/>
              </w:rPr>
              <w:t>（3）为本标段的监理人；</w:t>
            </w:r>
          </w:p>
          <w:p w14:paraId="5520A16E">
            <w:pPr>
              <w:spacing w:line="300" w:lineRule="exact"/>
              <w:jc w:val="left"/>
              <w:rPr>
                <w:rFonts w:hint="eastAsia" w:ascii="宋体" w:hAnsi="宋体" w:cs="宋体"/>
                <w:color w:val="auto"/>
                <w:szCs w:val="21"/>
                <w:highlight w:val="none"/>
              </w:rPr>
            </w:pPr>
            <w:r>
              <w:rPr>
                <w:rFonts w:hint="eastAsia" w:ascii="宋体" w:hAnsi="宋体" w:cs="宋体"/>
                <w:color w:val="auto"/>
                <w:szCs w:val="21"/>
                <w:highlight w:val="none"/>
              </w:rPr>
              <w:t>（4）为本标段的代建人；</w:t>
            </w:r>
          </w:p>
          <w:p w14:paraId="79B3FD0F">
            <w:pPr>
              <w:spacing w:line="300" w:lineRule="exact"/>
              <w:jc w:val="left"/>
              <w:rPr>
                <w:rFonts w:hint="eastAsia" w:ascii="宋体" w:hAnsi="宋体" w:cs="宋体"/>
                <w:color w:val="auto"/>
                <w:szCs w:val="21"/>
                <w:highlight w:val="none"/>
              </w:rPr>
            </w:pPr>
            <w:r>
              <w:rPr>
                <w:rFonts w:hint="eastAsia" w:ascii="宋体" w:hAnsi="宋体" w:cs="宋体"/>
                <w:color w:val="auto"/>
                <w:szCs w:val="21"/>
                <w:highlight w:val="none"/>
              </w:rPr>
              <w:t>（5）为本标段提供采购代理服务的；</w:t>
            </w:r>
          </w:p>
          <w:p w14:paraId="0CE76A4E">
            <w:pPr>
              <w:spacing w:line="300" w:lineRule="exact"/>
              <w:jc w:val="left"/>
              <w:rPr>
                <w:rFonts w:hint="eastAsia" w:ascii="宋体" w:hAnsi="宋体" w:cs="宋体"/>
                <w:color w:val="auto"/>
                <w:szCs w:val="21"/>
                <w:highlight w:val="none"/>
              </w:rPr>
            </w:pPr>
            <w:r>
              <w:rPr>
                <w:rFonts w:hint="eastAsia" w:ascii="宋体" w:hAnsi="宋体" w:cs="宋体"/>
                <w:color w:val="auto"/>
                <w:szCs w:val="21"/>
                <w:highlight w:val="none"/>
              </w:rPr>
              <w:t>（6）与本标段的监理人或代建人或采购代理机构同为一个法定代表人的；</w:t>
            </w:r>
          </w:p>
          <w:p w14:paraId="7058BF93">
            <w:pPr>
              <w:spacing w:line="300" w:lineRule="exact"/>
              <w:jc w:val="left"/>
              <w:rPr>
                <w:rFonts w:hint="eastAsia" w:ascii="宋体" w:hAnsi="宋体" w:cs="宋体"/>
                <w:color w:val="auto"/>
                <w:szCs w:val="21"/>
                <w:highlight w:val="none"/>
              </w:rPr>
            </w:pPr>
            <w:r>
              <w:rPr>
                <w:rFonts w:hint="eastAsia" w:ascii="宋体" w:hAnsi="宋体" w:cs="宋体"/>
                <w:color w:val="auto"/>
                <w:szCs w:val="21"/>
                <w:highlight w:val="none"/>
              </w:rPr>
              <w:t>（7）与本标段的监理人或代建人或采购代理机构相互控股或参股的；</w:t>
            </w:r>
          </w:p>
          <w:p w14:paraId="4D9E6B18">
            <w:pPr>
              <w:spacing w:line="300" w:lineRule="exact"/>
              <w:jc w:val="left"/>
              <w:rPr>
                <w:rFonts w:hint="eastAsia" w:ascii="宋体" w:hAnsi="宋体" w:cs="宋体"/>
                <w:color w:val="auto"/>
                <w:szCs w:val="21"/>
                <w:highlight w:val="none"/>
              </w:rPr>
            </w:pPr>
            <w:r>
              <w:rPr>
                <w:rFonts w:hint="eastAsia" w:ascii="宋体" w:hAnsi="宋体" w:cs="宋体"/>
                <w:color w:val="auto"/>
                <w:szCs w:val="21"/>
                <w:highlight w:val="none"/>
              </w:rPr>
              <w:t>（8）与本标段的监理人或代建人或采购代理机构相互任职或工作的；</w:t>
            </w:r>
          </w:p>
          <w:p w14:paraId="26126C8E">
            <w:pPr>
              <w:spacing w:line="300" w:lineRule="exact"/>
              <w:jc w:val="left"/>
              <w:rPr>
                <w:rFonts w:hint="eastAsia" w:ascii="宋体" w:hAnsi="宋体" w:cs="宋体"/>
                <w:color w:val="auto"/>
                <w:szCs w:val="21"/>
                <w:highlight w:val="none"/>
              </w:rPr>
            </w:pPr>
            <w:r>
              <w:rPr>
                <w:rFonts w:hint="eastAsia" w:ascii="宋体" w:hAnsi="宋体" w:cs="宋体"/>
                <w:color w:val="auto"/>
                <w:szCs w:val="21"/>
                <w:highlight w:val="none"/>
              </w:rPr>
              <w:t>（9）吊销或暂扣营业执照、安全生产许可证期间；</w:t>
            </w:r>
          </w:p>
          <w:p w14:paraId="482FF6D6">
            <w:pPr>
              <w:spacing w:line="300" w:lineRule="exact"/>
              <w:jc w:val="left"/>
              <w:rPr>
                <w:rFonts w:hint="eastAsia" w:ascii="宋体" w:hAnsi="宋体" w:cs="宋体"/>
                <w:color w:val="auto"/>
                <w:szCs w:val="21"/>
                <w:highlight w:val="none"/>
              </w:rPr>
            </w:pPr>
            <w:r>
              <w:rPr>
                <w:rFonts w:hint="eastAsia" w:ascii="宋体" w:hAnsi="宋体" w:cs="宋体"/>
                <w:color w:val="auto"/>
                <w:szCs w:val="21"/>
                <w:highlight w:val="none"/>
              </w:rPr>
              <w:t>（10）在本行政区域被暂停或取消投标资格的；</w:t>
            </w:r>
          </w:p>
          <w:p w14:paraId="0DEA26FD">
            <w:pPr>
              <w:spacing w:line="300" w:lineRule="exact"/>
              <w:jc w:val="left"/>
              <w:rPr>
                <w:rFonts w:hint="eastAsia" w:ascii="宋体" w:hAnsi="宋体" w:cs="宋体"/>
                <w:color w:val="auto"/>
                <w:szCs w:val="21"/>
                <w:highlight w:val="none"/>
              </w:rPr>
            </w:pPr>
            <w:r>
              <w:rPr>
                <w:rFonts w:hint="eastAsia" w:ascii="宋体" w:hAnsi="宋体" w:cs="宋体"/>
                <w:color w:val="auto"/>
                <w:szCs w:val="21"/>
                <w:highlight w:val="none"/>
              </w:rPr>
              <w:t>（11）财产被接管或基本账户被冻结的；</w:t>
            </w:r>
          </w:p>
          <w:p w14:paraId="6CEBD9D8">
            <w:pPr>
              <w:spacing w:line="300" w:lineRule="exact"/>
              <w:jc w:val="left"/>
              <w:rPr>
                <w:rFonts w:hint="eastAsia" w:ascii="宋体" w:hAnsi="宋体" w:cs="宋体"/>
                <w:color w:val="auto"/>
                <w:szCs w:val="21"/>
                <w:highlight w:val="none"/>
              </w:rPr>
            </w:pPr>
            <w:r>
              <w:rPr>
                <w:rFonts w:hint="eastAsia" w:ascii="宋体" w:hAnsi="宋体" w:cs="宋体"/>
                <w:color w:val="auto"/>
                <w:szCs w:val="21"/>
                <w:highlight w:val="none"/>
              </w:rPr>
              <w:t>（12）有骗取中标或严重违约或工程质量安全问题，在本行政区域正处在停业整顿或暂停投标期间的；</w:t>
            </w:r>
          </w:p>
          <w:p w14:paraId="26E807FC">
            <w:pPr>
              <w:spacing w:line="300" w:lineRule="exact"/>
              <w:jc w:val="left"/>
              <w:rPr>
                <w:rFonts w:hint="eastAsia" w:ascii="宋体" w:hAnsi="宋体" w:cs="宋体"/>
                <w:color w:val="auto"/>
                <w:szCs w:val="21"/>
                <w:highlight w:val="none"/>
              </w:rPr>
            </w:pPr>
            <w:r>
              <w:rPr>
                <w:rFonts w:hint="eastAsia" w:ascii="宋体" w:hAnsi="宋体" w:cs="宋体"/>
                <w:color w:val="auto"/>
                <w:szCs w:val="21"/>
                <w:highlight w:val="none"/>
              </w:rPr>
              <w:t>（13）被责令停业的。</w:t>
            </w:r>
          </w:p>
        </w:tc>
      </w:tr>
      <w:tr w14:paraId="3F86C4D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90" w:hRule="atLeast"/>
        </w:trPr>
        <w:tc>
          <w:tcPr>
            <w:tcW w:w="1318" w:type="dxa"/>
            <w:tcBorders>
              <w:top w:val="single" w:color="auto" w:sz="4" w:space="0"/>
              <w:left w:val="single" w:color="auto" w:sz="4" w:space="0"/>
              <w:bottom w:val="single" w:color="auto" w:sz="4" w:space="0"/>
              <w:right w:val="single" w:color="auto" w:sz="4" w:space="0"/>
            </w:tcBorders>
            <w:noWrap w:val="0"/>
            <w:vAlign w:val="center"/>
          </w:tcPr>
          <w:p w14:paraId="5B50D645">
            <w:pPr>
              <w:spacing w:line="300" w:lineRule="exact"/>
              <w:jc w:val="center"/>
              <w:rPr>
                <w:rFonts w:hint="eastAsia" w:ascii="宋体" w:hAnsi="宋体" w:cs="宋体"/>
                <w:b/>
                <w:color w:val="auto"/>
                <w:szCs w:val="21"/>
                <w:highlight w:val="none"/>
              </w:rPr>
            </w:pPr>
            <w:r>
              <w:rPr>
                <w:rFonts w:hint="eastAsia" w:ascii="宋体" w:hAnsi="宋体" w:cs="宋体"/>
                <w:b/>
                <w:color w:val="auto"/>
                <w:szCs w:val="21"/>
                <w:highlight w:val="none"/>
              </w:rPr>
              <w:t>1.5.3</w:t>
            </w:r>
          </w:p>
        </w:tc>
        <w:tc>
          <w:tcPr>
            <w:tcW w:w="1170" w:type="dxa"/>
            <w:tcBorders>
              <w:top w:val="single" w:color="auto" w:sz="4" w:space="0"/>
              <w:left w:val="single" w:color="auto" w:sz="4" w:space="0"/>
              <w:bottom w:val="single" w:color="auto" w:sz="4" w:space="0"/>
              <w:right w:val="single" w:color="auto" w:sz="4" w:space="0"/>
            </w:tcBorders>
            <w:noWrap w:val="0"/>
            <w:vAlign w:val="center"/>
          </w:tcPr>
          <w:p w14:paraId="3E49F0B1">
            <w:pPr>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联合体</w:t>
            </w:r>
          </w:p>
        </w:tc>
        <w:tc>
          <w:tcPr>
            <w:tcW w:w="6690" w:type="dxa"/>
            <w:tcBorders>
              <w:top w:val="single" w:color="auto" w:sz="4" w:space="0"/>
              <w:left w:val="single" w:color="auto" w:sz="4" w:space="0"/>
              <w:bottom w:val="single" w:color="auto" w:sz="4" w:space="0"/>
              <w:right w:val="single" w:color="auto" w:sz="4" w:space="0"/>
            </w:tcBorders>
            <w:noWrap w:val="0"/>
            <w:vAlign w:val="center"/>
          </w:tcPr>
          <w:p w14:paraId="41238813">
            <w:pPr>
              <w:spacing w:line="300" w:lineRule="exact"/>
              <w:jc w:val="left"/>
              <w:rPr>
                <w:rFonts w:hint="eastAsia" w:ascii="宋体" w:hAnsi="宋体" w:cs="宋体"/>
                <w:color w:val="auto"/>
                <w:szCs w:val="21"/>
                <w:highlight w:val="none"/>
              </w:rPr>
            </w:pPr>
            <w:r>
              <w:rPr>
                <w:rFonts w:hint="eastAsia" w:ascii="宋体" w:hAnsi="宋体" w:cs="宋体"/>
                <w:color w:val="auto"/>
                <w:szCs w:val="21"/>
                <w:highlight w:val="none"/>
              </w:rPr>
              <w:t>是否接受联合体详见磋商公告</w:t>
            </w:r>
          </w:p>
        </w:tc>
      </w:tr>
      <w:tr w14:paraId="3B58C81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318" w:type="dxa"/>
            <w:tcBorders>
              <w:top w:val="single" w:color="auto" w:sz="4" w:space="0"/>
              <w:left w:val="single" w:color="auto" w:sz="4" w:space="0"/>
              <w:bottom w:val="single" w:color="auto" w:sz="4" w:space="0"/>
              <w:right w:val="single" w:color="auto" w:sz="4" w:space="0"/>
            </w:tcBorders>
            <w:noWrap w:val="0"/>
            <w:vAlign w:val="center"/>
          </w:tcPr>
          <w:p w14:paraId="3B11D165">
            <w:pPr>
              <w:spacing w:line="300" w:lineRule="exact"/>
              <w:jc w:val="center"/>
              <w:rPr>
                <w:rFonts w:hint="eastAsia" w:ascii="宋体" w:hAnsi="宋体" w:cs="宋体"/>
                <w:color w:val="auto"/>
                <w:szCs w:val="21"/>
                <w:highlight w:val="none"/>
              </w:rPr>
            </w:pPr>
            <w:r>
              <w:rPr>
                <w:rFonts w:hint="eastAsia" w:ascii="宋体" w:hAnsi="宋体" w:cs="宋体"/>
                <w:b/>
                <w:color w:val="auto"/>
                <w:szCs w:val="21"/>
                <w:highlight w:val="none"/>
              </w:rPr>
              <w:t>1.6</w:t>
            </w:r>
          </w:p>
        </w:tc>
        <w:tc>
          <w:tcPr>
            <w:tcW w:w="1170" w:type="dxa"/>
            <w:tcBorders>
              <w:top w:val="single" w:color="auto" w:sz="4" w:space="0"/>
              <w:left w:val="single" w:color="auto" w:sz="4" w:space="0"/>
              <w:bottom w:val="single" w:color="auto" w:sz="4" w:space="0"/>
              <w:right w:val="single" w:color="auto" w:sz="4" w:space="0"/>
            </w:tcBorders>
            <w:noWrap w:val="0"/>
            <w:vAlign w:val="center"/>
          </w:tcPr>
          <w:p w14:paraId="22418B27">
            <w:pPr>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踏勘</w:t>
            </w:r>
          </w:p>
        </w:tc>
        <w:tc>
          <w:tcPr>
            <w:tcW w:w="6690" w:type="dxa"/>
            <w:tcBorders>
              <w:top w:val="single" w:color="auto" w:sz="4" w:space="0"/>
              <w:left w:val="single" w:color="auto" w:sz="4" w:space="0"/>
              <w:bottom w:val="single" w:color="auto" w:sz="4" w:space="0"/>
              <w:right w:val="single" w:color="auto" w:sz="4" w:space="0"/>
            </w:tcBorders>
            <w:noWrap w:val="0"/>
            <w:vAlign w:val="center"/>
          </w:tcPr>
          <w:p w14:paraId="34FC07A5">
            <w:pPr>
              <w:spacing w:line="300" w:lineRule="exact"/>
              <w:jc w:val="left"/>
              <w:rPr>
                <w:rFonts w:hint="eastAsia" w:ascii="宋体" w:hAnsi="宋体" w:cs="宋体"/>
                <w:color w:val="auto"/>
                <w:szCs w:val="21"/>
                <w:highlight w:val="none"/>
              </w:rPr>
            </w:pPr>
            <w:r>
              <w:rPr>
                <w:rFonts w:hint="eastAsia" w:ascii="宋体" w:hAnsi="宋体" w:cs="宋体"/>
                <w:color w:val="auto"/>
                <w:szCs w:val="21"/>
                <w:highlight w:val="none"/>
              </w:rPr>
              <w:t>否</w:t>
            </w:r>
          </w:p>
        </w:tc>
      </w:tr>
      <w:tr w14:paraId="78ECFC4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318" w:type="dxa"/>
            <w:tcBorders>
              <w:top w:val="single" w:color="auto" w:sz="4" w:space="0"/>
              <w:left w:val="single" w:color="auto" w:sz="4" w:space="0"/>
              <w:bottom w:val="single" w:color="auto" w:sz="4" w:space="0"/>
              <w:right w:val="single" w:color="auto" w:sz="4" w:space="0"/>
            </w:tcBorders>
            <w:noWrap w:val="0"/>
            <w:vAlign w:val="center"/>
          </w:tcPr>
          <w:p w14:paraId="42649CDA">
            <w:pPr>
              <w:spacing w:line="300" w:lineRule="exact"/>
              <w:jc w:val="center"/>
              <w:rPr>
                <w:rFonts w:hint="eastAsia" w:ascii="宋体" w:hAnsi="宋体" w:cs="宋体"/>
                <w:b/>
                <w:color w:val="auto"/>
                <w:szCs w:val="21"/>
                <w:highlight w:val="none"/>
              </w:rPr>
            </w:pPr>
            <w:r>
              <w:rPr>
                <w:rFonts w:hint="eastAsia" w:ascii="宋体" w:hAnsi="宋体" w:cs="宋体"/>
                <w:b/>
                <w:color w:val="auto"/>
                <w:szCs w:val="21"/>
                <w:highlight w:val="none"/>
              </w:rPr>
              <w:t>1.7.1</w:t>
            </w:r>
          </w:p>
        </w:tc>
        <w:tc>
          <w:tcPr>
            <w:tcW w:w="1170" w:type="dxa"/>
            <w:tcBorders>
              <w:top w:val="single" w:color="auto" w:sz="4" w:space="0"/>
              <w:left w:val="single" w:color="auto" w:sz="4" w:space="0"/>
              <w:bottom w:val="single" w:color="auto" w:sz="4" w:space="0"/>
              <w:right w:val="single" w:color="auto" w:sz="4" w:space="0"/>
            </w:tcBorders>
            <w:noWrap w:val="0"/>
            <w:vAlign w:val="center"/>
          </w:tcPr>
          <w:p w14:paraId="3342CAA4">
            <w:pPr>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转包</w:t>
            </w:r>
          </w:p>
        </w:tc>
        <w:tc>
          <w:tcPr>
            <w:tcW w:w="6690" w:type="dxa"/>
            <w:tcBorders>
              <w:top w:val="single" w:color="auto" w:sz="4" w:space="0"/>
              <w:left w:val="single" w:color="auto" w:sz="4" w:space="0"/>
              <w:bottom w:val="single" w:color="auto" w:sz="4" w:space="0"/>
              <w:right w:val="single" w:color="auto" w:sz="4" w:space="0"/>
            </w:tcBorders>
            <w:noWrap w:val="0"/>
            <w:vAlign w:val="center"/>
          </w:tcPr>
          <w:p w14:paraId="3C9BF35D">
            <w:pPr>
              <w:spacing w:line="300" w:lineRule="exact"/>
              <w:jc w:val="left"/>
              <w:rPr>
                <w:rFonts w:hint="eastAsia" w:ascii="宋体" w:hAnsi="宋体" w:cs="宋体"/>
                <w:color w:val="auto"/>
                <w:szCs w:val="21"/>
                <w:highlight w:val="none"/>
              </w:rPr>
            </w:pPr>
            <w:r>
              <w:rPr>
                <w:rFonts w:hint="eastAsia" w:ascii="宋体" w:hAnsi="宋体" w:cs="宋体"/>
                <w:color w:val="auto"/>
                <w:szCs w:val="21"/>
                <w:highlight w:val="none"/>
              </w:rPr>
              <w:t>本项目不允许转包</w:t>
            </w:r>
          </w:p>
        </w:tc>
      </w:tr>
      <w:tr w14:paraId="0E34546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318" w:type="dxa"/>
            <w:tcBorders>
              <w:top w:val="single" w:color="auto" w:sz="4" w:space="0"/>
              <w:left w:val="single" w:color="auto" w:sz="4" w:space="0"/>
              <w:bottom w:val="single" w:color="auto" w:sz="4" w:space="0"/>
              <w:right w:val="single" w:color="auto" w:sz="4" w:space="0"/>
            </w:tcBorders>
            <w:noWrap w:val="0"/>
            <w:vAlign w:val="center"/>
          </w:tcPr>
          <w:p w14:paraId="355D1E7F">
            <w:pPr>
              <w:spacing w:line="300" w:lineRule="exact"/>
              <w:jc w:val="center"/>
              <w:rPr>
                <w:rFonts w:hint="eastAsia" w:ascii="宋体" w:hAnsi="宋体" w:cs="宋体"/>
                <w:color w:val="auto"/>
                <w:szCs w:val="21"/>
                <w:highlight w:val="none"/>
              </w:rPr>
            </w:pPr>
            <w:r>
              <w:rPr>
                <w:rFonts w:hint="eastAsia" w:ascii="宋体" w:hAnsi="宋体" w:cs="宋体"/>
                <w:b/>
                <w:color w:val="auto"/>
                <w:szCs w:val="21"/>
                <w:highlight w:val="none"/>
              </w:rPr>
              <w:t>1.7.2</w:t>
            </w:r>
          </w:p>
        </w:tc>
        <w:tc>
          <w:tcPr>
            <w:tcW w:w="1170" w:type="dxa"/>
            <w:tcBorders>
              <w:top w:val="single" w:color="auto" w:sz="4" w:space="0"/>
              <w:left w:val="single" w:color="auto" w:sz="4" w:space="0"/>
              <w:bottom w:val="single" w:color="auto" w:sz="4" w:space="0"/>
              <w:right w:val="single" w:color="auto" w:sz="4" w:space="0"/>
            </w:tcBorders>
            <w:noWrap w:val="0"/>
            <w:vAlign w:val="center"/>
          </w:tcPr>
          <w:p w14:paraId="607229EF">
            <w:pPr>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分包</w:t>
            </w:r>
          </w:p>
        </w:tc>
        <w:tc>
          <w:tcPr>
            <w:tcW w:w="6690" w:type="dxa"/>
            <w:tcBorders>
              <w:top w:val="single" w:color="auto" w:sz="4" w:space="0"/>
              <w:left w:val="single" w:color="auto" w:sz="4" w:space="0"/>
              <w:bottom w:val="single" w:color="auto" w:sz="4" w:space="0"/>
              <w:right w:val="single" w:color="auto" w:sz="4" w:space="0"/>
            </w:tcBorders>
            <w:noWrap w:val="0"/>
            <w:vAlign w:val="center"/>
          </w:tcPr>
          <w:p w14:paraId="50A982D3">
            <w:pPr>
              <w:spacing w:line="300" w:lineRule="exact"/>
              <w:jc w:val="left"/>
              <w:rPr>
                <w:rFonts w:hint="eastAsia" w:ascii="宋体" w:hAnsi="宋体" w:cs="宋体"/>
                <w:color w:val="auto"/>
                <w:szCs w:val="21"/>
                <w:highlight w:val="none"/>
              </w:rPr>
            </w:pPr>
            <w:r>
              <w:rPr>
                <w:rFonts w:hint="eastAsia" w:ascii="宋体" w:hAnsi="宋体" w:cs="宋体"/>
                <w:color w:val="auto"/>
                <w:szCs w:val="21"/>
                <w:highlight w:val="none"/>
              </w:rPr>
              <w:t>是否接受分包详见磋商公告</w:t>
            </w:r>
          </w:p>
        </w:tc>
      </w:tr>
      <w:tr w14:paraId="395BC64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318" w:type="dxa"/>
            <w:tcBorders>
              <w:top w:val="single" w:color="auto" w:sz="4" w:space="0"/>
              <w:left w:val="single" w:color="auto" w:sz="4" w:space="0"/>
              <w:bottom w:val="single" w:color="auto" w:sz="4" w:space="0"/>
              <w:right w:val="single" w:color="auto" w:sz="4" w:space="0"/>
            </w:tcBorders>
            <w:noWrap w:val="0"/>
            <w:vAlign w:val="center"/>
          </w:tcPr>
          <w:p w14:paraId="1A42E41C">
            <w:pPr>
              <w:spacing w:line="300" w:lineRule="exact"/>
              <w:jc w:val="center"/>
              <w:rPr>
                <w:rFonts w:hint="eastAsia" w:ascii="宋体" w:hAnsi="宋体" w:cs="宋体"/>
                <w:color w:val="auto"/>
                <w:szCs w:val="21"/>
                <w:highlight w:val="none"/>
              </w:rPr>
            </w:pPr>
            <w:r>
              <w:rPr>
                <w:rFonts w:hint="eastAsia" w:ascii="宋体" w:hAnsi="宋体" w:cs="宋体"/>
                <w:b/>
                <w:color w:val="auto"/>
                <w:szCs w:val="21"/>
                <w:highlight w:val="none"/>
              </w:rPr>
              <w:t>2.3</w:t>
            </w:r>
          </w:p>
        </w:tc>
        <w:tc>
          <w:tcPr>
            <w:tcW w:w="1170" w:type="dxa"/>
            <w:tcBorders>
              <w:top w:val="single" w:color="auto" w:sz="4" w:space="0"/>
              <w:left w:val="single" w:color="auto" w:sz="4" w:space="0"/>
              <w:bottom w:val="single" w:color="auto" w:sz="4" w:space="0"/>
              <w:right w:val="single" w:color="auto" w:sz="4" w:space="0"/>
            </w:tcBorders>
            <w:noWrap w:val="0"/>
            <w:vAlign w:val="center"/>
          </w:tcPr>
          <w:p w14:paraId="5404A535">
            <w:pPr>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采购文件澄清、修改</w:t>
            </w:r>
          </w:p>
        </w:tc>
        <w:tc>
          <w:tcPr>
            <w:tcW w:w="6690" w:type="dxa"/>
            <w:tcBorders>
              <w:top w:val="single" w:color="auto" w:sz="4" w:space="0"/>
              <w:left w:val="single" w:color="auto" w:sz="4" w:space="0"/>
              <w:bottom w:val="single" w:color="auto" w:sz="4" w:space="0"/>
              <w:right w:val="single" w:color="auto" w:sz="4" w:space="0"/>
            </w:tcBorders>
            <w:noWrap w:val="0"/>
            <w:vAlign w:val="center"/>
          </w:tcPr>
          <w:p w14:paraId="1103A0ED">
            <w:pPr>
              <w:spacing w:line="300" w:lineRule="exact"/>
              <w:jc w:val="left"/>
              <w:rPr>
                <w:rFonts w:hint="eastAsia" w:ascii="宋体" w:hAnsi="宋体" w:cs="宋体"/>
                <w:color w:val="auto"/>
                <w:szCs w:val="21"/>
                <w:highlight w:val="none"/>
              </w:rPr>
            </w:pPr>
            <w:r>
              <w:rPr>
                <w:rFonts w:hint="eastAsia" w:ascii="宋体" w:hAnsi="宋体" w:cs="宋体"/>
                <w:color w:val="auto"/>
                <w:szCs w:val="21"/>
                <w:highlight w:val="none"/>
              </w:rPr>
              <w:t>在磋商公告发布媒介发布。</w:t>
            </w:r>
          </w:p>
        </w:tc>
      </w:tr>
      <w:tr w14:paraId="6249B7F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318" w:type="dxa"/>
            <w:tcBorders>
              <w:top w:val="single" w:color="auto" w:sz="4" w:space="0"/>
              <w:left w:val="single" w:color="auto" w:sz="4" w:space="0"/>
              <w:bottom w:val="single" w:color="auto" w:sz="4" w:space="0"/>
              <w:right w:val="single" w:color="auto" w:sz="4" w:space="0"/>
            </w:tcBorders>
            <w:noWrap w:val="0"/>
            <w:vAlign w:val="center"/>
          </w:tcPr>
          <w:p w14:paraId="3D3405B2">
            <w:pPr>
              <w:spacing w:line="300" w:lineRule="exact"/>
              <w:jc w:val="center"/>
              <w:rPr>
                <w:rFonts w:hint="eastAsia" w:ascii="宋体" w:hAnsi="宋体" w:cs="宋体"/>
                <w:b/>
                <w:color w:val="auto"/>
                <w:szCs w:val="21"/>
                <w:highlight w:val="none"/>
              </w:rPr>
            </w:pPr>
            <w:r>
              <w:rPr>
                <w:rFonts w:hint="eastAsia" w:ascii="宋体" w:hAnsi="宋体" w:cs="宋体"/>
                <w:b/>
                <w:color w:val="auto"/>
                <w:szCs w:val="21"/>
                <w:highlight w:val="none"/>
              </w:rPr>
              <w:t>2.3</w:t>
            </w:r>
          </w:p>
        </w:tc>
        <w:tc>
          <w:tcPr>
            <w:tcW w:w="1170" w:type="dxa"/>
            <w:tcBorders>
              <w:top w:val="single" w:color="auto" w:sz="4" w:space="0"/>
              <w:left w:val="single" w:color="auto" w:sz="4" w:space="0"/>
              <w:bottom w:val="single" w:color="auto" w:sz="4" w:space="0"/>
              <w:right w:val="single" w:color="auto" w:sz="4" w:space="0"/>
            </w:tcBorders>
            <w:noWrap w:val="0"/>
            <w:vAlign w:val="center"/>
          </w:tcPr>
          <w:p w14:paraId="38667B6E">
            <w:pPr>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确认收到澄清、修改发布的方式</w:t>
            </w:r>
          </w:p>
        </w:tc>
        <w:tc>
          <w:tcPr>
            <w:tcW w:w="6690" w:type="dxa"/>
            <w:tcBorders>
              <w:top w:val="single" w:color="auto" w:sz="4" w:space="0"/>
              <w:left w:val="single" w:color="auto" w:sz="4" w:space="0"/>
              <w:bottom w:val="single" w:color="auto" w:sz="4" w:space="0"/>
              <w:right w:val="single" w:color="auto" w:sz="4" w:space="0"/>
            </w:tcBorders>
            <w:noWrap w:val="0"/>
            <w:vAlign w:val="center"/>
          </w:tcPr>
          <w:p w14:paraId="2BB271EE">
            <w:pPr>
              <w:spacing w:line="300" w:lineRule="exact"/>
              <w:jc w:val="left"/>
              <w:rPr>
                <w:rFonts w:hint="eastAsia" w:ascii="宋体" w:hAnsi="宋体" w:cs="宋体"/>
                <w:color w:val="auto"/>
                <w:szCs w:val="21"/>
                <w:highlight w:val="none"/>
              </w:rPr>
            </w:pPr>
            <w:r>
              <w:rPr>
                <w:rFonts w:hint="eastAsia" w:ascii="宋体" w:hAnsi="宋体" w:cs="宋体"/>
                <w:color w:val="auto"/>
                <w:szCs w:val="21"/>
                <w:highlight w:val="none"/>
              </w:rPr>
              <w:t>澄清、修改文件自磋商公告发布媒体发布之日起，视为供应商已收到该澄清、修改。供应商未及时关注磋商公告发布媒体造成的损失，由供应商自行负责。</w:t>
            </w:r>
          </w:p>
        </w:tc>
      </w:tr>
      <w:tr w14:paraId="1286C07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318" w:type="dxa"/>
            <w:tcBorders>
              <w:top w:val="single" w:color="auto" w:sz="4" w:space="0"/>
              <w:left w:val="single" w:color="auto" w:sz="4" w:space="0"/>
              <w:bottom w:val="single" w:color="auto" w:sz="4" w:space="0"/>
              <w:right w:val="single" w:color="auto" w:sz="4" w:space="0"/>
            </w:tcBorders>
            <w:noWrap w:val="0"/>
            <w:vAlign w:val="center"/>
          </w:tcPr>
          <w:p w14:paraId="01FED1AA">
            <w:pPr>
              <w:spacing w:line="300" w:lineRule="exact"/>
              <w:jc w:val="center"/>
              <w:rPr>
                <w:rFonts w:hint="eastAsia" w:ascii="宋体" w:hAnsi="宋体" w:cs="宋体"/>
                <w:b/>
                <w:color w:val="auto"/>
                <w:szCs w:val="21"/>
                <w:highlight w:val="none"/>
              </w:rPr>
            </w:pPr>
            <w:r>
              <w:rPr>
                <w:rFonts w:hint="eastAsia" w:ascii="宋体" w:hAnsi="宋体" w:cs="宋体"/>
                <w:b/>
                <w:color w:val="auto"/>
                <w:szCs w:val="21"/>
                <w:highlight w:val="none"/>
              </w:rPr>
              <w:t>3.4.1</w:t>
            </w:r>
          </w:p>
        </w:tc>
        <w:tc>
          <w:tcPr>
            <w:tcW w:w="1170" w:type="dxa"/>
            <w:tcBorders>
              <w:top w:val="single" w:color="auto" w:sz="4" w:space="0"/>
              <w:left w:val="single" w:color="auto" w:sz="4" w:space="0"/>
              <w:bottom w:val="single" w:color="auto" w:sz="4" w:space="0"/>
              <w:right w:val="single" w:color="auto" w:sz="4" w:space="0"/>
            </w:tcBorders>
            <w:noWrap w:val="0"/>
            <w:vAlign w:val="center"/>
          </w:tcPr>
          <w:p w14:paraId="12AA4C3A">
            <w:pPr>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响应有效期</w:t>
            </w:r>
          </w:p>
        </w:tc>
        <w:tc>
          <w:tcPr>
            <w:tcW w:w="6690" w:type="dxa"/>
            <w:tcBorders>
              <w:top w:val="single" w:color="auto" w:sz="4" w:space="0"/>
              <w:left w:val="single" w:color="auto" w:sz="4" w:space="0"/>
              <w:bottom w:val="single" w:color="auto" w:sz="4" w:space="0"/>
              <w:right w:val="single" w:color="auto" w:sz="4" w:space="0"/>
            </w:tcBorders>
            <w:noWrap w:val="0"/>
            <w:vAlign w:val="center"/>
          </w:tcPr>
          <w:p w14:paraId="08917B2F">
            <w:pPr>
              <w:spacing w:line="300" w:lineRule="exact"/>
              <w:jc w:val="left"/>
              <w:rPr>
                <w:rFonts w:hint="eastAsia" w:ascii="宋体" w:hAnsi="宋体" w:cs="宋体"/>
                <w:color w:val="auto"/>
                <w:szCs w:val="21"/>
                <w:highlight w:val="none"/>
              </w:rPr>
            </w:pPr>
            <w:r>
              <w:rPr>
                <w:rFonts w:hint="eastAsia" w:ascii="宋体" w:hAnsi="宋体" w:cs="宋体"/>
                <w:color w:val="auto"/>
                <w:szCs w:val="21"/>
                <w:highlight w:val="none"/>
              </w:rPr>
              <w:t>响应截止之日起90天。</w:t>
            </w:r>
          </w:p>
        </w:tc>
      </w:tr>
      <w:tr w14:paraId="301087F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318" w:type="dxa"/>
            <w:tcBorders>
              <w:top w:val="single" w:color="auto" w:sz="4" w:space="0"/>
              <w:left w:val="single" w:color="auto" w:sz="4" w:space="0"/>
              <w:bottom w:val="single" w:color="auto" w:sz="4" w:space="0"/>
              <w:right w:val="single" w:color="auto" w:sz="4" w:space="0"/>
            </w:tcBorders>
            <w:noWrap w:val="0"/>
            <w:vAlign w:val="center"/>
          </w:tcPr>
          <w:p w14:paraId="7968D2CC">
            <w:pPr>
              <w:spacing w:line="300" w:lineRule="exact"/>
              <w:jc w:val="center"/>
              <w:rPr>
                <w:rFonts w:hint="eastAsia" w:ascii="宋体" w:hAnsi="宋体" w:cs="宋体"/>
                <w:b/>
                <w:color w:val="auto"/>
                <w:szCs w:val="21"/>
                <w:highlight w:val="none"/>
              </w:rPr>
            </w:pPr>
            <w:r>
              <w:rPr>
                <w:rFonts w:hint="eastAsia" w:ascii="宋体" w:hAnsi="宋体" w:cs="宋体"/>
                <w:b/>
                <w:color w:val="auto"/>
                <w:szCs w:val="21"/>
                <w:highlight w:val="none"/>
              </w:rPr>
              <w:t>3.5</w:t>
            </w:r>
          </w:p>
        </w:tc>
        <w:tc>
          <w:tcPr>
            <w:tcW w:w="1170" w:type="dxa"/>
            <w:tcBorders>
              <w:top w:val="single" w:color="auto" w:sz="4" w:space="0"/>
              <w:left w:val="single" w:color="auto" w:sz="4" w:space="0"/>
              <w:bottom w:val="single" w:color="auto" w:sz="4" w:space="0"/>
              <w:right w:val="single" w:color="auto" w:sz="4" w:space="0"/>
            </w:tcBorders>
            <w:noWrap w:val="0"/>
            <w:vAlign w:val="center"/>
          </w:tcPr>
          <w:p w14:paraId="01B87430">
            <w:pPr>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磋商保证金</w:t>
            </w:r>
          </w:p>
        </w:tc>
        <w:tc>
          <w:tcPr>
            <w:tcW w:w="6690" w:type="dxa"/>
            <w:tcBorders>
              <w:top w:val="single" w:color="auto" w:sz="4" w:space="0"/>
              <w:left w:val="single" w:color="auto" w:sz="4" w:space="0"/>
              <w:bottom w:val="single" w:color="auto" w:sz="4" w:space="0"/>
              <w:right w:val="single" w:color="auto" w:sz="4" w:space="0"/>
            </w:tcBorders>
            <w:noWrap w:val="0"/>
            <w:vAlign w:val="center"/>
          </w:tcPr>
          <w:p w14:paraId="39DD631D">
            <w:pPr>
              <w:spacing w:line="300" w:lineRule="exact"/>
              <w:jc w:val="left"/>
              <w:rPr>
                <w:rFonts w:hint="eastAsia" w:ascii="宋体" w:hAnsi="宋体" w:cs="宋体"/>
                <w:b/>
                <w:bCs/>
                <w:color w:val="auto"/>
                <w:szCs w:val="21"/>
                <w:highlight w:val="none"/>
              </w:rPr>
            </w:pPr>
            <w:r>
              <w:rPr>
                <w:rFonts w:hint="eastAsia" w:ascii="宋体" w:hAnsi="宋体" w:cs="宋体"/>
                <w:color w:val="auto"/>
                <w:szCs w:val="21"/>
                <w:highlight w:val="none"/>
                <w:lang w:eastAsia="zh-CN"/>
              </w:rPr>
              <w:t>本项目不收取磋商保证金</w:t>
            </w:r>
            <w:r>
              <w:rPr>
                <w:rFonts w:hint="eastAsia" w:ascii="宋体" w:hAnsi="宋体" w:cs="宋体"/>
                <w:color w:val="auto"/>
                <w:szCs w:val="21"/>
                <w:highlight w:val="none"/>
              </w:rPr>
              <w:t>。</w:t>
            </w:r>
          </w:p>
        </w:tc>
      </w:tr>
      <w:tr w14:paraId="38A8940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318" w:type="dxa"/>
            <w:tcBorders>
              <w:top w:val="single" w:color="auto" w:sz="4" w:space="0"/>
              <w:left w:val="single" w:color="auto" w:sz="4" w:space="0"/>
              <w:bottom w:val="single" w:color="auto" w:sz="4" w:space="0"/>
              <w:right w:val="single" w:color="auto" w:sz="4" w:space="0"/>
            </w:tcBorders>
            <w:noWrap w:val="0"/>
            <w:vAlign w:val="center"/>
          </w:tcPr>
          <w:p w14:paraId="0E43D469">
            <w:pPr>
              <w:spacing w:line="300" w:lineRule="exact"/>
              <w:jc w:val="center"/>
              <w:rPr>
                <w:rFonts w:hint="eastAsia" w:ascii="宋体" w:hAnsi="宋体" w:cs="宋体"/>
                <w:b/>
                <w:color w:val="auto"/>
                <w:szCs w:val="21"/>
                <w:highlight w:val="none"/>
              </w:rPr>
            </w:pPr>
            <w:r>
              <w:rPr>
                <w:rFonts w:hint="eastAsia" w:ascii="宋体" w:hAnsi="宋体" w:cs="宋体"/>
                <w:b/>
                <w:color w:val="auto"/>
                <w:szCs w:val="21"/>
                <w:highlight w:val="none"/>
              </w:rPr>
              <w:t>3.6</w:t>
            </w:r>
          </w:p>
        </w:tc>
        <w:tc>
          <w:tcPr>
            <w:tcW w:w="1170" w:type="dxa"/>
            <w:tcBorders>
              <w:top w:val="single" w:color="auto" w:sz="4" w:space="0"/>
              <w:left w:val="single" w:color="auto" w:sz="4" w:space="0"/>
              <w:bottom w:val="single" w:color="auto" w:sz="4" w:space="0"/>
              <w:right w:val="single" w:color="auto" w:sz="4" w:space="0"/>
            </w:tcBorders>
            <w:noWrap w:val="0"/>
            <w:vAlign w:val="center"/>
          </w:tcPr>
          <w:p w14:paraId="7B60559A">
            <w:pPr>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响应文件的编制</w:t>
            </w:r>
          </w:p>
        </w:tc>
        <w:tc>
          <w:tcPr>
            <w:tcW w:w="6690" w:type="dxa"/>
            <w:tcBorders>
              <w:top w:val="single" w:color="auto" w:sz="4" w:space="0"/>
              <w:left w:val="single" w:color="auto" w:sz="4" w:space="0"/>
              <w:bottom w:val="single" w:color="auto" w:sz="4" w:space="0"/>
              <w:right w:val="single" w:color="auto" w:sz="4" w:space="0"/>
            </w:tcBorders>
            <w:noWrap w:val="0"/>
            <w:vAlign w:val="center"/>
          </w:tcPr>
          <w:p w14:paraId="46F30D1F">
            <w:pPr>
              <w:spacing w:line="300" w:lineRule="exact"/>
              <w:jc w:val="left"/>
              <w:rPr>
                <w:rFonts w:hint="eastAsia" w:ascii="宋体" w:hAnsi="宋体" w:cs="宋体"/>
                <w:color w:val="auto"/>
                <w:szCs w:val="21"/>
                <w:highlight w:val="none"/>
              </w:rPr>
            </w:pPr>
            <w:r>
              <w:rPr>
                <w:rFonts w:hint="eastAsia" w:ascii="宋体" w:hAnsi="宋体" w:cs="宋体"/>
                <w:color w:val="auto"/>
                <w:szCs w:val="21"/>
                <w:highlight w:val="none"/>
              </w:rPr>
              <w:t>响应文件应按第六章响应文件格式分别编制并使用下载的广西政府采购云平台新版客户端制作并上传。</w:t>
            </w:r>
          </w:p>
        </w:tc>
      </w:tr>
      <w:tr w14:paraId="1C47A85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318" w:type="dxa"/>
            <w:tcBorders>
              <w:top w:val="single" w:color="auto" w:sz="4" w:space="0"/>
              <w:left w:val="single" w:color="auto" w:sz="4" w:space="0"/>
              <w:bottom w:val="single" w:color="auto" w:sz="4" w:space="0"/>
              <w:right w:val="single" w:color="auto" w:sz="4" w:space="0"/>
            </w:tcBorders>
            <w:noWrap w:val="0"/>
            <w:vAlign w:val="center"/>
          </w:tcPr>
          <w:p w14:paraId="26F7CBF3">
            <w:pPr>
              <w:spacing w:line="300" w:lineRule="exact"/>
              <w:jc w:val="center"/>
              <w:rPr>
                <w:rFonts w:hint="eastAsia" w:ascii="宋体" w:hAnsi="宋体" w:cs="宋体"/>
                <w:b/>
                <w:color w:val="auto"/>
                <w:szCs w:val="21"/>
                <w:highlight w:val="none"/>
              </w:rPr>
            </w:pPr>
            <w:r>
              <w:rPr>
                <w:rFonts w:hint="eastAsia" w:ascii="宋体" w:hAnsi="宋体" w:cs="宋体"/>
                <w:b/>
                <w:color w:val="auto"/>
                <w:szCs w:val="21"/>
                <w:highlight w:val="none"/>
              </w:rPr>
              <w:t>3.7</w:t>
            </w:r>
          </w:p>
        </w:tc>
        <w:tc>
          <w:tcPr>
            <w:tcW w:w="1170" w:type="dxa"/>
            <w:tcBorders>
              <w:top w:val="single" w:color="auto" w:sz="4" w:space="0"/>
              <w:left w:val="single" w:color="auto" w:sz="4" w:space="0"/>
              <w:bottom w:val="single" w:color="auto" w:sz="4" w:space="0"/>
              <w:right w:val="single" w:color="auto" w:sz="4" w:space="0"/>
            </w:tcBorders>
            <w:noWrap w:val="0"/>
            <w:vAlign w:val="center"/>
          </w:tcPr>
          <w:p w14:paraId="046C63B7">
            <w:pPr>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响应文件递交截止时间及截标时间</w:t>
            </w:r>
          </w:p>
        </w:tc>
        <w:tc>
          <w:tcPr>
            <w:tcW w:w="6690" w:type="dxa"/>
            <w:tcBorders>
              <w:top w:val="single" w:color="auto" w:sz="4" w:space="0"/>
              <w:left w:val="single" w:color="auto" w:sz="4" w:space="0"/>
              <w:bottom w:val="single" w:color="auto" w:sz="4" w:space="0"/>
              <w:right w:val="single" w:color="auto" w:sz="4" w:space="0"/>
            </w:tcBorders>
            <w:noWrap w:val="0"/>
            <w:vAlign w:val="center"/>
          </w:tcPr>
          <w:p w14:paraId="1341FD9C">
            <w:pPr>
              <w:spacing w:line="300" w:lineRule="exact"/>
              <w:jc w:val="left"/>
              <w:rPr>
                <w:rFonts w:hint="eastAsia" w:ascii="宋体" w:hAnsi="宋体" w:cs="宋体"/>
                <w:color w:val="auto"/>
                <w:szCs w:val="21"/>
                <w:highlight w:val="none"/>
              </w:rPr>
            </w:pPr>
            <w:r>
              <w:rPr>
                <w:rFonts w:hint="eastAsia" w:ascii="宋体" w:hAnsi="宋体" w:cs="宋体"/>
                <w:color w:val="auto"/>
                <w:kern w:val="0"/>
                <w:szCs w:val="21"/>
                <w:highlight w:val="none"/>
              </w:rPr>
              <w:t>见磋商公告要求</w:t>
            </w:r>
            <w:r>
              <w:rPr>
                <w:rFonts w:hint="eastAsia" w:ascii="宋体" w:hAnsi="宋体" w:cs="宋体"/>
                <w:color w:val="auto"/>
                <w:szCs w:val="21"/>
                <w:highlight w:val="none"/>
              </w:rPr>
              <w:t>。</w:t>
            </w:r>
          </w:p>
        </w:tc>
      </w:tr>
      <w:tr w14:paraId="0BBBC6B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90" w:hRule="atLeast"/>
        </w:trPr>
        <w:tc>
          <w:tcPr>
            <w:tcW w:w="1318" w:type="dxa"/>
            <w:tcBorders>
              <w:top w:val="single" w:color="auto" w:sz="4" w:space="0"/>
              <w:left w:val="single" w:color="auto" w:sz="4" w:space="0"/>
              <w:bottom w:val="single" w:color="auto" w:sz="4" w:space="0"/>
              <w:right w:val="single" w:color="auto" w:sz="4" w:space="0"/>
            </w:tcBorders>
            <w:noWrap w:val="0"/>
            <w:vAlign w:val="center"/>
          </w:tcPr>
          <w:p w14:paraId="3A9AAA90">
            <w:pPr>
              <w:spacing w:line="300" w:lineRule="exact"/>
              <w:jc w:val="center"/>
              <w:rPr>
                <w:rFonts w:hint="eastAsia" w:ascii="宋体" w:hAnsi="宋体" w:cs="宋体"/>
                <w:b/>
                <w:color w:val="auto"/>
                <w:szCs w:val="21"/>
                <w:highlight w:val="none"/>
              </w:rPr>
            </w:pPr>
            <w:r>
              <w:rPr>
                <w:rFonts w:hint="eastAsia" w:ascii="宋体" w:hAnsi="宋体" w:cs="宋体"/>
                <w:b/>
                <w:color w:val="auto"/>
                <w:szCs w:val="21"/>
                <w:highlight w:val="none"/>
              </w:rPr>
              <w:t>4.2</w:t>
            </w:r>
          </w:p>
        </w:tc>
        <w:tc>
          <w:tcPr>
            <w:tcW w:w="1170" w:type="dxa"/>
            <w:tcBorders>
              <w:top w:val="single" w:color="auto" w:sz="4" w:space="0"/>
              <w:left w:val="single" w:color="auto" w:sz="4" w:space="0"/>
              <w:bottom w:val="single" w:color="auto" w:sz="4" w:space="0"/>
              <w:right w:val="single" w:color="auto" w:sz="4" w:space="0"/>
            </w:tcBorders>
            <w:noWrap w:val="0"/>
            <w:vAlign w:val="center"/>
          </w:tcPr>
          <w:p w14:paraId="40AA9A3B">
            <w:pPr>
              <w:spacing w:line="300" w:lineRule="exact"/>
              <w:jc w:val="center"/>
              <w:rPr>
                <w:rFonts w:hint="eastAsia" w:ascii="宋体" w:hAnsi="宋体" w:cs="宋体"/>
                <w:color w:val="auto"/>
                <w:szCs w:val="20"/>
                <w:highlight w:val="none"/>
              </w:rPr>
            </w:pPr>
            <w:r>
              <w:rPr>
                <w:rFonts w:hint="eastAsia" w:ascii="宋体" w:hAnsi="宋体" w:cs="宋体"/>
                <w:color w:val="auto"/>
                <w:szCs w:val="21"/>
                <w:highlight w:val="none"/>
              </w:rPr>
              <w:t>备份响应文件</w:t>
            </w:r>
          </w:p>
        </w:tc>
        <w:tc>
          <w:tcPr>
            <w:tcW w:w="6690" w:type="dxa"/>
            <w:tcBorders>
              <w:top w:val="single" w:color="auto" w:sz="4" w:space="0"/>
              <w:left w:val="single" w:color="auto" w:sz="4" w:space="0"/>
              <w:bottom w:val="single" w:color="auto" w:sz="4" w:space="0"/>
              <w:right w:val="single" w:color="auto" w:sz="4" w:space="0"/>
            </w:tcBorders>
            <w:noWrap w:val="0"/>
            <w:vAlign w:val="center"/>
          </w:tcPr>
          <w:p w14:paraId="0416EDA0">
            <w:pPr>
              <w:spacing w:line="276" w:lineRule="auto"/>
              <w:rPr>
                <w:rFonts w:hint="eastAsia" w:ascii="宋体" w:hAnsi="宋体" w:cs="宋体"/>
                <w:color w:val="auto"/>
                <w:szCs w:val="21"/>
                <w:highlight w:val="none"/>
              </w:rPr>
            </w:pPr>
            <w:r>
              <w:rPr>
                <w:rFonts w:hint="eastAsia" w:ascii="宋体" w:hAnsi="宋体" w:cs="宋体"/>
                <w:color w:val="auto"/>
                <w:szCs w:val="21"/>
                <w:highlight w:val="none"/>
              </w:rPr>
              <w:t>本项目</w:t>
            </w:r>
            <w:r>
              <w:rPr>
                <w:rFonts w:hint="eastAsia" w:ascii="宋体" w:hAnsi="宋体" w:cs="宋体"/>
                <w:color w:val="auto"/>
                <w:sz w:val="22"/>
                <w:szCs w:val="22"/>
                <w:highlight w:val="none"/>
                <w:lang w:eastAsia="zh-CN"/>
              </w:rPr>
              <w:t>☑</w:t>
            </w:r>
            <w:r>
              <w:rPr>
                <w:rFonts w:hint="eastAsia" w:ascii="宋体" w:hAnsi="宋体" w:cs="宋体"/>
                <w:color w:val="auto"/>
                <w:szCs w:val="21"/>
                <w:highlight w:val="none"/>
              </w:rPr>
              <w:t xml:space="preserve">接受   </w:t>
            </w:r>
            <w:r>
              <w:rPr>
                <w:rFonts w:hint="eastAsia" w:ascii="宋体" w:hAnsi="宋体" w:cs="宋体"/>
                <w:color w:val="auto"/>
                <w:sz w:val="22"/>
                <w:szCs w:val="22"/>
                <w:highlight w:val="none"/>
                <w:lang w:eastAsia="zh-CN"/>
              </w:rPr>
              <w:t>□</w:t>
            </w:r>
            <w:r>
              <w:rPr>
                <w:rFonts w:hint="eastAsia" w:ascii="宋体" w:hAnsi="宋体" w:cs="宋体"/>
                <w:color w:val="auto"/>
                <w:szCs w:val="21"/>
                <w:highlight w:val="none"/>
              </w:rPr>
              <w:t>不接受备份响应文件</w:t>
            </w:r>
          </w:p>
          <w:p w14:paraId="2826F32F">
            <w:pPr>
              <w:rPr>
                <w:rFonts w:hint="eastAsia" w:ascii="宋体" w:hAnsi="宋体" w:cs="宋体"/>
                <w:color w:val="auto"/>
                <w:szCs w:val="21"/>
                <w:highlight w:val="none"/>
              </w:rPr>
            </w:pPr>
            <w:r>
              <w:rPr>
                <w:rFonts w:hint="eastAsia" w:ascii="宋体" w:hAnsi="宋体" w:cs="宋体"/>
                <w:color w:val="auto"/>
                <w:highlight w:val="none"/>
              </w:rPr>
              <w:t>以</w:t>
            </w:r>
            <w:r>
              <w:rPr>
                <w:rFonts w:hint="eastAsia" w:ascii="宋体" w:hAnsi="宋体" w:cs="宋体"/>
                <w:color w:val="auto"/>
                <w:kern w:val="0"/>
                <w:szCs w:val="21"/>
                <w:highlight w:val="none"/>
              </w:rPr>
              <w:t>广西政府采购云平台</w:t>
            </w:r>
            <w:r>
              <w:rPr>
                <w:rFonts w:hint="eastAsia" w:ascii="宋体" w:hAnsi="宋体" w:cs="宋体"/>
                <w:color w:val="auto"/>
                <w:highlight w:val="none"/>
              </w:rPr>
              <w:t>自动生成的备份文件为依据，当项目允许接受备份响应文件时，供应商才可以按规定上传备份响应文件。</w:t>
            </w:r>
          </w:p>
        </w:tc>
      </w:tr>
      <w:tr w14:paraId="498C8F4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90" w:hRule="atLeast"/>
        </w:trPr>
        <w:tc>
          <w:tcPr>
            <w:tcW w:w="1318" w:type="dxa"/>
            <w:tcBorders>
              <w:top w:val="single" w:color="auto" w:sz="4" w:space="0"/>
              <w:left w:val="single" w:color="auto" w:sz="4" w:space="0"/>
              <w:bottom w:val="single" w:color="auto" w:sz="4" w:space="0"/>
              <w:right w:val="single" w:color="auto" w:sz="4" w:space="0"/>
            </w:tcBorders>
            <w:noWrap w:val="0"/>
            <w:vAlign w:val="center"/>
          </w:tcPr>
          <w:p w14:paraId="75C79C24">
            <w:pPr>
              <w:spacing w:line="300" w:lineRule="exact"/>
              <w:jc w:val="center"/>
              <w:rPr>
                <w:rFonts w:hint="eastAsia" w:ascii="宋体" w:hAnsi="宋体" w:cs="宋体"/>
                <w:b/>
                <w:color w:val="auto"/>
                <w:szCs w:val="21"/>
                <w:highlight w:val="none"/>
              </w:rPr>
            </w:pPr>
            <w:r>
              <w:rPr>
                <w:rFonts w:hint="eastAsia" w:ascii="宋体" w:hAnsi="宋体" w:cs="宋体"/>
                <w:b/>
                <w:color w:val="auto"/>
                <w:szCs w:val="21"/>
                <w:highlight w:val="none"/>
              </w:rPr>
              <w:t>4.3</w:t>
            </w:r>
          </w:p>
        </w:tc>
        <w:tc>
          <w:tcPr>
            <w:tcW w:w="1170" w:type="dxa"/>
            <w:tcBorders>
              <w:top w:val="single" w:color="auto" w:sz="4" w:space="0"/>
              <w:left w:val="single" w:color="auto" w:sz="4" w:space="0"/>
              <w:bottom w:val="single" w:color="auto" w:sz="4" w:space="0"/>
              <w:right w:val="single" w:color="auto" w:sz="4" w:space="0"/>
            </w:tcBorders>
            <w:noWrap w:val="0"/>
            <w:vAlign w:val="center"/>
          </w:tcPr>
          <w:p w14:paraId="2751FCC9">
            <w:pPr>
              <w:spacing w:line="300" w:lineRule="exact"/>
              <w:jc w:val="center"/>
              <w:rPr>
                <w:rFonts w:hint="eastAsia" w:ascii="宋体" w:hAnsi="宋体" w:cs="宋体"/>
                <w:color w:val="auto"/>
                <w:szCs w:val="21"/>
                <w:highlight w:val="none"/>
              </w:rPr>
            </w:pPr>
            <w:r>
              <w:rPr>
                <w:rFonts w:hint="eastAsia" w:ascii="宋体" w:hAnsi="宋体" w:cs="宋体"/>
                <w:color w:val="auto"/>
                <w:szCs w:val="20"/>
                <w:highlight w:val="none"/>
              </w:rPr>
              <w:t>演示</w:t>
            </w:r>
          </w:p>
        </w:tc>
        <w:tc>
          <w:tcPr>
            <w:tcW w:w="6690" w:type="dxa"/>
            <w:tcBorders>
              <w:top w:val="single" w:color="auto" w:sz="4" w:space="0"/>
              <w:left w:val="single" w:color="auto" w:sz="4" w:space="0"/>
              <w:bottom w:val="single" w:color="auto" w:sz="4" w:space="0"/>
              <w:right w:val="single" w:color="auto" w:sz="4" w:space="0"/>
            </w:tcBorders>
            <w:noWrap w:val="0"/>
            <w:vAlign w:val="center"/>
          </w:tcPr>
          <w:p w14:paraId="52B5C18D">
            <w:pPr>
              <w:spacing w:line="276" w:lineRule="auto"/>
              <w:rPr>
                <w:rFonts w:hint="eastAsia" w:ascii="宋体" w:hAnsi="宋体" w:cs="宋体"/>
                <w:color w:val="auto"/>
                <w:szCs w:val="21"/>
                <w:highlight w:val="none"/>
              </w:rPr>
            </w:pPr>
            <w:r>
              <w:rPr>
                <w:rFonts w:hint="eastAsia" w:ascii="宋体" w:hAnsi="宋体" w:cs="宋体"/>
                <w:color w:val="auto"/>
                <w:szCs w:val="21"/>
                <w:highlight w:val="none"/>
              </w:rPr>
              <w:t>否</w:t>
            </w:r>
          </w:p>
        </w:tc>
      </w:tr>
      <w:tr w14:paraId="2C044CA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90" w:hRule="atLeast"/>
        </w:trPr>
        <w:tc>
          <w:tcPr>
            <w:tcW w:w="1318" w:type="dxa"/>
            <w:tcBorders>
              <w:top w:val="single" w:color="auto" w:sz="4" w:space="0"/>
              <w:left w:val="single" w:color="auto" w:sz="4" w:space="0"/>
              <w:bottom w:val="single" w:color="auto" w:sz="4" w:space="0"/>
              <w:right w:val="single" w:color="auto" w:sz="4" w:space="0"/>
            </w:tcBorders>
            <w:noWrap w:val="0"/>
            <w:vAlign w:val="center"/>
          </w:tcPr>
          <w:p w14:paraId="6CBCD2F2">
            <w:pPr>
              <w:spacing w:line="300" w:lineRule="exact"/>
              <w:jc w:val="center"/>
              <w:rPr>
                <w:rFonts w:hint="eastAsia" w:ascii="宋体" w:hAnsi="宋体" w:cs="宋体"/>
                <w:b/>
                <w:color w:val="auto"/>
                <w:szCs w:val="21"/>
                <w:highlight w:val="none"/>
              </w:rPr>
            </w:pPr>
            <w:r>
              <w:rPr>
                <w:rFonts w:hint="eastAsia" w:ascii="宋体" w:hAnsi="宋体" w:cs="宋体"/>
                <w:b/>
                <w:color w:val="auto"/>
                <w:szCs w:val="21"/>
                <w:highlight w:val="none"/>
              </w:rPr>
              <w:t>4.4</w:t>
            </w:r>
          </w:p>
        </w:tc>
        <w:tc>
          <w:tcPr>
            <w:tcW w:w="1170" w:type="dxa"/>
            <w:tcBorders>
              <w:top w:val="single" w:color="auto" w:sz="4" w:space="0"/>
              <w:left w:val="single" w:color="auto" w:sz="4" w:space="0"/>
              <w:bottom w:val="single" w:color="auto" w:sz="4" w:space="0"/>
              <w:right w:val="single" w:color="auto" w:sz="4" w:space="0"/>
            </w:tcBorders>
            <w:noWrap w:val="0"/>
            <w:vAlign w:val="center"/>
          </w:tcPr>
          <w:p w14:paraId="7273C4E1">
            <w:pPr>
              <w:spacing w:line="300" w:lineRule="exact"/>
              <w:jc w:val="center"/>
              <w:rPr>
                <w:rFonts w:hint="eastAsia" w:ascii="宋体" w:hAnsi="宋体" w:cs="宋体"/>
                <w:color w:val="auto"/>
                <w:szCs w:val="21"/>
                <w:highlight w:val="none"/>
              </w:rPr>
            </w:pPr>
            <w:r>
              <w:rPr>
                <w:rFonts w:hint="eastAsia" w:ascii="宋体" w:hAnsi="宋体" w:cs="宋体"/>
                <w:color w:val="auto"/>
                <w:szCs w:val="20"/>
                <w:highlight w:val="none"/>
              </w:rPr>
              <w:t>样品</w:t>
            </w:r>
          </w:p>
        </w:tc>
        <w:tc>
          <w:tcPr>
            <w:tcW w:w="6690" w:type="dxa"/>
            <w:tcBorders>
              <w:top w:val="single" w:color="auto" w:sz="4" w:space="0"/>
              <w:left w:val="single" w:color="auto" w:sz="4" w:space="0"/>
              <w:bottom w:val="single" w:color="auto" w:sz="4" w:space="0"/>
              <w:right w:val="single" w:color="auto" w:sz="4" w:space="0"/>
            </w:tcBorders>
            <w:noWrap w:val="0"/>
            <w:vAlign w:val="center"/>
          </w:tcPr>
          <w:p w14:paraId="0ED1343F">
            <w:pPr>
              <w:spacing w:line="276" w:lineRule="auto"/>
              <w:rPr>
                <w:rFonts w:hint="eastAsia" w:ascii="宋体" w:hAnsi="宋体" w:cs="宋体"/>
                <w:color w:val="auto"/>
                <w:szCs w:val="21"/>
                <w:highlight w:val="none"/>
              </w:rPr>
            </w:pPr>
            <w:r>
              <w:rPr>
                <w:rFonts w:hint="eastAsia" w:ascii="宋体" w:hAnsi="宋体" w:cs="宋体"/>
                <w:color w:val="auto"/>
                <w:szCs w:val="21"/>
                <w:highlight w:val="none"/>
              </w:rPr>
              <w:t>否</w:t>
            </w:r>
          </w:p>
        </w:tc>
      </w:tr>
      <w:tr w14:paraId="3F1393C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90" w:hRule="atLeast"/>
        </w:trPr>
        <w:tc>
          <w:tcPr>
            <w:tcW w:w="1318" w:type="dxa"/>
            <w:tcBorders>
              <w:top w:val="single" w:color="auto" w:sz="4" w:space="0"/>
              <w:left w:val="single" w:color="auto" w:sz="4" w:space="0"/>
              <w:bottom w:val="single" w:color="auto" w:sz="4" w:space="0"/>
              <w:right w:val="single" w:color="auto" w:sz="4" w:space="0"/>
            </w:tcBorders>
            <w:noWrap w:val="0"/>
            <w:vAlign w:val="center"/>
          </w:tcPr>
          <w:p w14:paraId="1FC69BF9">
            <w:pPr>
              <w:spacing w:line="300" w:lineRule="exact"/>
              <w:jc w:val="center"/>
              <w:rPr>
                <w:rFonts w:hint="eastAsia" w:ascii="宋体" w:hAnsi="宋体" w:cs="宋体"/>
                <w:b/>
                <w:color w:val="auto"/>
                <w:szCs w:val="21"/>
                <w:highlight w:val="none"/>
              </w:rPr>
            </w:pPr>
            <w:r>
              <w:rPr>
                <w:rFonts w:hint="eastAsia" w:ascii="宋体" w:hAnsi="宋体" w:cs="宋体"/>
                <w:b/>
                <w:color w:val="auto"/>
                <w:szCs w:val="21"/>
                <w:highlight w:val="none"/>
                <w:lang w:val="en-US" w:eastAsia="zh-CN"/>
              </w:rPr>
              <w:t>5.3.1</w:t>
            </w:r>
          </w:p>
        </w:tc>
        <w:tc>
          <w:tcPr>
            <w:tcW w:w="1170" w:type="dxa"/>
            <w:tcBorders>
              <w:top w:val="single" w:color="auto" w:sz="4" w:space="0"/>
              <w:left w:val="single" w:color="auto" w:sz="4" w:space="0"/>
              <w:bottom w:val="single" w:color="auto" w:sz="4" w:space="0"/>
              <w:right w:val="single" w:color="auto" w:sz="4" w:space="0"/>
            </w:tcBorders>
            <w:noWrap w:val="0"/>
            <w:vAlign w:val="center"/>
          </w:tcPr>
          <w:p w14:paraId="5B8C5844">
            <w:pPr>
              <w:spacing w:line="300" w:lineRule="exact"/>
              <w:jc w:val="center"/>
              <w:rPr>
                <w:rFonts w:hint="eastAsia" w:ascii="宋体" w:hAnsi="宋体" w:cs="宋体"/>
                <w:color w:val="auto"/>
                <w:szCs w:val="20"/>
                <w:highlight w:val="none"/>
              </w:rPr>
            </w:pPr>
            <w:r>
              <w:rPr>
                <w:rFonts w:hint="eastAsia" w:ascii="宋体" w:hAnsi="宋体" w:cs="宋体"/>
                <w:color w:val="auto"/>
                <w:szCs w:val="20"/>
                <w:highlight w:val="none"/>
              </w:rPr>
              <w:t>信用查询</w:t>
            </w:r>
          </w:p>
        </w:tc>
        <w:tc>
          <w:tcPr>
            <w:tcW w:w="6690" w:type="dxa"/>
            <w:tcBorders>
              <w:top w:val="single" w:color="auto" w:sz="4" w:space="0"/>
              <w:left w:val="single" w:color="auto" w:sz="4" w:space="0"/>
              <w:bottom w:val="single" w:color="auto" w:sz="4" w:space="0"/>
              <w:right w:val="single" w:color="auto" w:sz="4" w:space="0"/>
            </w:tcBorders>
            <w:noWrap w:val="0"/>
            <w:vAlign w:val="center"/>
          </w:tcPr>
          <w:p w14:paraId="24A8F7EE">
            <w:pPr>
              <w:spacing w:line="276" w:lineRule="auto"/>
              <w:jc w:val="left"/>
              <w:rPr>
                <w:rFonts w:hint="eastAsia" w:ascii="宋体" w:hAnsi="宋体" w:cs="宋体"/>
                <w:color w:val="auto"/>
                <w:szCs w:val="21"/>
                <w:highlight w:val="none"/>
              </w:rPr>
            </w:pPr>
            <w:r>
              <w:rPr>
                <w:rFonts w:hint="eastAsia" w:ascii="宋体" w:hAnsi="宋体" w:cs="宋体"/>
                <w:color w:val="auto"/>
                <w:szCs w:val="21"/>
                <w:highlight w:val="none"/>
              </w:rPr>
              <w:t>磋商小组在资格审查结束前，对供应商进行信用查询。</w:t>
            </w:r>
          </w:p>
          <w:p w14:paraId="3C1BAC25">
            <w:pPr>
              <w:spacing w:line="276" w:lineRule="auto"/>
              <w:jc w:val="left"/>
              <w:rPr>
                <w:rFonts w:hint="eastAsia" w:ascii="宋体" w:hAnsi="宋体" w:cs="宋体"/>
                <w:color w:val="auto"/>
                <w:szCs w:val="21"/>
                <w:highlight w:val="none"/>
              </w:rPr>
            </w:pPr>
            <w:r>
              <w:rPr>
                <w:rFonts w:hint="eastAsia" w:ascii="宋体" w:hAnsi="宋体" w:cs="宋体"/>
                <w:color w:val="auto"/>
                <w:szCs w:val="21"/>
                <w:highlight w:val="none"/>
              </w:rPr>
              <w:t>（1）查询渠道：广西政府采购云平台“信用中国”网站</w:t>
            </w:r>
            <w:r>
              <w:rPr>
                <w:rFonts w:hint="eastAsia" w:ascii="宋体" w:hAnsi="宋体" w:cs="宋体"/>
                <w:color w:val="auto"/>
                <w:szCs w:val="21"/>
                <w:highlight w:val="none"/>
                <w:lang w:eastAsia="zh-CN"/>
              </w:rPr>
              <w:t>（</w:t>
            </w:r>
            <w:r>
              <w:rPr>
                <w:rFonts w:hint="eastAsia" w:ascii="宋体" w:hAnsi="宋体" w:cs="宋体"/>
                <w:color w:val="auto"/>
                <w:szCs w:val="21"/>
                <w:highlight w:val="none"/>
              </w:rPr>
              <w:t>www.creditchina.gov.cn</w:t>
            </w:r>
            <w:r>
              <w:rPr>
                <w:rFonts w:hint="eastAsia" w:ascii="宋体" w:hAnsi="宋体" w:cs="宋体"/>
                <w:color w:val="auto"/>
                <w:szCs w:val="21"/>
                <w:highlight w:val="none"/>
                <w:lang w:eastAsia="zh-CN"/>
              </w:rPr>
              <w:t>）</w:t>
            </w:r>
            <w:r>
              <w:rPr>
                <w:rFonts w:hint="eastAsia" w:ascii="宋体" w:hAnsi="宋体" w:cs="宋体"/>
                <w:color w:val="auto"/>
                <w:szCs w:val="21"/>
                <w:highlight w:val="none"/>
              </w:rPr>
              <w:t xml:space="preserve"> 、中国政府采购网</w:t>
            </w:r>
            <w:r>
              <w:rPr>
                <w:rFonts w:hint="eastAsia" w:ascii="宋体" w:hAnsi="宋体" w:cs="宋体"/>
                <w:color w:val="auto"/>
                <w:szCs w:val="21"/>
                <w:highlight w:val="none"/>
                <w:lang w:eastAsia="zh-CN"/>
              </w:rPr>
              <w:t>（</w:t>
            </w:r>
            <w:r>
              <w:rPr>
                <w:rFonts w:hint="eastAsia" w:ascii="宋体" w:hAnsi="宋体" w:cs="宋体"/>
                <w:color w:val="auto"/>
                <w:szCs w:val="21"/>
                <w:highlight w:val="none"/>
              </w:rPr>
              <w:t>www.ccgp.gov.cn</w:t>
            </w:r>
            <w:r>
              <w:rPr>
                <w:rFonts w:hint="eastAsia" w:ascii="宋体" w:hAnsi="宋体" w:cs="宋体"/>
                <w:color w:val="auto"/>
                <w:szCs w:val="21"/>
                <w:highlight w:val="none"/>
                <w:lang w:eastAsia="zh-CN"/>
              </w:rPr>
              <w:t>）</w:t>
            </w:r>
            <w:r>
              <w:rPr>
                <w:rFonts w:hint="eastAsia" w:ascii="宋体" w:hAnsi="宋体" w:cs="宋体"/>
                <w:color w:val="auto"/>
                <w:szCs w:val="21"/>
                <w:highlight w:val="none"/>
              </w:rPr>
              <w:t>链接入口。</w:t>
            </w:r>
          </w:p>
          <w:p w14:paraId="3DD49B09">
            <w:pPr>
              <w:spacing w:line="276" w:lineRule="auto"/>
              <w:jc w:val="left"/>
              <w:rPr>
                <w:rFonts w:hint="eastAsia" w:ascii="宋体" w:hAnsi="宋体" w:cs="宋体"/>
                <w:color w:val="auto"/>
                <w:szCs w:val="21"/>
                <w:highlight w:val="none"/>
              </w:rPr>
            </w:pPr>
            <w:r>
              <w:rPr>
                <w:rFonts w:hint="eastAsia" w:ascii="宋体" w:hAnsi="宋体" w:cs="宋体"/>
                <w:color w:val="auto"/>
                <w:szCs w:val="21"/>
                <w:highlight w:val="none"/>
              </w:rPr>
              <w:t>（2）信用查询截止时点：资格审查结束前</w:t>
            </w:r>
          </w:p>
          <w:p w14:paraId="202C8186">
            <w:pPr>
              <w:spacing w:line="276" w:lineRule="auto"/>
              <w:jc w:val="left"/>
              <w:rPr>
                <w:rFonts w:hint="eastAsia" w:ascii="宋体" w:hAnsi="宋体" w:cs="宋体"/>
                <w:color w:val="auto"/>
                <w:szCs w:val="21"/>
                <w:highlight w:val="none"/>
              </w:rPr>
            </w:pPr>
            <w:r>
              <w:rPr>
                <w:rFonts w:hint="eastAsia" w:ascii="宋体" w:hAnsi="宋体" w:cs="宋体"/>
                <w:color w:val="auto"/>
                <w:szCs w:val="21"/>
                <w:highlight w:val="none"/>
              </w:rPr>
              <w:t>（3）查询记录和证据留存方式：在查询网站中直接截图查询记录，截图作为在“广西政府采购云”平台作为附件上传保存。</w:t>
            </w:r>
          </w:p>
          <w:p w14:paraId="5394DEE5">
            <w:pPr>
              <w:spacing w:line="276" w:lineRule="auto"/>
              <w:jc w:val="left"/>
              <w:rPr>
                <w:rFonts w:hint="eastAsia" w:ascii="宋体" w:hAnsi="宋体" w:cs="宋体"/>
                <w:color w:val="auto"/>
                <w:szCs w:val="21"/>
                <w:highlight w:val="none"/>
              </w:rPr>
            </w:pPr>
            <w:r>
              <w:rPr>
                <w:rFonts w:hint="eastAsia" w:ascii="宋体" w:hAnsi="宋体" w:cs="宋体"/>
                <w:color w:val="auto"/>
                <w:szCs w:val="21"/>
                <w:highlight w:val="none"/>
              </w:rPr>
              <w:t>（4）信用信息使用规则：对在“信用中国”网站</w:t>
            </w:r>
            <w:r>
              <w:rPr>
                <w:rFonts w:hint="eastAsia" w:ascii="宋体" w:hAnsi="宋体" w:cs="宋体"/>
                <w:color w:val="auto"/>
                <w:szCs w:val="21"/>
                <w:highlight w:val="none"/>
                <w:lang w:eastAsia="zh-CN"/>
              </w:rPr>
              <w:t>（</w:t>
            </w:r>
            <w:r>
              <w:rPr>
                <w:rFonts w:hint="eastAsia" w:ascii="宋体" w:hAnsi="宋体" w:cs="宋体"/>
                <w:color w:val="auto"/>
                <w:szCs w:val="21"/>
                <w:highlight w:val="none"/>
              </w:rPr>
              <w:t>www.creditchina.gov.cn</w:t>
            </w:r>
            <w:r>
              <w:rPr>
                <w:rFonts w:hint="eastAsia" w:ascii="宋体" w:hAnsi="宋体" w:cs="宋体"/>
                <w:color w:val="auto"/>
                <w:szCs w:val="21"/>
                <w:highlight w:val="none"/>
                <w:lang w:eastAsia="zh-CN"/>
              </w:rPr>
              <w:t>）</w:t>
            </w:r>
            <w:r>
              <w:rPr>
                <w:rFonts w:hint="eastAsia" w:ascii="宋体" w:hAnsi="宋体" w:cs="宋体"/>
                <w:color w:val="auto"/>
                <w:szCs w:val="21"/>
                <w:highlight w:val="none"/>
              </w:rPr>
              <w:t>、中国政府采购网</w:t>
            </w:r>
            <w:r>
              <w:rPr>
                <w:rFonts w:hint="eastAsia" w:ascii="宋体" w:hAnsi="宋体" w:cs="宋体"/>
                <w:color w:val="auto"/>
                <w:szCs w:val="21"/>
                <w:highlight w:val="none"/>
                <w:lang w:eastAsia="zh-CN"/>
              </w:rPr>
              <w:t>（</w:t>
            </w:r>
            <w:r>
              <w:rPr>
                <w:rFonts w:hint="eastAsia" w:ascii="宋体" w:hAnsi="宋体" w:cs="宋体"/>
                <w:color w:val="auto"/>
                <w:szCs w:val="21"/>
                <w:highlight w:val="none"/>
              </w:rPr>
              <w:t>www.ccgp.gov.cn</w:t>
            </w:r>
            <w:r>
              <w:rPr>
                <w:rFonts w:hint="eastAsia" w:ascii="宋体" w:hAnsi="宋体" w:cs="宋体"/>
                <w:color w:val="auto"/>
                <w:szCs w:val="21"/>
                <w:highlight w:val="none"/>
                <w:lang w:eastAsia="zh-CN"/>
              </w:rPr>
              <w:t>）</w:t>
            </w:r>
            <w:r>
              <w:rPr>
                <w:rFonts w:hint="eastAsia" w:ascii="宋体" w:hAnsi="宋体" w:cs="宋体"/>
                <w:color w:val="auto"/>
                <w:szCs w:val="21"/>
                <w:highlight w:val="none"/>
              </w:rPr>
              <w:t>被列入失信被执行人、重大税收违法失信主体、政府采购严重违法失信行为记录名单及其他不符合《中华人民共和国政府采购法》第二十二条规定条件的供应商，采购人或者采购代理机构应当拒绝其参与政府采购活动。两个以上的自然人、法人或者其他组织组成一个联合体，以一个供应商的身份共同参加政府采购活动的，应当对所有联合体成员进行信用记录查询，联合体成员存在不良信用记录的，视同联合体存在不良信用记录。</w:t>
            </w:r>
          </w:p>
        </w:tc>
      </w:tr>
      <w:tr w14:paraId="4A43F8A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90" w:hRule="atLeast"/>
        </w:trPr>
        <w:tc>
          <w:tcPr>
            <w:tcW w:w="1318" w:type="dxa"/>
            <w:tcBorders>
              <w:top w:val="single" w:color="auto" w:sz="4" w:space="0"/>
              <w:left w:val="single" w:color="auto" w:sz="4" w:space="0"/>
              <w:bottom w:val="single" w:color="auto" w:sz="4" w:space="0"/>
              <w:right w:val="single" w:color="auto" w:sz="4" w:space="0"/>
            </w:tcBorders>
            <w:noWrap w:val="0"/>
            <w:vAlign w:val="center"/>
          </w:tcPr>
          <w:p w14:paraId="73FC8A65">
            <w:pPr>
              <w:spacing w:line="300" w:lineRule="exact"/>
              <w:jc w:val="center"/>
              <w:rPr>
                <w:rFonts w:hint="eastAsia" w:ascii="宋体" w:hAnsi="宋体" w:cs="宋体"/>
                <w:b/>
                <w:color w:val="auto"/>
                <w:szCs w:val="21"/>
                <w:highlight w:val="none"/>
              </w:rPr>
            </w:pPr>
            <w:r>
              <w:rPr>
                <w:rFonts w:hint="eastAsia" w:ascii="宋体" w:hAnsi="宋体" w:cs="宋体"/>
                <w:b/>
                <w:color w:val="auto"/>
                <w:szCs w:val="21"/>
                <w:highlight w:val="none"/>
                <w:lang w:val="en-US" w:eastAsia="zh-CN"/>
              </w:rPr>
              <w:t>6.3.5</w:t>
            </w:r>
          </w:p>
        </w:tc>
        <w:tc>
          <w:tcPr>
            <w:tcW w:w="1170" w:type="dxa"/>
            <w:tcBorders>
              <w:top w:val="single" w:color="auto" w:sz="4" w:space="0"/>
              <w:left w:val="single" w:color="auto" w:sz="4" w:space="0"/>
              <w:bottom w:val="single" w:color="auto" w:sz="4" w:space="0"/>
              <w:right w:val="single" w:color="auto" w:sz="4" w:space="0"/>
            </w:tcBorders>
            <w:noWrap w:val="0"/>
            <w:vAlign w:val="center"/>
          </w:tcPr>
          <w:p w14:paraId="51FE0CFA">
            <w:pPr>
              <w:spacing w:line="300" w:lineRule="exact"/>
              <w:jc w:val="center"/>
              <w:rPr>
                <w:rFonts w:hint="eastAsia" w:ascii="宋体" w:hAnsi="宋体" w:cs="宋体"/>
                <w:color w:val="auto"/>
                <w:szCs w:val="20"/>
                <w:highlight w:val="none"/>
              </w:rPr>
            </w:pPr>
            <w:r>
              <w:rPr>
                <w:rFonts w:hint="eastAsia" w:ascii="宋体" w:hAnsi="宋体" w:cs="宋体"/>
                <w:color w:val="auto"/>
                <w:szCs w:val="20"/>
                <w:highlight w:val="none"/>
              </w:rPr>
              <w:t>异常低价审查</w:t>
            </w:r>
          </w:p>
        </w:tc>
        <w:tc>
          <w:tcPr>
            <w:tcW w:w="6690" w:type="dxa"/>
            <w:tcBorders>
              <w:top w:val="single" w:color="auto" w:sz="4" w:space="0"/>
              <w:left w:val="single" w:color="auto" w:sz="4" w:space="0"/>
              <w:bottom w:val="single" w:color="auto" w:sz="4" w:space="0"/>
              <w:right w:val="single" w:color="auto" w:sz="4" w:space="0"/>
            </w:tcBorders>
            <w:noWrap w:val="0"/>
            <w:vAlign w:val="center"/>
          </w:tcPr>
          <w:p w14:paraId="50DADA65">
            <w:pPr>
              <w:spacing w:line="276" w:lineRule="auto"/>
              <w:jc w:val="left"/>
              <w:rPr>
                <w:rFonts w:hint="eastAsia" w:ascii="宋体" w:hAnsi="宋体" w:cs="宋体"/>
                <w:color w:val="auto"/>
                <w:szCs w:val="21"/>
                <w:highlight w:val="none"/>
              </w:rPr>
            </w:pPr>
            <w:r>
              <w:rPr>
                <w:rFonts w:hint="eastAsia" w:ascii="宋体" w:hAnsi="宋体" w:cs="宋体"/>
                <w:color w:val="auto"/>
                <w:sz w:val="22"/>
                <w:szCs w:val="22"/>
                <w:highlight w:val="none"/>
                <w:lang w:eastAsia="zh-CN"/>
              </w:rPr>
              <w:t>☑</w:t>
            </w:r>
            <w:r>
              <w:rPr>
                <w:rFonts w:hint="eastAsia" w:ascii="宋体" w:hAnsi="宋体" w:cs="宋体"/>
                <w:color w:val="auto"/>
                <w:szCs w:val="21"/>
                <w:highlight w:val="none"/>
              </w:rPr>
              <w:t>评审中出现下列情形之一的，评审委员会应当启动异常低价响应审查程序：</w:t>
            </w:r>
          </w:p>
          <w:p w14:paraId="1936525B">
            <w:pPr>
              <w:spacing w:line="276" w:lineRule="auto"/>
              <w:jc w:val="left"/>
              <w:rPr>
                <w:rFonts w:hint="eastAsia" w:ascii="宋体" w:hAnsi="宋体" w:cs="宋体"/>
                <w:color w:val="auto"/>
                <w:szCs w:val="21"/>
                <w:highlight w:val="none"/>
              </w:rPr>
            </w:pPr>
            <w:r>
              <w:rPr>
                <w:rFonts w:hint="eastAsia" w:ascii="宋体" w:hAnsi="宋体" w:cs="宋体"/>
                <w:color w:val="auto"/>
                <w:szCs w:val="21"/>
                <w:highlight w:val="none"/>
              </w:rPr>
              <w:t>（1）投标（响应）报价低于全部通过符合性审查供应商投标（响应）报价平均值50%的，即投标（响应）报价&lt;全部通过符合性审查供应商投标（响应）报价平均值×50%；</w:t>
            </w:r>
          </w:p>
          <w:p w14:paraId="2E3FE7F1">
            <w:pPr>
              <w:spacing w:line="276" w:lineRule="auto"/>
              <w:jc w:val="left"/>
              <w:rPr>
                <w:rFonts w:hint="eastAsia" w:ascii="宋体" w:hAnsi="宋体" w:cs="宋体"/>
                <w:color w:val="auto"/>
                <w:szCs w:val="21"/>
                <w:highlight w:val="none"/>
              </w:rPr>
            </w:pPr>
            <w:r>
              <w:rPr>
                <w:rFonts w:hint="eastAsia" w:ascii="宋体" w:hAnsi="宋体" w:cs="宋体"/>
                <w:color w:val="auto"/>
                <w:szCs w:val="21"/>
                <w:highlight w:val="none"/>
              </w:rPr>
              <w:t>（2）投标（响应）报价低于通过符合性审查的次低报价供应商投标（响应）报价50%的，即投标（响应）报价&lt;通过符合性审查的次低报价供应商投标（响应）报价×50%；</w:t>
            </w:r>
          </w:p>
          <w:p w14:paraId="0F708E28">
            <w:pPr>
              <w:spacing w:line="276" w:lineRule="auto"/>
              <w:jc w:val="left"/>
              <w:rPr>
                <w:rFonts w:hint="eastAsia" w:ascii="宋体" w:hAnsi="宋体" w:cs="宋体"/>
                <w:color w:val="auto"/>
                <w:szCs w:val="21"/>
                <w:highlight w:val="none"/>
              </w:rPr>
            </w:pPr>
            <w:r>
              <w:rPr>
                <w:rFonts w:hint="eastAsia" w:ascii="宋体" w:hAnsi="宋体" w:cs="宋体"/>
                <w:color w:val="auto"/>
                <w:szCs w:val="21"/>
                <w:highlight w:val="none"/>
              </w:rPr>
              <w:t>（3）投标（响应）报价低于采购项目最高限价45%的，即投标（响应）报价&lt;采购项目最高限价×45%；</w:t>
            </w:r>
          </w:p>
          <w:p w14:paraId="087EC8C5">
            <w:pPr>
              <w:spacing w:line="276" w:lineRule="auto"/>
              <w:jc w:val="left"/>
              <w:rPr>
                <w:rFonts w:hint="eastAsia" w:ascii="宋体" w:hAnsi="宋体" w:cs="宋体"/>
                <w:color w:val="auto"/>
                <w:szCs w:val="21"/>
                <w:highlight w:val="none"/>
              </w:rPr>
            </w:pPr>
            <w:r>
              <w:rPr>
                <w:rFonts w:hint="eastAsia" w:ascii="宋体" w:hAnsi="宋体" w:cs="宋体"/>
                <w:color w:val="auto"/>
                <w:szCs w:val="21"/>
                <w:highlight w:val="none"/>
              </w:rPr>
              <w:t>（4）评审委员会基于专业判断，认为供应商报价过低，有可能影响产品质量或者不能诚信履约的其他情形。</w:t>
            </w:r>
          </w:p>
          <w:p w14:paraId="1983E41C">
            <w:pPr>
              <w:spacing w:line="276" w:lineRule="auto"/>
              <w:jc w:val="left"/>
              <w:rPr>
                <w:rFonts w:hint="eastAsia" w:ascii="宋体" w:hAnsi="宋体" w:cs="宋体"/>
                <w:color w:val="auto"/>
                <w:szCs w:val="21"/>
                <w:highlight w:val="none"/>
              </w:rPr>
            </w:pPr>
            <w:r>
              <w:rPr>
                <w:rFonts w:hint="eastAsia" w:ascii="宋体" w:hAnsi="宋体" w:cs="宋体"/>
                <w:color w:val="auto"/>
                <w:szCs w:val="21"/>
                <w:highlight w:val="none"/>
                <w:lang w:eastAsia="zh-CN"/>
              </w:rPr>
              <w:t>□</w:t>
            </w:r>
            <w:r>
              <w:rPr>
                <w:rFonts w:hint="eastAsia" w:ascii="宋体" w:hAnsi="宋体" w:cs="宋体"/>
                <w:color w:val="auto"/>
                <w:szCs w:val="21"/>
                <w:highlight w:val="none"/>
              </w:rPr>
              <w:t>评审中出现下列情形之一的，评审委员会应当启动异常低价响应审查程序：</w:t>
            </w:r>
          </w:p>
          <w:p w14:paraId="030D6796">
            <w:pPr>
              <w:spacing w:line="276" w:lineRule="auto"/>
              <w:jc w:val="left"/>
              <w:rPr>
                <w:rFonts w:hint="eastAsia" w:ascii="宋体" w:hAnsi="宋体" w:cs="宋体"/>
                <w:color w:val="auto"/>
                <w:szCs w:val="21"/>
                <w:highlight w:val="none"/>
              </w:rPr>
            </w:pPr>
            <w:r>
              <w:rPr>
                <w:rFonts w:hint="eastAsia" w:ascii="宋体" w:hAnsi="宋体" w:cs="宋体"/>
                <w:color w:val="auto"/>
                <w:szCs w:val="21"/>
                <w:highlight w:val="none"/>
              </w:rPr>
              <w:t>（1）投标（响应）报价低于全部通过符合性审查供应商投标（响应）报价平均值</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lang w:val="en-US" w:eastAsia="zh-CN"/>
              </w:rPr>
              <w:t xml:space="preserve">/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%的，即投标（响应）报价&lt;全部通过符合性审查供应商投标（响应）报价平均值×</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lang w:val="en-US" w:eastAsia="zh-CN"/>
              </w:rPr>
              <w:t xml:space="preserve">/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14:paraId="1E3438B9">
            <w:pPr>
              <w:spacing w:line="276" w:lineRule="auto"/>
              <w:jc w:val="left"/>
              <w:rPr>
                <w:rFonts w:hint="eastAsia" w:ascii="宋体" w:hAnsi="宋体" w:cs="宋体"/>
                <w:color w:val="auto"/>
                <w:szCs w:val="21"/>
                <w:highlight w:val="none"/>
              </w:rPr>
            </w:pPr>
            <w:r>
              <w:rPr>
                <w:rFonts w:hint="eastAsia" w:ascii="宋体" w:hAnsi="宋体" w:cs="宋体"/>
                <w:color w:val="auto"/>
                <w:szCs w:val="21"/>
                <w:highlight w:val="none"/>
              </w:rPr>
              <w:t>（2）投标（响应）报价低于通过符合性审查的次低报价供应商投标（响应）报价</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lang w:val="en-US" w:eastAsia="zh-CN"/>
              </w:rPr>
              <w:t xml:space="preserve">/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%的，即投标（响应）报价&lt;通过符合性审查的次低报价供应商投标（响应）报价×</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lang w:val="en-US" w:eastAsia="zh-CN"/>
              </w:rPr>
              <w:t xml:space="preserve">/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14:paraId="18F0F379">
            <w:pPr>
              <w:spacing w:line="276" w:lineRule="auto"/>
              <w:jc w:val="left"/>
              <w:rPr>
                <w:rFonts w:hint="eastAsia" w:ascii="宋体" w:hAnsi="宋体" w:cs="宋体"/>
                <w:color w:val="auto"/>
                <w:szCs w:val="21"/>
                <w:highlight w:val="none"/>
              </w:rPr>
            </w:pPr>
            <w:r>
              <w:rPr>
                <w:rFonts w:hint="eastAsia" w:ascii="宋体" w:hAnsi="宋体" w:cs="宋体"/>
                <w:color w:val="auto"/>
                <w:szCs w:val="21"/>
                <w:highlight w:val="none"/>
              </w:rPr>
              <w:t>（3）投标（响应）报价低于采购项目最高限价</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lang w:val="en-US" w:eastAsia="zh-CN"/>
              </w:rPr>
              <w:t xml:space="preserve">/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%的，即投标（响应）报价&lt;采购项目最高限价×</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lang w:val="en-US" w:eastAsia="zh-CN"/>
              </w:rPr>
              <w:t xml:space="preserve">/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14:paraId="39446FB1">
            <w:pPr>
              <w:spacing w:line="276" w:lineRule="auto"/>
              <w:jc w:val="left"/>
              <w:rPr>
                <w:rFonts w:hint="eastAsia" w:ascii="宋体" w:hAnsi="宋体" w:cs="宋体"/>
                <w:color w:val="auto"/>
                <w:szCs w:val="21"/>
                <w:highlight w:val="none"/>
              </w:rPr>
            </w:pPr>
            <w:r>
              <w:rPr>
                <w:rFonts w:hint="eastAsia" w:ascii="宋体" w:hAnsi="宋体" w:cs="宋体"/>
                <w:color w:val="auto"/>
                <w:szCs w:val="21"/>
                <w:highlight w:val="none"/>
              </w:rPr>
              <w:t>（4）评审委员会基于专业判断，认为供应商报价过低，有可能影响产品质量或者不能诚信履约的其他情形。</w:t>
            </w:r>
          </w:p>
        </w:tc>
      </w:tr>
      <w:tr w14:paraId="0B4DEB2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90" w:hRule="atLeast"/>
        </w:trPr>
        <w:tc>
          <w:tcPr>
            <w:tcW w:w="1318" w:type="dxa"/>
            <w:tcBorders>
              <w:top w:val="single" w:color="auto" w:sz="4" w:space="0"/>
              <w:left w:val="single" w:color="auto" w:sz="4" w:space="0"/>
              <w:bottom w:val="single" w:color="auto" w:sz="4" w:space="0"/>
              <w:right w:val="single" w:color="auto" w:sz="4" w:space="0"/>
            </w:tcBorders>
            <w:noWrap w:val="0"/>
            <w:vAlign w:val="center"/>
          </w:tcPr>
          <w:p w14:paraId="23B44464">
            <w:pPr>
              <w:spacing w:line="300" w:lineRule="exact"/>
              <w:jc w:val="center"/>
              <w:rPr>
                <w:rFonts w:hint="eastAsia" w:ascii="宋体" w:hAnsi="宋体" w:cs="宋体"/>
                <w:b/>
                <w:color w:val="auto"/>
                <w:szCs w:val="21"/>
                <w:highlight w:val="none"/>
              </w:rPr>
            </w:pPr>
            <w:r>
              <w:rPr>
                <w:rFonts w:hint="eastAsia" w:ascii="宋体" w:hAnsi="宋体" w:cs="宋体"/>
                <w:b/>
                <w:color w:val="auto"/>
                <w:szCs w:val="21"/>
                <w:highlight w:val="none"/>
              </w:rPr>
              <w:t>6.5.1</w:t>
            </w:r>
          </w:p>
        </w:tc>
        <w:tc>
          <w:tcPr>
            <w:tcW w:w="1170" w:type="dxa"/>
            <w:tcBorders>
              <w:top w:val="single" w:color="auto" w:sz="4" w:space="0"/>
              <w:left w:val="single" w:color="auto" w:sz="4" w:space="0"/>
              <w:bottom w:val="single" w:color="auto" w:sz="4" w:space="0"/>
              <w:right w:val="single" w:color="auto" w:sz="4" w:space="0"/>
            </w:tcBorders>
            <w:noWrap w:val="0"/>
            <w:vAlign w:val="center"/>
          </w:tcPr>
          <w:p w14:paraId="27B68E5D">
            <w:pPr>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结果公告</w:t>
            </w:r>
          </w:p>
        </w:tc>
        <w:tc>
          <w:tcPr>
            <w:tcW w:w="6690" w:type="dxa"/>
            <w:tcBorders>
              <w:top w:val="single" w:color="auto" w:sz="4" w:space="0"/>
              <w:left w:val="single" w:color="auto" w:sz="4" w:space="0"/>
              <w:bottom w:val="single" w:color="auto" w:sz="4" w:space="0"/>
              <w:right w:val="single" w:color="auto" w:sz="4" w:space="0"/>
            </w:tcBorders>
            <w:noWrap w:val="0"/>
            <w:vAlign w:val="center"/>
          </w:tcPr>
          <w:p w14:paraId="40581DE3">
            <w:pPr>
              <w:spacing w:line="300" w:lineRule="exact"/>
              <w:jc w:val="left"/>
              <w:rPr>
                <w:rFonts w:hint="eastAsia" w:ascii="宋体" w:hAnsi="宋体" w:cs="宋体"/>
                <w:color w:val="auto"/>
                <w:szCs w:val="21"/>
                <w:highlight w:val="none"/>
              </w:rPr>
            </w:pPr>
            <w:r>
              <w:rPr>
                <w:rFonts w:hint="eastAsia" w:ascii="宋体" w:hAnsi="宋体" w:cs="宋体"/>
                <w:color w:val="auto"/>
                <w:szCs w:val="21"/>
                <w:highlight w:val="none"/>
              </w:rPr>
              <w:t>采购代理机构在采购人依法确认成交供应商后2个工作日内在磋商公告发布的媒体上发布结果公告。</w:t>
            </w:r>
          </w:p>
        </w:tc>
      </w:tr>
      <w:tr w14:paraId="6AF885B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90" w:hRule="atLeast"/>
        </w:trPr>
        <w:tc>
          <w:tcPr>
            <w:tcW w:w="1318" w:type="dxa"/>
            <w:tcBorders>
              <w:top w:val="single" w:color="auto" w:sz="4" w:space="0"/>
              <w:left w:val="single" w:color="auto" w:sz="4" w:space="0"/>
              <w:bottom w:val="single" w:color="auto" w:sz="4" w:space="0"/>
              <w:right w:val="single" w:color="auto" w:sz="4" w:space="0"/>
            </w:tcBorders>
            <w:noWrap w:val="0"/>
            <w:vAlign w:val="center"/>
          </w:tcPr>
          <w:p w14:paraId="1E4FDC33">
            <w:pPr>
              <w:spacing w:line="300" w:lineRule="exact"/>
              <w:jc w:val="center"/>
              <w:rPr>
                <w:rFonts w:hint="eastAsia" w:ascii="宋体" w:hAnsi="宋体" w:cs="宋体"/>
                <w:b/>
                <w:color w:val="auto"/>
                <w:szCs w:val="21"/>
                <w:highlight w:val="none"/>
              </w:rPr>
            </w:pPr>
            <w:r>
              <w:rPr>
                <w:rFonts w:hint="eastAsia" w:ascii="宋体" w:hAnsi="宋体" w:cs="宋体"/>
                <w:b/>
                <w:color w:val="auto"/>
                <w:szCs w:val="21"/>
                <w:highlight w:val="none"/>
              </w:rPr>
              <w:t>6.5.2</w:t>
            </w:r>
          </w:p>
        </w:tc>
        <w:tc>
          <w:tcPr>
            <w:tcW w:w="1170" w:type="dxa"/>
            <w:tcBorders>
              <w:top w:val="single" w:color="auto" w:sz="4" w:space="0"/>
              <w:left w:val="single" w:color="auto" w:sz="4" w:space="0"/>
              <w:bottom w:val="single" w:color="auto" w:sz="4" w:space="0"/>
              <w:right w:val="single" w:color="auto" w:sz="4" w:space="0"/>
            </w:tcBorders>
            <w:noWrap w:val="0"/>
            <w:vAlign w:val="center"/>
          </w:tcPr>
          <w:p w14:paraId="5AE5E8C7">
            <w:pPr>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成交通知书</w:t>
            </w:r>
          </w:p>
        </w:tc>
        <w:tc>
          <w:tcPr>
            <w:tcW w:w="6690" w:type="dxa"/>
            <w:tcBorders>
              <w:top w:val="single" w:color="auto" w:sz="4" w:space="0"/>
              <w:left w:val="single" w:color="auto" w:sz="4" w:space="0"/>
              <w:bottom w:val="single" w:color="auto" w:sz="4" w:space="0"/>
              <w:right w:val="single" w:color="auto" w:sz="4" w:space="0"/>
            </w:tcBorders>
            <w:noWrap w:val="0"/>
            <w:vAlign w:val="center"/>
          </w:tcPr>
          <w:p w14:paraId="7E3809F7">
            <w:pPr>
              <w:spacing w:line="300" w:lineRule="exact"/>
              <w:jc w:val="left"/>
              <w:rPr>
                <w:rFonts w:hint="eastAsia" w:ascii="宋体" w:hAnsi="宋体" w:cs="宋体"/>
                <w:color w:val="auto"/>
                <w:szCs w:val="21"/>
                <w:highlight w:val="none"/>
              </w:rPr>
            </w:pPr>
            <w:r>
              <w:rPr>
                <w:rFonts w:hint="eastAsia" w:ascii="宋体" w:hAnsi="宋体" w:cs="宋体"/>
                <w:color w:val="auto"/>
                <w:szCs w:val="21"/>
                <w:highlight w:val="none"/>
              </w:rPr>
              <w:t>采购代理机构通过广西政府采购云平台发出成交通知书。</w:t>
            </w:r>
          </w:p>
          <w:p w14:paraId="4B3D0388">
            <w:pPr>
              <w:spacing w:line="300" w:lineRule="exact"/>
              <w:jc w:val="left"/>
              <w:rPr>
                <w:rFonts w:hint="eastAsia" w:ascii="宋体" w:hAnsi="宋体" w:cs="宋体"/>
                <w:color w:val="auto"/>
                <w:szCs w:val="21"/>
                <w:highlight w:val="none"/>
              </w:rPr>
            </w:pPr>
            <w:r>
              <w:rPr>
                <w:rFonts w:hint="eastAsia" w:ascii="宋体" w:hAnsi="宋体" w:cs="宋体"/>
                <w:color w:val="auto"/>
                <w:szCs w:val="21"/>
                <w:highlight w:val="none"/>
              </w:rPr>
              <w:t>成交通知书在广西政府采购云平台推送之日起，视为成交供应商已收到，成交供应商自行承担未及时查收的后果。</w:t>
            </w:r>
          </w:p>
        </w:tc>
      </w:tr>
      <w:tr w14:paraId="778BA28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90" w:hRule="atLeast"/>
        </w:trPr>
        <w:tc>
          <w:tcPr>
            <w:tcW w:w="1318" w:type="dxa"/>
            <w:tcBorders>
              <w:top w:val="single" w:color="auto" w:sz="4" w:space="0"/>
              <w:left w:val="single" w:color="auto" w:sz="4" w:space="0"/>
              <w:bottom w:val="single" w:color="auto" w:sz="4" w:space="0"/>
              <w:right w:val="single" w:color="auto" w:sz="4" w:space="0"/>
            </w:tcBorders>
            <w:noWrap w:val="0"/>
            <w:vAlign w:val="center"/>
          </w:tcPr>
          <w:p w14:paraId="44073A29">
            <w:pPr>
              <w:spacing w:line="300" w:lineRule="exact"/>
              <w:jc w:val="center"/>
              <w:rPr>
                <w:rFonts w:hint="eastAsia" w:ascii="宋体" w:hAnsi="宋体" w:cs="宋体"/>
                <w:b/>
                <w:color w:val="auto"/>
                <w:szCs w:val="21"/>
                <w:highlight w:val="none"/>
              </w:rPr>
            </w:pPr>
            <w:r>
              <w:rPr>
                <w:rFonts w:hint="eastAsia" w:ascii="宋体" w:hAnsi="宋体" w:cs="宋体"/>
                <w:b/>
                <w:color w:val="auto"/>
                <w:szCs w:val="21"/>
                <w:highlight w:val="none"/>
              </w:rPr>
              <w:t>7.2</w:t>
            </w:r>
          </w:p>
        </w:tc>
        <w:tc>
          <w:tcPr>
            <w:tcW w:w="1170" w:type="dxa"/>
            <w:tcBorders>
              <w:top w:val="single" w:color="auto" w:sz="4" w:space="0"/>
              <w:left w:val="single" w:color="auto" w:sz="4" w:space="0"/>
              <w:bottom w:val="single" w:color="auto" w:sz="4" w:space="0"/>
              <w:right w:val="single" w:color="auto" w:sz="4" w:space="0"/>
            </w:tcBorders>
            <w:noWrap w:val="0"/>
            <w:vAlign w:val="center"/>
          </w:tcPr>
          <w:p w14:paraId="5B183F96">
            <w:pPr>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合同签订</w:t>
            </w:r>
          </w:p>
        </w:tc>
        <w:tc>
          <w:tcPr>
            <w:tcW w:w="6690" w:type="dxa"/>
            <w:tcBorders>
              <w:top w:val="single" w:color="auto" w:sz="4" w:space="0"/>
              <w:left w:val="single" w:color="auto" w:sz="4" w:space="0"/>
              <w:bottom w:val="single" w:color="auto" w:sz="4" w:space="0"/>
              <w:right w:val="single" w:color="auto" w:sz="4" w:space="0"/>
            </w:tcBorders>
            <w:noWrap w:val="0"/>
            <w:vAlign w:val="center"/>
          </w:tcPr>
          <w:p w14:paraId="72046034">
            <w:pPr>
              <w:rPr>
                <w:rFonts w:hint="eastAsia" w:ascii="宋体" w:hAnsi="宋体" w:cs="宋体"/>
                <w:color w:val="auto"/>
                <w:szCs w:val="21"/>
                <w:highlight w:val="none"/>
              </w:rPr>
            </w:pPr>
            <w:r>
              <w:rPr>
                <w:rFonts w:hint="eastAsia" w:ascii="宋体" w:hAnsi="宋体" w:cs="宋体"/>
                <w:color w:val="auto"/>
                <w:szCs w:val="21"/>
                <w:highlight w:val="none"/>
              </w:rPr>
              <w:t>采购人应当自成交通知书发出之日起15日内，按照采购文件和成交供应商响应文件的规定，与成交供应商签订书面合同。</w:t>
            </w:r>
          </w:p>
        </w:tc>
      </w:tr>
      <w:tr w14:paraId="60CDCB7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1318" w:type="dxa"/>
            <w:tcBorders>
              <w:top w:val="single" w:color="auto" w:sz="4" w:space="0"/>
              <w:left w:val="single" w:color="auto" w:sz="4" w:space="0"/>
              <w:bottom w:val="single" w:color="auto" w:sz="4" w:space="0"/>
              <w:right w:val="single" w:color="auto" w:sz="4" w:space="0"/>
            </w:tcBorders>
            <w:noWrap w:val="0"/>
            <w:vAlign w:val="center"/>
          </w:tcPr>
          <w:p w14:paraId="11BBD848">
            <w:pPr>
              <w:spacing w:line="300" w:lineRule="exact"/>
              <w:jc w:val="center"/>
              <w:rPr>
                <w:rFonts w:hint="eastAsia" w:ascii="宋体" w:hAnsi="宋体" w:cs="宋体"/>
                <w:b/>
                <w:color w:val="auto"/>
                <w:szCs w:val="21"/>
                <w:highlight w:val="none"/>
              </w:rPr>
            </w:pPr>
            <w:r>
              <w:rPr>
                <w:rFonts w:hint="eastAsia" w:ascii="宋体" w:hAnsi="宋体" w:cs="宋体"/>
                <w:b/>
                <w:color w:val="auto"/>
                <w:szCs w:val="21"/>
                <w:highlight w:val="none"/>
              </w:rPr>
              <w:t>8.1</w:t>
            </w:r>
          </w:p>
        </w:tc>
        <w:tc>
          <w:tcPr>
            <w:tcW w:w="1170" w:type="dxa"/>
            <w:tcBorders>
              <w:top w:val="single" w:color="auto" w:sz="4" w:space="0"/>
              <w:left w:val="single" w:color="auto" w:sz="4" w:space="0"/>
              <w:bottom w:val="single" w:color="auto" w:sz="4" w:space="0"/>
              <w:right w:val="single" w:color="auto" w:sz="4" w:space="0"/>
            </w:tcBorders>
            <w:noWrap w:val="0"/>
            <w:vAlign w:val="center"/>
          </w:tcPr>
          <w:p w14:paraId="67C9A3B3">
            <w:pPr>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质疑</w:t>
            </w:r>
          </w:p>
        </w:tc>
        <w:tc>
          <w:tcPr>
            <w:tcW w:w="6690" w:type="dxa"/>
            <w:tcBorders>
              <w:top w:val="single" w:color="auto" w:sz="4" w:space="0"/>
              <w:left w:val="single" w:color="auto" w:sz="4" w:space="0"/>
              <w:bottom w:val="single" w:color="auto" w:sz="4" w:space="0"/>
              <w:right w:val="single" w:color="auto" w:sz="4" w:space="0"/>
            </w:tcBorders>
            <w:noWrap w:val="0"/>
            <w:vAlign w:val="center"/>
          </w:tcPr>
          <w:p w14:paraId="7FE05268">
            <w:pPr>
              <w:spacing w:line="300" w:lineRule="exact"/>
              <w:jc w:val="left"/>
              <w:rPr>
                <w:rFonts w:hint="eastAsia" w:ascii="宋体" w:hAnsi="宋体" w:cs="宋体"/>
                <w:color w:val="auto"/>
                <w:szCs w:val="21"/>
                <w:highlight w:val="none"/>
              </w:rPr>
            </w:pPr>
            <w:r>
              <w:rPr>
                <w:rFonts w:hint="eastAsia" w:ascii="宋体" w:hAnsi="宋体" w:cs="宋体"/>
                <w:color w:val="auto"/>
                <w:szCs w:val="21"/>
                <w:highlight w:val="none"/>
              </w:rPr>
              <w:t>（1）供应商认为采购文件、采购过程、中标或者成交结果使自己的权益受到损害的，可以在知道或者应知其权益受到损害之日起7个工作日内，通过以下方式向采购人、采购代理机构提出质疑。提出质疑的供应商必须是参与本项目采购活动的供应商，并须在法定质疑期内一次性提出针对同一采购程序环节的质疑。质疑函应使用财政部发布的政府采购供应商质疑函范本，并应按照“质疑函制作说明”进行制作。</w:t>
            </w:r>
          </w:p>
          <w:p w14:paraId="62A68F74">
            <w:pPr>
              <w:spacing w:line="300" w:lineRule="exact"/>
              <w:jc w:val="left"/>
              <w:rPr>
                <w:rFonts w:hint="eastAsia" w:ascii="宋体" w:hAnsi="宋体" w:cs="宋体"/>
                <w:color w:val="auto"/>
                <w:szCs w:val="21"/>
                <w:highlight w:val="none"/>
              </w:rPr>
            </w:pPr>
            <w:r>
              <w:rPr>
                <w:rFonts w:hint="eastAsia" w:ascii="宋体" w:hAnsi="宋体" w:cs="宋体"/>
                <w:color w:val="auto"/>
                <w:szCs w:val="21"/>
                <w:highlight w:val="none"/>
              </w:rPr>
              <w:t>（2）本项目不接受传真、移动通信、广西政府采购云平台等方式送达的质疑材料，供应商可通过现场或邮寄方式递交书面质疑材料。供应商应于质疑有效期内将质疑函原件递交或邮寄至磋商公告中采购代理机构信息中的联系人。</w:t>
            </w:r>
          </w:p>
        </w:tc>
      </w:tr>
      <w:tr w14:paraId="212ACD6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318" w:type="dxa"/>
            <w:tcBorders>
              <w:top w:val="single" w:color="auto" w:sz="4" w:space="0"/>
              <w:left w:val="single" w:color="auto" w:sz="4" w:space="0"/>
              <w:bottom w:val="single" w:color="auto" w:sz="4" w:space="0"/>
              <w:right w:val="single" w:color="auto" w:sz="4" w:space="0"/>
            </w:tcBorders>
            <w:noWrap w:val="0"/>
            <w:vAlign w:val="center"/>
          </w:tcPr>
          <w:p w14:paraId="5E5DA83F">
            <w:pPr>
              <w:spacing w:line="300" w:lineRule="exact"/>
              <w:jc w:val="center"/>
              <w:rPr>
                <w:rFonts w:hint="eastAsia" w:ascii="宋体" w:hAnsi="宋体" w:cs="宋体"/>
                <w:color w:val="auto"/>
                <w:szCs w:val="21"/>
                <w:highlight w:val="none"/>
              </w:rPr>
            </w:pPr>
            <w:r>
              <w:rPr>
                <w:rFonts w:hint="eastAsia" w:ascii="宋体" w:hAnsi="宋体" w:cs="宋体"/>
                <w:b/>
                <w:color w:val="auto"/>
                <w:szCs w:val="21"/>
                <w:highlight w:val="none"/>
              </w:rPr>
              <w:t>9.1</w:t>
            </w:r>
          </w:p>
        </w:tc>
        <w:tc>
          <w:tcPr>
            <w:tcW w:w="1170" w:type="dxa"/>
            <w:tcBorders>
              <w:top w:val="single" w:color="auto" w:sz="4" w:space="0"/>
              <w:left w:val="single" w:color="auto" w:sz="4" w:space="0"/>
              <w:bottom w:val="single" w:color="auto" w:sz="4" w:space="0"/>
              <w:right w:val="single" w:color="auto" w:sz="4" w:space="0"/>
            </w:tcBorders>
            <w:noWrap w:val="0"/>
            <w:vAlign w:val="center"/>
          </w:tcPr>
          <w:p w14:paraId="780200A8">
            <w:pPr>
              <w:spacing w:line="300" w:lineRule="exact"/>
              <w:jc w:val="center"/>
              <w:rPr>
                <w:rFonts w:hint="eastAsia" w:ascii="宋体" w:hAnsi="宋体" w:cs="宋体"/>
                <w:color w:val="auto"/>
                <w:szCs w:val="21"/>
                <w:highlight w:val="none"/>
              </w:rPr>
            </w:pPr>
            <w:r>
              <w:rPr>
                <w:rFonts w:hint="eastAsia" w:ascii="宋体" w:hAnsi="宋体" w:cs="宋体"/>
                <w:color w:val="auto"/>
                <w:szCs w:val="20"/>
                <w:highlight w:val="none"/>
              </w:rPr>
              <w:t>代理服务费</w:t>
            </w:r>
          </w:p>
        </w:tc>
        <w:tc>
          <w:tcPr>
            <w:tcW w:w="6690" w:type="dxa"/>
            <w:tcBorders>
              <w:top w:val="single" w:color="auto" w:sz="4" w:space="0"/>
              <w:left w:val="single" w:color="auto" w:sz="4" w:space="0"/>
              <w:bottom w:val="single" w:color="auto" w:sz="4" w:space="0"/>
              <w:right w:val="single" w:color="auto" w:sz="4" w:space="0"/>
            </w:tcBorders>
            <w:noWrap w:val="0"/>
            <w:vAlign w:val="center"/>
          </w:tcPr>
          <w:p w14:paraId="4BB4C393">
            <w:pPr>
              <w:rPr>
                <w:rFonts w:hint="eastAsia" w:ascii="宋体" w:hAnsi="宋体" w:cs="宋体"/>
                <w:color w:val="auto"/>
                <w:szCs w:val="21"/>
                <w:highlight w:val="none"/>
              </w:rPr>
            </w:pPr>
            <w:r>
              <w:rPr>
                <w:rFonts w:hint="eastAsia" w:ascii="宋体" w:hAnsi="宋体" w:cs="宋体"/>
                <w:color w:val="auto"/>
                <w:szCs w:val="21"/>
                <w:highlight w:val="none"/>
              </w:rPr>
              <w:t>（1）代理服务费</w:t>
            </w:r>
          </w:p>
          <w:p w14:paraId="570D058C">
            <w:pPr>
              <w:spacing w:line="300" w:lineRule="exact"/>
              <w:jc w:val="left"/>
              <w:rPr>
                <w:rFonts w:hint="eastAsia" w:ascii="宋体" w:hAnsi="宋体" w:cs="宋体"/>
                <w:color w:val="auto"/>
                <w:szCs w:val="21"/>
                <w:highlight w:val="none"/>
              </w:rPr>
            </w:pPr>
            <w:r>
              <w:rPr>
                <w:rFonts w:hint="eastAsia" w:ascii="宋体" w:hAnsi="宋体" w:cs="宋体"/>
                <w:color w:val="auto"/>
                <w:sz w:val="22"/>
                <w:szCs w:val="22"/>
                <w:highlight w:val="none"/>
                <w:lang w:eastAsia="zh-CN"/>
              </w:rPr>
              <w:t>☑</w:t>
            </w:r>
            <w:r>
              <w:rPr>
                <w:rFonts w:hint="eastAsia" w:ascii="宋体" w:hAnsi="宋体" w:cs="宋体"/>
                <w:color w:val="auto"/>
                <w:szCs w:val="21"/>
                <w:highlight w:val="none"/>
              </w:rPr>
              <w:t>采购代理机构向</w:t>
            </w:r>
            <w:r>
              <w:rPr>
                <w:rFonts w:hint="eastAsia" w:ascii="宋体" w:hAnsi="宋体" w:cs="宋体"/>
                <w:color w:val="auto"/>
                <w:szCs w:val="21"/>
                <w:highlight w:val="none"/>
                <w:lang w:eastAsia="zh-CN"/>
              </w:rPr>
              <w:t>成交供应商</w:t>
            </w:r>
            <w:r>
              <w:rPr>
                <w:rFonts w:hint="eastAsia" w:ascii="宋体" w:hAnsi="宋体" w:cs="宋体"/>
                <w:color w:val="auto"/>
                <w:szCs w:val="21"/>
                <w:highlight w:val="none"/>
              </w:rPr>
              <w:t>收取代理服务费。本项目代理服务费按照《招标代理服务费管</w:t>
            </w:r>
            <w:r>
              <w:rPr>
                <w:rFonts w:hint="eastAsia" w:ascii="宋体" w:hAnsi="宋体" w:eastAsia="宋体" w:cs="宋体"/>
                <w:color w:val="auto"/>
                <w:szCs w:val="21"/>
                <w:highlight w:val="none"/>
              </w:rPr>
              <w:t>理暂行办法》 （计价格﹝2002﹞1980号）、《国家发展改革委关于降低部分建设项目收费标准规范收费行为等有关问题的通知》（发改价格﹝2011﹞534号）的规定采用差额定率累进法</w:t>
            </w:r>
            <w:r>
              <w:rPr>
                <w:rFonts w:hint="eastAsia" w:ascii="宋体" w:hAnsi="宋体" w:eastAsia="宋体" w:cs="宋体"/>
                <w:color w:val="auto"/>
                <w:szCs w:val="21"/>
                <w:highlight w:val="none"/>
                <w:lang w:val="en-US" w:eastAsia="zh-CN"/>
              </w:rPr>
              <w:t>计取</w:t>
            </w:r>
            <w:r>
              <w:rPr>
                <w:rFonts w:hint="eastAsia" w:ascii="宋体" w:hAnsi="宋体" w:eastAsia="宋体" w:cs="宋体"/>
                <w:color w:val="auto"/>
                <w:szCs w:val="21"/>
                <w:highlight w:val="none"/>
              </w:rPr>
              <w:t>。具体费率如下：</w:t>
            </w:r>
          </w:p>
          <w:p w14:paraId="2547CD4F">
            <w:pPr>
              <w:spacing w:line="300" w:lineRule="exact"/>
              <w:jc w:val="left"/>
              <w:rPr>
                <w:rFonts w:hint="eastAsia" w:ascii="宋体" w:hAnsi="宋体" w:cs="宋体"/>
                <w:color w:val="auto"/>
                <w:szCs w:val="21"/>
                <w:highlight w:val="none"/>
              </w:rPr>
            </w:pPr>
            <w:r>
              <w:rPr>
                <w:rFonts w:hint="eastAsia" w:ascii="宋体" w:hAnsi="宋体" w:cs="宋体"/>
                <w:color w:val="auto"/>
                <w:szCs w:val="21"/>
                <w:highlight w:val="none"/>
              </w:rPr>
              <w:t>①成交金额在100万元以下的：</w:t>
            </w:r>
          </w:p>
          <w:p w14:paraId="5A94FD60">
            <w:pPr>
              <w:spacing w:line="300" w:lineRule="exact"/>
              <w:jc w:val="left"/>
              <w:rPr>
                <w:rFonts w:hint="eastAsia" w:ascii="宋体" w:hAnsi="宋体" w:cs="宋体"/>
                <w:color w:val="auto"/>
                <w:szCs w:val="21"/>
                <w:highlight w:val="none"/>
              </w:rPr>
            </w:pPr>
            <w:r>
              <w:rPr>
                <w:rFonts w:hint="eastAsia" w:ascii="宋体" w:hAnsi="宋体" w:cs="宋体"/>
                <w:color w:val="auto"/>
                <w:szCs w:val="21"/>
                <w:highlight w:val="none"/>
              </w:rPr>
              <w:t>货物1.5％；服务招标1.5％；工程招标1.0％；</w:t>
            </w:r>
          </w:p>
          <w:p w14:paraId="70AC531B">
            <w:pPr>
              <w:spacing w:line="300" w:lineRule="exact"/>
              <w:jc w:val="left"/>
              <w:rPr>
                <w:rFonts w:hint="eastAsia" w:ascii="宋体" w:hAnsi="宋体" w:cs="宋体"/>
                <w:color w:val="auto"/>
                <w:szCs w:val="21"/>
                <w:highlight w:val="none"/>
              </w:rPr>
            </w:pPr>
            <w:r>
              <w:rPr>
                <w:rFonts w:hint="eastAsia" w:ascii="宋体" w:hAnsi="宋体" w:cs="宋体"/>
                <w:color w:val="auto"/>
                <w:szCs w:val="21"/>
                <w:highlight w:val="none"/>
              </w:rPr>
              <w:t>②成交金额在100-500万元之间：</w:t>
            </w:r>
          </w:p>
          <w:p w14:paraId="05A6ADA0">
            <w:pPr>
              <w:spacing w:line="300" w:lineRule="exact"/>
              <w:jc w:val="left"/>
              <w:rPr>
                <w:rFonts w:hint="eastAsia" w:ascii="宋体" w:hAnsi="宋体" w:cs="宋体"/>
                <w:color w:val="auto"/>
                <w:szCs w:val="21"/>
                <w:highlight w:val="none"/>
              </w:rPr>
            </w:pPr>
            <w:r>
              <w:rPr>
                <w:rFonts w:hint="eastAsia" w:ascii="宋体" w:hAnsi="宋体" w:cs="宋体"/>
                <w:color w:val="auto"/>
                <w:szCs w:val="21"/>
                <w:highlight w:val="none"/>
              </w:rPr>
              <w:t>货物1.1％；服务招标0.8％；工程招标0.7％；</w:t>
            </w:r>
          </w:p>
          <w:p w14:paraId="5721C869">
            <w:pPr>
              <w:spacing w:line="300" w:lineRule="exact"/>
              <w:jc w:val="left"/>
              <w:rPr>
                <w:rFonts w:hint="eastAsia" w:ascii="宋体" w:hAnsi="宋体" w:cs="宋体"/>
                <w:color w:val="auto"/>
                <w:szCs w:val="21"/>
                <w:highlight w:val="none"/>
              </w:rPr>
            </w:pPr>
            <w:r>
              <w:rPr>
                <w:rFonts w:hint="eastAsia" w:ascii="宋体" w:hAnsi="宋体" w:cs="宋体"/>
                <w:color w:val="auto"/>
                <w:szCs w:val="21"/>
                <w:highlight w:val="none"/>
              </w:rPr>
              <w:t>……</w:t>
            </w:r>
          </w:p>
          <w:p w14:paraId="3F85AF87">
            <w:pPr>
              <w:spacing w:line="300" w:lineRule="exact"/>
              <w:jc w:val="left"/>
              <w:rPr>
                <w:rFonts w:hint="eastAsia" w:ascii="宋体" w:hAnsi="宋体" w:cs="宋体"/>
                <w:color w:val="auto"/>
                <w:szCs w:val="21"/>
                <w:highlight w:val="none"/>
              </w:rPr>
            </w:pPr>
            <w:r>
              <w:rPr>
                <w:rFonts w:hint="eastAsia" w:ascii="宋体" w:hAnsi="宋体" w:cs="宋体"/>
                <w:color w:val="auto"/>
                <w:szCs w:val="21"/>
                <w:highlight w:val="none"/>
              </w:rPr>
              <w:t>差额定率累进法计算过程示例：</w:t>
            </w:r>
          </w:p>
          <w:p w14:paraId="6633349F">
            <w:pPr>
              <w:spacing w:line="360" w:lineRule="exact"/>
              <w:rPr>
                <w:rFonts w:hint="eastAsia" w:ascii="宋体" w:hAnsi="宋体" w:cs="宋体"/>
                <w:color w:val="auto"/>
                <w:kern w:val="0"/>
                <w:szCs w:val="21"/>
                <w:highlight w:val="none"/>
              </w:rPr>
            </w:pPr>
            <w:r>
              <w:rPr>
                <w:rFonts w:hint="eastAsia" w:ascii="宋体" w:hAnsi="宋体" w:cs="宋体"/>
                <w:color w:val="auto"/>
                <w:kern w:val="0"/>
                <w:szCs w:val="21"/>
                <w:highlight w:val="none"/>
              </w:rPr>
              <w:t>例如：某工程代理业务成交金额为300万元，代理服务费金额按如下计算：</w:t>
            </w:r>
          </w:p>
          <w:p w14:paraId="4DFE3F6F">
            <w:pPr>
              <w:spacing w:line="300" w:lineRule="exact"/>
              <w:jc w:val="left"/>
              <w:rPr>
                <w:rFonts w:hint="eastAsia" w:ascii="宋体" w:hAnsi="宋体" w:cs="宋体"/>
                <w:color w:val="auto"/>
                <w:szCs w:val="21"/>
                <w:highlight w:val="none"/>
              </w:rPr>
            </w:pPr>
            <w:r>
              <w:rPr>
                <w:rFonts w:hint="eastAsia" w:ascii="宋体" w:hAnsi="宋体" w:cs="宋体"/>
                <w:color w:val="auto"/>
                <w:szCs w:val="21"/>
                <w:highlight w:val="none"/>
              </w:rPr>
              <w:t>( 300 - 100 ) * 0.007 = 1.4万元</w:t>
            </w:r>
          </w:p>
          <w:p w14:paraId="59315476">
            <w:pPr>
              <w:spacing w:line="300" w:lineRule="exact"/>
              <w:jc w:val="left"/>
              <w:rPr>
                <w:rFonts w:hint="eastAsia" w:ascii="宋体" w:hAnsi="宋体" w:cs="宋体"/>
                <w:color w:val="auto"/>
                <w:szCs w:val="21"/>
                <w:highlight w:val="none"/>
              </w:rPr>
            </w:pPr>
            <w:r>
              <w:rPr>
                <w:rFonts w:hint="eastAsia" w:ascii="宋体" w:hAnsi="宋体" w:cs="宋体"/>
                <w:color w:val="auto"/>
                <w:szCs w:val="21"/>
                <w:highlight w:val="none"/>
              </w:rPr>
              <w:t>100 * 0.01 = 1万元</w:t>
            </w:r>
          </w:p>
          <w:p w14:paraId="452C66E5">
            <w:pPr>
              <w:spacing w:line="300" w:lineRule="exact"/>
              <w:jc w:val="left"/>
              <w:rPr>
                <w:rFonts w:hint="eastAsia" w:ascii="宋体" w:hAnsi="宋体" w:cs="宋体"/>
                <w:color w:val="auto"/>
                <w:szCs w:val="21"/>
                <w:highlight w:val="none"/>
              </w:rPr>
            </w:pPr>
            <w:r>
              <w:rPr>
                <w:rFonts w:hint="eastAsia" w:ascii="宋体" w:hAnsi="宋体" w:cs="宋体"/>
                <w:color w:val="auto"/>
                <w:szCs w:val="21"/>
                <w:highlight w:val="none"/>
              </w:rPr>
              <w:t>合计收费=1.4+1=2.4万元</w:t>
            </w:r>
          </w:p>
          <w:p w14:paraId="625A61F2">
            <w:pPr>
              <w:rPr>
                <w:rFonts w:hint="eastAsia" w:ascii="宋体" w:hAnsi="宋体" w:cs="宋体"/>
                <w:color w:val="auto"/>
                <w:szCs w:val="21"/>
                <w:highlight w:val="none"/>
              </w:rPr>
            </w:pPr>
            <w:r>
              <w:rPr>
                <w:rFonts w:hint="eastAsia" w:ascii="宋体" w:hAnsi="宋体" w:cs="宋体"/>
                <w:color w:val="auto"/>
                <w:szCs w:val="21"/>
                <w:highlight w:val="none"/>
              </w:rPr>
              <w:t>（2）</w:t>
            </w:r>
            <w:r>
              <w:rPr>
                <w:rFonts w:hint="eastAsia" w:ascii="宋体" w:hAnsi="宋体" w:cs="宋体"/>
                <w:color w:val="auto"/>
                <w:szCs w:val="20"/>
                <w:highlight w:val="none"/>
              </w:rPr>
              <w:t>成交供应商</w:t>
            </w:r>
            <w:r>
              <w:rPr>
                <w:rFonts w:hint="eastAsia" w:ascii="宋体" w:hAnsi="宋体" w:cs="宋体"/>
                <w:color w:val="auto"/>
                <w:szCs w:val="21"/>
                <w:highlight w:val="none"/>
              </w:rPr>
              <w:t>在</w:t>
            </w:r>
            <w:r>
              <w:rPr>
                <w:rFonts w:hint="eastAsia" w:ascii="宋体" w:hAnsi="宋体" w:cs="宋体"/>
                <w:color w:val="auto"/>
                <w:szCs w:val="21"/>
                <w:highlight w:val="none"/>
                <w:lang w:eastAsia="zh-CN"/>
              </w:rPr>
              <w:t>领取</w:t>
            </w:r>
            <w:r>
              <w:rPr>
                <w:rFonts w:hint="eastAsia" w:ascii="宋体" w:hAnsi="宋体" w:cs="宋体"/>
                <w:color w:val="auto"/>
                <w:szCs w:val="21"/>
                <w:highlight w:val="none"/>
              </w:rPr>
              <w:t>成交通知书前以银行转账或现金形式支付代理服务费；</w:t>
            </w:r>
          </w:p>
          <w:p w14:paraId="1E8D4949">
            <w:pPr>
              <w:spacing w:line="300" w:lineRule="exact"/>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开户银行：广西北部湾银行南宁市金湖支行</w:t>
            </w:r>
          </w:p>
          <w:p w14:paraId="2CC2EA0A">
            <w:pPr>
              <w:spacing w:line="300" w:lineRule="exact"/>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（银行地址：南宁市金湖路57号文德大厦1楼）</w:t>
            </w:r>
          </w:p>
          <w:p w14:paraId="10901763">
            <w:pPr>
              <w:spacing w:line="300" w:lineRule="exact"/>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开户名称：广西机电设备招标有限公司</w:t>
            </w:r>
          </w:p>
          <w:p w14:paraId="54A661B3">
            <w:pPr>
              <w:spacing w:line="300" w:lineRule="exact"/>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银行账号：1705012090027723 （联行号 313611017053）</w:t>
            </w:r>
          </w:p>
          <w:p w14:paraId="78F0BD28">
            <w:pPr>
              <w:rPr>
                <w:rFonts w:hint="eastAsia" w:ascii="宋体" w:hAnsi="宋体" w:cs="宋体"/>
                <w:color w:val="auto"/>
                <w:szCs w:val="21"/>
                <w:highlight w:val="none"/>
              </w:rPr>
            </w:pPr>
            <w:r>
              <w:rPr>
                <w:rFonts w:hint="eastAsia" w:ascii="宋体" w:hAnsi="宋体" w:cs="宋体"/>
                <w:color w:val="auto"/>
                <w:kern w:val="0"/>
                <w:szCs w:val="21"/>
                <w:highlight w:val="none"/>
              </w:rPr>
              <w:t>财务联系人：吴茜（电话：0771-2821398）</w:t>
            </w:r>
          </w:p>
        </w:tc>
      </w:tr>
      <w:tr w14:paraId="35EC25C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318" w:type="dxa"/>
            <w:vMerge w:val="restart"/>
            <w:tcBorders>
              <w:top w:val="single" w:color="auto" w:sz="4" w:space="0"/>
              <w:left w:val="single" w:color="auto" w:sz="4" w:space="0"/>
              <w:right w:val="single" w:color="auto" w:sz="4" w:space="0"/>
            </w:tcBorders>
            <w:noWrap w:val="0"/>
            <w:vAlign w:val="center"/>
          </w:tcPr>
          <w:p w14:paraId="778856C0">
            <w:pPr>
              <w:spacing w:line="300" w:lineRule="exact"/>
              <w:jc w:val="center"/>
              <w:rPr>
                <w:rFonts w:hint="eastAsia" w:ascii="宋体" w:hAnsi="宋体" w:cs="宋体"/>
                <w:b/>
                <w:color w:val="auto"/>
                <w:szCs w:val="21"/>
                <w:highlight w:val="none"/>
              </w:rPr>
            </w:pPr>
            <w:r>
              <w:rPr>
                <w:rFonts w:hint="eastAsia" w:ascii="宋体" w:hAnsi="宋体" w:cs="宋体"/>
                <w:b/>
                <w:color w:val="auto"/>
                <w:szCs w:val="21"/>
                <w:highlight w:val="none"/>
              </w:rPr>
              <w:t>9.3</w:t>
            </w:r>
          </w:p>
          <w:p w14:paraId="186EB11B">
            <w:pPr>
              <w:spacing w:line="300" w:lineRule="exact"/>
              <w:jc w:val="center"/>
              <w:rPr>
                <w:rFonts w:hint="eastAsia" w:ascii="宋体" w:hAnsi="宋体" w:cs="宋体"/>
                <w:b/>
                <w:color w:val="auto"/>
                <w:szCs w:val="21"/>
                <w:highlight w:val="none"/>
              </w:rPr>
            </w:pPr>
          </w:p>
        </w:tc>
        <w:tc>
          <w:tcPr>
            <w:tcW w:w="1170" w:type="dxa"/>
            <w:tcBorders>
              <w:top w:val="single" w:color="auto" w:sz="4" w:space="0"/>
              <w:left w:val="single" w:color="auto" w:sz="4" w:space="0"/>
              <w:bottom w:val="single" w:color="auto" w:sz="4" w:space="0"/>
              <w:right w:val="single" w:color="auto" w:sz="4" w:space="0"/>
            </w:tcBorders>
            <w:noWrap w:val="0"/>
            <w:vAlign w:val="center"/>
          </w:tcPr>
          <w:p w14:paraId="293EB5F5">
            <w:pPr>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履约保证金</w:t>
            </w:r>
          </w:p>
        </w:tc>
        <w:tc>
          <w:tcPr>
            <w:tcW w:w="6690" w:type="dxa"/>
            <w:tcBorders>
              <w:top w:val="single" w:color="auto" w:sz="4" w:space="0"/>
              <w:left w:val="single" w:color="auto" w:sz="4" w:space="0"/>
              <w:bottom w:val="single" w:color="auto" w:sz="4" w:space="0"/>
              <w:right w:val="single" w:color="auto" w:sz="4" w:space="0"/>
            </w:tcBorders>
            <w:noWrap w:val="0"/>
            <w:vAlign w:val="center"/>
          </w:tcPr>
          <w:p w14:paraId="3B10E829">
            <w:pPr>
              <w:spacing w:line="300" w:lineRule="exact"/>
              <w:jc w:val="left"/>
              <w:rPr>
                <w:rFonts w:hint="eastAsia" w:ascii="宋体" w:hAnsi="宋体" w:cs="宋体"/>
                <w:color w:val="auto"/>
                <w:szCs w:val="21"/>
                <w:highlight w:val="none"/>
              </w:rPr>
            </w:pPr>
            <w:r>
              <w:rPr>
                <w:rFonts w:hint="eastAsia" w:ascii="宋体" w:hAnsi="宋体" w:cs="宋体"/>
                <w:color w:val="auto"/>
                <w:szCs w:val="21"/>
                <w:highlight w:val="none"/>
              </w:rPr>
              <w:t xml:space="preserve">本项目不收取履约保证金 </w:t>
            </w:r>
          </w:p>
        </w:tc>
      </w:tr>
      <w:tr w14:paraId="050856B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318" w:type="dxa"/>
            <w:vMerge w:val="continue"/>
            <w:tcBorders>
              <w:left w:val="single" w:color="auto" w:sz="4" w:space="0"/>
              <w:right w:val="single" w:color="auto" w:sz="4" w:space="0"/>
            </w:tcBorders>
            <w:noWrap w:val="0"/>
            <w:vAlign w:val="center"/>
          </w:tcPr>
          <w:p w14:paraId="406A3F1F">
            <w:pPr>
              <w:spacing w:line="300" w:lineRule="exact"/>
              <w:jc w:val="center"/>
              <w:rPr>
                <w:rFonts w:hint="eastAsia" w:ascii="宋体" w:hAnsi="宋体" w:cs="宋体"/>
                <w:color w:val="auto"/>
                <w:szCs w:val="21"/>
                <w:highlight w:val="none"/>
              </w:rPr>
            </w:pPr>
          </w:p>
        </w:tc>
        <w:tc>
          <w:tcPr>
            <w:tcW w:w="1170" w:type="dxa"/>
            <w:tcBorders>
              <w:top w:val="single" w:color="auto" w:sz="4" w:space="0"/>
              <w:left w:val="single" w:color="auto" w:sz="4" w:space="0"/>
              <w:bottom w:val="single" w:color="auto" w:sz="4" w:space="0"/>
              <w:right w:val="single" w:color="auto" w:sz="4" w:space="0"/>
            </w:tcBorders>
            <w:noWrap w:val="0"/>
            <w:vAlign w:val="center"/>
          </w:tcPr>
          <w:p w14:paraId="07845AE8">
            <w:pPr>
              <w:jc w:val="center"/>
              <w:rPr>
                <w:rFonts w:hint="eastAsia" w:ascii="宋体" w:hAnsi="宋体" w:cs="宋体"/>
                <w:color w:val="auto"/>
                <w:szCs w:val="21"/>
                <w:highlight w:val="none"/>
              </w:rPr>
            </w:pPr>
            <w:r>
              <w:rPr>
                <w:rFonts w:hint="eastAsia" w:ascii="宋体" w:hAnsi="宋体" w:cs="宋体"/>
                <w:color w:val="auto"/>
                <w:szCs w:val="21"/>
                <w:highlight w:val="none"/>
              </w:rPr>
              <w:t>农民工工资保障金</w:t>
            </w:r>
          </w:p>
        </w:tc>
        <w:tc>
          <w:tcPr>
            <w:tcW w:w="6690" w:type="dxa"/>
            <w:tcBorders>
              <w:top w:val="single" w:color="auto" w:sz="4" w:space="0"/>
              <w:left w:val="single" w:color="auto" w:sz="4" w:space="0"/>
              <w:bottom w:val="single" w:color="auto" w:sz="4" w:space="0"/>
              <w:right w:val="single" w:color="auto" w:sz="4" w:space="0"/>
            </w:tcBorders>
            <w:noWrap w:val="0"/>
            <w:vAlign w:val="center"/>
          </w:tcPr>
          <w:p w14:paraId="089D6B7A">
            <w:pPr>
              <w:spacing w:line="300" w:lineRule="exact"/>
              <w:jc w:val="left"/>
              <w:rPr>
                <w:rFonts w:hint="eastAsia" w:ascii="宋体" w:hAnsi="宋体" w:cs="宋体"/>
                <w:color w:val="auto"/>
                <w:szCs w:val="21"/>
                <w:highlight w:val="none"/>
              </w:rPr>
            </w:pPr>
            <w:r>
              <w:rPr>
                <w:rFonts w:hint="eastAsia" w:ascii="宋体" w:hAnsi="宋体" w:cs="宋体"/>
                <w:color w:val="auto"/>
                <w:highlight w:val="none"/>
              </w:rPr>
              <w:t>按广西壮族自治区人力资源和社会保障厅等8部门《关于印发广西壮族自治区工程建设领域农民工工资专用</w:t>
            </w:r>
            <w:r>
              <w:rPr>
                <w:rFonts w:hint="eastAsia" w:ascii="宋体" w:hAnsi="宋体" w:cs="宋体"/>
                <w:color w:val="auto"/>
                <w:highlight w:val="none"/>
                <w:lang w:eastAsia="zh-CN"/>
              </w:rPr>
              <w:t>账户</w:t>
            </w:r>
            <w:r>
              <w:rPr>
                <w:rFonts w:hint="eastAsia" w:ascii="宋体" w:hAnsi="宋体" w:cs="宋体"/>
                <w:color w:val="auto"/>
                <w:highlight w:val="none"/>
              </w:rPr>
              <w:t>管理暂行办法实施细则的通知》（桂人社规[2022]5号）执行，承包人在合同签订之日起30日内，自主选择在自治区行政区域内依法设立或设有分支机构的银行开立专用</w:t>
            </w:r>
            <w:r>
              <w:rPr>
                <w:rFonts w:hint="eastAsia" w:ascii="宋体" w:hAnsi="宋体" w:cs="宋体"/>
                <w:color w:val="auto"/>
                <w:highlight w:val="none"/>
                <w:lang w:eastAsia="zh-CN"/>
              </w:rPr>
              <w:t>账户</w:t>
            </w:r>
            <w:r>
              <w:rPr>
                <w:rFonts w:hint="eastAsia" w:ascii="宋体" w:hAnsi="宋体" w:cs="宋体"/>
                <w:color w:val="auto"/>
                <w:highlight w:val="none"/>
              </w:rPr>
              <w:t>。办理得施工许可证后，按照《关于印发广西壮族自治区工程建设领域农民工工资保证金规定实施办法的通知》桂人社规[2021]16号）缴存保证金，也可以使用银行保函。工程竣工验收结算经审定后，按照规定程序，将农民工工资保证金没有使用或剩余的金额退还给承包人。</w:t>
            </w:r>
          </w:p>
        </w:tc>
      </w:tr>
      <w:tr w14:paraId="4F26475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318" w:type="dxa"/>
            <w:vMerge w:val="continue"/>
            <w:tcBorders>
              <w:left w:val="single" w:color="auto" w:sz="4" w:space="0"/>
              <w:bottom w:val="single" w:color="auto" w:sz="4" w:space="0"/>
              <w:right w:val="single" w:color="auto" w:sz="4" w:space="0"/>
            </w:tcBorders>
            <w:noWrap w:val="0"/>
            <w:vAlign w:val="center"/>
          </w:tcPr>
          <w:p w14:paraId="19EC38EB">
            <w:pPr>
              <w:spacing w:line="300" w:lineRule="exact"/>
              <w:jc w:val="center"/>
              <w:rPr>
                <w:rFonts w:hint="eastAsia" w:ascii="宋体" w:hAnsi="宋体" w:cs="宋体"/>
                <w:b/>
                <w:color w:val="auto"/>
                <w:szCs w:val="21"/>
                <w:highlight w:val="none"/>
              </w:rPr>
            </w:pPr>
          </w:p>
        </w:tc>
        <w:tc>
          <w:tcPr>
            <w:tcW w:w="1170" w:type="dxa"/>
            <w:tcBorders>
              <w:top w:val="single" w:color="auto" w:sz="4" w:space="0"/>
              <w:left w:val="single" w:color="auto" w:sz="4" w:space="0"/>
              <w:bottom w:val="single" w:color="auto" w:sz="4" w:space="0"/>
              <w:right w:val="single" w:color="auto" w:sz="4" w:space="0"/>
            </w:tcBorders>
            <w:noWrap w:val="0"/>
            <w:vAlign w:val="center"/>
          </w:tcPr>
          <w:p w14:paraId="24553D41">
            <w:pPr>
              <w:jc w:val="center"/>
              <w:rPr>
                <w:rFonts w:hint="eastAsia" w:ascii="宋体" w:hAnsi="宋体" w:cs="宋体"/>
                <w:color w:val="auto"/>
                <w:szCs w:val="21"/>
                <w:highlight w:val="none"/>
              </w:rPr>
            </w:pPr>
            <w:r>
              <w:rPr>
                <w:rFonts w:hint="eastAsia" w:ascii="宋体" w:hAnsi="宋体" w:cs="宋体"/>
                <w:color w:val="auto"/>
                <w:szCs w:val="20"/>
                <w:highlight w:val="none"/>
              </w:rPr>
              <w:t>其他事项</w:t>
            </w:r>
          </w:p>
        </w:tc>
        <w:tc>
          <w:tcPr>
            <w:tcW w:w="6690" w:type="dxa"/>
            <w:tcBorders>
              <w:top w:val="single" w:color="auto" w:sz="4" w:space="0"/>
              <w:left w:val="single" w:color="auto" w:sz="4" w:space="0"/>
              <w:bottom w:val="single" w:color="auto" w:sz="4" w:space="0"/>
              <w:right w:val="single" w:color="auto" w:sz="4" w:space="0"/>
            </w:tcBorders>
            <w:noWrap w:val="0"/>
            <w:vAlign w:val="center"/>
          </w:tcPr>
          <w:p w14:paraId="19D4877D">
            <w:pPr>
              <w:spacing w:line="300" w:lineRule="exact"/>
              <w:jc w:val="left"/>
              <w:rPr>
                <w:rFonts w:hint="eastAsia" w:ascii="宋体" w:hAnsi="宋体" w:cs="宋体"/>
                <w:color w:val="auto"/>
                <w:szCs w:val="21"/>
                <w:highlight w:val="none"/>
              </w:rPr>
            </w:pPr>
            <w:r>
              <w:rPr>
                <w:rFonts w:hint="eastAsia" w:ascii="宋体" w:hAnsi="宋体" w:cs="宋体"/>
                <w:color w:val="auto"/>
                <w:szCs w:val="21"/>
                <w:highlight w:val="none"/>
              </w:rPr>
              <w:t>本文件中内容如有前后不一致，以在采购文件先出现的为准。</w:t>
            </w:r>
          </w:p>
        </w:tc>
      </w:tr>
    </w:tbl>
    <w:p w14:paraId="1B247905">
      <w:pPr>
        <w:tabs>
          <w:tab w:val="left" w:pos="611"/>
        </w:tabs>
        <w:rPr>
          <w:rFonts w:hint="eastAsia" w:ascii="宋体" w:hAnsi="宋体" w:cs="宋体"/>
          <w:color w:val="auto"/>
          <w:szCs w:val="21"/>
          <w:highlight w:val="none"/>
        </w:rPr>
      </w:pPr>
    </w:p>
    <w:p w14:paraId="2E72BC09">
      <w:pPr>
        <w:rPr>
          <w:rFonts w:hint="eastAsia" w:ascii="宋体" w:hAnsi="宋体" w:cs="宋体"/>
          <w:b/>
          <w:bCs/>
          <w:color w:val="auto"/>
          <w:kern w:val="0"/>
          <w:szCs w:val="21"/>
          <w:highlight w:val="none"/>
        </w:rPr>
      </w:pPr>
      <w:bookmarkStart w:id="21" w:name="_Hlk89188603"/>
      <w:r>
        <w:rPr>
          <w:rFonts w:hint="eastAsia" w:ascii="宋体" w:hAnsi="宋体" w:cs="宋体"/>
          <w:b/>
          <w:bCs/>
          <w:color w:val="auto"/>
          <w:kern w:val="0"/>
          <w:szCs w:val="21"/>
          <w:highlight w:val="none"/>
        </w:rPr>
        <w:br w:type="page"/>
      </w:r>
    </w:p>
    <w:bookmarkEnd w:id="21"/>
    <w:p w14:paraId="7062A42A">
      <w:pPr>
        <w:keepNext w:val="0"/>
        <w:keepLines w:val="0"/>
        <w:pageBreakBefore w:val="0"/>
        <w:kinsoku/>
        <w:wordWrap/>
        <w:overflowPunct/>
        <w:topLinePunct w:val="0"/>
        <w:bidi w:val="0"/>
        <w:adjustRightInd/>
        <w:snapToGrid/>
        <w:spacing w:line="300" w:lineRule="auto"/>
        <w:ind w:left="0" w:leftChars="0" w:firstLine="422" w:firstLineChars="200"/>
        <w:textAlignment w:val="auto"/>
        <w:outlineLvl w:val="1"/>
        <w:rPr>
          <w:rFonts w:hint="eastAsia" w:ascii="宋体" w:hAnsi="宋体" w:eastAsia="宋体" w:cs="宋体"/>
          <w:b/>
          <w:bCs/>
          <w:color w:val="auto"/>
          <w:kern w:val="0"/>
          <w:szCs w:val="21"/>
          <w:highlight w:val="none"/>
        </w:rPr>
      </w:pPr>
      <w:bookmarkStart w:id="22" w:name="_Toc254970549"/>
      <w:bookmarkStart w:id="23" w:name="_Toc254970690"/>
      <w:r>
        <w:rPr>
          <w:rFonts w:hint="eastAsia" w:ascii="宋体" w:hAnsi="宋体" w:eastAsia="宋体" w:cs="宋体"/>
          <w:b/>
          <w:bCs/>
          <w:color w:val="auto"/>
          <w:kern w:val="0"/>
          <w:szCs w:val="21"/>
          <w:highlight w:val="none"/>
        </w:rPr>
        <w:t>1．总则</w:t>
      </w:r>
    </w:p>
    <w:p w14:paraId="65F07412">
      <w:pPr>
        <w:keepNext w:val="0"/>
        <w:keepLines w:val="0"/>
        <w:pageBreakBefore w:val="0"/>
        <w:kinsoku/>
        <w:wordWrap/>
        <w:overflowPunct/>
        <w:topLinePunct w:val="0"/>
        <w:bidi w:val="0"/>
        <w:adjustRightInd/>
        <w:snapToGrid/>
        <w:spacing w:line="300" w:lineRule="auto"/>
        <w:ind w:left="0" w:leftChars="0" w:firstLine="422" w:firstLineChars="200"/>
        <w:textAlignment w:val="auto"/>
        <w:outlineLvl w:val="2"/>
        <w:rPr>
          <w:rFonts w:hint="eastAsia" w:ascii="宋体" w:hAnsi="宋体" w:eastAsia="宋体" w:cs="宋体"/>
          <w:b/>
          <w:bCs/>
          <w:color w:val="auto"/>
          <w:kern w:val="0"/>
          <w:szCs w:val="21"/>
          <w:highlight w:val="none"/>
        </w:rPr>
      </w:pPr>
      <w:bookmarkStart w:id="24" w:name="_Toc254970527"/>
      <w:bookmarkStart w:id="25" w:name="_Toc254970668"/>
      <w:r>
        <w:rPr>
          <w:rFonts w:hint="eastAsia" w:ascii="宋体" w:hAnsi="宋体" w:eastAsia="宋体" w:cs="宋体"/>
          <w:b/>
          <w:bCs/>
          <w:color w:val="auto"/>
          <w:kern w:val="0"/>
          <w:szCs w:val="21"/>
          <w:highlight w:val="none"/>
        </w:rPr>
        <w:t>1.1适用范围</w:t>
      </w:r>
      <w:bookmarkEnd w:id="24"/>
      <w:bookmarkEnd w:id="25"/>
    </w:p>
    <w:p w14:paraId="333B9C48">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本采购文件适用于供应商须知前附表所述项目的政府采购活动。</w:t>
      </w:r>
    </w:p>
    <w:p w14:paraId="13A88B85">
      <w:pPr>
        <w:keepNext w:val="0"/>
        <w:keepLines w:val="0"/>
        <w:pageBreakBefore w:val="0"/>
        <w:kinsoku/>
        <w:wordWrap/>
        <w:overflowPunct/>
        <w:topLinePunct w:val="0"/>
        <w:bidi w:val="0"/>
        <w:adjustRightInd/>
        <w:snapToGrid/>
        <w:spacing w:line="300" w:lineRule="auto"/>
        <w:ind w:left="0" w:leftChars="0" w:firstLine="422" w:firstLineChars="200"/>
        <w:textAlignment w:val="auto"/>
        <w:outlineLvl w:val="2"/>
        <w:rPr>
          <w:rFonts w:hint="eastAsia" w:ascii="宋体" w:hAnsi="宋体" w:eastAsia="宋体" w:cs="宋体"/>
          <w:b/>
          <w:bCs/>
          <w:color w:val="auto"/>
          <w:kern w:val="0"/>
          <w:szCs w:val="21"/>
          <w:highlight w:val="none"/>
        </w:rPr>
      </w:pPr>
      <w:bookmarkStart w:id="26" w:name="_Toc254970528"/>
      <w:bookmarkStart w:id="27" w:name="_Toc254970669"/>
      <w:r>
        <w:rPr>
          <w:rFonts w:hint="eastAsia" w:ascii="宋体" w:hAnsi="宋体" w:eastAsia="宋体" w:cs="宋体"/>
          <w:b/>
          <w:bCs/>
          <w:color w:val="auto"/>
          <w:kern w:val="0"/>
          <w:szCs w:val="21"/>
          <w:highlight w:val="none"/>
        </w:rPr>
        <w:t>1.2定义</w:t>
      </w:r>
      <w:bookmarkEnd w:id="26"/>
      <w:bookmarkEnd w:id="27"/>
    </w:p>
    <w:p w14:paraId="7894FBD8">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1.2.1“采购人”系指依法进行政府采购的国家机关、事业单位、团体组织。</w:t>
      </w:r>
    </w:p>
    <w:p w14:paraId="31DFEDC4">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1.2.2“供应商”系</w:t>
      </w:r>
      <w:r>
        <w:rPr>
          <w:rFonts w:hint="eastAsia" w:ascii="宋体" w:hAnsi="宋体" w:eastAsia="宋体" w:cs="宋体"/>
          <w:color w:val="auto"/>
          <w:highlight w:val="none"/>
        </w:rPr>
        <w:t>指响应招标、参加响应竞争的法人、其他组织或者自然人</w:t>
      </w:r>
      <w:r>
        <w:rPr>
          <w:rFonts w:hint="eastAsia" w:ascii="宋体" w:hAnsi="宋体" w:eastAsia="宋体" w:cs="宋体"/>
          <w:color w:val="auto"/>
          <w:szCs w:val="21"/>
          <w:highlight w:val="none"/>
        </w:rPr>
        <w:t>。</w:t>
      </w:r>
    </w:p>
    <w:p w14:paraId="7452B766">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1.2.3本文件中的“法定代表人”若无特别说明，当供应商是企业的，是指企业法人营业执照上的法定代表人；当供应商是事业单位的，是指事业单位法人证书上的法定代表人；当供应商是社会团体、民办非企业的，是指法人登记证书中的法定代表人；当供应商是个体工商户的，是指个体工商户营业执照上的经营者；当供应商是自然人的，是指参与本项目响应的自然人本人。</w:t>
      </w:r>
    </w:p>
    <w:p w14:paraId="4117AFF2">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1.2.4本文件中的“公章”是指根据我国对公章的管理规定，用供应商法定主体行为名称制作的印章，除本文件有特殊规定外，供应商的财务章、部门章、分公司章、工会章、合同章、投标专用章、业务专用章及银行的转账章、现金收讫章、现金付讫章等其他形式印章均不能代替公章。本文件中的“签章”是指电子签名的一种表现形式，利用图像处理技术将电子签名操作转化为与纸质文件盖章操作相同的可视效果，同时利用电子签名技术保障电子信息的真实性和完整性以及签名人的不可否认性。</w:t>
      </w:r>
    </w:p>
    <w:p w14:paraId="7A579690">
      <w:pPr>
        <w:keepNext w:val="0"/>
        <w:keepLines w:val="0"/>
        <w:pageBreakBefore w:val="0"/>
        <w:widowControl/>
        <w:kinsoku/>
        <w:wordWrap/>
        <w:overflowPunct/>
        <w:topLinePunct w:val="0"/>
        <w:bidi w:val="0"/>
        <w:adjustRightInd/>
        <w:snapToGrid/>
        <w:spacing w:line="300" w:lineRule="auto"/>
        <w:ind w:left="0" w:leftChars="0"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1.2.5“书面形式”如无特殊规定，书面形式是合同书、信件、电报、电传等可以有形地表现所载内容的形式。以电子数据交换、电子邮件等方式能够有形地表现所载内容，并可以随时调取查用的数据电文，视为书面形式。采购文件如有特殊规定，以采购文件规定为准。 </w:t>
      </w:r>
    </w:p>
    <w:p w14:paraId="2A5833F7">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1.2.6本项目的技术商务要求重要性分为“▲”（如有）、“#”（如有）和一般无标识指标。▲代表实质性要求指标，</w:t>
      </w:r>
      <w:r>
        <w:rPr>
          <w:rFonts w:hint="eastAsia" w:ascii="宋体" w:hAnsi="宋体" w:eastAsia="宋体" w:cs="宋体"/>
          <w:b/>
          <w:bCs/>
          <w:color w:val="auto"/>
          <w:szCs w:val="21"/>
          <w:highlight w:val="none"/>
        </w:rPr>
        <w:t>不满足该指标项将导致响应被否决</w:t>
      </w:r>
      <w:r>
        <w:rPr>
          <w:rFonts w:hint="eastAsia" w:ascii="宋体" w:hAnsi="宋体" w:eastAsia="宋体" w:cs="宋体"/>
          <w:color w:val="auto"/>
          <w:szCs w:val="21"/>
          <w:highlight w:val="none"/>
        </w:rPr>
        <w:t>，#代表重要指标，无标识则表示一般指标项。</w:t>
      </w:r>
    </w:p>
    <w:p w14:paraId="2B137678">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1.2.7 本采购文件出现多种选项的条款，以“</w:t>
      </w:r>
      <w:r>
        <w:rPr>
          <w:rFonts w:hint="eastAsia" w:ascii="宋体" w:hAnsi="宋体" w:cs="宋体"/>
          <w:color w:val="auto"/>
          <w:highlight w:val="none"/>
          <w:lang w:eastAsia="zh-CN"/>
        </w:rPr>
        <w:t>（</w:t>
      </w:r>
      <w:r>
        <w:rPr>
          <w:rFonts w:hint="eastAsia" w:ascii="宋体" w:hAnsi="宋体" w:eastAsia="宋体" w:cs="宋体"/>
          <w:color w:val="auto"/>
          <w:szCs w:val="21"/>
          <w:highlight w:val="none"/>
        </w:rPr>
        <w:t>”表示本条款所选择的方式。</w:t>
      </w:r>
    </w:p>
    <w:p w14:paraId="4DFFC52D">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1.2.8 “电子交易平台”是指以数据电文形式在线完成采购活动的信息平台，本采购文件中也称“广西政府采购云平台”。</w:t>
      </w:r>
    </w:p>
    <w:p w14:paraId="27C1B01F">
      <w:pPr>
        <w:keepNext w:val="0"/>
        <w:keepLines w:val="0"/>
        <w:pageBreakBefore w:val="0"/>
        <w:kinsoku/>
        <w:wordWrap/>
        <w:overflowPunct/>
        <w:topLinePunct w:val="0"/>
        <w:bidi w:val="0"/>
        <w:adjustRightInd/>
        <w:snapToGrid/>
        <w:spacing w:line="300" w:lineRule="auto"/>
        <w:ind w:left="0" w:leftChars="0" w:firstLine="422" w:firstLineChars="200"/>
        <w:textAlignment w:val="auto"/>
        <w:outlineLvl w:val="2"/>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1.3项目信息</w:t>
      </w:r>
    </w:p>
    <w:p w14:paraId="6B456953">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1.3.1项目名称及编号：详见</w:t>
      </w:r>
      <w:bookmarkStart w:id="28" w:name="_Hlk89176704"/>
      <w:r>
        <w:rPr>
          <w:rFonts w:hint="eastAsia" w:ascii="宋体" w:hAnsi="宋体" w:eastAsia="宋体" w:cs="宋体"/>
          <w:color w:val="auto"/>
          <w:szCs w:val="21"/>
          <w:highlight w:val="none"/>
        </w:rPr>
        <w:t>供应商须知前附表</w:t>
      </w:r>
      <w:bookmarkEnd w:id="28"/>
    </w:p>
    <w:p w14:paraId="40057C06">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1.3.2采购方式：详见供应商须知前附表</w:t>
      </w:r>
    </w:p>
    <w:p w14:paraId="40A3C404">
      <w:pPr>
        <w:keepNext w:val="0"/>
        <w:keepLines w:val="0"/>
        <w:pageBreakBefore w:val="0"/>
        <w:kinsoku/>
        <w:wordWrap/>
        <w:overflowPunct/>
        <w:topLinePunct w:val="0"/>
        <w:bidi w:val="0"/>
        <w:adjustRightInd/>
        <w:snapToGrid/>
        <w:spacing w:line="300" w:lineRule="auto"/>
        <w:ind w:left="0" w:leftChars="0" w:firstLine="422" w:firstLineChars="200"/>
        <w:textAlignment w:val="auto"/>
        <w:outlineLvl w:val="2"/>
        <w:rPr>
          <w:rFonts w:hint="eastAsia" w:ascii="宋体" w:hAnsi="宋体" w:eastAsia="宋体" w:cs="宋体"/>
          <w:b/>
          <w:bCs/>
          <w:color w:val="auto"/>
          <w:kern w:val="0"/>
          <w:szCs w:val="21"/>
          <w:highlight w:val="none"/>
        </w:rPr>
      </w:pPr>
      <w:bookmarkStart w:id="29" w:name="_Hlk132812137"/>
      <w:r>
        <w:rPr>
          <w:rFonts w:hint="eastAsia" w:ascii="宋体" w:hAnsi="宋体" w:eastAsia="宋体" w:cs="宋体"/>
          <w:b/>
          <w:bCs/>
          <w:color w:val="auto"/>
          <w:kern w:val="0"/>
          <w:szCs w:val="21"/>
          <w:highlight w:val="none"/>
        </w:rPr>
        <w:t>1.4促进中小企业发展政策</w:t>
      </w:r>
    </w:p>
    <w:p w14:paraId="321E1FF7">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1.4.1本项目落实促进中小企业发展政策措施在前附表规定。依据促进中小企业发展政策获得政府采购合同的，小微企业不得将合同分包给大中型企业，中型企业不得将合同分包给大型企业。</w:t>
      </w:r>
    </w:p>
    <w:p w14:paraId="53EA2C30">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bookmarkStart w:id="30" w:name="_Hlk92205820"/>
      <w:r>
        <w:rPr>
          <w:rFonts w:hint="eastAsia" w:ascii="宋体" w:hAnsi="宋体" w:eastAsia="宋体" w:cs="宋体"/>
          <w:color w:val="auto"/>
          <w:szCs w:val="21"/>
          <w:highlight w:val="none"/>
        </w:rPr>
        <w:t>根据《政府采购促进中小企业发展管理办法》（财库</w:t>
      </w:r>
      <w:r>
        <w:rPr>
          <w:rFonts w:hint="eastAsia" w:ascii="宋体" w:hAnsi="宋体" w:eastAsia="宋体" w:cs="宋体"/>
          <w:color w:val="auto"/>
          <w:szCs w:val="21"/>
          <w:highlight w:val="none"/>
          <w:lang w:eastAsia="zh-CN"/>
        </w:rPr>
        <w:t>〔2020〕46</w:t>
      </w:r>
      <w:r>
        <w:rPr>
          <w:rFonts w:hint="eastAsia" w:ascii="宋体" w:hAnsi="宋体" w:eastAsia="宋体" w:cs="宋体"/>
          <w:color w:val="auto"/>
          <w:szCs w:val="21"/>
          <w:highlight w:val="none"/>
        </w:rPr>
        <w:t>号）第九条以及《广西壮族自治区财政厅 广西壮族自治区工业和信息化厅转发财政部 工业和信息化部政府采购促进中小企业发展管理办法的通知》（桂财采</w:t>
      </w:r>
      <w:r>
        <w:rPr>
          <w:rFonts w:hint="eastAsia" w:ascii="宋体" w:hAnsi="宋体" w:eastAsia="宋体" w:cs="宋体"/>
          <w:color w:val="auto"/>
          <w:szCs w:val="21"/>
          <w:highlight w:val="none"/>
          <w:lang w:eastAsia="zh-CN"/>
        </w:rPr>
        <w:t>〔2021〕70</w:t>
      </w:r>
      <w:r>
        <w:rPr>
          <w:rFonts w:hint="eastAsia" w:ascii="宋体" w:hAnsi="宋体" w:eastAsia="宋体" w:cs="宋体"/>
          <w:color w:val="auto"/>
          <w:szCs w:val="21"/>
          <w:highlight w:val="none"/>
        </w:rPr>
        <w:t>号）规定，价格扣除比例在第四章评审方法及标准中规定，对小型企业和微型企业同等对待，不作区分。</w:t>
      </w:r>
    </w:p>
    <w:p w14:paraId="0CC0B51A">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1.4.2中小企业定义</w:t>
      </w:r>
    </w:p>
    <w:p w14:paraId="3B75C512">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1.4.2.1中小企业是指在中华人民共和国境内依法设立，依据国务院批准的中小企业划分标准确定的中型企业、小型企业和微型企业，但与大企业的负责人为同一人，或者与大企业存在直接控股、管理关系的除外。</w:t>
      </w:r>
    </w:p>
    <w:p w14:paraId="271FD29B">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1.4.2.2供应商提供的货物、工程或者服务符合下列情形的，享受本款规定的促进中小企业发展政策：</w:t>
      </w:r>
    </w:p>
    <w:p w14:paraId="709B5261">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在货物采购项目中，货物由中小企业制造，即货物由中小企业生产且使用该中小企业商号或者注册商标；</w:t>
      </w:r>
    </w:p>
    <w:p w14:paraId="78F221F3">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在工程采购项目中，工程由中小企业承建，即工程施工单位为中小企业；</w:t>
      </w:r>
    </w:p>
    <w:p w14:paraId="47CDF459">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在服务采购项目中，服务由中小企业承接，即提供服务的人员为中小企业依照《中华人民共和国劳动合同法》订立劳动合同的从业人员。</w:t>
      </w:r>
    </w:p>
    <w:p w14:paraId="6DF5DE8A">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在货物采购项目中，供应商提供的货物既有中小企业制造货物，也有大型企业制造货物的，不享受本款规定的促进中小企业发展政策。</w:t>
      </w:r>
    </w:p>
    <w:p w14:paraId="04150E14">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1.4.2.3本项目标的所属行业在第二章采购需求中规定。供应商根据中小企业划分标准（《关于印发中小企业划型标准规定的通知》（工信部联企业〔2011〕300号）判断是否为中小企业。（见附件）</w:t>
      </w:r>
    </w:p>
    <w:p w14:paraId="0AAB46D7">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符合条件的货物制造商、工程施工单位、服务承接单位为中小企业的，应按采购文件规定在响应文件中提供声明函。</w:t>
      </w:r>
    </w:p>
    <w:p w14:paraId="2D84B9A7">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1.4.2.4视同中小企业情形</w:t>
      </w:r>
    </w:p>
    <w:p w14:paraId="07DF91EA">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（1）符合中小企业划分标准的个体工商户，视同中小企业。</w:t>
      </w:r>
    </w:p>
    <w:p w14:paraId="49F6B23E">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（2）以联合体形式参加政府采购活动，联合体各方均为中小企业的，联合体视同中小企业。其中，联合体各方均为小微企业的，联合体视同小微企业。</w:t>
      </w:r>
    </w:p>
    <w:p w14:paraId="145CFDA0">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符合《财政部、司法部关于政府采购支持监狱企业发展有关问题的通知》（财库〔2014〕68号）规定的监狱企业，或符合《关于促进残疾人就业政府采购政策的通知》（财库〔2017〕141号）规定的残疾人福利性单位，视同小型、微型企业。</w:t>
      </w:r>
    </w:p>
    <w:p w14:paraId="5513B550">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符合条件的货物制造商、工程施工单位、服务承接单位为监狱企业或残疾人福利性单位的，应按采购文件规定在响应文件中提供相关证明文件。</w:t>
      </w:r>
      <w:bookmarkEnd w:id="29"/>
      <w:bookmarkEnd w:id="30"/>
    </w:p>
    <w:p w14:paraId="0A929CAC">
      <w:pPr>
        <w:keepNext w:val="0"/>
        <w:keepLines w:val="0"/>
        <w:pageBreakBefore w:val="0"/>
        <w:kinsoku/>
        <w:wordWrap/>
        <w:overflowPunct/>
        <w:topLinePunct w:val="0"/>
        <w:bidi w:val="0"/>
        <w:adjustRightInd/>
        <w:snapToGrid/>
        <w:spacing w:line="300" w:lineRule="auto"/>
        <w:ind w:left="0" w:leftChars="0" w:firstLine="422" w:firstLineChars="200"/>
        <w:textAlignment w:val="auto"/>
        <w:outlineLvl w:val="2"/>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1.5供应商资格要求</w:t>
      </w:r>
    </w:p>
    <w:p w14:paraId="4709088C">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1.5.1供应商资格要求：详见供应商须知前附表</w:t>
      </w:r>
    </w:p>
    <w:p w14:paraId="1DCE1BE2">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1.5.2按照磋商公告的规定获得采购文件。</w:t>
      </w:r>
    </w:p>
    <w:p w14:paraId="59FF2512">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1.5.3本项目是否接受联合体响应，见“供应商须知前附表”规定。</w:t>
      </w:r>
    </w:p>
    <w:p w14:paraId="1C810BCC">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如接受联合体响应，联合体响应要求如下： </w:t>
      </w:r>
    </w:p>
    <w:p w14:paraId="45FCF2B1">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（1）供应商可以组成一个响应联合体，以一个供应商的身份共同参加响应。联合体响应的，须提供《联合体协议书》（格式后附）</w:t>
      </w:r>
    </w:p>
    <w:p w14:paraId="2F71235D">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以联合体形式参加响应的，联合体各方均必须具备《中华人民共和国政府采购法》第二十二条第一款规定的基本条件。本项目有特殊要求规定供应商特定条件的，联合体各方中至少有一方必须符合采购文件规定的特定条件。</w:t>
      </w:r>
    </w:p>
    <w:p w14:paraId="3FA4008D">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联合体各方之间必须签订联合体协议，协议书必须明确主体方（或者牵头方）并明确约定联合体各方承担的工作和相应的责任，并将联合响应协议放入响应文件。联合体各方必须共同与采购人签订采购合同，就采购合同约定的事项对采购人承担连带责任。</w:t>
      </w:r>
    </w:p>
    <w:p w14:paraId="11EE8F33">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（4）以联合体形式参加政府采购活动的，联合体各方不得再单独参加或者与其他供应商另外组成联合体参加同一合同项下的政府采购活动。</w:t>
      </w:r>
    </w:p>
    <w:p w14:paraId="748A4BA5">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（5）联合体中有同类资质的供应商按照联合体分工承担相同工作的，应当按照资质等级较低的供应商确定资质等级。</w:t>
      </w:r>
    </w:p>
    <w:p w14:paraId="7D4B609A">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（6）联合体响应业绩、履约能力按照联合体各方其中较高的一方认定并计算（采购文件其他章节另有规定的除外）。</w:t>
      </w:r>
    </w:p>
    <w:p w14:paraId="2545811A">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（7）供应商为联合体的，可以由联合体中的一方或者多方共同交纳磋商保证金，其交纳的保证金对联合体各方均具有约束力。</w:t>
      </w:r>
    </w:p>
    <w:p w14:paraId="2BD56C6A">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（8）联合体各方均应按照采购文件的规定提交资格证明文件。</w:t>
      </w:r>
    </w:p>
    <w:p w14:paraId="48C31491">
      <w:pPr>
        <w:keepNext w:val="0"/>
        <w:keepLines w:val="0"/>
        <w:pageBreakBefore w:val="0"/>
        <w:kinsoku/>
        <w:wordWrap/>
        <w:overflowPunct/>
        <w:topLinePunct w:val="0"/>
        <w:bidi w:val="0"/>
        <w:adjustRightInd/>
        <w:snapToGrid/>
        <w:spacing w:line="300" w:lineRule="auto"/>
        <w:ind w:left="0" w:leftChars="0" w:firstLine="422" w:firstLineChars="200"/>
        <w:textAlignment w:val="auto"/>
        <w:outlineLvl w:val="2"/>
        <w:rPr>
          <w:rFonts w:hint="eastAsia" w:ascii="宋体" w:hAnsi="宋体" w:eastAsia="宋体" w:cs="宋体"/>
          <w:b/>
          <w:bCs/>
          <w:color w:val="auto"/>
          <w:kern w:val="0"/>
          <w:szCs w:val="21"/>
          <w:highlight w:val="none"/>
        </w:rPr>
      </w:pPr>
      <w:bookmarkStart w:id="31" w:name="_Toc254970672"/>
      <w:bookmarkStart w:id="32" w:name="_Toc254970531"/>
      <w:r>
        <w:rPr>
          <w:rFonts w:hint="eastAsia" w:ascii="宋体" w:hAnsi="宋体" w:eastAsia="宋体" w:cs="宋体"/>
          <w:b/>
          <w:bCs/>
          <w:color w:val="auto"/>
          <w:kern w:val="0"/>
          <w:szCs w:val="21"/>
          <w:highlight w:val="none"/>
        </w:rPr>
        <w:t>1.6现场踏勘及响应费用</w:t>
      </w:r>
      <w:bookmarkEnd w:id="31"/>
      <w:bookmarkEnd w:id="32"/>
    </w:p>
    <w:p w14:paraId="4B03FC93">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1.6.1前附表如规定现场踏勘的，供应商应按规定时间地点参加踏勘。</w:t>
      </w:r>
    </w:p>
    <w:p w14:paraId="51F1FFF6">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1.6.2供应商均应自行承担所有与响应有关的全部费用（采购文件有相关的规定除外）。</w:t>
      </w:r>
    </w:p>
    <w:p w14:paraId="35B9CB06">
      <w:pPr>
        <w:keepNext w:val="0"/>
        <w:keepLines w:val="0"/>
        <w:pageBreakBefore w:val="0"/>
        <w:kinsoku/>
        <w:wordWrap/>
        <w:overflowPunct/>
        <w:topLinePunct w:val="0"/>
        <w:bidi w:val="0"/>
        <w:adjustRightInd/>
        <w:snapToGrid/>
        <w:spacing w:line="300" w:lineRule="auto"/>
        <w:ind w:left="0" w:leftChars="0" w:firstLine="422" w:firstLineChars="200"/>
        <w:textAlignment w:val="auto"/>
        <w:outlineLvl w:val="2"/>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1.7转包与分包</w:t>
      </w:r>
    </w:p>
    <w:p w14:paraId="7DF55516">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1.7.1如采购文件其他地方无特别规定，本项目不允许转包。</w:t>
      </w:r>
    </w:p>
    <w:p w14:paraId="228AF388">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1.7.2本项目是否允许分包详见“供应商须知前附表”，本项目不允许违法分包。供应商根据采购文件的规定和采购项目的实际情况，拟在成交后将成交项目的非主体、非关键性工作分包的，应当在响应文件中载明分包承担主体，分包承担主体应当具备相应资质条件且不得再次分包。</w:t>
      </w:r>
    </w:p>
    <w:p w14:paraId="6765BBE5">
      <w:pPr>
        <w:keepNext w:val="0"/>
        <w:keepLines w:val="0"/>
        <w:pageBreakBefore w:val="0"/>
        <w:kinsoku/>
        <w:wordWrap/>
        <w:overflowPunct/>
        <w:topLinePunct w:val="0"/>
        <w:bidi w:val="0"/>
        <w:adjustRightInd/>
        <w:snapToGrid/>
        <w:spacing w:line="300" w:lineRule="auto"/>
        <w:ind w:left="0" w:leftChars="0" w:firstLine="422" w:firstLineChars="200"/>
        <w:textAlignment w:val="auto"/>
        <w:outlineLvl w:val="2"/>
        <w:rPr>
          <w:rFonts w:hint="eastAsia" w:ascii="宋体" w:hAnsi="宋体" w:eastAsia="宋体" w:cs="宋体"/>
          <w:b/>
          <w:bCs/>
          <w:color w:val="auto"/>
          <w:kern w:val="0"/>
          <w:szCs w:val="21"/>
          <w:highlight w:val="none"/>
        </w:rPr>
      </w:pPr>
      <w:bookmarkStart w:id="33" w:name="_Toc254970532"/>
      <w:bookmarkStart w:id="34" w:name="_Toc254970673"/>
      <w:r>
        <w:rPr>
          <w:rFonts w:hint="eastAsia" w:ascii="宋体" w:hAnsi="宋体" w:eastAsia="宋体" w:cs="宋体"/>
          <w:b/>
          <w:bCs/>
          <w:color w:val="auto"/>
          <w:kern w:val="0"/>
          <w:szCs w:val="21"/>
          <w:highlight w:val="none"/>
        </w:rPr>
        <w:t>1.8特别说明</w:t>
      </w:r>
      <w:bookmarkEnd w:id="33"/>
      <w:bookmarkEnd w:id="34"/>
    </w:p>
    <w:p w14:paraId="14C07030">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1.8.1 供应商应保证其提供的联系方式（电话、传真、电子邮件）有效，以保证往来函件（澄清、修改等）能及时通知供应商，并能及时反馈，否则采购人及代理机构不承担由此引起的一切后果。</w:t>
      </w:r>
    </w:p>
    <w:p w14:paraId="072EB808">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1.8.2供应商应仔细阅读采购文件的所有内容，按照采购文件的要求提交响应文件，并对所提供的全部资料的真实性承担法律责任。</w:t>
      </w:r>
    </w:p>
    <w:p w14:paraId="0CC9EE6E">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1.8.3供应商在响应活动中提供任何虚假材料，将报监管部门查处； </w:t>
      </w:r>
    </w:p>
    <w:p w14:paraId="456E213E">
      <w:pPr>
        <w:keepNext w:val="0"/>
        <w:keepLines w:val="0"/>
        <w:pageBreakBefore w:val="0"/>
        <w:kinsoku/>
        <w:wordWrap/>
        <w:overflowPunct/>
        <w:topLinePunct w:val="0"/>
        <w:bidi w:val="0"/>
        <w:adjustRightInd/>
        <w:snapToGrid/>
        <w:spacing w:line="300" w:lineRule="auto"/>
        <w:ind w:left="0" w:leftChars="0" w:firstLine="422" w:firstLineChars="200"/>
        <w:textAlignment w:val="auto"/>
        <w:outlineLvl w:val="1"/>
        <w:rPr>
          <w:rFonts w:hint="eastAsia" w:ascii="宋体" w:hAnsi="宋体" w:eastAsia="宋体" w:cs="宋体"/>
          <w:b/>
          <w:bCs/>
          <w:color w:val="auto"/>
          <w:kern w:val="0"/>
          <w:szCs w:val="21"/>
          <w:highlight w:val="none"/>
        </w:rPr>
      </w:pPr>
      <w:bookmarkStart w:id="35" w:name="_Toc254970534"/>
      <w:bookmarkStart w:id="36" w:name="_Toc254970675"/>
      <w:r>
        <w:rPr>
          <w:rFonts w:hint="eastAsia" w:ascii="宋体" w:hAnsi="宋体" w:eastAsia="宋体" w:cs="宋体"/>
          <w:b/>
          <w:bCs/>
          <w:color w:val="auto"/>
          <w:kern w:val="0"/>
          <w:szCs w:val="21"/>
          <w:highlight w:val="none"/>
        </w:rPr>
        <w:t>2．采购文件</w:t>
      </w:r>
      <w:bookmarkEnd w:id="35"/>
      <w:bookmarkEnd w:id="36"/>
    </w:p>
    <w:p w14:paraId="493EE4C2">
      <w:pPr>
        <w:keepNext w:val="0"/>
        <w:keepLines w:val="0"/>
        <w:pageBreakBefore w:val="0"/>
        <w:kinsoku/>
        <w:wordWrap/>
        <w:overflowPunct/>
        <w:topLinePunct w:val="0"/>
        <w:bidi w:val="0"/>
        <w:adjustRightInd/>
        <w:snapToGrid/>
        <w:spacing w:line="300" w:lineRule="auto"/>
        <w:ind w:left="0" w:leftChars="0" w:firstLine="422" w:firstLineChars="200"/>
        <w:textAlignment w:val="auto"/>
        <w:outlineLvl w:val="2"/>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2.1采购文件的构成</w:t>
      </w:r>
    </w:p>
    <w:p w14:paraId="78F378D5">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第一章 磋商公告</w:t>
      </w:r>
    </w:p>
    <w:p w14:paraId="23066809">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第二章 采购需求</w:t>
      </w:r>
    </w:p>
    <w:p w14:paraId="1173DA2F">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第三章 供应商须知</w:t>
      </w:r>
    </w:p>
    <w:p w14:paraId="592104DD">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第四章 评审方法及标准</w:t>
      </w:r>
    </w:p>
    <w:p w14:paraId="1D183338">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第五章 合同主要条款格式</w:t>
      </w:r>
    </w:p>
    <w:p w14:paraId="1AB15073">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第六章 响应文件格式</w:t>
      </w:r>
    </w:p>
    <w:p w14:paraId="0D018F08">
      <w:pPr>
        <w:keepNext w:val="0"/>
        <w:keepLines w:val="0"/>
        <w:pageBreakBefore w:val="0"/>
        <w:kinsoku/>
        <w:wordWrap/>
        <w:overflowPunct/>
        <w:topLinePunct w:val="0"/>
        <w:bidi w:val="0"/>
        <w:adjustRightInd/>
        <w:snapToGrid/>
        <w:spacing w:line="300" w:lineRule="auto"/>
        <w:ind w:left="0" w:leftChars="0" w:firstLine="422" w:firstLineChars="200"/>
        <w:textAlignment w:val="auto"/>
        <w:outlineLvl w:val="2"/>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2.2供应商的风险</w:t>
      </w:r>
    </w:p>
    <w:p w14:paraId="28F831AD">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供应商没有按照采购文件要求提供全部资料，或者供应商没有对采购文件在各方面作出实质性响应是供应商的风险，并可能导致其响应被否决。</w:t>
      </w:r>
    </w:p>
    <w:p w14:paraId="782F7751">
      <w:pPr>
        <w:keepNext w:val="0"/>
        <w:keepLines w:val="0"/>
        <w:pageBreakBefore w:val="0"/>
        <w:kinsoku/>
        <w:wordWrap/>
        <w:overflowPunct/>
        <w:topLinePunct w:val="0"/>
        <w:bidi w:val="0"/>
        <w:adjustRightInd/>
        <w:snapToGrid/>
        <w:spacing w:line="300" w:lineRule="auto"/>
        <w:ind w:left="0" w:leftChars="0" w:firstLine="422" w:firstLineChars="200"/>
        <w:textAlignment w:val="auto"/>
        <w:outlineLvl w:val="2"/>
        <w:rPr>
          <w:rFonts w:hint="eastAsia" w:ascii="宋体" w:hAnsi="宋体" w:eastAsia="宋体" w:cs="宋体"/>
          <w:b/>
          <w:color w:val="auto"/>
          <w:szCs w:val="21"/>
          <w:highlight w:val="none"/>
        </w:rPr>
      </w:pPr>
      <w:r>
        <w:rPr>
          <w:rFonts w:hint="eastAsia" w:ascii="宋体" w:hAnsi="宋体" w:eastAsia="宋体" w:cs="宋体"/>
          <w:b/>
          <w:bCs/>
          <w:color w:val="auto"/>
          <w:kern w:val="0"/>
          <w:szCs w:val="21"/>
          <w:highlight w:val="none"/>
        </w:rPr>
        <w:t>2.3采购文件的澄清与修改</w:t>
      </w:r>
    </w:p>
    <w:p w14:paraId="700607F7">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2.3.1任何已获得采购文件的潜在供应商，均可以书面形式要求采购代理机构作出书面解释、澄清。</w:t>
      </w:r>
    </w:p>
    <w:p w14:paraId="4CEDE26D">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2.3.2采购人、采购代理机构可以对已发出的采购文件进行必要的澄清或者修改，澄清或者修改的内容可能影响响应文件编制的，采购人、采购代理机构应当在提交首次响应文件截止之日3个工作日前，</w:t>
      </w:r>
      <w:bookmarkStart w:id="37" w:name="_Hlk133590520"/>
      <w:r>
        <w:rPr>
          <w:rFonts w:hint="eastAsia" w:ascii="宋体" w:hAnsi="宋体" w:eastAsia="宋体" w:cs="宋体"/>
          <w:color w:val="auto"/>
          <w:szCs w:val="21"/>
          <w:highlight w:val="none"/>
        </w:rPr>
        <w:t>在供应商须知前附表规定的方式</w:t>
      </w:r>
      <w:bookmarkEnd w:id="37"/>
      <w:r>
        <w:rPr>
          <w:rFonts w:hint="eastAsia" w:ascii="宋体" w:hAnsi="宋体" w:eastAsia="宋体" w:cs="宋体"/>
          <w:color w:val="auto"/>
          <w:szCs w:val="21"/>
          <w:highlight w:val="none"/>
        </w:rPr>
        <w:t>通知所有获取采购文件的潜在供应商；不足3个工作日的，采购人、采购代理机构应当顺延提交首次响应文件截止时间。</w:t>
      </w:r>
    </w:p>
    <w:p w14:paraId="62B1DBBF">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2.3.3采购文件澄清、答复、修改、补充的内容为采购文件的组成部分。当采购文件与采购文件的答复、澄清、修改、补充通知就同一内容的表述不一致时，以最后发出的公告或书面文件为准。</w:t>
      </w:r>
    </w:p>
    <w:p w14:paraId="34188ABB">
      <w:pPr>
        <w:keepNext w:val="0"/>
        <w:keepLines w:val="0"/>
        <w:pageBreakBefore w:val="0"/>
        <w:kinsoku/>
        <w:wordWrap/>
        <w:overflowPunct/>
        <w:topLinePunct w:val="0"/>
        <w:bidi w:val="0"/>
        <w:adjustRightInd/>
        <w:snapToGrid/>
        <w:spacing w:line="300" w:lineRule="auto"/>
        <w:ind w:left="0" w:leftChars="0" w:firstLine="422" w:firstLineChars="200"/>
        <w:textAlignment w:val="auto"/>
        <w:outlineLvl w:val="1"/>
        <w:rPr>
          <w:rFonts w:hint="eastAsia" w:ascii="宋体" w:hAnsi="宋体" w:eastAsia="宋体" w:cs="宋体"/>
          <w:b/>
          <w:bCs/>
          <w:color w:val="auto"/>
          <w:kern w:val="0"/>
          <w:szCs w:val="21"/>
          <w:highlight w:val="none"/>
        </w:rPr>
      </w:pPr>
      <w:bookmarkStart w:id="38" w:name="_Toc254970535"/>
      <w:bookmarkStart w:id="39" w:name="_Toc254970676"/>
      <w:r>
        <w:rPr>
          <w:rFonts w:hint="eastAsia" w:ascii="宋体" w:hAnsi="宋体" w:eastAsia="宋体" w:cs="宋体"/>
          <w:b/>
          <w:bCs/>
          <w:color w:val="auto"/>
          <w:kern w:val="0"/>
          <w:szCs w:val="21"/>
          <w:highlight w:val="none"/>
        </w:rPr>
        <w:t>3．响应文件</w:t>
      </w:r>
      <w:bookmarkEnd w:id="38"/>
      <w:bookmarkEnd w:id="39"/>
    </w:p>
    <w:p w14:paraId="7551C251">
      <w:pPr>
        <w:keepNext w:val="0"/>
        <w:keepLines w:val="0"/>
        <w:pageBreakBefore w:val="0"/>
        <w:kinsoku/>
        <w:wordWrap/>
        <w:overflowPunct/>
        <w:topLinePunct w:val="0"/>
        <w:bidi w:val="0"/>
        <w:adjustRightInd/>
        <w:snapToGrid/>
        <w:spacing w:line="300" w:lineRule="auto"/>
        <w:ind w:left="0" w:leftChars="0" w:firstLine="422" w:firstLineChars="200"/>
        <w:textAlignment w:val="auto"/>
        <w:outlineLvl w:val="2"/>
        <w:rPr>
          <w:rFonts w:hint="eastAsia" w:ascii="宋体" w:hAnsi="宋体" w:eastAsia="宋体" w:cs="宋体"/>
          <w:b/>
          <w:bCs/>
          <w:color w:val="auto"/>
          <w:kern w:val="0"/>
          <w:szCs w:val="21"/>
          <w:highlight w:val="none"/>
        </w:rPr>
      </w:pPr>
      <w:bookmarkStart w:id="40" w:name="_Toc254970677"/>
      <w:bookmarkStart w:id="41" w:name="_Toc254970536"/>
      <w:r>
        <w:rPr>
          <w:rFonts w:hint="eastAsia" w:ascii="宋体" w:hAnsi="宋体" w:eastAsia="宋体" w:cs="宋体"/>
          <w:b/>
          <w:bCs/>
          <w:color w:val="auto"/>
          <w:kern w:val="0"/>
          <w:szCs w:val="21"/>
          <w:highlight w:val="none"/>
        </w:rPr>
        <w:t>3.1响应文件的组成</w:t>
      </w:r>
      <w:bookmarkEnd w:id="40"/>
      <w:bookmarkEnd w:id="41"/>
    </w:p>
    <w:p w14:paraId="4BAEE0AF">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响应文件由第六章“响应文件格式”规定的内容和供应商所作的一切有效补充、修改和承诺等文件组成。</w:t>
      </w:r>
    </w:p>
    <w:p w14:paraId="168E782D">
      <w:pPr>
        <w:keepNext w:val="0"/>
        <w:keepLines w:val="0"/>
        <w:pageBreakBefore w:val="0"/>
        <w:kinsoku/>
        <w:wordWrap/>
        <w:overflowPunct/>
        <w:topLinePunct w:val="0"/>
        <w:bidi w:val="0"/>
        <w:adjustRightInd/>
        <w:snapToGrid/>
        <w:spacing w:line="300" w:lineRule="auto"/>
        <w:ind w:left="0" w:leftChars="0" w:firstLine="422" w:firstLineChars="200"/>
        <w:textAlignment w:val="auto"/>
        <w:outlineLvl w:val="2"/>
        <w:rPr>
          <w:rFonts w:hint="eastAsia" w:ascii="宋体" w:hAnsi="宋体" w:eastAsia="宋体" w:cs="宋体"/>
          <w:b/>
          <w:bCs/>
          <w:color w:val="auto"/>
          <w:kern w:val="0"/>
          <w:szCs w:val="21"/>
          <w:highlight w:val="none"/>
        </w:rPr>
      </w:pPr>
      <w:bookmarkStart w:id="42" w:name="_Toc254970678"/>
      <w:bookmarkStart w:id="43" w:name="_Toc254970537"/>
      <w:r>
        <w:rPr>
          <w:rFonts w:hint="eastAsia" w:ascii="宋体" w:hAnsi="宋体" w:eastAsia="宋体" w:cs="宋体"/>
          <w:b/>
          <w:color w:val="auto"/>
          <w:szCs w:val="21"/>
          <w:highlight w:val="none"/>
        </w:rPr>
        <w:t>3.2</w:t>
      </w:r>
      <w:r>
        <w:rPr>
          <w:rFonts w:hint="eastAsia" w:ascii="宋体" w:hAnsi="宋体" w:eastAsia="宋体" w:cs="宋体"/>
          <w:b/>
          <w:bCs/>
          <w:color w:val="auto"/>
          <w:kern w:val="0"/>
          <w:szCs w:val="21"/>
          <w:highlight w:val="none"/>
        </w:rPr>
        <w:t>响应文件的语言及计量</w:t>
      </w:r>
      <w:bookmarkEnd w:id="42"/>
      <w:bookmarkEnd w:id="43"/>
    </w:p>
    <w:p w14:paraId="2A9750D7">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3.2.1响应文件以及供应商与采购人就有关响应事宜的所有来往函电，均应以中文书写（除专用术语外，与招标响应有关的语言均使用中文。必要时专用术语应附有中文注释）。供应商提交的支持文件和印刷的文献可以使用别的语言，但其相应内容应同时附中文翻译文本，在解释响应文件时以中文翻译文本为主。对不同文字文本响应文件的解释发生异议的，以中文文本为准。</w:t>
      </w:r>
    </w:p>
    <w:p w14:paraId="20CD56D9">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3.2.2计量单位采购文件已有明确规定的，响应使用采购文件规定的计量单位；采购文件没有规定的，应采用中华人民共和国法定计量单位。</w:t>
      </w:r>
    </w:p>
    <w:p w14:paraId="5E5091E6">
      <w:pPr>
        <w:keepNext w:val="0"/>
        <w:keepLines w:val="0"/>
        <w:pageBreakBefore w:val="0"/>
        <w:kinsoku/>
        <w:wordWrap/>
        <w:overflowPunct/>
        <w:topLinePunct w:val="0"/>
        <w:bidi w:val="0"/>
        <w:adjustRightInd/>
        <w:snapToGrid/>
        <w:spacing w:line="300" w:lineRule="auto"/>
        <w:ind w:left="0" w:leftChars="0" w:firstLine="422" w:firstLineChars="200"/>
        <w:textAlignment w:val="auto"/>
        <w:outlineLvl w:val="2"/>
        <w:rPr>
          <w:rFonts w:hint="eastAsia" w:ascii="宋体" w:hAnsi="宋体" w:eastAsia="宋体" w:cs="宋体"/>
          <w:b/>
          <w:bCs/>
          <w:color w:val="auto"/>
          <w:kern w:val="0"/>
          <w:szCs w:val="21"/>
          <w:highlight w:val="none"/>
        </w:rPr>
      </w:pPr>
      <w:bookmarkStart w:id="44" w:name="_Toc254970679"/>
      <w:bookmarkStart w:id="45" w:name="_Toc254970538"/>
      <w:r>
        <w:rPr>
          <w:rFonts w:hint="eastAsia" w:ascii="宋体" w:hAnsi="宋体" w:eastAsia="宋体" w:cs="宋体"/>
          <w:b/>
          <w:bCs/>
          <w:color w:val="auto"/>
          <w:kern w:val="0"/>
          <w:szCs w:val="21"/>
          <w:highlight w:val="none"/>
        </w:rPr>
        <w:t>3.3响应报价</w:t>
      </w:r>
      <w:bookmarkEnd w:id="44"/>
      <w:bookmarkEnd w:id="45"/>
    </w:p>
    <w:p w14:paraId="7D6013E1">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3.3.1响应报价应按采购文件中相关附表格式填写。</w:t>
      </w:r>
    </w:p>
    <w:p w14:paraId="6A486322">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3.3.2响应文件只允许有一个报价，有选择的或有条件的报价将不予接受。</w:t>
      </w:r>
    </w:p>
    <w:p w14:paraId="4BDDA3AA">
      <w:pPr>
        <w:keepNext w:val="0"/>
        <w:keepLines w:val="0"/>
        <w:pageBreakBefore w:val="0"/>
        <w:suppressAutoHyphens/>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kern w:val="1"/>
          <w:szCs w:val="21"/>
          <w:highlight w:val="none"/>
        </w:rPr>
      </w:pPr>
      <w:r>
        <w:rPr>
          <w:rFonts w:hint="eastAsia" w:ascii="宋体" w:hAnsi="宋体" w:eastAsia="宋体" w:cs="宋体"/>
          <w:color w:val="auto"/>
          <w:kern w:val="1"/>
          <w:szCs w:val="21"/>
          <w:highlight w:val="none"/>
        </w:rPr>
        <w:t>3.3.3对于本文件中未列明，而供应商认为必需的费用也需列入响应报价。在合同实施时，采购人将不予支付成交供应商没有列入的项目费用，并认为此项目的费用已包括在响应报价中。</w:t>
      </w:r>
    </w:p>
    <w:p w14:paraId="0E8BCC78">
      <w:pPr>
        <w:keepNext w:val="0"/>
        <w:keepLines w:val="0"/>
        <w:pageBreakBefore w:val="0"/>
        <w:suppressAutoHyphens/>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b/>
          <w:bCs/>
          <w:color w:val="auto"/>
          <w:kern w:val="1"/>
          <w:szCs w:val="21"/>
          <w:highlight w:val="none"/>
        </w:rPr>
      </w:pPr>
      <w:r>
        <w:rPr>
          <w:rFonts w:hint="eastAsia" w:ascii="宋体" w:hAnsi="宋体" w:eastAsia="宋体" w:cs="宋体"/>
          <w:color w:val="auto"/>
          <w:kern w:val="1"/>
          <w:szCs w:val="21"/>
          <w:highlight w:val="none"/>
        </w:rPr>
        <w:t>3.3.4采购人不接受供应商给予的赠品、回扣或者与采购无关的其他商品、服务。</w:t>
      </w:r>
    </w:p>
    <w:p w14:paraId="110CB01F">
      <w:pPr>
        <w:keepNext w:val="0"/>
        <w:keepLines w:val="0"/>
        <w:pageBreakBefore w:val="0"/>
        <w:kinsoku/>
        <w:wordWrap/>
        <w:overflowPunct/>
        <w:topLinePunct w:val="0"/>
        <w:bidi w:val="0"/>
        <w:adjustRightInd/>
        <w:snapToGrid/>
        <w:spacing w:line="300" w:lineRule="auto"/>
        <w:ind w:left="0" w:leftChars="0" w:firstLine="422" w:firstLineChars="200"/>
        <w:textAlignment w:val="auto"/>
        <w:outlineLvl w:val="2"/>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3.4响应有效期</w:t>
      </w:r>
    </w:p>
    <w:p w14:paraId="418C8922">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3.4.1如采购文件其他地方无特别规定，响应有效期则为响应截止之日起90天。在响应有效期内响应文件应保持有效。</w:t>
      </w:r>
      <w:r>
        <w:rPr>
          <w:rFonts w:hint="eastAsia" w:ascii="宋体" w:hAnsi="宋体" w:eastAsia="宋体" w:cs="宋体"/>
          <w:b/>
          <w:bCs/>
          <w:color w:val="auto"/>
          <w:szCs w:val="21"/>
          <w:highlight w:val="none"/>
        </w:rPr>
        <w:t>有效期不足的响应文件将被否决</w:t>
      </w:r>
      <w:r>
        <w:rPr>
          <w:rFonts w:hint="eastAsia" w:ascii="宋体" w:hAnsi="宋体" w:eastAsia="宋体" w:cs="宋体"/>
          <w:color w:val="auto"/>
          <w:szCs w:val="21"/>
          <w:highlight w:val="none"/>
        </w:rPr>
        <w:t>。</w:t>
      </w:r>
    </w:p>
    <w:p w14:paraId="2129E447">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3.4.2在特殊情况下，采购人可与供应商协商延长响应文件的有效期，这种要求和答复均以书面形式进行。</w:t>
      </w:r>
    </w:p>
    <w:p w14:paraId="2F16E73E">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3.4.3供应商同意延长的响应有效期的，如本项目要求提交保证金则应相应延长其磋商保证金的有效期，但不得要求或被允许修改或撤销其响应文件；供应商拒绝延长的，其响应无效，但供应商有权收回其磋商保证金。</w:t>
      </w:r>
    </w:p>
    <w:p w14:paraId="3F2E3276">
      <w:pPr>
        <w:keepNext w:val="0"/>
        <w:keepLines w:val="0"/>
        <w:pageBreakBefore w:val="0"/>
        <w:kinsoku/>
        <w:wordWrap/>
        <w:overflowPunct/>
        <w:topLinePunct w:val="0"/>
        <w:bidi w:val="0"/>
        <w:adjustRightInd/>
        <w:snapToGrid/>
        <w:spacing w:line="300" w:lineRule="auto"/>
        <w:ind w:left="0" w:leftChars="0" w:firstLine="422" w:firstLineChars="200"/>
        <w:textAlignment w:val="auto"/>
        <w:outlineLvl w:val="2"/>
        <w:rPr>
          <w:rFonts w:hint="eastAsia" w:ascii="宋体" w:hAnsi="宋体" w:eastAsia="宋体" w:cs="宋体"/>
          <w:b/>
          <w:bCs/>
          <w:color w:val="auto"/>
          <w:kern w:val="0"/>
          <w:szCs w:val="21"/>
          <w:highlight w:val="none"/>
        </w:rPr>
      </w:pPr>
      <w:bookmarkStart w:id="46" w:name="_Toc254970682"/>
      <w:bookmarkStart w:id="47" w:name="_Toc254970541"/>
      <w:r>
        <w:rPr>
          <w:rFonts w:hint="eastAsia" w:ascii="宋体" w:hAnsi="宋体" w:eastAsia="宋体" w:cs="宋体"/>
          <w:b/>
          <w:bCs/>
          <w:color w:val="auto"/>
          <w:kern w:val="0"/>
          <w:szCs w:val="21"/>
          <w:highlight w:val="none"/>
        </w:rPr>
        <w:t>3.5磋商保证金</w:t>
      </w:r>
      <w:bookmarkEnd w:id="46"/>
      <w:bookmarkEnd w:id="47"/>
    </w:p>
    <w:p w14:paraId="02C24B11">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3.5.1供应商须按须知前附表规定提交磋商保证金，</w:t>
      </w:r>
      <w:r>
        <w:rPr>
          <w:rFonts w:hint="eastAsia" w:ascii="宋体" w:hAnsi="宋体" w:eastAsia="宋体" w:cs="宋体"/>
          <w:b/>
          <w:bCs/>
          <w:color w:val="auto"/>
          <w:szCs w:val="21"/>
          <w:highlight w:val="none"/>
        </w:rPr>
        <w:t>否则其响应将被否决</w:t>
      </w:r>
      <w:r>
        <w:rPr>
          <w:rFonts w:hint="eastAsia" w:ascii="宋体" w:hAnsi="宋体" w:eastAsia="宋体" w:cs="宋体"/>
          <w:color w:val="auto"/>
          <w:szCs w:val="21"/>
          <w:highlight w:val="none"/>
        </w:rPr>
        <w:t>。除采购文件规定不予退还保证金的情形外，代理机构在规定时间内退回供应商的磋商保证金（供应商自行承担因未按供应商须知前附表要求交纳导致磋商保证金无法及时退还的责任）。</w:t>
      </w:r>
    </w:p>
    <w:p w14:paraId="2D1D4D32">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3.5.2磋商保证金币种应与响应报价币种相同。</w:t>
      </w:r>
    </w:p>
    <w:p w14:paraId="2A710C7B">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3.5.3未成交供应商的磋商保证金在成交通知书发出后5个工作日内退还。成交供应商的磋商保证金在合同签订后5个工作日内退还（办理退还手续时需要向采购代理机构提供两份合同复印件）。</w:t>
      </w:r>
    </w:p>
    <w:p w14:paraId="073D17F7">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3.5.4供应商有下列情形之一的，磋商保证金将不予退还：</w:t>
      </w:r>
    </w:p>
    <w:p w14:paraId="5819F5DE">
      <w:pPr>
        <w:keepNext w:val="0"/>
        <w:keepLines w:val="0"/>
        <w:pageBreakBefore w:val="0"/>
        <w:numPr>
          <w:ilvl w:val="0"/>
          <w:numId w:val="1"/>
        </w:numPr>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供应商在响应有效期内撤销响应文件的；</w:t>
      </w:r>
    </w:p>
    <w:p w14:paraId="242F78A4">
      <w:pPr>
        <w:keepNext w:val="0"/>
        <w:keepLines w:val="0"/>
        <w:pageBreakBefore w:val="0"/>
        <w:numPr>
          <w:ilvl w:val="0"/>
          <w:numId w:val="1"/>
        </w:numPr>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供应商在响应过程中弄虚作假，提供虚假材料的；</w:t>
      </w:r>
    </w:p>
    <w:p w14:paraId="4B73B11E">
      <w:pPr>
        <w:keepNext w:val="0"/>
        <w:keepLines w:val="0"/>
        <w:pageBreakBefore w:val="0"/>
        <w:numPr>
          <w:ilvl w:val="0"/>
          <w:numId w:val="1"/>
        </w:numPr>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成交供应商无正当理由不与采购人签订合同的；</w:t>
      </w:r>
    </w:p>
    <w:p w14:paraId="4F1189F2">
      <w:pPr>
        <w:keepNext w:val="0"/>
        <w:keepLines w:val="0"/>
        <w:pageBreakBefore w:val="0"/>
        <w:numPr>
          <w:ilvl w:val="0"/>
          <w:numId w:val="1"/>
        </w:numPr>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将成交项目转让给他人或者在响应文件中未说明且未经采购人同意，将成交项目分包给他人的；</w:t>
      </w:r>
    </w:p>
    <w:p w14:paraId="48418F0C">
      <w:pPr>
        <w:keepNext w:val="0"/>
        <w:keepLines w:val="0"/>
        <w:pageBreakBefore w:val="0"/>
        <w:numPr>
          <w:ilvl w:val="0"/>
          <w:numId w:val="1"/>
        </w:numPr>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供应商与采购人、其他供应商或者采购代理机构恶意串通的；</w:t>
      </w:r>
    </w:p>
    <w:p w14:paraId="4386810E">
      <w:pPr>
        <w:keepNext w:val="0"/>
        <w:keepLines w:val="0"/>
        <w:pageBreakBefore w:val="0"/>
        <w:numPr>
          <w:ilvl w:val="0"/>
          <w:numId w:val="1"/>
        </w:numPr>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拒绝履行合同义务的；</w:t>
      </w:r>
    </w:p>
    <w:p w14:paraId="126A43C8">
      <w:pPr>
        <w:keepNext w:val="0"/>
        <w:keepLines w:val="0"/>
        <w:pageBreakBefore w:val="0"/>
        <w:numPr>
          <w:ilvl w:val="0"/>
          <w:numId w:val="1"/>
        </w:numPr>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其他严重扰乱招投标程序的。</w:t>
      </w:r>
    </w:p>
    <w:p w14:paraId="536EC259">
      <w:pPr>
        <w:keepNext w:val="0"/>
        <w:keepLines w:val="0"/>
        <w:pageBreakBefore w:val="0"/>
        <w:kinsoku/>
        <w:wordWrap/>
        <w:overflowPunct/>
        <w:topLinePunct w:val="0"/>
        <w:bidi w:val="0"/>
        <w:adjustRightInd/>
        <w:snapToGrid/>
        <w:spacing w:line="300" w:lineRule="auto"/>
        <w:ind w:left="0" w:leftChars="0" w:firstLine="422" w:firstLineChars="200"/>
        <w:textAlignment w:val="auto"/>
        <w:outlineLvl w:val="2"/>
        <w:rPr>
          <w:rFonts w:hint="eastAsia" w:ascii="宋体" w:hAnsi="宋体" w:eastAsia="宋体" w:cs="宋体"/>
          <w:b/>
          <w:bCs/>
          <w:color w:val="auto"/>
          <w:kern w:val="0"/>
          <w:szCs w:val="21"/>
          <w:highlight w:val="none"/>
        </w:rPr>
      </w:pPr>
      <w:bookmarkStart w:id="48" w:name="_Toc254970683"/>
      <w:bookmarkStart w:id="49" w:name="_Toc254970542"/>
      <w:r>
        <w:rPr>
          <w:rFonts w:hint="eastAsia" w:ascii="宋体" w:hAnsi="宋体" w:eastAsia="宋体" w:cs="宋体"/>
          <w:b/>
          <w:bCs/>
          <w:color w:val="auto"/>
          <w:kern w:val="0"/>
          <w:szCs w:val="21"/>
          <w:highlight w:val="none"/>
        </w:rPr>
        <w:t>3.6响应文件的</w:t>
      </w:r>
      <w:bookmarkEnd w:id="48"/>
      <w:bookmarkEnd w:id="49"/>
      <w:r>
        <w:rPr>
          <w:rFonts w:hint="eastAsia" w:ascii="宋体" w:hAnsi="宋体" w:eastAsia="宋体" w:cs="宋体"/>
          <w:b/>
          <w:bCs/>
          <w:color w:val="auto"/>
          <w:kern w:val="0"/>
          <w:szCs w:val="21"/>
          <w:highlight w:val="none"/>
        </w:rPr>
        <w:t>编制要求</w:t>
      </w:r>
    </w:p>
    <w:p w14:paraId="0FA9AE1D">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b/>
          <w:bCs/>
          <w:color w:val="auto"/>
          <w:kern w:val="0"/>
          <w:szCs w:val="21"/>
          <w:highlight w:val="none"/>
        </w:rPr>
      </w:pPr>
      <w:r>
        <w:rPr>
          <w:rFonts w:hint="eastAsia" w:ascii="宋体" w:hAnsi="宋体" w:eastAsia="宋体" w:cs="宋体"/>
          <w:color w:val="auto"/>
          <w:kern w:val="0"/>
          <w:szCs w:val="21"/>
          <w:highlight w:val="none"/>
        </w:rPr>
        <w:t>3.6.1</w:t>
      </w:r>
      <w:r>
        <w:rPr>
          <w:rFonts w:hint="eastAsia" w:ascii="宋体" w:hAnsi="宋体" w:eastAsia="宋体" w:cs="宋体"/>
          <w:color w:val="auto"/>
          <w:szCs w:val="21"/>
          <w:highlight w:val="none"/>
        </w:rPr>
        <w:t>供应商应先安装广西政府采购云平台新版客户端，通过账号密码或CA登录客户端制作响应文件。</w:t>
      </w:r>
    </w:p>
    <w:p w14:paraId="14C9A1A6">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3.6.2供应商应按本采购文件规定的格式和顺序编制响应文件并进行关联定位，以便磋商小组在评审时，点击评分项可直接定位到该评分项内容。如对采购文件的某项要求，供应商的响应文件未能关联定位提供相应的内容与其对应，则磋商小组在评审时如做出对供应商不利的评审由供应商自行承担。响应文件如内容不完整、编排混乱导致响应文件被误读、漏读，或者在按采购文件规定的部位查找不到相关内容的，由供应商自行承担。</w:t>
      </w:r>
    </w:p>
    <w:p w14:paraId="6B22F414">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3.6.3 供应商的响应文件未按照采购文件要求签署、盖章的，</w:t>
      </w:r>
      <w:r>
        <w:rPr>
          <w:rFonts w:hint="eastAsia" w:ascii="宋体" w:hAnsi="宋体" w:eastAsia="宋体" w:cs="宋体"/>
          <w:b/>
          <w:bCs/>
          <w:color w:val="auto"/>
          <w:szCs w:val="21"/>
          <w:highlight w:val="none"/>
        </w:rPr>
        <w:t>其响应无效</w:t>
      </w:r>
      <w:r>
        <w:rPr>
          <w:rFonts w:hint="eastAsia" w:ascii="宋体" w:hAnsi="宋体" w:eastAsia="宋体" w:cs="宋体"/>
          <w:color w:val="auto"/>
          <w:szCs w:val="21"/>
          <w:highlight w:val="none"/>
        </w:rPr>
        <w:t>。</w:t>
      </w:r>
    </w:p>
    <w:p w14:paraId="181A44DC">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3.6.4为确保网上操作合法、有效和安全，供应商应当在响应截止时间前完成在广西政府采购云平台的身份认证，确保在电子投标过程中能够对相关数据电文进行加密和使用电子签名。</w:t>
      </w:r>
    </w:p>
    <w:p w14:paraId="637211C0">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3.6.5响应文件中标注的供应商名称应与主体资格证明（如营业执照、事业单位法人证书、执业许可证、个体工商户营业执照、自然人身份证等）和公章/电子签章一致，</w:t>
      </w:r>
      <w:r>
        <w:rPr>
          <w:rFonts w:hint="eastAsia" w:ascii="宋体" w:hAnsi="宋体" w:eastAsia="宋体" w:cs="宋体"/>
          <w:b/>
          <w:bCs/>
          <w:color w:val="auto"/>
          <w:szCs w:val="21"/>
          <w:highlight w:val="none"/>
        </w:rPr>
        <w:t>否则作无效响应处理。</w:t>
      </w:r>
    </w:p>
    <w:p w14:paraId="62A401D3">
      <w:pPr>
        <w:keepNext w:val="0"/>
        <w:keepLines w:val="0"/>
        <w:pageBreakBefore w:val="0"/>
        <w:kinsoku/>
        <w:wordWrap/>
        <w:overflowPunct/>
        <w:topLinePunct w:val="0"/>
        <w:bidi w:val="0"/>
        <w:adjustRightInd/>
        <w:snapToGrid/>
        <w:spacing w:line="300" w:lineRule="auto"/>
        <w:ind w:left="0" w:leftChars="0" w:firstLine="422" w:firstLineChars="200"/>
        <w:textAlignment w:val="auto"/>
        <w:outlineLvl w:val="2"/>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3.7响应文件的递交、修改和撤回</w:t>
      </w:r>
    </w:p>
    <w:p w14:paraId="268AFD3D">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3.7.1供应商必须在“供应商须知前附表”规定的响应文件截标时间和响应地点提交电子版响应文件。电子响应文件应在制作完成后，在响应截止时间前通过有效数字证书（CA认证锁）进行电子签章、加密，然后通过网络将加密的电子响应文件递交至广西政府采购云平台。 </w:t>
      </w:r>
    </w:p>
    <w:p w14:paraId="158AB37A">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3.7.2未在规定时间内提交或者未按照采购文件要求签章、加密的电子响应文件，广西政府采购云平台将拒收。 </w:t>
      </w:r>
    </w:p>
    <w:p w14:paraId="1A6C367D">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3.7.3供应商应当在响应截止时间前完成响应文件的传输递交，并可以补充、修改或者撤回响应文件。补充或者修改响应文件的，应当先行撤回原文件，补充、修改后重新传输递交。响应截止时间前未完成传输的，视为撤回响应文件。响应截止时间后递交的响应文件，广西政府采购云平台将拒收。</w:t>
      </w:r>
    </w:p>
    <w:p w14:paraId="5B0CD907">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3.7.4在响应截止时间前，除供应商补充、修改或者撤回响应文件外，任何单位和个人不得解密或提取响应文件。</w:t>
      </w:r>
    </w:p>
    <w:p w14:paraId="47E310CA">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3.7.5在响应截止时间止提交电子版响应文件的供应商不足3家时，电子版响应文件由代理机构在广西政府采购云平台操作退回，除此之外采购人和采购代理机构对已提交的响应文件概不退回。</w:t>
      </w:r>
    </w:p>
    <w:p w14:paraId="3C642B84">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bookmarkStart w:id="50" w:name="_Hlk93046827"/>
      <w:r>
        <w:rPr>
          <w:rFonts w:hint="eastAsia" w:ascii="宋体" w:hAnsi="宋体" w:eastAsia="宋体" w:cs="宋体"/>
          <w:color w:val="auto"/>
          <w:szCs w:val="21"/>
          <w:highlight w:val="none"/>
        </w:rPr>
        <w:t>3.7.6</w:t>
      </w:r>
      <w:bookmarkEnd w:id="50"/>
      <w:r>
        <w:rPr>
          <w:rFonts w:hint="eastAsia" w:ascii="宋体" w:hAnsi="宋体" w:eastAsia="宋体" w:cs="宋体"/>
          <w:color w:val="auto"/>
          <w:szCs w:val="21"/>
          <w:highlight w:val="none"/>
        </w:rPr>
        <w:t>采购文件未允许同一供应商提交两个或以上不同的响应文件，但存在同一供应商提交两个或以上不同的响应文件的，其响应无效。供应商在同一响应文件中对某项技术、商务要求提供有选择性的响应参数或方案等同于提交两个或以上不同的响应文件。</w:t>
      </w:r>
    </w:p>
    <w:p w14:paraId="0BFA378B">
      <w:pPr>
        <w:keepNext w:val="0"/>
        <w:keepLines w:val="0"/>
        <w:pageBreakBefore w:val="0"/>
        <w:kinsoku/>
        <w:wordWrap/>
        <w:overflowPunct/>
        <w:topLinePunct w:val="0"/>
        <w:bidi w:val="0"/>
        <w:adjustRightInd/>
        <w:snapToGrid/>
        <w:spacing w:line="300" w:lineRule="auto"/>
        <w:ind w:left="0" w:leftChars="0" w:firstLine="422" w:firstLineChars="200"/>
        <w:textAlignment w:val="auto"/>
        <w:outlineLvl w:val="1"/>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4．截标</w:t>
      </w:r>
    </w:p>
    <w:p w14:paraId="20A04326">
      <w:pPr>
        <w:keepNext w:val="0"/>
        <w:keepLines w:val="0"/>
        <w:pageBreakBefore w:val="0"/>
        <w:kinsoku/>
        <w:wordWrap/>
        <w:overflowPunct/>
        <w:topLinePunct w:val="0"/>
        <w:bidi w:val="0"/>
        <w:adjustRightInd/>
        <w:snapToGrid/>
        <w:spacing w:line="300" w:lineRule="auto"/>
        <w:ind w:left="0" w:leftChars="0" w:firstLine="422" w:firstLineChars="200"/>
        <w:textAlignment w:val="auto"/>
        <w:outlineLvl w:val="2"/>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4.1截标准备</w:t>
      </w:r>
    </w:p>
    <w:p w14:paraId="537B4D19">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本项目响应截止时间及地点见“供应商须知前附表”规定。</w:t>
      </w:r>
    </w:p>
    <w:p w14:paraId="40C6B842">
      <w:pPr>
        <w:keepNext w:val="0"/>
        <w:keepLines w:val="0"/>
        <w:pageBreakBefore w:val="0"/>
        <w:kinsoku/>
        <w:wordWrap/>
        <w:overflowPunct/>
        <w:topLinePunct w:val="0"/>
        <w:autoSpaceDE w:val="0"/>
        <w:autoSpaceDN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全流程电子化项目没有现场递交响应文件及现场截标环节。采购代理机构将按照采购文件规定的时间通过广西政府采购云平台组织线上截标活动、开启响应文件，所有供应商均应当准时在线参加。供应商如不参加截标大会的，视同认可截标结果，事后不得对采购相关人员、截标过程和截标结果提出异议，同时供应商因未在线参加截标而导致响应文件无法按时解密等一切后果由供应商自己承担。</w:t>
      </w:r>
    </w:p>
    <w:p w14:paraId="7953162F">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如供应商成功解密响应文件，但未在广西政府采购云平台电子开标大厅参加截标的，视同认可截标过程和结果，由此产生的后果由供应商自行负责。 </w:t>
      </w:r>
    </w:p>
    <w:p w14:paraId="7C72DB7B">
      <w:pPr>
        <w:keepNext w:val="0"/>
        <w:keepLines w:val="0"/>
        <w:pageBreakBefore w:val="0"/>
        <w:kinsoku/>
        <w:wordWrap/>
        <w:overflowPunct/>
        <w:topLinePunct w:val="0"/>
        <w:bidi w:val="0"/>
        <w:adjustRightInd/>
        <w:snapToGrid/>
        <w:spacing w:line="300" w:lineRule="auto"/>
        <w:ind w:left="0" w:leftChars="0" w:firstLine="422" w:firstLineChars="200"/>
        <w:textAlignment w:val="auto"/>
        <w:outlineLvl w:val="2"/>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4.2截标程序</w:t>
      </w:r>
    </w:p>
    <w:p w14:paraId="7B768FCB">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4.2.1供应商登录广西政府采购云平台进入开标大厅签到。</w:t>
      </w:r>
    </w:p>
    <w:p w14:paraId="0E2A3D8E">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4.2.2解密电子响应文件。广西政府采购云平台按截标时间自动提取所有响应文件。采购代理机构在广西政府采购云平台向各供应商发出电子加密响应文件开始解密通知，由供应商平台设置时间内自行进行响应文件解密。供应商须使用加密时所用的CA锁准时登录到广西政府采购云平台电子开标大厅签到并对电子响应文件解密。截标后供应商未及时进行解密的，代理机构可通知供应商。</w:t>
      </w:r>
      <w:bookmarkStart w:id="51" w:name="_Hlk106639817"/>
      <w:r>
        <w:rPr>
          <w:rFonts w:hint="eastAsia" w:ascii="宋体" w:hAnsi="宋体" w:eastAsia="宋体" w:cs="宋体"/>
          <w:color w:val="auto"/>
          <w:highlight w:val="none"/>
        </w:rPr>
        <w:t>通知后供应商仍未在上述规定时间内解密响应文件</w:t>
      </w:r>
      <w:bookmarkEnd w:id="51"/>
      <w:r>
        <w:rPr>
          <w:rFonts w:hint="eastAsia" w:ascii="宋体" w:hAnsi="宋体" w:eastAsia="宋体" w:cs="宋体"/>
          <w:color w:val="auto"/>
          <w:szCs w:val="21"/>
          <w:highlight w:val="none"/>
        </w:rPr>
        <w:t>，或者供应商没预留联系方式或预留联系方式无效导致代理机构无法联系到供应商进行解密的，均视为无效响应。</w:t>
      </w:r>
    </w:p>
    <w:p w14:paraId="14F8939F">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4.2.3</w:t>
      </w:r>
      <w:bookmarkStart w:id="52" w:name="_Hlk106637968"/>
      <w:r>
        <w:rPr>
          <w:rFonts w:hint="eastAsia" w:ascii="宋体" w:hAnsi="宋体" w:eastAsia="宋体" w:cs="宋体"/>
          <w:color w:val="auto"/>
          <w:szCs w:val="21"/>
          <w:highlight w:val="none"/>
        </w:rPr>
        <w:t>广西政府采购云平台设置有备份响应文件功能。备份响应文件是指平台设置为接受备份响应文件时，如出现供应商上传的响应文件存在问题或其他供应商原因引起解密异常时，供应商可以在规定时间内将备份响应文件通过邮箱发送至采购代理机构，由代理机构上传备份响应文件后自动解密从而避免被视为无效响应。是否接受备份响应文件详见供应商须知前附表，如接受备份文件，供应商未在规定时间内发送备份响应文件的将视为无效响应。</w:t>
      </w:r>
    </w:p>
    <w:bookmarkEnd w:id="52"/>
    <w:p w14:paraId="138C8C0C">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4.2.4解密异常情况处理：详见本章9.2电子交易活动的中止。</w:t>
      </w:r>
    </w:p>
    <w:p w14:paraId="048DC038">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4.2.5截标结束。</w:t>
      </w:r>
    </w:p>
    <w:p w14:paraId="4E17F8E0">
      <w:pPr>
        <w:keepNext w:val="0"/>
        <w:keepLines w:val="0"/>
        <w:pageBreakBefore w:val="0"/>
        <w:kinsoku/>
        <w:wordWrap/>
        <w:overflowPunct/>
        <w:topLinePunct w:val="0"/>
        <w:bidi w:val="0"/>
        <w:adjustRightInd/>
        <w:snapToGrid/>
        <w:spacing w:line="300" w:lineRule="auto"/>
        <w:ind w:left="0" w:leftChars="0" w:firstLine="422" w:firstLineChars="200"/>
        <w:textAlignment w:val="auto"/>
        <w:rPr>
          <w:rFonts w:hint="eastAsia" w:ascii="宋体" w:hAnsi="宋体" w:eastAsia="宋体" w:cs="宋体"/>
          <w:color w:val="auto"/>
          <w:szCs w:val="21"/>
          <w:highlight w:val="none"/>
        </w:rPr>
      </w:pPr>
      <w:r>
        <w:rPr>
          <w:rFonts w:hint="eastAsia" w:ascii="宋体" w:hAnsi="宋体" w:eastAsia="宋体" w:cs="宋体"/>
          <w:b/>
          <w:bCs/>
          <w:color w:val="auto"/>
          <w:szCs w:val="21"/>
          <w:highlight w:val="none"/>
        </w:rPr>
        <w:t>特别说明</w:t>
      </w:r>
      <w:r>
        <w:rPr>
          <w:rFonts w:hint="eastAsia" w:ascii="宋体" w:hAnsi="宋体" w:eastAsia="宋体" w:cs="宋体"/>
          <w:color w:val="auto"/>
          <w:szCs w:val="21"/>
          <w:highlight w:val="none"/>
        </w:rPr>
        <w:t>：如遇广西政府采购云平台电子化截标或评审程序调整的，按调整后的程序执行。</w:t>
      </w:r>
    </w:p>
    <w:p w14:paraId="18F2682B">
      <w:pPr>
        <w:keepNext w:val="0"/>
        <w:keepLines w:val="0"/>
        <w:pageBreakBefore w:val="0"/>
        <w:kinsoku/>
        <w:wordWrap/>
        <w:overflowPunct/>
        <w:topLinePunct w:val="0"/>
        <w:bidi w:val="0"/>
        <w:adjustRightInd/>
        <w:snapToGrid/>
        <w:spacing w:line="300" w:lineRule="auto"/>
        <w:ind w:left="0" w:leftChars="0" w:firstLine="422" w:firstLineChars="200"/>
        <w:textAlignment w:val="auto"/>
        <w:outlineLvl w:val="2"/>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4.3演示</w:t>
      </w:r>
    </w:p>
    <w:p w14:paraId="33890BF8">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4.3.1“供应商须知前附表”规定在截标会议结束后进行演示的，供应商应按规定进行演示。</w:t>
      </w:r>
    </w:p>
    <w:p w14:paraId="21BF6755">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4.3.2未按规定时间进行演示可能引起的演示分数被计为0分或响应无效等后果由供应商自行承担。</w:t>
      </w:r>
    </w:p>
    <w:p w14:paraId="5ADE2AA9">
      <w:pPr>
        <w:keepNext w:val="0"/>
        <w:keepLines w:val="0"/>
        <w:pageBreakBefore w:val="0"/>
        <w:kinsoku/>
        <w:wordWrap/>
        <w:overflowPunct/>
        <w:topLinePunct w:val="0"/>
        <w:bidi w:val="0"/>
        <w:adjustRightInd/>
        <w:snapToGrid/>
        <w:spacing w:line="300" w:lineRule="auto"/>
        <w:ind w:left="0" w:leftChars="0" w:firstLine="422" w:firstLineChars="200"/>
        <w:textAlignment w:val="auto"/>
        <w:outlineLvl w:val="2"/>
        <w:rPr>
          <w:rFonts w:hint="eastAsia" w:ascii="宋体" w:hAnsi="宋体" w:eastAsia="宋体" w:cs="宋体"/>
          <w:color w:val="auto"/>
          <w:szCs w:val="21"/>
          <w:highlight w:val="none"/>
        </w:rPr>
      </w:pPr>
      <w:r>
        <w:rPr>
          <w:rFonts w:hint="eastAsia" w:ascii="宋体" w:hAnsi="宋体" w:eastAsia="宋体" w:cs="宋体"/>
          <w:b/>
          <w:bCs/>
          <w:color w:val="auto"/>
          <w:kern w:val="0"/>
          <w:szCs w:val="21"/>
          <w:highlight w:val="none"/>
        </w:rPr>
        <w:t>4.4样品</w:t>
      </w:r>
    </w:p>
    <w:p w14:paraId="7CA02879">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4.4.1“供应商须知前附表”规定递交样品的，供应商应按前附表规定递交样品，递交样品时应附样品递交表（格式见第六章）。</w:t>
      </w:r>
    </w:p>
    <w:p w14:paraId="02FA1F9F">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4.4.2未按规定时间递交样品可能引起的样品分数被计为0分或响应无效等后果由供应商自行承担。</w:t>
      </w:r>
    </w:p>
    <w:p w14:paraId="11D85A54">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4.4.3样品封存或退还的说明请见第六章响应文件格式所附样品递交表。</w:t>
      </w:r>
    </w:p>
    <w:p w14:paraId="730A2AC3">
      <w:pPr>
        <w:keepNext w:val="0"/>
        <w:keepLines w:val="0"/>
        <w:pageBreakBefore w:val="0"/>
        <w:kinsoku/>
        <w:wordWrap/>
        <w:overflowPunct/>
        <w:topLinePunct w:val="0"/>
        <w:bidi w:val="0"/>
        <w:adjustRightInd/>
        <w:snapToGrid/>
        <w:spacing w:line="300" w:lineRule="auto"/>
        <w:ind w:left="0" w:leftChars="0" w:firstLine="422" w:firstLineChars="200"/>
        <w:textAlignment w:val="auto"/>
        <w:outlineLvl w:val="1"/>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5．资格审查</w:t>
      </w:r>
    </w:p>
    <w:p w14:paraId="425C778F">
      <w:pPr>
        <w:keepNext w:val="0"/>
        <w:keepLines w:val="0"/>
        <w:pageBreakBefore w:val="0"/>
        <w:kinsoku/>
        <w:wordWrap/>
        <w:overflowPunct/>
        <w:topLinePunct w:val="0"/>
        <w:bidi w:val="0"/>
        <w:adjustRightInd/>
        <w:snapToGrid/>
        <w:spacing w:line="300" w:lineRule="auto"/>
        <w:ind w:left="0" w:leftChars="0" w:firstLine="420" w:firstLineChars="200"/>
        <w:textAlignment w:val="auto"/>
        <w:outlineLvl w:val="2"/>
        <w:rPr>
          <w:rFonts w:hint="eastAsia" w:ascii="宋体" w:hAnsi="宋体" w:eastAsia="宋体" w:cs="宋体"/>
          <w:bCs/>
          <w:color w:val="auto"/>
          <w:kern w:val="0"/>
          <w:szCs w:val="21"/>
          <w:highlight w:val="none"/>
        </w:rPr>
      </w:pPr>
      <w:r>
        <w:rPr>
          <w:rFonts w:hint="eastAsia" w:ascii="宋体" w:hAnsi="宋体" w:eastAsia="宋体" w:cs="宋体"/>
          <w:bCs/>
          <w:color w:val="auto"/>
          <w:kern w:val="0"/>
          <w:szCs w:val="21"/>
          <w:highlight w:val="none"/>
        </w:rPr>
        <w:t>5.1截标</w:t>
      </w:r>
      <w:r>
        <w:rPr>
          <w:rFonts w:hint="eastAsia" w:ascii="宋体" w:hAnsi="宋体" w:eastAsia="宋体" w:cs="宋体"/>
          <w:bCs/>
          <w:color w:val="auto"/>
          <w:szCs w:val="21"/>
          <w:highlight w:val="none"/>
        </w:rPr>
        <w:t>后，磋商小组通过电子交易平台对供应商的资格进行审查。资格审查</w:t>
      </w:r>
      <w:r>
        <w:rPr>
          <w:rFonts w:hint="eastAsia" w:ascii="宋体" w:hAnsi="宋体" w:eastAsia="宋体" w:cs="宋体"/>
          <w:bCs/>
          <w:color w:val="auto"/>
          <w:kern w:val="0"/>
          <w:szCs w:val="21"/>
          <w:highlight w:val="none"/>
        </w:rPr>
        <w:t>是根据法律法规和采购文件的规定，对供应商的基本资格条件、特定资格条件进行审查。</w:t>
      </w:r>
    </w:p>
    <w:p w14:paraId="0AF592EE">
      <w:pPr>
        <w:keepNext w:val="0"/>
        <w:keepLines w:val="0"/>
        <w:pageBreakBefore w:val="0"/>
        <w:kinsoku/>
        <w:wordWrap/>
        <w:overflowPunct/>
        <w:topLinePunct w:val="0"/>
        <w:bidi w:val="0"/>
        <w:adjustRightInd/>
        <w:snapToGrid/>
        <w:spacing w:line="300" w:lineRule="auto"/>
        <w:ind w:left="0" w:leftChars="0" w:firstLine="420" w:firstLineChars="200"/>
        <w:textAlignment w:val="auto"/>
        <w:outlineLvl w:val="2"/>
        <w:rPr>
          <w:rFonts w:hint="eastAsia" w:ascii="宋体" w:hAnsi="宋体" w:eastAsia="宋体" w:cs="宋体"/>
          <w:bCs/>
          <w:color w:val="auto"/>
          <w:kern w:val="0"/>
          <w:szCs w:val="21"/>
          <w:highlight w:val="none"/>
        </w:rPr>
      </w:pPr>
      <w:r>
        <w:rPr>
          <w:rFonts w:hint="eastAsia" w:ascii="宋体" w:hAnsi="宋体" w:eastAsia="宋体" w:cs="宋体"/>
          <w:bCs/>
          <w:color w:val="auto"/>
          <w:kern w:val="0"/>
          <w:szCs w:val="21"/>
          <w:highlight w:val="none"/>
        </w:rPr>
        <w:t>5.2资格审查标准在第四章评审方法及标准中规定，符合资格审查标准要求的供应商即为资格审查合格。</w:t>
      </w:r>
    </w:p>
    <w:p w14:paraId="5D26F3B4">
      <w:pPr>
        <w:keepNext w:val="0"/>
        <w:keepLines w:val="0"/>
        <w:pageBreakBefore w:val="0"/>
        <w:kinsoku/>
        <w:wordWrap/>
        <w:overflowPunct/>
        <w:topLinePunct w:val="0"/>
        <w:bidi w:val="0"/>
        <w:adjustRightInd/>
        <w:snapToGrid/>
        <w:spacing w:line="300" w:lineRule="auto"/>
        <w:ind w:left="0" w:leftChars="0" w:firstLine="420" w:firstLineChars="200"/>
        <w:textAlignment w:val="auto"/>
        <w:outlineLvl w:val="2"/>
        <w:rPr>
          <w:rFonts w:hint="eastAsia" w:ascii="宋体" w:hAnsi="宋体" w:eastAsia="宋体" w:cs="宋体"/>
          <w:bCs/>
          <w:color w:val="auto"/>
          <w:kern w:val="0"/>
          <w:szCs w:val="21"/>
          <w:highlight w:val="none"/>
        </w:rPr>
      </w:pPr>
      <w:r>
        <w:rPr>
          <w:rFonts w:hint="eastAsia" w:ascii="宋体" w:hAnsi="宋体" w:eastAsia="宋体" w:cs="宋体"/>
          <w:bCs/>
          <w:color w:val="auto"/>
          <w:kern w:val="0"/>
          <w:szCs w:val="21"/>
          <w:highlight w:val="none"/>
        </w:rPr>
        <w:t>5.3供应商有下列情形之一的，资格审查不合格，作无效响应处理：</w:t>
      </w:r>
    </w:p>
    <w:p w14:paraId="437CD0CE">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szCs w:val="21"/>
          <w:highlight w:val="none"/>
        </w:rPr>
        <w:t xml:space="preserve">5.3.1不具备采购文件中规定的资格要求或资格条件的； </w:t>
      </w:r>
      <w:r>
        <w:rPr>
          <w:rFonts w:hint="eastAsia" w:ascii="宋体" w:hAnsi="宋体" w:eastAsia="宋体" w:cs="宋体"/>
          <w:color w:val="auto"/>
          <w:highlight w:val="none"/>
        </w:rPr>
        <w:t>（注：其中信用查询规则见“供应商须知前附表”，</w:t>
      </w:r>
      <w:r>
        <w:rPr>
          <w:rFonts w:hint="eastAsia" w:ascii="宋体" w:hAnsi="宋体" w:eastAsia="宋体" w:cs="宋体"/>
          <w:color w:val="auto"/>
          <w:szCs w:val="21"/>
          <w:highlight w:val="none"/>
        </w:rPr>
        <w:t>广西政府采购云平台</w:t>
      </w:r>
      <w:r>
        <w:rPr>
          <w:rFonts w:hint="eastAsia" w:ascii="宋体" w:hAnsi="宋体" w:eastAsia="宋体" w:cs="宋体"/>
          <w:color w:val="auto"/>
          <w:highlight w:val="none"/>
        </w:rPr>
        <w:t>已与“信用中国”平台做接口，可直接在线查询）</w:t>
      </w:r>
    </w:p>
    <w:p w14:paraId="79CC76F6">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5.3.2响应文件缺少任何一项资格证明文件或不符合第四章评审方法及标准中资格审查标准规定的评审内容的。</w:t>
      </w:r>
    </w:p>
    <w:p w14:paraId="0D8CB56D">
      <w:pPr>
        <w:keepNext w:val="0"/>
        <w:keepLines w:val="0"/>
        <w:pageBreakBefore w:val="0"/>
        <w:kinsoku/>
        <w:wordWrap/>
        <w:overflowPunct/>
        <w:topLinePunct w:val="0"/>
        <w:bidi w:val="0"/>
        <w:adjustRightInd/>
        <w:snapToGrid/>
        <w:spacing w:line="300" w:lineRule="auto"/>
        <w:ind w:left="0" w:leftChars="0" w:firstLine="422" w:firstLineChars="200"/>
        <w:textAlignment w:val="auto"/>
        <w:outlineLvl w:val="1"/>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6．评审</w:t>
      </w:r>
    </w:p>
    <w:p w14:paraId="3B02D623">
      <w:pPr>
        <w:keepNext w:val="0"/>
        <w:keepLines w:val="0"/>
        <w:pageBreakBefore w:val="0"/>
        <w:kinsoku/>
        <w:wordWrap/>
        <w:overflowPunct/>
        <w:topLinePunct w:val="0"/>
        <w:bidi w:val="0"/>
        <w:adjustRightInd/>
        <w:snapToGrid/>
        <w:spacing w:line="300" w:lineRule="auto"/>
        <w:ind w:left="0" w:leftChars="0" w:firstLine="422" w:firstLineChars="200"/>
        <w:textAlignment w:val="auto"/>
        <w:outlineLvl w:val="2"/>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6.1组建磋商小组</w:t>
      </w:r>
    </w:p>
    <w:p w14:paraId="5AC0493B">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6.1.1本项目评审工作由磋商小组负责，磋商小组由评审专家和采购人代表（如有）组成。磋商小组评审时必须公平、公正、客观，不带任何倾向性和启发性；不得向外界透露任何与评审有关的内容；任何单位和个人不得干扰、影响评标的正常进行；磋商小组及有关工作人员不得私下与供应商接触，不得收受利害关系人的财物或者其他好处；评审专家发现本人与参加采购活动的供应商有利害关系的，应当主动提出回避。</w:t>
      </w:r>
    </w:p>
    <w:p w14:paraId="3F71B49C">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6.1.2磋商小组成员应当通过电子交易平台进行独立评审，磋商小组成员对需要共同认定的事项存在争议的，应当按照少数服从多数的原则作出结论。持不同意见的磋商小组成员应当在评审报告上签署不同意见及理由，否则视为同意评审报告。如果在评审过程中出现法律法规和采购文件均没有明确规定的情形时，由磋商小组现场协商确定，协商不一致的，由全体磋商小组成员投票表决，应当按照少数服从多数的原则作出结论并记录在评审报告中。</w:t>
      </w:r>
    </w:p>
    <w:p w14:paraId="0D046FA8">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6.1.3采购人、采购代理机构应当采取必要措施，保证评审在严格保密（封闭式评审）的情况下进行。除采购人代表、评审现场组织人员外，采购人的其他工作人员以及与评审工作无关的人员不得进入评审现场。有关人员对评审情况以及在评审过程中获悉的国家秘密、商业秘密负有保密责任。</w:t>
      </w:r>
    </w:p>
    <w:p w14:paraId="37538AC2">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6.1.4本项目评审过程实行全程网上留痕及录音、录像监控，供应商在评审过程中所进行的试图影响评审结果的不公正活动，可能导致其响应按无效处理。</w:t>
      </w:r>
    </w:p>
    <w:p w14:paraId="72E23B54">
      <w:pPr>
        <w:keepNext w:val="0"/>
        <w:keepLines w:val="0"/>
        <w:pageBreakBefore w:val="0"/>
        <w:kinsoku/>
        <w:wordWrap/>
        <w:overflowPunct/>
        <w:topLinePunct w:val="0"/>
        <w:bidi w:val="0"/>
        <w:adjustRightInd/>
        <w:snapToGrid/>
        <w:spacing w:line="300" w:lineRule="auto"/>
        <w:ind w:left="0" w:leftChars="0" w:firstLine="422" w:firstLineChars="200"/>
        <w:textAlignment w:val="auto"/>
        <w:outlineLvl w:val="2"/>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6.2评审方法及依据</w:t>
      </w:r>
    </w:p>
    <w:p w14:paraId="21ABFF5B">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bCs/>
          <w:color w:val="auto"/>
          <w:kern w:val="0"/>
          <w:szCs w:val="21"/>
          <w:highlight w:val="none"/>
        </w:rPr>
      </w:pPr>
      <w:r>
        <w:rPr>
          <w:rFonts w:hint="eastAsia" w:ascii="宋体" w:hAnsi="宋体" w:eastAsia="宋体" w:cs="宋体"/>
          <w:bCs/>
          <w:color w:val="auto"/>
          <w:kern w:val="0"/>
          <w:szCs w:val="21"/>
          <w:highlight w:val="none"/>
        </w:rPr>
        <w:t>6.2.1本项目采用第四章评审方法及标准规定的方法进行评审。</w:t>
      </w:r>
    </w:p>
    <w:p w14:paraId="5C645A4E">
      <w:pPr>
        <w:keepNext w:val="0"/>
        <w:keepLines w:val="0"/>
        <w:pageBreakBefore w:val="0"/>
        <w:suppressAutoHyphens/>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bCs/>
          <w:color w:val="auto"/>
          <w:kern w:val="0"/>
          <w:szCs w:val="21"/>
          <w:highlight w:val="none"/>
        </w:rPr>
      </w:pPr>
      <w:r>
        <w:rPr>
          <w:rFonts w:hint="eastAsia" w:ascii="宋体" w:hAnsi="宋体" w:eastAsia="宋体" w:cs="宋体"/>
          <w:bCs/>
          <w:color w:val="auto"/>
          <w:kern w:val="0"/>
          <w:szCs w:val="21"/>
          <w:highlight w:val="none"/>
        </w:rPr>
        <w:t>6.2.2磋商小组</w:t>
      </w:r>
      <w:r>
        <w:rPr>
          <w:rFonts w:hint="eastAsia" w:ascii="宋体" w:hAnsi="宋体" w:eastAsia="宋体" w:cs="宋体"/>
          <w:color w:val="auto"/>
          <w:highlight w:val="none"/>
        </w:rPr>
        <w:t>以采购文件、补充文件、响应文件、澄清及答复为评审依据，</w:t>
      </w:r>
      <w:r>
        <w:rPr>
          <w:rFonts w:hint="eastAsia" w:ascii="宋体" w:hAnsi="宋体" w:eastAsia="宋体" w:cs="宋体"/>
          <w:bCs/>
          <w:color w:val="auto"/>
          <w:kern w:val="0"/>
          <w:szCs w:val="21"/>
          <w:highlight w:val="none"/>
        </w:rPr>
        <w:t>第四章评审方法及标准没有规定的评审方法、标准及因素，不得作为评审依据。</w:t>
      </w:r>
    </w:p>
    <w:p w14:paraId="76525E78">
      <w:pPr>
        <w:keepNext w:val="0"/>
        <w:keepLines w:val="0"/>
        <w:pageBreakBefore w:val="0"/>
        <w:kinsoku/>
        <w:wordWrap/>
        <w:overflowPunct/>
        <w:topLinePunct w:val="0"/>
        <w:bidi w:val="0"/>
        <w:adjustRightInd/>
        <w:snapToGrid/>
        <w:spacing w:line="300" w:lineRule="auto"/>
        <w:ind w:left="0" w:leftChars="0" w:firstLine="422" w:firstLineChars="200"/>
        <w:textAlignment w:val="auto"/>
        <w:outlineLvl w:val="2"/>
        <w:rPr>
          <w:rFonts w:hint="eastAsia" w:ascii="宋体" w:hAnsi="宋体" w:eastAsia="宋体" w:cs="宋体"/>
          <w:b/>
          <w:bCs/>
          <w:color w:val="auto"/>
          <w:kern w:val="0"/>
          <w:szCs w:val="21"/>
          <w:highlight w:val="none"/>
        </w:rPr>
      </w:pPr>
      <w:bookmarkStart w:id="53" w:name="_Toc254970546"/>
      <w:bookmarkStart w:id="54" w:name="_Toc254970687"/>
      <w:r>
        <w:rPr>
          <w:rFonts w:hint="eastAsia" w:ascii="宋体" w:hAnsi="宋体" w:eastAsia="宋体" w:cs="宋体"/>
          <w:b/>
          <w:bCs/>
          <w:color w:val="auto"/>
          <w:kern w:val="0"/>
          <w:szCs w:val="21"/>
          <w:highlight w:val="none"/>
        </w:rPr>
        <w:t>6.3评审程序</w:t>
      </w:r>
    </w:p>
    <w:p w14:paraId="4FCA31B5">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6.</w:t>
      </w:r>
      <w:bookmarkStart w:id="55" w:name="_Hlk19175507"/>
      <w:bookmarkStart w:id="56" w:name="_Hlk80956880"/>
      <w:r>
        <w:rPr>
          <w:rFonts w:hint="eastAsia" w:ascii="宋体" w:hAnsi="宋体" w:eastAsia="宋体" w:cs="宋体"/>
          <w:color w:val="auto"/>
          <w:highlight w:val="none"/>
        </w:rPr>
        <w:t>3.1符合性审查</w:t>
      </w:r>
    </w:p>
    <w:p w14:paraId="3792CBB0">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bCs/>
          <w:color w:val="auto"/>
          <w:kern w:val="1"/>
          <w:szCs w:val="21"/>
          <w:highlight w:val="none"/>
        </w:rPr>
        <w:t>资格审查结束后，</w:t>
      </w:r>
      <w:r>
        <w:rPr>
          <w:rFonts w:hint="eastAsia" w:ascii="宋体" w:hAnsi="宋体" w:eastAsia="宋体" w:cs="宋体"/>
          <w:color w:val="auto"/>
          <w:highlight w:val="none"/>
        </w:rPr>
        <w:t>磋商小组对通过资格审查的供应商的响应文件报价、商务资信、技术等方面实质性内容进行符合性审查，</w:t>
      </w:r>
      <w:r>
        <w:rPr>
          <w:rFonts w:hint="eastAsia" w:ascii="宋体" w:hAnsi="宋体" w:eastAsia="宋体" w:cs="宋体"/>
          <w:color w:val="auto"/>
          <w:szCs w:val="21"/>
          <w:highlight w:val="none"/>
        </w:rPr>
        <w:t>符合性审查标准详见第四章评审方法及标准。</w:t>
      </w:r>
    </w:p>
    <w:bookmarkEnd w:id="55"/>
    <w:bookmarkEnd w:id="56"/>
    <w:p w14:paraId="04D93030">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6.3.2</w:t>
      </w:r>
      <w:r>
        <w:rPr>
          <w:rFonts w:hint="eastAsia" w:ascii="宋体" w:hAnsi="宋体" w:eastAsia="宋体" w:cs="宋体"/>
          <w:color w:val="auto"/>
          <w:highlight w:val="none"/>
        </w:rPr>
        <w:t>强制性</w:t>
      </w:r>
      <w:r>
        <w:rPr>
          <w:rFonts w:hint="eastAsia" w:ascii="宋体" w:hAnsi="宋体" w:eastAsia="宋体" w:cs="宋体"/>
          <w:color w:val="auto"/>
          <w:szCs w:val="21"/>
          <w:highlight w:val="none"/>
        </w:rPr>
        <w:t>采购要求</w:t>
      </w:r>
    </w:p>
    <w:p w14:paraId="6CF9763F">
      <w:pPr>
        <w:keepNext w:val="0"/>
        <w:keepLines w:val="0"/>
        <w:pageBreakBefore w:val="0"/>
        <w:suppressAutoHyphens/>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bookmarkStart w:id="57" w:name="_Hlk47714684"/>
      <w:r>
        <w:rPr>
          <w:rFonts w:hint="eastAsia" w:ascii="宋体" w:hAnsi="宋体" w:eastAsia="宋体" w:cs="宋体"/>
          <w:color w:val="auto"/>
          <w:szCs w:val="21"/>
          <w:highlight w:val="none"/>
        </w:rPr>
        <w:t>（1）</w:t>
      </w:r>
      <w:bookmarkEnd w:id="57"/>
      <w:r>
        <w:rPr>
          <w:rFonts w:hint="eastAsia" w:ascii="宋体" w:hAnsi="宋体" w:eastAsia="宋体" w:cs="宋体"/>
          <w:color w:val="auto"/>
          <w:szCs w:val="21"/>
          <w:highlight w:val="none"/>
        </w:rPr>
        <w:t>根据《财政部 发展改革委 生态环境部 市场监管总局关于调整优化节能产品、环境标志产品政府采购执行机制的通知》（财库〔2019〕9号）和《关于印发节能产品政府采购品目清单的通知》（财库〔2019〕19号）规定，本项目采购需求中的产品属于节能产品政府采购品目清单内标注“★”的，供应商的响应货物必须使用政府强制采购的节能产品，否则响应文件作无效处理；属于品目清单内非标注“★”的产品时，应优先采购。</w:t>
      </w:r>
    </w:p>
    <w:p w14:paraId="2CDB1FC8">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bookmarkStart w:id="58" w:name="_Hlk19176155"/>
      <w:r>
        <w:rPr>
          <w:rFonts w:hint="eastAsia" w:ascii="宋体" w:hAnsi="宋体" w:eastAsia="宋体" w:cs="宋体"/>
          <w:color w:val="auto"/>
          <w:szCs w:val="21"/>
          <w:highlight w:val="none"/>
        </w:rPr>
        <w:t>（2）根据《关于调整网络安全专用产品安全管理有关事项的公告》（2023年1号）及关于调整《网络关键设备和网络安全专用产品目录》（2023年2号）的公告规定，本项目采购需求中的产品如果包括《网络关键设备和网络安全专用产品目录》的网络安全专用产品，</w:t>
      </w:r>
      <w:r>
        <w:rPr>
          <w:rFonts w:hint="eastAsia" w:ascii="宋体" w:hAnsi="宋体" w:eastAsia="宋体" w:cs="宋体"/>
          <w:color w:val="auto"/>
          <w:szCs w:val="21"/>
          <w:highlight w:val="none"/>
          <w:lang w:val="en-US" w:eastAsia="zh-CN"/>
        </w:rPr>
        <w:t>供应商</w:t>
      </w:r>
      <w:r>
        <w:rPr>
          <w:rFonts w:hint="eastAsia" w:ascii="宋体" w:hAnsi="宋体" w:eastAsia="宋体" w:cs="宋体"/>
          <w:color w:val="auto"/>
          <w:szCs w:val="21"/>
          <w:highlight w:val="none"/>
        </w:rPr>
        <w:t>在</w:t>
      </w:r>
      <w:r>
        <w:rPr>
          <w:rFonts w:hint="eastAsia" w:ascii="宋体" w:hAnsi="宋体" w:eastAsia="宋体" w:cs="宋体"/>
          <w:color w:val="auto"/>
          <w:szCs w:val="21"/>
          <w:highlight w:val="none"/>
          <w:lang w:val="en-US" w:eastAsia="zh-CN"/>
        </w:rPr>
        <w:t>响应</w:t>
      </w:r>
      <w:r>
        <w:rPr>
          <w:rFonts w:hint="eastAsia" w:ascii="宋体" w:hAnsi="宋体" w:eastAsia="宋体" w:cs="宋体"/>
          <w:color w:val="auto"/>
          <w:szCs w:val="21"/>
          <w:highlight w:val="none"/>
        </w:rPr>
        <w:t>文件中应主动列明供货范围中属于网络安全专用产品的</w:t>
      </w:r>
      <w:r>
        <w:rPr>
          <w:rFonts w:hint="eastAsia" w:ascii="宋体" w:hAnsi="宋体" w:eastAsia="宋体" w:cs="宋体"/>
          <w:color w:val="auto"/>
          <w:szCs w:val="21"/>
          <w:highlight w:val="none"/>
          <w:lang w:val="en-US" w:eastAsia="zh-CN"/>
        </w:rPr>
        <w:t>响应</w:t>
      </w:r>
      <w:r>
        <w:rPr>
          <w:rFonts w:hint="eastAsia" w:ascii="宋体" w:hAnsi="宋体" w:eastAsia="宋体" w:cs="宋体"/>
          <w:color w:val="auto"/>
          <w:szCs w:val="21"/>
          <w:highlight w:val="none"/>
        </w:rPr>
        <w:t>产品，并提供由中共中央网络安全和信息化委员会办公室网站最新发布的《网络关键设备和网络安全专用产品安全认证和安全检测结果》截图证明材料，不在《网络关键设备和网络安全专用产品安全认证和安全检测结果》中或不在有效期内或未提供有效的《计算机信息系统安全专用产品销售许可证》的，</w:t>
      </w:r>
      <w:r>
        <w:rPr>
          <w:rFonts w:hint="eastAsia" w:ascii="宋体" w:hAnsi="宋体" w:eastAsia="宋体" w:cs="宋体"/>
          <w:color w:val="auto"/>
          <w:szCs w:val="21"/>
          <w:highlight w:val="none"/>
          <w:lang w:val="en-US" w:eastAsia="zh-CN"/>
        </w:rPr>
        <w:t>响应</w:t>
      </w:r>
      <w:r>
        <w:rPr>
          <w:rFonts w:hint="eastAsia" w:ascii="宋体" w:hAnsi="宋体" w:eastAsia="宋体" w:cs="宋体"/>
          <w:color w:val="auto"/>
          <w:szCs w:val="21"/>
          <w:highlight w:val="none"/>
        </w:rPr>
        <w:t>无效。</w:t>
      </w:r>
    </w:p>
    <w:p w14:paraId="06BFD093">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注：网络安全专用产品在中共中央网络安全和信息化委员会办公室网站上发布的《网络关键设备和网络安全专用产品目录》中查询。 </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lang w:val="en-US" w:eastAsia="zh-CN"/>
        </w:rPr>
        <w:t>网络安全专用产品”内“产品类别”</w:t>
      </w:r>
      <w:r>
        <w:rPr>
          <w:rFonts w:hint="eastAsia" w:ascii="宋体" w:hAnsi="宋体" w:eastAsia="宋体" w:cs="宋体"/>
          <w:color w:val="auto"/>
          <w:szCs w:val="21"/>
          <w:highlight w:val="none"/>
        </w:rPr>
        <w:t>共</w:t>
      </w:r>
      <w:r>
        <w:rPr>
          <w:rFonts w:hint="eastAsia" w:ascii="宋体" w:hAnsi="宋体" w:eastAsia="宋体" w:cs="宋体"/>
          <w:color w:val="auto"/>
          <w:szCs w:val="21"/>
          <w:highlight w:val="none"/>
          <w:lang w:val="en-US" w:eastAsia="zh-CN"/>
        </w:rPr>
        <w:t>34</w:t>
      </w:r>
      <w:r>
        <w:rPr>
          <w:rFonts w:hint="eastAsia" w:ascii="宋体" w:hAnsi="宋体" w:eastAsia="宋体" w:cs="宋体"/>
          <w:color w:val="auto"/>
          <w:szCs w:val="21"/>
          <w:highlight w:val="none"/>
        </w:rPr>
        <w:t>类：数据备份与恢复产品、防火墙、入侵检测系统（IDS）、入侵防御系统（IPS）、</w:t>
      </w:r>
      <w:r>
        <w:rPr>
          <w:rFonts w:hint="eastAsia" w:ascii="宋体" w:hAnsi="宋体" w:eastAsia="宋体" w:cs="宋体"/>
          <w:color w:val="auto"/>
          <w:szCs w:val="21"/>
          <w:highlight w:val="none"/>
          <w:lang w:val="en-US" w:eastAsia="zh-CN"/>
        </w:rPr>
        <w:t>网络和终端隔离产品</w:t>
      </w:r>
      <w:r>
        <w:rPr>
          <w:rFonts w:hint="eastAsia" w:ascii="宋体" w:hAnsi="宋体" w:eastAsia="宋体" w:cs="宋体"/>
          <w:color w:val="auto"/>
          <w:szCs w:val="21"/>
          <w:highlight w:val="none"/>
        </w:rPr>
        <w:t>、反垃圾邮件产品、网络综合审计</w:t>
      </w:r>
      <w:r>
        <w:rPr>
          <w:rFonts w:hint="eastAsia" w:ascii="宋体" w:hAnsi="宋体" w:eastAsia="宋体" w:cs="宋体"/>
          <w:color w:val="auto"/>
          <w:szCs w:val="21"/>
          <w:highlight w:val="none"/>
          <w:lang w:val="en-US" w:eastAsia="zh-CN"/>
        </w:rPr>
        <w:t>产品</w:t>
      </w:r>
      <w:r>
        <w:rPr>
          <w:rFonts w:hint="eastAsia" w:ascii="宋体" w:hAnsi="宋体" w:eastAsia="宋体" w:cs="宋体"/>
          <w:color w:val="auto"/>
          <w:szCs w:val="21"/>
          <w:highlight w:val="none"/>
        </w:rPr>
        <w:t>、网络脆弱性扫描产品、安全数据库系统、网站恢复产品</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lang w:val="en-US" w:eastAsia="zh-CN"/>
        </w:rPr>
        <w:t>虚拟专用网产品、防病毒网关、统一威胁管理产品（UTM）、病毒防治产品、安全操作系统、安全网络存储、公钥基础设施、网络安全态势感知产品、信息系统安全管理平台、网络型流量控制产品、负载均衡产品、信息过滤产品、抗拒绝服务攻击产品、终端接入控制产品、USB移动存储介质管理系统、文件加密产品、数据泄露防护产品、数据销毁软件产品、安全配置检查产品、运维安全管理产品、日志分析产品、身份鉴别产品、终端安全监护产品、电子文档安全管理产品。</w:t>
      </w:r>
    </w:p>
    <w:p w14:paraId="0B0BE4CB">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6.3.3澄清、说明或补正</w:t>
      </w:r>
    </w:p>
    <w:p w14:paraId="135273EC">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（1）对响应文件中含义不明确、同类问题表述不一致或者有明显文字和计算错误的内容，磋商小组应在</w:t>
      </w:r>
      <w:r>
        <w:rPr>
          <w:rFonts w:hint="eastAsia" w:ascii="宋体" w:hAnsi="宋体" w:eastAsia="宋体" w:cs="宋体"/>
          <w:color w:val="auto"/>
          <w:szCs w:val="21"/>
          <w:highlight w:val="none"/>
        </w:rPr>
        <w:t>广西政府采购云平台</w:t>
      </w:r>
      <w:r>
        <w:rPr>
          <w:rFonts w:hint="eastAsia" w:ascii="宋体" w:hAnsi="宋体" w:eastAsia="宋体" w:cs="宋体"/>
          <w:color w:val="auto"/>
          <w:highlight w:val="none"/>
        </w:rPr>
        <w:t>发布电子澄清函，要求供应商在平台设置的时间内作出必要的澄清、说明或者补正。供应商在</w:t>
      </w:r>
      <w:r>
        <w:rPr>
          <w:rFonts w:hint="eastAsia" w:ascii="宋体" w:hAnsi="宋体" w:eastAsia="宋体" w:cs="宋体"/>
          <w:color w:val="auto"/>
          <w:szCs w:val="21"/>
          <w:highlight w:val="none"/>
        </w:rPr>
        <w:t>广西政府采购云平台</w:t>
      </w:r>
      <w:r>
        <w:rPr>
          <w:rFonts w:hint="eastAsia" w:ascii="宋体" w:hAnsi="宋体" w:eastAsia="宋体" w:cs="宋体"/>
          <w:color w:val="auto"/>
          <w:highlight w:val="none"/>
        </w:rPr>
        <w:t>接收到电子澄清函后根据澄清函内容直接在线编辑或上传PDF格式回函，电子澄清答复函使用CA证书加盖单位电子签章后提交至磋商小组。供应商的澄清、说明或者补正不得超出响应文件的范围或者改变响应文件的实质性内容。供应商未在规定时间内进行澄清、说明或者补正的，按无效响应处理。</w:t>
      </w:r>
    </w:p>
    <w:p w14:paraId="6F10B914">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2）异常情况处理：如遇无法正常使用线上发送澄清函的情况，将以书面形式执行。磋商小组以书面形式要求供应商在规定时间内作出必要的澄清、说明或者补正。供应商的澄清、说明或者补正必须采用书面形式，并加盖公章或者由法定代表人或者其授权的代表签字。</w:t>
      </w:r>
    </w:p>
    <w:p w14:paraId="1094C02E">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6.3.4报价修正</w:t>
      </w:r>
    </w:p>
    <w:p w14:paraId="55E289B0">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（1）报价出现前后不一致的，按照下列规定修正：</w:t>
      </w:r>
    </w:p>
    <w:p w14:paraId="06B13422">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①响应文件中开标一览表（报价表）内容与响应文件中相应内容不一致的，以开标一览表（报价表）为准；</w:t>
      </w:r>
    </w:p>
    <w:p w14:paraId="6A7874ED">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②大写金额和小写金额不一致的，以大写金额为准；</w:t>
      </w:r>
    </w:p>
    <w:p w14:paraId="34204D16">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③单价金额小数点或者百分比有明显错位的，以开标一览表的总价为准，并修改单价；</w:t>
      </w:r>
    </w:p>
    <w:p w14:paraId="05FA459E">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④总价金额与按单价汇总金额不一致的，以单价金额计算结果为准。</w:t>
      </w:r>
    </w:p>
    <w:p w14:paraId="7C5A2642">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同时出现两种以上不一致的，按照上述①-④顺序修正。修正后的报价按照上述“6.3.3澄清、说明或补正”的规定经供应商确认后产生约束力，供应商不确认的，其响应无效。</w:t>
      </w:r>
    </w:p>
    <w:p w14:paraId="3DDC4CDD">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（2）经供应商确认修正后的报价若超过采购预算金额或者最高限价，其响应文件作无效响应处理。</w:t>
      </w:r>
    </w:p>
    <w:p w14:paraId="616A33BD">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（3）经供应商确认修正后的报价作为签订合同的依据，并以此报价计算价格分。</w:t>
      </w:r>
    </w:p>
    <w:p w14:paraId="2AA51630">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（4）如磋商过程中有多轮报价的，磋商小组在每一轮报价均应按上述规则修正报价。</w:t>
      </w:r>
    </w:p>
    <w:p w14:paraId="251FA4CC">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6.3.5异常低价审查</w:t>
      </w:r>
    </w:p>
    <w:p w14:paraId="5D521295">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本项目</w:t>
      </w:r>
      <w:r>
        <w:rPr>
          <w:rFonts w:hint="eastAsia" w:ascii="宋体" w:hAnsi="宋体" w:eastAsia="宋体" w:cs="宋体"/>
          <w:color w:val="auto"/>
          <w:szCs w:val="21"/>
          <w:highlight w:val="none"/>
          <w:lang w:val="en-US" w:eastAsia="zh-CN"/>
        </w:rPr>
        <w:t>异常低价审查情形见</w:t>
      </w:r>
      <w:r>
        <w:rPr>
          <w:rFonts w:hint="eastAsia" w:ascii="宋体" w:hAnsi="宋体" w:eastAsia="宋体" w:cs="宋体"/>
          <w:color w:val="auto"/>
          <w:szCs w:val="21"/>
          <w:highlight w:val="none"/>
        </w:rPr>
        <w:t>“</w:t>
      </w:r>
      <w:r>
        <w:rPr>
          <w:rFonts w:hint="eastAsia" w:ascii="宋体" w:hAnsi="宋体" w:eastAsia="宋体" w:cs="宋体"/>
          <w:color w:val="auto"/>
          <w:szCs w:val="21"/>
          <w:highlight w:val="none"/>
          <w:lang w:val="en-US" w:eastAsia="zh-CN"/>
        </w:rPr>
        <w:t>供应商</w:t>
      </w:r>
      <w:r>
        <w:rPr>
          <w:rFonts w:hint="eastAsia" w:ascii="宋体" w:hAnsi="宋体" w:eastAsia="宋体" w:cs="宋体"/>
          <w:color w:val="auto"/>
          <w:szCs w:val="21"/>
          <w:highlight w:val="none"/>
          <w:lang w:eastAsia="zh-CN"/>
        </w:rPr>
        <w:t>须知</w:t>
      </w:r>
      <w:r>
        <w:rPr>
          <w:rFonts w:hint="eastAsia" w:ascii="宋体" w:hAnsi="宋体" w:eastAsia="宋体" w:cs="宋体"/>
          <w:color w:val="auto"/>
          <w:szCs w:val="21"/>
          <w:highlight w:val="none"/>
        </w:rPr>
        <w:t>前附表”规定。</w:t>
      </w:r>
    </w:p>
    <w:p w14:paraId="071DB29F">
      <w:pPr>
        <w:keepNext w:val="0"/>
        <w:keepLines w:val="0"/>
        <w:pageBreakBefore w:val="0"/>
        <w:numPr>
          <w:ilvl w:val="0"/>
          <w:numId w:val="0"/>
        </w:numPr>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评审委员会启动异常低价响应审查后，属于前述第1项至第4项情形的，应当要求相关供应商在评审现场合理的时间内对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w:t>
      </w:r>
    </w:p>
    <w:p w14:paraId="6978169F">
      <w:pPr>
        <w:keepNext w:val="0"/>
        <w:keepLines w:val="0"/>
        <w:pageBreakBefore w:val="0"/>
        <w:numPr>
          <w:ilvl w:val="0"/>
          <w:numId w:val="0"/>
        </w:numPr>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strike/>
          <w:dstrike w:val="0"/>
          <w:color w:val="auto"/>
          <w:szCs w:val="21"/>
          <w:highlight w:val="none"/>
          <w:lang w:val="en-US" w:eastAsia="zh-CN"/>
        </w:rPr>
      </w:pPr>
      <w:r>
        <w:rPr>
          <w:rFonts w:hint="eastAsia" w:ascii="宋体" w:hAnsi="宋体" w:eastAsia="宋体" w:cs="宋体"/>
          <w:color w:val="auto"/>
          <w:szCs w:val="21"/>
          <w:highlight w:val="none"/>
          <w:lang w:val="en-US" w:eastAsia="zh-CN"/>
        </w:rPr>
        <w:t>评审委员会依据专业经验，参考同类项目中标（成交）价格、类似产品市场价格水平、行业人工费用标准、国家有关部门指导行业协会发布的行业平均成本等情况，对报价合理性进行判断。</w:t>
      </w:r>
      <w:r>
        <w:rPr>
          <w:rFonts w:hint="eastAsia" w:ascii="宋体" w:hAnsi="宋体" w:eastAsia="宋体" w:cs="宋体"/>
          <w:strike w:val="0"/>
          <w:dstrike w:val="0"/>
          <w:color w:val="auto"/>
          <w:szCs w:val="21"/>
          <w:highlight w:val="none"/>
          <w:lang w:val="en-US" w:eastAsia="zh-CN"/>
        </w:rPr>
        <w:t>投标（响应）供应商不能提供书面说明、证明材料，或者提供的书面说明、证明材料不能证明其报价合理性的，评审委员会应当将其作为无效投标（响应）处理。</w:t>
      </w:r>
    </w:p>
    <w:p w14:paraId="3F34FB60">
      <w:pPr>
        <w:keepNext w:val="0"/>
        <w:keepLines w:val="0"/>
        <w:pageBreakBefore w:val="0"/>
        <w:numPr>
          <w:ilvl w:val="0"/>
          <w:numId w:val="0"/>
        </w:numPr>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采购人、采购代理机构应当为评审委员会在评审现场及时获取同类项目中标（成交）价格、类似产品市场价格水平、行业人工费用标准、国家有关部门指导行业协会发布的行业平均成本等相关信息资料提供便利。评审委员会借助互联网等渠道查询相关信息的，应当严格遵守评审工作纪律，不得实施影响评审公正的行为。</w:t>
      </w:r>
    </w:p>
    <w:p w14:paraId="639D8F02">
      <w:pPr>
        <w:keepNext w:val="0"/>
        <w:keepLines w:val="0"/>
        <w:pageBreakBefore w:val="0"/>
        <w:numPr>
          <w:ilvl w:val="0"/>
          <w:numId w:val="0"/>
        </w:numPr>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异常低价响应审查的启动原因、审查意见和审查结果应当在评审报告中记录，并随供应商提供的相关书面说明及证明材料，以及评审委员会有关互联网浏览、查询历史一并归档。</w:t>
      </w:r>
    </w:p>
    <w:p w14:paraId="6F20F575">
      <w:pPr>
        <w:keepNext w:val="0"/>
        <w:keepLines w:val="0"/>
        <w:pageBreakBefore w:val="0"/>
        <w:numPr>
          <w:ilvl w:val="0"/>
          <w:numId w:val="0"/>
        </w:numPr>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书面证明应当按照上述“6.3.3澄清、说明或补正”的规定提交</w:t>
      </w:r>
      <w:r>
        <w:rPr>
          <w:rFonts w:hint="eastAsia" w:ascii="宋体" w:hAnsi="宋体" w:eastAsia="宋体" w:cs="宋体"/>
          <w:color w:val="auto"/>
          <w:szCs w:val="21"/>
          <w:highlight w:val="none"/>
          <w:lang w:val="en-US" w:eastAsia="zh-CN"/>
        </w:rPr>
        <w:t>。</w:t>
      </w:r>
    </w:p>
    <w:p w14:paraId="558809C2">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6.3.</w:t>
      </w:r>
      <w:r>
        <w:rPr>
          <w:rFonts w:hint="eastAsia" w:ascii="宋体" w:hAnsi="宋体" w:eastAsia="宋体" w:cs="宋体"/>
          <w:color w:val="auto"/>
          <w:szCs w:val="21"/>
          <w:highlight w:val="none"/>
          <w:lang w:val="en-US" w:eastAsia="zh-CN"/>
        </w:rPr>
        <w:t>6</w:t>
      </w:r>
      <w:r>
        <w:rPr>
          <w:rFonts w:hint="eastAsia" w:ascii="宋体" w:hAnsi="宋体" w:eastAsia="宋体" w:cs="宋体"/>
          <w:color w:val="auto"/>
          <w:szCs w:val="21"/>
          <w:highlight w:val="none"/>
        </w:rPr>
        <w:t>相同品牌认定（仅适用于货物采购项目）</w:t>
      </w:r>
    </w:p>
    <w:p w14:paraId="4AEC64DE">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（1）单一产品采购项目，</w:t>
      </w:r>
      <w:r>
        <w:rPr>
          <w:rFonts w:hint="eastAsia" w:ascii="宋体" w:hAnsi="宋体" w:eastAsia="宋体" w:cs="宋体"/>
          <w:color w:val="auto"/>
          <w:highlight w:val="none"/>
        </w:rPr>
        <w:t>不同供应商提供的产品品牌相同时，按以下规定确定</w:t>
      </w:r>
      <w:r>
        <w:rPr>
          <w:rFonts w:hint="eastAsia" w:ascii="宋体" w:hAnsi="宋体" w:eastAsia="宋体" w:cs="宋体"/>
          <w:bCs/>
          <w:color w:val="auto"/>
          <w:kern w:val="0"/>
          <w:szCs w:val="21"/>
          <w:highlight w:val="none"/>
        </w:rPr>
        <w:t>相同品牌的响应有效性</w:t>
      </w:r>
      <w:r>
        <w:rPr>
          <w:rFonts w:hint="eastAsia" w:ascii="宋体" w:hAnsi="宋体" w:eastAsia="宋体" w:cs="宋体"/>
          <w:color w:val="auto"/>
          <w:highlight w:val="none"/>
        </w:rPr>
        <w:t>。</w:t>
      </w:r>
    </w:p>
    <w:bookmarkEnd w:id="58"/>
    <w:p w14:paraId="22D4CA4A">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提供相同品牌产品且通过资格审查、符合性审查的不同供应商参加同一合同项下响应的，按一家供应商计算，评审后得分最高的同品牌供应商获得中标人推荐资格；评审得分相同的，由采购人或者采购人委托磋商小组按照采购文件规定的方式确定一个供应商获得成交供应商推荐资格，采购文件未规定的采取随机抽取方式确定，其他同品牌供应商不作为成交候选人。</w:t>
      </w:r>
    </w:p>
    <w:p w14:paraId="28731D80">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（2）非单一产品采购项目，采购人应当确定核心产品，并在采购文件中载明。不同供应商提供的核心产品品牌相同的，按上述规定处理。核心产品在第二章采购需求规定。</w:t>
      </w:r>
    </w:p>
    <w:bookmarkEnd w:id="53"/>
    <w:bookmarkEnd w:id="54"/>
    <w:p w14:paraId="39C53D7C">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6.3.</w:t>
      </w:r>
      <w:r>
        <w:rPr>
          <w:rFonts w:hint="eastAsia" w:ascii="宋体" w:hAnsi="宋体" w:eastAsia="宋体" w:cs="宋体"/>
          <w:color w:val="auto"/>
          <w:highlight w:val="none"/>
          <w:lang w:val="en-US" w:eastAsia="zh-CN"/>
        </w:rPr>
        <w:t>7</w:t>
      </w:r>
      <w:r>
        <w:rPr>
          <w:rFonts w:hint="eastAsia" w:ascii="宋体" w:hAnsi="宋体" w:eastAsia="宋体" w:cs="宋体"/>
          <w:color w:val="auto"/>
          <w:highlight w:val="none"/>
        </w:rPr>
        <w:t>磋商</w:t>
      </w:r>
    </w:p>
    <w:p w14:paraId="2FF0DDF8">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（1）磋商小组按照“供应商须知前附表” 确定的顺序，集中与单一供应商分别进行磋商，并给予所有参加磋商的供应商平等的磋商机会。符合磋商资格的供应商必须在接到磋商通知后规定时间内参加磋商，未在规定时间内参加磋商的视同放弃参加磋商权利，其响应文件按无效响应处理。</w:t>
      </w:r>
    </w:p>
    <w:p w14:paraId="6F446805">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（2）在磋商过程中，磋商小组可以根据采购文件和磋商情况实质性变动采购需求中的技术、服务要求以及合同草案条款，但不得变动采购文件中的其他内容。实质性变动的内容，须经采购人代表确认。</w:t>
      </w:r>
    </w:p>
    <w:p w14:paraId="1A21F644">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对采购文件作出的实质性变动是采购文件的有效组成部分，由磋商小组通过</w:t>
      </w:r>
      <w:r>
        <w:rPr>
          <w:rFonts w:hint="eastAsia" w:ascii="宋体" w:hAnsi="宋体" w:eastAsia="宋体" w:cs="宋体"/>
          <w:color w:val="auto"/>
          <w:szCs w:val="21"/>
          <w:highlight w:val="none"/>
        </w:rPr>
        <w:t>广西政府采购云平台</w:t>
      </w:r>
      <w:r>
        <w:rPr>
          <w:rFonts w:hint="eastAsia" w:ascii="宋体" w:hAnsi="宋体" w:eastAsia="宋体" w:cs="宋体"/>
          <w:color w:val="auto"/>
          <w:highlight w:val="none"/>
        </w:rPr>
        <w:t>以书面形式同时通知所有参加磋商的供应商。</w:t>
      </w:r>
    </w:p>
    <w:p w14:paraId="372D4A2B">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（3）供应商必须按照采购文件的变动情况和磋商小组的要求重新提交响应文件，并在</w:t>
      </w:r>
      <w:r>
        <w:rPr>
          <w:rFonts w:hint="eastAsia" w:ascii="宋体" w:hAnsi="宋体" w:eastAsia="宋体" w:cs="宋体"/>
          <w:color w:val="auto"/>
          <w:szCs w:val="21"/>
          <w:highlight w:val="none"/>
        </w:rPr>
        <w:t>广西政府采购云平台</w:t>
      </w:r>
      <w:r>
        <w:rPr>
          <w:rFonts w:hint="eastAsia" w:ascii="宋体" w:hAnsi="宋体" w:eastAsia="宋体" w:cs="宋体"/>
          <w:color w:val="auto"/>
          <w:highlight w:val="none"/>
        </w:rPr>
        <w:t>在线编辑或上传PDF格式，使用电子签章后提交至磋商小组。参加磋商的供应商未在规定时间内重新提交响应文件的，视同退出磋商。</w:t>
      </w:r>
    </w:p>
    <w:p w14:paraId="2FEFE462">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（4）供应商的法定代表人或其授权代表无须到现场参加磋商，提问及回答/响应均通过</w:t>
      </w:r>
      <w:r>
        <w:rPr>
          <w:rFonts w:hint="eastAsia" w:ascii="宋体" w:hAnsi="宋体" w:eastAsia="宋体" w:cs="宋体"/>
          <w:color w:val="auto"/>
          <w:szCs w:val="21"/>
          <w:highlight w:val="none"/>
        </w:rPr>
        <w:t>广西政府采购云平台</w:t>
      </w:r>
      <w:r>
        <w:rPr>
          <w:rFonts w:hint="eastAsia" w:ascii="宋体" w:hAnsi="宋体" w:eastAsia="宋体" w:cs="宋体"/>
          <w:color w:val="auto"/>
          <w:highlight w:val="none"/>
        </w:rPr>
        <w:t>进行。磋商过程中使用的电子签章应为供应商上传响应文件的同一签章。</w:t>
      </w:r>
    </w:p>
    <w:p w14:paraId="54E6A69F">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6.3.</w:t>
      </w:r>
      <w:r>
        <w:rPr>
          <w:rFonts w:hint="eastAsia" w:ascii="宋体" w:hAnsi="宋体" w:eastAsia="宋体" w:cs="宋体"/>
          <w:color w:val="auto"/>
          <w:highlight w:val="none"/>
          <w:lang w:val="en-US" w:eastAsia="zh-CN"/>
        </w:rPr>
        <w:t>8</w:t>
      </w:r>
      <w:r>
        <w:rPr>
          <w:rFonts w:hint="eastAsia" w:ascii="宋体" w:hAnsi="宋体" w:eastAsia="宋体" w:cs="宋体"/>
          <w:color w:val="auto"/>
          <w:highlight w:val="none"/>
        </w:rPr>
        <w:t>最后报价</w:t>
      </w:r>
    </w:p>
    <w:p w14:paraId="281D1C26">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 xml:space="preserve">（1）采购文件能够详细列明采购标的的技术、服务要求的，磋商结束后，磋商小组应当要求所有实质性响应的供应商在规定时间内提交最后报价，提交最后报价的供应商不得少于3家。 </w:t>
      </w:r>
    </w:p>
    <w:p w14:paraId="383F9A57">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采购文件不能详细列明采购标的的技术、服务要求，需经磋商由供应商提供最终设计方案或解决方案的，磋商结束后，磋商小组应当按照少数服从多数的原则投票推荐3家以上供应商的设计方案或者解决方案，并要求其在规定时间内提交最后报价。</w:t>
      </w:r>
    </w:p>
    <w:p w14:paraId="07D5C3BC">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最后报价是供应商响应文件的有效组成部分。</w:t>
      </w:r>
    </w:p>
    <w:p w14:paraId="256AF7CC">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（2）如符合“市场竞争不充分的科研项目、需要扶持的科技成果转化项目、政府购买服务项目（含政府和社会资本合作项目）的，提交最后报价的供应商可以为2家。</w:t>
      </w:r>
    </w:p>
    <w:p w14:paraId="231DB526">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w:t>
      </w:r>
      <w:r>
        <w:rPr>
          <w:rFonts w:hint="eastAsia" w:ascii="宋体" w:hAnsi="宋体" w:eastAsia="宋体" w:cs="宋体"/>
          <w:color w:val="auto"/>
          <w:highlight w:val="none"/>
          <w:lang w:val="en-US" w:eastAsia="zh-CN"/>
        </w:rPr>
        <w:t>3</w:t>
      </w:r>
      <w:r>
        <w:rPr>
          <w:rFonts w:hint="eastAsia" w:ascii="宋体" w:hAnsi="宋体" w:eastAsia="宋体" w:cs="宋体"/>
          <w:color w:val="auto"/>
          <w:highlight w:val="none"/>
        </w:rPr>
        <w:t>）最后报价要求通过</w:t>
      </w:r>
      <w:r>
        <w:rPr>
          <w:rFonts w:hint="eastAsia" w:ascii="宋体" w:hAnsi="宋体" w:eastAsia="宋体" w:cs="宋体"/>
          <w:color w:val="auto"/>
          <w:szCs w:val="21"/>
          <w:highlight w:val="none"/>
        </w:rPr>
        <w:t>广西政府采购云平台</w:t>
      </w:r>
      <w:r>
        <w:rPr>
          <w:rFonts w:hint="eastAsia" w:ascii="宋体" w:hAnsi="宋体" w:eastAsia="宋体" w:cs="宋体"/>
          <w:color w:val="auto"/>
          <w:highlight w:val="none"/>
        </w:rPr>
        <w:t>发出，供应商需在</w:t>
      </w:r>
      <w:r>
        <w:rPr>
          <w:rFonts w:hint="eastAsia" w:ascii="宋体" w:hAnsi="宋体" w:eastAsia="宋体" w:cs="宋体"/>
          <w:color w:val="auto"/>
          <w:szCs w:val="21"/>
          <w:highlight w:val="none"/>
        </w:rPr>
        <w:t>广西政府采购云平台</w:t>
      </w:r>
      <w:r>
        <w:rPr>
          <w:rFonts w:hint="eastAsia" w:ascii="宋体" w:hAnsi="宋体" w:eastAsia="宋体" w:cs="宋体"/>
          <w:color w:val="auto"/>
          <w:highlight w:val="none"/>
        </w:rPr>
        <w:t>设置的时间内报价，最后报价不得超过采购预算金额且具有唯一性，否则否决其响应。</w:t>
      </w:r>
    </w:p>
    <w:p w14:paraId="0F4F78B1">
      <w:pPr>
        <w:keepNext w:val="0"/>
        <w:keepLines w:val="0"/>
        <w:pageBreakBefore w:val="0"/>
        <w:kinsoku/>
        <w:wordWrap/>
        <w:overflowPunct/>
        <w:topLinePunct w:val="0"/>
        <w:bidi w:val="0"/>
        <w:adjustRightInd/>
        <w:snapToGrid/>
        <w:spacing w:line="300" w:lineRule="auto"/>
        <w:ind w:left="0" w:leftChars="0" w:firstLine="422" w:firstLineChars="200"/>
        <w:textAlignment w:val="auto"/>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最后报价与首次报价相比有调整的：供应商提交的最后报价必须包含已标价的工程量清单，即最后报价是工程量清单全部工作内容的价格体现，具体包括供应商部分（分部分项工程量清单费用、措施项目清单费用、规费、税金、其它项目）和采购人部分（暂列金、材料购置费）（如有）等完成本工程并经验收合格至达到质量保修期限所需的费用、合理利润及风险。如采购文件或磋商过程中明确供应商应提供技术服务及其它服务的（如检测费、验收发生的费用），相应费用也应包括在最后报价中。最后报价不允许采用汇总后优惠、打折的形式，否则其报价无效并作无效响应处理。</w:t>
      </w:r>
    </w:p>
    <w:p w14:paraId="2157EC52">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w:t>
      </w:r>
      <w:r>
        <w:rPr>
          <w:rFonts w:hint="eastAsia" w:ascii="宋体" w:hAnsi="宋体" w:eastAsia="宋体" w:cs="宋体"/>
          <w:color w:val="auto"/>
          <w:highlight w:val="none"/>
          <w:lang w:val="en-US" w:eastAsia="zh-CN"/>
        </w:rPr>
        <w:t>4</w:t>
      </w:r>
      <w:r>
        <w:rPr>
          <w:rFonts w:hint="eastAsia" w:ascii="宋体" w:hAnsi="宋体" w:eastAsia="宋体" w:cs="宋体"/>
          <w:color w:val="auto"/>
          <w:highlight w:val="none"/>
        </w:rPr>
        <w:t>）已提交响应文件的供应商，在提交最后报价之前，可以根据磋商情况退出磋商</w:t>
      </w:r>
      <w:r>
        <w:rPr>
          <w:rFonts w:hint="eastAsia" w:ascii="宋体" w:hAnsi="宋体" w:eastAsia="宋体" w:cs="宋体"/>
          <w:color w:val="auto"/>
          <w:highlight w:val="none"/>
          <w:lang w:eastAsia="zh-CN"/>
        </w:rPr>
        <w:t>，</w:t>
      </w:r>
      <w:r>
        <w:rPr>
          <w:rFonts w:hint="eastAsia" w:ascii="宋体" w:hAnsi="宋体" w:eastAsia="宋体" w:cs="宋体"/>
          <w:color w:val="auto"/>
          <w:highlight w:val="none"/>
        </w:rPr>
        <w:t>退出磋商的供应商的响应文件无效。退出磋商的说明须经签字扫描后以电子邮件方式发送至采购代理机构，并及时通知项目负责人。磋商小组在评审报告中注明退出磋商的供应商名单。采购人、采购代理机构应当退还退出磋商的供应商的磋商保证金。</w:t>
      </w:r>
    </w:p>
    <w:p w14:paraId="59404E9B">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r>
        <w:rPr>
          <w:rFonts w:hint="eastAsia" w:ascii="宋体" w:hAnsi="宋体" w:eastAsia="宋体" w:cs="宋体"/>
          <w:color w:val="auto"/>
          <w:szCs w:val="21"/>
          <w:highlight w:val="none"/>
          <w:lang w:val="en-US" w:eastAsia="zh-CN"/>
        </w:rPr>
        <w:t>5</w:t>
      </w:r>
      <w:r>
        <w:rPr>
          <w:rFonts w:hint="eastAsia" w:ascii="宋体" w:hAnsi="宋体" w:eastAsia="宋体" w:cs="宋体"/>
          <w:color w:val="auto"/>
          <w:szCs w:val="21"/>
          <w:highlight w:val="none"/>
        </w:rPr>
        <w:t>）供应商未在规定时间内提交最后报价的，视同退出磋商。</w:t>
      </w:r>
    </w:p>
    <w:p w14:paraId="7639B8F6">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szCs w:val="21"/>
          <w:highlight w:val="none"/>
        </w:rPr>
        <w:t>（</w:t>
      </w:r>
      <w:r>
        <w:rPr>
          <w:rFonts w:hint="eastAsia" w:ascii="宋体" w:hAnsi="宋体" w:eastAsia="宋体" w:cs="宋体"/>
          <w:color w:val="auto"/>
          <w:szCs w:val="21"/>
          <w:highlight w:val="none"/>
          <w:lang w:val="en-US" w:eastAsia="zh-CN"/>
        </w:rPr>
        <w:t>6</w:t>
      </w:r>
      <w:r>
        <w:rPr>
          <w:rFonts w:hint="eastAsia" w:ascii="宋体" w:hAnsi="宋体" w:eastAsia="宋体" w:cs="宋体"/>
          <w:color w:val="auto"/>
          <w:szCs w:val="21"/>
          <w:highlight w:val="none"/>
        </w:rPr>
        <w:t>）最后报价结束后，磋商小组不得再与供应商进行任何形式的商谈。</w:t>
      </w:r>
    </w:p>
    <w:p w14:paraId="3C913704">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6.3.</w:t>
      </w:r>
      <w:r>
        <w:rPr>
          <w:rFonts w:hint="eastAsia" w:ascii="宋体" w:hAnsi="宋体" w:eastAsia="宋体" w:cs="宋体"/>
          <w:color w:val="auto"/>
          <w:szCs w:val="21"/>
          <w:highlight w:val="none"/>
          <w:lang w:val="en-US" w:eastAsia="zh-CN"/>
        </w:rPr>
        <w:t>9</w:t>
      </w:r>
      <w:r>
        <w:rPr>
          <w:rFonts w:hint="eastAsia" w:ascii="宋体" w:hAnsi="宋体" w:eastAsia="宋体" w:cs="宋体"/>
          <w:color w:val="auto"/>
          <w:szCs w:val="21"/>
          <w:highlight w:val="none"/>
        </w:rPr>
        <w:t>串通投标认定</w:t>
      </w:r>
    </w:p>
    <w:p w14:paraId="69FD24AD">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szCs w:val="21"/>
          <w:highlight w:val="none"/>
        </w:rPr>
        <w:t>磋商小组须根据以下规定认定供应商是否有</w:t>
      </w:r>
      <w:r>
        <w:rPr>
          <w:rFonts w:hint="eastAsia" w:ascii="宋体" w:hAnsi="宋体" w:eastAsia="宋体" w:cs="宋体"/>
          <w:bCs/>
          <w:color w:val="auto"/>
          <w:kern w:val="0"/>
          <w:szCs w:val="21"/>
          <w:highlight w:val="none"/>
        </w:rPr>
        <w:t>串通投标的行为</w:t>
      </w:r>
      <w:r>
        <w:rPr>
          <w:rFonts w:hint="eastAsia" w:ascii="宋体" w:hAnsi="宋体" w:eastAsia="宋体" w:cs="宋体"/>
          <w:color w:val="auto"/>
          <w:highlight w:val="none"/>
        </w:rPr>
        <w:t>。</w:t>
      </w:r>
    </w:p>
    <w:p w14:paraId="73A1C0C0">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bookmarkStart w:id="59" w:name="_Hlk19122026"/>
      <w:r>
        <w:rPr>
          <w:rFonts w:hint="eastAsia" w:ascii="宋体" w:hAnsi="宋体" w:eastAsia="宋体" w:cs="宋体"/>
          <w:color w:val="auto"/>
          <w:szCs w:val="21"/>
          <w:highlight w:val="none"/>
        </w:rPr>
        <w:t>（1）</w:t>
      </w:r>
      <w:bookmarkEnd w:id="59"/>
      <w:r>
        <w:rPr>
          <w:rFonts w:hint="eastAsia" w:ascii="宋体" w:hAnsi="宋体" w:eastAsia="宋体" w:cs="宋体"/>
          <w:color w:val="auto"/>
          <w:szCs w:val="21"/>
          <w:highlight w:val="none"/>
        </w:rPr>
        <w:t>根据《关于防治政府采购招标中串通投标行为的通知》（桂财采</w:t>
      </w:r>
      <w:r>
        <w:rPr>
          <w:rFonts w:hint="eastAsia" w:ascii="宋体" w:hAnsi="宋体" w:eastAsia="宋体" w:cs="宋体"/>
          <w:color w:val="auto"/>
          <w:szCs w:val="21"/>
          <w:highlight w:val="none"/>
          <w:lang w:eastAsia="zh-CN"/>
        </w:rPr>
        <w:t>〔2016〕</w:t>
      </w:r>
      <w:r>
        <w:rPr>
          <w:rFonts w:hint="eastAsia" w:ascii="宋体" w:hAnsi="宋体" w:eastAsia="宋体" w:cs="宋体"/>
          <w:color w:val="auto"/>
          <w:szCs w:val="21"/>
          <w:highlight w:val="none"/>
        </w:rPr>
        <w:t>42号）规定，出现下述情况的，相关供应商的投标作无效投标处理。</w:t>
      </w:r>
    </w:p>
    <w:p w14:paraId="6BBAA7C6">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bookmarkStart w:id="60" w:name="_Hlk19122039"/>
      <w:r>
        <w:rPr>
          <w:rFonts w:hint="eastAsia" w:ascii="宋体" w:hAnsi="宋体" w:eastAsia="宋体" w:cs="宋体"/>
          <w:color w:val="auto"/>
          <w:szCs w:val="21"/>
          <w:highlight w:val="none"/>
        </w:rPr>
        <w:t>①单位负责人为同一人或者存在直接控股、管理关系，参加同一合同项下政府采购活动的不同供应商。</w:t>
      </w:r>
    </w:p>
    <w:p w14:paraId="2B75EBBB">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②授权给供应商后参加同一合同项（分标、分包）投标的生产厂商。</w:t>
      </w:r>
    </w:p>
    <w:p w14:paraId="61A93801">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③视为或被认定为串通投标的相关供应商。</w:t>
      </w:r>
    </w:p>
    <w:bookmarkEnd w:id="60"/>
    <w:p w14:paraId="585B8D9D">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bookmarkStart w:id="61" w:name="_Hlk19122058"/>
      <w:r>
        <w:rPr>
          <w:rFonts w:hint="eastAsia" w:ascii="宋体" w:hAnsi="宋体" w:eastAsia="宋体" w:cs="宋体"/>
          <w:color w:val="auto"/>
          <w:szCs w:val="21"/>
          <w:highlight w:val="none"/>
        </w:rPr>
        <w:t>（2）</w:t>
      </w:r>
      <w:bookmarkEnd w:id="61"/>
      <w:r>
        <w:rPr>
          <w:rFonts w:hint="eastAsia" w:ascii="宋体" w:hAnsi="宋体" w:eastAsia="宋体" w:cs="宋体"/>
          <w:color w:val="auto"/>
          <w:szCs w:val="21"/>
          <w:highlight w:val="none"/>
        </w:rPr>
        <w:t>根据《关于防治政府采购招标中串通投标行为的通知》（桂财采</w:t>
      </w:r>
      <w:r>
        <w:rPr>
          <w:rFonts w:hint="eastAsia" w:ascii="宋体" w:hAnsi="宋体" w:eastAsia="宋体" w:cs="宋体"/>
          <w:color w:val="auto"/>
          <w:szCs w:val="21"/>
          <w:highlight w:val="none"/>
          <w:lang w:eastAsia="zh-CN"/>
        </w:rPr>
        <w:t>〔2016〕</w:t>
      </w:r>
      <w:r>
        <w:rPr>
          <w:rFonts w:hint="eastAsia" w:ascii="宋体" w:hAnsi="宋体" w:eastAsia="宋体" w:cs="宋体"/>
          <w:color w:val="auto"/>
          <w:szCs w:val="21"/>
          <w:highlight w:val="none"/>
        </w:rPr>
        <w:t>42号）规定，有下列情形之一的视为供应商相互串通投标，响应文件将被视为无效。</w:t>
      </w:r>
    </w:p>
    <w:p w14:paraId="7D5E0E83">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bookmarkStart w:id="62" w:name="_Hlk19122048"/>
      <w:r>
        <w:rPr>
          <w:rFonts w:hint="eastAsia" w:ascii="宋体" w:hAnsi="宋体" w:eastAsia="宋体" w:cs="宋体"/>
          <w:color w:val="auto"/>
          <w:szCs w:val="21"/>
          <w:highlight w:val="none"/>
        </w:rPr>
        <w:t>①不同供应商的响应文件由同一单位或者个人编制；或不同供应商报名的IP地址一致的；</w:t>
      </w:r>
    </w:p>
    <w:p w14:paraId="26C5C866">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②不同供应商委托同一单位或者个人办理投标事宜；</w:t>
      </w:r>
    </w:p>
    <w:p w14:paraId="1F620E0D">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③不同的供应商的响应文件载明的项目管理员为同一个人；</w:t>
      </w:r>
    </w:p>
    <w:p w14:paraId="52CF5B6E">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④不同供应商的响应文件异常一致或投标报价呈规律性差异；</w:t>
      </w:r>
    </w:p>
    <w:p w14:paraId="45D876B2">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⑤不同供应商的响应文件相互混装；</w:t>
      </w:r>
    </w:p>
    <w:p w14:paraId="5186CC83">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⑥不同供应商的保证金从同一单位或者个人账户转出。</w:t>
      </w:r>
    </w:p>
    <w:bookmarkEnd w:id="62"/>
    <w:p w14:paraId="276B4625">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bookmarkStart w:id="63" w:name="_Hlk19122102"/>
      <w:r>
        <w:rPr>
          <w:rFonts w:hint="eastAsia" w:ascii="宋体" w:hAnsi="宋体" w:eastAsia="宋体" w:cs="宋体"/>
          <w:color w:val="auto"/>
          <w:szCs w:val="21"/>
          <w:highlight w:val="none"/>
        </w:rPr>
        <w:t>（3）</w:t>
      </w:r>
      <w:bookmarkEnd w:id="63"/>
      <w:r>
        <w:rPr>
          <w:rFonts w:hint="eastAsia" w:ascii="宋体" w:hAnsi="宋体" w:eastAsia="宋体" w:cs="宋体"/>
          <w:color w:val="auto"/>
          <w:szCs w:val="21"/>
          <w:highlight w:val="none"/>
        </w:rPr>
        <w:t>根据《关于防治政府采购招标中串通投标行为的通知》（桂财采[2016]42号）规定，供应商有下列情形之一的，属于恶意串通行为，响应文件将被视为无效。</w:t>
      </w:r>
    </w:p>
    <w:p w14:paraId="5F01F10F">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bookmarkStart w:id="64" w:name="_Hlk19122095"/>
      <w:r>
        <w:rPr>
          <w:rFonts w:hint="eastAsia" w:ascii="宋体" w:hAnsi="宋体" w:eastAsia="宋体" w:cs="宋体"/>
          <w:color w:val="auto"/>
          <w:szCs w:val="21"/>
          <w:highlight w:val="none"/>
        </w:rPr>
        <w:t>①供应商直接或者间接从采购人或者采购代理机构处获得其他供应商的相关信息并修改其响应文件或者响应文件；</w:t>
      </w:r>
    </w:p>
    <w:p w14:paraId="2D854A86">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②供应商按照采购人或者采购代理机构的授意撤换、修改响应文件或者响应文件;；</w:t>
      </w:r>
    </w:p>
    <w:p w14:paraId="6F78A422">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③供应商之间协商报价、技术方案等响应文件或者响应文件的实质性内容；</w:t>
      </w:r>
    </w:p>
    <w:p w14:paraId="6FAB4DF8">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④属于同一集团、协会、商会等组织成员的供应商按照该组织要求协同参加政府采购活动；</w:t>
      </w:r>
    </w:p>
    <w:p w14:paraId="67740841">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⑤供应商之间事先约定一致抬高或者压低投标报价，或者在招标项目中事先约定轮流以高价位或者低价位中标，或者事先约定由某一特定供应商中标，然后再参加投标；</w:t>
      </w:r>
    </w:p>
    <w:p w14:paraId="05F8B460">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⑥供应商之间商定部分供应商放弃参加政府采购活动或者放弃中标；</w:t>
      </w:r>
    </w:p>
    <w:p w14:paraId="5A5F34F6">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⑦供应商与采购人或者采购代理机构之间、供应商相互之间，为谋求特定供应商中标或者排斥其他供应商的其他串通行为。</w:t>
      </w:r>
    </w:p>
    <w:bookmarkEnd w:id="64"/>
    <w:p w14:paraId="272C562A">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6.3.</w:t>
      </w:r>
      <w:r>
        <w:rPr>
          <w:rFonts w:hint="eastAsia" w:ascii="宋体" w:hAnsi="宋体" w:eastAsia="宋体" w:cs="宋体"/>
          <w:color w:val="auto"/>
          <w:szCs w:val="21"/>
          <w:highlight w:val="none"/>
          <w:lang w:val="en-US" w:eastAsia="zh-CN"/>
        </w:rPr>
        <w:t>10</w:t>
      </w:r>
      <w:r>
        <w:rPr>
          <w:rFonts w:hint="eastAsia" w:ascii="宋体" w:hAnsi="宋体" w:eastAsia="宋体" w:cs="宋体"/>
          <w:color w:val="auto"/>
          <w:szCs w:val="21"/>
          <w:highlight w:val="none"/>
        </w:rPr>
        <w:t>响应无效认定</w:t>
      </w:r>
    </w:p>
    <w:p w14:paraId="5052B14B">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（1）在评审过程中如发现下列情形之一的，响应文件将被视为无效：</w:t>
      </w:r>
    </w:p>
    <w:p w14:paraId="0DA9FD90">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szCs w:val="21"/>
          <w:highlight w:val="none"/>
        </w:rPr>
        <w:t>①响应文件存在法律、法规及监督部门有关文件规定的无效情形。</w:t>
      </w:r>
    </w:p>
    <w:p w14:paraId="13DCCE42">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②响应文件存在采购文件规定的无效情形。</w:t>
      </w:r>
    </w:p>
    <w:p w14:paraId="0B47C432">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bookmarkStart w:id="65" w:name="_Hlk19113313"/>
      <w:r>
        <w:rPr>
          <w:rFonts w:hint="eastAsia" w:ascii="宋体" w:hAnsi="宋体" w:eastAsia="宋体" w:cs="宋体"/>
          <w:color w:val="auto"/>
          <w:szCs w:val="21"/>
          <w:highlight w:val="none"/>
        </w:rPr>
        <w:t>（2）根据财库《关于促进政府采购公平竞争优化营商环境的通知》（〔2019〕38号）以及《广西壮族自治区财政厅转发财政部关于促进政府采购公平竞争优化营商环境的通知》（桂财采〔2019〕41号）规定，磋商小组不得因装订、纸张、文件排序等非实质性的格式、形式问题认定投标无效或否决投标，从而限制和影响供应商投标（响应）。</w:t>
      </w:r>
    </w:p>
    <w:bookmarkEnd w:id="65"/>
    <w:p w14:paraId="76455DEF">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bookmarkStart w:id="66" w:name="_Hlk19113363"/>
      <w:r>
        <w:rPr>
          <w:rFonts w:hint="eastAsia" w:ascii="宋体" w:hAnsi="宋体" w:eastAsia="宋体" w:cs="宋体"/>
          <w:color w:val="auto"/>
          <w:szCs w:val="21"/>
          <w:highlight w:val="none"/>
        </w:rPr>
        <w:t>6.3.1</w:t>
      </w:r>
      <w:r>
        <w:rPr>
          <w:rFonts w:hint="eastAsia" w:ascii="宋体" w:hAnsi="宋体" w:eastAsia="宋体" w:cs="宋体"/>
          <w:color w:val="auto"/>
          <w:szCs w:val="21"/>
          <w:highlight w:val="none"/>
          <w:lang w:val="en-US" w:eastAsia="zh-CN"/>
        </w:rPr>
        <w:t>1</w:t>
      </w:r>
      <w:r>
        <w:rPr>
          <w:rFonts w:hint="eastAsia" w:ascii="宋体" w:hAnsi="宋体" w:eastAsia="宋体" w:cs="宋体"/>
          <w:color w:val="auto"/>
          <w:szCs w:val="21"/>
          <w:highlight w:val="none"/>
        </w:rPr>
        <w:t>比较与评价</w:t>
      </w:r>
    </w:p>
    <w:p w14:paraId="17C6654B">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（1）磋商小组按采购文件中规定的评审方法和标准，对提交最后报价的供应商的响应文件和最后报价进行综合评分。</w:t>
      </w:r>
    </w:p>
    <w:p w14:paraId="776A700F">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（2）磋商小组各成员独立对每个有效供应商的响应文件进行评价、打分。评价打分有误的应及时进行修正。评分标准如有客观分定义，磋商小组所有成员的客观分评分分值应当一致。</w:t>
      </w:r>
    </w:p>
    <w:p w14:paraId="7145BE5C">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磋商小组按综合评分由高到低的排列顺序推荐3名以上成交候选供应商，综合评分排名第一的为第一成交候选供应商。若成交候选人综合评分相同的，按最后报价由低到高顺序排列；综合评分且最后报价相同的</w:t>
      </w:r>
      <w:r>
        <w:rPr>
          <w:rFonts w:hint="eastAsia" w:ascii="宋体" w:hAnsi="宋体" w:eastAsia="宋体" w:cs="宋体"/>
          <w:color w:val="auto"/>
          <w:highlight w:val="none"/>
        </w:rPr>
        <w:t>并列</w:t>
      </w:r>
      <w:r>
        <w:rPr>
          <w:rFonts w:hint="eastAsia" w:ascii="宋体" w:hAnsi="宋体" w:eastAsia="宋体" w:cs="宋体"/>
          <w:color w:val="auto"/>
          <w:szCs w:val="21"/>
          <w:highlight w:val="none"/>
        </w:rPr>
        <w:t>；成交候选人并列的，按技术部分评分由高到低顺序排列，若综合评分、最后报价、技术部分评分均相同的，按商务资信部分评分由高到低顺序排列。若综合评分、最后报价、技术部分评分、商务资信部分评分均相同的，由采购人自行决定。</w:t>
      </w:r>
    </w:p>
    <w:p w14:paraId="5F0EE024">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szCs w:val="21"/>
          <w:highlight w:val="none"/>
        </w:rPr>
        <w:t>（4）磋商小组根据评审记录及评审结果编写评审报告，磋商小组成员均应当在评审报告上签字，对自己的评审意见承担法律责任。</w:t>
      </w:r>
      <w:r>
        <w:rPr>
          <w:rFonts w:hint="eastAsia" w:ascii="宋体" w:hAnsi="宋体" w:eastAsia="宋体" w:cs="宋体"/>
          <w:color w:val="auto"/>
          <w:highlight w:val="none"/>
        </w:rPr>
        <w:t>评审报告签署前，经复核发现存在以下情形之一的，磋商小组应当当场修改评审结果，并在评审报告中记载；评审报告签署后，采购人或者采购代理机构发现存在以下情形之一的，应当组织原磋商小组进行重新评审。</w:t>
      </w:r>
    </w:p>
    <w:p w14:paraId="219C400C">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资格性检查认定错误、分值汇总计算错误、分项评分超出评分标准范围、客观分评分不一致、经磋商小组一致认定评分畸高、畸低。</w:t>
      </w:r>
    </w:p>
    <w:bookmarkEnd w:id="66"/>
    <w:p w14:paraId="6E0A1BF2">
      <w:pPr>
        <w:keepNext w:val="0"/>
        <w:keepLines w:val="0"/>
        <w:pageBreakBefore w:val="0"/>
        <w:kinsoku/>
        <w:wordWrap/>
        <w:overflowPunct/>
        <w:topLinePunct w:val="0"/>
        <w:bidi w:val="0"/>
        <w:adjustRightInd/>
        <w:snapToGrid/>
        <w:spacing w:line="300" w:lineRule="auto"/>
        <w:ind w:left="0" w:leftChars="0" w:firstLine="422" w:firstLineChars="200"/>
        <w:textAlignment w:val="auto"/>
        <w:outlineLvl w:val="2"/>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6.4确定成交供应商</w:t>
      </w:r>
    </w:p>
    <w:p w14:paraId="26F38667">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6.4.1采购代理机构在评审结束后2个工作日内将评审报告送采购人，采购人在5个工作日内按照评审报告中推荐的成交候选供应商顺序确定成交供应商。</w:t>
      </w:r>
    </w:p>
    <w:p w14:paraId="73AD62FF">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6.4.2采购人、采购代理机构认为供应商对采购过程、成交结果提出的质疑成立且影响或者可能影响成交结果的，合格供应商符合法定数量时，可以从合格的成交候选供应商中另行确定成交供应商的，应当依法另行确定成交供应商；否则应当重新开展采购活动。</w:t>
      </w:r>
    </w:p>
    <w:p w14:paraId="2EDD4293">
      <w:pPr>
        <w:keepNext w:val="0"/>
        <w:keepLines w:val="0"/>
        <w:pageBreakBefore w:val="0"/>
        <w:kinsoku/>
        <w:wordWrap/>
        <w:overflowPunct/>
        <w:topLinePunct w:val="0"/>
        <w:bidi w:val="0"/>
        <w:adjustRightInd/>
        <w:snapToGrid/>
        <w:spacing w:line="300" w:lineRule="auto"/>
        <w:ind w:left="0" w:leftChars="0" w:firstLine="422" w:firstLineChars="200"/>
        <w:textAlignment w:val="auto"/>
        <w:outlineLvl w:val="2"/>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6.5结果公告</w:t>
      </w:r>
    </w:p>
    <w:p w14:paraId="6E5FF7B4">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6.5.1自成交供应商确定后2个工作日内，采购代理机构按照供应商须知</w:t>
      </w:r>
      <w:r>
        <w:rPr>
          <w:rFonts w:hint="eastAsia" w:ascii="宋体" w:hAnsi="宋体" w:eastAsia="宋体" w:cs="宋体"/>
          <w:color w:val="auto"/>
          <w:kern w:val="0"/>
          <w:szCs w:val="21"/>
          <w:highlight w:val="none"/>
        </w:rPr>
        <w:t>前附表的规定公告</w:t>
      </w:r>
      <w:r>
        <w:rPr>
          <w:rFonts w:hint="eastAsia" w:ascii="宋体" w:hAnsi="宋体" w:eastAsia="宋体" w:cs="宋体"/>
          <w:color w:val="auto"/>
          <w:szCs w:val="21"/>
          <w:highlight w:val="none"/>
        </w:rPr>
        <w:t>成交结果</w:t>
      </w:r>
      <w:r>
        <w:rPr>
          <w:rFonts w:hint="eastAsia" w:ascii="宋体" w:hAnsi="宋体" w:eastAsia="宋体" w:cs="宋体"/>
          <w:color w:val="auto"/>
          <w:szCs w:val="21"/>
          <w:highlight w:val="none"/>
          <w:lang w:eastAsia="zh-CN"/>
        </w:rPr>
        <w:t>，成交</w:t>
      </w:r>
      <w:r>
        <w:rPr>
          <w:rFonts w:hint="eastAsia" w:ascii="宋体" w:hAnsi="宋体" w:eastAsia="宋体" w:cs="宋体"/>
          <w:color w:val="auto"/>
          <w:szCs w:val="21"/>
          <w:highlight w:val="none"/>
        </w:rPr>
        <w:t>结果公告期限为1个工作日</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发布</w:t>
      </w:r>
      <w:r>
        <w:rPr>
          <w:rFonts w:hint="eastAsia" w:ascii="宋体" w:hAnsi="宋体" w:eastAsia="宋体" w:cs="宋体"/>
          <w:color w:val="auto"/>
          <w:szCs w:val="21"/>
          <w:highlight w:val="none"/>
          <w:lang w:eastAsia="zh-CN"/>
        </w:rPr>
        <w:t>成交</w:t>
      </w:r>
      <w:r>
        <w:rPr>
          <w:rFonts w:hint="eastAsia" w:ascii="宋体" w:hAnsi="宋体" w:eastAsia="宋体" w:cs="宋体"/>
          <w:color w:val="auto"/>
          <w:szCs w:val="21"/>
          <w:highlight w:val="none"/>
        </w:rPr>
        <w:t>结果公告的同时向</w:t>
      </w:r>
      <w:r>
        <w:rPr>
          <w:rFonts w:hint="eastAsia" w:ascii="宋体" w:hAnsi="宋体" w:eastAsia="宋体" w:cs="宋体"/>
          <w:color w:val="auto"/>
          <w:szCs w:val="21"/>
          <w:highlight w:val="none"/>
          <w:lang w:eastAsia="zh-CN"/>
        </w:rPr>
        <w:t>成交</w:t>
      </w:r>
      <w:r>
        <w:rPr>
          <w:rFonts w:hint="eastAsia" w:ascii="宋体" w:hAnsi="宋体" w:eastAsia="宋体" w:cs="宋体"/>
          <w:color w:val="auto"/>
          <w:szCs w:val="21"/>
          <w:highlight w:val="none"/>
        </w:rPr>
        <w:t>供应商发出</w:t>
      </w:r>
      <w:r>
        <w:rPr>
          <w:rFonts w:hint="eastAsia" w:ascii="宋体" w:hAnsi="宋体" w:eastAsia="宋体" w:cs="宋体"/>
          <w:color w:val="auto"/>
          <w:szCs w:val="21"/>
          <w:highlight w:val="none"/>
          <w:lang w:eastAsia="zh-CN"/>
        </w:rPr>
        <w:t>成交</w:t>
      </w:r>
      <w:r>
        <w:rPr>
          <w:rFonts w:hint="eastAsia" w:ascii="宋体" w:hAnsi="宋体" w:eastAsia="宋体" w:cs="宋体"/>
          <w:color w:val="auto"/>
          <w:szCs w:val="21"/>
          <w:highlight w:val="none"/>
        </w:rPr>
        <w:t>通知书。采购代理机构发出</w:t>
      </w:r>
      <w:r>
        <w:rPr>
          <w:rFonts w:hint="eastAsia" w:ascii="宋体" w:hAnsi="宋体" w:eastAsia="宋体" w:cs="宋体"/>
          <w:color w:val="auto"/>
          <w:szCs w:val="21"/>
          <w:highlight w:val="none"/>
          <w:lang w:eastAsia="zh-CN"/>
        </w:rPr>
        <w:t>成交</w:t>
      </w:r>
      <w:r>
        <w:rPr>
          <w:rFonts w:hint="eastAsia" w:ascii="宋体" w:hAnsi="宋体" w:eastAsia="宋体" w:cs="宋体"/>
          <w:color w:val="auto"/>
          <w:szCs w:val="21"/>
          <w:highlight w:val="none"/>
        </w:rPr>
        <w:t>通知书前，应当对</w:t>
      </w:r>
      <w:r>
        <w:rPr>
          <w:rFonts w:hint="eastAsia" w:ascii="宋体" w:hAnsi="宋体" w:eastAsia="宋体" w:cs="宋体"/>
          <w:color w:val="auto"/>
          <w:szCs w:val="21"/>
          <w:highlight w:val="none"/>
          <w:lang w:eastAsia="zh-CN"/>
        </w:rPr>
        <w:t>成交</w:t>
      </w:r>
      <w:r>
        <w:rPr>
          <w:rFonts w:hint="eastAsia" w:ascii="宋体" w:hAnsi="宋体" w:eastAsia="宋体" w:cs="宋体"/>
          <w:color w:val="auto"/>
          <w:szCs w:val="21"/>
          <w:highlight w:val="none"/>
          <w:lang w:val="en-US" w:eastAsia="zh-CN"/>
        </w:rPr>
        <w:t>供应商</w:t>
      </w:r>
      <w:r>
        <w:rPr>
          <w:rFonts w:hint="eastAsia" w:ascii="宋体" w:hAnsi="宋体" w:eastAsia="宋体" w:cs="宋体"/>
          <w:color w:val="auto"/>
          <w:szCs w:val="21"/>
          <w:highlight w:val="none"/>
        </w:rPr>
        <w:t>信用进行核实，对列入失信被执行人、</w:t>
      </w:r>
      <w:r>
        <w:rPr>
          <w:rFonts w:hint="eastAsia" w:ascii="宋体" w:hAnsi="宋体" w:eastAsia="宋体" w:cs="宋体"/>
          <w:color w:val="auto"/>
          <w:kern w:val="0"/>
          <w:szCs w:val="21"/>
          <w:highlight w:val="none"/>
        </w:rPr>
        <w:t>重大税收违法失信主体</w:t>
      </w:r>
      <w:r>
        <w:rPr>
          <w:rFonts w:hint="eastAsia" w:ascii="宋体" w:hAnsi="宋体" w:eastAsia="宋体" w:cs="宋体"/>
          <w:color w:val="auto"/>
          <w:szCs w:val="21"/>
          <w:highlight w:val="none"/>
        </w:rPr>
        <w:t>、政府采购严重违法失信行为记录名单及其他不符合《中华人民共和国政府采购法》第二十二条规定条件的</w:t>
      </w:r>
      <w:r>
        <w:rPr>
          <w:rFonts w:hint="eastAsia" w:ascii="宋体" w:hAnsi="宋体" w:eastAsia="宋体" w:cs="宋体"/>
          <w:color w:val="auto"/>
          <w:szCs w:val="21"/>
          <w:highlight w:val="none"/>
          <w:lang w:val="en-US" w:eastAsia="zh-CN"/>
        </w:rPr>
        <w:t>供应商</w:t>
      </w:r>
      <w:r>
        <w:rPr>
          <w:rFonts w:hint="eastAsia" w:ascii="宋体" w:hAnsi="宋体" w:eastAsia="宋体" w:cs="宋体"/>
          <w:color w:val="auto"/>
          <w:szCs w:val="21"/>
          <w:highlight w:val="none"/>
        </w:rPr>
        <w:t>，取消其</w:t>
      </w:r>
      <w:r>
        <w:rPr>
          <w:rFonts w:hint="eastAsia" w:ascii="宋体" w:hAnsi="宋体" w:eastAsia="宋体" w:cs="宋体"/>
          <w:color w:val="auto"/>
          <w:szCs w:val="21"/>
          <w:highlight w:val="none"/>
          <w:lang w:eastAsia="zh-CN"/>
        </w:rPr>
        <w:t>成交</w:t>
      </w:r>
      <w:r>
        <w:rPr>
          <w:rFonts w:hint="eastAsia" w:ascii="宋体" w:hAnsi="宋体" w:eastAsia="宋体" w:cs="宋体"/>
          <w:color w:val="auto"/>
          <w:szCs w:val="21"/>
          <w:highlight w:val="none"/>
        </w:rPr>
        <w:t>资格，并确定排名第二的</w:t>
      </w:r>
      <w:r>
        <w:rPr>
          <w:rFonts w:hint="eastAsia" w:ascii="宋体" w:hAnsi="宋体" w:eastAsia="宋体" w:cs="宋体"/>
          <w:color w:val="auto"/>
          <w:szCs w:val="21"/>
          <w:highlight w:val="none"/>
          <w:lang w:eastAsia="zh-CN"/>
        </w:rPr>
        <w:t>成交</w:t>
      </w:r>
      <w:r>
        <w:rPr>
          <w:rFonts w:hint="eastAsia" w:ascii="宋体" w:hAnsi="宋体" w:eastAsia="宋体" w:cs="宋体"/>
          <w:color w:val="auto"/>
          <w:szCs w:val="21"/>
          <w:highlight w:val="none"/>
        </w:rPr>
        <w:t>候选人为</w:t>
      </w:r>
      <w:r>
        <w:rPr>
          <w:rFonts w:hint="eastAsia" w:ascii="宋体" w:hAnsi="宋体" w:eastAsia="宋体" w:cs="宋体"/>
          <w:color w:val="auto"/>
          <w:szCs w:val="21"/>
          <w:highlight w:val="none"/>
          <w:lang w:eastAsia="zh-CN"/>
        </w:rPr>
        <w:t>成交</w:t>
      </w:r>
      <w:r>
        <w:rPr>
          <w:rFonts w:hint="eastAsia" w:ascii="宋体" w:hAnsi="宋体" w:eastAsia="宋体" w:cs="宋体"/>
          <w:color w:val="auto"/>
          <w:szCs w:val="21"/>
          <w:highlight w:val="none"/>
          <w:lang w:val="en-US" w:eastAsia="zh-CN"/>
        </w:rPr>
        <w:t>供应商</w:t>
      </w:r>
      <w:r>
        <w:rPr>
          <w:rFonts w:hint="eastAsia" w:ascii="宋体" w:hAnsi="宋体" w:eastAsia="宋体" w:cs="宋体"/>
          <w:color w:val="auto"/>
          <w:szCs w:val="21"/>
          <w:highlight w:val="none"/>
        </w:rPr>
        <w:t>。排名第二的</w:t>
      </w:r>
      <w:r>
        <w:rPr>
          <w:rFonts w:hint="eastAsia" w:ascii="宋体" w:hAnsi="宋体" w:eastAsia="宋体" w:cs="宋体"/>
          <w:color w:val="auto"/>
          <w:szCs w:val="21"/>
          <w:highlight w:val="none"/>
          <w:lang w:eastAsia="zh-CN"/>
        </w:rPr>
        <w:t>成交</w:t>
      </w:r>
      <w:r>
        <w:rPr>
          <w:rFonts w:hint="eastAsia" w:ascii="宋体" w:hAnsi="宋体" w:eastAsia="宋体" w:cs="宋体"/>
          <w:color w:val="auto"/>
          <w:szCs w:val="21"/>
          <w:highlight w:val="none"/>
        </w:rPr>
        <w:t>候选人因前款规定的同样原因被取消</w:t>
      </w:r>
      <w:r>
        <w:rPr>
          <w:rFonts w:hint="eastAsia" w:ascii="宋体" w:hAnsi="宋体" w:eastAsia="宋体" w:cs="宋体"/>
          <w:color w:val="auto"/>
          <w:szCs w:val="21"/>
          <w:highlight w:val="none"/>
          <w:lang w:eastAsia="zh-CN"/>
        </w:rPr>
        <w:t>成交</w:t>
      </w:r>
      <w:r>
        <w:rPr>
          <w:rFonts w:hint="eastAsia" w:ascii="宋体" w:hAnsi="宋体" w:eastAsia="宋体" w:cs="宋体"/>
          <w:color w:val="auto"/>
          <w:szCs w:val="21"/>
          <w:highlight w:val="none"/>
        </w:rPr>
        <w:t>资格的，</w:t>
      </w:r>
      <w:r>
        <w:rPr>
          <w:rFonts w:hint="eastAsia" w:ascii="宋体" w:hAnsi="宋体" w:eastAsia="宋体" w:cs="宋体"/>
          <w:color w:val="auto"/>
          <w:szCs w:val="21"/>
          <w:highlight w:val="none"/>
          <w:lang w:val="en-US" w:eastAsia="zh-CN"/>
        </w:rPr>
        <w:t>采购人</w:t>
      </w:r>
      <w:r>
        <w:rPr>
          <w:rFonts w:hint="eastAsia" w:ascii="宋体" w:hAnsi="宋体" w:eastAsia="宋体" w:cs="宋体"/>
          <w:color w:val="auto"/>
          <w:szCs w:val="21"/>
          <w:highlight w:val="none"/>
        </w:rPr>
        <w:t>可以确定排名第三的</w:t>
      </w:r>
      <w:r>
        <w:rPr>
          <w:rFonts w:hint="eastAsia" w:ascii="宋体" w:hAnsi="宋体" w:eastAsia="宋体" w:cs="宋体"/>
          <w:color w:val="auto"/>
          <w:szCs w:val="21"/>
          <w:highlight w:val="none"/>
          <w:lang w:eastAsia="zh-CN"/>
        </w:rPr>
        <w:t>成交</w:t>
      </w:r>
      <w:r>
        <w:rPr>
          <w:rFonts w:hint="eastAsia" w:ascii="宋体" w:hAnsi="宋体" w:eastAsia="宋体" w:cs="宋体"/>
          <w:color w:val="auto"/>
          <w:szCs w:val="21"/>
          <w:highlight w:val="none"/>
        </w:rPr>
        <w:t>候选人为</w:t>
      </w:r>
      <w:r>
        <w:rPr>
          <w:rFonts w:hint="eastAsia" w:ascii="宋体" w:hAnsi="宋体" w:eastAsia="宋体" w:cs="宋体"/>
          <w:color w:val="auto"/>
          <w:szCs w:val="21"/>
          <w:highlight w:val="none"/>
          <w:lang w:eastAsia="zh-CN"/>
        </w:rPr>
        <w:t>成交</w:t>
      </w:r>
      <w:r>
        <w:rPr>
          <w:rFonts w:hint="eastAsia" w:ascii="宋体" w:hAnsi="宋体" w:eastAsia="宋体" w:cs="宋体"/>
          <w:color w:val="auto"/>
          <w:szCs w:val="21"/>
          <w:highlight w:val="none"/>
          <w:lang w:val="en-US" w:eastAsia="zh-CN"/>
        </w:rPr>
        <w:t>供应商</w:t>
      </w:r>
      <w:r>
        <w:rPr>
          <w:rFonts w:hint="eastAsia" w:ascii="宋体" w:hAnsi="宋体" w:eastAsia="宋体" w:cs="宋体"/>
          <w:color w:val="auto"/>
          <w:szCs w:val="21"/>
          <w:highlight w:val="none"/>
        </w:rPr>
        <w:t>，以此类推。以上信息查询记录及相关证据与采购文件一并保存。</w:t>
      </w:r>
    </w:p>
    <w:p w14:paraId="1648D02E">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6.5.2在发布结果公告的同时，采购代理机构以供应商须知前附表规定的形式向成交供应商发出成交通知书。成交通知书发出后，采购人改变成交结果，或者成交供应商放弃成交，应当承担相应的法律责任。</w:t>
      </w:r>
    </w:p>
    <w:p w14:paraId="6BDB97B9">
      <w:pPr>
        <w:keepNext w:val="0"/>
        <w:keepLines w:val="0"/>
        <w:pageBreakBefore w:val="0"/>
        <w:suppressAutoHyphens/>
        <w:kinsoku/>
        <w:wordWrap/>
        <w:overflowPunct/>
        <w:topLinePunct w:val="0"/>
        <w:bidi w:val="0"/>
        <w:adjustRightInd/>
        <w:snapToGrid/>
        <w:spacing w:line="300" w:lineRule="auto"/>
        <w:ind w:left="0" w:leftChars="0" w:firstLine="422" w:firstLineChars="200"/>
        <w:textAlignment w:val="auto"/>
        <w:outlineLvl w:val="2"/>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6.6废标</w:t>
      </w:r>
    </w:p>
    <w:p w14:paraId="2B675BDD">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kern w:val="1"/>
          <w:szCs w:val="21"/>
          <w:highlight w:val="none"/>
        </w:rPr>
      </w:pPr>
      <w:r>
        <w:rPr>
          <w:rFonts w:hint="eastAsia" w:ascii="宋体" w:hAnsi="宋体" w:eastAsia="宋体" w:cs="宋体"/>
          <w:color w:val="auto"/>
          <w:kern w:val="1"/>
          <w:szCs w:val="21"/>
          <w:highlight w:val="none"/>
        </w:rPr>
        <w:t xml:space="preserve">6.6.1出现下列情形之一，将导致项目废标： </w:t>
      </w:r>
    </w:p>
    <w:p w14:paraId="55E9E244">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kern w:val="1"/>
          <w:szCs w:val="21"/>
          <w:highlight w:val="none"/>
        </w:rPr>
        <w:t>（1</w:t>
      </w:r>
      <w:r>
        <w:rPr>
          <w:rFonts w:hint="eastAsia" w:ascii="宋体" w:hAnsi="宋体" w:eastAsia="宋体" w:cs="宋体"/>
          <w:color w:val="auto"/>
          <w:szCs w:val="21"/>
          <w:highlight w:val="none"/>
        </w:rPr>
        <w:t>）符合专业条件的供应商或者对采购文件做实质性响应的供应商不足三家；</w:t>
      </w:r>
    </w:p>
    <w:p w14:paraId="0668F08A">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（2）出现影响采购公正的违法、违规行为的；</w:t>
      </w:r>
    </w:p>
    <w:p w14:paraId="75908453">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（3）供应商的报价均超过了采购预算，采购人不能支付的；</w:t>
      </w:r>
    </w:p>
    <w:p w14:paraId="32403566">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szCs w:val="21"/>
          <w:highlight w:val="none"/>
        </w:rPr>
        <w:t>（4）</w:t>
      </w:r>
      <w:r>
        <w:rPr>
          <w:rFonts w:hint="eastAsia" w:ascii="宋体" w:hAnsi="宋体" w:eastAsia="宋体" w:cs="宋体"/>
          <w:color w:val="auto"/>
          <w:highlight w:val="none"/>
        </w:rPr>
        <w:t>因发生重大变故或采购任务取消的。</w:t>
      </w:r>
    </w:p>
    <w:p w14:paraId="325AF102">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kern w:val="1"/>
          <w:szCs w:val="21"/>
          <w:highlight w:val="none"/>
        </w:rPr>
        <w:t>6.6.2废标后</w:t>
      </w:r>
      <w:r>
        <w:rPr>
          <w:rFonts w:hint="eastAsia" w:ascii="宋体" w:hAnsi="宋体" w:eastAsia="宋体" w:cs="宋体"/>
          <w:color w:val="auto"/>
          <w:szCs w:val="21"/>
          <w:highlight w:val="none"/>
        </w:rPr>
        <w:t>采购</w:t>
      </w:r>
      <w:r>
        <w:rPr>
          <w:rFonts w:hint="eastAsia" w:ascii="宋体" w:hAnsi="宋体" w:eastAsia="宋体" w:cs="宋体"/>
          <w:color w:val="auto"/>
          <w:kern w:val="1"/>
          <w:szCs w:val="21"/>
          <w:highlight w:val="none"/>
        </w:rPr>
        <w:t>代理机构将发布废标公告通知供应商。</w:t>
      </w:r>
    </w:p>
    <w:p w14:paraId="433CBCE4">
      <w:pPr>
        <w:keepNext w:val="0"/>
        <w:keepLines w:val="0"/>
        <w:pageBreakBefore w:val="0"/>
        <w:kinsoku/>
        <w:wordWrap/>
        <w:overflowPunct/>
        <w:topLinePunct w:val="0"/>
        <w:bidi w:val="0"/>
        <w:adjustRightInd/>
        <w:snapToGrid/>
        <w:spacing w:line="300" w:lineRule="auto"/>
        <w:ind w:left="0" w:leftChars="0" w:firstLine="422" w:firstLineChars="200"/>
        <w:textAlignment w:val="auto"/>
        <w:outlineLvl w:val="1"/>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7．合同</w:t>
      </w:r>
    </w:p>
    <w:p w14:paraId="3AE0DFE7">
      <w:pPr>
        <w:keepNext w:val="0"/>
        <w:keepLines w:val="0"/>
        <w:pageBreakBefore w:val="0"/>
        <w:kinsoku/>
        <w:wordWrap/>
        <w:overflowPunct/>
        <w:topLinePunct w:val="0"/>
        <w:bidi w:val="0"/>
        <w:adjustRightInd/>
        <w:snapToGrid/>
        <w:spacing w:line="300" w:lineRule="auto"/>
        <w:ind w:left="0" w:leftChars="0" w:firstLine="422" w:firstLineChars="200"/>
        <w:textAlignment w:val="auto"/>
        <w:outlineLvl w:val="2"/>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7.1合同授予标准</w:t>
      </w:r>
    </w:p>
    <w:p w14:paraId="03E43E6C">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合同将授予被确定实质上响应采购文件要求，具备履行合同能力，综合评分排名第一的供应商。在成交通知书发出前或签订合同前，如果成交供应商的组织机构、经营、财务状况发生较大变化，可能造成不能履行合同、无法按照采购文件要求提交履约保证金等情形，不符合成交条件或不满足供应商资格条件要求 ，应在成交通知书发出前或签订合同前及时书面告知采购人，未主动告知，给采购人造成损失的，采购人有权取消其成交资格并没收磋商保证金。</w:t>
      </w:r>
    </w:p>
    <w:p w14:paraId="14D46EAE">
      <w:pPr>
        <w:keepNext w:val="0"/>
        <w:keepLines w:val="0"/>
        <w:pageBreakBefore w:val="0"/>
        <w:kinsoku/>
        <w:wordWrap/>
        <w:overflowPunct/>
        <w:topLinePunct w:val="0"/>
        <w:bidi w:val="0"/>
        <w:adjustRightInd/>
        <w:snapToGrid/>
        <w:spacing w:line="300" w:lineRule="auto"/>
        <w:ind w:left="0" w:leftChars="0" w:firstLine="422" w:firstLineChars="200"/>
        <w:textAlignment w:val="auto"/>
        <w:outlineLvl w:val="2"/>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7.2签订合同</w:t>
      </w:r>
    </w:p>
    <w:p w14:paraId="517CC99E">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7.2.1如采购文件无特别规定，成交供应商按采购文件确定的事项签订政府采购合同。</w:t>
      </w:r>
    </w:p>
    <w:p w14:paraId="1DEB20DF">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7.2.2政府采购合同应当包括采购人与成交供应商的名称和住所、标的、数量、质量、价款或者报酬、履行期限及地点和方式、验收要求、违约责任、解决争议的方法等内容。采购文件、成交供应商的响应文件及澄清文件等，均为签订政府采购合同的依据。</w:t>
      </w:r>
    </w:p>
    <w:p w14:paraId="4785B0A5">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7.2.3如成交供应商不按成交通知书的规定签订合同，其磋商保证金将不予退还，并报由同级政府采购监督管理部门处理。</w:t>
      </w:r>
    </w:p>
    <w:p w14:paraId="42C5BA22">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7.2.4成交供应商拒绝与采购人签订合同的，采购人可以按照评审报告推荐的成交候选人名单排序，确定下一候选人为成交供应商，也可以重新开展政府采购活动。 </w:t>
      </w:r>
    </w:p>
    <w:p w14:paraId="0E635C77">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 w:val="21"/>
          <w:szCs w:val="21"/>
          <w:highlight w:val="none"/>
        </w:rPr>
      </w:pPr>
      <w:bookmarkStart w:id="67" w:name="_Hlk155170999"/>
      <w:r>
        <w:rPr>
          <w:rFonts w:hint="eastAsia" w:ascii="宋体" w:hAnsi="宋体" w:eastAsia="宋体" w:cs="宋体"/>
          <w:color w:val="auto"/>
          <w:szCs w:val="21"/>
          <w:highlight w:val="none"/>
        </w:rPr>
        <w:t>7.2.5采购人因不可抗力原因迟延签订合同的，</w:t>
      </w:r>
      <w:bookmarkEnd w:id="67"/>
      <w:r>
        <w:rPr>
          <w:rFonts w:hint="eastAsia" w:ascii="宋体" w:hAnsi="宋体" w:eastAsia="宋体" w:cs="宋体"/>
          <w:color w:val="auto"/>
          <w:sz w:val="21"/>
          <w:szCs w:val="21"/>
          <w:highlight w:val="none"/>
        </w:rPr>
        <w:t>应当自不可抗力事由消除之日起5个工作日内完成合同签订事宜。</w:t>
      </w:r>
    </w:p>
    <w:p w14:paraId="5F44D36E">
      <w:pPr>
        <w:keepNext w:val="0"/>
        <w:keepLines w:val="0"/>
        <w:pageBreakBefore w:val="0"/>
        <w:kinsoku/>
        <w:wordWrap/>
        <w:overflowPunct/>
        <w:topLinePunct w:val="0"/>
        <w:bidi w:val="0"/>
        <w:adjustRightInd/>
        <w:snapToGrid/>
        <w:spacing w:line="300" w:lineRule="auto"/>
        <w:ind w:left="0" w:leftChars="0" w:firstLine="422" w:firstLineChars="200"/>
        <w:textAlignment w:val="auto"/>
        <w:outlineLvl w:val="2"/>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7.3合同公告</w:t>
      </w:r>
    </w:p>
    <w:p w14:paraId="4AF783E7">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7.3.1如采购文件无特殊规定，成交供应商应在签订合同后1个工作日内，将政府采购合同副本送采购代理机构存档。</w:t>
      </w:r>
    </w:p>
    <w:p w14:paraId="6A89D573">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7.3.2采购人应当自政府采购合同签订之日起2个工作日内，将政府采购合同在省级以上人民政府财政部门指定的媒体上公告，但政府采购合同中涉及国家秘密、商业秘密的内容除外。</w:t>
      </w:r>
    </w:p>
    <w:p w14:paraId="5DDCEEC5">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bookmarkStart w:id="68" w:name="_Hlk155171014"/>
      <w:r>
        <w:rPr>
          <w:rFonts w:hint="eastAsia" w:ascii="宋体" w:hAnsi="宋体" w:eastAsia="宋体" w:cs="宋体"/>
          <w:color w:val="auto"/>
          <w:szCs w:val="21"/>
          <w:highlight w:val="none"/>
        </w:rPr>
        <w:t>7.3.3 政府采购合同双方不得擅自变更合同，依照政府采购法确需变更政府采购合同内容的，采购人应当自合同变更之日起2个工作日内在省级以上财政部门指定的媒体上发布政府采购合同变更公告，但涉及国家秘密、商业秘密的信息和其他依法不得公开的信息除外。</w:t>
      </w:r>
      <w:bookmarkEnd w:id="68"/>
    </w:p>
    <w:p w14:paraId="5C0D8176">
      <w:pPr>
        <w:keepNext w:val="0"/>
        <w:keepLines w:val="0"/>
        <w:pageBreakBefore w:val="0"/>
        <w:kinsoku/>
        <w:wordWrap/>
        <w:overflowPunct/>
        <w:topLinePunct w:val="0"/>
        <w:bidi w:val="0"/>
        <w:adjustRightInd/>
        <w:snapToGrid/>
        <w:spacing w:line="300" w:lineRule="auto"/>
        <w:ind w:left="0" w:leftChars="0" w:firstLine="422" w:firstLineChars="200"/>
        <w:textAlignment w:val="auto"/>
        <w:outlineLvl w:val="2"/>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7.4 履行合同</w:t>
      </w:r>
    </w:p>
    <w:p w14:paraId="5DF09845">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bookmarkStart w:id="69" w:name="_Toc217446070"/>
      <w:bookmarkStart w:id="70" w:name="_Toc308164814"/>
      <w:r>
        <w:rPr>
          <w:rFonts w:hint="eastAsia" w:ascii="宋体" w:hAnsi="宋体" w:eastAsia="宋体" w:cs="宋体"/>
          <w:color w:val="auto"/>
          <w:szCs w:val="21"/>
          <w:highlight w:val="none"/>
        </w:rPr>
        <w:t>7.4.1采购人与成交供应商签订合同后，政府采购合同的履行、违约责任和解决争议的方法等适用《中华人民共和国民法典》。合同双方应严格执行合同条款，履行合同规定的义务，保证合同的顺利完成。双方均不得擅自变更、中止或者终止政府采购合同。</w:t>
      </w:r>
    </w:p>
    <w:p w14:paraId="63534255">
      <w:pPr>
        <w:keepNext w:val="0"/>
        <w:keepLines w:val="0"/>
        <w:pageBreakBefore w:val="0"/>
        <w:kinsoku/>
        <w:wordWrap/>
        <w:overflowPunct/>
        <w:topLinePunct w:val="0"/>
        <w:bidi w:val="0"/>
        <w:adjustRightInd/>
        <w:snapToGrid/>
        <w:spacing w:line="300" w:lineRule="auto"/>
        <w:ind w:left="0" w:leftChars="0" w:firstLine="422" w:firstLineChars="200"/>
        <w:textAlignment w:val="auto"/>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7.5履约验收</w:t>
      </w:r>
      <w:bookmarkEnd w:id="69"/>
      <w:bookmarkEnd w:id="70"/>
    </w:p>
    <w:p w14:paraId="18D70FCC">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7.5.1采购人可以根据政府采购项目具体情况自行组织验收，或者委托政府采购代理机构、国家认可的质量检测机构开展采购项目履约验收工作。</w:t>
      </w:r>
    </w:p>
    <w:p w14:paraId="6368F57B">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7.5.2验收结果合格的，成交供应商可向采购人申请办理履约保证金（如有）的退付手续；验收结果不合格的，履约保证金（如有）将不予退还，并按合同约定处理，还可能会报告本项目同级财政部门并按照政府采购法律法规及有关规定给予行政处罚或者以失信行为记入诚信档案。</w:t>
      </w:r>
    </w:p>
    <w:p w14:paraId="07D4C7BA">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7.5.3采购合同项目完成验收后，采购人应当将验收原始记录、验收书等资料作为该采购项目档案妥善保管，不得伪造、变造、隐匿或者销毁，验收资料保存期为采购结束之日起至少保存15年。</w:t>
      </w:r>
    </w:p>
    <w:p w14:paraId="1552AD82">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7.5.4本项目将严格按照本采购文件及合同有关规定进行合同履约验收。采购文件或合同未规定的按财政部关于进一步加强政府采购需求和履约验收管理的指导意见（财库〔2016〕205号）以及《广西壮族自治区政府采购项目履约验收管理办法》（桂财采〔2015〕22号）的规定执行。</w:t>
      </w:r>
    </w:p>
    <w:p w14:paraId="3CEA9977">
      <w:pPr>
        <w:keepNext w:val="0"/>
        <w:keepLines w:val="0"/>
        <w:pageBreakBefore w:val="0"/>
        <w:kinsoku/>
        <w:wordWrap/>
        <w:overflowPunct/>
        <w:topLinePunct w:val="0"/>
        <w:bidi w:val="0"/>
        <w:adjustRightInd/>
        <w:snapToGrid/>
        <w:spacing w:line="300" w:lineRule="auto"/>
        <w:ind w:left="0" w:leftChars="0" w:firstLine="422" w:firstLineChars="200"/>
        <w:textAlignment w:val="auto"/>
        <w:outlineLvl w:val="1"/>
        <w:rPr>
          <w:rFonts w:hint="eastAsia" w:ascii="宋体" w:hAnsi="宋体" w:eastAsia="宋体" w:cs="宋体"/>
          <w:b/>
          <w:bCs/>
          <w:color w:val="auto"/>
          <w:kern w:val="0"/>
          <w:szCs w:val="21"/>
          <w:highlight w:val="none"/>
        </w:rPr>
      </w:pPr>
      <w:bookmarkStart w:id="71" w:name="_Toc254970533"/>
      <w:bookmarkStart w:id="72" w:name="_Toc254970674"/>
      <w:r>
        <w:rPr>
          <w:rFonts w:hint="eastAsia" w:ascii="宋体" w:hAnsi="宋体" w:eastAsia="宋体" w:cs="宋体"/>
          <w:b/>
          <w:bCs/>
          <w:color w:val="auto"/>
          <w:kern w:val="0"/>
          <w:szCs w:val="21"/>
          <w:highlight w:val="none"/>
        </w:rPr>
        <w:t>8．质疑和投诉</w:t>
      </w:r>
      <w:bookmarkEnd w:id="71"/>
      <w:bookmarkEnd w:id="72"/>
    </w:p>
    <w:p w14:paraId="79C2C210">
      <w:pPr>
        <w:keepNext w:val="0"/>
        <w:keepLines w:val="0"/>
        <w:pageBreakBefore w:val="0"/>
        <w:kinsoku/>
        <w:wordWrap/>
        <w:overflowPunct/>
        <w:topLinePunct w:val="0"/>
        <w:bidi w:val="0"/>
        <w:adjustRightInd/>
        <w:snapToGrid/>
        <w:spacing w:line="300" w:lineRule="auto"/>
        <w:ind w:left="0" w:leftChars="0" w:firstLine="422" w:firstLineChars="200"/>
        <w:textAlignment w:val="auto"/>
        <w:outlineLvl w:val="2"/>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8.1质疑</w:t>
      </w:r>
    </w:p>
    <w:p w14:paraId="16131F6A">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8.1.1质疑内容、时限</w:t>
      </w:r>
    </w:p>
    <w:p w14:paraId="36BA8D3A">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（1）供应商对政府采购活动有疑问的，可以向采购人或采购代理机构提出询问。采购人或者采购代理机构应当在3个工作日内对供应商依法提出的询问作出答复。</w:t>
      </w:r>
    </w:p>
    <w:p w14:paraId="339E5E06">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供应商认为采购文件、采购过程、中标或者成交结果使自己的权益受到损害的，可以在知道或者应知其权益受到损害之日起7个工作日内向采购人或采购代理机构提出质疑。采购人或采购代理机构在收到供应商书面质疑后7个工作日内，对质疑内容作出答复。</w:t>
      </w:r>
    </w:p>
    <w:p w14:paraId="32813FB9">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8.1.2质疑形式</w:t>
      </w:r>
    </w:p>
    <w:p w14:paraId="3AFD9A0C">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质疑应当采用供应商须知前附表所规定的形式，质疑书应明确阐述采购文件、采购过程或成交结果中使自己合法权益受到损害的实质性内容，提供相关事实、依据和证据及其来源或线索，便于有关单位调查、答复和处理。</w:t>
      </w:r>
    </w:p>
    <w:p w14:paraId="43E95AD3">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8.1.3</w:t>
      </w:r>
      <w:r>
        <w:rPr>
          <w:rFonts w:hint="eastAsia" w:ascii="宋体" w:hAnsi="宋体" w:eastAsia="宋体" w:cs="宋体"/>
          <w:color w:val="auto"/>
          <w:highlight w:val="none"/>
        </w:rPr>
        <w:t xml:space="preserve"> </w:t>
      </w:r>
      <w:r>
        <w:rPr>
          <w:rFonts w:hint="eastAsia" w:ascii="宋体" w:hAnsi="宋体" w:eastAsia="宋体" w:cs="宋体"/>
          <w:color w:val="auto"/>
          <w:szCs w:val="21"/>
          <w:highlight w:val="none"/>
        </w:rPr>
        <w:t>供应商提出质疑应当提交质疑函和必要的证明材料。质疑函应当包括下列内容：</w:t>
      </w:r>
    </w:p>
    <w:p w14:paraId="606A9C42">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（1）供应商的姓名或者名称、地址、邮编、联系人及联系电话；</w:t>
      </w:r>
    </w:p>
    <w:p w14:paraId="0FA52D3C">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（2）质疑项目的名称、编号；</w:t>
      </w:r>
    </w:p>
    <w:p w14:paraId="4F2DE844">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（3）具体、明确的质疑事项和与质疑事项相关的请求；</w:t>
      </w:r>
    </w:p>
    <w:p w14:paraId="0083810D">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（4）事实依据；</w:t>
      </w:r>
    </w:p>
    <w:p w14:paraId="353D2DD5">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（5）必要的法律依据；</w:t>
      </w:r>
    </w:p>
    <w:p w14:paraId="1F1729FC">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（6）提出质疑的日期。</w:t>
      </w:r>
    </w:p>
    <w:p w14:paraId="5E13B8A8">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供应商为自然人的，应当由本人签字；供应商为法人或者其他组织的，应当由法定代表人、主要负责人，或者其授权代表签字或者盖章，并加盖公章。 </w:t>
      </w:r>
    </w:p>
    <w:p w14:paraId="123D3454">
      <w:pPr>
        <w:keepNext w:val="0"/>
        <w:keepLines w:val="0"/>
        <w:pageBreakBefore w:val="0"/>
        <w:kinsoku/>
        <w:wordWrap/>
        <w:overflowPunct/>
        <w:topLinePunct w:val="0"/>
        <w:bidi w:val="0"/>
        <w:adjustRightInd/>
        <w:snapToGrid/>
        <w:spacing w:line="300" w:lineRule="auto"/>
        <w:ind w:left="0" w:leftChars="0" w:firstLine="422" w:firstLineChars="200"/>
        <w:textAlignment w:val="auto"/>
        <w:outlineLvl w:val="2"/>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8.2投诉</w:t>
      </w:r>
    </w:p>
    <w:p w14:paraId="37BA62C7">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8.2.1供应商对采购人、采购代理机构的答复不满意，或者采购人、采购代理机构未在规定时间内答复的，可在答复期满后15个工作日内按有关规定，向同级财政部门投诉。</w:t>
      </w:r>
    </w:p>
    <w:p w14:paraId="751C0019">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8.2.2投诉书应使用财政部发布的政府采购供应投诉书范本，并应按照“投诉书制作说明”进行编写。</w:t>
      </w:r>
    </w:p>
    <w:p w14:paraId="3121CE75">
      <w:pPr>
        <w:keepNext w:val="0"/>
        <w:keepLines w:val="0"/>
        <w:pageBreakBefore w:val="0"/>
        <w:kinsoku/>
        <w:wordWrap/>
        <w:overflowPunct/>
        <w:topLinePunct w:val="0"/>
        <w:bidi w:val="0"/>
        <w:adjustRightInd/>
        <w:snapToGrid/>
        <w:spacing w:line="300" w:lineRule="auto"/>
        <w:ind w:left="0" w:leftChars="0" w:firstLine="422" w:firstLineChars="200"/>
        <w:textAlignment w:val="auto"/>
        <w:outlineLvl w:val="1"/>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9．其他事项</w:t>
      </w:r>
    </w:p>
    <w:p w14:paraId="4C966E60">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9.1代理服务收费由采购代理机构向成交供应商收取。签订合同前，成交供应商应向采购代理机构一次付清代理服务费。</w:t>
      </w:r>
    </w:p>
    <w:p w14:paraId="1528ED5C">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9.2电子交易活动的中止。采购过程中出现以下情形，导致电子交易平台无法正常运行，或者无法保证电子交易的公平、公正和安全时，采购机构可中止电子交易活动：</w:t>
      </w:r>
    </w:p>
    <w:p w14:paraId="6DC8C07E">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（1）电子交易平台发生故障而无法登录访问的； </w:t>
      </w:r>
    </w:p>
    <w:p w14:paraId="3480364C">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（2）电子交易平台应用或数据库出现错误，不能进行正常操作的；</w:t>
      </w:r>
    </w:p>
    <w:p w14:paraId="5BE35EC1">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（3）电子交易平台发现严重安全漏洞，有潜在泄密危险的；</w:t>
      </w:r>
    </w:p>
    <w:p w14:paraId="1D7AC3C4">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（4）病毒发作导致不能进行正常操作的； </w:t>
      </w:r>
    </w:p>
    <w:p w14:paraId="592F21A8">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（5）其他无法保证电子交易的公平、公正和安全的情况。</w:t>
      </w:r>
    </w:p>
    <w:p w14:paraId="6EE5D412">
      <w:pPr>
        <w:keepNext w:val="0"/>
        <w:keepLines w:val="0"/>
        <w:pageBreakBefore w:val="0"/>
        <w:tabs>
          <w:tab w:val="left" w:pos="4820"/>
        </w:tabs>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出现以上情形，不影响采购公平、公正性的，采购组织机构可以待上述情形消除后继续组织电子交易活动；影响或可能影响采购公平、公正性的，经采购代理机构确认后，应当重新采购。采购代理机构必须对原有的资料及信息作出妥善保密处理，并报财政部门备案。 </w:t>
      </w:r>
    </w:p>
    <w:p w14:paraId="093E33AF">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9.3本项目的其他事项详见供应商须知前附表。</w:t>
      </w:r>
    </w:p>
    <w:p w14:paraId="247A4F9C">
      <w:pPr>
        <w:keepNext w:val="0"/>
        <w:keepLines w:val="0"/>
        <w:pageBreakBefore w:val="0"/>
        <w:kinsoku/>
        <w:wordWrap/>
        <w:overflowPunct/>
        <w:topLinePunct w:val="0"/>
        <w:bidi w:val="0"/>
        <w:adjustRightInd/>
        <w:snapToGrid/>
        <w:spacing w:line="300" w:lineRule="auto"/>
        <w:ind w:left="0" w:leftChars="0" w:firstLine="422" w:firstLineChars="200"/>
        <w:textAlignment w:val="auto"/>
        <w:outlineLvl w:val="1"/>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10．其他说明</w:t>
      </w:r>
    </w:p>
    <w:p w14:paraId="0EEF5FE0">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10.1其余未尽事宜按《中华人民共和国政府采购法》、《中华人民共和国政府采购法实施条例》的相关规定执行。</w:t>
      </w:r>
    </w:p>
    <w:p w14:paraId="4A12B09C">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cs="宋体"/>
          <w:color w:val="auto"/>
          <w:highlight w:val="none"/>
        </w:rPr>
      </w:pPr>
      <w:r>
        <w:rPr>
          <w:rFonts w:hint="eastAsia" w:ascii="宋体" w:hAnsi="宋体" w:eastAsia="宋体" w:cs="宋体"/>
          <w:color w:val="auto"/>
          <w:szCs w:val="21"/>
          <w:highlight w:val="none"/>
        </w:rPr>
        <w:t>10.2本采购文件是根据国家有关法律及有关政策、法规和参照国际惯例编制，解释权属采购代理机构。</w:t>
      </w:r>
    </w:p>
    <w:p w14:paraId="6FF64A9D">
      <w:pPr>
        <w:rPr>
          <w:rFonts w:hint="eastAsia" w:ascii="宋体" w:hAnsi="宋体" w:cs="宋体"/>
          <w:color w:val="auto"/>
          <w:highlight w:val="none"/>
        </w:rPr>
      </w:pPr>
      <w:r>
        <w:rPr>
          <w:rFonts w:hint="eastAsia" w:ascii="宋体" w:hAnsi="宋体" w:cs="宋体"/>
          <w:color w:val="auto"/>
          <w:highlight w:val="none"/>
        </w:rPr>
        <w:br w:type="page"/>
      </w:r>
    </w:p>
    <w:p w14:paraId="4D1A8B5F">
      <w:pPr>
        <w:pStyle w:val="28"/>
        <w:snapToGrid w:val="0"/>
        <w:spacing w:before="120" w:after="120" w:line="320" w:lineRule="exact"/>
        <w:jc w:val="center"/>
        <w:outlineLvl w:val="0"/>
        <w:rPr>
          <w:rFonts w:hint="eastAsia" w:ascii="宋体" w:hAnsi="宋体" w:eastAsia="宋体" w:cs="宋体"/>
          <w:color w:val="auto"/>
          <w:sz w:val="32"/>
          <w:szCs w:val="32"/>
          <w:highlight w:val="none"/>
        </w:rPr>
      </w:pPr>
      <w:bookmarkStart w:id="73" w:name="_Toc27610"/>
      <w:r>
        <w:rPr>
          <w:rFonts w:hint="eastAsia" w:hAnsi="宋体" w:cs="宋体"/>
          <w:color w:val="auto"/>
          <w:sz w:val="32"/>
          <w:szCs w:val="32"/>
          <w:highlight w:val="none"/>
        </w:rPr>
        <w:t>第四章  评审方法及标准</w:t>
      </w:r>
      <w:bookmarkEnd w:id="73"/>
    </w:p>
    <w:p w14:paraId="49EB46CA">
      <w:pPr>
        <w:spacing w:before="120" w:line="320" w:lineRule="atLeast"/>
        <w:ind w:firstLine="413" w:firstLineChars="196"/>
        <w:outlineLvl w:val="1"/>
        <w:rPr>
          <w:rFonts w:hint="eastAsia" w:ascii="宋体" w:hAnsi="宋体" w:cs="宋体"/>
          <w:b/>
          <w:bCs/>
          <w:color w:val="auto"/>
          <w:kern w:val="0"/>
          <w:szCs w:val="21"/>
          <w:highlight w:val="none"/>
        </w:rPr>
      </w:pPr>
      <w:r>
        <w:rPr>
          <w:rFonts w:hint="eastAsia" w:ascii="宋体" w:hAnsi="宋体" w:cs="宋体"/>
          <w:b/>
          <w:bCs/>
          <w:color w:val="auto"/>
          <w:kern w:val="0"/>
          <w:szCs w:val="21"/>
          <w:highlight w:val="none"/>
        </w:rPr>
        <w:t>1.评审方法</w:t>
      </w:r>
    </w:p>
    <w:p w14:paraId="71774375">
      <w:pPr>
        <w:suppressAutoHyphens/>
        <w:spacing w:before="120" w:line="320" w:lineRule="atLeast"/>
        <w:ind w:firstLine="420" w:firstLineChars="200"/>
        <w:rPr>
          <w:rFonts w:hint="eastAsia" w:ascii="宋体" w:hAnsi="宋体" w:cs="宋体"/>
          <w:color w:val="auto"/>
          <w:kern w:val="1"/>
          <w:szCs w:val="21"/>
          <w:highlight w:val="none"/>
        </w:rPr>
      </w:pPr>
      <w:r>
        <w:rPr>
          <w:rFonts w:hint="eastAsia" w:ascii="宋体" w:hAnsi="宋体" w:cs="宋体"/>
          <w:color w:val="auto"/>
          <w:szCs w:val="21"/>
          <w:highlight w:val="none"/>
        </w:rPr>
        <w:t>本项目采用</w:t>
      </w:r>
      <w:r>
        <w:rPr>
          <w:rFonts w:hint="eastAsia" w:ascii="宋体" w:hAnsi="宋体" w:cs="宋体"/>
          <w:bCs/>
          <w:color w:val="auto"/>
          <w:kern w:val="1"/>
          <w:szCs w:val="21"/>
          <w:highlight w:val="none"/>
        </w:rPr>
        <w:t>综合评分法</w:t>
      </w:r>
      <w:r>
        <w:rPr>
          <w:rFonts w:hint="eastAsia" w:ascii="宋体" w:hAnsi="宋体" w:cs="宋体"/>
          <w:color w:val="auto"/>
          <w:szCs w:val="21"/>
          <w:highlight w:val="none"/>
        </w:rPr>
        <w:t>进行评审</w:t>
      </w:r>
      <w:r>
        <w:rPr>
          <w:rFonts w:hint="eastAsia" w:ascii="宋体" w:hAnsi="宋体" w:cs="宋体"/>
          <w:bCs/>
          <w:color w:val="auto"/>
          <w:kern w:val="1"/>
          <w:szCs w:val="21"/>
          <w:highlight w:val="none"/>
        </w:rPr>
        <w:t>。</w:t>
      </w:r>
      <w:r>
        <w:rPr>
          <w:rFonts w:hint="eastAsia" w:ascii="宋体" w:hAnsi="宋体" w:cs="宋体"/>
          <w:color w:val="auto"/>
          <w:szCs w:val="21"/>
          <w:highlight w:val="none"/>
        </w:rPr>
        <w:t>综合评分法，是指响应文件满足采购文件全部实质性要求且按照评审因素的量化指标评审得分最高的供应商为成交候选人的评审方法。</w:t>
      </w:r>
    </w:p>
    <w:p w14:paraId="4B25B441">
      <w:pPr>
        <w:suppressAutoHyphens/>
        <w:spacing w:before="120" w:line="320" w:lineRule="atLeast"/>
        <w:ind w:firstLine="420" w:firstLineChars="200"/>
        <w:rPr>
          <w:rFonts w:hint="eastAsia" w:ascii="宋体" w:hAnsi="宋体" w:cs="宋体"/>
          <w:color w:val="auto"/>
          <w:kern w:val="1"/>
          <w:szCs w:val="21"/>
          <w:highlight w:val="none"/>
        </w:rPr>
      </w:pPr>
      <w:r>
        <w:rPr>
          <w:rFonts w:hint="eastAsia" w:ascii="宋体" w:hAnsi="宋体" w:cs="宋体"/>
          <w:color w:val="auto"/>
          <w:kern w:val="1"/>
          <w:szCs w:val="21"/>
          <w:highlight w:val="none"/>
        </w:rPr>
        <w:t>本项目评审的其他详细规定在第三章供应商须知中规定。</w:t>
      </w:r>
    </w:p>
    <w:p w14:paraId="20B966EE">
      <w:pPr>
        <w:spacing w:before="120" w:line="320" w:lineRule="atLeast"/>
        <w:ind w:firstLine="413" w:firstLineChars="196"/>
        <w:outlineLvl w:val="1"/>
        <w:rPr>
          <w:rFonts w:hint="eastAsia" w:ascii="宋体" w:hAnsi="宋体" w:cs="宋体"/>
          <w:b/>
          <w:bCs/>
          <w:color w:val="auto"/>
          <w:kern w:val="0"/>
          <w:szCs w:val="21"/>
          <w:highlight w:val="none"/>
        </w:rPr>
      </w:pPr>
      <w:r>
        <w:rPr>
          <w:rFonts w:hint="eastAsia" w:ascii="宋体" w:hAnsi="宋体" w:cs="宋体"/>
          <w:b/>
          <w:color w:val="auto"/>
          <w:kern w:val="0"/>
          <w:szCs w:val="21"/>
          <w:highlight w:val="none"/>
        </w:rPr>
        <w:t>2.资格审查标准</w:t>
      </w:r>
      <w:r>
        <w:rPr>
          <w:rFonts w:hint="eastAsia" w:ascii="宋体" w:hAnsi="宋体" w:cs="宋体"/>
          <w:b/>
          <w:bCs/>
          <w:color w:val="auto"/>
          <w:kern w:val="0"/>
          <w:szCs w:val="21"/>
          <w:highlight w:val="none"/>
        </w:rPr>
        <w:t>（不满足任何一项审查内容要求，资格审查即为不合格</w:t>
      </w:r>
      <w:bookmarkStart w:id="74" w:name="_Hlk160731834"/>
      <w:r>
        <w:rPr>
          <w:rFonts w:hint="eastAsia" w:ascii="宋体" w:hAnsi="宋体" w:cs="宋体"/>
          <w:b/>
          <w:bCs/>
          <w:color w:val="auto"/>
          <w:kern w:val="0"/>
          <w:szCs w:val="21"/>
          <w:highlight w:val="none"/>
        </w:rPr>
        <w:t>；联合体响应的，</w:t>
      </w:r>
      <w:bookmarkEnd w:id="74"/>
      <w:r>
        <w:rPr>
          <w:rFonts w:hint="eastAsia" w:ascii="宋体" w:hAnsi="宋体" w:cs="宋体"/>
          <w:b/>
          <w:bCs/>
          <w:color w:val="auto"/>
          <w:kern w:val="0"/>
          <w:szCs w:val="21"/>
          <w:highlight w:val="none"/>
        </w:rPr>
        <w:t>联合体各方均应提交第一项基本资格要求的资格证明文件）</w:t>
      </w:r>
    </w:p>
    <w:tbl>
      <w:tblPr>
        <w:tblStyle w:val="5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33"/>
        <w:gridCol w:w="961"/>
        <w:gridCol w:w="2094"/>
        <w:gridCol w:w="5598"/>
      </w:tblGrid>
      <w:tr w14:paraId="3E875B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33" w:type="dxa"/>
            <w:noWrap w:val="0"/>
            <w:vAlign w:val="center"/>
          </w:tcPr>
          <w:p w14:paraId="22299C0E">
            <w:pPr>
              <w:spacing w:line="240" w:lineRule="exact"/>
              <w:jc w:val="center"/>
              <w:rPr>
                <w:rFonts w:hint="eastAsia" w:ascii="宋体" w:hAnsi="宋体" w:cs="宋体"/>
                <w:b/>
                <w:color w:val="auto"/>
                <w:kern w:val="0"/>
                <w:szCs w:val="21"/>
                <w:highlight w:val="none"/>
              </w:rPr>
            </w:pPr>
            <w:r>
              <w:rPr>
                <w:rFonts w:hint="eastAsia" w:ascii="宋体" w:hAnsi="宋体" w:cs="宋体"/>
                <w:b/>
                <w:color w:val="auto"/>
                <w:kern w:val="0"/>
                <w:szCs w:val="21"/>
                <w:highlight w:val="none"/>
              </w:rPr>
              <w:t>审查因素</w:t>
            </w:r>
          </w:p>
        </w:tc>
        <w:tc>
          <w:tcPr>
            <w:tcW w:w="3055" w:type="dxa"/>
            <w:gridSpan w:val="2"/>
            <w:noWrap w:val="0"/>
            <w:vAlign w:val="center"/>
          </w:tcPr>
          <w:p w14:paraId="28B3D7CD">
            <w:pPr>
              <w:spacing w:line="240" w:lineRule="exact"/>
              <w:jc w:val="center"/>
              <w:rPr>
                <w:rFonts w:hint="eastAsia" w:ascii="宋体" w:hAnsi="宋体" w:cs="宋体"/>
                <w:b/>
                <w:color w:val="auto"/>
                <w:kern w:val="0"/>
                <w:szCs w:val="21"/>
                <w:highlight w:val="none"/>
              </w:rPr>
            </w:pPr>
            <w:r>
              <w:rPr>
                <w:rFonts w:hint="eastAsia" w:ascii="宋体" w:hAnsi="宋体" w:cs="宋体"/>
                <w:b/>
                <w:color w:val="auto"/>
                <w:kern w:val="0"/>
                <w:szCs w:val="21"/>
                <w:highlight w:val="none"/>
              </w:rPr>
              <w:t>审查内容</w:t>
            </w:r>
          </w:p>
        </w:tc>
        <w:tc>
          <w:tcPr>
            <w:tcW w:w="5598" w:type="dxa"/>
            <w:noWrap w:val="0"/>
            <w:vAlign w:val="center"/>
          </w:tcPr>
          <w:p w14:paraId="3FDB97A9">
            <w:pPr>
              <w:spacing w:line="240" w:lineRule="exact"/>
              <w:jc w:val="center"/>
              <w:rPr>
                <w:rFonts w:hint="eastAsia" w:ascii="宋体" w:hAnsi="宋体" w:cs="宋体"/>
                <w:b/>
                <w:color w:val="auto"/>
                <w:kern w:val="0"/>
                <w:szCs w:val="21"/>
                <w:highlight w:val="none"/>
              </w:rPr>
            </w:pPr>
            <w:r>
              <w:rPr>
                <w:rFonts w:hint="eastAsia" w:ascii="宋体" w:hAnsi="宋体" w:cs="宋体"/>
                <w:b/>
                <w:color w:val="auto"/>
                <w:kern w:val="0"/>
                <w:szCs w:val="21"/>
                <w:highlight w:val="none"/>
              </w:rPr>
              <w:t>说明</w:t>
            </w:r>
          </w:p>
        </w:tc>
      </w:tr>
      <w:tr w14:paraId="11E4F6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633" w:type="dxa"/>
            <w:vMerge w:val="restart"/>
            <w:noWrap w:val="0"/>
            <w:vAlign w:val="center"/>
          </w:tcPr>
          <w:p w14:paraId="27E43EA0">
            <w:pPr>
              <w:spacing w:line="240" w:lineRule="exact"/>
              <w:jc w:val="center"/>
              <w:rPr>
                <w:rFonts w:hint="eastAsia" w:ascii="宋体" w:hAnsi="宋体" w:cs="宋体"/>
                <w:color w:val="auto"/>
                <w:szCs w:val="21"/>
                <w:highlight w:val="none"/>
              </w:rPr>
            </w:pPr>
            <w:r>
              <w:rPr>
                <w:rFonts w:hint="eastAsia" w:ascii="宋体" w:hAnsi="宋体" w:cs="宋体"/>
                <w:color w:val="auto"/>
                <w:szCs w:val="21"/>
                <w:highlight w:val="none"/>
              </w:rPr>
              <w:t>供应商应符合的基本资格要求</w:t>
            </w:r>
          </w:p>
        </w:tc>
        <w:tc>
          <w:tcPr>
            <w:tcW w:w="3055" w:type="dxa"/>
            <w:gridSpan w:val="2"/>
            <w:noWrap w:val="0"/>
            <w:vAlign w:val="center"/>
          </w:tcPr>
          <w:p w14:paraId="19393375">
            <w:pPr>
              <w:spacing w:line="240" w:lineRule="exact"/>
              <w:rPr>
                <w:rFonts w:hint="eastAsia" w:ascii="宋体" w:hAnsi="宋体" w:cs="宋体"/>
                <w:color w:val="auto"/>
                <w:szCs w:val="21"/>
                <w:highlight w:val="none"/>
              </w:rPr>
            </w:pPr>
            <w:r>
              <w:rPr>
                <w:rFonts w:hint="eastAsia" w:ascii="宋体" w:hAnsi="宋体" w:cs="宋体"/>
                <w:color w:val="auto"/>
                <w:szCs w:val="21"/>
                <w:highlight w:val="none"/>
              </w:rPr>
              <w:t>（1）具有独立承担民事责任的能力</w:t>
            </w:r>
          </w:p>
        </w:tc>
        <w:tc>
          <w:tcPr>
            <w:tcW w:w="5598" w:type="dxa"/>
            <w:vMerge w:val="restart"/>
            <w:noWrap w:val="0"/>
            <w:vAlign w:val="center"/>
          </w:tcPr>
          <w:p w14:paraId="0722C4E7">
            <w:pPr>
              <w:rPr>
                <w:color w:val="auto"/>
                <w:highlight w:val="none"/>
              </w:rPr>
            </w:pPr>
            <w:r>
              <w:rPr>
                <w:rFonts w:hint="eastAsia" w:ascii="Arial" w:hAnsi="Arial" w:cs="Arial"/>
                <w:color w:val="auto"/>
                <w:szCs w:val="21"/>
                <w:highlight w:val="none"/>
              </w:rPr>
              <w:t>供应商以“</w:t>
            </w:r>
            <w:r>
              <w:rPr>
                <w:rFonts w:hint="eastAsia" w:ascii="宋体" w:hAnsi="宋体" w:cs="宋体"/>
                <w:color w:val="auto"/>
                <w:kern w:val="0"/>
                <w:szCs w:val="21"/>
                <w:highlight w:val="none"/>
              </w:rPr>
              <w:t>崇左市政府采购供应商信用承诺函</w:t>
            </w:r>
            <w:r>
              <w:rPr>
                <w:rFonts w:hint="eastAsia" w:ascii="Arial" w:hAnsi="Arial" w:cs="Arial"/>
                <w:color w:val="auto"/>
                <w:szCs w:val="21"/>
                <w:highlight w:val="none"/>
              </w:rPr>
              <w:t>”</w:t>
            </w:r>
            <w:r>
              <w:rPr>
                <w:rFonts w:ascii="Arial" w:hAnsi="Arial" w:cs="Arial"/>
                <w:color w:val="auto"/>
                <w:szCs w:val="21"/>
                <w:highlight w:val="none"/>
              </w:rPr>
              <w:t xml:space="preserve"> </w:t>
            </w:r>
            <w:r>
              <w:rPr>
                <w:rFonts w:hint="eastAsia" w:ascii="Arial" w:hAnsi="Arial" w:cs="Arial"/>
                <w:color w:val="auto"/>
                <w:szCs w:val="21"/>
                <w:highlight w:val="none"/>
              </w:rPr>
              <w:t>（格式见第六章</w:t>
            </w:r>
            <w:r>
              <w:rPr>
                <w:rFonts w:hint="eastAsia" w:ascii="Arial" w:hAnsi="Arial" w:cs="Arial"/>
                <w:color w:val="auto"/>
                <w:szCs w:val="21"/>
                <w:highlight w:val="none"/>
                <w:lang w:eastAsia="zh-CN"/>
              </w:rPr>
              <w:t>响应</w:t>
            </w:r>
            <w:r>
              <w:rPr>
                <w:rFonts w:hint="eastAsia" w:ascii="Arial" w:hAnsi="Arial" w:cs="Arial"/>
                <w:color w:val="auto"/>
                <w:szCs w:val="21"/>
                <w:highlight w:val="none"/>
              </w:rPr>
              <w:t>文件格式）</w:t>
            </w:r>
            <w:r>
              <w:rPr>
                <w:rFonts w:ascii="Arial" w:hAnsi="Arial" w:cs="Arial"/>
                <w:color w:val="auto"/>
                <w:szCs w:val="21"/>
                <w:highlight w:val="none"/>
              </w:rPr>
              <w:t xml:space="preserve"> </w:t>
            </w:r>
            <w:r>
              <w:rPr>
                <w:rFonts w:hint="eastAsia" w:ascii="Arial" w:hAnsi="Arial" w:cs="Arial"/>
                <w:color w:val="auto"/>
                <w:szCs w:val="21"/>
                <w:highlight w:val="none"/>
              </w:rPr>
              <w:t>的书面形式进行响应。</w:t>
            </w:r>
          </w:p>
          <w:p w14:paraId="063C0CA0">
            <w:pPr>
              <w:spacing w:line="240" w:lineRule="exact"/>
              <w:jc w:val="left"/>
              <w:rPr>
                <w:rFonts w:hint="eastAsia" w:ascii="宋体" w:hAnsi="宋体" w:eastAsia="宋体" w:cs="宋体"/>
                <w:color w:val="auto"/>
                <w:szCs w:val="21"/>
                <w:highlight w:val="none"/>
                <w:lang w:eastAsia="zh-CN"/>
              </w:rPr>
            </w:pPr>
          </w:p>
        </w:tc>
      </w:tr>
      <w:tr w14:paraId="6AD843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633" w:type="dxa"/>
            <w:vMerge w:val="continue"/>
            <w:noWrap w:val="0"/>
            <w:vAlign w:val="center"/>
          </w:tcPr>
          <w:p w14:paraId="1785EE5B">
            <w:pPr>
              <w:spacing w:line="240" w:lineRule="exact"/>
              <w:jc w:val="center"/>
              <w:rPr>
                <w:rFonts w:hint="eastAsia" w:ascii="宋体" w:hAnsi="宋体" w:cs="宋体"/>
                <w:color w:val="auto"/>
                <w:szCs w:val="21"/>
                <w:highlight w:val="none"/>
              </w:rPr>
            </w:pPr>
          </w:p>
        </w:tc>
        <w:tc>
          <w:tcPr>
            <w:tcW w:w="3055" w:type="dxa"/>
            <w:gridSpan w:val="2"/>
            <w:noWrap w:val="0"/>
            <w:vAlign w:val="center"/>
          </w:tcPr>
          <w:p w14:paraId="0456D3F2">
            <w:pPr>
              <w:spacing w:line="240" w:lineRule="exact"/>
              <w:rPr>
                <w:rFonts w:hint="eastAsia" w:ascii="宋体" w:hAnsi="宋体" w:cs="宋体"/>
                <w:color w:val="auto"/>
                <w:szCs w:val="21"/>
                <w:highlight w:val="none"/>
              </w:rPr>
            </w:pPr>
            <w:r>
              <w:rPr>
                <w:rFonts w:hint="eastAsia" w:ascii="宋体" w:hAnsi="宋体" w:cs="宋体"/>
                <w:color w:val="auto"/>
                <w:szCs w:val="21"/>
                <w:highlight w:val="none"/>
                <w:lang w:val="zh-CN"/>
              </w:rPr>
              <w:t>（2）</w:t>
            </w:r>
            <w:r>
              <w:rPr>
                <w:rFonts w:hint="eastAsia" w:ascii="宋体" w:hAnsi="宋体" w:cs="宋体"/>
                <w:color w:val="auto"/>
                <w:szCs w:val="21"/>
                <w:highlight w:val="none"/>
              </w:rPr>
              <w:t>具有良好的商业信誉和健全的财务会计制度</w:t>
            </w:r>
          </w:p>
        </w:tc>
        <w:tc>
          <w:tcPr>
            <w:tcW w:w="5598" w:type="dxa"/>
            <w:vMerge w:val="continue"/>
            <w:noWrap w:val="0"/>
            <w:vAlign w:val="center"/>
          </w:tcPr>
          <w:p w14:paraId="05B54323">
            <w:pPr>
              <w:spacing w:line="240" w:lineRule="exact"/>
              <w:rPr>
                <w:rFonts w:hint="eastAsia" w:ascii="宋体" w:hAnsi="宋体" w:cs="宋体"/>
                <w:color w:val="auto"/>
                <w:szCs w:val="21"/>
                <w:highlight w:val="none"/>
              </w:rPr>
            </w:pPr>
          </w:p>
        </w:tc>
      </w:tr>
      <w:tr w14:paraId="223810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633" w:type="dxa"/>
            <w:vMerge w:val="continue"/>
            <w:noWrap w:val="0"/>
            <w:vAlign w:val="center"/>
          </w:tcPr>
          <w:p w14:paraId="36E86C72">
            <w:pPr>
              <w:spacing w:line="240" w:lineRule="exact"/>
              <w:jc w:val="center"/>
              <w:rPr>
                <w:rFonts w:hint="eastAsia" w:ascii="宋体" w:hAnsi="宋体" w:cs="宋体"/>
                <w:color w:val="auto"/>
                <w:szCs w:val="21"/>
                <w:highlight w:val="none"/>
              </w:rPr>
            </w:pPr>
          </w:p>
        </w:tc>
        <w:tc>
          <w:tcPr>
            <w:tcW w:w="3055" w:type="dxa"/>
            <w:gridSpan w:val="2"/>
            <w:noWrap w:val="0"/>
            <w:vAlign w:val="center"/>
          </w:tcPr>
          <w:p w14:paraId="07AD7011">
            <w:pPr>
              <w:spacing w:line="240" w:lineRule="exact"/>
              <w:rPr>
                <w:rFonts w:hint="eastAsia" w:ascii="宋体" w:hAnsi="宋体" w:cs="宋体"/>
                <w:color w:val="auto"/>
                <w:szCs w:val="21"/>
                <w:highlight w:val="none"/>
                <w:lang w:val="zh-CN"/>
              </w:rPr>
            </w:pPr>
            <w:r>
              <w:rPr>
                <w:rFonts w:hint="eastAsia" w:ascii="宋体" w:hAnsi="宋体" w:cs="宋体"/>
                <w:color w:val="auto"/>
                <w:szCs w:val="21"/>
                <w:highlight w:val="none"/>
                <w:lang w:val="zh-CN"/>
              </w:rPr>
              <w:t>（3）具有履行合同所必需的设备和专业技术能力</w:t>
            </w:r>
          </w:p>
        </w:tc>
        <w:tc>
          <w:tcPr>
            <w:tcW w:w="5598" w:type="dxa"/>
            <w:vMerge w:val="continue"/>
            <w:noWrap w:val="0"/>
            <w:vAlign w:val="center"/>
          </w:tcPr>
          <w:p w14:paraId="59D20940">
            <w:pPr>
              <w:spacing w:line="240" w:lineRule="exact"/>
              <w:rPr>
                <w:rFonts w:hint="eastAsia" w:ascii="宋体" w:hAnsi="宋体" w:cs="宋体"/>
                <w:color w:val="auto"/>
                <w:szCs w:val="21"/>
                <w:highlight w:val="none"/>
              </w:rPr>
            </w:pPr>
          </w:p>
        </w:tc>
      </w:tr>
      <w:tr w14:paraId="3B63FD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633" w:type="dxa"/>
            <w:vMerge w:val="continue"/>
            <w:noWrap w:val="0"/>
            <w:vAlign w:val="center"/>
          </w:tcPr>
          <w:p w14:paraId="10CB8C00">
            <w:pPr>
              <w:spacing w:line="240" w:lineRule="exact"/>
              <w:jc w:val="center"/>
              <w:rPr>
                <w:rFonts w:hint="eastAsia" w:ascii="宋体" w:hAnsi="宋体" w:cs="宋体"/>
                <w:color w:val="auto"/>
                <w:szCs w:val="21"/>
                <w:highlight w:val="none"/>
              </w:rPr>
            </w:pPr>
          </w:p>
        </w:tc>
        <w:tc>
          <w:tcPr>
            <w:tcW w:w="3055" w:type="dxa"/>
            <w:gridSpan w:val="2"/>
            <w:noWrap w:val="0"/>
            <w:vAlign w:val="center"/>
          </w:tcPr>
          <w:p w14:paraId="42FADAA9">
            <w:pPr>
              <w:spacing w:line="240" w:lineRule="exact"/>
              <w:rPr>
                <w:rFonts w:hint="eastAsia" w:ascii="宋体" w:hAnsi="宋体" w:cs="宋体"/>
                <w:color w:val="auto"/>
                <w:szCs w:val="21"/>
                <w:highlight w:val="none"/>
                <w:lang w:val="zh-CN"/>
              </w:rPr>
            </w:pPr>
            <w:r>
              <w:rPr>
                <w:rFonts w:hint="eastAsia" w:ascii="宋体" w:hAnsi="宋体" w:cs="宋体"/>
                <w:color w:val="auto"/>
                <w:szCs w:val="21"/>
                <w:highlight w:val="none"/>
                <w:lang w:val="zh-CN"/>
              </w:rPr>
              <w:t>（4）有依法缴纳税收和社会保障金的良好记录</w:t>
            </w:r>
          </w:p>
        </w:tc>
        <w:tc>
          <w:tcPr>
            <w:tcW w:w="5598" w:type="dxa"/>
            <w:vMerge w:val="continue"/>
            <w:noWrap w:val="0"/>
            <w:vAlign w:val="center"/>
          </w:tcPr>
          <w:p w14:paraId="400A850B">
            <w:pPr>
              <w:spacing w:line="240" w:lineRule="exact"/>
              <w:rPr>
                <w:rFonts w:hint="eastAsia" w:ascii="宋体" w:hAnsi="宋体" w:cs="宋体"/>
                <w:color w:val="auto"/>
                <w:szCs w:val="21"/>
                <w:highlight w:val="none"/>
              </w:rPr>
            </w:pPr>
          </w:p>
        </w:tc>
      </w:tr>
      <w:tr w14:paraId="23CADA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633" w:type="dxa"/>
            <w:vMerge w:val="continue"/>
            <w:noWrap w:val="0"/>
            <w:vAlign w:val="center"/>
          </w:tcPr>
          <w:p w14:paraId="08B77593">
            <w:pPr>
              <w:spacing w:line="240" w:lineRule="exact"/>
              <w:jc w:val="center"/>
              <w:rPr>
                <w:rFonts w:hint="eastAsia" w:ascii="宋体" w:hAnsi="宋体" w:cs="宋体"/>
                <w:color w:val="auto"/>
                <w:szCs w:val="21"/>
                <w:highlight w:val="none"/>
              </w:rPr>
            </w:pPr>
          </w:p>
        </w:tc>
        <w:tc>
          <w:tcPr>
            <w:tcW w:w="3055" w:type="dxa"/>
            <w:gridSpan w:val="2"/>
            <w:noWrap w:val="0"/>
            <w:vAlign w:val="center"/>
          </w:tcPr>
          <w:p w14:paraId="18E8710F">
            <w:pPr>
              <w:spacing w:line="240" w:lineRule="exact"/>
              <w:rPr>
                <w:rFonts w:hint="eastAsia" w:ascii="宋体" w:hAnsi="宋体" w:cs="宋体"/>
                <w:color w:val="auto"/>
                <w:szCs w:val="21"/>
                <w:highlight w:val="none"/>
                <w:lang w:val="zh-CN"/>
              </w:rPr>
            </w:pPr>
            <w:r>
              <w:rPr>
                <w:rFonts w:hint="eastAsia" w:ascii="宋体" w:hAnsi="宋体" w:cs="宋体"/>
                <w:color w:val="auto"/>
                <w:szCs w:val="21"/>
                <w:highlight w:val="none"/>
              </w:rPr>
              <w:t>（5）参加政府采购活动前三年内，在经营活动中没有重大违法记录</w:t>
            </w:r>
          </w:p>
        </w:tc>
        <w:tc>
          <w:tcPr>
            <w:tcW w:w="5598" w:type="dxa"/>
            <w:vMerge w:val="continue"/>
            <w:noWrap w:val="0"/>
            <w:vAlign w:val="center"/>
          </w:tcPr>
          <w:p w14:paraId="3B2A432A">
            <w:pPr>
              <w:spacing w:line="240" w:lineRule="exact"/>
              <w:jc w:val="left"/>
              <w:rPr>
                <w:rFonts w:hint="eastAsia" w:ascii="宋体" w:hAnsi="宋体" w:eastAsia="宋体" w:cs="宋体"/>
                <w:color w:val="auto"/>
                <w:szCs w:val="21"/>
                <w:highlight w:val="none"/>
                <w:lang w:eastAsia="zh-CN"/>
              </w:rPr>
            </w:pPr>
          </w:p>
        </w:tc>
      </w:tr>
      <w:tr w14:paraId="094BD0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633" w:type="dxa"/>
            <w:vMerge w:val="continue"/>
            <w:noWrap w:val="0"/>
            <w:vAlign w:val="center"/>
          </w:tcPr>
          <w:p w14:paraId="5AB901DF">
            <w:pPr>
              <w:spacing w:line="240" w:lineRule="exact"/>
              <w:jc w:val="center"/>
              <w:rPr>
                <w:rFonts w:hint="eastAsia" w:ascii="宋体" w:hAnsi="宋体" w:cs="宋体"/>
                <w:color w:val="auto"/>
                <w:szCs w:val="21"/>
                <w:highlight w:val="none"/>
              </w:rPr>
            </w:pPr>
          </w:p>
        </w:tc>
        <w:tc>
          <w:tcPr>
            <w:tcW w:w="3055" w:type="dxa"/>
            <w:gridSpan w:val="2"/>
            <w:noWrap w:val="0"/>
            <w:vAlign w:val="center"/>
          </w:tcPr>
          <w:p w14:paraId="013F0FDF">
            <w:pPr>
              <w:spacing w:line="240" w:lineRule="exact"/>
              <w:rPr>
                <w:rFonts w:hint="eastAsia" w:ascii="宋体" w:hAnsi="宋体" w:cs="宋体"/>
                <w:color w:val="auto"/>
                <w:szCs w:val="21"/>
                <w:highlight w:val="none"/>
              </w:rPr>
            </w:pPr>
            <w:r>
              <w:rPr>
                <w:rFonts w:hint="eastAsia" w:ascii="宋体" w:hAnsi="宋体" w:cs="宋体"/>
                <w:color w:val="auto"/>
                <w:szCs w:val="21"/>
                <w:highlight w:val="none"/>
              </w:rPr>
              <w:t>（6）具备法律、行政法规规定的其他要求</w:t>
            </w:r>
          </w:p>
        </w:tc>
        <w:tc>
          <w:tcPr>
            <w:tcW w:w="5598" w:type="dxa"/>
            <w:noWrap w:val="0"/>
            <w:vAlign w:val="center"/>
          </w:tcPr>
          <w:p w14:paraId="45ABD053">
            <w:pPr>
              <w:spacing w:line="240" w:lineRule="exact"/>
              <w:rPr>
                <w:rFonts w:hint="eastAsia" w:ascii="宋体" w:hAnsi="宋体" w:cs="宋体"/>
                <w:color w:val="auto"/>
                <w:szCs w:val="21"/>
                <w:highlight w:val="none"/>
              </w:rPr>
            </w:pPr>
            <w:r>
              <w:rPr>
                <w:rFonts w:hint="eastAsia" w:ascii="宋体" w:hAnsi="宋体" w:cs="宋体"/>
                <w:color w:val="auto"/>
                <w:szCs w:val="21"/>
                <w:highlight w:val="none"/>
              </w:rPr>
              <w:t>无。</w:t>
            </w:r>
          </w:p>
        </w:tc>
      </w:tr>
      <w:tr w14:paraId="2C35C7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633" w:type="dxa"/>
            <w:noWrap w:val="0"/>
            <w:vAlign w:val="center"/>
          </w:tcPr>
          <w:p w14:paraId="43EAF302">
            <w:pPr>
              <w:spacing w:line="240" w:lineRule="exact"/>
              <w:rPr>
                <w:rFonts w:hint="eastAsia" w:ascii="宋体" w:hAnsi="宋体" w:cs="宋体"/>
                <w:color w:val="auto"/>
                <w:szCs w:val="21"/>
                <w:highlight w:val="none"/>
                <w:lang w:val="zh-CN"/>
              </w:rPr>
            </w:pPr>
            <w:r>
              <w:rPr>
                <w:rFonts w:hint="eastAsia" w:ascii="宋体" w:hAnsi="宋体" w:cs="宋体"/>
                <w:color w:val="auto"/>
                <w:kern w:val="0"/>
                <w:szCs w:val="21"/>
                <w:highlight w:val="none"/>
              </w:rPr>
              <w:t>采购政策</w:t>
            </w:r>
          </w:p>
        </w:tc>
        <w:tc>
          <w:tcPr>
            <w:tcW w:w="3055" w:type="dxa"/>
            <w:gridSpan w:val="2"/>
            <w:noWrap w:val="0"/>
            <w:vAlign w:val="center"/>
          </w:tcPr>
          <w:p w14:paraId="15BED642">
            <w:pPr>
              <w:spacing w:line="240" w:lineRule="exact"/>
              <w:jc w:val="left"/>
              <w:rPr>
                <w:rFonts w:hint="eastAsia" w:ascii="宋体" w:hAnsi="宋体" w:cs="宋体"/>
                <w:color w:val="auto"/>
                <w:szCs w:val="21"/>
                <w:highlight w:val="none"/>
              </w:rPr>
            </w:pPr>
            <w:r>
              <w:rPr>
                <w:rFonts w:hint="eastAsia" w:ascii="宋体" w:hAnsi="宋体" w:cs="宋体"/>
                <w:color w:val="auto"/>
                <w:szCs w:val="21"/>
                <w:highlight w:val="none"/>
              </w:rPr>
              <w:t>落实政府采购政策需满足的资格要求</w:t>
            </w:r>
          </w:p>
        </w:tc>
        <w:tc>
          <w:tcPr>
            <w:tcW w:w="5598" w:type="dxa"/>
            <w:noWrap w:val="0"/>
            <w:vAlign w:val="center"/>
          </w:tcPr>
          <w:p w14:paraId="39946E5F">
            <w:pPr>
              <w:spacing w:line="240" w:lineRule="exact"/>
              <w:rPr>
                <w:rFonts w:hint="eastAsia" w:ascii="宋体" w:hAnsi="宋体" w:cs="宋体"/>
                <w:color w:val="auto"/>
                <w:szCs w:val="21"/>
                <w:highlight w:val="none"/>
              </w:rPr>
            </w:pPr>
            <w:r>
              <w:rPr>
                <w:rFonts w:hint="eastAsia" w:ascii="宋体" w:hAnsi="宋体" w:cs="宋体"/>
                <w:color w:val="auto"/>
                <w:szCs w:val="21"/>
                <w:highlight w:val="none"/>
              </w:rPr>
              <w:t>供应商独立响应：</w:t>
            </w:r>
          </w:p>
          <w:p w14:paraId="386D3FBA">
            <w:pPr>
              <w:spacing w:line="240" w:lineRule="exact"/>
              <w:rPr>
                <w:rFonts w:hint="eastAsia" w:ascii="宋体" w:hAnsi="宋体" w:cs="宋体"/>
                <w:color w:val="auto"/>
                <w:szCs w:val="21"/>
                <w:highlight w:val="none"/>
              </w:rPr>
            </w:pPr>
            <w:r>
              <w:rPr>
                <w:rFonts w:hint="eastAsia" w:ascii="宋体" w:hAnsi="宋体" w:cs="宋体"/>
                <w:color w:val="auto"/>
                <w:szCs w:val="21"/>
                <w:highlight w:val="none"/>
              </w:rPr>
              <w:t>提供《中小企业声明函》，符合承建采购文件标明所属行业的标的物的工程施工单位应全部为中型或小型或微型企业的条件。</w:t>
            </w:r>
          </w:p>
          <w:p w14:paraId="3B450E1E">
            <w:pPr>
              <w:spacing w:line="240" w:lineRule="exact"/>
              <w:rPr>
                <w:rFonts w:hint="eastAsia" w:ascii="宋体" w:hAnsi="宋体" w:cs="宋体"/>
                <w:color w:val="auto"/>
                <w:szCs w:val="21"/>
                <w:highlight w:val="none"/>
              </w:rPr>
            </w:pPr>
            <w:r>
              <w:rPr>
                <w:rFonts w:hint="eastAsia" w:ascii="宋体" w:hAnsi="宋体" w:cs="宋体"/>
                <w:color w:val="auto"/>
                <w:szCs w:val="21"/>
                <w:highlight w:val="none"/>
              </w:rPr>
              <w:t>注：1、符合监狱企业出具监狱企业证明文件的、符合残疾人福利性单位出具《残疾人福利性单位声明函》的视同中小企业。</w:t>
            </w:r>
          </w:p>
        </w:tc>
      </w:tr>
      <w:tr w14:paraId="5C3B8A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633" w:type="dxa"/>
            <w:vMerge w:val="restart"/>
            <w:noWrap w:val="0"/>
            <w:vAlign w:val="center"/>
          </w:tcPr>
          <w:p w14:paraId="67C466D3">
            <w:pPr>
              <w:spacing w:line="240" w:lineRule="exact"/>
              <w:jc w:val="center"/>
              <w:rPr>
                <w:rFonts w:hint="eastAsia" w:ascii="宋体" w:hAnsi="宋体" w:cs="宋体"/>
                <w:color w:val="auto"/>
                <w:szCs w:val="21"/>
                <w:highlight w:val="none"/>
              </w:rPr>
            </w:pPr>
            <w:r>
              <w:rPr>
                <w:rFonts w:hint="eastAsia" w:ascii="宋体" w:hAnsi="宋体" w:cs="宋体"/>
                <w:color w:val="auto"/>
                <w:szCs w:val="21"/>
                <w:highlight w:val="none"/>
                <w:lang w:val="zh-CN"/>
              </w:rPr>
              <w:t>供应商应符合的</w:t>
            </w:r>
            <w:r>
              <w:rPr>
                <w:rFonts w:hint="eastAsia" w:ascii="宋体" w:hAnsi="宋体" w:cs="宋体"/>
                <w:color w:val="auto"/>
                <w:szCs w:val="21"/>
                <w:highlight w:val="none"/>
              </w:rPr>
              <w:t>特定资格条件</w:t>
            </w:r>
          </w:p>
        </w:tc>
        <w:tc>
          <w:tcPr>
            <w:tcW w:w="3055" w:type="dxa"/>
            <w:gridSpan w:val="2"/>
            <w:noWrap w:val="0"/>
            <w:vAlign w:val="center"/>
          </w:tcPr>
          <w:p w14:paraId="3D277EF0">
            <w:pPr>
              <w:spacing w:line="240" w:lineRule="exact"/>
              <w:jc w:val="left"/>
              <w:rPr>
                <w:rFonts w:hint="eastAsia" w:ascii="宋体" w:hAnsi="宋体" w:cs="宋体"/>
                <w:color w:val="auto"/>
                <w:szCs w:val="21"/>
                <w:highlight w:val="none"/>
              </w:rPr>
            </w:pPr>
            <w:r>
              <w:rPr>
                <w:rFonts w:hint="eastAsia" w:ascii="宋体" w:hAnsi="宋体" w:cs="宋体"/>
                <w:color w:val="auto"/>
                <w:szCs w:val="21"/>
                <w:highlight w:val="none"/>
              </w:rPr>
              <w:t>（1）资质要求</w:t>
            </w:r>
          </w:p>
        </w:tc>
        <w:tc>
          <w:tcPr>
            <w:tcW w:w="5598" w:type="dxa"/>
            <w:noWrap w:val="0"/>
            <w:vAlign w:val="center"/>
          </w:tcPr>
          <w:p w14:paraId="4E2C3534">
            <w:pPr>
              <w:spacing w:line="240" w:lineRule="exact"/>
              <w:rPr>
                <w:rFonts w:hint="eastAsia" w:ascii="宋体" w:hAnsi="宋体" w:cs="宋体"/>
                <w:color w:val="auto"/>
                <w:szCs w:val="21"/>
                <w:highlight w:val="none"/>
              </w:rPr>
            </w:pPr>
            <w:r>
              <w:rPr>
                <w:rFonts w:hint="eastAsia" w:ascii="宋体" w:hAnsi="宋体" w:cs="宋体"/>
                <w:color w:val="auto"/>
                <w:szCs w:val="21"/>
                <w:highlight w:val="none"/>
              </w:rPr>
              <w:t>须符合“磋商公告”要求。</w:t>
            </w:r>
          </w:p>
        </w:tc>
      </w:tr>
      <w:tr w14:paraId="11D145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633" w:type="dxa"/>
            <w:vMerge w:val="continue"/>
            <w:noWrap w:val="0"/>
            <w:vAlign w:val="center"/>
          </w:tcPr>
          <w:p w14:paraId="44F6A915">
            <w:pPr>
              <w:spacing w:line="240" w:lineRule="exact"/>
              <w:jc w:val="center"/>
              <w:rPr>
                <w:rFonts w:hint="eastAsia" w:ascii="宋体" w:hAnsi="宋体" w:cs="宋体"/>
                <w:color w:val="auto"/>
                <w:szCs w:val="21"/>
                <w:highlight w:val="none"/>
              </w:rPr>
            </w:pPr>
          </w:p>
        </w:tc>
        <w:tc>
          <w:tcPr>
            <w:tcW w:w="961" w:type="dxa"/>
            <w:vMerge w:val="restart"/>
            <w:noWrap w:val="0"/>
            <w:vAlign w:val="center"/>
          </w:tcPr>
          <w:p w14:paraId="4962FABE">
            <w:pPr>
              <w:spacing w:line="240" w:lineRule="exact"/>
              <w:rPr>
                <w:rFonts w:hint="eastAsia" w:ascii="宋体" w:hAnsi="宋体" w:cs="宋体"/>
                <w:color w:val="auto"/>
                <w:szCs w:val="21"/>
                <w:highlight w:val="none"/>
              </w:rPr>
            </w:pPr>
            <w:r>
              <w:rPr>
                <w:rFonts w:hint="eastAsia" w:ascii="宋体" w:hAnsi="宋体" w:cs="宋体"/>
                <w:color w:val="auto"/>
                <w:szCs w:val="21"/>
                <w:highlight w:val="none"/>
              </w:rPr>
              <w:t>（2）人员要求</w:t>
            </w:r>
          </w:p>
        </w:tc>
        <w:tc>
          <w:tcPr>
            <w:tcW w:w="2094" w:type="dxa"/>
            <w:noWrap w:val="0"/>
            <w:vAlign w:val="center"/>
          </w:tcPr>
          <w:p w14:paraId="151621BE">
            <w:pPr>
              <w:spacing w:line="240" w:lineRule="exact"/>
              <w:jc w:val="left"/>
              <w:rPr>
                <w:rFonts w:hint="eastAsia" w:ascii="宋体" w:hAnsi="宋体" w:cs="宋体"/>
                <w:color w:val="auto"/>
                <w:szCs w:val="21"/>
                <w:highlight w:val="none"/>
              </w:rPr>
            </w:pPr>
            <w:r>
              <w:rPr>
                <w:rFonts w:hint="eastAsia" w:ascii="宋体" w:hAnsi="宋体" w:cs="宋体"/>
                <w:color w:val="auto"/>
                <w:szCs w:val="21"/>
                <w:highlight w:val="none"/>
              </w:rPr>
              <w:t>项目经理</w:t>
            </w:r>
          </w:p>
        </w:tc>
        <w:tc>
          <w:tcPr>
            <w:tcW w:w="5598" w:type="dxa"/>
            <w:noWrap w:val="0"/>
            <w:vAlign w:val="center"/>
          </w:tcPr>
          <w:p w14:paraId="782DD9D9">
            <w:pPr>
              <w:spacing w:line="240" w:lineRule="exact"/>
              <w:rPr>
                <w:rFonts w:hint="eastAsia" w:ascii="宋体" w:hAnsi="宋体" w:cs="宋体"/>
                <w:color w:val="auto"/>
                <w:szCs w:val="21"/>
                <w:highlight w:val="none"/>
              </w:rPr>
            </w:pPr>
            <w:r>
              <w:rPr>
                <w:rFonts w:hint="eastAsia" w:ascii="宋体" w:hAnsi="宋体" w:cs="宋体"/>
                <w:color w:val="auto"/>
                <w:szCs w:val="21"/>
                <w:highlight w:val="none"/>
              </w:rPr>
              <w:t>须符合“磋商公告”要求。须提供在响应文件递交截止时间前6个月内任意1个月在现任职单位依法缴纳社会保险的证明材料扫描件。</w:t>
            </w:r>
          </w:p>
        </w:tc>
      </w:tr>
      <w:tr w14:paraId="06BF6C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633" w:type="dxa"/>
            <w:vMerge w:val="continue"/>
            <w:noWrap w:val="0"/>
            <w:vAlign w:val="center"/>
          </w:tcPr>
          <w:p w14:paraId="6850D915">
            <w:pPr>
              <w:spacing w:line="240" w:lineRule="exact"/>
              <w:jc w:val="center"/>
              <w:rPr>
                <w:rFonts w:hint="eastAsia" w:ascii="宋体" w:hAnsi="宋体" w:cs="宋体"/>
                <w:color w:val="auto"/>
                <w:szCs w:val="21"/>
                <w:highlight w:val="none"/>
              </w:rPr>
            </w:pPr>
          </w:p>
        </w:tc>
        <w:tc>
          <w:tcPr>
            <w:tcW w:w="961" w:type="dxa"/>
            <w:vMerge w:val="continue"/>
            <w:noWrap w:val="0"/>
            <w:vAlign w:val="top"/>
          </w:tcPr>
          <w:p w14:paraId="1458340C">
            <w:pPr>
              <w:spacing w:line="240" w:lineRule="exact"/>
              <w:jc w:val="left"/>
              <w:rPr>
                <w:rFonts w:hint="eastAsia" w:ascii="宋体" w:hAnsi="宋体" w:cs="宋体"/>
                <w:color w:val="auto"/>
                <w:szCs w:val="21"/>
                <w:highlight w:val="none"/>
              </w:rPr>
            </w:pPr>
          </w:p>
        </w:tc>
        <w:tc>
          <w:tcPr>
            <w:tcW w:w="2094" w:type="dxa"/>
            <w:noWrap w:val="0"/>
            <w:vAlign w:val="center"/>
          </w:tcPr>
          <w:p w14:paraId="7F7BC9F1">
            <w:pPr>
              <w:spacing w:line="240" w:lineRule="exact"/>
              <w:jc w:val="left"/>
              <w:rPr>
                <w:rFonts w:hint="eastAsia" w:ascii="宋体" w:hAnsi="宋体" w:cs="宋体"/>
                <w:color w:val="auto"/>
                <w:szCs w:val="21"/>
                <w:highlight w:val="none"/>
              </w:rPr>
            </w:pPr>
            <w:r>
              <w:rPr>
                <w:rFonts w:hint="eastAsia" w:ascii="宋体" w:hAnsi="宋体" w:cs="宋体"/>
                <w:color w:val="auto"/>
                <w:szCs w:val="21"/>
                <w:highlight w:val="none"/>
              </w:rPr>
              <w:t>专职安全员</w:t>
            </w:r>
          </w:p>
        </w:tc>
        <w:tc>
          <w:tcPr>
            <w:tcW w:w="5598" w:type="dxa"/>
            <w:noWrap w:val="0"/>
            <w:vAlign w:val="center"/>
          </w:tcPr>
          <w:p w14:paraId="1AB67BFF">
            <w:pPr>
              <w:spacing w:line="240" w:lineRule="exact"/>
              <w:rPr>
                <w:rFonts w:hint="eastAsia" w:ascii="宋体" w:hAnsi="宋体" w:cs="宋体"/>
                <w:color w:val="auto"/>
                <w:szCs w:val="21"/>
                <w:highlight w:val="none"/>
              </w:rPr>
            </w:pPr>
            <w:r>
              <w:rPr>
                <w:rFonts w:hint="eastAsia" w:ascii="宋体" w:hAnsi="宋体" w:cs="宋体"/>
                <w:color w:val="auto"/>
                <w:szCs w:val="21"/>
                <w:highlight w:val="none"/>
              </w:rPr>
              <w:t>须符合“磋商公告”要求。须提供在响应文件递交截止时间前6个月内任意1个月在现任职单位依法缴纳社会保险的证明材料扫描件。</w:t>
            </w:r>
          </w:p>
        </w:tc>
      </w:tr>
      <w:tr w14:paraId="3B0834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633" w:type="dxa"/>
            <w:vMerge w:val="continue"/>
            <w:noWrap w:val="0"/>
            <w:vAlign w:val="center"/>
          </w:tcPr>
          <w:p w14:paraId="0B1EFE97">
            <w:pPr>
              <w:spacing w:line="240" w:lineRule="exact"/>
              <w:jc w:val="center"/>
              <w:rPr>
                <w:rFonts w:hint="eastAsia" w:ascii="宋体" w:hAnsi="宋体" w:cs="宋体"/>
                <w:color w:val="auto"/>
                <w:szCs w:val="21"/>
                <w:highlight w:val="none"/>
              </w:rPr>
            </w:pPr>
          </w:p>
        </w:tc>
        <w:tc>
          <w:tcPr>
            <w:tcW w:w="3055" w:type="dxa"/>
            <w:gridSpan w:val="2"/>
            <w:noWrap w:val="0"/>
            <w:vAlign w:val="center"/>
          </w:tcPr>
          <w:p w14:paraId="1B08332F">
            <w:pPr>
              <w:spacing w:line="240" w:lineRule="exact"/>
              <w:jc w:val="left"/>
              <w:rPr>
                <w:rFonts w:hint="eastAsia" w:ascii="宋体" w:hAnsi="宋体" w:cs="宋体"/>
                <w:color w:val="auto"/>
                <w:szCs w:val="21"/>
                <w:highlight w:val="none"/>
              </w:rPr>
            </w:pPr>
            <w:r>
              <w:rPr>
                <w:rFonts w:hint="eastAsia" w:ascii="宋体" w:hAnsi="宋体" w:cs="宋体"/>
                <w:color w:val="auto"/>
                <w:szCs w:val="21"/>
                <w:highlight w:val="none"/>
              </w:rPr>
              <w:t>（3）业绩要求</w:t>
            </w:r>
          </w:p>
        </w:tc>
        <w:tc>
          <w:tcPr>
            <w:tcW w:w="5598" w:type="dxa"/>
            <w:noWrap w:val="0"/>
            <w:vAlign w:val="center"/>
          </w:tcPr>
          <w:p w14:paraId="772CFDCC">
            <w:pPr>
              <w:spacing w:line="240" w:lineRule="exact"/>
              <w:jc w:val="left"/>
              <w:rPr>
                <w:rFonts w:hint="eastAsia" w:ascii="宋体" w:hAnsi="宋体" w:cs="宋体"/>
                <w:color w:val="auto"/>
                <w:szCs w:val="21"/>
                <w:highlight w:val="none"/>
              </w:rPr>
            </w:pPr>
            <w:r>
              <w:rPr>
                <w:rFonts w:hint="eastAsia" w:ascii="宋体" w:hAnsi="宋体" w:cs="宋体"/>
                <w:color w:val="auto"/>
                <w:szCs w:val="21"/>
                <w:highlight w:val="none"/>
              </w:rPr>
              <w:t>须符合“磋商公告”要求。</w:t>
            </w:r>
          </w:p>
        </w:tc>
      </w:tr>
      <w:tr w14:paraId="1A3197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633" w:type="dxa"/>
            <w:vMerge w:val="continue"/>
            <w:noWrap w:val="0"/>
            <w:vAlign w:val="center"/>
          </w:tcPr>
          <w:p w14:paraId="226985C5">
            <w:pPr>
              <w:spacing w:line="240" w:lineRule="exact"/>
              <w:jc w:val="center"/>
              <w:rPr>
                <w:rFonts w:hint="eastAsia" w:ascii="宋体" w:hAnsi="宋体" w:cs="宋体"/>
                <w:color w:val="auto"/>
                <w:szCs w:val="21"/>
                <w:highlight w:val="none"/>
              </w:rPr>
            </w:pPr>
          </w:p>
        </w:tc>
        <w:tc>
          <w:tcPr>
            <w:tcW w:w="3055" w:type="dxa"/>
            <w:gridSpan w:val="2"/>
            <w:noWrap w:val="0"/>
            <w:vAlign w:val="center"/>
          </w:tcPr>
          <w:p w14:paraId="29746BF1">
            <w:pPr>
              <w:spacing w:line="240" w:lineRule="exact"/>
              <w:rPr>
                <w:rFonts w:hint="eastAsia" w:ascii="宋体" w:hAnsi="宋体" w:cs="宋体"/>
                <w:color w:val="auto"/>
                <w:szCs w:val="21"/>
                <w:highlight w:val="none"/>
              </w:rPr>
            </w:pPr>
            <w:r>
              <w:rPr>
                <w:rFonts w:hint="eastAsia" w:ascii="宋体" w:hAnsi="宋体" w:cs="宋体"/>
                <w:color w:val="auto"/>
                <w:kern w:val="0"/>
                <w:szCs w:val="21"/>
                <w:highlight w:val="none"/>
              </w:rPr>
              <w:t>（4）供应商不得参加响应的情形</w:t>
            </w:r>
          </w:p>
        </w:tc>
        <w:tc>
          <w:tcPr>
            <w:tcW w:w="5598" w:type="dxa"/>
            <w:noWrap w:val="0"/>
            <w:vAlign w:val="center"/>
          </w:tcPr>
          <w:p w14:paraId="24E6653F">
            <w:pPr>
              <w:spacing w:line="240" w:lineRule="exact"/>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单位负责人为同一人或者存在直接控股、管理关系的不同供应商，不得参加本项目同一合同项下的政府采购活动。为本项目提供整体设计、规范编制或者项目管理、监理、检测等服务的供应商，不得再参加本项目的采购活动。</w:t>
            </w:r>
          </w:p>
          <w:p w14:paraId="2FD564CF">
            <w:pPr>
              <w:spacing w:line="240" w:lineRule="exact"/>
              <w:jc w:val="left"/>
              <w:rPr>
                <w:rFonts w:hint="eastAsia" w:ascii="宋体" w:hAnsi="宋体" w:cs="宋体"/>
                <w:color w:val="auto"/>
                <w:szCs w:val="21"/>
                <w:highlight w:val="none"/>
              </w:rPr>
            </w:pPr>
            <w:r>
              <w:rPr>
                <w:rFonts w:hint="eastAsia" w:ascii="宋体" w:hAnsi="宋体" w:cs="宋体"/>
                <w:color w:val="auto"/>
                <w:szCs w:val="21"/>
                <w:highlight w:val="none"/>
              </w:rPr>
              <w:t>须提供，格式见第六章响应文件格式“供应商直接控股股东、管理关系信息表”。</w:t>
            </w:r>
          </w:p>
        </w:tc>
      </w:tr>
      <w:tr w14:paraId="2A6C8E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633" w:type="dxa"/>
            <w:vMerge w:val="continue"/>
            <w:noWrap w:val="0"/>
            <w:vAlign w:val="center"/>
          </w:tcPr>
          <w:p w14:paraId="2AD118E5">
            <w:pPr>
              <w:spacing w:line="240" w:lineRule="exact"/>
              <w:jc w:val="center"/>
              <w:rPr>
                <w:rFonts w:hint="eastAsia" w:ascii="宋体" w:hAnsi="宋体" w:cs="宋体"/>
                <w:color w:val="auto"/>
                <w:szCs w:val="21"/>
                <w:highlight w:val="none"/>
              </w:rPr>
            </w:pPr>
          </w:p>
        </w:tc>
        <w:tc>
          <w:tcPr>
            <w:tcW w:w="3055" w:type="dxa"/>
            <w:gridSpan w:val="2"/>
            <w:noWrap w:val="0"/>
            <w:vAlign w:val="center"/>
          </w:tcPr>
          <w:p w14:paraId="3C2B7774">
            <w:pPr>
              <w:spacing w:line="240" w:lineRule="exact"/>
              <w:rPr>
                <w:rFonts w:hint="eastAsia" w:ascii="宋体" w:hAnsi="宋体" w:cs="宋体"/>
                <w:color w:val="auto"/>
                <w:szCs w:val="21"/>
                <w:highlight w:val="none"/>
              </w:rPr>
            </w:pPr>
            <w:r>
              <w:rPr>
                <w:rFonts w:hint="eastAsia" w:ascii="宋体" w:hAnsi="宋体" w:cs="宋体"/>
                <w:color w:val="auto"/>
                <w:szCs w:val="21"/>
                <w:highlight w:val="none"/>
              </w:rPr>
              <w:t>（5）诚信要求</w:t>
            </w:r>
          </w:p>
        </w:tc>
        <w:tc>
          <w:tcPr>
            <w:tcW w:w="5598" w:type="dxa"/>
            <w:noWrap w:val="0"/>
            <w:vAlign w:val="top"/>
          </w:tcPr>
          <w:p w14:paraId="1FA4C317">
            <w:pPr>
              <w:spacing w:line="240" w:lineRule="exact"/>
              <w:jc w:val="left"/>
              <w:rPr>
                <w:rFonts w:hint="eastAsia" w:ascii="宋体" w:hAnsi="宋体" w:cs="宋体"/>
                <w:color w:val="auto"/>
                <w:szCs w:val="21"/>
                <w:highlight w:val="none"/>
              </w:rPr>
            </w:pPr>
            <w:r>
              <w:rPr>
                <w:rFonts w:hint="eastAsia" w:ascii="宋体" w:hAnsi="宋体" w:cs="宋体"/>
                <w:color w:val="auto"/>
                <w:szCs w:val="21"/>
                <w:highlight w:val="none"/>
              </w:rPr>
              <w:t>未被列入失信被执行人、</w:t>
            </w:r>
            <w:r>
              <w:rPr>
                <w:rFonts w:hint="eastAsia" w:ascii="宋体" w:hAnsi="宋体" w:cs="宋体"/>
                <w:color w:val="auto"/>
                <w:kern w:val="0"/>
                <w:szCs w:val="21"/>
                <w:highlight w:val="none"/>
              </w:rPr>
              <w:t>重大税收违法失信主体</w:t>
            </w:r>
            <w:r>
              <w:rPr>
                <w:rFonts w:hint="eastAsia" w:ascii="宋体" w:hAnsi="宋体" w:cs="宋体"/>
                <w:color w:val="auto"/>
                <w:szCs w:val="21"/>
                <w:highlight w:val="none"/>
              </w:rPr>
              <w:t>、政府采购严重违法失信行为记录名单。</w:t>
            </w:r>
          </w:p>
        </w:tc>
      </w:tr>
      <w:tr w14:paraId="6F597A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633" w:type="dxa"/>
            <w:vMerge w:val="continue"/>
            <w:noWrap w:val="0"/>
            <w:vAlign w:val="center"/>
          </w:tcPr>
          <w:p w14:paraId="67E0F800">
            <w:pPr>
              <w:spacing w:line="240" w:lineRule="exact"/>
              <w:jc w:val="center"/>
              <w:rPr>
                <w:rFonts w:hint="eastAsia" w:ascii="宋体" w:hAnsi="宋体" w:cs="宋体"/>
                <w:color w:val="auto"/>
                <w:szCs w:val="21"/>
                <w:highlight w:val="none"/>
              </w:rPr>
            </w:pPr>
          </w:p>
        </w:tc>
        <w:tc>
          <w:tcPr>
            <w:tcW w:w="3055" w:type="dxa"/>
            <w:gridSpan w:val="2"/>
            <w:noWrap w:val="0"/>
            <w:vAlign w:val="center"/>
          </w:tcPr>
          <w:p w14:paraId="5AA388FC">
            <w:pPr>
              <w:rPr>
                <w:rFonts w:hint="eastAsia" w:ascii="宋体" w:hAnsi="宋体" w:cs="宋体"/>
                <w:color w:val="auto"/>
                <w:highlight w:val="none"/>
              </w:rPr>
            </w:pPr>
            <w:r>
              <w:rPr>
                <w:rFonts w:hint="eastAsia" w:ascii="宋体" w:hAnsi="宋体" w:cs="宋体"/>
                <w:color w:val="auto"/>
                <w:highlight w:val="none"/>
              </w:rPr>
              <w:t>（6）分包</w:t>
            </w:r>
          </w:p>
        </w:tc>
        <w:tc>
          <w:tcPr>
            <w:tcW w:w="5598" w:type="dxa"/>
            <w:noWrap w:val="0"/>
            <w:vAlign w:val="center"/>
          </w:tcPr>
          <w:p w14:paraId="182B2AB3">
            <w:pPr>
              <w:rPr>
                <w:rFonts w:hint="eastAsia" w:ascii="宋体" w:hAnsi="宋体" w:cs="宋体"/>
                <w:color w:val="auto"/>
                <w:highlight w:val="none"/>
              </w:rPr>
            </w:pPr>
            <w:r>
              <w:rPr>
                <w:rFonts w:hint="eastAsia" w:ascii="宋体" w:hAnsi="宋体" w:cs="宋体"/>
                <w:color w:val="auto"/>
                <w:highlight w:val="none"/>
              </w:rPr>
              <w:t>须符合“</w:t>
            </w:r>
            <w:r>
              <w:rPr>
                <w:rFonts w:hint="eastAsia" w:ascii="宋体" w:hAnsi="宋体" w:cs="宋体"/>
                <w:color w:val="auto"/>
                <w:szCs w:val="21"/>
                <w:highlight w:val="none"/>
              </w:rPr>
              <w:t>磋商公告</w:t>
            </w:r>
            <w:r>
              <w:rPr>
                <w:rFonts w:hint="eastAsia" w:ascii="宋体" w:hAnsi="宋体" w:cs="宋体"/>
                <w:color w:val="auto"/>
                <w:highlight w:val="none"/>
              </w:rPr>
              <w:t>”的要求</w:t>
            </w:r>
          </w:p>
        </w:tc>
      </w:tr>
      <w:tr w14:paraId="554C47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633" w:type="dxa"/>
            <w:vMerge w:val="continue"/>
            <w:noWrap w:val="0"/>
            <w:vAlign w:val="center"/>
          </w:tcPr>
          <w:p w14:paraId="02C0185F">
            <w:pPr>
              <w:spacing w:line="240" w:lineRule="exact"/>
              <w:jc w:val="center"/>
              <w:rPr>
                <w:rFonts w:hint="eastAsia" w:ascii="宋体" w:hAnsi="宋体" w:cs="宋体"/>
                <w:color w:val="auto"/>
                <w:szCs w:val="21"/>
                <w:highlight w:val="none"/>
              </w:rPr>
            </w:pPr>
          </w:p>
        </w:tc>
        <w:tc>
          <w:tcPr>
            <w:tcW w:w="3055" w:type="dxa"/>
            <w:gridSpan w:val="2"/>
            <w:noWrap w:val="0"/>
            <w:vAlign w:val="center"/>
          </w:tcPr>
          <w:p w14:paraId="7BBBC4C6">
            <w:pPr>
              <w:rPr>
                <w:rFonts w:hint="eastAsia" w:ascii="宋体" w:hAnsi="宋体" w:cs="宋体"/>
                <w:color w:val="auto"/>
                <w:highlight w:val="none"/>
              </w:rPr>
            </w:pPr>
            <w:r>
              <w:rPr>
                <w:rFonts w:hint="eastAsia" w:ascii="宋体" w:hAnsi="宋体" w:cs="宋体"/>
                <w:color w:val="auto"/>
                <w:highlight w:val="none"/>
              </w:rPr>
              <w:t>（7）联合体</w:t>
            </w:r>
          </w:p>
        </w:tc>
        <w:tc>
          <w:tcPr>
            <w:tcW w:w="5598" w:type="dxa"/>
            <w:noWrap w:val="0"/>
            <w:vAlign w:val="center"/>
          </w:tcPr>
          <w:p w14:paraId="1BFB590C">
            <w:pPr>
              <w:rPr>
                <w:rFonts w:hint="eastAsia" w:ascii="宋体" w:hAnsi="宋体" w:cs="宋体"/>
                <w:color w:val="auto"/>
                <w:highlight w:val="none"/>
              </w:rPr>
            </w:pPr>
            <w:r>
              <w:rPr>
                <w:rFonts w:hint="eastAsia" w:ascii="宋体" w:hAnsi="宋体" w:cs="宋体"/>
                <w:color w:val="auto"/>
                <w:highlight w:val="none"/>
              </w:rPr>
              <w:t>须符合“</w:t>
            </w:r>
            <w:r>
              <w:rPr>
                <w:rFonts w:hint="eastAsia" w:ascii="宋体" w:hAnsi="宋体" w:cs="宋体"/>
                <w:color w:val="auto"/>
                <w:szCs w:val="21"/>
                <w:highlight w:val="none"/>
              </w:rPr>
              <w:t>磋商公告</w:t>
            </w:r>
            <w:r>
              <w:rPr>
                <w:rFonts w:hint="eastAsia" w:ascii="宋体" w:hAnsi="宋体" w:cs="宋体"/>
                <w:color w:val="auto"/>
                <w:highlight w:val="none"/>
              </w:rPr>
              <w:t>”的要求</w:t>
            </w:r>
          </w:p>
        </w:tc>
      </w:tr>
      <w:tr w14:paraId="05F168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633" w:type="dxa"/>
            <w:vMerge w:val="continue"/>
            <w:noWrap w:val="0"/>
            <w:vAlign w:val="center"/>
          </w:tcPr>
          <w:p w14:paraId="0D07E529">
            <w:pPr>
              <w:spacing w:line="240" w:lineRule="exact"/>
              <w:jc w:val="center"/>
              <w:rPr>
                <w:rFonts w:hint="eastAsia" w:ascii="宋体" w:hAnsi="宋体" w:cs="宋体"/>
                <w:color w:val="auto"/>
                <w:szCs w:val="21"/>
                <w:highlight w:val="none"/>
              </w:rPr>
            </w:pPr>
          </w:p>
        </w:tc>
        <w:tc>
          <w:tcPr>
            <w:tcW w:w="3055" w:type="dxa"/>
            <w:gridSpan w:val="2"/>
            <w:noWrap w:val="0"/>
            <w:vAlign w:val="center"/>
          </w:tcPr>
          <w:p w14:paraId="27B87346">
            <w:pPr>
              <w:spacing w:line="240" w:lineRule="exact"/>
              <w:jc w:val="left"/>
              <w:rPr>
                <w:rFonts w:hint="eastAsia" w:ascii="宋体" w:hAnsi="宋体" w:cs="宋体"/>
                <w:color w:val="auto"/>
                <w:szCs w:val="21"/>
                <w:highlight w:val="none"/>
              </w:rPr>
            </w:pPr>
            <w:r>
              <w:rPr>
                <w:rFonts w:hint="eastAsia" w:ascii="宋体" w:hAnsi="宋体" w:cs="宋体"/>
                <w:color w:val="auto"/>
                <w:szCs w:val="21"/>
                <w:highlight w:val="none"/>
              </w:rPr>
              <w:t>（8）其他要求</w:t>
            </w:r>
          </w:p>
        </w:tc>
        <w:tc>
          <w:tcPr>
            <w:tcW w:w="5598" w:type="dxa"/>
            <w:noWrap w:val="0"/>
            <w:vAlign w:val="center"/>
          </w:tcPr>
          <w:p w14:paraId="79CC977A">
            <w:pPr>
              <w:spacing w:line="312" w:lineRule="auto"/>
              <w:rPr>
                <w:rFonts w:hint="eastAsia" w:ascii="宋体" w:hAnsi="宋体" w:cs="宋体"/>
                <w:color w:val="auto"/>
                <w:kern w:val="0"/>
                <w:szCs w:val="21"/>
                <w:highlight w:val="none"/>
              </w:rPr>
            </w:pPr>
            <w:r>
              <w:rPr>
                <w:rFonts w:hint="eastAsia" w:ascii="宋体" w:hAnsi="宋体" w:cs="宋体"/>
                <w:color w:val="auto"/>
                <w:kern w:val="0"/>
                <w:szCs w:val="21"/>
                <w:highlight w:val="none"/>
              </w:rPr>
              <w:t>按照磋商公告规定获得采购文件。</w:t>
            </w:r>
          </w:p>
        </w:tc>
      </w:tr>
    </w:tbl>
    <w:p w14:paraId="3DAFC3A9">
      <w:pPr>
        <w:spacing w:before="120" w:line="320" w:lineRule="atLeast"/>
        <w:ind w:firstLine="413" w:firstLineChars="196"/>
        <w:outlineLvl w:val="1"/>
        <w:rPr>
          <w:rFonts w:hint="eastAsia" w:ascii="宋体" w:hAnsi="宋体" w:cs="宋体"/>
          <w:color w:val="auto"/>
          <w:szCs w:val="21"/>
          <w:highlight w:val="none"/>
        </w:rPr>
      </w:pPr>
      <w:r>
        <w:rPr>
          <w:rFonts w:hint="eastAsia" w:ascii="宋体" w:hAnsi="宋体" w:cs="宋体"/>
          <w:b/>
          <w:bCs/>
          <w:color w:val="auto"/>
          <w:kern w:val="0"/>
          <w:szCs w:val="21"/>
          <w:highlight w:val="none"/>
        </w:rPr>
        <w:t>3.符合性审查标准（不满足任何一项审查内容要求，符合性审查即为不合格）</w:t>
      </w:r>
    </w:p>
    <w:bookmarkEnd w:id="22"/>
    <w:bookmarkEnd w:id="23"/>
    <w:tbl>
      <w:tblPr>
        <w:tblStyle w:val="5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76"/>
        <w:gridCol w:w="2616"/>
        <w:gridCol w:w="5594"/>
      </w:tblGrid>
      <w:tr w14:paraId="24DBC3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01" w:type="dxa"/>
            <w:noWrap w:val="0"/>
            <w:vAlign w:val="center"/>
          </w:tcPr>
          <w:p w14:paraId="40D4F13B">
            <w:pPr>
              <w:spacing w:line="240" w:lineRule="exact"/>
              <w:jc w:val="center"/>
              <w:rPr>
                <w:rFonts w:hint="eastAsia" w:ascii="宋体" w:hAnsi="宋体" w:cs="宋体"/>
                <w:b/>
                <w:color w:val="auto"/>
                <w:kern w:val="0"/>
                <w:szCs w:val="21"/>
                <w:highlight w:val="none"/>
              </w:rPr>
            </w:pPr>
            <w:r>
              <w:rPr>
                <w:rFonts w:hint="eastAsia" w:ascii="宋体" w:hAnsi="宋体" w:cs="宋体"/>
                <w:b/>
                <w:color w:val="auto"/>
                <w:kern w:val="0"/>
                <w:szCs w:val="21"/>
                <w:highlight w:val="none"/>
              </w:rPr>
              <w:t>审查因素</w:t>
            </w:r>
          </w:p>
        </w:tc>
        <w:tc>
          <w:tcPr>
            <w:tcW w:w="2693" w:type="dxa"/>
            <w:noWrap w:val="0"/>
            <w:vAlign w:val="center"/>
          </w:tcPr>
          <w:p w14:paraId="20E2030A">
            <w:pPr>
              <w:spacing w:line="240" w:lineRule="exact"/>
              <w:jc w:val="center"/>
              <w:rPr>
                <w:rFonts w:hint="eastAsia" w:ascii="宋体" w:hAnsi="宋体" w:cs="宋体"/>
                <w:b/>
                <w:color w:val="auto"/>
                <w:kern w:val="0"/>
                <w:szCs w:val="21"/>
                <w:highlight w:val="none"/>
              </w:rPr>
            </w:pPr>
            <w:r>
              <w:rPr>
                <w:rFonts w:hint="eastAsia" w:ascii="宋体" w:hAnsi="宋体" w:cs="宋体"/>
                <w:b/>
                <w:color w:val="auto"/>
                <w:kern w:val="0"/>
                <w:szCs w:val="21"/>
                <w:highlight w:val="none"/>
              </w:rPr>
              <w:t>审查内容</w:t>
            </w:r>
          </w:p>
        </w:tc>
        <w:tc>
          <w:tcPr>
            <w:tcW w:w="5777" w:type="dxa"/>
            <w:noWrap w:val="0"/>
            <w:vAlign w:val="center"/>
          </w:tcPr>
          <w:p w14:paraId="18EC02C8">
            <w:pPr>
              <w:spacing w:line="240" w:lineRule="exact"/>
              <w:jc w:val="center"/>
              <w:rPr>
                <w:rFonts w:hint="eastAsia" w:ascii="宋体" w:hAnsi="宋体" w:cs="宋体"/>
                <w:b/>
                <w:color w:val="auto"/>
                <w:kern w:val="0"/>
                <w:szCs w:val="21"/>
                <w:highlight w:val="none"/>
              </w:rPr>
            </w:pPr>
            <w:r>
              <w:rPr>
                <w:rFonts w:hint="eastAsia" w:ascii="宋体" w:hAnsi="宋体" w:cs="宋体"/>
                <w:b/>
                <w:color w:val="auto"/>
                <w:kern w:val="0"/>
                <w:szCs w:val="21"/>
                <w:highlight w:val="none"/>
              </w:rPr>
              <w:t>说明</w:t>
            </w:r>
          </w:p>
        </w:tc>
      </w:tr>
      <w:tr w14:paraId="6205EA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01" w:type="dxa"/>
            <w:vMerge w:val="restart"/>
            <w:noWrap w:val="0"/>
            <w:vAlign w:val="center"/>
          </w:tcPr>
          <w:p w14:paraId="1EEB2185">
            <w:pPr>
              <w:spacing w:line="240" w:lineRule="exact"/>
              <w:jc w:val="center"/>
              <w:rPr>
                <w:rFonts w:hint="eastAsia" w:ascii="宋体" w:hAnsi="宋体" w:cs="宋体"/>
                <w:color w:val="auto"/>
                <w:szCs w:val="21"/>
                <w:highlight w:val="none"/>
              </w:rPr>
            </w:pPr>
            <w:r>
              <w:rPr>
                <w:rFonts w:hint="eastAsia" w:ascii="宋体" w:hAnsi="宋体" w:cs="宋体"/>
                <w:color w:val="auto"/>
                <w:kern w:val="0"/>
                <w:szCs w:val="21"/>
                <w:highlight w:val="none"/>
              </w:rPr>
              <w:t>商务资信</w:t>
            </w:r>
          </w:p>
        </w:tc>
        <w:tc>
          <w:tcPr>
            <w:tcW w:w="2693" w:type="dxa"/>
            <w:noWrap w:val="0"/>
            <w:vAlign w:val="center"/>
          </w:tcPr>
          <w:p w14:paraId="173E56F6">
            <w:pPr>
              <w:spacing w:line="240" w:lineRule="exact"/>
              <w:rPr>
                <w:rFonts w:hint="eastAsia" w:ascii="宋体" w:hAnsi="宋体" w:cs="宋体"/>
                <w:color w:val="auto"/>
                <w:highlight w:val="none"/>
              </w:rPr>
            </w:pPr>
            <w:r>
              <w:rPr>
                <w:rFonts w:hint="eastAsia" w:ascii="宋体" w:hAnsi="宋体" w:cs="宋体"/>
                <w:color w:val="auto"/>
                <w:highlight w:val="none"/>
              </w:rPr>
              <w:t>法定代表人身份证明及授权委托书</w:t>
            </w:r>
          </w:p>
        </w:tc>
        <w:tc>
          <w:tcPr>
            <w:tcW w:w="5777" w:type="dxa"/>
            <w:noWrap w:val="0"/>
            <w:vAlign w:val="center"/>
          </w:tcPr>
          <w:p w14:paraId="0BB06B73">
            <w:pPr>
              <w:spacing w:line="240" w:lineRule="exact"/>
              <w:rPr>
                <w:rFonts w:hint="eastAsia" w:ascii="宋体" w:hAnsi="宋体" w:eastAsia="宋体" w:cs="宋体"/>
                <w:color w:val="auto"/>
                <w:szCs w:val="21"/>
                <w:highlight w:val="none"/>
                <w:lang w:eastAsia="zh-CN"/>
              </w:rPr>
            </w:pPr>
            <w:r>
              <w:rPr>
                <w:rFonts w:hint="eastAsia" w:ascii="宋体" w:hAnsi="宋体" w:cs="宋体"/>
                <w:color w:val="auto"/>
                <w:szCs w:val="21"/>
                <w:highlight w:val="none"/>
              </w:rPr>
              <w:t>授权代表参加响应时审查</w:t>
            </w:r>
            <w:r>
              <w:rPr>
                <w:rFonts w:hint="eastAsia" w:ascii="宋体" w:hAnsi="宋体" w:cs="宋体"/>
                <w:color w:val="auto"/>
                <w:highlight w:val="none"/>
              </w:rPr>
              <w:t>：</w:t>
            </w:r>
            <w:r>
              <w:rPr>
                <w:rFonts w:hint="eastAsia" w:ascii="宋体" w:hAnsi="宋体" w:cs="宋体"/>
                <w:color w:val="auto"/>
                <w:szCs w:val="21"/>
                <w:highlight w:val="none"/>
              </w:rPr>
              <w:t>法定代表人授权委托书及附件</w:t>
            </w:r>
          </w:p>
          <w:p w14:paraId="4F1BD92A">
            <w:pPr>
              <w:spacing w:line="240" w:lineRule="exact"/>
              <w:rPr>
                <w:rFonts w:hint="eastAsia" w:ascii="宋体" w:hAnsi="宋体" w:cs="宋体"/>
                <w:color w:val="auto"/>
                <w:szCs w:val="21"/>
                <w:highlight w:val="none"/>
              </w:rPr>
            </w:pPr>
            <w:r>
              <w:rPr>
                <w:rFonts w:hint="eastAsia" w:ascii="宋体" w:hAnsi="宋体" w:cs="宋体"/>
                <w:color w:val="auto"/>
                <w:szCs w:val="21"/>
                <w:highlight w:val="none"/>
              </w:rPr>
              <w:t>法定代表人直接参加响应时审查</w:t>
            </w:r>
            <w:r>
              <w:rPr>
                <w:rFonts w:hint="eastAsia" w:ascii="宋体" w:hAnsi="宋体" w:cs="宋体"/>
                <w:color w:val="auto"/>
                <w:highlight w:val="none"/>
              </w:rPr>
              <w:t>：</w:t>
            </w:r>
            <w:r>
              <w:rPr>
                <w:rFonts w:hint="eastAsia" w:ascii="宋体" w:hAnsi="宋体" w:cs="宋体"/>
                <w:color w:val="auto"/>
                <w:szCs w:val="21"/>
                <w:highlight w:val="none"/>
              </w:rPr>
              <w:t>法定代表人身份证明及附件</w:t>
            </w:r>
          </w:p>
          <w:p w14:paraId="72CA086E">
            <w:pPr>
              <w:spacing w:line="240" w:lineRule="exact"/>
              <w:rPr>
                <w:rFonts w:hint="eastAsia" w:ascii="宋体" w:hAnsi="宋体" w:cs="宋体"/>
                <w:color w:val="auto"/>
                <w:highlight w:val="none"/>
              </w:rPr>
            </w:pPr>
            <w:r>
              <w:rPr>
                <w:rFonts w:hint="eastAsia" w:ascii="宋体" w:hAnsi="宋体" w:cs="宋体"/>
                <w:color w:val="auto"/>
                <w:szCs w:val="21"/>
                <w:highlight w:val="none"/>
              </w:rPr>
              <w:t>格式及附件见第六章响应文件格式要求</w:t>
            </w:r>
          </w:p>
        </w:tc>
      </w:tr>
      <w:tr w14:paraId="2FF1C2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01" w:type="dxa"/>
            <w:vMerge w:val="continue"/>
            <w:noWrap w:val="0"/>
            <w:vAlign w:val="center"/>
          </w:tcPr>
          <w:p w14:paraId="5CDB1A88">
            <w:pPr>
              <w:spacing w:line="240" w:lineRule="exact"/>
              <w:jc w:val="center"/>
              <w:rPr>
                <w:rFonts w:hint="eastAsia" w:ascii="宋体" w:hAnsi="宋体" w:cs="宋体"/>
                <w:color w:val="auto"/>
                <w:kern w:val="0"/>
                <w:szCs w:val="21"/>
                <w:highlight w:val="none"/>
              </w:rPr>
            </w:pPr>
          </w:p>
        </w:tc>
        <w:tc>
          <w:tcPr>
            <w:tcW w:w="2693" w:type="dxa"/>
            <w:noWrap w:val="0"/>
            <w:vAlign w:val="center"/>
          </w:tcPr>
          <w:p w14:paraId="1B8E1DA4">
            <w:pPr>
              <w:spacing w:line="240" w:lineRule="exact"/>
              <w:rPr>
                <w:rFonts w:hint="eastAsia" w:ascii="宋体" w:hAnsi="宋体" w:cs="宋体"/>
                <w:color w:val="auto"/>
                <w:szCs w:val="21"/>
                <w:highlight w:val="none"/>
              </w:rPr>
            </w:pPr>
            <w:r>
              <w:rPr>
                <w:rFonts w:hint="eastAsia" w:ascii="宋体" w:hAnsi="宋体" w:cs="宋体"/>
                <w:color w:val="auto"/>
                <w:szCs w:val="21"/>
                <w:highlight w:val="none"/>
              </w:rPr>
              <w:t>实质性条款响应</w:t>
            </w:r>
          </w:p>
        </w:tc>
        <w:tc>
          <w:tcPr>
            <w:tcW w:w="5777" w:type="dxa"/>
            <w:noWrap w:val="0"/>
            <w:vAlign w:val="center"/>
          </w:tcPr>
          <w:p w14:paraId="41AE818A">
            <w:pPr>
              <w:spacing w:line="240" w:lineRule="exact"/>
              <w:rPr>
                <w:rFonts w:hint="eastAsia" w:ascii="宋体" w:hAnsi="宋体" w:cs="宋体"/>
                <w:color w:val="auto"/>
                <w:szCs w:val="21"/>
                <w:highlight w:val="none"/>
              </w:rPr>
            </w:pPr>
            <w:r>
              <w:rPr>
                <w:rFonts w:hint="eastAsia" w:ascii="宋体" w:hAnsi="宋体" w:cs="宋体"/>
                <w:color w:val="auto"/>
                <w:szCs w:val="21"/>
                <w:highlight w:val="none"/>
              </w:rPr>
              <w:t>采购文件实质性要求响应均无负偏离</w:t>
            </w:r>
          </w:p>
        </w:tc>
      </w:tr>
      <w:tr w14:paraId="2DC7FA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01" w:type="dxa"/>
            <w:vMerge w:val="continue"/>
            <w:noWrap w:val="0"/>
            <w:vAlign w:val="center"/>
          </w:tcPr>
          <w:p w14:paraId="50A37DA0">
            <w:pPr>
              <w:spacing w:line="240" w:lineRule="exact"/>
              <w:jc w:val="center"/>
              <w:rPr>
                <w:rFonts w:hint="eastAsia" w:ascii="宋体" w:hAnsi="宋体" w:cs="宋体"/>
                <w:color w:val="auto"/>
                <w:kern w:val="0"/>
                <w:szCs w:val="21"/>
                <w:highlight w:val="none"/>
              </w:rPr>
            </w:pPr>
          </w:p>
        </w:tc>
        <w:tc>
          <w:tcPr>
            <w:tcW w:w="2693" w:type="dxa"/>
            <w:noWrap w:val="0"/>
            <w:vAlign w:val="center"/>
          </w:tcPr>
          <w:p w14:paraId="3C60BA6B">
            <w:pPr>
              <w:spacing w:line="240" w:lineRule="exact"/>
              <w:rPr>
                <w:rFonts w:hint="eastAsia" w:ascii="宋体" w:hAnsi="宋体" w:cs="宋体"/>
                <w:color w:val="auto"/>
                <w:szCs w:val="21"/>
                <w:highlight w:val="none"/>
              </w:rPr>
            </w:pPr>
            <w:r>
              <w:rPr>
                <w:rFonts w:hint="eastAsia" w:ascii="宋体" w:hAnsi="宋体" w:cs="宋体"/>
                <w:color w:val="auto"/>
                <w:szCs w:val="21"/>
                <w:highlight w:val="none"/>
              </w:rPr>
              <w:t>串通投标</w:t>
            </w:r>
          </w:p>
        </w:tc>
        <w:tc>
          <w:tcPr>
            <w:tcW w:w="5777" w:type="dxa"/>
            <w:noWrap w:val="0"/>
            <w:vAlign w:val="center"/>
          </w:tcPr>
          <w:p w14:paraId="7FFF753C">
            <w:pPr>
              <w:spacing w:line="240" w:lineRule="exact"/>
              <w:rPr>
                <w:rFonts w:hint="eastAsia" w:ascii="宋体" w:hAnsi="宋体" w:cs="宋体"/>
                <w:color w:val="auto"/>
                <w:szCs w:val="21"/>
                <w:highlight w:val="none"/>
              </w:rPr>
            </w:pPr>
            <w:r>
              <w:rPr>
                <w:rFonts w:hint="eastAsia" w:ascii="宋体" w:hAnsi="宋体" w:cs="宋体"/>
                <w:color w:val="auto"/>
                <w:szCs w:val="21"/>
                <w:highlight w:val="none"/>
              </w:rPr>
              <w:t>不属于供应商须知正文第6.3.8规定的串通投标情形，见第六章响应文件格式要求</w:t>
            </w:r>
          </w:p>
        </w:tc>
      </w:tr>
      <w:tr w14:paraId="3D8CC6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01" w:type="dxa"/>
            <w:vMerge w:val="restart"/>
            <w:noWrap w:val="0"/>
            <w:vAlign w:val="center"/>
          </w:tcPr>
          <w:p w14:paraId="0A65BDF3">
            <w:pPr>
              <w:spacing w:line="240" w:lineRule="exac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技术</w:t>
            </w:r>
          </w:p>
        </w:tc>
        <w:tc>
          <w:tcPr>
            <w:tcW w:w="2693" w:type="dxa"/>
            <w:noWrap w:val="0"/>
            <w:vAlign w:val="center"/>
          </w:tcPr>
          <w:p w14:paraId="187B12F6">
            <w:pPr>
              <w:spacing w:line="240" w:lineRule="exact"/>
              <w:rPr>
                <w:rFonts w:hint="eastAsia" w:ascii="宋体" w:hAnsi="宋体" w:cs="宋体"/>
                <w:color w:val="auto"/>
                <w:szCs w:val="21"/>
                <w:highlight w:val="none"/>
                <w:lang w:val="zh-CN"/>
              </w:rPr>
            </w:pPr>
            <w:r>
              <w:rPr>
                <w:rFonts w:hint="eastAsia" w:ascii="宋体" w:hAnsi="宋体" w:cs="宋体"/>
                <w:color w:val="auto"/>
                <w:szCs w:val="21"/>
                <w:highlight w:val="none"/>
                <w:lang w:val="zh-CN"/>
              </w:rPr>
              <w:t>工期</w:t>
            </w:r>
          </w:p>
        </w:tc>
        <w:tc>
          <w:tcPr>
            <w:tcW w:w="5777" w:type="dxa"/>
            <w:noWrap w:val="0"/>
            <w:vAlign w:val="center"/>
          </w:tcPr>
          <w:p w14:paraId="022F2019">
            <w:pPr>
              <w:spacing w:line="240" w:lineRule="exact"/>
              <w:rPr>
                <w:rFonts w:hint="eastAsia" w:ascii="宋体" w:hAnsi="宋体" w:cs="宋体"/>
                <w:color w:val="auto"/>
                <w:szCs w:val="21"/>
                <w:highlight w:val="none"/>
                <w:lang w:val="zh-CN"/>
              </w:rPr>
            </w:pPr>
            <w:r>
              <w:rPr>
                <w:rFonts w:hint="eastAsia" w:ascii="宋体" w:hAnsi="宋体" w:cs="宋体"/>
                <w:color w:val="auto"/>
                <w:szCs w:val="21"/>
                <w:highlight w:val="none"/>
              </w:rPr>
              <w:t>满足采购文件规定</w:t>
            </w:r>
          </w:p>
        </w:tc>
      </w:tr>
      <w:tr w14:paraId="53C993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01" w:type="dxa"/>
            <w:vMerge w:val="continue"/>
            <w:noWrap w:val="0"/>
            <w:vAlign w:val="center"/>
          </w:tcPr>
          <w:p w14:paraId="2FF51084">
            <w:pPr>
              <w:spacing w:line="240" w:lineRule="exact"/>
              <w:jc w:val="center"/>
              <w:rPr>
                <w:rFonts w:hint="eastAsia" w:ascii="宋体" w:hAnsi="宋体" w:cs="宋体"/>
                <w:color w:val="auto"/>
                <w:kern w:val="0"/>
                <w:szCs w:val="21"/>
                <w:highlight w:val="none"/>
              </w:rPr>
            </w:pPr>
          </w:p>
        </w:tc>
        <w:tc>
          <w:tcPr>
            <w:tcW w:w="2693" w:type="dxa"/>
            <w:noWrap w:val="0"/>
            <w:vAlign w:val="center"/>
          </w:tcPr>
          <w:p w14:paraId="272B06B8">
            <w:pPr>
              <w:spacing w:line="240" w:lineRule="exact"/>
              <w:rPr>
                <w:rFonts w:hint="eastAsia" w:ascii="宋体" w:hAnsi="宋体" w:cs="宋体"/>
                <w:color w:val="auto"/>
                <w:szCs w:val="21"/>
                <w:highlight w:val="none"/>
                <w:lang w:val="zh-CN"/>
              </w:rPr>
            </w:pPr>
            <w:r>
              <w:rPr>
                <w:rFonts w:hint="eastAsia" w:ascii="宋体" w:hAnsi="宋体" w:cs="宋体"/>
                <w:color w:val="auto"/>
                <w:szCs w:val="21"/>
                <w:highlight w:val="none"/>
                <w:lang w:val="zh-CN"/>
              </w:rPr>
              <w:t>工程质量</w:t>
            </w:r>
          </w:p>
        </w:tc>
        <w:tc>
          <w:tcPr>
            <w:tcW w:w="5777" w:type="dxa"/>
            <w:noWrap w:val="0"/>
            <w:vAlign w:val="center"/>
          </w:tcPr>
          <w:p w14:paraId="57DA7D4E">
            <w:pPr>
              <w:spacing w:line="240" w:lineRule="exact"/>
              <w:rPr>
                <w:rFonts w:hint="eastAsia" w:ascii="宋体" w:hAnsi="宋体" w:cs="宋体"/>
                <w:color w:val="auto"/>
                <w:szCs w:val="21"/>
                <w:highlight w:val="none"/>
                <w:lang w:val="zh-CN"/>
              </w:rPr>
            </w:pPr>
            <w:r>
              <w:rPr>
                <w:rFonts w:hint="eastAsia" w:ascii="宋体" w:hAnsi="宋体" w:cs="宋体"/>
                <w:color w:val="auto"/>
                <w:szCs w:val="21"/>
                <w:highlight w:val="none"/>
              </w:rPr>
              <w:t>满足采购文件规定</w:t>
            </w:r>
          </w:p>
        </w:tc>
      </w:tr>
      <w:tr w14:paraId="3A856A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01" w:type="dxa"/>
            <w:vMerge w:val="continue"/>
            <w:noWrap w:val="0"/>
            <w:vAlign w:val="center"/>
          </w:tcPr>
          <w:p w14:paraId="162C8834">
            <w:pPr>
              <w:spacing w:line="240" w:lineRule="exact"/>
              <w:jc w:val="center"/>
              <w:rPr>
                <w:rFonts w:hint="eastAsia" w:ascii="宋体" w:hAnsi="宋体" w:cs="宋体"/>
                <w:color w:val="auto"/>
                <w:kern w:val="0"/>
                <w:szCs w:val="21"/>
                <w:highlight w:val="none"/>
              </w:rPr>
            </w:pPr>
          </w:p>
        </w:tc>
        <w:tc>
          <w:tcPr>
            <w:tcW w:w="2693" w:type="dxa"/>
            <w:noWrap w:val="0"/>
            <w:vAlign w:val="center"/>
          </w:tcPr>
          <w:p w14:paraId="6DB5AC4B">
            <w:pPr>
              <w:rPr>
                <w:rFonts w:hint="eastAsia" w:ascii="宋体" w:hAnsi="宋体" w:cs="宋体"/>
                <w:color w:val="auto"/>
                <w:szCs w:val="21"/>
                <w:highlight w:val="none"/>
              </w:rPr>
            </w:pPr>
            <w:r>
              <w:rPr>
                <w:rFonts w:hint="eastAsia" w:ascii="宋体" w:hAnsi="宋体" w:cs="宋体"/>
                <w:color w:val="auto"/>
                <w:szCs w:val="21"/>
                <w:highlight w:val="none"/>
              </w:rPr>
              <w:t>响应有效期</w:t>
            </w:r>
          </w:p>
        </w:tc>
        <w:tc>
          <w:tcPr>
            <w:tcW w:w="5777" w:type="dxa"/>
            <w:noWrap w:val="0"/>
            <w:vAlign w:val="center"/>
          </w:tcPr>
          <w:p w14:paraId="207B9343">
            <w:pPr>
              <w:rPr>
                <w:rFonts w:hint="eastAsia" w:ascii="宋体" w:hAnsi="宋体" w:cs="宋体"/>
                <w:color w:val="auto"/>
                <w:szCs w:val="21"/>
                <w:highlight w:val="none"/>
              </w:rPr>
            </w:pPr>
            <w:r>
              <w:rPr>
                <w:rFonts w:hint="eastAsia" w:ascii="宋体" w:hAnsi="宋体" w:cs="宋体"/>
                <w:color w:val="auto"/>
                <w:szCs w:val="21"/>
                <w:highlight w:val="none"/>
              </w:rPr>
              <w:t>满足采购文件规定</w:t>
            </w:r>
          </w:p>
        </w:tc>
      </w:tr>
      <w:tr w14:paraId="577016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01" w:type="dxa"/>
            <w:vMerge w:val="continue"/>
            <w:noWrap w:val="0"/>
            <w:vAlign w:val="center"/>
          </w:tcPr>
          <w:p w14:paraId="719FDD20">
            <w:pPr>
              <w:spacing w:line="240" w:lineRule="exact"/>
              <w:jc w:val="center"/>
              <w:rPr>
                <w:rFonts w:hint="eastAsia" w:ascii="宋体" w:hAnsi="宋体" w:cs="宋体"/>
                <w:color w:val="auto"/>
                <w:kern w:val="0"/>
                <w:szCs w:val="21"/>
                <w:highlight w:val="none"/>
              </w:rPr>
            </w:pPr>
          </w:p>
        </w:tc>
        <w:tc>
          <w:tcPr>
            <w:tcW w:w="2693" w:type="dxa"/>
            <w:noWrap w:val="0"/>
            <w:vAlign w:val="center"/>
          </w:tcPr>
          <w:p w14:paraId="5B4F7330">
            <w:pPr>
              <w:rPr>
                <w:rFonts w:hint="eastAsia" w:ascii="宋体" w:hAnsi="宋体" w:cs="宋体"/>
                <w:color w:val="auto"/>
                <w:szCs w:val="21"/>
                <w:highlight w:val="none"/>
              </w:rPr>
            </w:pPr>
            <w:r>
              <w:rPr>
                <w:rFonts w:hint="eastAsia" w:ascii="宋体" w:hAnsi="宋体" w:cs="宋体"/>
                <w:color w:val="auto"/>
                <w:szCs w:val="21"/>
                <w:highlight w:val="none"/>
              </w:rPr>
              <w:t>技术标准和要求</w:t>
            </w:r>
          </w:p>
        </w:tc>
        <w:tc>
          <w:tcPr>
            <w:tcW w:w="5777" w:type="dxa"/>
            <w:noWrap w:val="0"/>
            <w:vAlign w:val="center"/>
          </w:tcPr>
          <w:p w14:paraId="40EA634E">
            <w:pPr>
              <w:rPr>
                <w:rFonts w:hint="eastAsia" w:ascii="宋体" w:hAnsi="宋体" w:cs="宋体"/>
                <w:color w:val="auto"/>
                <w:szCs w:val="21"/>
                <w:highlight w:val="none"/>
              </w:rPr>
            </w:pPr>
            <w:r>
              <w:rPr>
                <w:rFonts w:hint="eastAsia" w:ascii="宋体" w:hAnsi="宋体" w:cs="宋体"/>
                <w:color w:val="auto"/>
                <w:szCs w:val="21"/>
                <w:highlight w:val="none"/>
              </w:rPr>
              <w:t>满足采购文件规定</w:t>
            </w:r>
          </w:p>
        </w:tc>
      </w:tr>
      <w:tr w14:paraId="525E45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01" w:type="dxa"/>
            <w:vMerge w:val="continue"/>
            <w:noWrap w:val="0"/>
            <w:vAlign w:val="center"/>
          </w:tcPr>
          <w:p w14:paraId="1A8B7659">
            <w:pPr>
              <w:spacing w:line="240" w:lineRule="exact"/>
              <w:jc w:val="center"/>
              <w:rPr>
                <w:rFonts w:hint="eastAsia" w:ascii="宋体" w:hAnsi="宋体" w:cs="宋体"/>
                <w:color w:val="auto"/>
                <w:kern w:val="0"/>
                <w:szCs w:val="21"/>
                <w:highlight w:val="none"/>
              </w:rPr>
            </w:pPr>
          </w:p>
        </w:tc>
        <w:tc>
          <w:tcPr>
            <w:tcW w:w="2693" w:type="dxa"/>
            <w:noWrap w:val="0"/>
            <w:vAlign w:val="center"/>
          </w:tcPr>
          <w:p w14:paraId="378576AE">
            <w:pPr>
              <w:rPr>
                <w:rFonts w:hint="eastAsia" w:ascii="宋体" w:hAnsi="宋体" w:cs="宋体"/>
                <w:color w:val="auto"/>
                <w:szCs w:val="21"/>
                <w:highlight w:val="none"/>
              </w:rPr>
            </w:pPr>
            <w:r>
              <w:rPr>
                <w:rFonts w:hint="eastAsia" w:ascii="宋体" w:hAnsi="宋体" w:cs="宋体"/>
                <w:color w:val="auto"/>
                <w:szCs w:val="21"/>
                <w:highlight w:val="none"/>
              </w:rPr>
              <w:t>分包计划（如有）</w:t>
            </w:r>
          </w:p>
        </w:tc>
        <w:tc>
          <w:tcPr>
            <w:tcW w:w="5777" w:type="dxa"/>
            <w:noWrap w:val="0"/>
            <w:vAlign w:val="center"/>
          </w:tcPr>
          <w:p w14:paraId="059E860C">
            <w:pPr>
              <w:rPr>
                <w:rFonts w:hint="eastAsia" w:ascii="宋体" w:hAnsi="宋体" w:cs="宋体"/>
                <w:color w:val="auto"/>
                <w:szCs w:val="21"/>
                <w:highlight w:val="none"/>
              </w:rPr>
            </w:pPr>
            <w:r>
              <w:rPr>
                <w:rFonts w:hint="eastAsia" w:ascii="宋体" w:hAnsi="宋体" w:cs="宋体"/>
                <w:color w:val="auto"/>
                <w:szCs w:val="21"/>
                <w:highlight w:val="none"/>
              </w:rPr>
              <w:t>满足采购文件规定</w:t>
            </w:r>
          </w:p>
        </w:tc>
      </w:tr>
      <w:tr w14:paraId="6CED31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01" w:type="dxa"/>
            <w:vMerge w:val="continue"/>
            <w:noWrap w:val="0"/>
            <w:vAlign w:val="center"/>
          </w:tcPr>
          <w:p w14:paraId="740FD302">
            <w:pPr>
              <w:spacing w:line="240" w:lineRule="exact"/>
              <w:jc w:val="center"/>
              <w:rPr>
                <w:rFonts w:hint="eastAsia" w:ascii="宋体" w:hAnsi="宋体" w:cs="宋体"/>
                <w:color w:val="auto"/>
                <w:kern w:val="0"/>
                <w:szCs w:val="21"/>
                <w:highlight w:val="none"/>
              </w:rPr>
            </w:pPr>
          </w:p>
        </w:tc>
        <w:tc>
          <w:tcPr>
            <w:tcW w:w="2693" w:type="dxa"/>
            <w:shd w:val="clear" w:color="auto" w:fill="auto"/>
            <w:noWrap w:val="0"/>
            <w:vAlign w:val="center"/>
          </w:tcPr>
          <w:p w14:paraId="7309FF2E">
            <w:pPr>
              <w:spacing w:line="240" w:lineRule="exact"/>
              <w:rPr>
                <w:rFonts w:hint="eastAsia" w:ascii="宋体" w:hAnsi="宋体" w:eastAsia="宋体" w:cs="宋体"/>
                <w:color w:val="auto"/>
                <w:kern w:val="2"/>
                <w:sz w:val="21"/>
                <w:szCs w:val="21"/>
                <w:highlight w:val="none"/>
                <w:lang w:val="zh-CN" w:eastAsia="zh-CN" w:bidi="ar-SA"/>
              </w:rPr>
            </w:pPr>
            <w:r>
              <w:rPr>
                <w:rFonts w:hint="eastAsia" w:ascii="宋体" w:hAnsi="宋体" w:cs="宋体"/>
                <w:color w:val="auto"/>
                <w:szCs w:val="21"/>
                <w:highlight w:val="none"/>
                <w:lang w:val="zh-CN"/>
              </w:rPr>
              <w:t>已标价工程量清单</w:t>
            </w:r>
          </w:p>
        </w:tc>
        <w:tc>
          <w:tcPr>
            <w:tcW w:w="5777" w:type="dxa"/>
            <w:shd w:val="clear" w:color="auto" w:fill="auto"/>
            <w:noWrap w:val="0"/>
            <w:vAlign w:val="center"/>
          </w:tcPr>
          <w:p w14:paraId="6FFB1B63">
            <w:pPr>
              <w:spacing w:line="240" w:lineRule="exact"/>
              <w:rPr>
                <w:rFonts w:hint="eastAsia" w:ascii="宋体" w:hAnsi="宋体" w:eastAsia="宋体" w:cs="宋体"/>
                <w:color w:val="auto"/>
                <w:kern w:val="2"/>
                <w:sz w:val="21"/>
                <w:szCs w:val="21"/>
                <w:highlight w:val="none"/>
                <w:lang w:val="zh-CN" w:eastAsia="zh-CN" w:bidi="ar-SA"/>
              </w:rPr>
            </w:pPr>
            <w:r>
              <w:rPr>
                <w:rFonts w:hint="eastAsia" w:ascii="宋体" w:hAnsi="宋体" w:cs="宋体"/>
                <w:color w:val="auto"/>
                <w:szCs w:val="21"/>
                <w:highlight w:val="none"/>
                <w:lang w:val="zh-CN"/>
              </w:rPr>
              <w:t>符合</w:t>
            </w:r>
            <w:r>
              <w:rPr>
                <w:rFonts w:hint="eastAsia" w:ascii="宋体" w:hAnsi="宋体" w:cs="宋体"/>
                <w:color w:val="auto"/>
                <w:szCs w:val="21"/>
                <w:highlight w:val="none"/>
              </w:rPr>
              <w:t>第二章“工程量清单”及“图纸”</w:t>
            </w:r>
            <w:r>
              <w:rPr>
                <w:rFonts w:hint="eastAsia" w:ascii="宋体" w:hAnsi="宋体" w:cs="宋体"/>
                <w:color w:val="auto"/>
                <w:szCs w:val="21"/>
                <w:highlight w:val="none"/>
                <w:lang w:val="zh-CN"/>
              </w:rPr>
              <w:t>给出的范围、数量及编制要求</w:t>
            </w:r>
            <w:r>
              <w:rPr>
                <w:rFonts w:hint="eastAsia" w:ascii="宋体" w:hAnsi="宋体" w:eastAsia="宋体" w:cs="宋体"/>
                <w:color w:val="auto"/>
                <w:szCs w:val="21"/>
                <w:highlight w:val="none"/>
                <w:lang w:val="zh-CN"/>
              </w:rPr>
              <w:t>，</w:t>
            </w:r>
            <w:r>
              <w:rPr>
                <w:rFonts w:hint="eastAsia" w:ascii="宋体" w:hAnsi="宋体" w:eastAsia="宋体" w:cs="宋体"/>
                <w:color w:val="auto"/>
                <w:highlight w:val="none"/>
              </w:rPr>
              <w:t>已标价工程量清单的项目编码（12位）、计量单位、工程量任何一处与招标工程量清单</w:t>
            </w:r>
            <w:r>
              <w:rPr>
                <w:rFonts w:hint="eastAsia" w:ascii="宋体" w:hAnsi="宋体" w:eastAsia="宋体" w:cs="宋体"/>
                <w:color w:val="auto"/>
                <w:highlight w:val="none"/>
                <w:lang w:val="en-US" w:eastAsia="zh-CN"/>
              </w:rPr>
              <w:t>均</w:t>
            </w:r>
            <w:r>
              <w:rPr>
                <w:rFonts w:hint="eastAsia" w:ascii="宋体" w:hAnsi="宋体" w:eastAsia="宋体" w:cs="宋体"/>
                <w:color w:val="auto"/>
                <w:highlight w:val="none"/>
              </w:rPr>
              <w:t>一致</w:t>
            </w:r>
          </w:p>
        </w:tc>
      </w:tr>
      <w:tr w14:paraId="2686EA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01" w:type="dxa"/>
            <w:vMerge w:val="continue"/>
            <w:noWrap w:val="0"/>
            <w:vAlign w:val="center"/>
          </w:tcPr>
          <w:p w14:paraId="2B1FF48A">
            <w:pPr>
              <w:spacing w:line="240" w:lineRule="exact"/>
              <w:jc w:val="center"/>
              <w:rPr>
                <w:rFonts w:hint="eastAsia" w:ascii="宋体" w:hAnsi="宋体" w:cs="宋体"/>
                <w:color w:val="auto"/>
                <w:kern w:val="0"/>
                <w:szCs w:val="21"/>
                <w:highlight w:val="none"/>
              </w:rPr>
            </w:pPr>
          </w:p>
        </w:tc>
        <w:tc>
          <w:tcPr>
            <w:tcW w:w="2693" w:type="dxa"/>
            <w:noWrap w:val="0"/>
            <w:vAlign w:val="center"/>
          </w:tcPr>
          <w:p w14:paraId="7C9BFA2C">
            <w:pPr>
              <w:spacing w:line="240" w:lineRule="exact"/>
              <w:rPr>
                <w:rFonts w:hint="eastAsia" w:ascii="宋体" w:hAnsi="宋体" w:cs="宋体"/>
                <w:color w:val="auto"/>
                <w:szCs w:val="21"/>
                <w:highlight w:val="none"/>
                <w:lang w:val="zh-CN"/>
              </w:rPr>
            </w:pPr>
            <w:r>
              <w:rPr>
                <w:rFonts w:hint="eastAsia" w:ascii="宋体" w:hAnsi="宋体" w:cs="宋体"/>
                <w:color w:val="auto"/>
                <w:szCs w:val="21"/>
                <w:highlight w:val="none"/>
                <w:lang w:val="zh-CN"/>
              </w:rPr>
              <w:t>权利义务</w:t>
            </w:r>
          </w:p>
        </w:tc>
        <w:tc>
          <w:tcPr>
            <w:tcW w:w="5777" w:type="dxa"/>
            <w:noWrap w:val="0"/>
            <w:vAlign w:val="center"/>
          </w:tcPr>
          <w:p w14:paraId="76A1C003">
            <w:pPr>
              <w:spacing w:line="240" w:lineRule="exact"/>
              <w:rPr>
                <w:rFonts w:hint="eastAsia" w:ascii="宋体" w:hAnsi="宋体" w:cs="宋体"/>
                <w:color w:val="auto"/>
                <w:szCs w:val="21"/>
                <w:highlight w:val="none"/>
                <w:lang w:val="zh-CN"/>
              </w:rPr>
            </w:pPr>
            <w:r>
              <w:rPr>
                <w:rFonts w:hint="eastAsia" w:ascii="宋体" w:hAnsi="宋体" w:cs="宋体"/>
                <w:color w:val="auto"/>
                <w:szCs w:val="21"/>
                <w:highlight w:val="none"/>
                <w:lang w:val="zh-CN"/>
              </w:rPr>
              <w:t>响应函附录中的相关承诺符合或优于第五章“合同主要条款格式”的相关规定</w:t>
            </w:r>
          </w:p>
        </w:tc>
      </w:tr>
      <w:tr w14:paraId="706B01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01" w:type="dxa"/>
            <w:vMerge w:val="restart"/>
            <w:noWrap w:val="0"/>
            <w:vAlign w:val="center"/>
          </w:tcPr>
          <w:p w14:paraId="2959531B">
            <w:pPr>
              <w:spacing w:line="240" w:lineRule="exact"/>
              <w:jc w:val="center"/>
              <w:rPr>
                <w:rFonts w:hint="eastAsia" w:ascii="宋体" w:hAnsi="宋体" w:cs="宋体"/>
                <w:color w:val="auto"/>
                <w:szCs w:val="21"/>
                <w:highlight w:val="none"/>
              </w:rPr>
            </w:pPr>
            <w:r>
              <w:rPr>
                <w:rFonts w:hint="eastAsia" w:ascii="宋体" w:hAnsi="宋体" w:cs="宋体"/>
                <w:color w:val="auto"/>
                <w:kern w:val="0"/>
                <w:szCs w:val="21"/>
                <w:highlight w:val="none"/>
              </w:rPr>
              <w:t>报价</w:t>
            </w:r>
          </w:p>
        </w:tc>
        <w:tc>
          <w:tcPr>
            <w:tcW w:w="2693" w:type="dxa"/>
            <w:noWrap w:val="0"/>
            <w:vAlign w:val="center"/>
          </w:tcPr>
          <w:p w14:paraId="20B35EEA">
            <w:pPr>
              <w:rPr>
                <w:rFonts w:hint="eastAsia" w:ascii="宋体" w:hAnsi="宋体" w:cs="宋体"/>
                <w:color w:val="auto"/>
                <w:highlight w:val="none"/>
              </w:rPr>
            </w:pPr>
            <w:r>
              <w:rPr>
                <w:rFonts w:hint="eastAsia" w:ascii="宋体" w:hAnsi="宋体" w:cs="宋体"/>
                <w:color w:val="auto"/>
                <w:highlight w:val="none"/>
              </w:rPr>
              <w:t>有效报价</w:t>
            </w:r>
          </w:p>
        </w:tc>
        <w:tc>
          <w:tcPr>
            <w:tcW w:w="5777" w:type="dxa"/>
            <w:noWrap w:val="0"/>
            <w:vAlign w:val="center"/>
          </w:tcPr>
          <w:p w14:paraId="66875F6E">
            <w:pPr>
              <w:rPr>
                <w:rFonts w:hint="eastAsia" w:ascii="宋体" w:hAnsi="宋体" w:cs="宋体"/>
                <w:color w:val="auto"/>
                <w:highlight w:val="none"/>
              </w:rPr>
            </w:pPr>
            <w:r>
              <w:rPr>
                <w:rFonts w:hint="eastAsia" w:ascii="宋体" w:hAnsi="宋体" w:cs="宋体"/>
                <w:color w:val="auto"/>
                <w:highlight w:val="none"/>
              </w:rPr>
              <w:t>报价未超出采购预算金额（包括分项预算），也未超出最高限价（如有）</w:t>
            </w:r>
          </w:p>
        </w:tc>
      </w:tr>
      <w:tr w14:paraId="6B6231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01" w:type="dxa"/>
            <w:vMerge w:val="continue"/>
            <w:noWrap w:val="0"/>
            <w:vAlign w:val="center"/>
          </w:tcPr>
          <w:p w14:paraId="381A70DA">
            <w:pPr>
              <w:spacing w:line="240" w:lineRule="exact"/>
              <w:jc w:val="center"/>
              <w:rPr>
                <w:rFonts w:hint="eastAsia" w:ascii="宋体" w:hAnsi="宋体" w:cs="宋体"/>
                <w:color w:val="auto"/>
                <w:szCs w:val="21"/>
                <w:highlight w:val="none"/>
              </w:rPr>
            </w:pPr>
          </w:p>
        </w:tc>
        <w:tc>
          <w:tcPr>
            <w:tcW w:w="2693" w:type="dxa"/>
            <w:noWrap w:val="0"/>
            <w:vAlign w:val="center"/>
          </w:tcPr>
          <w:p w14:paraId="5484684A">
            <w:pPr>
              <w:rPr>
                <w:rFonts w:hint="eastAsia" w:ascii="宋体" w:hAnsi="宋体" w:cs="宋体"/>
                <w:color w:val="auto"/>
                <w:highlight w:val="none"/>
              </w:rPr>
            </w:pPr>
            <w:r>
              <w:rPr>
                <w:rFonts w:hint="eastAsia" w:ascii="宋体" w:hAnsi="宋体" w:cs="宋体"/>
                <w:color w:val="auto"/>
                <w:highlight w:val="none"/>
              </w:rPr>
              <w:t>漏项报价</w:t>
            </w:r>
          </w:p>
        </w:tc>
        <w:tc>
          <w:tcPr>
            <w:tcW w:w="5777" w:type="dxa"/>
            <w:noWrap w:val="0"/>
            <w:vAlign w:val="center"/>
          </w:tcPr>
          <w:p w14:paraId="45D5FDBA">
            <w:pPr>
              <w:rPr>
                <w:rFonts w:hint="eastAsia" w:ascii="宋体" w:hAnsi="宋体" w:cs="宋体"/>
                <w:color w:val="auto"/>
                <w:highlight w:val="none"/>
              </w:rPr>
            </w:pPr>
            <w:r>
              <w:rPr>
                <w:rFonts w:hint="eastAsia" w:ascii="宋体" w:hAnsi="宋体" w:cs="宋体"/>
                <w:color w:val="auto"/>
                <w:highlight w:val="none"/>
              </w:rPr>
              <w:t>未就所投分标进行报价或者存在漏项报价；</w:t>
            </w:r>
          </w:p>
        </w:tc>
      </w:tr>
      <w:tr w14:paraId="2A46D6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01" w:type="dxa"/>
            <w:vMerge w:val="continue"/>
            <w:noWrap w:val="0"/>
            <w:vAlign w:val="center"/>
          </w:tcPr>
          <w:p w14:paraId="3108D326">
            <w:pPr>
              <w:spacing w:line="240" w:lineRule="exact"/>
              <w:jc w:val="center"/>
              <w:rPr>
                <w:rFonts w:hint="eastAsia" w:ascii="宋体" w:hAnsi="宋体" w:cs="宋体"/>
                <w:color w:val="auto"/>
                <w:szCs w:val="21"/>
                <w:highlight w:val="none"/>
              </w:rPr>
            </w:pPr>
          </w:p>
        </w:tc>
        <w:tc>
          <w:tcPr>
            <w:tcW w:w="2693" w:type="dxa"/>
            <w:noWrap w:val="0"/>
            <w:vAlign w:val="center"/>
          </w:tcPr>
          <w:p w14:paraId="16D0AE0D">
            <w:pPr>
              <w:rPr>
                <w:rFonts w:hint="eastAsia" w:ascii="宋体" w:hAnsi="宋体" w:cs="宋体"/>
                <w:color w:val="auto"/>
                <w:highlight w:val="none"/>
              </w:rPr>
            </w:pPr>
            <w:r>
              <w:rPr>
                <w:rFonts w:hint="eastAsia" w:ascii="宋体" w:hAnsi="宋体" w:cs="宋体"/>
                <w:color w:val="auto"/>
                <w:highlight w:val="none"/>
              </w:rPr>
              <w:t>响应报价唯一性</w:t>
            </w:r>
          </w:p>
        </w:tc>
        <w:tc>
          <w:tcPr>
            <w:tcW w:w="5777" w:type="dxa"/>
            <w:noWrap w:val="0"/>
            <w:vAlign w:val="center"/>
          </w:tcPr>
          <w:p w14:paraId="62746CB9">
            <w:pPr>
              <w:rPr>
                <w:rFonts w:hint="eastAsia" w:ascii="宋体" w:hAnsi="宋体" w:cs="宋体"/>
                <w:color w:val="auto"/>
                <w:highlight w:val="none"/>
              </w:rPr>
            </w:pPr>
            <w:r>
              <w:rPr>
                <w:rFonts w:hint="eastAsia" w:ascii="宋体" w:hAnsi="宋体" w:cs="宋体"/>
                <w:color w:val="auto"/>
                <w:highlight w:val="none"/>
              </w:rPr>
              <w:t>不存在有选择、有条件的最后报价（采购文件允许有备选方案或者其他约定的除外）</w:t>
            </w:r>
          </w:p>
        </w:tc>
      </w:tr>
      <w:tr w14:paraId="69EA3E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01" w:type="dxa"/>
            <w:vMerge w:val="continue"/>
            <w:noWrap w:val="0"/>
            <w:vAlign w:val="center"/>
          </w:tcPr>
          <w:p w14:paraId="16308864">
            <w:pPr>
              <w:spacing w:line="240" w:lineRule="exact"/>
              <w:jc w:val="center"/>
              <w:rPr>
                <w:rFonts w:hint="eastAsia" w:ascii="宋体" w:hAnsi="宋体" w:cs="宋体"/>
                <w:color w:val="auto"/>
                <w:szCs w:val="21"/>
                <w:highlight w:val="none"/>
              </w:rPr>
            </w:pPr>
          </w:p>
        </w:tc>
        <w:tc>
          <w:tcPr>
            <w:tcW w:w="2693" w:type="dxa"/>
            <w:noWrap w:val="0"/>
            <w:vAlign w:val="center"/>
          </w:tcPr>
          <w:p w14:paraId="7F1FD282">
            <w:pPr>
              <w:spacing w:line="240" w:lineRule="exact"/>
              <w:rPr>
                <w:rFonts w:hint="eastAsia" w:ascii="宋体" w:hAnsi="宋体" w:cs="宋体"/>
                <w:color w:val="auto"/>
                <w:highlight w:val="none"/>
              </w:rPr>
            </w:pPr>
            <w:r>
              <w:rPr>
                <w:rFonts w:hint="eastAsia"/>
                <w:color w:val="auto"/>
                <w:szCs w:val="21"/>
                <w:highlight w:val="none"/>
                <w:lang w:val="zh-CN"/>
              </w:rPr>
              <w:t>过低报价合理性</w:t>
            </w:r>
          </w:p>
        </w:tc>
        <w:tc>
          <w:tcPr>
            <w:tcW w:w="5777" w:type="dxa"/>
            <w:noWrap w:val="0"/>
            <w:vAlign w:val="center"/>
          </w:tcPr>
          <w:p w14:paraId="6559FA18">
            <w:pPr>
              <w:spacing w:line="240" w:lineRule="exact"/>
              <w:rPr>
                <w:rFonts w:hint="eastAsia" w:ascii="宋体" w:hAnsi="宋体" w:cs="宋体"/>
                <w:color w:val="auto"/>
                <w:highlight w:val="none"/>
              </w:rPr>
            </w:pPr>
            <w:r>
              <w:rPr>
                <w:rFonts w:hint="eastAsia"/>
                <w:color w:val="auto"/>
                <w:highlight w:val="none"/>
                <w:lang w:val="en-US" w:eastAsia="zh-CN"/>
              </w:rPr>
              <w:t>供应商</w:t>
            </w:r>
            <w:r>
              <w:rPr>
                <w:rFonts w:hint="eastAsia"/>
                <w:color w:val="auto"/>
                <w:highlight w:val="none"/>
              </w:rPr>
              <w:t>的</w:t>
            </w:r>
            <w:r>
              <w:rPr>
                <w:rFonts w:hint="eastAsia"/>
                <w:color w:val="auto"/>
                <w:highlight w:val="none"/>
                <w:lang w:val="en-US" w:eastAsia="zh-CN"/>
              </w:rPr>
              <w:t>报价</w:t>
            </w:r>
            <w:r>
              <w:rPr>
                <w:rFonts w:hint="eastAsia"/>
                <w:color w:val="auto"/>
                <w:highlight w:val="none"/>
              </w:rPr>
              <w:t>存在异常低价问题</w:t>
            </w:r>
            <w:r>
              <w:rPr>
                <w:rFonts w:hint="eastAsia"/>
                <w:color w:val="auto"/>
                <w:highlight w:val="none"/>
                <w:lang w:val="en-US" w:eastAsia="zh-CN"/>
              </w:rPr>
              <w:t>的情形，评审委员会</w:t>
            </w:r>
            <w:r>
              <w:rPr>
                <w:rFonts w:hint="eastAsia"/>
                <w:color w:val="auto"/>
                <w:szCs w:val="21"/>
                <w:highlight w:val="none"/>
              </w:rPr>
              <w:t>应当要求其在</w:t>
            </w:r>
            <w:r>
              <w:rPr>
                <w:rFonts w:hint="eastAsia"/>
                <w:color w:val="auto"/>
                <w:szCs w:val="21"/>
                <w:highlight w:val="none"/>
                <w:lang w:val="en-US" w:eastAsia="zh-CN"/>
              </w:rPr>
              <w:t>评审</w:t>
            </w:r>
            <w:r>
              <w:rPr>
                <w:rFonts w:hint="eastAsia"/>
                <w:color w:val="auto"/>
                <w:szCs w:val="21"/>
                <w:highlight w:val="none"/>
              </w:rPr>
              <w:t>现场合理的时间内</w:t>
            </w:r>
            <w:r>
              <w:rPr>
                <w:rFonts w:hint="eastAsia"/>
                <w:color w:val="auto"/>
                <w:szCs w:val="21"/>
                <w:highlight w:val="none"/>
                <w:lang w:val="en-US" w:eastAsia="zh-CN"/>
              </w:rPr>
              <w:t>提供</w:t>
            </w:r>
            <w:r>
              <w:rPr>
                <w:rFonts w:hint="eastAsia"/>
                <w:color w:val="auto"/>
                <w:szCs w:val="21"/>
                <w:highlight w:val="none"/>
              </w:rPr>
              <w:t>报价合理性相关的书面说明及必要的证明材料。</w:t>
            </w:r>
            <w:r>
              <w:rPr>
                <w:rFonts w:hint="eastAsia"/>
                <w:color w:val="auto"/>
                <w:highlight w:val="none"/>
                <w:lang w:val="en-US" w:eastAsia="zh-CN"/>
              </w:rPr>
              <w:t>供应商</w:t>
            </w:r>
            <w:r>
              <w:rPr>
                <w:rFonts w:hint="eastAsia"/>
                <w:color w:val="auto"/>
                <w:highlight w:val="none"/>
              </w:rPr>
              <w:t>不能证明其报价合理性的，</w:t>
            </w:r>
            <w:r>
              <w:rPr>
                <w:rFonts w:hint="eastAsia"/>
                <w:color w:val="auto"/>
                <w:highlight w:val="none"/>
                <w:lang w:eastAsia="zh-CN"/>
              </w:rPr>
              <w:t>评审委员会</w:t>
            </w:r>
            <w:r>
              <w:rPr>
                <w:rFonts w:hint="eastAsia"/>
                <w:color w:val="auto"/>
                <w:highlight w:val="none"/>
              </w:rPr>
              <w:t>应当将其作为无效</w:t>
            </w:r>
            <w:r>
              <w:rPr>
                <w:rFonts w:hint="eastAsia"/>
                <w:color w:val="auto"/>
                <w:highlight w:val="none"/>
                <w:lang w:val="en-US" w:eastAsia="zh-CN"/>
              </w:rPr>
              <w:t>响应</w:t>
            </w:r>
            <w:r>
              <w:rPr>
                <w:rFonts w:hint="eastAsia"/>
                <w:color w:val="auto"/>
                <w:highlight w:val="none"/>
              </w:rPr>
              <w:t>处理。</w:t>
            </w:r>
          </w:p>
        </w:tc>
      </w:tr>
      <w:tr w14:paraId="0F4C19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01" w:type="dxa"/>
            <w:vMerge w:val="continue"/>
            <w:noWrap w:val="0"/>
            <w:vAlign w:val="center"/>
          </w:tcPr>
          <w:p w14:paraId="7BB54997">
            <w:pPr>
              <w:spacing w:line="240" w:lineRule="exact"/>
              <w:jc w:val="center"/>
              <w:rPr>
                <w:rFonts w:hint="eastAsia" w:ascii="宋体" w:hAnsi="宋体" w:cs="宋体"/>
                <w:color w:val="auto"/>
                <w:szCs w:val="21"/>
                <w:highlight w:val="none"/>
              </w:rPr>
            </w:pPr>
          </w:p>
        </w:tc>
        <w:tc>
          <w:tcPr>
            <w:tcW w:w="2693" w:type="dxa"/>
            <w:noWrap w:val="0"/>
            <w:vAlign w:val="center"/>
          </w:tcPr>
          <w:p w14:paraId="1468A2E2">
            <w:pPr>
              <w:rPr>
                <w:rFonts w:hint="eastAsia" w:ascii="宋体" w:hAnsi="宋体" w:cs="宋体"/>
                <w:color w:val="auto"/>
                <w:highlight w:val="none"/>
              </w:rPr>
            </w:pPr>
            <w:r>
              <w:rPr>
                <w:rFonts w:hint="eastAsia" w:ascii="宋体" w:hAnsi="宋体" w:cs="宋体"/>
                <w:color w:val="auto"/>
                <w:highlight w:val="none"/>
              </w:rPr>
              <w:t>响应有效期</w:t>
            </w:r>
          </w:p>
        </w:tc>
        <w:tc>
          <w:tcPr>
            <w:tcW w:w="5777" w:type="dxa"/>
            <w:noWrap w:val="0"/>
            <w:vAlign w:val="center"/>
          </w:tcPr>
          <w:p w14:paraId="4DA7B646">
            <w:pPr>
              <w:rPr>
                <w:rFonts w:hint="eastAsia" w:ascii="宋体" w:hAnsi="宋体" w:cs="宋体"/>
                <w:color w:val="auto"/>
                <w:highlight w:val="none"/>
              </w:rPr>
            </w:pPr>
            <w:r>
              <w:rPr>
                <w:rFonts w:hint="eastAsia" w:ascii="宋体" w:hAnsi="宋体" w:cs="宋体"/>
                <w:color w:val="auto"/>
                <w:highlight w:val="none"/>
              </w:rPr>
              <w:t>满足采购文件规定</w:t>
            </w:r>
          </w:p>
        </w:tc>
      </w:tr>
    </w:tbl>
    <w:p w14:paraId="07EDB78D">
      <w:pPr>
        <w:spacing w:before="120" w:line="320" w:lineRule="atLeast"/>
        <w:ind w:firstLine="413" w:firstLineChars="196"/>
        <w:outlineLvl w:val="1"/>
        <w:rPr>
          <w:rFonts w:hint="eastAsia" w:ascii="宋体" w:hAnsi="宋体" w:cs="宋体"/>
          <w:b/>
          <w:bCs/>
          <w:color w:val="auto"/>
          <w:kern w:val="0"/>
          <w:szCs w:val="21"/>
          <w:highlight w:val="none"/>
        </w:rPr>
      </w:pPr>
      <w:r>
        <w:rPr>
          <w:rFonts w:hint="eastAsia" w:ascii="宋体" w:hAnsi="宋体" w:cs="宋体"/>
          <w:b/>
          <w:bCs/>
          <w:color w:val="auto"/>
          <w:kern w:val="0"/>
          <w:szCs w:val="21"/>
          <w:highlight w:val="none"/>
        </w:rPr>
        <w:br w:type="page"/>
      </w:r>
      <w:r>
        <w:rPr>
          <w:rFonts w:hint="eastAsia" w:ascii="宋体" w:hAnsi="宋体" w:cs="宋体"/>
          <w:b/>
          <w:bCs/>
          <w:color w:val="auto"/>
          <w:kern w:val="0"/>
          <w:szCs w:val="21"/>
          <w:highlight w:val="none"/>
        </w:rPr>
        <w:t>4.评审标准</w:t>
      </w:r>
    </w:p>
    <w:p w14:paraId="0943E6E0">
      <w:pPr>
        <w:ind w:firstLine="420" w:firstLineChars="200"/>
        <w:rPr>
          <w:rFonts w:hint="eastAsia" w:ascii="宋体" w:hAnsi="宋体" w:cs="宋体"/>
          <w:color w:val="auto"/>
          <w:highlight w:val="none"/>
        </w:rPr>
      </w:pPr>
      <w:r>
        <w:rPr>
          <w:rFonts w:hint="eastAsia" w:ascii="宋体" w:hAnsi="宋体" w:cs="宋体"/>
          <w:color w:val="auto"/>
          <w:highlight w:val="none"/>
        </w:rPr>
        <w:t>（1）技术及商务资信分</w:t>
      </w:r>
    </w:p>
    <w:p w14:paraId="0771323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bCs/>
          <w:color w:val="auto"/>
          <w:szCs w:val="21"/>
          <w:highlight w:val="none"/>
        </w:rPr>
      </w:pPr>
      <w:r>
        <w:rPr>
          <w:rFonts w:hint="eastAsia" w:ascii="宋体" w:hAnsi="宋体"/>
          <w:bCs/>
          <w:color w:val="auto"/>
          <w:szCs w:val="21"/>
          <w:highlight w:val="none"/>
        </w:rPr>
        <w:t>评审依据：磋商小组将以磋商响应文件为评审依据，对供应商的报价、技术、商务等方面内容按百分制打分。（计分方法按四舍五入取至百分位）</w:t>
      </w:r>
    </w:p>
    <w:p w14:paraId="3C2B4DD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ascii="宋体" w:hAnsi="宋体" w:eastAsia="宋体"/>
          <w:bCs/>
          <w:color w:val="auto"/>
          <w:szCs w:val="21"/>
          <w:highlight w:val="none"/>
          <w:u w:val="single"/>
          <w:lang w:val="en-US" w:eastAsia="zh-CN"/>
        </w:rPr>
      </w:pPr>
      <w:r>
        <w:rPr>
          <w:rFonts w:hint="eastAsia" w:ascii="宋体" w:hAnsi="宋体"/>
          <w:bCs/>
          <w:color w:val="auto"/>
          <w:szCs w:val="21"/>
          <w:highlight w:val="none"/>
        </w:rPr>
        <w:t>总得分=</w:t>
      </w:r>
      <w:r>
        <w:rPr>
          <w:rFonts w:hint="eastAsia" w:ascii="宋体" w:hAnsi="宋体"/>
          <w:bCs/>
          <w:color w:val="auto"/>
          <w:szCs w:val="21"/>
          <w:highlight w:val="none"/>
          <w:u w:val="none"/>
        </w:rPr>
        <w:t xml:space="preserve"> </w:t>
      </w:r>
      <w:r>
        <w:rPr>
          <w:rFonts w:hint="eastAsia" w:ascii="宋体" w:hAnsi="宋体"/>
          <w:bCs/>
          <w:color w:val="auto"/>
          <w:szCs w:val="21"/>
          <w:highlight w:val="none"/>
          <w:u w:val="single"/>
          <w:lang w:val="en-US" w:eastAsia="zh-CN"/>
        </w:rPr>
        <w:t xml:space="preserve"> 1+2+3</w:t>
      </w:r>
      <w:r>
        <w:rPr>
          <w:rFonts w:hint="eastAsia" w:ascii="宋体" w:hAnsi="宋体"/>
          <w:bCs/>
          <w:color w:val="auto"/>
          <w:szCs w:val="21"/>
          <w:highlight w:val="none"/>
          <w:u w:val="single"/>
        </w:rPr>
        <w:t xml:space="preserve"> </w:t>
      </w:r>
    </w:p>
    <w:tbl>
      <w:tblPr>
        <w:tblStyle w:val="55"/>
        <w:tblW w:w="903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9"/>
        <w:gridCol w:w="914"/>
        <w:gridCol w:w="641"/>
        <w:gridCol w:w="5543"/>
        <w:gridCol w:w="1451"/>
      </w:tblGrid>
      <w:tr w14:paraId="7BC865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5" w:hRule="atLeast"/>
          <w:tblHeader/>
          <w:jc w:val="center"/>
        </w:trPr>
        <w:tc>
          <w:tcPr>
            <w:tcW w:w="270" w:type="pct"/>
            <w:noWrap w:val="0"/>
            <w:vAlign w:val="center"/>
          </w:tcPr>
          <w:p w14:paraId="6E6F5452">
            <w:pPr>
              <w:spacing w:line="360" w:lineRule="auto"/>
              <w:jc w:val="center"/>
              <w:rPr>
                <w:rFonts w:hint="eastAsia" w:ascii="宋体" w:hAnsi="宋体" w:eastAsia="宋体" w:cs="宋体"/>
                <w:b/>
                <w:color w:val="auto"/>
                <w:szCs w:val="21"/>
                <w:highlight w:val="none"/>
              </w:rPr>
            </w:pPr>
            <w:bookmarkStart w:id="75" w:name="PO_TDCUS_ITEM_SM_TABLE_1"/>
            <w:r>
              <w:rPr>
                <w:rFonts w:hint="eastAsia" w:ascii="宋体" w:hAnsi="宋体" w:eastAsia="宋体" w:cs="宋体"/>
                <w:b/>
                <w:color w:val="auto"/>
                <w:szCs w:val="21"/>
                <w:highlight w:val="none"/>
              </w:rPr>
              <w:t>序号</w:t>
            </w:r>
          </w:p>
        </w:tc>
        <w:tc>
          <w:tcPr>
            <w:tcW w:w="505" w:type="pct"/>
            <w:noWrap w:val="0"/>
            <w:vAlign w:val="center"/>
          </w:tcPr>
          <w:p w14:paraId="77E72A89">
            <w:pPr>
              <w:spacing w:line="360" w:lineRule="auto"/>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评分</w:t>
            </w:r>
          </w:p>
          <w:p w14:paraId="32135FF0">
            <w:pPr>
              <w:spacing w:line="360" w:lineRule="auto"/>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类型</w:t>
            </w:r>
          </w:p>
        </w:tc>
        <w:tc>
          <w:tcPr>
            <w:tcW w:w="354" w:type="pct"/>
            <w:noWrap w:val="0"/>
            <w:vAlign w:val="center"/>
          </w:tcPr>
          <w:p w14:paraId="73BEFE59">
            <w:pPr>
              <w:spacing w:line="360" w:lineRule="auto"/>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分值</w:t>
            </w:r>
          </w:p>
          <w:p w14:paraId="4EBC351F">
            <w:pPr>
              <w:spacing w:line="360" w:lineRule="auto"/>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属性</w:t>
            </w:r>
          </w:p>
        </w:tc>
        <w:tc>
          <w:tcPr>
            <w:tcW w:w="3066" w:type="pct"/>
            <w:noWrap w:val="0"/>
            <w:vAlign w:val="center"/>
          </w:tcPr>
          <w:p w14:paraId="40C200F9">
            <w:pPr>
              <w:spacing w:line="360" w:lineRule="auto"/>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评分标准</w:t>
            </w:r>
          </w:p>
        </w:tc>
        <w:tc>
          <w:tcPr>
            <w:tcW w:w="802" w:type="pct"/>
            <w:noWrap w:val="0"/>
            <w:vAlign w:val="center"/>
          </w:tcPr>
          <w:p w14:paraId="4F32194B">
            <w:pPr>
              <w:spacing w:line="360" w:lineRule="auto"/>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备注</w:t>
            </w:r>
          </w:p>
        </w:tc>
      </w:tr>
      <w:tr w14:paraId="0601A0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9" w:hRule="atLeast"/>
          <w:jc w:val="center"/>
        </w:trPr>
        <w:tc>
          <w:tcPr>
            <w:tcW w:w="270" w:type="pct"/>
            <w:noWrap w:val="0"/>
            <w:vAlign w:val="center"/>
          </w:tcPr>
          <w:p w14:paraId="67375371">
            <w:pPr>
              <w:spacing w:line="360" w:lineRule="auto"/>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1</w:t>
            </w:r>
          </w:p>
        </w:tc>
        <w:tc>
          <w:tcPr>
            <w:tcW w:w="505" w:type="pct"/>
            <w:noWrap w:val="0"/>
            <w:vAlign w:val="center"/>
          </w:tcPr>
          <w:p w14:paraId="4A81AC4A">
            <w:pPr>
              <w:spacing w:line="360" w:lineRule="auto"/>
              <w:jc w:val="center"/>
              <w:rPr>
                <w:rFonts w:hint="eastAsia" w:ascii="宋体" w:hAnsi="宋体" w:eastAsia="宋体" w:cs="宋体"/>
                <w:b/>
                <w:color w:val="auto"/>
                <w:szCs w:val="21"/>
                <w:highlight w:val="none"/>
              </w:rPr>
            </w:pPr>
            <w:r>
              <w:rPr>
                <w:rFonts w:hint="eastAsia" w:ascii="宋体" w:hAnsi="宋体" w:cs="宋体"/>
                <w:b/>
                <w:color w:val="auto"/>
                <w:szCs w:val="21"/>
                <w:highlight w:val="none"/>
                <w:lang w:eastAsia="zh-CN"/>
              </w:rPr>
              <w:t>报价分</w:t>
            </w:r>
            <w:r>
              <w:rPr>
                <w:rFonts w:hint="eastAsia" w:ascii="宋体" w:hAnsi="宋体" w:eastAsia="宋体" w:cs="宋体"/>
                <w:b/>
                <w:color w:val="auto"/>
                <w:szCs w:val="21"/>
                <w:highlight w:val="none"/>
              </w:rPr>
              <w:t>（满分10分）</w:t>
            </w:r>
          </w:p>
        </w:tc>
        <w:tc>
          <w:tcPr>
            <w:tcW w:w="354" w:type="pct"/>
            <w:noWrap w:val="0"/>
            <w:vAlign w:val="center"/>
          </w:tcPr>
          <w:p w14:paraId="6EBC65A8">
            <w:pPr>
              <w:spacing w:line="360" w:lineRule="auto"/>
              <w:jc w:val="center"/>
              <w:rPr>
                <w:rFonts w:hint="eastAsia" w:ascii="宋体" w:hAnsi="宋体" w:eastAsia="宋体" w:cs="宋体"/>
                <w:b/>
                <w:color w:val="auto"/>
                <w:szCs w:val="21"/>
                <w:highlight w:val="none"/>
                <w:lang w:val="en-US" w:eastAsia="zh-CN"/>
              </w:rPr>
            </w:pPr>
            <w:r>
              <w:rPr>
                <w:rFonts w:hint="eastAsia" w:ascii="宋体" w:hAnsi="宋体" w:eastAsia="宋体" w:cs="宋体"/>
                <w:b/>
                <w:color w:val="auto"/>
                <w:szCs w:val="21"/>
                <w:highlight w:val="none"/>
                <w:lang w:val="en-US" w:eastAsia="zh-CN"/>
              </w:rPr>
              <w:t>客观分</w:t>
            </w:r>
          </w:p>
        </w:tc>
        <w:tc>
          <w:tcPr>
            <w:tcW w:w="3066" w:type="pct"/>
            <w:noWrap w:val="0"/>
            <w:vAlign w:val="center"/>
          </w:tcPr>
          <w:p w14:paraId="39585DA7">
            <w:pPr>
              <w:spacing w:line="360" w:lineRule="auto"/>
              <w:rPr>
                <w:rFonts w:hint="eastAsia" w:ascii="宋体" w:hAnsi="宋体" w:eastAsia="宋体" w:cs="宋体"/>
                <w:bCs/>
                <w:color w:val="auto"/>
                <w:sz w:val="21"/>
                <w:szCs w:val="21"/>
                <w:highlight w:val="none"/>
                <w:vertAlign w:val="baseline"/>
                <w:lang w:eastAsia="zh-CN"/>
              </w:rPr>
            </w:pPr>
            <w:r>
              <w:rPr>
                <w:rFonts w:hint="eastAsia" w:ascii="宋体" w:hAnsi="宋体" w:eastAsia="宋体" w:cs="宋体"/>
                <w:bCs/>
                <w:color w:val="auto"/>
                <w:sz w:val="21"/>
                <w:szCs w:val="21"/>
                <w:highlight w:val="none"/>
                <w:vertAlign w:val="baseline"/>
                <w:lang w:eastAsia="zh-CN"/>
              </w:rPr>
              <w:t>1.评审报价为供应商的最后报价，评审报价只是作为评审时使用。最终成交供应商的成交金额等于最后报价（如有修正，以确认修正后的最后报价为准）。</w:t>
            </w:r>
          </w:p>
          <w:p w14:paraId="3CE653C3">
            <w:pPr>
              <w:spacing w:line="360" w:lineRule="auto"/>
              <w:rPr>
                <w:rFonts w:hint="eastAsia" w:ascii="宋体" w:hAnsi="宋体" w:eastAsia="宋体" w:cs="宋体"/>
                <w:bCs/>
                <w:color w:val="auto"/>
                <w:sz w:val="21"/>
                <w:szCs w:val="21"/>
                <w:highlight w:val="none"/>
                <w:vertAlign w:val="baseline"/>
                <w:lang w:eastAsia="zh-CN"/>
              </w:rPr>
            </w:pPr>
            <w:r>
              <w:rPr>
                <w:rFonts w:hint="eastAsia" w:ascii="宋体" w:hAnsi="宋体" w:eastAsia="宋体" w:cs="宋体"/>
                <w:bCs/>
                <w:color w:val="auto"/>
                <w:sz w:val="21"/>
                <w:szCs w:val="21"/>
                <w:highlight w:val="none"/>
                <w:vertAlign w:val="baseline"/>
                <w:lang w:eastAsia="zh-CN"/>
              </w:rPr>
              <w:t>2.本项目为专门面向</w:t>
            </w:r>
            <w:r>
              <w:rPr>
                <w:rFonts w:hint="eastAsia" w:ascii="宋体" w:hAnsi="宋体" w:eastAsia="宋体" w:cs="宋体"/>
                <w:bCs/>
                <w:color w:val="auto"/>
                <w:sz w:val="21"/>
                <w:szCs w:val="21"/>
                <w:highlight w:val="none"/>
                <w:vertAlign w:val="baseline"/>
                <w:lang w:val="en-US" w:eastAsia="zh-CN"/>
              </w:rPr>
              <w:t>中</w:t>
            </w:r>
            <w:r>
              <w:rPr>
                <w:rFonts w:hint="eastAsia" w:ascii="宋体" w:hAnsi="宋体" w:eastAsia="宋体" w:cs="宋体"/>
                <w:bCs/>
                <w:color w:val="auto"/>
                <w:sz w:val="21"/>
                <w:szCs w:val="21"/>
                <w:highlight w:val="none"/>
                <w:vertAlign w:val="baseline"/>
                <w:lang w:eastAsia="zh-CN"/>
              </w:rPr>
              <w:t>小微企业、监狱企业、残疾人福利性单位，不</w:t>
            </w:r>
            <w:r>
              <w:rPr>
                <w:rFonts w:hint="eastAsia" w:ascii="宋体" w:hAnsi="宋体" w:eastAsia="宋体" w:cs="宋体"/>
                <w:bCs/>
                <w:color w:val="auto"/>
                <w:sz w:val="21"/>
                <w:szCs w:val="21"/>
                <w:highlight w:val="none"/>
                <w:vertAlign w:val="baseline"/>
                <w:lang w:val="en-US" w:eastAsia="zh-CN"/>
              </w:rPr>
              <w:t>再</w:t>
            </w:r>
            <w:r>
              <w:rPr>
                <w:rFonts w:hint="eastAsia" w:ascii="宋体" w:hAnsi="宋体" w:eastAsia="宋体" w:cs="宋体"/>
                <w:bCs/>
                <w:color w:val="auto"/>
                <w:sz w:val="21"/>
                <w:szCs w:val="21"/>
                <w:highlight w:val="none"/>
                <w:vertAlign w:val="baseline"/>
                <w:lang w:eastAsia="zh-CN"/>
              </w:rPr>
              <w:t>享受价格扣除优惠政策。</w:t>
            </w:r>
          </w:p>
          <w:p w14:paraId="61A41C2B">
            <w:pPr>
              <w:spacing w:line="360" w:lineRule="auto"/>
              <w:rPr>
                <w:rFonts w:hint="eastAsia" w:ascii="宋体" w:hAnsi="宋体" w:eastAsia="宋体" w:cs="宋体"/>
                <w:bCs/>
                <w:color w:val="auto"/>
                <w:sz w:val="21"/>
                <w:szCs w:val="21"/>
                <w:highlight w:val="none"/>
                <w:vertAlign w:val="baseline"/>
                <w:lang w:eastAsia="zh-CN"/>
              </w:rPr>
            </w:pPr>
            <w:r>
              <w:rPr>
                <w:rFonts w:hint="eastAsia" w:ascii="宋体" w:hAnsi="宋体" w:eastAsia="宋体" w:cs="宋体"/>
                <w:bCs/>
                <w:color w:val="auto"/>
                <w:sz w:val="21"/>
                <w:szCs w:val="21"/>
                <w:highlight w:val="none"/>
                <w:vertAlign w:val="baseline"/>
                <w:lang w:val="en-US" w:eastAsia="zh-CN"/>
              </w:rPr>
              <w:t>3.</w:t>
            </w:r>
            <w:r>
              <w:rPr>
                <w:rFonts w:hint="eastAsia" w:ascii="宋体" w:hAnsi="宋体" w:eastAsia="宋体" w:cs="宋体"/>
                <w:bCs/>
                <w:color w:val="auto"/>
                <w:sz w:val="21"/>
                <w:szCs w:val="21"/>
                <w:highlight w:val="none"/>
                <w:vertAlign w:val="baseline"/>
                <w:lang w:eastAsia="zh-CN"/>
              </w:rPr>
              <w:t>以进入比较与评价环节的最低的评审报价为基准价，基准价得分为</w:t>
            </w:r>
            <w:r>
              <w:rPr>
                <w:rFonts w:hint="eastAsia" w:ascii="宋体" w:hAnsi="宋体" w:eastAsia="宋体" w:cs="宋体"/>
                <w:bCs/>
                <w:color w:val="auto"/>
                <w:sz w:val="21"/>
                <w:szCs w:val="21"/>
                <w:highlight w:val="none"/>
                <w:vertAlign w:val="baseline"/>
                <w:lang w:val="en-US" w:eastAsia="zh-CN"/>
              </w:rPr>
              <w:t>10</w:t>
            </w:r>
            <w:r>
              <w:rPr>
                <w:rFonts w:hint="eastAsia" w:ascii="宋体" w:hAnsi="宋体" w:eastAsia="宋体" w:cs="宋体"/>
                <w:bCs/>
                <w:color w:val="auto"/>
                <w:sz w:val="21"/>
                <w:szCs w:val="21"/>
                <w:highlight w:val="none"/>
                <w:vertAlign w:val="baseline"/>
                <w:lang w:eastAsia="zh-CN"/>
              </w:rPr>
              <w:t>分。</w:t>
            </w:r>
          </w:p>
          <w:p w14:paraId="70FAE5F4">
            <w:pPr>
              <w:spacing w:line="360" w:lineRule="auto"/>
              <w:rPr>
                <w:rFonts w:hint="eastAsia" w:ascii="宋体" w:hAnsi="宋体" w:eastAsia="宋体" w:cs="宋体"/>
                <w:bCs/>
                <w:color w:val="auto"/>
                <w:sz w:val="21"/>
                <w:szCs w:val="21"/>
                <w:highlight w:val="none"/>
                <w:vertAlign w:val="baseline"/>
                <w:lang w:eastAsia="zh-CN"/>
              </w:rPr>
            </w:pPr>
            <w:r>
              <w:rPr>
                <w:rFonts w:hint="eastAsia" w:ascii="宋体" w:hAnsi="宋体" w:eastAsia="宋体" w:cs="宋体"/>
                <w:bCs/>
                <w:color w:val="auto"/>
                <w:sz w:val="21"/>
                <w:szCs w:val="21"/>
                <w:highlight w:val="none"/>
                <w:vertAlign w:val="baseline"/>
                <w:lang w:val="en-US" w:eastAsia="zh-CN"/>
              </w:rPr>
              <w:t>4.</w:t>
            </w:r>
            <w:r>
              <w:rPr>
                <w:rFonts w:hint="eastAsia" w:ascii="宋体" w:hAnsi="宋体" w:eastAsia="宋体" w:cs="宋体"/>
                <w:bCs/>
                <w:color w:val="auto"/>
                <w:sz w:val="21"/>
                <w:szCs w:val="21"/>
                <w:highlight w:val="none"/>
                <w:vertAlign w:val="baseline"/>
                <w:lang w:eastAsia="zh-CN"/>
              </w:rPr>
              <w:t>价格分计算公式：</w:t>
            </w:r>
          </w:p>
          <w:p w14:paraId="2AF3EDD5">
            <w:pPr>
              <w:pStyle w:val="20"/>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vertAlign w:val="baseline"/>
                <w:lang w:eastAsia="zh-CN"/>
              </w:rPr>
              <w:t>报价得分=（基准价/最后报价）×</w:t>
            </w:r>
            <w:r>
              <w:rPr>
                <w:rFonts w:hint="eastAsia" w:ascii="宋体" w:hAnsi="宋体" w:eastAsia="宋体" w:cs="宋体"/>
                <w:bCs/>
                <w:color w:val="auto"/>
                <w:sz w:val="21"/>
                <w:szCs w:val="21"/>
                <w:highlight w:val="none"/>
                <w:vertAlign w:val="baseline"/>
                <w:lang w:val="en-US" w:eastAsia="zh-CN"/>
              </w:rPr>
              <w:t>10</w:t>
            </w:r>
            <w:r>
              <w:rPr>
                <w:rFonts w:hint="eastAsia" w:ascii="宋体" w:hAnsi="宋体" w:eastAsia="宋体" w:cs="宋体"/>
                <w:bCs/>
                <w:color w:val="auto"/>
                <w:sz w:val="21"/>
                <w:szCs w:val="21"/>
                <w:highlight w:val="none"/>
                <w:vertAlign w:val="baseline"/>
                <w:lang w:eastAsia="zh-CN"/>
              </w:rPr>
              <w:t>分</w:t>
            </w:r>
          </w:p>
        </w:tc>
        <w:tc>
          <w:tcPr>
            <w:tcW w:w="802" w:type="pct"/>
            <w:noWrap w:val="0"/>
            <w:vAlign w:val="center"/>
          </w:tcPr>
          <w:p w14:paraId="6E62D7E2">
            <w:pPr>
              <w:spacing w:line="360" w:lineRule="auto"/>
              <w:jc w:val="center"/>
              <w:rPr>
                <w:rFonts w:hint="eastAsia" w:ascii="宋体" w:hAnsi="宋体" w:eastAsia="宋体" w:cs="宋体"/>
                <w:b/>
                <w:color w:val="auto"/>
                <w:szCs w:val="21"/>
                <w:highlight w:val="none"/>
              </w:rPr>
            </w:pPr>
            <w:r>
              <w:rPr>
                <w:rFonts w:hint="eastAsia" w:ascii="宋体" w:hAnsi="宋体" w:eastAsia="宋体" w:cs="宋体"/>
                <w:bCs/>
                <w:color w:val="auto"/>
                <w:szCs w:val="21"/>
                <w:highlight w:val="none"/>
              </w:rPr>
              <w:t>0~10</w:t>
            </w:r>
          </w:p>
        </w:tc>
      </w:tr>
      <w:tr w14:paraId="1B65ED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70" w:type="pct"/>
            <w:vMerge w:val="restart"/>
            <w:noWrap w:val="0"/>
            <w:vAlign w:val="center"/>
          </w:tcPr>
          <w:p w14:paraId="208B5544">
            <w:pPr>
              <w:spacing w:line="360" w:lineRule="auto"/>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2</w:t>
            </w:r>
          </w:p>
          <w:p w14:paraId="6F198185">
            <w:pPr>
              <w:spacing w:line="360" w:lineRule="auto"/>
              <w:jc w:val="center"/>
              <w:rPr>
                <w:rFonts w:hint="eastAsia" w:ascii="宋体" w:hAnsi="宋体" w:eastAsia="宋体" w:cs="宋体"/>
                <w:b/>
                <w:color w:val="auto"/>
                <w:szCs w:val="21"/>
                <w:highlight w:val="none"/>
              </w:rPr>
            </w:pPr>
          </w:p>
        </w:tc>
        <w:tc>
          <w:tcPr>
            <w:tcW w:w="505" w:type="pct"/>
            <w:vMerge w:val="restart"/>
            <w:noWrap w:val="0"/>
            <w:vAlign w:val="center"/>
          </w:tcPr>
          <w:p w14:paraId="57F429B0">
            <w:pPr>
              <w:spacing w:line="360" w:lineRule="auto"/>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技术分（满分70分）</w:t>
            </w:r>
          </w:p>
        </w:tc>
        <w:tc>
          <w:tcPr>
            <w:tcW w:w="354" w:type="pct"/>
            <w:noWrap w:val="0"/>
            <w:vAlign w:val="center"/>
          </w:tcPr>
          <w:p w14:paraId="1CD3626D">
            <w:pPr>
              <w:spacing w:line="360" w:lineRule="auto"/>
              <w:jc w:val="center"/>
              <w:rPr>
                <w:rFonts w:hint="eastAsia" w:ascii="宋体" w:hAnsi="宋体" w:eastAsia="宋体" w:cs="宋体"/>
                <w:b/>
                <w:color w:val="auto"/>
                <w:szCs w:val="21"/>
                <w:highlight w:val="none"/>
                <w:lang w:val="en-US" w:eastAsia="zh-CN"/>
              </w:rPr>
            </w:pPr>
            <w:r>
              <w:rPr>
                <w:rFonts w:hint="eastAsia" w:ascii="宋体" w:hAnsi="宋体" w:eastAsia="宋体" w:cs="宋体"/>
                <w:b/>
                <w:color w:val="auto"/>
                <w:szCs w:val="21"/>
                <w:highlight w:val="none"/>
                <w:lang w:val="en-US" w:eastAsia="zh-CN"/>
              </w:rPr>
              <w:t>主观分</w:t>
            </w:r>
          </w:p>
        </w:tc>
        <w:tc>
          <w:tcPr>
            <w:tcW w:w="3066" w:type="pct"/>
            <w:noWrap w:val="0"/>
            <w:vAlign w:val="center"/>
          </w:tcPr>
          <w:p w14:paraId="54F3B3F1">
            <w:pPr>
              <w:spacing w:line="360" w:lineRule="auto"/>
              <w:ind w:firstLine="0" w:firstLineChars="0"/>
              <w:rPr>
                <w:rFonts w:hint="eastAsia" w:ascii="宋体" w:hAnsi="宋体" w:eastAsia="宋体" w:cs="宋体"/>
                <w:bCs/>
                <w:color w:val="auto"/>
                <w:sz w:val="21"/>
                <w:szCs w:val="21"/>
                <w:highlight w:val="none"/>
              </w:rPr>
            </w:pPr>
            <w:r>
              <w:rPr>
                <w:rFonts w:hint="eastAsia" w:ascii="宋体" w:hAnsi="宋体" w:eastAsia="宋体" w:cs="宋体"/>
                <w:b/>
                <w:bCs w:val="0"/>
                <w:color w:val="auto"/>
                <w:szCs w:val="21"/>
                <w:highlight w:val="none"/>
                <w:lang w:val="en-US" w:eastAsia="zh-CN"/>
              </w:rPr>
              <w:t>1、</w:t>
            </w:r>
            <w:r>
              <w:rPr>
                <w:rFonts w:hint="eastAsia" w:ascii="宋体" w:hAnsi="宋体" w:eastAsia="宋体" w:cs="宋体"/>
                <w:b/>
                <w:bCs w:val="0"/>
                <w:color w:val="auto"/>
                <w:szCs w:val="21"/>
                <w:highlight w:val="none"/>
              </w:rPr>
              <w:t>主要施工方法（满分10分）</w:t>
            </w:r>
          </w:p>
          <w:p w14:paraId="0226D8A8">
            <w:pPr>
              <w:spacing w:line="360" w:lineRule="auto"/>
              <w:rPr>
                <w:rFonts w:hint="eastAsia" w:ascii="宋体" w:hAnsi="宋体" w:eastAsia="宋体" w:cs="宋体"/>
                <w:color w:val="auto"/>
                <w:highlight w:val="none"/>
              </w:rPr>
            </w:pPr>
            <w:r>
              <w:rPr>
                <w:rFonts w:hint="eastAsia" w:ascii="宋体" w:hAnsi="宋体" w:cs="宋体"/>
                <w:b/>
                <w:bCs/>
                <w:color w:val="auto"/>
                <w:highlight w:val="none"/>
                <w:lang w:val="en-US" w:eastAsia="zh-CN"/>
              </w:rPr>
              <w:t>一档</w:t>
            </w:r>
            <w:r>
              <w:rPr>
                <w:rFonts w:hint="eastAsia" w:ascii="宋体" w:hAnsi="宋体" w:eastAsia="宋体" w:cs="宋体"/>
                <w:b/>
                <w:bCs/>
                <w:color w:val="auto"/>
                <w:highlight w:val="none"/>
              </w:rPr>
              <w:t>（10分）：</w:t>
            </w:r>
            <w:r>
              <w:rPr>
                <w:rFonts w:hint="eastAsia" w:ascii="宋体" w:hAnsi="宋体" w:eastAsia="宋体" w:cs="宋体"/>
                <w:color w:val="auto"/>
                <w:highlight w:val="none"/>
              </w:rPr>
              <w:t xml:space="preserve">各主要分部施工方法符合项目实际，须有详尽的施工技术方案，工艺先进方法科学合理、可行，能指导具体施工并确保安全。 </w:t>
            </w:r>
          </w:p>
          <w:p w14:paraId="7EB01FDE">
            <w:pPr>
              <w:spacing w:line="360" w:lineRule="auto"/>
              <w:rPr>
                <w:rFonts w:hint="eastAsia" w:ascii="宋体" w:hAnsi="宋体" w:eastAsia="宋体" w:cs="宋体"/>
                <w:color w:val="auto"/>
                <w:highlight w:val="none"/>
              </w:rPr>
            </w:pPr>
            <w:r>
              <w:rPr>
                <w:rFonts w:hint="eastAsia" w:ascii="宋体" w:hAnsi="宋体" w:cs="宋体"/>
                <w:b/>
                <w:bCs/>
                <w:color w:val="auto"/>
                <w:highlight w:val="none"/>
                <w:lang w:val="en-US" w:eastAsia="zh-CN"/>
              </w:rPr>
              <w:t>二档</w:t>
            </w:r>
            <w:r>
              <w:rPr>
                <w:rFonts w:hint="eastAsia" w:ascii="宋体" w:hAnsi="宋体" w:eastAsia="宋体" w:cs="宋体"/>
                <w:b/>
                <w:bCs/>
                <w:color w:val="auto"/>
                <w:highlight w:val="none"/>
              </w:rPr>
              <w:t>（7分）：</w:t>
            </w:r>
            <w:r>
              <w:rPr>
                <w:rFonts w:hint="eastAsia" w:ascii="宋体" w:hAnsi="宋体" w:eastAsia="宋体" w:cs="宋体"/>
                <w:color w:val="auto"/>
                <w:highlight w:val="none"/>
              </w:rPr>
              <w:t xml:space="preserve">各主要分部施工方法符合项目实际，须有详尽的施工技术方案，工艺一般、方法可行，能指导具体施工并确保安全。 </w:t>
            </w:r>
          </w:p>
          <w:p w14:paraId="4C90E39C">
            <w:pPr>
              <w:spacing w:line="360" w:lineRule="auto"/>
              <w:rPr>
                <w:rFonts w:hint="eastAsia" w:ascii="宋体" w:hAnsi="宋体" w:eastAsia="宋体" w:cs="宋体"/>
                <w:color w:val="auto"/>
                <w:highlight w:val="none"/>
              </w:rPr>
            </w:pPr>
            <w:r>
              <w:rPr>
                <w:rFonts w:hint="eastAsia" w:ascii="宋体" w:hAnsi="宋体" w:cs="宋体"/>
                <w:b/>
                <w:bCs/>
                <w:color w:val="auto"/>
                <w:highlight w:val="none"/>
                <w:lang w:val="en-US" w:eastAsia="zh-CN"/>
              </w:rPr>
              <w:t>三档</w:t>
            </w:r>
            <w:r>
              <w:rPr>
                <w:rFonts w:hint="eastAsia" w:ascii="宋体" w:hAnsi="宋体" w:eastAsia="宋体" w:cs="宋体"/>
                <w:b/>
                <w:bCs/>
                <w:color w:val="auto"/>
                <w:highlight w:val="none"/>
              </w:rPr>
              <w:t>（</w:t>
            </w:r>
            <w:r>
              <w:rPr>
                <w:rFonts w:hint="eastAsia" w:ascii="宋体" w:hAnsi="宋体" w:eastAsia="宋体" w:cs="宋体"/>
                <w:b/>
                <w:bCs/>
                <w:color w:val="auto"/>
                <w:highlight w:val="none"/>
                <w:lang w:val="en-US" w:eastAsia="zh-CN"/>
              </w:rPr>
              <w:t>4</w:t>
            </w:r>
            <w:r>
              <w:rPr>
                <w:rFonts w:hint="eastAsia" w:ascii="宋体" w:hAnsi="宋体" w:eastAsia="宋体" w:cs="宋体"/>
                <w:b/>
                <w:bCs/>
                <w:color w:val="auto"/>
                <w:highlight w:val="none"/>
              </w:rPr>
              <w:t>分）：</w:t>
            </w:r>
            <w:r>
              <w:rPr>
                <w:rFonts w:hint="eastAsia" w:ascii="宋体" w:hAnsi="宋体" w:eastAsia="宋体" w:cs="宋体"/>
                <w:color w:val="auto"/>
                <w:highlight w:val="none"/>
              </w:rPr>
              <w:t xml:space="preserve">各主要分部施工方法基本符合项目实际，施工技术方案基本齐全，方法基本合理、基本可行，基本能指导具体施工并确保安全。 </w:t>
            </w:r>
          </w:p>
          <w:p w14:paraId="0FEBDAFB">
            <w:pPr>
              <w:spacing w:line="360" w:lineRule="auto"/>
              <w:rPr>
                <w:rFonts w:hint="eastAsia" w:ascii="宋体" w:hAnsi="宋体" w:eastAsia="宋体" w:cs="宋体"/>
                <w:bCs/>
                <w:color w:val="auto"/>
                <w:highlight w:val="none"/>
              </w:rPr>
            </w:pPr>
            <w:r>
              <w:rPr>
                <w:rFonts w:hint="eastAsia" w:ascii="宋体" w:hAnsi="宋体" w:cs="宋体"/>
                <w:b/>
                <w:bCs/>
                <w:color w:val="auto"/>
                <w:highlight w:val="none"/>
                <w:lang w:val="en-US" w:eastAsia="zh-CN"/>
              </w:rPr>
              <w:t>四档</w:t>
            </w:r>
            <w:r>
              <w:rPr>
                <w:rFonts w:hint="eastAsia" w:ascii="宋体" w:hAnsi="宋体" w:eastAsia="宋体" w:cs="宋体"/>
                <w:b/>
                <w:bCs/>
                <w:color w:val="auto"/>
                <w:highlight w:val="none"/>
              </w:rPr>
              <w:t>（2分）：</w:t>
            </w:r>
            <w:r>
              <w:rPr>
                <w:rFonts w:hint="eastAsia" w:ascii="宋体" w:hAnsi="宋体" w:eastAsia="宋体" w:cs="宋体"/>
                <w:color w:val="auto"/>
                <w:highlight w:val="none"/>
              </w:rPr>
              <w:t>各主要分部施工方法针对性差，施工技术方案差，工艺落后、方法不合理，不能指导具体施工和确保安全。</w:t>
            </w:r>
          </w:p>
        </w:tc>
        <w:tc>
          <w:tcPr>
            <w:tcW w:w="802" w:type="pct"/>
            <w:noWrap w:val="0"/>
            <w:vAlign w:val="center"/>
          </w:tcPr>
          <w:p w14:paraId="483694B3">
            <w:pPr>
              <w:spacing w:line="360" w:lineRule="auto"/>
              <w:jc w:val="left"/>
              <w:rPr>
                <w:rFonts w:hint="eastAsia" w:ascii="宋体" w:hAnsi="宋体" w:eastAsia="宋体" w:cs="宋体"/>
                <w:b w:val="0"/>
                <w:bCs/>
                <w:color w:val="auto"/>
                <w:szCs w:val="21"/>
                <w:highlight w:val="none"/>
              </w:rPr>
            </w:pPr>
            <w:r>
              <w:rPr>
                <w:rFonts w:hint="eastAsia" w:ascii="宋体" w:hAnsi="宋体" w:eastAsia="宋体" w:cs="宋体"/>
                <w:b w:val="0"/>
                <w:bCs/>
                <w:color w:val="auto"/>
                <w:szCs w:val="21"/>
                <w:highlight w:val="none"/>
              </w:rPr>
              <w:t>供应商未提供或提供的内容不满足最低档次要求的不得分。</w:t>
            </w:r>
          </w:p>
        </w:tc>
      </w:tr>
      <w:tr w14:paraId="7317CC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53" w:hRule="atLeast"/>
          <w:jc w:val="center"/>
        </w:trPr>
        <w:tc>
          <w:tcPr>
            <w:tcW w:w="270" w:type="pct"/>
            <w:vMerge w:val="continue"/>
            <w:noWrap w:val="0"/>
            <w:vAlign w:val="center"/>
          </w:tcPr>
          <w:p w14:paraId="19D22E56">
            <w:pPr>
              <w:spacing w:line="360" w:lineRule="auto"/>
              <w:rPr>
                <w:rFonts w:hint="eastAsia" w:ascii="宋体" w:hAnsi="宋体" w:eastAsia="宋体" w:cs="宋体"/>
                <w:b/>
                <w:color w:val="auto"/>
                <w:szCs w:val="21"/>
                <w:highlight w:val="none"/>
              </w:rPr>
            </w:pPr>
          </w:p>
        </w:tc>
        <w:tc>
          <w:tcPr>
            <w:tcW w:w="505" w:type="pct"/>
            <w:vMerge w:val="continue"/>
            <w:noWrap w:val="0"/>
            <w:vAlign w:val="center"/>
          </w:tcPr>
          <w:p w14:paraId="0DA30662">
            <w:pPr>
              <w:spacing w:line="360" w:lineRule="auto"/>
              <w:rPr>
                <w:rFonts w:hint="eastAsia" w:ascii="宋体" w:hAnsi="宋体" w:eastAsia="宋体" w:cs="宋体"/>
                <w:b/>
                <w:color w:val="auto"/>
                <w:szCs w:val="21"/>
                <w:highlight w:val="none"/>
              </w:rPr>
            </w:pPr>
          </w:p>
        </w:tc>
        <w:tc>
          <w:tcPr>
            <w:tcW w:w="354" w:type="pct"/>
            <w:noWrap w:val="0"/>
            <w:vAlign w:val="center"/>
          </w:tcPr>
          <w:p w14:paraId="25F4D08D">
            <w:pPr>
              <w:spacing w:line="360" w:lineRule="auto"/>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lang w:val="en-US" w:eastAsia="zh-CN"/>
              </w:rPr>
              <w:t>主观分</w:t>
            </w:r>
          </w:p>
        </w:tc>
        <w:tc>
          <w:tcPr>
            <w:tcW w:w="3066" w:type="pct"/>
            <w:noWrap w:val="0"/>
            <w:vAlign w:val="center"/>
          </w:tcPr>
          <w:p w14:paraId="01D20421">
            <w:pPr>
              <w:spacing w:line="360" w:lineRule="auto"/>
              <w:rPr>
                <w:rFonts w:hint="eastAsia" w:ascii="宋体" w:hAnsi="宋体" w:eastAsia="宋体" w:cs="宋体"/>
                <w:b/>
                <w:bCs w:val="0"/>
                <w:color w:val="auto"/>
                <w:szCs w:val="21"/>
                <w:highlight w:val="none"/>
              </w:rPr>
            </w:pPr>
            <w:r>
              <w:rPr>
                <w:rFonts w:hint="eastAsia" w:ascii="宋体" w:hAnsi="宋体" w:eastAsia="宋体" w:cs="宋体"/>
                <w:b/>
                <w:bCs w:val="0"/>
                <w:color w:val="auto"/>
                <w:szCs w:val="21"/>
                <w:highlight w:val="none"/>
                <w:lang w:val="en-US" w:eastAsia="zh-CN"/>
              </w:rPr>
              <w:t>2、</w:t>
            </w:r>
            <w:r>
              <w:rPr>
                <w:rFonts w:hint="eastAsia" w:ascii="宋体" w:hAnsi="宋体" w:eastAsia="宋体" w:cs="宋体"/>
                <w:b/>
                <w:bCs w:val="0"/>
                <w:color w:val="auto"/>
                <w:szCs w:val="21"/>
                <w:highlight w:val="none"/>
              </w:rPr>
              <w:t>拟投入的主要物资计划（满分10分）</w:t>
            </w:r>
          </w:p>
          <w:p w14:paraId="652B5C96">
            <w:pPr>
              <w:spacing w:line="360" w:lineRule="auto"/>
              <w:rPr>
                <w:rFonts w:hint="eastAsia" w:ascii="宋体" w:hAnsi="宋体" w:eastAsia="宋体" w:cs="宋体"/>
                <w:color w:val="auto"/>
                <w:highlight w:val="none"/>
              </w:rPr>
            </w:pPr>
            <w:r>
              <w:rPr>
                <w:rFonts w:hint="eastAsia" w:ascii="宋体" w:hAnsi="宋体" w:cs="宋体"/>
                <w:b/>
                <w:bCs/>
                <w:color w:val="auto"/>
                <w:highlight w:val="none"/>
                <w:lang w:val="en-US" w:eastAsia="zh-CN"/>
              </w:rPr>
              <w:t>一档</w:t>
            </w:r>
            <w:r>
              <w:rPr>
                <w:rFonts w:hint="eastAsia" w:ascii="宋体" w:hAnsi="宋体" w:eastAsia="宋体" w:cs="宋体"/>
                <w:b/>
                <w:bCs/>
                <w:color w:val="auto"/>
                <w:highlight w:val="none"/>
              </w:rPr>
              <w:t>（10分）：</w:t>
            </w:r>
            <w:r>
              <w:rPr>
                <w:rFonts w:hint="eastAsia" w:ascii="宋体" w:hAnsi="宋体" w:eastAsia="宋体" w:cs="宋体"/>
                <w:color w:val="auto"/>
                <w:highlight w:val="none"/>
              </w:rPr>
              <w:t xml:space="preserve">投入的施工材料有详细的组织计划且计划周密，投入计划与进度计划一致，能较好满足施工需要，调配投入计划合理、准确。 </w:t>
            </w:r>
          </w:p>
          <w:p w14:paraId="47ABEC0D">
            <w:pPr>
              <w:spacing w:line="360" w:lineRule="auto"/>
              <w:rPr>
                <w:rFonts w:hint="eastAsia" w:ascii="宋体" w:hAnsi="宋体" w:eastAsia="宋体" w:cs="宋体"/>
                <w:color w:val="auto"/>
                <w:highlight w:val="none"/>
              </w:rPr>
            </w:pPr>
            <w:r>
              <w:rPr>
                <w:rFonts w:hint="eastAsia" w:ascii="宋体" w:hAnsi="宋体" w:cs="宋体"/>
                <w:b/>
                <w:bCs/>
                <w:color w:val="auto"/>
                <w:highlight w:val="none"/>
                <w:lang w:val="en-US" w:eastAsia="zh-CN"/>
              </w:rPr>
              <w:t>二档</w:t>
            </w:r>
            <w:r>
              <w:rPr>
                <w:rFonts w:hint="eastAsia" w:ascii="宋体" w:hAnsi="宋体" w:eastAsia="宋体" w:cs="宋体"/>
                <w:b/>
                <w:bCs/>
                <w:color w:val="auto"/>
                <w:highlight w:val="none"/>
              </w:rPr>
              <w:t>（7分）：</w:t>
            </w:r>
            <w:r>
              <w:rPr>
                <w:rFonts w:hint="eastAsia" w:ascii="宋体" w:hAnsi="宋体" w:eastAsia="宋体" w:cs="宋体"/>
                <w:color w:val="auto"/>
                <w:highlight w:val="none"/>
              </w:rPr>
              <w:t xml:space="preserve">投入的施工材料有详细的组织计划，投入计划与进度计划一致，基本满足施工需要，调配投入计划基本合理、准确。 </w:t>
            </w:r>
          </w:p>
          <w:p w14:paraId="44F91BF5">
            <w:pPr>
              <w:spacing w:line="360" w:lineRule="auto"/>
              <w:rPr>
                <w:rFonts w:hint="eastAsia" w:ascii="宋体" w:hAnsi="宋体" w:eastAsia="宋体" w:cs="宋体"/>
                <w:color w:val="auto"/>
                <w:highlight w:val="none"/>
              </w:rPr>
            </w:pPr>
            <w:r>
              <w:rPr>
                <w:rFonts w:hint="eastAsia" w:ascii="宋体" w:hAnsi="宋体" w:cs="宋体"/>
                <w:b/>
                <w:bCs/>
                <w:color w:val="auto"/>
                <w:highlight w:val="none"/>
                <w:lang w:val="en-US" w:eastAsia="zh-CN"/>
              </w:rPr>
              <w:t>三档</w:t>
            </w:r>
            <w:r>
              <w:rPr>
                <w:rFonts w:hint="eastAsia" w:ascii="宋体" w:hAnsi="宋体" w:eastAsia="宋体" w:cs="宋体"/>
                <w:b/>
                <w:bCs/>
                <w:color w:val="auto"/>
                <w:highlight w:val="none"/>
              </w:rPr>
              <w:t>（</w:t>
            </w:r>
            <w:r>
              <w:rPr>
                <w:rFonts w:hint="eastAsia" w:ascii="宋体" w:hAnsi="宋体" w:eastAsia="宋体" w:cs="宋体"/>
                <w:b/>
                <w:bCs/>
                <w:color w:val="auto"/>
                <w:highlight w:val="none"/>
                <w:lang w:val="en-US" w:eastAsia="zh-CN"/>
              </w:rPr>
              <w:t>4</w:t>
            </w:r>
            <w:r>
              <w:rPr>
                <w:rFonts w:hint="eastAsia" w:ascii="宋体" w:hAnsi="宋体" w:eastAsia="宋体" w:cs="宋体"/>
                <w:b/>
                <w:bCs/>
                <w:color w:val="auto"/>
                <w:highlight w:val="none"/>
              </w:rPr>
              <w:t>分）：</w:t>
            </w:r>
            <w:r>
              <w:rPr>
                <w:rFonts w:hint="eastAsia" w:ascii="宋体" w:hAnsi="宋体" w:eastAsia="宋体" w:cs="宋体"/>
                <w:color w:val="auto"/>
                <w:highlight w:val="none"/>
              </w:rPr>
              <w:t xml:space="preserve">投入的施工材料有详细的组织计划，投入计划与进度计划较一致，基本满足施工需要，调配投入计划基本合理。 </w:t>
            </w:r>
          </w:p>
          <w:p w14:paraId="54B8BF0B">
            <w:pPr>
              <w:spacing w:line="360" w:lineRule="auto"/>
              <w:rPr>
                <w:rFonts w:hint="eastAsia" w:ascii="宋体" w:hAnsi="宋体" w:eastAsia="宋体" w:cs="宋体"/>
                <w:bCs/>
                <w:color w:val="auto"/>
                <w:szCs w:val="21"/>
                <w:highlight w:val="none"/>
              </w:rPr>
            </w:pPr>
            <w:r>
              <w:rPr>
                <w:rFonts w:hint="eastAsia" w:ascii="宋体" w:hAnsi="宋体" w:cs="宋体"/>
                <w:b/>
                <w:bCs/>
                <w:color w:val="auto"/>
                <w:highlight w:val="none"/>
                <w:lang w:val="en-US" w:eastAsia="zh-CN"/>
              </w:rPr>
              <w:t>四档</w:t>
            </w:r>
            <w:r>
              <w:rPr>
                <w:rFonts w:hint="eastAsia" w:ascii="宋体" w:hAnsi="宋体" w:eastAsia="宋体" w:cs="宋体"/>
                <w:b/>
                <w:bCs/>
                <w:color w:val="auto"/>
                <w:highlight w:val="none"/>
              </w:rPr>
              <w:t>（2分）：</w:t>
            </w:r>
            <w:r>
              <w:rPr>
                <w:rFonts w:hint="eastAsia" w:ascii="宋体" w:hAnsi="宋体" w:eastAsia="宋体" w:cs="宋体"/>
                <w:color w:val="auto"/>
                <w:highlight w:val="none"/>
              </w:rPr>
              <w:t>投入的施工材料的组织计划差，投入计划与进度计划不一致，不能满足施工需要。</w:t>
            </w:r>
          </w:p>
        </w:tc>
        <w:tc>
          <w:tcPr>
            <w:tcW w:w="802" w:type="pct"/>
            <w:noWrap w:val="0"/>
            <w:vAlign w:val="center"/>
          </w:tcPr>
          <w:p w14:paraId="7BFD1FDA">
            <w:pPr>
              <w:spacing w:line="360" w:lineRule="auto"/>
              <w:jc w:val="left"/>
              <w:rPr>
                <w:rFonts w:hint="eastAsia" w:ascii="宋体" w:hAnsi="宋体" w:eastAsia="宋体" w:cs="宋体"/>
                <w:b/>
                <w:color w:val="auto"/>
                <w:szCs w:val="21"/>
                <w:highlight w:val="none"/>
              </w:rPr>
            </w:pPr>
            <w:r>
              <w:rPr>
                <w:rFonts w:hint="eastAsia" w:ascii="宋体" w:hAnsi="宋体" w:eastAsia="宋体" w:cs="宋体"/>
                <w:b w:val="0"/>
                <w:bCs/>
                <w:color w:val="auto"/>
                <w:szCs w:val="21"/>
                <w:highlight w:val="none"/>
              </w:rPr>
              <w:t>供应商未提供或提供的内容不满足最低档次要求的不得分。</w:t>
            </w:r>
          </w:p>
        </w:tc>
      </w:tr>
      <w:tr w14:paraId="0D0209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32" w:hRule="atLeast"/>
          <w:jc w:val="center"/>
        </w:trPr>
        <w:tc>
          <w:tcPr>
            <w:tcW w:w="270" w:type="pct"/>
            <w:vMerge w:val="continue"/>
            <w:noWrap w:val="0"/>
            <w:vAlign w:val="center"/>
          </w:tcPr>
          <w:p w14:paraId="5ECA87B5">
            <w:pPr>
              <w:spacing w:line="360" w:lineRule="auto"/>
              <w:rPr>
                <w:rFonts w:hint="eastAsia" w:ascii="宋体" w:hAnsi="宋体" w:eastAsia="宋体" w:cs="宋体"/>
                <w:b/>
                <w:color w:val="auto"/>
                <w:szCs w:val="21"/>
                <w:highlight w:val="none"/>
              </w:rPr>
            </w:pPr>
          </w:p>
        </w:tc>
        <w:tc>
          <w:tcPr>
            <w:tcW w:w="505" w:type="pct"/>
            <w:vMerge w:val="continue"/>
            <w:noWrap w:val="0"/>
            <w:vAlign w:val="center"/>
          </w:tcPr>
          <w:p w14:paraId="3A10DBBF">
            <w:pPr>
              <w:spacing w:line="360" w:lineRule="auto"/>
              <w:rPr>
                <w:rFonts w:hint="eastAsia" w:ascii="宋体" w:hAnsi="宋体" w:eastAsia="宋体" w:cs="宋体"/>
                <w:b/>
                <w:color w:val="auto"/>
                <w:szCs w:val="21"/>
                <w:highlight w:val="none"/>
              </w:rPr>
            </w:pPr>
          </w:p>
        </w:tc>
        <w:tc>
          <w:tcPr>
            <w:tcW w:w="354" w:type="pct"/>
            <w:noWrap w:val="0"/>
            <w:vAlign w:val="center"/>
          </w:tcPr>
          <w:p w14:paraId="09DDBF78">
            <w:pPr>
              <w:spacing w:line="360" w:lineRule="auto"/>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lang w:val="en-US" w:eastAsia="zh-CN"/>
              </w:rPr>
              <w:t>主观分</w:t>
            </w:r>
          </w:p>
        </w:tc>
        <w:tc>
          <w:tcPr>
            <w:tcW w:w="3066" w:type="pct"/>
            <w:noWrap w:val="0"/>
            <w:vAlign w:val="center"/>
          </w:tcPr>
          <w:p w14:paraId="4C73A1D5">
            <w:pPr>
              <w:spacing w:line="360" w:lineRule="auto"/>
              <w:rPr>
                <w:rFonts w:hint="eastAsia" w:ascii="宋体" w:hAnsi="宋体" w:eastAsia="宋体" w:cs="宋体"/>
                <w:b/>
                <w:bCs w:val="0"/>
                <w:color w:val="auto"/>
                <w:szCs w:val="21"/>
                <w:highlight w:val="none"/>
              </w:rPr>
            </w:pPr>
            <w:r>
              <w:rPr>
                <w:rFonts w:hint="eastAsia" w:ascii="宋体" w:hAnsi="宋体" w:eastAsia="宋体" w:cs="宋体"/>
                <w:b/>
                <w:bCs w:val="0"/>
                <w:color w:val="auto"/>
                <w:szCs w:val="21"/>
                <w:highlight w:val="none"/>
                <w:lang w:val="en-US" w:eastAsia="zh-CN"/>
              </w:rPr>
              <w:t>3、</w:t>
            </w:r>
            <w:r>
              <w:rPr>
                <w:rFonts w:hint="eastAsia" w:ascii="宋体" w:hAnsi="宋体" w:eastAsia="宋体" w:cs="宋体"/>
                <w:b/>
                <w:bCs w:val="0"/>
                <w:color w:val="auto"/>
                <w:szCs w:val="21"/>
                <w:highlight w:val="none"/>
              </w:rPr>
              <w:t>拟投入的主要施工机械、设备计划（满分10分）</w:t>
            </w:r>
          </w:p>
          <w:p w14:paraId="6684FD5F">
            <w:pPr>
              <w:spacing w:line="360" w:lineRule="auto"/>
              <w:rPr>
                <w:rFonts w:hint="eastAsia" w:ascii="宋体" w:hAnsi="宋体" w:eastAsia="宋体" w:cs="宋体"/>
                <w:color w:val="auto"/>
                <w:highlight w:val="none"/>
              </w:rPr>
            </w:pPr>
            <w:r>
              <w:rPr>
                <w:rFonts w:hint="eastAsia" w:ascii="宋体" w:hAnsi="宋体" w:cs="宋体"/>
                <w:b/>
                <w:bCs/>
                <w:color w:val="auto"/>
                <w:highlight w:val="none"/>
                <w:lang w:val="en-US" w:eastAsia="zh-CN"/>
              </w:rPr>
              <w:t>一档</w:t>
            </w:r>
            <w:r>
              <w:rPr>
                <w:rFonts w:hint="eastAsia" w:ascii="宋体" w:hAnsi="宋体" w:eastAsia="宋体" w:cs="宋体"/>
                <w:b/>
                <w:bCs/>
                <w:color w:val="auto"/>
                <w:highlight w:val="none"/>
              </w:rPr>
              <w:t>（10分）：</w:t>
            </w:r>
            <w:r>
              <w:rPr>
                <w:rFonts w:hint="eastAsia" w:ascii="宋体" w:hAnsi="宋体" w:eastAsia="宋体" w:cs="宋体"/>
                <w:color w:val="auto"/>
                <w:highlight w:val="none"/>
              </w:rPr>
              <w:t xml:space="preserve">投入的施工机械、设备、机具有详细的组织计划且计划周密，设备数量、选型配置、进场时间安排合理，满足施工需要。 </w:t>
            </w:r>
          </w:p>
          <w:p w14:paraId="4D32A053">
            <w:pPr>
              <w:spacing w:line="360" w:lineRule="auto"/>
              <w:rPr>
                <w:rFonts w:hint="eastAsia" w:ascii="宋体" w:hAnsi="宋体" w:eastAsia="宋体" w:cs="宋体"/>
                <w:color w:val="auto"/>
                <w:highlight w:val="none"/>
              </w:rPr>
            </w:pPr>
            <w:r>
              <w:rPr>
                <w:rFonts w:hint="eastAsia" w:ascii="宋体" w:hAnsi="宋体" w:cs="宋体"/>
                <w:b/>
                <w:bCs/>
                <w:color w:val="auto"/>
                <w:highlight w:val="none"/>
                <w:lang w:val="en-US" w:eastAsia="zh-CN"/>
              </w:rPr>
              <w:t>二档</w:t>
            </w:r>
            <w:r>
              <w:rPr>
                <w:rFonts w:hint="eastAsia" w:ascii="宋体" w:hAnsi="宋体" w:eastAsia="宋体" w:cs="宋体"/>
                <w:b/>
                <w:bCs/>
                <w:color w:val="auto"/>
                <w:highlight w:val="none"/>
              </w:rPr>
              <w:t>（7分）：</w:t>
            </w:r>
            <w:r>
              <w:rPr>
                <w:rFonts w:hint="eastAsia" w:ascii="宋体" w:hAnsi="宋体" w:eastAsia="宋体" w:cs="宋体"/>
                <w:color w:val="auto"/>
                <w:highlight w:val="none"/>
              </w:rPr>
              <w:t xml:space="preserve">投入的施工机械、设备、机具有组织计划但计划一般，设备数量、选型配置进场时间安排合理，基本满足施工需要。 </w:t>
            </w:r>
          </w:p>
          <w:p w14:paraId="7A506268">
            <w:pPr>
              <w:spacing w:line="360" w:lineRule="auto"/>
              <w:rPr>
                <w:rFonts w:hint="eastAsia" w:ascii="宋体" w:hAnsi="宋体" w:eastAsia="宋体" w:cs="宋体"/>
                <w:color w:val="auto"/>
                <w:highlight w:val="none"/>
              </w:rPr>
            </w:pPr>
            <w:r>
              <w:rPr>
                <w:rFonts w:hint="eastAsia" w:ascii="宋体" w:hAnsi="宋体" w:cs="宋体"/>
                <w:b/>
                <w:bCs/>
                <w:color w:val="auto"/>
                <w:highlight w:val="none"/>
                <w:lang w:val="en-US" w:eastAsia="zh-CN"/>
              </w:rPr>
              <w:t>三档</w:t>
            </w:r>
            <w:r>
              <w:rPr>
                <w:rFonts w:hint="eastAsia" w:ascii="宋体" w:hAnsi="宋体" w:eastAsia="宋体" w:cs="宋体"/>
                <w:b/>
                <w:bCs/>
                <w:color w:val="auto"/>
                <w:highlight w:val="none"/>
              </w:rPr>
              <w:t>（</w:t>
            </w:r>
            <w:r>
              <w:rPr>
                <w:rFonts w:hint="eastAsia" w:ascii="宋体" w:hAnsi="宋体" w:eastAsia="宋体" w:cs="宋体"/>
                <w:b/>
                <w:bCs/>
                <w:color w:val="auto"/>
                <w:highlight w:val="none"/>
                <w:lang w:val="en-US" w:eastAsia="zh-CN"/>
              </w:rPr>
              <w:t>4</w:t>
            </w:r>
            <w:r>
              <w:rPr>
                <w:rFonts w:hint="eastAsia" w:ascii="宋体" w:hAnsi="宋体" w:eastAsia="宋体" w:cs="宋体"/>
                <w:b/>
                <w:bCs/>
                <w:color w:val="auto"/>
                <w:highlight w:val="none"/>
              </w:rPr>
              <w:t>分）：</w:t>
            </w:r>
            <w:r>
              <w:rPr>
                <w:rFonts w:hint="eastAsia" w:ascii="宋体" w:hAnsi="宋体" w:eastAsia="宋体" w:cs="宋体"/>
                <w:color w:val="auto"/>
                <w:highlight w:val="none"/>
              </w:rPr>
              <w:t>投入的施工机械、设备、机具有组织计划，设备数量、选型配置，基本满足工需要。</w:t>
            </w:r>
          </w:p>
          <w:p w14:paraId="40956EC0">
            <w:pPr>
              <w:spacing w:line="360" w:lineRule="auto"/>
              <w:rPr>
                <w:rFonts w:hint="eastAsia" w:ascii="宋体" w:hAnsi="宋体" w:eastAsia="宋体" w:cs="宋体"/>
                <w:bCs/>
                <w:color w:val="auto"/>
                <w:szCs w:val="21"/>
                <w:highlight w:val="none"/>
              </w:rPr>
            </w:pPr>
            <w:r>
              <w:rPr>
                <w:rFonts w:hint="eastAsia" w:ascii="宋体" w:hAnsi="宋体" w:cs="宋体"/>
                <w:b/>
                <w:bCs/>
                <w:color w:val="auto"/>
                <w:highlight w:val="none"/>
                <w:lang w:val="en-US" w:eastAsia="zh-CN"/>
              </w:rPr>
              <w:t>四档</w:t>
            </w:r>
            <w:r>
              <w:rPr>
                <w:rFonts w:hint="eastAsia" w:ascii="宋体" w:hAnsi="宋体" w:eastAsia="宋体" w:cs="宋体"/>
                <w:b/>
                <w:bCs/>
                <w:color w:val="auto"/>
                <w:highlight w:val="none"/>
              </w:rPr>
              <w:t>（2分）：</w:t>
            </w:r>
            <w:r>
              <w:rPr>
                <w:rFonts w:hint="eastAsia" w:ascii="宋体" w:hAnsi="宋体" w:eastAsia="宋体" w:cs="宋体"/>
                <w:color w:val="auto"/>
                <w:highlight w:val="none"/>
              </w:rPr>
              <w:t>投入的施工机械、设备、机具无详细的组织计划，设备数量、选配置、进场时间安排不合理，不能满足施工需要。</w:t>
            </w:r>
          </w:p>
        </w:tc>
        <w:tc>
          <w:tcPr>
            <w:tcW w:w="802" w:type="pct"/>
            <w:noWrap w:val="0"/>
            <w:vAlign w:val="center"/>
          </w:tcPr>
          <w:p w14:paraId="3D8C7F06">
            <w:pPr>
              <w:spacing w:line="360" w:lineRule="auto"/>
              <w:jc w:val="left"/>
              <w:rPr>
                <w:rFonts w:hint="eastAsia" w:ascii="宋体" w:hAnsi="宋体" w:eastAsia="宋体" w:cs="宋体"/>
                <w:b/>
                <w:color w:val="auto"/>
                <w:szCs w:val="21"/>
                <w:highlight w:val="none"/>
              </w:rPr>
            </w:pPr>
            <w:r>
              <w:rPr>
                <w:rFonts w:hint="eastAsia" w:ascii="宋体" w:hAnsi="宋体" w:eastAsia="宋体" w:cs="宋体"/>
                <w:b w:val="0"/>
                <w:bCs/>
                <w:color w:val="auto"/>
                <w:szCs w:val="21"/>
                <w:highlight w:val="none"/>
              </w:rPr>
              <w:t>供应商未提供或提供的内容不满足最低档次要求的不得分。</w:t>
            </w:r>
          </w:p>
        </w:tc>
      </w:tr>
      <w:tr w14:paraId="31B71C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0" w:type="pct"/>
            <w:vMerge w:val="continue"/>
            <w:noWrap w:val="0"/>
            <w:vAlign w:val="center"/>
          </w:tcPr>
          <w:p w14:paraId="15D74510">
            <w:pPr>
              <w:spacing w:line="360" w:lineRule="auto"/>
              <w:rPr>
                <w:rFonts w:hint="eastAsia" w:ascii="宋体" w:hAnsi="宋体" w:eastAsia="宋体" w:cs="宋体"/>
                <w:b/>
                <w:color w:val="auto"/>
                <w:szCs w:val="21"/>
                <w:highlight w:val="none"/>
              </w:rPr>
            </w:pPr>
          </w:p>
        </w:tc>
        <w:tc>
          <w:tcPr>
            <w:tcW w:w="505" w:type="pct"/>
            <w:vMerge w:val="continue"/>
            <w:noWrap w:val="0"/>
            <w:vAlign w:val="center"/>
          </w:tcPr>
          <w:p w14:paraId="3325A630">
            <w:pPr>
              <w:spacing w:line="360" w:lineRule="auto"/>
              <w:rPr>
                <w:rFonts w:hint="eastAsia" w:ascii="宋体" w:hAnsi="宋体" w:eastAsia="宋体" w:cs="宋体"/>
                <w:b/>
                <w:color w:val="auto"/>
                <w:szCs w:val="21"/>
                <w:highlight w:val="none"/>
              </w:rPr>
            </w:pPr>
          </w:p>
        </w:tc>
        <w:tc>
          <w:tcPr>
            <w:tcW w:w="354" w:type="pct"/>
            <w:noWrap w:val="0"/>
            <w:vAlign w:val="center"/>
          </w:tcPr>
          <w:p w14:paraId="217FA101">
            <w:pPr>
              <w:spacing w:line="360" w:lineRule="auto"/>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lang w:val="en-US" w:eastAsia="zh-CN"/>
              </w:rPr>
              <w:t>主观分</w:t>
            </w:r>
          </w:p>
        </w:tc>
        <w:tc>
          <w:tcPr>
            <w:tcW w:w="3066" w:type="pct"/>
            <w:noWrap w:val="0"/>
            <w:vAlign w:val="center"/>
          </w:tcPr>
          <w:p w14:paraId="2D9F044C">
            <w:pPr>
              <w:keepNext w:val="0"/>
              <w:keepLines w:val="0"/>
              <w:pageBreakBefore w:val="0"/>
              <w:widowControl w:val="0"/>
              <w:kinsoku/>
              <w:wordWrap/>
              <w:overflowPunct/>
              <w:topLinePunct w:val="0"/>
              <w:autoSpaceDE/>
              <w:autoSpaceDN/>
              <w:bidi w:val="0"/>
              <w:adjustRightInd/>
              <w:snapToGrid/>
              <w:spacing w:line="336" w:lineRule="auto"/>
              <w:textAlignment w:val="auto"/>
              <w:rPr>
                <w:rFonts w:hint="eastAsia" w:ascii="宋体" w:hAnsi="宋体" w:eastAsia="宋体" w:cs="宋体"/>
                <w:b/>
                <w:bCs w:val="0"/>
                <w:color w:val="auto"/>
                <w:szCs w:val="21"/>
                <w:highlight w:val="none"/>
              </w:rPr>
            </w:pPr>
            <w:r>
              <w:rPr>
                <w:rFonts w:hint="eastAsia" w:ascii="宋体" w:hAnsi="宋体" w:eastAsia="宋体" w:cs="宋体"/>
                <w:b/>
                <w:bCs w:val="0"/>
                <w:color w:val="auto"/>
                <w:szCs w:val="21"/>
                <w:highlight w:val="none"/>
                <w:lang w:val="en-US" w:eastAsia="zh-CN"/>
              </w:rPr>
              <w:t>4、</w:t>
            </w:r>
            <w:r>
              <w:rPr>
                <w:rFonts w:hint="eastAsia" w:ascii="宋体" w:hAnsi="宋体" w:eastAsia="宋体" w:cs="宋体"/>
                <w:b/>
                <w:bCs w:val="0"/>
                <w:color w:val="auto"/>
                <w:szCs w:val="21"/>
                <w:highlight w:val="none"/>
              </w:rPr>
              <w:t>劳动力安排计划（满分</w:t>
            </w:r>
            <w:r>
              <w:rPr>
                <w:rFonts w:hint="eastAsia" w:ascii="宋体" w:hAnsi="宋体" w:eastAsia="宋体" w:cs="宋体"/>
                <w:b/>
                <w:bCs w:val="0"/>
                <w:color w:val="auto"/>
                <w:szCs w:val="21"/>
                <w:highlight w:val="none"/>
                <w:lang w:val="en-US" w:eastAsia="zh-CN"/>
              </w:rPr>
              <w:t>10</w:t>
            </w:r>
            <w:r>
              <w:rPr>
                <w:rFonts w:hint="eastAsia" w:ascii="宋体" w:hAnsi="宋体" w:eastAsia="宋体" w:cs="宋体"/>
                <w:b/>
                <w:bCs w:val="0"/>
                <w:color w:val="auto"/>
                <w:szCs w:val="21"/>
                <w:highlight w:val="none"/>
              </w:rPr>
              <w:t>分）</w:t>
            </w:r>
          </w:p>
          <w:p w14:paraId="345B1AC8">
            <w:pPr>
              <w:keepNext w:val="0"/>
              <w:keepLines w:val="0"/>
              <w:pageBreakBefore w:val="0"/>
              <w:widowControl w:val="0"/>
              <w:kinsoku/>
              <w:wordWrap/>
              <w:overflowPunct/>
              <w:topLinePunct w:val="0"/>
              <w:autoSpaceDE/>
              <w:autoSpaceDN/>
              <w:bidi w:val="0"/>
              <w:adjustRightInd/>
              <w:snapToGrid/>
              <w:spacing w:line="336" w:lineRule="auto"/>
              <w:textAlignment w:val="auto"/>
              <w:rPr>
                <w:rFonts w:hint="eastAsia" w:ascii="宋体" w:hAnsi="宋体" w:eastAsia="宋体" w:cs="宋体"/>
                <w:color w:val="auto"/>
                <w:highlight w:val="none"/>
              </w:rPr>
            </w:pPr>
            <w:r>
              <w:rPr>
                <w:rFonts w:hint="eastAsia" w:ascii="宋体" w:hAnsi="宋体" w:cs="宋体"/>
                <w:b/>
                <w:bCs/>
                <w:color w:val="auto"/>
                <w:highlight w:val="none"/>
                <w:lang w:val="en-US" w:eastAsia="zh-CN"/>
              </w:rPr>
              <w:t>一档</w:t>
            </w:r>
            <w:r>
              <w:rPr>
                <w:rFonts w:hint="eastAsia" w:ascii="宋体" w:hAnsi="宋体" w:eastAsia="宋体" w:cs="宋体"/>
                <w:b/>
                <w:bCs/>
                <w:color w:val="auto"/>
                <w:highlight w:val="none"/>
              </w:rPr>
              <w:t>（</w:t>
            </w:r>
            <w:r>
              <w:rPr>
                <w:rFonts w:hint="eastAsia" w:ascii="宋体" w:hAnsi="宋体" w:eastAsia="宋体" w:cs="宋体"/>
                <w:b/>
                <w:bCs/>
                <w:color w:val="auto"/>
                <w:highlight w:val="none"/>
                <w:lang w:val="en-US" w:eastAsia="zh-CN"/>
              </w:rPr>
              <w:t>10</w:t>
            </w:r>
            <w:r>
              <w:rPr>
                <w:rFonts w:hint="eastAsia" w:ascii="宋体" w:hAnsi="宋体" w:eastAsia="宋体" w:cs="宋体"/>
                <w:b/>
                <w:bCs/>
                <w:color w:val="auto"/>
                <w:highlight w:val="none"/>
              </w:rPr>
              <w:t>分）：</w:t>
            </w:r>
            <w:r>
              <w:rPr>
                <w:rFonts w:hint="eastAsia" w:ascii="宋体" w:hAnsi="宋体" w:eastAsia="宋体" w:cs="宋体"/>
                <w:color w:val="auto"/>
                <w:highlight w:val="none"/>
              </w:rPr>
              <w:t>各主要施工工序有详细周密的劳动力安排计划，各工种劳动力安排计划齐全，劳动力投入与进度计划匹配度高，满足施工需要。</w:t>
            </w:r>
          </w:p>
          <w:p w14:paraId="600F0FA4">
            <w:pPr>
              <w:keepNext w:val="0"/>
              <w:keepLines w:val="0"/>
              <w:pageBreakBefore w:val="0"/>
              <w:widowControl w:val="0"/>
              <w:kinsoku/>
              <w:wordWrap/>
              <w:overflowPunct/>
              <w:topLinePunct w:val="0"/>
              <w:autoSpaceDE/>
              <w:autoSpaceDN/>
              <w:bidi w:val="0"/>
              <w:adjustRightInd/>
              <w:snapToGrid/>
              <w:spacing w:line="336" w:lineRule="auto"/>
              <w:textAlignment w:val="auto"/>
              <w:rPr>
                <w:rFonts w:hint="eastAsia" w:ascii="宋体" w:hAnsi="宋体" w:eastAsia="宋体" w:cs="宋体"/>
                <w:color w:val="auto"/>
                <w:highlight w:val="none"/>
              </w:rPr>
            </w:pPr>
            <w:r>
              <w:rPr>
                <w:rFonts w:hint="eastAsia" w:ascii="宋体" w:hAnsi="宋体" w:cs="宋体"/>
                <w:b/>
                <w:bCs/>
                <w:color w:val="auto"/>
                <w:highlight w:val="none"/>
                <w:lang w:val="en-US" w:eastAsia="zh-CN"/>
              </w:rPr>
              <w:t>二档</w:t>
            </w:r>
            <w:r>
              <w:rPr>
                <w:rFonts w:hint="eastAsia" w:ascii="宋体" w:hAnsi="宋体" w:eastAsia="宋体" w:cs="宋体"/>
                <w:b/>
                <w:bCs/>
                <w:color w:val="auto"/>
                <w:highlight w:val="none"/>
              </w:rPr>
              <w:t>（</w:t>
            </w:r>
            <w:r>
              <w:rPr>
                <w:rFonts w:hint="eastAsia" w:ascii="宋体" w:hAnsi="宋体" w:eastAsia="宋体" w:cs="宋体"/>
                <w:b/>
                <w:bCs/>
                <w:color w:val="auto"/>
                <w:highlight w:val="none"/>
                <w:lang w:val="en-US" w:eastAsia="zh-CN"/>
              </w:rPr>
              <w:t>7</w:t>
            </w:r>
            <w:r>
              <w:rPr>
                <w:rFonts w:hint="eastAsia" w:ascii="宋体" w:hAnsi="宋体" w:eastAsia="宋体" w:cs="宋体"/>
                <w:b/>
                <w:bCs/>
                <w:color w:val="auto"/>
                <w:highlight w:val="none"/>
              </w:rPr>
              <w:t>分）：</w:t>
            </w:r>
            <w:r>
              <w:rPr>
                <w:rFonts w:hint="eastAsia" w:ascii="宋体" w:hAnsi="宋体" w:eastAsia="宋体" w:cs="宋体"/>
                <w:color w:val="auto"/>
                <w:highlight w:val="none"/>
              </w:rPr>
              <w:t xml:space="preserve">各主要施工工序有详细的劳动力安排计划，提供各工种劳动力安排计划，劳动力投入合理，满足施工需要。 </w:t>
            </w:r>
          </w:p>
          <w:p w14:paraId="2E10ABB8">
            <w:pPr>
              <w:keepNext w:val="0"/>
              <w:keepLines w:val="0"/>
              <w:pageBreakBefore w:val="0"/>
              <w:widowControl w:val="0"/>
              <w:kinsoku/>
              <w:wordWrap/>
              <w:overflowPunct/>
              <w:topLinePunct w:val="0"/>
              <w:autoSpaceDE/>
              <w:autoSpaceDN/>
              <w:bidi w:val="0"/>
              <w:adjustRightInd/>
              <w:snapToGrid/>
              <w:spacing w:line="336" w:lineRule="auto"/>
              <w:textAlignment w:val="auto"/>
              <w:rPr>
                <w:rFonts w:hint="eastAsia" w:ascii="宋体" w:hAnsi="宋体" w:eastAsia="宋体" w:cs="宋体"/>
                <w:color w:val="auto"/>
                <w:highlight w:val="none"/>
              </w:rPr>
            </w:pPr>
            <w:r>
              <w:rPr>
                <w:rFonts w:hint="eastAsia" w:ascii="宋体" w:hAnsi="宋体" w:cs="宋体"/>
                <w:b/>
                <w:bCs/>
                <w:color w:val="auto"/>
                <w:highlight w:val="none"/>
                <w:lang w:val="en-US" w:eastAsia="zh-CN"/>
              </w:rPr>
              <w:t>三档</w:t>
            </w:r>
            <w:r>
              <w:rPr>
                <w:rFonts w:hint="eastAsia" w:ascii="宋体" w:hAnsi="宋体" w:eastAsia="宋体" w:cs="宋体"/>
                <w:b/>
                <w:bCs/>
                <w:color w:val="auto"/>
                <w:highlight w:val="none"/>
              </w:rPr>
              <w:t>（</w:t>
            </w:r>
            <w:r>
              <w:rPr>
                <w:rFonts w:hint="eastAsia" w:ascii="宋体" w:hAnsi="宋体" w:eastAsia="宋体" w:cs="宋体"/>
                <w:b/>
                <w:bCs/>
                <w:color w:val="auto"/>
                <w:highlight w:val="none"/>
                <w:lang w:val="en-US" w:eastAsia="zh-CN"/>
              </w:rPr>
              <w:t>4</w:t>
            </w:r>
            <w:r>
              <w:rPr>
                <w:rFonts w:hint="eastAsia" w:ascii="宋体" w:hAnsi="宋体" w:eastAsia="宋体" w:cs="宋体"/>
                <w:b/>
                <w:bCs/>
                <w:color w:val="auto"/>
                <w:highlight w:val="none"/>
              </w:rPr>
              <w:t>分）：</w:t>
            </w:r>
            <w:r>
              <w:rPr>
                <w:rFonts w:hint="eastAsia" w:ascii="宋体" w:hAnsi="宋体" w:eastAsia="宋体" w:cs="宋体"/>
                <w:color w:val="auto"/>
                <w:highlight w:val="none"/>
              </w:rPr>
              <w:t>各主要施工工序应有劳动力安排计划，提供各工种劳动力安排计划，劳动力投入基本合理，基本满足施工需要。</w:t>
            </w:r>
          </w:p>
          <w:p w14:paraId="2E3A63F9">
            <w:pPr>
              <w:keepNext w:val="0"/>
              <w:keepLines w:val="0"/>
              <w:pageBreakBefore w:val="0"/>
              <w:widowControl w:val="0"/>
              <w:kinsoku/>
              <w:wordWrap/>
              <w:overflowPunct/>
              <w:topLinePunct w:val="0"/>
              <w:autoSpaceDE/>
              <w:autoSpaceDN/>
              <w:bidi w:val="0"/>
              <w:adjustRightInd/>
              <w:snapToGrid/>
              <w:spacing w:line="336" w:lineRule="auto"/>
              <w:textAlignment w:val="auto"/>
              <w:rPr>
                <w:rFonts w:hint="eastAsia" w:ascii="宋体" w:hAnsi="宋体" w:eastAsia="宋体" w:cs="宋体"/>
                <w:bCs/>
                <w:color w:val="auto"/>
                <w:highlight w:val="none"/>
              </w:rPr>
            </w:pPr>
            <w:r>
              <w:rPr>
                <w:rFonts w:hint="eastAsia" w:ascii="宋体" w:hAnsi="宋体" w:cs="宋体"/>
                <w:b/>
                <w:bCs/>
                <w:color w:val="auto"/>
                <w:highlight w:val="none"/>
                <w:lang w:val="en-US" w:eastAsia="zh-CN"/>
              </w:rPr>
              <w:t>四档</w:t>
            </w:r>
            <w:r>
              <w:rPr>
                <w:rFonts w:hint="eastAsia" w:ascii="宋体" w:hAnsi="宋体" w:eastAsia="宋体" w:cs="宋体"/>
                <w:b/>
                <w:bCs/>
                <w:color w:val="auto"/>
                <w:highlight w:val="none"/>
              </w:rPr>
              <w:t>（2分）：</w:t>
            </w:r>
            <w:r>
              <w:rPr>
                <w:rFonts w:hint="eastAsia" w:ascii="宋体" w:hAnsi="宋体" w:eastAsia="宋体" w:cs="宋体"/>
                <w:color w:val="auto"/>
                <w:highlight w:val="none"/>
              </w:rPr>
              <w:t>各主要施工工序劳动力安排计划不全，无各工种劳动力安排计划或计划不全，劳动力投入不合理，不能满足施工需要。</w:t>
            </w:r>
          </w:p>
        </w:tc>
        <w:tc>
          <w:tcPr>
            <w:tcW w:w="802" w:type="pct"/>
            <w:noWrap w:val="0"/>
            <w:vAlign w:val="center"/>
          </w:tcPr>
          <w:p w14:paraId="245BF528">
            <w:pPr>
              <w:spacing w:line="360" w:lineRule="auto"/>
              <w:jc w:val="left"/>
              <w:rPr>
                <w:rFonts w:hint="eastAsia" w:ascii="宋体" w:hAnsi="宋体" w:eastAsia="宋体" w:cs="宋体"/>
                <w:b/>
                <w:color w:val="auto"/>
                <w:szCs w:val="21"/>
                <w:highlight w:val="none"/>
                <w:lang w:val="en-US" w:eastAsia="zh-CN"/>
              </w:rPr>
            </w:pPr>
            <w:r>
              <w:rPr>
                <w:rFonts w:hint="eastAsia" w:ascii="宋体" w:hAnsi="宋体" w:eastAsia="宋体" w:cs="宋体"/>
                <w:b w:val="0"/>
                <w:bCs/>
                <w:color w:val="auto"/>
                <w:szCs w:val="21"/>
                <w:highlight w:val="none"/>
              </w:rPr>
              <w:t>供应商未提供或提供的内容不满足最低档次要求的不得分。</w:t>
            </w:r>
          </w:p>
        </w:tc>
      </w:tr>
      <w:tr w14:paraId="586A2E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jc w:val="center"/>
        </w:trPr>
        <w:tc>
          <w:tcPr>
            <w:tcW w:w="270" w:type="pct"/>
            <w:vMerge w:val="continue"/>
            <w:noWrap w:val="0"/>
            <w:vAlign w:val="center"/>
          </w:tcPr>
          <w:p w14:paraId="7B684E89">
            <w:pPr>
              <w:spacing w:line="360" w:lineRule="auto"/>
              <w:rPr>
                <w:rFonts w:hint="eastAsia" w:ascii="宋体" w:hAnsi="宋体" w:eastAsia="宋体" w:cs="宋体"/>
                <w:b/>
                <w:color w:val="auto"/>
                <w:szCs w:val="21"/>
                <w:highlight w:val="none"/>
              </w:rPr>
            </w:pPr>
          </w:p>
        </w:tc>
        <w:tc>
          <w:tcPr>
            <w:tcW w:w="505" w:type="pct"/>
            <w:vMerge w:val="continue"/>
            <w:noWrap w:val="0"/>
            <w:vAlign w:val="center"/>
          </w:tcPr>
          <w:p w14:paraId="468FD5E6">
            <w:pPr>
              <w:spacing w:line="360" w:lineRule="auto"/>
              <w:rPr>
                <w:rFonts w:hint="eastAsia" w:ascii="宋体" w:hAnsi="宋体" w:eastAsia="宋体" w:cs="宋体"/>
                <w:b/>
                <w:color w:val="auto"/>
                <w:szCs w:val="21"/>
                <w:highlight w:val="none"/>
              </w:rPr>
            </w:pPr>
          </w:p>
        </w:tc>
        <w:tc>
          <w:tcPr>
            <w:tcW w:w="354" w:type="pct"/>
            <w:noWrap w:val="0"/>
            <w:vAlign w:val="center"/>
          </w:tcPr>
          <w:p w14:paraId="4F9C2ED8">
            <w:pPr>
              <w:spacing w:line="360" w:lineRule="auto"/>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lang w:val="en-US" w:eastAsia="zh-CN"/>
              </w:rPr>
              <w:t>主观分</w:t>
            </w:r>
          </w:p>
        </w:tc>
        <w:tc>
          <w:tcPr>
            <w:tcW w:w="3066" w:type="pct"/>
            <w:noWrap w:val="0"/>
            <w:vAlign w:val="center"/>
          </w:tcPr>
          <w:p w14:paraId="344601CF">
            <w:pPr>
              <w:keepNext w:val="0"/>
              <w:keepLines w:val="0"/>
              <w:pageBreakBefore w:val="0"/>
              <w:widowControl w:val="0"/>
              <w:kinsoku/>
              <w:wordWrap/>
              <w:overflowPunct/>
              <w:topLinePunct w:val="0"/>
              <w:autoSpaceDE/>
              <w:autoSpaceDN/>
              <w:bidi w:val="0"/>
              <w:adjustRightInd/>
              <w:snapToGrid/>
              <w:spacing w:line="336" w:lineRule="auto"/>
              <w:textAlignment w:val="auto"/>
              <w:rPr>
                <w:rFonts w:hint="eastAsia" w:ascii="宋体" w:hAnsi="宋体" w:eastAsia="宋体" w:cs="宋体"/>
                <w:b/>
                <w:bCs w:val="0"/>
                <w:color w:val="auto"/>
                <w:szCs w:val="21"/>
                <w:highlight w:val="none"/>
              </w:rPr>
            </w:pPr>
            <w:r>
              <w:rPr>
                <w:rFonts w:hint="eastAsia" w:ascii="宋体" w:hAnsi="宋体" w:eastAsia="宋体" w:cs="宋体"/>
                <w:b/>
                <w:bCs w:val="0"/>
                <w:color w:val="auto"/>
                <w:szCs w:val="21"/>
                <w:highlight w:val="none"/>
                <w:lang w:val="en-US" w:eastAsia="zh-CN"/>
              </w:rPr>
              <w:t>5、</w:t>
            </w:r>
            <w:r>
              <w:rPr>
                <w:rFonts w:hint="eastAsia" w:ascii="宋体" w:hAnsi="宋体" w:eastAsia="宋体" w:cs="宋体"/>
                <w:b/>
                <w:bCs w:val="0"/>
                <w:color w:val="auto"/>
                <w:szCs w:val="21"/>
                <w:highlight w:val="none"/>
              </w:rPr>
              <w:t>确保工程质量的技术组织措施（满分</w:t>
            </w:r>
            <w:r>
              <w:rPr>
                <w:rFonts w:hint="eastAsia" w:ascii="宋体" w:hAnsi="宋体" w:eastAsia="宋体" w:cs="宋体"/>
                <w:b/>
                <w:bCs w:val="0"/>
                <w:color w:val="auto"/>
                <w:szCs w:val="21"/>
                <w:highlight w:val="none"/>
                <w:lang w:val="en-US" w:eastAsia="zh-CN"/>
              </w:rPr>
              <w:t>10</w:t>
            </w:r>
            <w:r>
              <w:rPr>
                <w:rFonts w:hint="eastAsia" w:ascii="宋体" w:hAnsi="宋体" w:eastAsia="宋体" w:cs="宋体"/>
                <w:b/>
                <w:bCs w:val="0"/>
                <w:color w:val="auto"/>
                <w:szCs w:val="21"/>
                <w:highlight w:val="none"/>
              </w:rPr>
              <w:t>分）</w:t>
            </w:r>
          </w:p>
          <w:p w14:paraId="1CA0A35E">
            <w:pPr>
              <w:keepNext w:val="0"/>
              <w:keepLines w:val="0"/>
              <w:pageBreakBefore w:val="0"/>
              <w:widowControl w:val="0"/>
              <w:kinsoku/>
              <w:wordWrap/>
              <w:overflowPunct/>
              <w:topLinePunct w:val="0"/>
              <w:autoSpaceDE/>
              <w:autoSpaceDN/>
              <w:bidi w:val="0"/>
              <w:adjustRightInd/>
              <w:snapToGrid/>
              <w:spacing w:line="336" w:lineRule="auto"/>
              <w:textAlignment w:val="auto"/>
              <w:rPr>
                <w:rFonts w:hint="eastAsia" w:ascii="宋体" w:hAnsi="宋体" w:eastAsia="宋体" w:cs="宋体"/>
                <w:color w:val="auto"/>
                <w:highlight w:val="none"/>
              </w:rPr>
            </w:pPr>
            <w:r>
              <w:rPr>
                <w:rFonts w:hint="eastAsia" w:ascii="宋体" w:hAnsi="宋体" w:cs="宋体"/>
                <w:b/>
                <w:bCs/>
                <w:color w:val="auto"/>
                <w:highlight w:val="none"/>
                <w:lang w:val="en-US" w:eastAsia="zh-CN"/>
              </w:rPr>
              <w:t>一档</w:t>
            </w:r>
            <w:r>
              <w:rPr>
                <w:rFonts w:hint="eastAsia" w:ascii="宋体" w:hAnsi="宋体" w:eastAsia="宋体" w:cs="宋体"/>
                <w:b/>
                <w:bCs/>
                <w:color w:val="auto"/>
                <w:highlight w:val="none"/>
              </w:rPr>
              <w:t>（</w:t>
            </w:r>
            <w:r>
              <w:rPr>
                <w:rFonts w:hint="eastAsia" w:ascii="宋体" w:hAnsi="宋体" w:eastAsia="宋体" w:cs="宋体"/>
                <w:b/>
                <w:bCs/>
                <w:color w:val="auto"/>
                <w:highlight w:val="none"/>
                <w:lang w:val="en-US" w:eastAsia="zh-CN"/>
              </w:rPr>
              <w:t>10</w:t>
            </w:r>
            <w:r>
              <w:rPr>
                <w:rFonts w:hint="eastAsia" w:ascii="宋体" w:hAnsi="宋体" w:eastAsia="宋体" w:cs="宋体"/>
                <w:b/>
                <w:bCs/>
                <w:color w:val="auto"/>
                <w:highlight w:val="none"/>
              </w:rPr>
              <w:t>分）：</w:t>
            </w:r>
            <w:r>
              <w:rPr>
                <w:rFonts w:hint="eastAsia" w:ascii="宋体" w:hAnsi="宋体" w:eastAsia="宋体" w:cs="宋体"/>
                <w:color w:val="auto"/>
                <w:highlight w:val="none"/>
              </w:rPr>
              <w:t xml:space="preserve">有专门的质量技术管理班子和制度，管理人员配备合理，制度健全。主要工序质量技术保证措施和手段科学合理，自控体系完整，能有效保证技术质量，有具体的质量承诺。 </w:t>
            </w:r>
          </w:p>
          <w:p w14:paraId="0CF1D75A">
            <w:pPr>
              <w:keepNext w:val="0"/>
              <w:keepLines w:val="0"/>
              <w:pageBreakBefore w:val="0"/>
              <w:widowControl w:val="0"/>
              <w:kinsoku/>
              <w:wordWrap/>
              <w:overflowPunct/>
              <w:topLinePunct w:val="0"/>
              <w:autoSpaceDE/>
              <w:autoSpaceDN/>
              <w:bidi w:val="0"/>
              <w:adjustRightInd/>
              <w:snapToGrid/>
              <w:spacing w:line="336" w:lineRule="auto"/>
              <w:textAlignment w:val="auto"/>
              <w:rPr>
                <w:rFonts w:hint="eastAsia" w:ascii="宋体" w:hAnsi="宋体" w:eastAsia="宋体" w:cs="宋体"/>
                <w:color w:val="auto"/>
                <w:highlight w:val="none"/>
              </w:rPr>
            </w:pPr>
            <w:r>
              <w:rPr>
                <w:rFonts w:hint="eastAsia" w:ascii="宋体" w:hAnsi="宋体" w:cs="宋体"/>
                <w:b/>
                <w:bCs/>
                <w:color w:val="auto"/>
                <w:highlight w:val="none"/>
                <w:lang w:val="en-US" w:eastAsia="zh-CN"/>
              </w:rPr>
              <w:t>二档</w:t>
            </w:r>
            <w:r>
              <w:rPr>
                <w:rFonts w:hint="eastAsia" w:ascii="宋体" w:hAnsi="宋体" w:eastAsia="宋体" w:cs="宋体"/>
                <w:b/>
                <w:bCs/>
                <w:color w:val="auto"/>
                <w:highlight w:val="none"/>
              </w:rPr>
              <w:t>（</w:t>
            </w:r>
            <w:r>
              <w:rPr>
                <w:rFonts w:hint="eastAsia" w:ascii="宋体" w:hAnsi="宋体" w:eastAsia="宋体" w:cs="宋体"/>
                <w:b/>
                <w:bCs/>
                <w:color w:val="auto"/>
                <w:highlight w:val="none"/>
                <w:lang w:val="en-US" w:eastAsia="zh-CN"/>
              </w:rPr>
              <w:t>7</w:t>
            </w:r>
            <w:r>
              <w:rPr>
                <w:rFonts w:hint="eastAsia" w:ascii="宋体" w:hAnsi="宋体" w:eastAsia="宋体" w:cs="宋体"/>
                <w:b/>
                <w:bCs/>
                <w:color w:val="auto"/>
                <w:highlight w:val="none"/>
              </w:rPr>
              <w:t>分）：</w:t>
            </w:r>
            <w:r>
              <w:rPr>
                <w:rFonts w:hint="eastAsia" w:ascii="宋体" w:hAnsi="宋体" w:eastAsia="宋体" w:cs="宋体"/>
                <w:color w:val="auto"/>
                <w:highlight w:val="none"/>
              </w:rPr>
              <w:t>有专门的质量技术管理班子和制度，管理人员配备合理，制度健全。主要工序的质量技术保证措施和手段一般，自控体系一般，保证技术质量，有具体的质量承诺。</w:t>
            </w:r>
          </w:p>
          <w:p w14:paraId="2AE2FB7F">
            <w:pPr>
              <w:keepNext w:val="0"/>
              <w:keepLines w:val="0"/>
              <w:pageBreakBefore w:val="0"/>
              <w:widowControl w:val="0"/>
              <w:kinsoku/>
              <w:wordWrap/>
              <w:overflowPunct/>
              <w:topLinePunct w:val="0"/>
              <w:autoSpaceDE/>
              <w:autoSpaceDN/>
              <w:bidi w:val="0"/>
              <w:adjustRightInd/>
              <w:snapToGrid/>
              <w:spacing w:line="336" w:lineRule="auto"/>
              <w:textAlignment w:val="auto"/>
              <w:rPr>
                <w:rFonts w:hint="eastAsia" w:ascii="宋体" w:hAnsi="宋体" w:eastAsia="宋体" w:cs="宋体"/>
                <w:color w:val="auto"/>
                <w:highlight w:val="none"/>
              </w:rPr>
            </w:pPr>
            <w:r>
              <w:rPr>
                <w:rFonts w:hint="eastAsia" w:ascii="宋体" w:hAnsi="宋体" w:cs="宋体"/>
                <w:b/>
                <w:bCs/>
                <w:color w:val="auto"/>
                <w:highlight w:val="none"/>
                <w:lang w:val="en-US" w:eastAsia="zh-CN"/>
              </w:rPr>
              <w:t>三档</w:t>
            </w:r>
            <w:r>
              <w:rPr>
                <w:rFonts w:hint="eastAsia" w:ascii="宋体" w:hAnsi="宋体" w:eastAsia="宋体" w:cs="宋体"/>
                <w:b/>
                <w:bCs/>
                <w:color w:val="auto"/>
                <w:highlight w:val="none"/>
              </w:rPr>
              <w:t>（</w:t>
            </w:r>
            <w:r>
              <w:rPr>
                <w:rFonts w:hint="eastAsia" w:ascii="宋体" w:hAnsi="宋体" w:eastAsia="宋体" w:cs="宋体"/>
                <w:b/>
                <w:bCs/>
                <w:color w:val="auto"/>
                <w:highlight w:val="none"/>
                <w:lang w:val="en-US" w:eastAsia="zh-CN"/>
              </w:rPr>
              <w:t>4</w:t>
            </w:r>
            <w:r>
              <w:rPr>
                <w:rFonts w:hint="eastAsia" w:ascii="宋体" w:hAnsi="宋体" w:eastAsia="宋体" w:cs="宋体"/>
                <w:b/>
                <w:bCs/>
                <w:color w:val="auto"/>
                <w:highlight w:val="none"/>
              </w:rPr>
              <w:t>分）：</w:t>
            </w:r>
            <w:r>
              <w:rPr>
                <w:rFonts w:hint="eastAsia" w:ascii="宋体" w:hAnsi="宋体" w:eastAsia="宋体" w:cs="宋体"/>
                <w:color w:val="auto"/>
                <w:highlight w:val="none"/>
              </w:rPr>
              <w:t xml:space="preserve">质量技术管理班子人员配备基本合理，制度基本健全。主要工序有质量技术保证措施和手段，保证技术质量，有质量承诺。 </w:t>
            </w:r>
          </w:p>
          <w:p w14:paraId="7BCA322C">
            <w:pPr>
              <w:keepNext w:val="0"/>
              <w:keepLines w:val="0"/>
              <w:pageBreakBefore w:val="0"/>
              <w:widowControl w:val="0"/>
              <w:kinsoku/>
              <w:wordWrap/>
              <w:overflowPunct/>
              <w:topLinePunct w:val="0"/>
              <w:autoSpaceDE/>
              <w:autoSpaceDN/>
              <w:bidi w:val="0"/>
              <w:adjustRightInd/>
              <w:snapToGrid/>
              <w:spacing w:line="336" w:lineRule="auto"/>
              <w:textAlignment w:val="auto"/>
              <w:rPr>
                <w:rFonts w:hint="eastAsia" w:ascii="宋体" w:hAnsi="宋体" w:eastAsia="宋体" w:cs="宋体"/>
                <w:bCs/>
                <w:color w:val="auto"/>
                <w:szCs w:val="21"/>
                <w:highlight w:val="none"/>
              </w:rPr>
            </w:pPr>
            <w:r>
              <w:rPr>
                <w:rFonts w:hint="eastAsia" w:ascii="宋体" w:hAnsi="宋体" w:cs="宋体"/>
                <w:b/>
                <w:bCs/>
                <w:color w:val="auto"/>
                <w:highlight w:val="none"/>
                <w:lang w:val="en-US" w:eastAsia="zh-CN"/>
              </w:rPr>
              <w:t>四档</w:t>
            </w:r>
            <w:r>
              <w:rPr>
                <w:rFonts w:hint="eastAsia" w:ascii="宋体" w:hAnsi="宋体" w:eastAsia="宋体" w:cs="宋体"/>
                <w:b/>
                <w:bCs/>
                <w:color w:val="auto"/>
                <w:highlight w:val="none"/>
              </w:rPr>
              <w:t>（2分）：</w:t>
            </w:r>
            <w:r>
              <w:rPr>
                <w:rFonts w:hint="eastAsia" w:ascii="宋体" w:hAnsi="宋体" w:eastAsia="宋体" w:cs="宋体"/>
                <w:color w:val="auto"/>
                <w:highlight w:val="none"/>
              </w:rPr>
              <w:t>质量技术管理班子人员配备不合理，制度不健全。质量技术保证措施和手段不可行，没有质量违约责任承诺。</w:t>
            </w:r>
          </w:p>
        </w:tc>
        <w:tc>
          <w:tcPr>
            <w:tcW w:w="802" w:type="pct"/>
            <w:noWrap w:val="0"/>
            <w:vAlign w:val="center"/>
          </w:tcPr>
          <w:p w14:paraId="509ABF84">
            <w:pPr>
              <w:spacing w:line="360" w:lineRule="auto"/>
              <w:jc w:val="left"/>
              <w:rPr>
                <w:rFonts w:hint="eastAsia" w:ascii="宋体" w:hAnsi="宋体" w:eastAsia="宋体" w:cs="宋体"/>
                <w:b/>
                <w:color w:val="auto"/>
                <w:szCs w:val="21"/>
                <w:highlight w:val="none"/>
                <w:lang w:val="en-US" w:eastAsia="zh-CN"/>
              </w:rPr>
            </w:pPr>
            <w:r>
              <w:rPr>
                <w:rFonts w:hint="eastAsia" w:ascii="宋体" w:hAnsi="宋体" w:eastAsia="宋体" w:cs="宋体"/>
                <w:b w:val="0"/>
                <w:bCs/>
                <w:color w:val="auto"/>
                <w:szCs w:val="21"/>
                <w:highlight w:val="none"/>
              </w:rPr>
              <w:t>供应商未提供或提供的内容不满足最低档次要求的不得分。</w:t>
            </w:r>
          </w:p>
        </w:tc>
      </w:tr>
      <w:tr w14:paraId="48A67D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0" w:type="pct"/>
            <w:vMerge w:val="continue"/>
            <w:noWrap w:val="0"/>
            <w:vAlign w:val="center"/>
          </w:tcPr>
          <w:p w14:paraId="2684004C">
            <w:pPr>
              <w:spacing w:line="360" w:lineRule="auto"/>
              <w:rPr>
                <w:rFonts w:hint="eastAsia" w:ascii="宋体" w:hAnsi="宋体" w:eastAsia="宋体" w:cs="宋体"/>
                <w:b/>
                <w:color w:val="auto"/>
                <w:szCs w:val="21"/>
                <w:highlight w:val="none"/>
              </w:rPr>
            </w:pPr>
          </w:p>
        </w:tc>
        <w:tc>
          <w:tcPr>
            <w:tcW w:w="505" w:type="pct"/>
            <w:vMerge w:val="continue"/>
            <w:noWrap w:val="0"/>
            <w:vAlign w:val="center"/>
          </w:tcPr>
          <w:p w14:paraId="44A7ADC8">
            <w:pPr>
              <w:spacing w:line="360" w:lineRule="auto"/>
              <w:rPr>
                <w:rFonts w:hint="eastAsia" w:ascii="宋体" w:hAnsi="宋体" w:eastAsia="宋体" w:cs="宋体"/>
                <w:b/>
                <w:color w:val="auto"/>
                <w:szCs w:val="21"/>
                <w:highlight w:val="none"/>
              </w:rPr>
            </w:pPr>
          </w:p>
        </w:tc>
        <w:tc>
          <w:tcPr>
            <w:tcW w:w="354" w:type="pct"/>
            <w:noWrap w:val="0"/>
            <w:vAlign w:val="center"/>
          </w:tcPr>
          <w:p w14:paraId="1AE2F53D">
            <w:pPr>
              <w:spacing w:line="360" w:lineRule="auto"/>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lang w:val="en-US" w:eastAsia="zh-CN"/>
              </w:rPr>
              <w:t>主观分</w:t>
            </w:r>
          </w:p>
        </w:tc>
        <w:tc>
          <w:tcPr>
            <w:tcW w:w="5543" w:type="dxa"/>
            <w:noWrap w:val="0"/>
            <w:vAlign w:val="center"/>
          </w:tcPr>
          <w:p w14:paraId="56B8A874">
            <w:pPr>
              <w:spacing w:line="360" w:lineRule="auto"/>
              <w:rPr>
                <w:rFonts w:hint="eastAsia" w:ascii="宋体" w:hAnsi="宋体" w:eastAsia="宋体" w:cs="宋体"/>
                <w:b/>
                <w:bCs w:val="0"/>
                <w:color w:val="auto"/>
                <w:szCs w:val="21"/>
                <w:highlight w:val="none"/>
              </w:rPr>
            </w:pPr>
            <w:r>
              <w:rPr>
                <w:rFonts w:hint="eastAsia" w:ascii="宋体" w:hAnsi="宋体" w:eastAsia="宋体" w:cs="宋体"/>
                <w:b/>
                <w:bCs w:val="0"/>
                <w:color w:val="auto"/>
                <w:szCs w:val="21"/>
                <w:highlight w:val="none"/>
                <w:lang w:val="en-US" w:eastAsia="zh-CN"/>
              </w:rPr>
              <w:t>6、</w:t>
            </w:r>
            <w:r>
              <w:rPr>
                <w:rFonts w:hint="eastAsia" w:ascii="宋体" w:hAnsi="宋体" w:eastAsia="宋体" w:cs="宋体"/>
                <w:b/>
                <w:bCs w:val="0"/>
                <w:color w:val="auto"/>
                <w:szCs w:val="21"/>
                <w:highlight w:val="none"/>
              </w:rPr>
              <w:t>确保安全生产的技术组织措施（满分</w:t>
            </w:r>
            <w:r>
              <w:rPr>
                <w:rFonts w:hint="eastAsia" w:ascii="宋体" w:hAnsi="宋体" w:eastAsia="宋体" w:cs="宋体"/>
                <w:b/>
                <w:bCs w:val="0"/>
                <w:color w:val="auto"/>
                <w:szCs w:val="21"/>
                <w:highlight w:val="none"/>
                <w:lang w:val="en-US" w:eastAsia="zh-CN"/>
              </w:rPr>
              <w:t>10</w:t>
            </w:r>
            <w:r>
              <w:rPr>
                <w:rFonts w:hint="eastAsia" w:ascii="宋体" w:hAnsi="宋体" w:eastAsia="宋体" w:cs="宋体"/>
                <w:b/>
                <w:bCs w:val="0"/>
                <w:color w:val="auto"/>
                <w:szCs w:val="21"/>
                <w:highlight w:val="none"/>
              </w:rPr>
              <w:t>分）</w:t>
            </w:r>
          </w:p>
          <w:p w14:paraId="576C7420">
            <w:pPr>
              <w:spacing w:line="360" w:lineRule="auto"/>
              <w:rPr>
                <w:rFonts w:hint="eastAsia" w:ascii="宋体" w:hAnsi="宋体" w:eastAsia="宋体" w:cs="宋体"/>
                <w:color w:val="auto"/>
                <w:highlight w:val="none"/>
              </w:rPr>
            </w:pPr>
            <w:r>
              <w:rPr>
                <w:rFonts w:hint="eastAsia" w:ascii="宋体" w:hAnsi="宋体" w:cs="宋体"/>
                <w:b/>
                <w:bCs/>
                <w:color w:val="auto"/>
                <w:highlight w:val="none"/>
                <w:lang w:val="en-US" w:eastAsia="zh-CN"/>
              </w:rPr>
              <w:t>一档</w:t>
            </w:r>
            <w:r>
              <w:rPr>
                <w:rFonts w:hint="eastAsia" w:ascii="宋体" w:hAnsi="宋体" w:eastAsia="宋体" w:cs="宋体"/>
                <w:b/>
                <w:bCs/>
                <w:color w:val="auto"/>
                <w:highlight w:val="none"/>
              </w:rPr>
              <w:t>（</w:t>
            </w:r>
            <w:r>
              <w:rPr>
                <w:rFonts w:hint="eastAsia" w:ascii="宋体" w:hAnsi="宋体" w:eastAsia="宋体" w:cs="宋体"/>
                <w:b/>
                <w:bCs/>
                <w:color w:val="auto"/>
                <w:highlight w:val="none"/>
                <w:lang w:val="en-US" w:eastAsia="zh-CN"/>
              </w:rPr>
              <w:t>10</w:t>
            </w:r>
            <w:r>
              <w:rPr>
                <w:rFonts w:hint="eastAsia" w:ascii="宋体" w:hAnsi="宋体" w:eastAsia="宋体" w:cs="宋体"/>
                <w:b/>
                <w:bCs/>
                <w:color w:val="auto"/>
                <w:highlight w:val="none"/>
              </w:rPr>
              <w:t>分）：</w:t>
            </w:r>
            <w:r>
              <w:rPr>
                <w:rFonts w:hint="eastAsia" w:ascii="宋体" w:hAnsi="宋体" w:eastAsia="宋体" w:cs="宋体"/>
                <w:color w:val="auto"/>
                <w:highlight w:val="none"/>
              </w:rPr>
              <w:t xml:space="preserve">有专门的安全管理人员和制度，管理人员配备合理，制度健全，各道工序安全技术措施针对性强，确保安全生产的技术组织措施符合实际且满足有关安全技术标准要求。现场防火、应急救援、社会治安安全措施得力。 </w:t>
            </w:r>
          </w:p>
          <w:p w14:paraId="1869B683">
            <w:pPr>
              <w:spacing w:line="360" w:lineRule="auto"/>
              <w:rPr>
                <w:rFonts w:hint="eastAsia" w:ascii="宋体" w:hAnsi="宋体" w:eastAsia="宋体" w:cs="宋体"/>
                <w:color w:val="auto"/>
                <w:highlight w:val="none"/>
              </w:rPr>
            </w:pPr>
            <w:r>
              <w:rPr>
                <w:rFonts w:hint="eastAsia" w:ascii="宋体" w:hAnsi="宋体" w:cs="宋体"/>
                <w:b/>
                <w:bCs/>
                <w:color w:val="auto"/>
                <w:highlight w:val="none"/>
                <w:lang w:val="en-US" w:eastAsia="zh-CN"/>
              </w:rPr>
              <w:t>二档</w:t>
            </w:r>
            <w:r>
              <w:rPr>
                <w:rFonts w:hint="eastAsia" w:ascii="宋体" w:hAnsi="宋体" w:eastAsia="宋体" w:cs="宋体"/>
                <w:b/>
                <w:bCs/>
                <w:color w:val="auto"/>
                <w:highlight w:val="none"/>
              </w:rPr>
              <w:t>（</w:t>
            </w:r>
            <w:r>
              <w:rPr>
                <w:rFonts w:hint="eastAsia" w:ascii="宋体" w:hAnsi="宋体" w:eastAsia="宋体" w:cs="宋体"/>
                <w:b/>
                <w:bCs/>
                <w:color w:val="auto"/>
                <w:highlight w:val="none"/>
                <w:lang w:val="en-US" w:eastAsia="zh-CN"/>
              </w:rPr>
              <w:t>7</w:t>
            </w:r>
            <w:r>
              <w:rPr>
                <w:rFonts w:hint="eastAsia" w:ascii="宋体" w:hAnsi="宋体" w:eastAsia="宋体" w:cs="宋体"/>
                <w:b/>
                <w:bCs/>
                <w:color w:val="auto"/>
                <w:highlight w:val="none"/>
              </w:rPr>
              <w:t>分）：</w:t>
            </w:r>
            <w:r>
              <w:rPr>
                <w:rFonts w:hint="eastAsia" w:ascii="宋体" w:hAnsi="宋体" w:eastAsia="宋体" w:cs="宋体"/>
                <w:color w:val="auto"/>
                <w:highlight w:val="none"/>
              </w:rPr>
              <w:t>有专门的安全管理人员和制度且人员配备合理，制度健全，各道工序安全技术措施针对性一般，确保安全生产的技术组织措施符合实际且基本满足有关安全技术标准要求。现场防火、应急救援、社会治安安全施一般。</w:t>
            </w:r>
          </w:p>
          <w:p w14:paraId="6B5E60ED">
            <w:pPr>
              <w:spacing w:line="360" w:lineRule="auto"/>
              <w:rPr>
                <w:rFonts w:hint="eastAsia" w:ascii="宋体" w:hAnsi="宋体" w:eastAsia="宋体" w:cs="宋体"/>
                <w:color w:val="auto"/>
                <w:highlight w:val="none"/>
              </w:rPr>
            </w:pPr>
            <w:r>
              <w:rPr>
                <w:rFonts w:hint="eastAsia" w:ascii="宋体" w:hAnsi="宋体" w:cs="宋体"/>
                <w:b/>
                <w:bCs/>
                <w:color w:val="auto"/>
                <w:highlight w:val="none"/>
                <w:lang w:val="en-US" w:eastAsia="zh-CN"/>
              </w:rPr>
              <w:t>三档</w:t>
            </w:r>
            <w:r>
              <w:rPr>
                <w:rFonts w:hint="eastAsia" w:ascii="宋体" w:hAnsi="宋体" w:eastAsia="宋体" w:cs="宋体"/>
                <w:b/>
                <w:bCs/>
                <w:color w:val="auto"/>
                <w:highlight w:val="none"/>
              </w:rPr>
              <w:t>（</w:t>
            </w:r>
            <w:r>
              <w:rPr>
                <w:rFonts w:hint="eastAsia" w:ascii="宋体" w:hAnsi="宋体" w:eastAsia="宋体" w:cs="宋体"/>
                <w:b/>
                <w:bCs/>
                <w:color w:val="auto"/>
                <w:highlight w:val="none"/>
                <w:lang w:val="en-US" w:eastAsia="zh-CN"/>
              </w:rPr>
              <w:t>4</w:t>
            </w:r>
            <w:r>
              <w:rPr>
                <w:rFonts w:hint="eastAsia" w:ascii="宋体" w:hAnsi="宋体" w:eastAsia="宋体" w:cs="宋体"/>
                <w:b/>
                <w:bCs/>
                <w:color w:val="auto"/>
                <w:highlight w:val="none"/>
              </w:rPr>
              <w:t>分）：</w:t>
            </w:r>
            <w:r>
              <w:rPr>
                <w:rFonts w:hint="eastAsia" w:ascii="宋体" w:hAnsi="宋体" w:eastAsia="宋体" w:cs="宋体"/>
                <w:color w:val="auto"/>
                <w:highlight w:val="none"/>
              </w:rPr>
              <w:t xml:space="preserve">有专门的安全管理人员和制度，安全人员配备基本合理，制度基本健全，各道工序安全技术措施基本符合实际基本满足有关安全技术标准要求。现场防火应急救援、社会治安安全措施基本合理。 </w:t>
            </w:r>
          </w:p>
          <w:p w14:paraId="1A81E17C">
            <w:pPr>
              <w:spacing w:line="360" w:lineRule="auto"/>
              <w:rPr>
                <w:rFonts w:hint="eastAsia" w:ascii="宋体" w:hAnsi="宋体" w:eastAsia="宋体" w:cs="宋体"/>
                <w:bCs/>
                <w:color w:val="auto"/>
                <w:highlight w:val="none"/>
              </w:rPr>
            </w:pPr>
            <w:r>
              <w:rPr>
                <w:rFonts w:hint="eastAsia" w:ascii="宋体" w:hAnsi="宋体" w:cs="宋体"/>
                <w:b/>
                <w:bCs/>
                <w:color w:val="auto"/>
                <w:highlight w:val="none"/>
                <w:lang w:val="en-US" w:eastAsia="zh-CN"/>
              </w:rPr>
              <w:t>四档</w:t>
            </w:r>
            <w:r>
              <w:rPr>
                <w:rFonts w:hint="eastAsia" w:ascii="宋体" w:hAnsi="宋体" w:eastAsia="宋体" w:cs="宋体"/>
                <w:b/>
                <w:bCs/>
                <w:color w:val="auto"/>
                <w:highlight w:val="none"/>
              </w:rPr>
              <w:t>（2分）：</w:t>
            </w:r>
            <w:r>
              <w:rPr>
                <w:rFonts w:hint="eastAsia" w:ascii="宋体" w:hAnsi="宋体" w:eastAsia="宋体" w:cs="宋体"/>
                <w:color w:val="auto"/>
                <w:highlight w:val="none"/>
              </w:rPr>
              <w:t>有专门的安全管理人员和制度，人员配备不合理，制度不健全，各道工序安全技术措施针无对性，不满足有关安全技术标准要求。现场防火、应急救援、社会治安安全措施不得力。</w:t>
            </w:r>
          </w:p>
        </w:tc>
        <w:tc>
          <w:tcPr>
            <w:tcW w:w="802" w:type="pct"/>
            <w:noWrap w:val="0"/>
            <w:vAlign w:val="center"/>
          </w:tcPr>
          <w:p w14:paraId="1756E192">
            <w:pPr>
              <w:spacing w:line="360" w:lineRule="auto"/>
              <w:jc w:val="left"/>
              <w:rPr>
                <w:rFonts w:hint="eastAsia" w:ascii="宋体" w:hAnsi="宋体" w:eastAsia="宋体" w:cs="宋体"/>
                <w:b/>
                <w:color w:val="auto"/>
                <w:szCs w:val="21"/>
                <w:highlight w:val="none"/>
                <w:lang w:val="en-US" w:eastAsia="zh-CN"/>
              </w:rPr>
            </w:pPr>
            <w:r>
              <w:rPr>
                <w:rFonts w:hint="eastAsia" w:ascii="宋体" w:hAnsi="宋体" w:eastAsia="宋体" w:cs="宋体"/>
                <w:b w:val="0"/>
                <w:bCs/>
                <w:color w:val="auto"/>
                <w:szCs w:val="21"/>
                <w:highlight w:val="none"/>
              </w:rPr>
              <w:t>供应商未提供或提供的内容不满足最低档次要求的不得分。</w:t>
            </w:r>
          </w:p>
        </w:tc>
      </w:tr>
      <w:tr w14:paraId="5A1B6A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1" w:hRule="atLeast"/>
          <w:jc w:val="center"/>
        </w:trPr>
        <w:tc>
          <w:tcPr>
            <w:tcW w:w="270" w:type="pct"/>
            <w:vMerge w:val="continue"/>
            <w:noWrap w:val="0"/>
            <w:vAlign w:val="center"/>
          </w:tcPr>
          <w:p w14:paraId="71B99DCF">
            <w:pPr>
              <w:spacing w:line="360" w:lineRule="auto"/>
              <w:rPr>
                <w:rFonts w:hint="eastAsia" w:ascii="宋体" w:hAnsi="宋体" w:eastAsia="宋体" w:cs="宋体"/>
                <w:b/>
                <w:color w:val="auto"/>
                <w:szCs w:val="21"/>
                <w:highlight w:val="none"/>
              </w:rPr>
            </w:pPr>
          </w:p>
        </w:tc>
        <w:tc>
          <w:tcPr>
            <w:tcW w:w="505" w:type="pct"/>
            <w:vMerge w:val="continue"/>
            <w:noWrap w:val="0"/>
            <w:vAlign w:val="center"/>
          </w:tcPr>
          <w:p w14:paraId="6C317B1C">
            <w:pPr>
              <w:spacing w:line="360" w:lineRule="auto"/>
              <w:rPr>
                <w:rFonts w:hint="eastAsia" w:ascii="宋体" w:hAnsi="宋体" w:eastAsia="宋体" w:cs="宋体"/>
                <w:b/>
                <w:color w:val="auto"/>
                <w:szCs w:val="21"/>
                <w:highlight w:val="none"/>
              </w:rPr>
            </w:pPr>
          </w:p>
        </w:tc>
        <w:tc>
          <w:tcPr>
            <w:tcW w:w="354" w:type="pct"/>
            <w:noWrap w:val="0"/>
            <w:vAlign w:val="center"/>
          </w:tcPr>
          <w:p w14:paraId="4A41875D">
            <w:pPr>
              <w:spacing w:line="360" w:lineRule="auto"/>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lang w:val="en-US" w:eastAsia="zh-CN"/>
              </w:rPr>
              <w:t>主观分</w:t>
            </w:r>
          </w:p>
        </w:tc>
        <w:tc>
          <w:tcPr>
            <w:tcW w:w="3066" w:type="pct"/>
            <w:noWrap w:val="0"/>
            <w:vAlign w:val="center"/>
          </w:tcPr>
          <w:p w14:paraId="3AB2F8F1">
            <w:pPr>
              <w:pStyle w:val="348"/>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b/>
                <w:bCs/>
                <w:color w:val="auto"/>
                <w:sz w:val="21"/>
                <w:szCs w:val="21"/>
                <w:highlight w:val="none"/>
                <w:lang w:eastAsia="zh-CN"/>
              </w:rPr>
            </w:pPr>
            <w:r>
              <w:rPr>
                <w:rFonts w:hint="eastAsia" w:ascii="宋体" w:hAnsi="宋体" w:eastAsia="宋体" w:cs="宋体"/>
                <w:b/>
                <w:bCs/>
                <w:color w:val="auto"/>
                <w:sz w:val="21"/>
                <w:szCs w:val="21"/>
                <w:highlight w:val="none"/>
                <w:lang w:val="en-US" w:eastAsia="zh-CN"/>
              </w:rPr>
              <w:t>7、</w:t>
            </w:r>
            <w:r>
              <w:rPr>
                <w:rFonts w:hint="eastAsia" w:ascii="宋体" w:hAnsi="宋体" w:eastAsia="宋体" w:cs="宋体"/>
                <w:b/>
                <w:bCs/>
                <w:color w:val="auto"/>
                <w:sz w:val="21"/>
                <w:szCs w:val="21"/>
                <w:highlight w:val="none"/>
                <w:lang w:eastAsia="zh-CN"/>
              </w:rPr>
              <w:t>确保工期的技术组织措施</w:t>
            </w:r>
            <w:r>
              <w:rPr>
                <w:rFonts w:hint="eastAsia" w:ascii="宋体" w:hAnsi="宋体" w:eastAsia="宋体" w:cs="宋体"/>
                <w:b/>
                <w:color w:val="auto"/>
                <w:sz w:val="21"/>
                <w:szCs w:val="21"/>
                <w:highlight w:val="none"/>
              </w:rPr>
              <w:t>（满分</w:t>
            </w:r>
            <w:r>
              <w:rPr>
                <w:rFonts w:hint="eastAsia" w:ascii="宋体" w:hAnsi="宋体" w:eastAsia="宋体" w:cs="宋体"/>
                <w:b/>
                <w:color w:val="auto"/>
                <w:sz w:val="21"/>
                <w:szCs w:val="21"/>
                <w:highlight w:val="none"/>
                <w:lang w:val="en-US" w:eastAsia="zh-CN"/>
              </w:rPr>
              <w:t>5</w:t>
            </w:r>
            <w:r>
              <w:rPr>
                <w:rFonts w:hint="eastAsia" w:ascii="宋体" w:hAnsi="宋体" w:eastAsia="宋体" w:cs="宋体"/>
                <w:b/>
                <w:bCs/>
                <w:color w:val="auto"/>
                <w:sz w:val="21"/>
                <w:szCs w:val="21"/>
                <w:highlight w:val="none"/>
              </w:rPr>
              <w:t>分</w:t>
            </w:r>
            <w:r>
              <w:rPr>
                <w:rFonts w:hint="eastAsia" w:ascii="宋体" w:hAnsi="宋体" w:eastAsia="宋体" w:cs="宋体"/>
                <w:b/>
                <w:bCs/>
                <w:color w:val="auto"/>
                <w:sz w:val="21"/>
                <w:szCs w:val="21"/>
                <w:highlight w:val="none"/>
                <w:lang w:eastAsia="zh-CN"/>
              </w:rPr>
              <w:t>）</w:t>
            </w:r>
          </w:p>
          <w:p w14:paraId="73BA962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highlight w:val="none"/>
              </w:rPr>
            </w:pPr>
            <w:r>
              <w:rPr>
                <w:rFonts w:hint="eastAsia" w:ascii="宋体" w:hAnsi="宋体" w:cs="宋体"/>
                <w:b/>
                <w:bCs/>
                <w:color w:val="auto"/>
                <w:highlight w:val="none"/>
                <w:lang w:val="en-US" w:eastAsia="zh-CN"/>
              </w:rPr>
              <w:t>一档</w:t>
            </w:r>
            <w:r>
              <w:rPr>
                <w:rFonts w:hint="eastAsia" w:ascii="宋体" w:hAnsi="宋体" w:eastAsia="宋体" w:cs="宋体"/>
                <w:b/>
                <w:bCs/>
                <w:color w:val="auto"/>
                <w:highlight w:val="none"/>
              </w:rPr>
              <w:t>（</w:t>
            </w:r>
            <w:r>
              <w:rPr>
                <w:rFonts w:hint="eastAsia" w:ascii="宋体" w:hAnsi="宋体" w:eastAsia="宋体" w:cs="宋体"/>
                <w:b/>
                <w:bCs/>
                <w:color w:val="auto"/>
                <w:highlight w:val="none"/>
                <w:lang w:val="en-US" w:eastAsia="zh-CN"/>
              </w:rPr>
              <w:t>5</w:t>
            </w:r>
            <w:r>
              <w:rPr>
                <w:rFonts w:hint="eastAsia" w:ascii="宋体" w:hAnsi="宋体" w:eastAsia="宋体" w:cs="宋体"/>
                <w:b/>
                <w:bCs/>
                <w:color w:val="auto"/>
                <w:highlight w:val="none"/>
              </w:rPr>
              <w:t>分）：</w:t>
            </w:r>
            <w:r>
              <w:rPr>
                <w:rFonts w:hint="eastAsia" w:ascii="宋体" w:hAnsi="宋体" w:eastAsia="宋体" w:cs="宋体"/>
                <w:b w:val="0"/>
                <w:bCs w:val="0"/>
                <w:color w:val="auto"/>
                <w:highlight w:val="none"/>
              </w:rPr>
              <w:t>有保证工期的具体措施且措施得力。各项计划图表编制详尽周密，安排科学合理，符合本项目施工实际要求。</w:t>
            </w:r>
          </w:p>
          <w:p w14:paraId="7D1AFE8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highlight w:val="none"/>
              </w:rPr>
            </w:pPr>
            <w:r>
              <w:rPr>
                <w:rFonts w:hint="eastAsia" w:ascii="宋体" w:hAnsi="宋体" w:cs="宋体"/>
                <w:b/>
                <w:bCs/>
                <w:color w:val="auto"/>
                <w:highlight w:val="none"/>
                <w:lang w:val="en-US" w:eastAsia="zh-CN"/>
              </w:rPr>
              <w:t>二档</w:t>
            </w:r>
            <w:r>
              <w:rPr>
                <w:rFonts w:hint="eastAsia" w:ascii="宋体" w:hAnsi="宋体" w:eastAsia="宋体" w:cs="宋体"/>
                <w:b/>
                <w:bCs/>
                <w:color w:val="auto"/>
                <w:highlight w:val="none"/>
              </w:rPr>
              <w:t>（</w:t>
            </w:r>
            <w:r>
              <w:rPr>
                <w:rFonts w:hint="eastAsia" w:ascii="宋体" w:hAnsi="宋体" w:eastAsia="宋体" w:cs="宋体"/>
                <w:b/>
                <w:bCs/>
                <w:color w:val="auto"/>
                <w:highlight w:val="none"/>
                <w:lang w:val="en-US" w:eastAsia="zh-CN"/>
              </w:rPr>
              <w:t>3</w:t>
            </w:r>
            <w:r>
              <w:rPr>
                <w:rFonts w:hint="eastAsia" w:ascii="宋体" w:hAnsi="宋体" w:eastAsia="宋体" w:cs="宋体"/>
                <w:b/>
                <w:bCs/>
                <w:color w:val="auto"/>
                <w:highlight w:val="none"/>
              </w:rPr>
              <w:t>分）：</w:t>
            </w:r>
            <w:r>
              <w:rPr>
                <w:rFonts w:hint="eastAsia" w:ascii="宋体" w:hAnsi="宋体" w:eastAsia="宋体" w:cs="宋体"/>
                <w:b w:val="0"/>
                <w:bCs w:val="0"/>
                <w:color w:val="auto"/>
                <w:highlight w:val="none"/>
              </w:rPr>
              <w:t>有保证工期的具体措施且措施得当。各项计划图表编制完善，安排较合理，符合本项目施工实际要求。</w:t>
            </w:r>
          </w:p>
          <w:p w14:paraId="7FC1478A">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highlight w:val="none"/>
              </w:rPr>
            </w:pPr>
            <w:r>
              <w:rPr>
                <w:rFonts w:hint="eastAsia" w:ascii="宋体" w:hAnsi="宋体" w:cs="宋体"/>
                <w:b/>
                <w:bCs/>
                <w:color w:val="auto"/>
                <w:highlight w:val="none"/>
                <w:lang w:val="en-US" w:eastAsia="zh-CN"/>
              </w:rPr>
              <w:t>三档</w:t>
            </w:r>
            <w:r>
              <w:rPr>
                <w:rFonts w:hint="eastAsia" w:ascii="宋体" w:hAnsi="宋体" w:eastAsia="宋体" w:cs="宋体"/>
                <w:b/>
                <w:bCs/>
                <w:color w:val="auto"/>
                <w:highlight w:val="none"/>
              </w:rPr>
              <w:t>（</w:t>
            </w:r>
            <w:r>
              <w:rPr>
                <w:rFonts w:hint="eastAsia" w:ascii="宋体" w:hAnsi="宋体" w:eastAsia="宋体" w:cs="宋体"/>
                <w:b/>
                <w:bCs/>
                <w:color w:val="auto"/>
                <w:highlight w:val="none"/>
                <w:lang w:val="en-US" w:eastAsia="zh-CN"/>
              </w:rPr>
              <w:t>2</w:t>
            </w:r>
            <w:r>
              <w:rPr>
                <w:rFonts w:hint="eastAsia" w:ascii="宋体" w:hAnsi="宋体" w:eastAsia="宋体" w:cs="宋体"/>
                <w:b/>
                <w:bCs/>
                <w:color w:val="auto"/>
                <w:highlight w:val="none"/>
              </w:rPr>
              <w:t>分）：</w:t>
            </w:r>
            <w:r>
              <w:rPr>
                <w:rFonts w:hint="eastAsia" w:ascii="宋体" w:hAnsi="宋体" w:eastAsia="宋体" w:cs="宋体"/>
                <w:b w:val="0"/>
                <w:bCs w:val="0"/>
                <w:color w:val="auto"/>
                <w:highlight w:val="none"/>
              </w:rPr>
              <w:t>有保证工期的具体措施，措施基本得当。各项计划图表编制基本齐全，安排基本合理，基本符合本项目施工实际要求。</w:t>
            </w:r>
          </w:p>
          <w:p w14:paraId="7BCC857B">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highlight w:val="none"/>
              </w:rPr>
            </w:pPr>
            <w:r>
              <w:rPr>
                <w:rFonts w:hint="eastAsia" w:ascii="宋体" w:hAnsi="宋体" w:cs="宋体"/>
                <w:b/>
                <w:bCs/>
                <w:color w:val="auto"/>
                <w:highlight w:val="none"/>
                <w:lang w:val="en-US" w:eastAsia="zh-CN"/>
              </w:rPr>
              <w:t>四档</w:t>
            </w:r>
            <w:r>
              <w:rPr>
                <w:rFonts w:hint="eastAsia" w:ascii="宋体" w:hAnsi="宋体" w:eastAsia="宋体" w:cs="宋体"/>
                <w:b/>
                <w:bCs/>
                <w:color w:val="auto"/>
                <w:highlight w:val="none"/>
              </w:rPr>
              <w:t>（</w:t>
            </w:r>
            <w:r>
              <w:rPr>
                <w:rFonts w:hint="eastAsia" w:ascii="宋体" w:hAnsi="宋体" w:eastAsia="宋体" w:cs="宋体"/>
                <w:b/>
                <w:bCs/>
                <w:color w:val="auto"/>
                <w:highlight w:val="none"/>
                <w:lang w:val="en-US" w:eastAsia="zh-CN"/>
              </w:rPr>
              <w:t>1</w:t>
            </w:r>
            <w:r>
              <w:rPr>
                <w:rFonts w:hint="eastAsia" w:ascii="宋体" w:hAnsi="宋体" w:eastAsia="宋体" w:cs="宋体"/>
                <w:b/>
                <w:bCs/>
                <w:color w:val="auto"/>
                <w:highlight w:val="none"/>
              </w:rPr>
              <w:t>分）：</w:t>
            </w:r>
            <w:r>
              <w:rPr>
                <w:rFonts w:hint="eastAsia" w:ascii="宋体" w:hAnsi="宋体" w:eastAsia="宋体" w:cs="宋体"/>
                <w:b w:val="0"/>
                <w:bCs w:val="0"/>
                <w:color w:val="auto"/>
                <w:highlight w:val="none"/>
              </w:rPr>
              <w:t>有保证工期的具体措施。各项计划图表编制不完善，安排不合理，不能满足本项目施工实际要求。</w:t>
            </w:r>
          </w:p>
        </w:tc>
        <w:tc>
          <w:tcPr>
            <w:tcW w:w="802" w:type="pct"/>
            <w:noWrap w:val="0"/>
            <w:vAlign w:val="center"/>
          </w:tcPr>
          <w:p w14:paraId="634F42C1">
            <w:pPr>
              <w:spacing w:line="360" w:lineRule="auto"/>
              <w:jc w:val="left"/>
              <w:rPr>
                <w:rFonts w:hint="eastAsia" w:ascii="宋体" w:hAnsi="宋体" w:eastAsia="宋体" w:cs="宋体"/>
                <w:b/>
                <w:color w:val="auto"/>
                <w:szCs w:val="21"/>
                <w:highlight w:val="none"/>
                <w:lang w:eastAsia="zh-CN"/>
              </w:rPr>
            </w:pPr>
            <w:r>
              <w:rPr>
                <w:rFonts w:hint="eastAsia" w:ascii="宋体" w:hAnsi="宋体" w:eastAsia="宋体" w:cs="宋体"/>
                <w:b w:val="0"/>
                <w:bCs/>
                <w:color w:val="auto"/>
                <w:szCs w:val="21"/>
                <w:highlight w:val="none"/>
              </w:rPr>
              <w:t>供应商未提供或提供的内容不满足最低档次要求的不得分。</w:t>
            </w:r>
          </w:p>
        </w:tc>
      </w:tr>
      <w:tr w14:paraId="125CD5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8" w:hRule="atLeast"/>
          <w:jc w:val="center"/>
        </w:trPr>
        <w:tc>
          <w:tcPr>
            <w:tcW w:w="270" w:type="pct"/>
            <w:vMerge w:val="continue"/>
            <w:noWrap w:val="0"/>
            <w:vAlign w:val="center"/>
          </w:tcPr>
          <w:p w14:paraId="787C8F6C">
            <w:pPr>
              <w:spacing w:line="360" w:lineRule="auto"/>
              <w:rPr>
                <w:rFonts w:hint="eastAsia" w:ascii="宋体" w:hAnsi="宋体" w:eastAsia="宋体" w:cs="宋体"/>
                <w:b/>
                <w:color w:val="auto"/>
                <w:szCs w:val="21"/>
                <w:highlight w:val="none"/>
              </w:rPr>
            </w:pPr>
          </w:p>
        </w:tc>
        <w:tc>
          <w:tcPr>
            <w:tcW w:w="505" w:type="pct"/>
            <w:vMerge w:val="continue"/>
            <w:noWrap w:val="0"/>
            <w:vAlign w:val="center"/>
          </w:tcPr>
          <w:p w14:paraId="4F260F5E">
            <w:pPr>
              <w:spacing w:line="360" w:lineRule="auto"/>
              <w:rPr>
                <w:rFonts w:hint="eastAsia" w:ascii="宋体" w:hAnsi="宋体" w:eastAsia="宋体" w:cs="宋体"/>
                <w:b/>
                <w:color w:val="auto"/>
                <w:szCs w:val="21"/>
                <w:highlight w:val="none"/>
              </w:rPr>
            </w:pPr>
          </w:p>
        </w:tc>
        <w:tc>
          <w:tcPr>
            <w:tcW w:w="354" w:type="pct"/>
            <w:noWrap w:val="0"/>
            <w:vAlign w:val="center"/>
          </w:tcPr>
          <w:p w14:paraId="5C9878E2">
            <w:pPr>
              <w:spacing w:line="360" w:lineRule="auto"/>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lang w:val="en-US" w:eastAsia="zh-CN"/>
              </w:rPr>
              <w:t>主观分</w:t>
            </w:r>
          </w:p>
        </w:tc>
        <w:tc>
          <w:tcPr>
            <w:tcW w:w="3066" w:type="pct"/>
            <w:noWrap w:val="0"/>
            <w:vAlign w:val="center"/>
          </w:tcPr>
          <w:p w14:paraId="60DA7579">
            <w:pPr>
              <w:spacing w:line="360" w:lineRule="auto"/>
              <w:rPr>
                <w:rFonts w:hint="eastAsia" w:ascii="宋体" w:hAnsi="宋体" w:eastAsia="宋体" w:cs="宋体"/>
                <w:b/>
                <w:bCs w:val="0"/>
                <w:color w:val="auto"/>
                <w:szCs w:val="21"/>
                <w:highlight w:val="none"/>
              </w:rPr>
            </w:pPr>
            <w:r>
              <w:rPr>
                <w:rFonts w:hint="eastAsia" w:ascii="宋体" w:hAnsi="宋体" w:eastAsia="宋体" w:cs="宋体"/>
                <w:b/>
                <w:bCs w:val="0"/>
                <w:color w:val="auto"/>
                <w:szCs w:val="21"/>
                <w:highlight w:val="none"/>
                <w:lang w:val="en-US" w:eastAsia="zh-CN"/>
              </w:rPr>
              <w:t>8、</w:t>
            </w:r>
            <w:r>
              <w:rPr>
                <w:rFonts w:hint="eastAsia" w:ascii="宋体" w:hAnsi="宋体" w:eastAsia="宋体" w:cs="宋体"/>
                <w:b/>
                <w:bCs w:val="0"/>
                <w:color w:val="auto"/>
                <w:szCs w:val="21"/>
                <w:highlight w:val="none"/>
              </w:rPr>
              <w:t>工程施工的重点和难点及保证措施（满分</w:t>
            </w:r>
            <w:r>
              <w:rPr>
                <w:rFonts w:hint="eastAsia" w:ascii="宋体" w:hAnsi="宋体" w:eastAsia="宋体" w:cs="宋体"/>
                <w:b/>
                <w:bCs w:val="0"/>
                <w:color w:val="auto"/>
                <w:szCs w:val="21"/>
                <w:highlight w:val="none"/>
                <w:lang w:val="en-US" w:eastAsia="zh-CN"/>
              </w:rPr>
              <w:t>5</w:t>
            </w:r>
            <w:r>
              <w:rPr>
                <w:rFonts w:hint="eastAsia" w:ascii="宋体" w:hAnsi="宋体" w:eastAsia="宋体" w:cs="宋体"/>
                <w:b/>
                <w:bCs w:val="0"/>
                <w:color w:val="auto"/>
                <w:szCs w:val="21"/>
                <w:highlight w:val="none"/>
              </w:rPr>
              <w:t>分）</w:t>
            </w:r>
          </w:p>
          <w:p w14:paraId="669EEB39">
            <w:pPr>
              <w:spacing w:line="360" w:lineRule="auto"/>
              <w:rPr>
                <w:rFonts w:hint="eastAsia" w:ascii="宋体" w:hAnsi="宋体" w:eastAsia="宋体" w:cs="宋体"/>
                <w:color w:val="auto"/>
                <w:highlight w:val="none"/>
              </w:rPr>
            </w:pPr>
            <w:r>
              <w:rPr>
                <w:rFonts w:hint="eastAsia" w:ascii="宋体" w:hAnsi="宋体" w:cs="宋体"/>
                <w:b/>
                <w:bCs/>
                <w:color w:val="auto"/>
                <w:highlight w:val="none"/>
                <w:lang w:val="en-US" w:eastAsia="zh-CN"/>
              </w:rPr>
              <w:t>一档</w:t>
            </w:r>
            <w:r>
              <w:rPr>
                <w:rFonts w:hint="eastAsia" w:ascii="宋体" w:hAnsi="宋体" w:eastAsia="宋体" w:cs="宋体"/>
                <w:b/>
                <w:bCs/>
                <w:color w:val="auto"/>
                <w:highlight w:val="none"/>
              </w:rPr>
              <w:t>（</w:t>
            </w:r>
            <w:r>
              <w:rPr>
                <w:rFonts w:hint="eastAsia" w:ascii="宋体" w:hAnsi="宋体" w:eastAsia="宋体" w:cs="宋体"/>
                <w:b/>
                <w:bCs/>
                <w:color w:val="auto"/>
                <w:highlight w:val="none"/>
                <w:lang w:val="en-US" w:eastAsia="zh-CN"/>
              </w:rPr>
              <w:t>5</w:t>
            </w:r>
            <w:r>
              <w:rPr>
                <w:rFonts w:hint="eastAsia" w:ascii="宋体" w:hAnsi="宋体" w:eastAsia="宋体" w:cs="宋体"/>
                <w:b/>
                <w:bCs/>
                <w:color w:val="auto"/>
                <w:highlight w:val="none"/>
              </w:rPr>
              <w:t>分）：</w:t>
            </w:r>
            <w:r>
              <w:rPr>
                <w:rFonts w:hint="eastAsia" w:ascii="宋体" w:hAnsi="宋体" w:eastAsia="宋体" w:cs="宋体"/>
                <w:color w:val="auto"/>
                <w:highlight w:val="none"/>
              </w:rPr>
              <w:t xml:space="preserve">针对本工程的特点，阐述本工程的重点和难点，解决重点和难点问题的方法科学合理，完全满足要求。 </w:t>
            </w:r>
          </w:p>
          <w:p w14:paraId="76756CE5">
            <w:pPr>
              <w:spacing w:line="360" w:lineRule="auto"/>
              <w:rPr>
                <w:rFonts w:hint="eastAsia" w:ascii="宋体" w:hAnsi="宋体" w:eastAsia="宋体" w:cs="宋体"/>
                <w:color w:val="auto"/>
                <w:highlight w:val="none"/>
              </w:rPr>
            </w:pPr>
            <w:r>
              <w:rPr>
                <w:rFonts w:hint="eastAsia" w:ascii="宋体" w:hAnsi="宋体" w:cs="宋体"/>
                <w:b/>
                <w:bCs/>
                <w:color w:val="auto"/>
                <w:highlight w:val="none"/>
                <w:lang w:val="en-US" w:eastAsia="zh-CN"/>
              </w:rPr>
              <w:t>二档</w:t>
            </w:r>
            <w:r>
              <w:rPr>
                <w:rFonts w:hint="eastAsia" w:ascii="宋体" w:hAnsi="宋体" w:eastAsia="宋体" w:cs="宋体"/>
                <w:b/>
                <w:bCs/>
                <w:color w:val="auto"/>
                <w:highlight w:val="none"/>
              </w:rPr>
              <w:t>（</w:t>
            </w:r>
            <w:r>
              <w:rPr>
                <w:rFonts w:hint="eastAsia" w:ascii="宋体" w:hAnsi="宋体" w:eastAsia="宋体" w:cs="宋体"/>
                <w:b/>
                <w:bCs/>
                <w:color w:val="auto"/>
                <w:highlight w:val="none"/>
                <w:lang w:val="en-US" w:eastAsia="zh-CN"/>
              </w:rPr>
              <w:t>3</w:t>
            </w:r>
            <w:r>
              <w:rPr>
                <w:rFonts w:hint="eastAsia" w:ascii="宋体" w:hAnsi="宋体" w:eastAsia="宋体" w:cs="宋体"/>
                <w:b/>
                <w:bCs/>
                <w:color w:val="auto"/>
                <w:highlight w:val="none"/>
              </w:rPr>
              <w:t>分）：</w:t>
            </w:r>
            <w:r>
              <w:rPr>
                <w:rFonts w:hint="eastAsia" w:ascii="宋体" w:hAnsi="宋体" w:eastAsia="宋体" w:cs="宋体"/>
                <w:color w:val="auto"/>
                <w:highlight w:val="none"/>
              </w:rPr>
              <w:t xml:space="preserve">针对本工程的特点，阐述本工程的重点和难点，解决重点和难点问题的方法合理，满足要求。 </w:t>
            </w:r>
          </w:p>
          <w:p w14:paraId="6EB31146">
            <w:pPr>
              <w:spacing w:line="360" w:lineRule="auto"/>
              <w:rPr>
                <w:rFonts w:hint="eastAsia" w:ascii="宋体" w:hAnsi="宋体" w:eastAsia="宋体" w:cs="宋体"/>
                <w:color w:val="auto"/>
                <w:highlight w:val="none"/>
              </w:rPr>
            </w:pPr>
            <w:r>
              <w:rPr>
                <w:rFonts w:hint="eastAsia" w:ascii="宋体" w:hAnsi="宋体" w:cs="宋体"/>
                <w:b/>
                <w:bCs/>
                <w:color w:val="auto"/>
                <w:highlight w:val="none"/>
                <w:lang w:val="en-US" w:eastAsia="zh-CN"/>
              </w:rPr>
              <w:t>三档</w:t>
            </w:r>
            <w:r>
              <w:rPr>
                <w:rFonts w:hint="eastAsia" w:ascii="宋体" w:hAnsi="宋体" w:eastAsia="宋体" w:cs="宋体"/>
                <w:b/>
                <w:bCs/>
                <w:color w:val="auto"/>
                <w:highlight w:val="none"/>
              </w:rPr>
              <w:t>（</w:t>
            </w:r>
            <w:r>
              <w:rPr>
                <w:rFonts w:hint="eastAsia" w:ascii="宋体" w:hAnsi="宋体" w:eastAsia="宋体" w:cs="宋体"/>
                <w:b/>
                <w:bCs/>
                <w:color w:val="auto"/>
                <w:highlight w:val="none"/>
                <w:lang w:val="en-US" w:eastAsia="zh-CN"/>
              </w:rPr>
              <w:t>2</w:t>
            </w:r>
            <w:r>
              <w:rPr>
                <w:rFonts w:hint="eastAsia" w:ascii="宋体" w:hAnsi="宋体" w:eastAsia="宋体" w:cs="宋体"/>
                <w:b/>
                <w:bCs/>
                <w:color w:val="auto"/>
                <w:highlight w:val="none"/>
              </w:rPr>
              <w:t>分）：</w:t>
            </w:r>
            <w:r>
              <w:rPr>
                <w:rFonts w:hint="eastAsia" w:ascii="宋体" w:hAnsi="宋体" w:eastAsia="宋体" w:cs="宋体"/>
                <w:color w:val="auto"/>
                <w:highlight w:val="none"/>
              </w:rPr>
              <w:t xml:space="preserve">针对本工程的特点，阐述本工程的重点和难点，解决重点和难点问题的方法基本合理，基本满足要求。 </w:t>
            </w:r>
          </w:p>
          <w:p w14:paraId="72210CAF">
            <w:pPr>
              <w:spacing w:line="360" w:lineRule="auto"/>
              <w:rPr>
                <w:rFonts w:hint="eastAsia" w:ascii="宋体" w:hAnsi="宋体" w:eastAsia="宋体" w:cs="宋体"/>
                <w:bCs/>
                <w:color w:val="auto"/>
                <w:szCs w:val="21"/>
                <w:highlight w:val="none"/>
              </w:rPr>
            </w:pPr>
            <w:r>
              <w:rPr>
                <w:rFonts w:hint="eastAsia" w:ascii="宋体" w:hAnsi="宋体" w:cs="宋体"/>
                <w:b/>
                <w:bCs/>
                <w:color w:val="auto"/>
                <w:highlight w:val="none"/>
                <w:lang w:val="en-US" w:eastAsia="zh-CN"/>
              </w:rPr>
              <w:t>四档</w:t>
            </w:r>
            <w:r>
              <w:rPr>
                <w:rFonts w:hint="eastAsia" w:ascii="宋体" w:hAnsi="宋体" w:eastAsia="宋体" w:cs="宋体"/>
                <w:b/>
                <w:bCs/>
                <w:color w:val="auto"/>
                <w:highlight w:val="none"/>
              </w:rPr>
              <w:t>（</w:t>
            </w:r>
            <w:r>
              <w:rPr>
                <w:rFonts w:hint="eastAsia" w:ascii="宋体" w:hAnsi="宋体" w:eastAsia="宋体" w:cs="宋体"/>
                <w:b/>
                <w:bCs/>
                <w:color w:val="auto"/>
                <w:highlight w:val="none"/>
                <w:lang w:val="en-US" w:eastAsia="zh-CN"/>
              </w:rPr>
              <w:t>1</w:t>
            </w:r>
            <w:r>
              <w:rPr>
                <w:rFonts w:hint="eastAsia" w:ascii="宋体" w:hAnsi="宋体" w:eastAsia="宋体" w:cs="宋体"/>
                <w:b/>
                <w:bCs/>
                <w:color w:val="auto"/>
                <w:highlight w:val="none"/>
              </w:rPr>
              <w:t>分）：</w:t>
            </w:r>
            <w:r>
              <w:rPr>
                <w:rFonts w:hint="eastAsia" w:ascii="宋体" w:hAnsi="宋体" w:eastAsia="宋体" w:cs="宋体"/>
                <w:color w:val="auto"/>
                <w:highlight w:val="none"/>
              </w:rPr>
              <w:t>针对本工程的特点，阐述本工程的重点和难点，解决重点和难点问题的方法不合理。</w:t>
            </w:r>
          </w:p>
        </w:tc>
        <w:tc>
          <w:tcPr>
            <w:tcW w:w="802" w:type="pct"/>
            <w:noWrap w:val="0"/>
            <w:vAlign w:val="center"/>
          </w:tcPr>
          <w:p w14:paraId="7B1FF747">
            <w:pPr>
              <w:spacing w:line="360" w:lineRule="auto"/>
              <w:jc w:val="left"/>
              <w:rPr>
                <w:rFonts w:hint="eastAsia" w:ascii="宋体" w:hAnsi="宋体" w:eastAsia="宋体" w:cs="宋体"/>
                <w:b/>
                <w:color w:val="auto"/>
                <w:szCs w:val="21"/>
                <w:highlight w:val="none"/>
                <w:lang w:val="en-US" w:eastAsia="zh-CN"/>
              </w:rPr>
            </w:pPr>
            <w:r>
              <w:rPr>
                <w:rFonts w:hint="eastAsia" w:ascii="宋体" w:hAnsi="宋体" w:eastAsia="宋体" w:cs="宋体"/>
                <w:b w:val="0"/>
                <w:bCs/>
                <w:color w:val="auto"/>
                <w:szCs w:val="21"/>
                <w:highlight w:val="none"/>
              </w:rPr>
              <w:t>供应商未提供或提供的内容不满足最低档次要求的不得分。</w:t>
            </w:r>
          </w:p>
        </w:tc>
      </w:tr>
      <w:tr w14:paraId="4CF10C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89" w:hRule="atLeast"/>
          <w:jc w:val="center"/>
        </w:trPr>
        <w:tc>
          <w:tcPr>
            <w:tcW w:w="270" w:type="pct"/>
            <w:vMerge w:val="restart"/>
            <w:noWrap w:val="0"/>
            <w:vAlign w:val="center"/>
          </w:tcPr>
          <w:p w14:paraId="7EC2F46D">
            <w:pPr>
              <w:spacing w:line="360" w:lineRule="auto"/>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3</w:t>
            </w:r>
          </w:p>
        </w:tc>
        <w:tc>
          <w:tcPr>
            <w:tcW w:w="505" w:type="pct"/>
            <w:vMerge w:val="restart"/>
            <w:noWrap w:val="0"/>
            <w:vAlign w:val="center"/>
          </w:tcPr>
          <w:p w14:paraId="641D509D">
            <w:pPr>
              <w:spacing w:line="360" w:lineRule="auto"/>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商务分（满分20分）</w:t>
            </w:r>
          </w:p>
        </w:tc>
        <w:tc>
          <w:tcPr>
            <w:tcW w:w="354" w:type="pct"/>
            <w:noWrap w:val="0"/>
            <w:vAlign w:val="center"/>
          </w:tcPr>
          <w:p w14:paraId="385F7BE4">
            <w:pPr>
              <w:spacing w:line="360" w:lineRule="auto"/>
              <w:jc w:val="center"/>
              <w:rPr>
                <w:rFonts w:hint="eastAsia" w:ascii="宋体" w:hAnsi="宋体" w:eastAsia="宋体" w:cs="宋体"/>
                <w:b w:val="0"/>
                <w:bCs/>
                <w:color w:val="auto"/>
                <w:szCs w:val="21"/>
                <w:highlight w:val="none"/>
              </w:rPr>
            </w:pPr>
            <w:r>
              <w:rPr>
                <w:rFonts w:hint="eastAsia" w:ascii="宋体" w:hAnsi="宋体" w:eastAsia="宋体" w:cs="宋体"/>
                <w:b/>
                <w:color w:val="auto"/>
                <w:szCs w:val="21"/>
                <w:highlight w:val="none"/>
                <w:lang w:val="en-US" w:eastAsia="zh-CN"/>
              </w:rPr>
              <w:t>客观分</w:t>
            </w:r>
          </w:p>
        </w:tc>
        <w:tc>
          <w:tcPr>
            <w:tcW w:w="3066" w:type="pct"/>
            <w:noWrap w:val="0"/>
            <w:vAlign w:val="center"/>
          </w:tcPr>
          <w:p w14:paraId="3AD62924">
            <w:pPr>
              <w:spacing w:line="360" w:lineRule="auto"/>
              <w:rPr>
                <w:rFonts w:hint="eastAsia" w:ascii="宋体" w:hAnsi="宋体" w:eastAsia="宋体" w:cs="宋体"/>
                <w:b/>
                <w:bCs w:val="0"/>
                <w:color w:val="auto"/>
                <w:szCs w:val="21"/>
                <w:highlight w:val="none"/>
              </w:rPr>
            </w:pPr>
            <w:r>
              <w:rPr>
                <w:rFonts w:hint="eastAsia" w:ascii="宋体" w:hAnsi="宋体" w:eastAsia="宋体" w:cs="宋体"/>
                <w:b/>
                <w:bCs w:val="0"/>
                <w:color w:val="auto"/>
                <w:szCs w:val="21"/>
                <w:highlight w:val="none"/>
              </w:rPr>
              <w:t>（1）项目管理人员（满分15分）</w:t>
            </w:r>
          </w:p>
          <w:p w14:paraId="5554EB4B">
            <w:pPr>
              <w:spacing w:line="360" w:lineRule="auto"/>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①拟投入的项目经理具有中级及以上工程类职称的得5分；</w:t>
            </w:r>
          </w:p>
          <w:p w14:paraId="5966707B">
            <w:pPr>
              <w:spacing w:line="360" w:lineRule="auto"/>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②拟投入本项目的技术负责人具有工程类中级及以上职称得5分；</w:t>
            </w:r>
          </w:p>
          <w:p w14:paraId="099009CA">
            <w:pPr>
              <w:spacing w:line="360" w:lineRule="auto"/>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③施工员、</w:t>
            </w:r>
            <w:r>
              <w:rPr>
                <w:rFonts w:hint="eastAsia" w:ascii="宋体" w:hAnsi="宋体" w:cs="宋体"/>
                <w:bCs/>
                <w:color w:val="auto"/>
                <w:szCs w:val="21"/>
                <w:highlight w:val="none"/>
                <w:lang w:eastAsia="zh-CN"/>
              </w:rPr>
              <w:t>质量员</w:t>
            </w:r>
            <w:r>
              <w:rPr>
                <w:rFonts w:hint="eastAsia" w:ascii="宋体" w:hAnsi="宋体" w:eastAsia="宋体" w:cs="宋体"/>
                <w:bCs/>
                <w:color w:val="auto"/>
                <w:szCs w:val="21"/>
                <w:highlight w:val="none"/>
              </w:rPr>
              <w:t>、材料员均具有相应岗位资格证书的，得5分。</w:t>
            </w:r>
          </w:p>
          <w:p w14:paraId="5F0580EC">
            <w:pPr>
              <w:spacing w:line="360" w:lineRule="auto"/>
              <w:rPr>
                <w:rFonts w:hint="eastAsia" w:ascii="宋体" w:hAnsi="宋体" w:eastAsia="宋体" w:cs="宋体"/>
                <w:bCs/>
                <w:color w:val="auto"/>
                <w:szCs w:val="21"/>
                <w:highlight w:val="none"/>
              </w:rPr>
            </w:pPr>
            <w:r>
              <w:rPr>
                <w:rFonts w:hint="eastAsia" w:ascii="宋体" w:hAnsi="宋体" w:eastAsia="宋体" w:cs="宋体"/>
                <w:color w:val="auto"/>
                <w:sz w:val="21"/>
                <w:szCs w:val="24"/>
                <w:highlight w:val="none"/>
              </w:rPr>
              <w:t>（</w:t>
            </w:r>
            <w:r>
              <w:rPr>
                <w:rFonts w:hint="eastAsia" w:ascii="宋体" w:hAnsi="宋体" w:eastAsia="宋体" w:cs="宋体"/>
                <w:color w:val="auto"/>
                <w:sz w:val="21"/>
                <w:szCs w:val="24"/>
                <w:highlight w:val="none"/>
                <w:lang w:val="en-US" w:eastAsia="zh-CN"/>
              </w:rPr>
              <w:t>证明材料</w:t>
            </w:r>
            <w:r>
              <w:rPr>
                <w:rFonts w:hint="eastAsia" w:ascii="宋体" w:hAnsi="宋体" w:cs="宋体"/>
                <w:color w:val="auto"/>
                <w:sz w:val="21"/>
                <w:szCs w:val="24"/>
                <w:highlight w:val="none"/>
                <w:lang w:eastAsia="zh-CN"/>
              </w:rPr>
              <w:t>：相关人员证书复印件并加盖供应商公章</w:t>
            </w:r>
            <w:r>
              <w:rPr>
                <w:rFonts w:hint="eastAsia" w:ascii="宋体" w:hAnsi="宋体" w:eastAsia="宋体" w:cs="宋体"/>
                <w:color w:val="auto"/>
                <w:sz w:val="21"/>
                <w:szCs w:val="24"/>
                <w:highlight w:val="none"/>
              </w:rPr>
              <w:t>。）</w:t>
            </w:r>
          </w:p>
        </w:tc>
        <w:tc>
          <w:tcPr>
            <w:tcW w:w="802" w:type="pct"/>
            <w:noWrap w:val="0"/>
            <w:vAlign w:val="center"/>
          </w:tcPr>
          <w:p w14:paraId="70BE6728">
            <w:pPr>
              <w:spacing w:line="360" w:lineRule="auto"/>
              <w:jc w:val="left"/>
              <w:rPr>
                <w:rFonts w:hint="eastAsia" w:ascii="宋体" w:hAnsi="宋体" w:eastAsia="宋体" w:cs="宋体"/>
                <w:b/>
                <w:color w:val="auto"/>
                <w:szCs w:val="21"/>
                <w:highlight w:val="none"/>
                <w:lang w:val="en-US" w:eastAsia="zh-CN"/>
              </w:rPr>
            </w:pPr>
            <w:r>
              <w:rPr>
                <w:rFonts w:hint="eastAsia" w:ascii="宋体" w:hAnsi="宋体" w:eastAsia="宋体" w:cs="宋体"/>
                <w:bCs/>
                <w:color w:val="auto"/>
                <w:szCs w:val="21"/>
                <w:highlight w:val="none"/>
                <w:lang w:val="en-US" w:eastAsia="zh-CN"/>
              </w:rPr>
              <w:t>必须提供证明材料。</w:t>
            </w:r>
          </w:p>
        </w:tc>
      </w:tr>
      <w:tr w14:paraId="56108C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70" w:type="pct"/>
            <w:vMerge w:val="continue"/>
            <w:noWrap w:val="0"/>
            <w:vAlign w:val="center"/>
          </w:tcPr>
          <w:p w14:paraId="726CDA44">
            <w:pPr>
              <w:spacing w:line="360" w:lineRule="auto"/>
              <w:jc w:val="center"/>
              <w:rPr>
                <w:rFonts w:hint="eastAsia" w:ascii="宋体" w:hAnsi="宋体" w:eastAsia="宋体" w:cs="宋体"/>
                <w:b/>
                <w:color w:val="auto"/>
                <w:szCs w:val="21"/>
                <w:highlight w:val="none"/>
              </w:rPr>
            </w:pPr>
          </w:p>
        </w:tc>
        <w:tc>
          <w:tcPr>
            <w:tcW w:w="505" w:type="pct"/>
            <w:vMerge w:val="continue"/>
            <w:noWrap w:val="0"/>
            <w:vAlign w:val="center"/>
          </w:tcPr>
          <w:p w14:paraId="52A8B044">
            <w:pPr>
              <w:spacing w:line="360" w:lineRule="auto"/>
              <w:jc w:val="center"/>
              <w:rPr>
                <w:rFonts w:hint="eastAsia" w:ascii="宋体" w:hAnsi="宋体" w:eastAsia="宋体" w:cs="宋体"/>
                <w:b/>
                <w:color w:val="auto"/>
                <w:szCs w:val="21"/>
                <w:highlight w:val="none"/>
              </w:rPr>
            </w:pPr>
          </w:p>
        </w:tc>
        <w:tc>
          <w:tcPr>
            <w:tcW w:w="354" w:type="pct"/>
            <w:noWrap w:val="0"/>
            <w:vAlign w:val="center"/>
          </w:tcPr>
          <w:p w14:paraId="417596F1">
            <w:pPr>
              <w:spacing w:line="360" w:lineRule="auto"/>
              <w:jc w:val="center"/>
              <w:rPr>
                <w:rFonts w:hint="eastAsia" w:ascii="宋体" w:hAnsi="宋体" w:eastAsia="宋体" w:cs="宋体"/>
                <w:b/>
                <w:color w:val="auto"/>
                <w:szCs w:val="21"/>
                <w:highlight w:val="none"/>
                <w:lang w:val="en-US" w:eastAsia="zh-CN"/>
              </w:rPr>
            </w:pPr>
            <w:r>
              <w:rPr>
                <w:rFonts w:hint="eastAsia" w:ascii="宋体" w:hAnsi="宋体" w:eastAsia="宋体" w:cs="宋体"/>
                <w:b/>
                <w:color w:val="auto"/>
                <w:szCs w:val="21"/>
                <w:highlight w:val="none"/>
                <w:lang w:val="en-US" w:eastAsia="zh-CN"/>
              </w:rPr>
              <w:t>客观分</w:t>
            </w:r>
          </w:p>
        </w:tc>
        <w:tc>
          <w:tcPr>
            <w:tcW w:w="3066" w:type="pct"/>
            <w:noWrap w:val="0"/>
            <w:vAlign w:val="center"/>
          </w:tcPr>
          <w:p w14:paraId="0B391E35">
            <w:pPr>
              <w:keepNext w:val="0"/>
              <w:keepLines w:val="0"/>
              <w:pageBreakBefore w:val="0"/>
              <w:widowControl w:val="0"/>
              <w:shd w:val="clear" w:color="auto" w:fill="FFFFFF"/>
              <w:kinsoku/>
              <w:wordWrap/>
              <w:overflowPunct/>
              <w:topLinePunct w:val="0"/>
              <w:autoSpaceDE/>
              <w:autoSpaceDN/>
              <w:bidi w:val="0"/>
              <w:adjustRightInd/>
              <w:snapToGrid/>
              <w:spacing w:line="360" w:lineRule="auto"/>
              <w:textAlignment w:val="auto"/>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w:t>
            </w:r>
            <w:r>
              <w:rPr>
                <w:rFonts w:hint="eastAsia" w:ascii="宋体" w:hAnsi="宋体" w:eastAsia="宋体" w:cs="宋体"/>
                <w:b/>
                <w:bCs/>
                <w:color w:val="auto"/>
                <w:szCs w:val="21"/>
                <w:highlight w:val="none"/>
                <w:lang w:val="en-US" w:eastAsia="zh-CN"/>
              </w:rPr>
              <w:t>2</w:t>
            </w:r>
            <w:r>
              <w:rPr>
                <w:rFonts w:hint="eastAsia" w:ascii="宋体" w:hAnsi="宋体" w:eastAsia="宋体" w:cs="宋体"/>
                <w:b/>
                <w:bCs/>
                <w:color w:val="auto"/>
                <w:szCs w:val="21"/>
                <w:highlight w:val="none"/>
              </w:rPr>
              <w:t>）业绩分（满分5分）</w:t>
            </w:r>
          </w:p>
          <w:p w14:paraId="51CC4596">
            <w:pPr>
              <w:pStyle w:val="348"/>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b/>
                <w:bCs/>
                <w:color w:val="auto"/>
                <w:sz w:val="21"/>
                <w:szCs w:val="24"/>
                <w:highlight w:val="none"/>
              </w:rPr>
            </w:pPr>
            <w:r>
              <w:rPr>
                <w:rFonts w:hint="eastAsia" w:ascii="宋体" w:hAnsi="宋体" w:eastAsia="宋体" w:cs="宋体"/>
                <w:color w:val="auto"/>
                <w:sz w:val="21"/>
                <w:szCs w:val="24"/>
                <w:highlight w:val="none"/>
              </w:rPr>
              <w:t>202</w:t>
            </w:r>
            <w:r>
              <w:rPr>
                <w:rFonts w:hint="eastAsia" w:ascii="宋体" w:hAnsi="宋体" w:eastAsia="宋体" w:cs="宋体"/>
                <w:color w:val="auto"/>
                <w:sz w:val="21"/>
                <w:szCs w:val="24"/>
                <w:highlight w:val="none"/>
                <w:lang w:val="en-US" w:eastAsia="zh-CN"/>
              </w:rPr>
              <w:t>3</w:t>
            </w:r>
            <w:r>
              <w:rPr>
                <w:rFonts w:hint="eastAsia" w:ascii="宋体" w:hAnsi="宋体" w:eastAsia="宋体" w:cs="宋体"/>
                <w:color w:val="auto"/>
                <w:sz w:val="21"/>
                <w:szCs w:val="24"/>
                <w:highlight w:val="none"/>
              </w:rPr>
              <w:t>年</w:t>
            </w:r>
            <w:r>
              <w:rPr>
                <w:rFonts w:hint="eastAsia" w:ascii="宋体" w:hAnsi="宋体" w:eastAsia="宋体" w:cs="宋体"/>
                <w:color w:val="auto"/>
                <w:sz w:val="21"/>
                <w:szCs w:val="24"/>
                <w:highlight w:val="none"/>
                <w:lang w:val="en-US" w:eastAsia="zh-CN"/>
              </w:rPr>
              <w:t>1月</w:t>
            </w:r>
            <w:r>
              <w:rPr>
                <w:rFonts w:hint="eastAsia" w:ascii="宋体" w:hAnsi="宋体" w:eastAsia="宋体" w:cs="宋体"/>
                <w:color w:val="auto"/>
                <w:sz w:val="21"/>
                <w:szCs w:val="24"/>
                <w:highlight w:val="none"/>
              </w:rPr>
              <w:t>以来</w:t>
            </w:r>
            <w:r>
              <w:rPr>
                <w:rFonts w:hint="eastAsia" w:ascii="宋体" w:hAnsi="宋体" w:eastAsia="宋体" w:cs="宋体"/>
                <w:color w:val="auto"/>
                <w:sz w:val="21"/>
                <w:szCs w:val="21"/>
                <w:highlight w:val="none"/>
              </w:rPr>
              <w:t>承接过</w:t>
            </w:r>
            <w:r>
              <w:rPr>
                <w:rFonts w:hint="eastAsia" w:cs="宋体"/>
                <w:color w:val="auto"/>
                <w:sz w:val="21"/>
                <w:szCs w:val="21"/>
                <w:highlight w:val="none"/>
                <w:lang w:val="en-US" w:eastAsia="zh-CN"/>
              </w:rPr>
              <w:t>水利水电或</w:t>
            </w:r>
            <w:r>
              <w:rPr>
                <w:rFonts w:hint="eastAsia" w:ascii="宋体" w:hAnsi="宋体" w:cs="宋体"/>
                <w:color w:val="auto"/>
                <w:sz w:val="21"/>
                <w:highlight w:val="none"/>
                <w:u w:val="none"/>
                <w:lang w:eastAsia="zh-CN"/>
              </w:rPr>
              <w:t>市政公用工程</w:t>
            </w:r>
            <w:r>
              <w:rPr>
                <w:rFonts w:hint="eastAsia" w:ascii="宋体" w:hAnsi="宋体" w:eastAsia="宋体" w:cs="宋体"/>
                <w:color w:val="auto"/>
                <w:sz w:val="21"/>
                <w:szCs w:val="21"/>
                <w:highlight w:val="none"/>
              </w:rPr>
              <w:t>项</w:t>
            </w:r>
            <w:r>
              <w:rPr>
                <w:rFonts w:hint="eastAsia" w:ascii="宋体" w:hAnsi="宋体" w:eastAsia="宋体" w:cs="宋体"/>
                <w:color w:val="auto"/>
                <w:sz w:val="21"/>
                <w:szCs w:val="24"/>
                <w:highlight w:val="none"/>
              </w:rPr>
              <w:t>目的</w:t>
            </w:r>
            <w:r>
              <w:rPr>
                <w:rFonts w:hint="eastAsia" w:ascii="宋体" w:hAnsi="宋体" w:eastAsia="宋体" w:cs="宋体"/>
                <w:color w:val="auto"/>
                <w:sz w:val="21"/>
                <w:szCs w:val="24"/>
                <w:highlight w:val="none"/>
                <w:lang w:val="en-US" w:eastAsia="zh-CN"/>
              </w:rPr>
              <w:t>业绩</w:t>
            </w:r>
            <w:r>
              <w:rPr>
                <w:rFonts w:hint="eastAsia" w:ascii="宋体" w:hAnsi="宋体" w:eastAsia="宋体" w:cs="宋体"/>
                <w:color w:val="auto"/>
                <w:sz w:val="21"/>
                <w:szCs w:val="24"/>
                <w:highlight w:val="none"/>
              </w:rPr>
              <w:t>，每个得</w:t>
            </w:r>
            <w:r>
              <w:rPr>
                <w:rFonts w:hint="eastAsia" w:ascii="宋体" w:hAnsi="宋体" w:eastAsia="宋体" w:cs="宋体"/>
                <w:color w:val="auto"/>
                <w:sz w:val="21"/>
                <w:szCs w:val="24"/>
                <w:highlight w:val="none"/>
                <w:lang w:val="en-US" w:eastAsia="zh-CN"/>
              </w:rPr>
              <w:t>2.5</w:t>
            </w:r>
            <w:r>
              <w:rPr>
                <w:rFonts w:hint="eastAsia" w:ascii="宋体" w:hAnsi="宋体" w:eastAsia="宋体" w:cs="宋体"/>
                <w:color w:val="auto"/>
                <w:sz w:val="21"/>
                <w:szCs w:val="24"/>
                <w:highlight w:val="none"/>
              </w:rPr>
              <w:t>分，满分5分。（</w:t>
            </w:r>
            <w:r>
              <w:rPr>
                <w:rFonts w:hint="eastAsia" w:ascii="宋体" w:hAnsi="宋体" w:eastAsia="宋体" w:cs="宋体"/>
                <w:color w:val="auto"/>
                <w:sz w:val="21"/>
                <w:szCs w:val="24"/>
                <w:highlight w:val="none"/>
                <w:lang w:val="en-US" w:eastAsia="zh-CN"/>
              </w:rPr>
              <w:t>证明材料</w:t>
            </w:r>
            <w:r>
              <w:rPr>
                <w:rFonts w:hint="eastAsia" w:ascii="宋体" w:hAnsi="宋体" w:eastAsia="宋体" w:cs="宋体"/>
                <w:color w:val="auto"/>
                <w:sz w:val="21"/>
                <w:szCs w:val="24"/>
                <w:highlight w:val="none"/>
              </w:rPr>
              <w:t>以供应商提供中标（成交）通知书或合同等复印件为准，否则不得分。）</w:t>
            </w:r>
          </w:p>
        </w:tc>
        <w:tc>
          <w:tcPr>
            <w:tcW w:w="802" w:type="pct"/>
            <w:noWrap w:val="0"/>
            <w:vAlign w:val="center"/>
          </w:tcPr>
          <w:p w14:paraId="4994CD2D">
            <w:pPr>
              <w:spacing w:line="360" w:lineRule="auto"/>
              <w:jc w:val="left"/>
              <w:rPr>
                <w:rFonts w:hint="eastAsia" w:ascii="宋体" w:hAnsi="宋体" w:eastAsia="宋体" w:cs="宋体"/>
                <w:bCs/>
                <w:color w:val="auto"/>
                <w:szCs w:val="21"/>
                <w:highlight w:val="none"/>
                <w:lang w:val="en-US" w:eastAsia="zh-CN"/>
              </w:rPr>
            </w:pPr>
            <w:r>
              <w:rPr>
                <w:rFonts w:hint="eastAsia" w:ascii="宋体" w:hAnsi="宋体" w:eastAsia="宋体" w:cs="宋体"/>
                <w:bCs/>
                <w:color w:val="auto"/>
                <w:szCs w:val="21"/>
                <w:highlight w:val="none"/>
                <w:lang w:val="en-US" w:eastAsia="zh-CN"/>
              </w:rPr>
              <w:t>必须提供证明材料。</w:t>
            </w:r>
          </w:p>
        </w:tc>
      </w:tr>
      <w:bookmarkEnd w:id="75"/>
    </w:tbl>
    <w:p w14:paraId="04BD64F6">
      <w:pPr>
        <w:rPr>
          <w:rFonts w:hint="eastAsia" w:ascii="宋体" w:hAnsi="宋体" w:eastAsia="宋体" w:cs="宋体"/>
          <w:color w:val="auto"/>
          <w:kern w:val="2"/>
          <w:sz w:val="21"/>
          <w:szCs w:val="24"/>
          <w:highlight w:val="none"/>
          <w:lang w:val="en-US" w:eastAsia="zh-CN" w:bidi="ar-SA"/>
        </w:rPr>
      </w:pPr>
      <w:r>
        <w:rPr>
          <w:rFonts w:hint="eastAsia" w:ascii="宋体" w:hAnsi="宋体" w:eastAsia="宋体" w:cs="宋体"/>
          <w:color w:val="auto"/>
          <w:kern w:val="2"/>
          <w:sz w:val="21"/>
          <w:szCs w:val="24"/>
          <w:highlight w:val="none"/>
          <w:lang w:val="en-US" w:eastAsia="zh-CN" w:bidi="ar-SA"/>
        </w:rPr>
        <w:br w:type="page"/>
      </w:r>
    </w:p>
    <w:p w14:paraId="791373C3">
      <w:pPr>
        <w:pStyle w:val="28"/>
        <w:spacing w:line="360" w:lineRule="auto"/>
        <w:ind w:firstLine="420" w:firstLineChars="200"/>
        <w:rPr>
          <w:rFonts w:hint="eastAsia" w:ascii="宋体" w:hAnsi="宋体" w:eastAsia="宋体" w:cs="宋体"/>
          <w:color w:val="auto"/>
          <w:kern w:val="2"/>
          <w:sz w:val="21"/>
          <w:szCs w:val="24"/>
          <w:highlight w:val="none"/>
          <w:lang w:val="en-US" w:eastAsia="zh-CN" w:bidi="ar-SA"/>
        </w:rPr>
      </w:pPr>
      <w:r>
        <w:rPr>
          <w:rFonts w:hint="eastAsia" w:ascii="宋体" w:hAnsi="宋体" w:eastAsia="宋体" w:cs="宋体"/>
          <w:color w:val="auto"/>
          <w:kern w:val="2"/>
          <w:sz w:val="21"/>
          <w:szCs w:val="24"/>
          <w:highlight w:val="none"/>
          <w:lang w:val="en-US" w:eastAsia="zh-CN" w:bidi="ar-SA"/>
        </w:rPr>
        <w:t>（2）商务技术评审因素为客观评分项的，应在评分项目或评分标准中予以标注为“客观分”。对供应商的客观评分项目，各评审专家评分应当一致。</w:t>
      </w:r>
    </w:p>
    <w:p w14:paraId="49231FA0">
      <w:pPr>
        <w:spacing w:line="360" w:lineRule="auto"/>
        <w:ind w:firstLine="420" w:firstLineChars="200"/>
        <w:rPr>
          <w:rFonts w:hint="eastAsia" w:ascii="宋体" w:hAnsi="宋体" w:eastAsia="宋体" w:cs="宋体"/>
          <w:color w:val="auto"/>
          <w:kern w:val="2"/>
          <w:sz w:val="21"/>
          <w:szCs w:val="24"/>
          <w:highlight w:val="none"/>
          <w:lang w:val="en-US" w:eastAsia="zh-CN" w:bidi="ar-SA"/>
        </w:rPr>
      </w:pPr>
      <w:r>
        <w:rPr>
          <w:rFonts w:hint="eastAsia" w:ascii="宋体" w:hAnsi="宋体" w:eastAsia="宋体" w:cs="宋体"/>
          <w:color w:val="auto"/>
          <w:kern w:val="2"/>
          <w:sz w:val="21"/>
          <w:szCs w:val="24"/>
          <w:highlight w:val="none"/>
          <w:lang w:val="en-US" w:eastAsia="zh-CN" w:bidi="ar-SA"/>
        </w:rPr>
        <w:t>（3）终止竞争性磋商采购活动</w:t>
      </w:r>
    </w:p>
    <w:p w14:paraId="796B9C58">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磋商小组发现竞争性磋商文件存在歧义、重大缺陷导致评审工作无法进行，或者竞争性磋商文件内容违反国家有关规定的，要停止评审工作并向采购人或采购代理机构书面说明情况，采购人或采购代理机构应当修改竞争性磋商文件后重新组织采购活动；发现供应商提供虚假材料、串通等违法违规行为的，要及时向采购人或采购代理机构报告。</w:t>
      </w:r>
    </w:p>
    <w:p w14:paraId="09365DF0">
      <w:pPr>
        <w:ind w:firstLine="315" w:firstLineChars="150"/>
        <w:rPr>
          <w:rFonts w:hint="eastAsia" w:ascii="宋体" w:hAnsi="宋体" w:cs="宋体"/>
          <w:color w:val="auto"/>
          <w:highlight w:val="none"/>
          <w:lang w:val="zh-CN"/>
        </w:rPr>
      </w:pPr>
    </w:p>
    <w:bookmarkEnd w:id="0"/>
    <w:bookmarkEnd w:id="1"/>
    <w:p w14:paraId="15EE91D5">
      <w:pPr>
        <w:rPr>
          <w:rFonts w:hint="eastAsia" w:hAnsi="宋体" w:cs="宋体"/>
          <w:color w:val="auto"/>
          <w:sz w:val="32"/>
          <w:szCs w:val="32"/>
          <w:highlight w:val="none"/>
        </w:rPr>
      </w:pPr>
      <w:bookmarkStart w:id="76" w:name="_Hlk89190624"/>
      <w:r>
        <w:rPr>
          <w:rFonts w:hint="eastAsia" w:hAnsi="宋体" w:cs="宋体"/>
          <w:color w:val="auto"/>
          <w:sz w:val="32"/>
          <w:szCs w:val="32"/>
          <w:highlight w:val="none"/>
        </w:rPr>
        <w:br w:type="page"/>
      </w:r>
    </w:p>
    <w:p w14:paraId="088DCC05">
      <w:pPr>
        <w:pStyle w:val="28"/>
        <w:snapToGrid w:val="0"/>
        <w:spacing w:before="120" w:after="120" w:line="320" w:lineRule="exact"/>
        <w:jc w:val="center"/>
        <w:outlineLvl w:val="0"/>
        <w:rPr>
          <w:rFonts w:hint="eastAsia" w:hAnsi="宋体" w:cs="宋体"/>
          <w:color w:val="auto"/>
          <w:sz w:val="32"/>
          <w:szCs w:val="32"/>
          <w:highlight w:val="none"/>
        </w:rPr>
      </w:pPr>
      <w:bookmarkStart w:id="77" w:name="_Toc26446"/>
      <w:r>
        <w:rPr>
          <w:rFonts w:hint="eastAsia" w:hAnsi="宋体" w:cs="宋体"/>
          <w:color w:val="auto"/>
          <w:sz w:val="32"/>
          <w:szCs w:val="32"/>
          <w:highlight w:val="none"/>
        </w:rPr>
        <w:t>第五章  合同主要条款格式</w:t>
      </w:r>
      <w:bookmarkEnd w:id="77"/>
    </w:p>
    <w:p w14:paraId="7F28268B">
      <w:pPr>
        <w:pStyle w:val="3"/>
        <w:spacing w:before="0" w:after="0" w:line="360" w:lineRule="auto"/>
        <w:ind w:firstLine="420" w:firstLineChars="200"/>
        <w:jc w:val="left"/>
        <w:rPr>
          <w:rFonts w:hint="eastAsia" w:ascii="宋体" w:hAnsi="宋体" w:eastAsia="宋体" w:cs="宋体"/>
          <w:b w:val="0"/>
          <w:color w:val="auto"/>
          <w:sz w:val="21"/>
          <w:szCs w:val="21"/>
          <w:highlight w:val="none"/>
        </w:rPr>
      </w:pPr>
      <w:bookmarkStart w:id="78" w:name="_Toc373478199"/>
      <w:bookmarkStart w:id="79" w:name="_Toc296890982"/>
      <w:bookmarkStart w:id="80" w:name="_Toc373227552"/>
      <w:bookmarkStart w:id="81" w:name="_Toc78449777"/>
      <w:bookmarkStart w:id="82" w:name="_Toc296503025"/>
      <w:bookmarkStart w:id="83" w:name="_Toc407135191"/>
      <w:bookmarkStart w:id="84" w:name="_Toc724920571"/>
      <w:bookmarkStart w:id="85" w:name="_Toc1756478213"/>
      <w:bookmarkStart w:id="86" w:name="_Toc389065255"/>
      <w:bookmarkStart w:id="87" w:name="_Toc351203480"/>
      <w:r>
        <w:rPr>
          <w:rFonts w:hint="eastAsia" w:ascii="宋体" w:hAnsi="宋体" w:eastAsia="宋体" w:cs="宋体"/>
          <w:b w:val="0"/>
          <w:color w:val="auto"/>
          <w:sz w:val="21"/>
          <w:szCs w:val="21"/>
          <w:highlight w:val="none"/>
        </w:rPr>
        <w:t>（注:本合同样本仅供参考，具体内容由采购人和成交供应商协商确定，但补充和修改不得造成与本章格式内容有实质性的违背。）</w:t>
      </w:r>
    </w:p>
    <w:bookmarkEnd w:id="76"/>
    <w:bookmarkEnd w:id="78"/>
    <w:bookmarkEnd w:id="79"/>
    <w:bookmarkEnd w:id="80"/>
    <w:bookmarkEnd w:id="81"/>
    <w:bookmarkEnd w:id="82"/>
    <w:bookmarkEnd w:id="83"/>
    <w:bookmarkEnd w:id="84"/>
    <w:bookmarkEnd w:id="85"/>
    <w:bookmarkEnd w:id="86"/>
    <w:bookmarkEnd w:id="87"/>
    <w:p w14:paraId="7956A32D">
      <w:pPr>
        <w:spacing w:line="360" w:lineRule="auto"/>
        <w:rPr>
          <w:rFonts w:hint="eastAsia" w:ascii="宋体" w:hAnsi="宋体" w:cs="宋体"/>
          <w:color w:val="auto"/>
          <w:highlight w:val="none"/>
        </w:rPr>
      </w:pPr>
    </w:p>
    <w:p w14:paraId="51DE2015">
      <w:pPr>
        <w:snapToGrid w:val="0"/>
        <w:jc w:val="center"/>
        <w:rPr>
          <w:rFonts w:hint="eastAsia" w:ascii="宋体" w:hAnsi="宋体" w:eastAsia="宋体" w:cs="宋体"/>
          <w:b/>
          <w:bCs/>
          <w:color w:val="auto"/>
          <w:sz w:val="44"/>
          <w:szCs w:val="44"/>
          <w:highlight w:val="none"/>
        </w:rPr>
      </w:pPr>
      <w:r>
        <w:rPr>
          <w:rFonts w:hint="eastAsia" w:ascii="宋体" w:hAnsi="宋体" w:eastAsia="宋体" w:cs="宋体"/>
          <w:b/>
          <w:bCs/>
          <w:color w:val="auto"/>
          <w:sz w:val="44"/>
          <w:szCs w:val="44"/>
          <w:highlight w:val="none"/>
        </w:rPr>
        <w:t>建设工程施工合同</w:t>
      </w:r>
    </w:p>
    <w:p w14:paraId="08842A82">
      <w:pPr>
        <w:snapToGrid w:val="0"/>
        <w:rPr>
          <w:rFonts w:hint="eastAsia" w:ascii="宋体" w:hAnsi="宋体" w:eastAsia="宋体" w:cs="宋体"/>
          <w:b w:val="0"/>
          <w:bCs w:val="0"/>
          <w:color w:val="auto"/>
          <w:sz w:val="32"/>
          <w:szCs w:val="32"/>
          <w:highlight w:val="none"/>
        </w:rPr>
      </w:pPr>
    </w:p>
    <w:p w14:paraId="0E13D743">
      <w:pPr>
        <w:snapToGrid w:val="0"/>
        <w:spacing w:before="312" w:beforeLines="100"/>
        <w:jc w:val="center"/>
        <w:rPr>
          <w:rFonts w:hint="eastAsia" w:ascii="宋体" w:hAnsi="宋体" w:eastAsia="宋体" w:cs="宋体"/>
          <w:b w:val="0"/>
          <w:bCs w:val="0"/>
          <w:color w:val="auto"/>
          <w:sz w:val="32"/>
          <w:szCs w:val="32"/>
          <w:highlight w:val="none"/>
          <w:u w:val="single"/>
        </w:rPr>
      </w:pPr>
      <w:r>
        <w:rPr>
          <w:rFonts w:hint="eastAsia" w:ascii="宋体" w:hAnsi="宋体" w:eastAsia="宋体" w:cs="宋体"/>
          <w:b w:val="0"/>
          <w:bCs w:val="0"/>
          <w:color w:val="auto"/>
          <w:sz w:val="32"/>
          <w:szCs w:val="32"/>
          <w:highlight w:val="none"/>
        </w:rPr>
        <w:t xml:space="preserve">     </w:t>
      </w:r>
      <w:r>
        <w:rPr>
          <w:rFonts w:hint="eastAsia" w:ascii="宋体" w:hAnsi="宋体" w:eastAsia="宋体" w:cs="宋体"/>
          <w:b w:val="0"/>
          <w:bCs w:val="0"/>
          <w:color w:val="auto"/>
          <w:sz w:val="32"/>
          <w:szCs w:val="32"/>
          <w:highlight w:val="none"/>
          <w:lang w:val="en-US" w:eastAsia="zh-CN"/>
        </w:rPr>
        <w:t xml:space="preserve">          </w:t>
      </w:r>
      <w:r>
        <w:rPr>
          <w:rFonts w:hint="eastAsia" w:ascii="宋体" w:hAnsi="宋体" w:eastAsia="宋体" w:cs="宋体"/>
          <w:b w:val="0"/>
          <w:bCs w:val="0"/>
          <w:color w:val="auto"/>
          <w:sz w:val="32"/>
          <w:szCs w:val="32"/>
          <w:highlight w:val="none"/>
        </w:rPr>
        <w:t>合同编号：</w:t>
      </w:r>
    </w:p>
    <w:p w14:paraId="1C0BC399">
      <w:pPr>
        <w:snapToGrid w:val="0"/>
        <w:ind w:firstLine="623"/>
        <w:rPr>
          <w:rFonts w:hint="eastAsia" w:ascii="宋体" w:hAnsi="宋体" w:eastAsia="宋体" w:cs="宋体"/>
          <w:b w:val="0"/>
          <w:bCs w:val="0"/>
          <w:color w:val="auto"/>
          <w:sz w:val="32"/>
          <w:szCs w:val="32"/>
          <w:highlight w:val="none"/>
        </w:rPr>
      </w:pPr>
      <w:r>
        <w:rPr>
          <w:rFonts w:hint="eastAsia" w:ascii="宋体" w:hAnsi="宋体" w:eastAsia="宋体" w:cs="宋体"/>
          <w:b w:val="0"/>
          <w:bCs w:val="0"/>
          <w:color w:val="auto"/>
          <w:sz w:val="32"/>
          <w:szCs w:val="32"/>
          <w:highlight w:val="none"/>
        </w:rPr>
        <w:t>　　</w:t>
      </w:r>
    </w:p>
    <w:p w14:paraId="64B71B10">
      <w:pPr>
        <w:snapToGrid w:val="0"/>
        <w:ind w:firstLine="623"/>
        <w:rPr>
          <w:rFonts w:hint="eastAsia" w:ascii="宋体" w:hAnsi="宋体" w:eastAsia="宋体" w:cs="宋体"/>
          <w:b w:val="0"/>
          <w:bCs w:val="0"/>
          <w:color w:val="auto"/>
          <w:sz w:val="32"/>
          <w:szCs w:val="32"/>
          <w:highlight w:val="none"/>
        </w:rPr>
      </w:pPr>
    </w:p>
    <w:p w14:paraId="008EEC18">
      <w:pPr>
        <w:snapToGrid w:val="0"/>
        <w:ind w:firstLine="623"/>
        <w:rPr>
          <w:rFonts w:hint="eastAsia" w:ascii="宋体" w:hAnsi="宋体" w:eastAsia="宋体" w:cs="宋体"/>
          <w:b w:val="0"/>
          <w:bCs w:val="0"/>
          <w:color w:val="auto"/>
          <w:sz w:val="32"/>
          <w:szCs w:val="32"/>
          <w:highlight w:val="none"/>
        </w:rPr>
      </w:pPr>
    </w:p>
    <w:p w14:paraId="4337F8E5">
      <w:pPr>
        <w:snapToGrid w:val="0"/>
        <w:ind w:left="2222" w:leftChars="296" w:hanging="1600" w:hangingChars="500"/>
        <w:rPr>
          <w:rFonts w:hint="eastAsia" w:ascii="宋体" w:hAnsi="宋体" w:eastAsia="宋体" w:cs="宋体"/>
          <w:b w:val="0"/>
          <w:bCs w:val="0"/>
          <w:color w:val="auto"/>
          <w:sz w:val="32"/>
          <w:szCs w:val="32"/>
          <w:highlight w:val="none"/>
        </w:rPr>
      </w:pPr>
      <w:r>
        <w:rPr>
          <w:rFonts w:hint="eastAsia" w:ascii="宋体" w:hAnsi="宋体" w:eastAsia="宋体" w:cs="宋体"/>
          <w:b w:val="0"/>
          <w:bCs w:val="0"/>
          <w:color w:val="auto"/>
          <w:sz w:val="32"/>
          <w:szCs w:val="32"/>
          <w:highlight w:val="none"/>
        </w:rPr>
        <w:t>建设单位：</w:t>
      </w:r>
    </w:p>
    <w:p w14:paraId="4C794007">
      <w:pPr>
        <w:pStyle w:val="33"/>
        <w:rPr>
          <w:rFonts w:hint="eastAsia" w:ascii="宋体" w:hAnsi="宋体" w:eastAsia="宋体" w:cs="宋体"/>
          <w:b w:val="0"/>
          <w:bCs w:val="0"/>
          <w:color w:val="auto"/>
          <w:sz w:val="32"/>
          <w:szCs w:val="32"/>
          <w:highlight w:val="none"/>
        </w:rPr>
      </w:pPr>
    </w:p>
    <w:p w14:paraId="5CCA103B">
      <w:pPr>
        <w:snapToGrid w:val="0"/>
        <w:ind w:left="2222" w:leftChars="296" w:hanging="1600" w:hangingChars="500"/>
        <w:rPr>
          <w:rFonts w:hint="eastAsia" w:ascii="宋体" w:hAnsi="宋体" w:eastAsia="宋体" w:cs="宋体"/>
          <w:b w:val="0"/>
          <w:bCs w:val="0"/>
          <w:color w:val="auto"/>
          <w:sz w:val="32"/>
          <w:szCs w:val="32"/>
          <w:highlight w:val="none"/>
        </w:rPr>
      </w:pPr>
    </w:p>
    <w:p w14:paraId="17855D02">
      <w:pPr>
        <w:snapToGrid w:val="0"/>
        <w:ind w:left="2030" w:leftChars="296" w:hanging="1408" w:hangingChars="440"/>
        <w:rPr>
          <w:rFonts w:hint="eastAsia" w:ascii="宋体" w:hAnsi="宋体" w:eastAsia="宋体" w:cs="宋体"/>
          <w:b w:val="0"/>
          <w:bCs w:val="0"/>
          <w:color w:val="auto"/>
          <w:sz w:val="32"/>
          <w:szCs w:val="32"/>
          <w:highlight w:val="none"/>
        </w:rPr>
      </w:pPr>
      <w:r>
        <w:rPr>
          <w:rFonts w:hint="eastAsia" w:ascii="宋体" w:hAnsi="宋体" w:eastAsia="宋体" w:cs="宋体"/>
          <w:b w:val="0"/>
          <w:bCs w:val="0"/>
          <w:color w:val="auto"/>
          <w:sz w:val="32"/>
          <w:szCs w:val="32"/>
          <w:highlight w:val="none"/>
        </w:rPr>
        <w:t>工程名称:</w:t>
      </w:r>
    </w:p>
    <w:p w14:paraId="30CDC34A">
      <w:pPr>
        <w:snapToGrid w:val="0"/>
        <w:ind w:left="2062" w:leftChars="296" w:hanging="1440" w:hangingChars="450"/>
        <w:rPr>
          <w:rFonts w:hint="eastAsia" w:ascii="宋体" w:hAnsi="宋体" w:eastAsia="宋体" w:cs="宋体"/>
          <w:b w:val="0"/>
          <w:bCs w:val="0"/>
          <w:color w:val="auto"/>
          <w:sz w:val="32"/>
          <w:szCs w:val="32"/>
          <w:highlight w:val="none"/>
        </w:rPr>
      </w:pPr>
    </w:p>
    <w:p w14:paraId="343CAFCD">
      <w:pPr>
        <w:snapToGrid w:val="0"/>
        <w:rPr>
          <w:rFonts w:hint="eastAsia" w:ascii="宋体" w:hAnsi="宋体" w:eastAsia="宋体" w:cs="宋体"/>
          <w:b w:val="0"/>
          <w:bCs w:val="0"/>
          <w:color w:val="auto"/>
          <w:sz w:val="32"/>
          <w:szCs w:val="32"/>
          <w:highlight w:val="none"/>
        </w:rPr>
      </w:pPr>
    </w:p>
    <w:p w14:paraId="618E8B69">
      <w:pPr>
        <w:snapToGrid w:val="0"/>
        <w:ind w:left="2222" w:leftChars="296" w:hanging="1600" w:hangingChars="500"/>
        <w:rPr>
          <w:rFonts w:hint="eastAsia" w:ascii="宋体" w:hAnsi="宋体" w:eastAsia="宋体" w:cs="宋体"/>
          <w:b w:val="0"/>
          <w:bCs w:val="0"/>
          <w:color w:val="auto"/>
          <w:sz w:val="32"/>
          <w:szCs w:val="32"/>
          <w:highlight w:val="none"/>
        </w:rPr>
      </w:pPr>
      <w:r>
        <w:rPr>
          <w:rFonts w:hint="eastAsia" w:ascii="宋体" w:hAnsi="宋体" w:eastAsia="宋体" w:cs="宋体"/>
          <w:b w:val="0"/>
          <w:bCs w:val="0"/>
          <w:color w:val="auto"/>
          <w:sz w:val="32"/>
          <w:szCs w:val="32"/>
          <w:highlight w:val="none"/>
        </w:rPr>
        <w:t>施工单位：</w:t>
      </w:r>
    </w:p>
    <w:p w14:paraId="335C9AD5">
      <w:pPr>
        <w:pStyle w:val="349"/>
        <w:rPr>
          <w:rFonts w:hint="eastAsia"/>
          <w:color w:val="auto"/>
          <w:highlight w:val="none"/>
        </w:rPr>
      </w:pPr>
    </w:p>
    <w:p w14:paraId="26D8BDED">
      <w:pPr>
        <w:snapToGrid w:val="0"/>
        <w:rPr>
          <w:rFonts w:hint="eastAsia" w:ascii="宋体" w:hAnsi="宋体" w:eastAsia="宋体" w:cs="宋体"/>
          <w:b w:val="0"/>
          <w:bCs w:val="0"/>
          <w:color w:val="auto"/>
          <w:sz w:val="32"/>
          <w:szCs w:val="32"/>
          <w:highlight w:val="none"/>
        </w:rPr>
      </w:pPr>
    </w:p>
    <w:p w14:paraId="7E7AC7F1">
      <w:pPr>
        <w:snapToGrid w:val="0"/>
        <w:ind w:left="2222" w:leftChars="296" w:hanging="1600" w:hangingChars="500"/>
        <w:rPr>
          <w:rFonts w:hint="eastAsia" w:ascii="宋体" w:hAnsi="宋体" w:eastAsia="宋体" w:cs="宋体"/>
          <w:b w:val="0"/>
          <w:bCs w:val="0"/>
          <w:color w:val="auto"/>
          <w:sz w:val="32"/>
          <w:szCs w:val="32"/>
          <w:highlight w:val="none"/>
        </w:rPr>
      </w:pPr>
      <w:r>
        <w:rPr>
          <w:rFonts w:hint="eastAsia" w:ascii="宋体" w:hAnsi="宋体" w:eastAsia="宋体" w:cs="宋体"/>
          <w:b w:val="0"/>
          <w:bCs w:val="0"/>
          <w:color w:val="auto"/>
          <w:sz w:val="32"/>
          <w:szCs w:val="32"/>
          <w:highlight w:val="none"/>
        </w:rPr>
        <w:t>施工方项目经理：</w:t>
      </w:r>
    </w:p>
    <w:p w14:paraId="733712D2">
      <w:pPr>
        <w:snapToGrid w:val="0"/>
        <w:rPr>
          <w:rFonts w:hint="eastAsia" w:ascii="宋体" w:hAnsi="宋体" w:eastAsia="宋体" w:cs="宋体"/>
          <w:b w:val="0"/>
          <w:bCs w:val="0"/>
          <w:color w:val="auto"/>
          <w:sz w:val="32"/>
          <w:szCs w:val="32"/>
          <w:highlight w:val="none"/>
        </w:rPr>
      </w:pPr>
    </w:p>
    <w:p w14:paraId="48A24C30">
      <w:pPr>
        <w:snapToGrid w:val="0"/>
        <w:ind w:firstLine="623"/>
        <w:rPr>
          <w:rFonts w:hint="eastAsia" w:ascii="宋体" w:hAnsi="宋体" w:eastAsia="宋体" w:cs="宋体"/>
          <w:b w:val="0"/>
          <w:bCs w:val="0"/>
          <w:color w:val="auto"/>
          <w:sz w:val="32"/>
          <w:szCs w:val="32"/>
          <w:highlight w:val="none"/>
        </w:rPr>
      </w:pPr>
    </w:p>
    <w:p w14:paraId="1DFDB89C">
      <w:pPr>
        <w:snapToGrid w:val="0"/>
        <w:ind w:firstLine="623"/>
        <w:jc w:val="center"/>
        <w:rPr>
          <w:rFonts w:hint="eastAsia" w:ascii="宋体" w:hAnsi="宋体" w:eastAsia="宋体" w:cs="宋体"/>
          <w:b w:val="0"/>
          <w:bCs w:val="0"/>
          <w:color w:val="auto"/>
          <w:sz w:val="32"/>
          <w:szCs w:val="32"/>
          <w:highlight w:val="none"/>
        </w:rPr>
      </w:pPr>
    </w:p>
    <w:p w14:paraId="2069B9A0">
      <w:pPr>
        <w:snapToGrid w:val="0"/>
        <w:ind w:firstLine="623"/>
        <w:jc w:val="center"/>
        <w:rPr>
          <w:rFonts w:hint="eastAsia" w:ascii="宋体" w:hAnsi="宋体" w:eastAsia="宋体" w:cs="宋体"/>
          <w:b w:val="0"/>
          <w:bCs w:val="0"/>
          <w:color w:val="auto"/>
          <w:sz w:val="32"/>
          <w:szCs w:val="32"/>
          <w:highlight w:val="none"/>
        </w:rPr>
      </w:pPr>
    </w:p>
    <w:p w14:paraId="6D586208">
      <w:pPr>
        <w:snapToGrid w:val="0"/>
        <w:ind w:firstLine="623"/>
        <w:jc w:val="center"/>
        <w:rPr>
          <w:rFonts w:hint="eastAsia" w:ascii="宋体" w:hAnsi="宋体" w:eastAsia="宋体" w:cs="宋体"/>
          <w:b w:val="0"/>
          <w:bCs w:val="0"/>
          <w:color w:val="auto"/>
          <w:sz w:val="32"/>
          <w:szCs w:val="32"/>
          <w:highlight w:val="none"/>
        </w:rPr>
      </w:pPr>
    </w:p>
    <w:p w14:paraId="4852771B">
      <w:pPr>
        <w:snapToGrid w:val="0"/>
        <w:ind w:firstLine="623"/>
        <w:jc w:val="center"/>
        <w:rPr>
          <w:rFonts w:hint="eastAsia" w:ascii="宋体" w:hAnsi="宋体" w:eastAsia="宋体" w:cs="宋体"/>
          <w:b w:val="0"/>
          <w:bCs w:val="0"/>
          <w:color w:val="auto"/>
          <w:sz w:val="32"/>
          <w:szCs w:val="32"/>
          <w:highlight w:val="none"/>
        </w:rPr>
      </w:pPr>
    </w:p>
    <w:p w14:paraId="08ADB695">
      <w:pPr>
        <w:snapToGrid w:val="0"/>
        <w:ind w:firstLine="623"/>
        <w:jc w:val="center"/>
        <w:rPr>
          <w:rFonts w:hint="eastAsia" w:ascii="宋体" w:hAnsi="宋体" w:eastAsia="宋体" w:cs="宋体"/>
          <w:b w:val="0"/>
          <w:bCs w:val="0"/>
          <w:color w:val="auto"/>
          <w:sz w:val="32"/>
          <w:szCs w:val="32"/>
          <w:highlight w:val="none"/>
        </w:rPr>
      </w:pPr>
    </w:p>
    <w:p w14:paraId="04084CE0">
      <w:pPr>
        <w:snapToGrid w:val="0"/>
        <w:ind w:firstLine="623"/>
        <w:jc w:val="left"/>
        <w:rPr>
          <w:rFonts w:hint="eastAsia" w:ascii="宋体" w:hAnsi="宋体" w:eastAsia="宋体" w:cs="宋体"/>
          <w:b w:val="0"/>
          <w:bCs w:val="0"/>
          <w:color w:val="auto"/>
          <w:sz w:val="32"/>
          <w:szCs w:val="32"/>
          <w:highlight w:val="none"/>
        </w:rPr>
      </w:pPr>
      <w:r>
        <w:rPr>
          <w:rFonts w:hint="eastAsia" w:ascii="宋体" w:hAnsi="宋体" w:eastAsia="宋体" w:cs="宋体"/>
          <w:b w:val="0"/>
          <w:bCs w:val="0"/>
          <w:color w:val="auto"/>
          <w:sz w:val="32"/>
          <w:szCs w:val="32"/>
          <w:highlight w:val="none"/>
        </w:rPr>
        <w:t>签订日期：</w:t>
      </w:r>
      <w:r>
        <w:rPr>
          <w:rFonts w:hint="eastAsia" w:ascii="宋体" w:hAnsi="宋体" w:eastAsia="宋体" w:cs="宋体"/>
          <w:b w:val="0"/>
          <w:bCs w:val="0"/>
          <w:color w:val="auto"/>
          <w:sz w:val="32"/>
          <w:szCs w:val="32"/>
          <w:highlight w:val="none"/>
          <w:lang w:val="en-US" w:eastAsia="zh-CN"/>
        </w:rPr>
        <w:t xml:space="preserve">   </w:t>
      </w:r>
      <w:r>
        <w:rPr>
          <w:rFonts w:hint="eastAsia" w:ascii="宋体" w:hAnsi="宋体" w:eastAsia="宋体" w:cs="宋体"/>
          <w:b w:val="0"/>
          <w:bCs w:val="0"/>
          <w:color w:val="auto"/>
          <w:sz w:val="32"/>
          <w:szCs w:val="32"/>
          <w:highlight w:val="none"/>
        </w:rPr>
        <w:t>年</w:t>
      </w:r>
      <w:r>
        <w:rPr>
          <w:rFonts w:hint="eastAsia" w:ascii="宋体" w:hAnsi="宋体" w:eastAsia="宋体" w:cs="宋体"/>
          <w:b w:val="0"/>
          <w:bCs w:val="0"/>
          <w:color w:val="auto"/>
          <w:sz w:val="32"/>
          <w:szCs w:val="32"/>
          <w:highlight w:val="none"/>
          <w:lang w:val="en-US" w:eastAsia="zh-CN"/>
        </w:rPr>
        <w:t xml:space="preserve">   </w:t>
      </w:r>
      <w:r>
        <w:rPr>
          <w:rFonts w:hint="eastAsia" w:ascii="宋体" w:hAnsi="宋体" w:eastAsia="宋体" w:cs="宋体"/>
          <w:b w:val="0"/>
          <w:bCs w:val="0"/>
          <w:color w:val="auto"/>
          <w:sz w:val="32"/>
          <w:szCs w:val="32"/>
          <w:highlight w:val="none"/>
        </w:rPr>
        <w:t>月</w:t>
      </w:r>
      <w:r>
        <w:rPr>
          <w:rFonts w:hint="eastAsia" w:ascii="宋体" w:hAnsi="宋体" w:eastAsia="宋体" w:cs="宋体"/>
          <w:b w:val="0"/>
          <w:bCs w:val="0"/>
          <w:color w:val="auto"/>
          <w:sz w:val="32"/>
          <w:szCs w:val="32"/>
          <w:highlight w:val="none"/>
          <w:lang w:val="en-US" w:eastAsia="zh-CN"/>
        </w:rPr>
        <w:t xml:space="preserve">   </w:t>
      </w:r>
      <w:r>
        <w:rPr>
          <w:rFonts w:hint="eastAsia" w:ascii="宋体" w:hAnsi="宋体" w:eastAsia="宋体" w:cs="宋体"/>
          <w:b w:val="0"/>
          <w:bCs w:val="0"/>
          <w:color w:val="auto"/>
          <w:sz w:val="32"/>
          <w:szCs w:val="32"/>
          <w:highlight w:val="none"/>
        </w:rPr>
        <w:t>日</w:t>
      </w:r>
    </w:p>
    <w:p w14:paraId="03A5F422">
      <w:pPr>
        <w:rPr>
          <w:rFonts w:hint="eastAsia" w:ascii="宋体" w:hAnsi="宋体" w:eastAsia="宋体" w:cs="宋体"/>
          <w:b/>
          <w:bCs/>
          <w:color w:val="auto"/>
          <w:sz w:val="28"/>
          <w:szCs w:val="28"/>
          <w:highlight w:val="none"/>
        </w:rPr>
        <w:sectPr>
          <w:headerReference r:id="rId12" w:type="first"/>
          <w:footerReference r:id="rId15" w:type="first"/>
          <w:headerReference r:id="rId10" w:type="default"/>
          <w:footerReference r:id="rId13" w:type="default"/>
          <w:headerReference r:id="rId11" w:type="even"/>
          <w:footerReference r:id="rId14" w:type="even"/>
          <w:pgSz w:w="11906" w:h="16838"/>
          <w:pgMar w:top="1418" w:right="1418" w:bottom="1418" w:left="1418" w:header="1134" w:footer="992" w:gutter="0"/>
          <w:pgNumType w:fmt="decimal"/>
          <w:cols w:space="720" w:num="1"/>
          <w:titlePg/>
          <w:docGrid w:type="lines" w:linePitch="312" w:charSpace="0"/>
        </w:sectPr>
      </w:pPr>
    </w:p>
    <w:p w14:paraId="7BA332C1">
      <w:pPr>
        <w:snapToGrid w:val="0"/>
        <w:jc w:val="center"/>
        <w:rPr>
          <w:rFonts w:hint="eastAsia" w:ascii="宋体" w:hAnsi="宋体" w:eastAsia="宋体" w:cs="宋体"/>
          <w:b/>
          <w:bCs/>
          <w:color w:val="auto"/>
          <w:sz w:val="44"/>
          <w:szCs w:val="44"/>
          <w:highlight w:val="none"/>
        </w:rPr>
      </w:pPr>
      <w:r>
        <w:rPr>
          <w:rFonts w:hint="eastAsia" w:ascii="宋体" w:hAnsi="宋体" w:eastAsia="宋体" w:cs="宋体"/>
          <w:b/>
          <w:bCs/>
          <w:color w:val="auto"/>
          <w:sz w:val="44"/>
          <w:szCs w:val="44"/>
          <w:highlight w:val="none"/>
        </w:rPr>
        <w:t>建设工程施工合同</w:t>
      </w:r>
    </w:p>
    <w:p w14:paraId="73B8CBAD">
      <w:pPr>
        <w:spacing w:line="520" w:lineRule="exact"/>
        <w:ind w:firstLine="562" w:firstLineChars="200"/>
        <w:jc w:val="center"/>
        <w:rPr>
          <w:b/>
          <w:bCs/>
          <w:color w:val="auto"/>
          <w:sz w:val="28"/>
          <w:szCs w:val="28"/>
          <w:highlight w:val="none"/>
        </w:rPr>
      </w:pPr>
    </w:p>
    <w:p w14:paraId="7918D6CA">
      <w:pPr>
        <w:spacing w:line="520" w:lineRule="exact"/>
        <w:ind w:firstLine="560" w:firstLineChars="200"/>
        <w:rPr>
          <w:color w:val="auto"/>
          <w:sz w:val="24"/>
          <w:szCs w:val="24"/>
          <w:highlight w:val="none"/>
        </w:rPr>
      </w:pPr>
      <w:r>
        <w:rPr>
          <w:rFonts w:eastAsia="黑体"/>
          <w:bCs/>
          <w:color w:val="auto"/>
          <w:sz w:val="28"/>
          <w:szCs w:val="28"/>
          <w:highlight w:val="none"/>
        </w:rPr>
        <w:t>建设单位：</w:t>
      </w:r>
      <w:r>
        <w:rPr>
          <w:rFonts w:hint="eastAsia" w:eastAsia="黑体"/>
          <w:bCs/>
          <w:color w:val="auto"/>
          <w:sz w:val="28"/>
          <w:szCs w:val="28"/>
          <w:highlight w:val="none"/>
          <w:u w:val="single"/>
          <w:lang w:val="en-US" w:eastAsia="zh-CN"/>
        </w:rPr>
        <w:t xml:space="preserve"> 大新县农业农村局</w:t>
      </w:r>
      <w:r>
        <w:rPr>
          <w:color w:val="auto"/>
          <w:sz w:val="24"/>
          <w:szCs w:val="24"/>
          <w:highlight w:val="none"/>
        </w:rPr>
        <w:t>（以下简称甲方）。</w:t>
      </w:r>
    </w:p>
    <w:p w14:paraId="6EF1BBC3">
      <w:pPr>
        <w:spacing w:line="520" w:lineRule="exact"/>
        <w:ind w:firstLine="560" w:firstLineChars="200"/>
        <w:rPr>
          <w:color w:val="auto"/>
          <w:sz w:val="24"/>
          <w:szCs w:val="24"/>
          <w:highlight w:val="none"/>
        </w:rPr>
      </w:pPr>
      <w:r>
        <w:rPr>
          <w:rFonts w:eastAsia="黑体"/>
          <w:bCs/>
          <w:color w:val="auto"/>
          <w:sz w:val="28"/>
          <w:szCs w:val="28"/>
          <w:highlight w:val="none"/>
        </w:rPr>
        <w:t>施工单位：</w:t>
      </w:r>
      <w:r>
        <w:rPr>
          <w:rFonts w:hint="eastAsia" w:eastAsia="黑体"/>
          <w:bCs/>
          <w:color w:val="auto"/>
          <w:sz w:val="28"/>
          <w:szCs w:val="28"/>
          <w:highlight w:val="none"/>
          <w:u w:val="single"/>
          <w:lang w:val="en-US" w:eastAsia="zh-CN"/>
        </w:rPr>
        <w:t xml:space="preserve">                     </w:t>
      </w:r>
      <w:r>
        <w:rPr>
          <w:color w:val="auto"/>
          <w:sz w:val="24"/>
          <w:szCs w:val="24"/>
          <w:highlight w:val="none"/>
        </w:rPr>
        <w:t>（以下简称乙方）。</w:t>
      </w:r>
    </w:p>
    <w:p w14:paraId="226D5E0C">
      <w:pPr>
        <w:spacing w:line="520" w:lineRule="exact"/>
        <w:ind w:firstLine="480" w:firstLineChars="200"/>
        <w:rPr>
          <w:color w:val="auto"/>
          <w:sz w:val="24"/>
          <w:szCs w:val="24"/>
          <w:highlight w:val="none"/>
        </w:rPr>
      </w:pPr>
      <w:r>
        <w:rPr>
          <w:color w:val="auto"/>
          <w:sz w:val="24"/>
          <w:szCs w:val="24"/>
          <w:highlight w:val="none"/>
        </w:rPr>
        <w:t>依照《中华人民共和国</w:t>
      </w:r>
      <w:r>
        <w:rPr>
          <w:rFonts w:hint="eastAsia"/>
          <w:color w:val="auto"/>
          <w:sz w:val="24"/>
          <w:szCs w:val="24"/>
          <w:highlight w:val="none"/>
          <w:lang w:eastAsia="zh-CN"/>
        </w:rPr>
        <w:t>民</w:t>
      </w:r>
      <w:r>
        <w:rPr>
          <w:color w:val="auto"/>
          <w:sz w:val="24"/>
          <w:szCs w:val="24"/>
          <w:highlight w:val="none"/>
        </w:rPr>
        <w:t>法</w:t>
      </w:r>
      <w:r>
        <w:rPr>
          <w:rFonts w:hint="eastAsia"/>
          <w:color w:val="auto"/>
          <w:sz w:val="24"/>
          <w:szCs w:val="24"/>
          <w:highlight w:val="none"/>
          <w:lang w:eastAsia="zh-CN"/>
        </w:rPr>
        <w:t>典</w:t>
      </w:r>
      <w:r>
        <w:rPr>
          <w:color w:val="auto"/>
          <w:sz w:val="24"/>
          <w:szCs w:val="24"/>
          <w:highlight w:val="none"/>
        </w:rPr>
        <w:t>》、《中华人民共和国建筑法》及其他有关法律、行政法规，遵循平等、自愿、公平和诚实信用的原则，双方就本工程施工事项协商一致，订立本合同。</w:t>
      </w:r>
    </w:p>
    <w:p w14:paraId="2DB76B4A">
      <w:pPr>
        <w:spacing w:line="520" w:lineRule="exact"/>
        <w:ind w:firstLine="560" w:firstLineChars="200"/>
        <w:rPr>
          <w:rFonts w:eastAsia="黑体"/>
          <w:bCs/>
          <w:color w:val="auto"/>
          <w:sz w:val="28"/>
          <w:szCs w:val="28"/>
          <w:highlight w:val="none"/>
        </w:rPr>
      </w:pPr>
      <w:r>
        <w:rPr>
          <w:rFonts w:eastAsia="黑体"/>
          <w:bCs/>
          <w:color w:val="auto"/>
          <w:sz w:val="28"/>
          <w:szCs w:val="28"/>
          <w:highlight w:val="none"/>
        </w:rPr>
        <w:t>一、工程概况</w:t>
      </w:r>
    </w:p>
    <w:p w14:paraId="124BC745">
      <w:pPr>
        <w:spacing w:line="520" w:lineRule="exact"/>
        <w:ind w:firstLine="482" w:firstLineChars="200"/>
        <w:rPr>
          <w:rFonts w:hint="eastAsia" w:ascii="宋体" w:hAnsi="宋体" w:eastAsia="宋体" w:cs="宋体"/>
          <w:color w:val="auto"/>
          <w:sz w:val="24"/>
          <w:szCs w:val="24"/>
          <w:highlight w:val="none"/>
        </w:rPr>
      </w:pPr>
      <w:r>
        <w:rPr>
          <w:rFonts w:hint="eastAsia" w:ascii="Times New Roman" w:hAnsi="Times New Roman" w:eastAsia="楷体_GB2312" w:cs="Times New Roman"/>
          <w:b/>
          <w:color w:val="auto"/>
          <w:sz w:val="24"/>
          <w:szCs w:val="24"/>
          <w:highlight w:val="none"/>
        </w:rPr>
        <w:t>（一）工程名称：</w:t>
      </w:r>
      <w:r>
        <w:rPr>
          <w:rFonts w:hint="eastAsia" w:ascii="宋体" w:hAnsi="宋体" w:cs="宋体"/>
          <w:color w:val="auto"/>
          <w:sz w:val="24"/>
          <w:szCs w:val="24"/>
          <w:highlight w:val="none"/>
          <w:lang w:eastAsia="zh-CN"/>
        </w:rPr>
        <w:t>大新县全茗镇政教村政屯优质稻特色产业基地配套农田水利</w:t>
      </w:r>
      <w:r>
        <w:rPr>
          <w:rFonts w:hint="eastAsia" w:ascii="宋体" w:hAnsi="宋体" w:eastAsia="宋体" w:cs="宋体"/>
          <w:color w:val="auto"/>
          <w:sz w:val="24"/>
          <w:szCs w:val="24"/>
          <w:highlight w:val="none"/>
        </w:rPr>
        <w:t>。</w:t>
      </w:r>
    </w:p>
    <w:p w14:paraId="5BD02099">
      <w:pPr>
        <w:spacing w:line="520" w:lineRule="exact"/>
        <w:ind w:firstLine="482" w:firstLineChars="200"/>
        <w:rPr>
          <w:rFonts w:hint="eastAsia" w:ascii="宋体" w:hAnsi="宋体" w:eastAsia="宋体" w:cs="宋体"/>
          <w:color w:val="auto"/>
          <w:sz w:val="24"/>
          <w:szCs w:val="24"/>
          <w:highlight w:val="none"/>
        </w:rPr>
      </w:pPr>
      <w:r>
        <w:rPr>
          <w:rFonts w:hint="eastAsia" w:ascii="Times New Roman" w:hAnsi="Times New Roman" w:eastAsia="楷体_GB2312" w:cs="Times New Roman"/>
          <w:b/>
          <w:color w:val="auto"/>
          <w:sz w:val="24"/>
          <w:szCs w:val="24"/>
          <w:highlight w:val="none"/>
        </w:rPr>
        <w:t>（二）工程地点：</w:t>
      </w:r>
      <w:r>
        <w:rPr>
          <w:rFonts w:hint="eastAsia" w:ascii="宋体" w:hAnsi="宋体" w:cs="宋体"/>
          <w:color w:val="auto"/>
          <w:sz w:val="24"/>
          <w:szCs w:val="24"/>
          <w:highlight w:val="none"/>
          <w:lang w:eastAsia="zh-CN"/>
        </w:rPr>
        <w:t>大新县全茗镇政教村政屯。</w:t>
      </w:r>
      <w:r>
        <w:rPr>
          <w:rFonts w:hint="eastAsia" w:ascii="宋体" w:hAnsi="宋体" w:eastAsia="宋体" w:cs="宋体"/>
          <w:color w:val="auto"/>
          <w:sz w:val="24"/>
          <w:szCs w:val="24"/>
          <w:highlight w:val="none"/>
        </w:rPr>
        <w:t xml:space="preserve">  </w:t>
      </w:r>
    </w:p>
    <w:p w14:paraId="554BDFCE">
      <w:pPr>
        <w:spacing w:line="520" w:lineRule="exact"/>
        <w:ind w:firstLine="482" w:firstLineChars="200"/>
        <w:rPr>
          <w:rFonts w:hint="eastAsia" w:ascii="宋体" w:hAnsi="宋体" w:eastAsia="宋体" w:cs="宋体"/>
          <w:color w:val="auto"/>
          <w:sz w:val="24"/>
          <w:szCs w:val="24"/>
          <w:highlight w:val="none"/>
        </w:rPr>
      </w:pPr>
      <w:r>
        <w:rPr>
          <w:rFonts w:hint="eastAsia" w:ascii="Times New Roman" w:hAnsi="Times New Roman" w:eastAsia="楷体_GB2312" w:cs="Times New Roman"/>
          <w:b/>
          <w:color w:val="auto"/>
          <w:sz w:val="24"/>
          <w:szCs w:val="24"/>
          <w:highlight w:val="none"/>
        </w:rPr>
        <w:t>（三）工程内容：</w:t>
      </w:r>
      <w:r>
        <w:rPr>
          <w:rFonts w:hint="eastAsia" w:ascii="宋体" w:hAnsi="宋体" w:cs="宋体"/>
          <w:color w:val="auto"/>
          <w:sz w:val="24"/>
          <w:szCs w:val="24"/>
          <w:highlight w:val="none"/>
          <w:lang w:eastAsia="zh-CN"/>
        </w:rPr>
        <w:t>本工程主要建设内容为排水沟硬化4 条，全长2026m。</w:t>
      </w:r>
    </w:p>
    <w:p w14:paraId="4346115A">
      <w:pPr>
        <w:spacing w:line="480" w:lineRule="exact"/>
        <w:ind w:firstLine="482" w:firstLineChars="200"/>
        <w:rPr>
          <w:rFonts w:hint="eastAsia" w:ascii="宋体" w:hAnsi="宋体" w:eastAsia="宋体" w:cs="宋体"/>
          <w:color w:val="auto"/>
          <w:sz w:val="24"/>
          <w:szCs w:val="24"/>
          <w:highlight w:val="none"/>
          <w:lang w:val="en-US" w:eastAsia="zh-CN"/>
        </w:rPr>
      </w:pPr>
      <w:r>
        <w:rPr>
          <w:rFonts w:hint="eastAsia" w:ascii="Times New Roman" w:hAnsi="Times New Roman" w:eastAsia="楷体_GB2312" w:cs="Times New Roman"/>
          <w:b/>
          <w:color w:val="auto"/>
          <w:sz w:val="24"/>
          <w:szCs w:val="24"/>
          <w:highlight w:val="none"/>
        </w:rPr>
        <w:t>（四）资金来源：</w:t>
      </w:r>
      <w:r>
        <w:rPr>
          <w:rFonts w:hint="eastAsia" w:ascii="宋体" w:hAnsi="宋体" w:eastAsia="宋体" w:cs="宋体"/>
          <w:color w:val="auto"/>
          <w:sz w:val="24"/>
          <w:szCs w:val="24"/>
          <w:highlight w:val="none"/>
          <w:lang w:val="en-US" w:eastAsia="zh-CN"/>
        </w:rPr>
        <w:t>财政衔接乡村振兴补助资金</w:t>
      </w:r>
    </w:p>
    <w:p w14:paraId="77AA3416">
      <w:pPr>
        <w:spacing w:line="520" w:lineRule="exact"/>
        <w:ind w:firstLine="560" w:firstLineChars="200"/>
        <w:rPr>
          <w:rFonts w:eastAsia="黑体"/>
          <w:bCs/>
          <w:color w:val="auto"/>
          <w:sz w:val="28"/>
          <w:szCs w:val="28"/>
          <w:highlight w:val="none"/>
        </w:rPr>
      </w:pPr>
      <w:r>
        <w:rPr>
          <w:rFonts w:eastAsia="黑体"/>
          <w:bCs/>
          <w:color w:val="auto"/>
          <w:sz w:val="28"/>
          <w:szCs w:val="28"/>
          <w:highlight w:val="none"/>
        </w:rPr>
        <w:t>二、工程承包范围及承包方式</w:t>
      </w:r>
    </w:p>
    <w:p w14:paraId="293FE988">
      <w:pPr>
        <w:spacing w:line="520" w:lineRule="exact"/>
        <w:ind w:firstLine="482" w:firstLineChars="200"/>
        <w:rPr>
          <w:rFonts w:hint="eastAsia" w:ascii="宋体" w:hAnsi="宋体" w:eastAsia="宋体" w:cs="宋体"/>
          <w:color w:val="auto"/>
          <w:spacing w:val="-6"/>
          <w:sz w:val="24"/>
          <w:szCs w:val="24"/>
          <w:highlight w:val="none"/>
        </w:rPr>
      </w:pPr>
      <w:r>
        <w:rPr>
          <w:rFonts w:hint="eastAsia" w:ascii="Times New Roman" w:hAnsi="Times New Roman" w:eastAsia="楷体_GB2312" w:cs="Times New Roman"/>
          <w:b/>
          <w:color w:val="auto"/>
          <w:sz w:val="24"/>
          <w:szCs w:val="24"/>
          <w:highlight w:val="none"/>
        </w:rPr>
        <w:t>（一）承包范围：</w:t>
      </w:r>
      <w:r>
        <w:rPr>
          <w:rFonts w:hint="eastAsia" w:ascii="宋体" w:hAnsi="宋体" w:eastAsia="宋体" w:cs="宋体"/>
          <w:color w:val="auto"/>
          <w:kern w:val="0"/>
          <w:sz w:val="24"/>
          <w:szCs w:val="24"/>
          <w:highlight w:val="none"/>
        </w:rPr>
        <w:t>本标段项目：</w:t>
      </w:r>
      <w:r>
        <w:rPr>
          <w:rFonts w:hint="eastAsia" w:ascii="宋体" w:hAnsi="宋体" w:cs="宋体"/>
          <w:color w:val="auto"/>
          <w:sz w:val="24"/>
          <w:szCs w:val="24"/>
          <w:highlight w:val="none"/>
          <w:lang w:eastAsia="zh-CN"/>
        </w:rPr>
        <w:t>大新县全茗镇政教村政屯优质稻特色产业基地配套农田水利</w:t>
      </w:r>
      <w:r>
        <w:rPr>
          <w:rFonts w:hint="eastAsia" w:ascii="宋体" w:hAnsi="宋体" w:eastAsia="宋体" w:cs="宋体"/>
          <w:color w:val="auto"/>
          <w:sz w:val="24"/>
          <w:szCs w:val="24"/>
          <w:highlight w:val="none"/>
        </w:rPr>
        <w:t>。项目主要工程量如下：</w:t>
      </w:r>
    </w:p>
    <w:p w14:paraId="76B37DEF">
      <w:pPr>
        <w:spacing w:line="520" w:lineRule="exact"/>
        <w:ind w:firstLine="480" w:firstLineChars="200"/>
        <w:rPr>
          <w:rFonts w:hint="eastAsia" w:ascii="宋体" w:hAnsi="宋体" w:eastAsia="宋体" w:cs="宋体"/>
          <w:color w:val="auto"/>
          <w:spacing w:val="-6"/>
          <w:sz w:val="24"/>
          <w:szCs w:val="24"/>
          <w:highlight w:val="none"/>
        </w:rPr>
      </w:pPr>
      <w:r>
        <w:rPr>
          <w:rFonts w:hint="eastAsia" w:ascii="宋体" w:hAnsi="宋体" w:cs="宋体"/>
          <w:color w:val="auto"/>
          <w:sz w:val="24"/>
          <w:szCs w:val="24"/>
          <w:highlight w:val="none"/>
          <w:lang w:eastAsia="zh-CN"/>
        </w:rPr>
        <w:t>大新县全茗镇政教村政屯优质稻特色产业基地配套农田水利</w:t>
      </w:r>
      <w:r>
        <w:rPr>
          <w:rFonts w:hint="eastAsia" w:ascii="宋体" w:hAnsi="宋体" w:eastAsia="宋体" w:cs="宋体"/>
          <w:color w:val="auto"/>
          <w:sz w:val="24"/>
          <w:szCs w:val="24"/>
          <w:highlight w:val="none"/>
        </w:rPr>
        <w:t>，</w:t>
      </w:r>
      <w:r>
        <w:rPr>
          <w:rFonts w:hint="eastAsia" w:ascii="宋体" w:hAnsi="宋体" w:cs="宋体"/>
          <w:b w:val="0"/>
          <w:bCs w:val="0"/>
          <w:color w:val="auto"/>
          <w:kern w:val="0"/>
          <w:sz w:val="24"/>
          <w:szCs w:val="24"/>
          <w:highlight w:val="none"/>
          <w:u w:val="none"/>
          <w:lang w:eastAsia="zh-CN"/>
        </w:rPr>
        <w:t>本工程主要建设内容为排水沟硬化4 条，全长2026m。</w:t>
      </w:r>
      <w:r>
        <w:rPr>
          <w:rFonts w:hint="eastAsia" w:ascii="宋体" w:hAnsi="宋体" w:eastAsia="宋体" w:cs="宋体"/>
          <w:color w:val="auto"/>
          <w:spacing w:val="-6"/>
          <w:sz w:val="24"/>
          <w:szCs w:val="24"/>
          <w:highlight w:val="none"/>
        </w:rPr>
        <w:t>（具体内容详见</w:t>
      </w:r>
      <w:r>
        <w:rPr>
          <w:rFonts w:hint="eastAsia" w:ascii="宋体" w:hAnsi="宋体" w:cs="宋体"/>
          <w:color w:val="auto"/>
          <w:spacing w:val="-6"/>
          <w:sz w:val="24"/>
          <w:szCs w:val="24"/>
          <w:highlight w:val="none"/>
          <w:lang w:val="en-US" w:eastAsia="zh-CN"/>
        </w:rPr>
        <w:t>总预算表</w:t>
      </w:r>
      <w:r>
        <w:rPr>
          <w:rFonts w:hint="eastAsia" w:ascii="宋体" w:hAnsi="宋体" w:eastAsia="宋体" w:cs="宋体"/>
          <w:color w:val="auto"/>
          <w:spacing w:val="-6"/>
          <w:sz w:val="24"/>
          <w:szCs w:val="24"/>
          <w:highlight w:val="none"/>
        </w:rPr>
        <w:t>）</w:t>
      </w:r>
    </w:p>
    <w:p w14:paraId="5C3B59F3">
      <w:pPr>
        <w:spacing w:line="52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上述项目工程量在施工中如有变动均按甲方通知要求施工，最终以工程量签证单和项目单项工程竣工验收表为准。</w:t>
      </w:r>
    </w:p>
    <w:p w14:paraId="0B542878">
      <w:pPr>
        <w:spacing w:line="520" w:lineRule="exact"/>
        <w:ind w:firstLine="482" w:firstLineChars="200"/>
        <w:rPr>
          <w:rFonts w:hint="eastAsia" w:ascii="宋体" w:hAnsi="宋体" w:eastAsia="宋体" w:cs="宋体"/>
          <w:color w:val="auto"/>
          <w:sz w:val="24"/>
          <w:szCs w:val="24"/>
          <w:highlight w:val="none"/>
        </w:rPr>
      </w:pPr>
      <w:r>
        <w:rPr>
          <w:rFonts w:hint="eastAsia" w:ascii="Times New Roman" w:hAnsi="Times New Roman" w:eastAsia="楷体_GB2312" w:cs="Times New Roman"/>
          <w:b/>
          <w:color w:val="auto"/>
          <w:sz w:val="24"/>
          <w:szCs w:val="24"/>
          <w:highlight w:val="none"/>
        </w:rPr>
        <w:t>（二）承包方式：</w:t>
      </w:r>
      <w:r>
        <w:rPr>
          <w:rFonts w:hint="eastAsia" w:ascii="宋体" w:hAnsi="宋体" w:eastAsia="宋体" w:cs="宋体"/>
          <w:color w:val="auto"/>
          <w:sz w:val="24"/>
          <w:szCs w:val="24"/>
          <w:highlight w:val="none"/>
        </w:rPr>
        <w:t>（1）包工、包料、包工期、包质量。本标段工程不允许分包或转包，违者甲方有权终止合同，分包或转包所造成的经济损失均由乙方自己负责；（2）发包方提供部分施工用电、用水及解决材料堆放的问题。</w:t>
      </w:r>
    </w:p>
    <w:p w14:paraId="1BD79982">
      <w:pPr>
        <w:spacing w:line="520" w:lineRule="exact"/>
        <w:ind w:firstLine="560" w:firstLineChars="200"/>
        <w:rPr>
          <w:rFonts w:eastAsia="黑体"/>
          <w:bCs/>
          <w:color w:val="auto"/>
          <w:sz w:val="28"/>
          <w:szCs w:val="28"/>
          <w:highlight w:val="none"/>
        </w:rPr>
      </w:pPr>
      <w:r>
        <w:rPr>
          <w:rFonts w:eastAsia="黑体"/>
          <w:color w:val="auto"/>
          <w:sz w:val="28"/>
          <w:szCs w:val="28"/>
          <w:highlight w:val="none"/>
        </w:rPr>
        <w:t>三、</w:t>
      </w:r>
      <w:r>
        <w:rPr>
          <w:rFonts w:eastAsia="黑体"/>
          <w:bCs/>
          <w:color w:val="auto"/>
          <w:sz w:val="28"/>
          <w:szCs w:val="28"/>
          <w:highlight w:val="none"/>
        </w:rPr>
        <w:t>合同工期及工期顺延</w:t>
      </w:r>
    </w:p>
    <w:p w14:paraId="42105981">
      <w:pPr>
        <w:spacing w:line="520" w:lineRule="exact"/>
        <w:ind w:firstLine="482" w:firstLineChars="200"/>
        <w:rPr>
          <w:rFonts w:hint="eastAsia" w:ascii="宋体" w:hAnsi="宋体" w:eastAsia="宋体" w:cs="宋体"/>
          <w:color w:val="auto"/>
          <w:sz w:val="24"/>
          <w:szCs w:val="24"/>
          <w:highlight w:val="none"/>
        </w:rPr>
      </w:pPr>
      <w:r>
        <w:rPr>
          <w:rFonts w:hint="eastAsia" w:ascii="Times New Roman" w:hAnsi="Times New Roman" w:eastAsia="楷体_GB2312" w:cs="Times New Roman"/>
          <w:b/>
          <w:color w:val="auto"/>
          <w:sz w:val="24"/>
          <w:szCs w:val="24"/>
          <w:highlight w:val="none"/>
        </w:rPr>
        <w:t>（一）开工日期：</w:t>
      </w:r>
      <w:r>
        <w:rPr>
          <w:rFonts w:hint="eastAsia" w:ascii="宋体" w:hAnsi="宋体" w:eastAsia="宋体" w:cs="宋体"/>
          <w:b/>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日。</w:t>
      </w:r>
    </w:p>
    <w:p w14:paraId="6E2C80CF">
      <w:pPr>
        <w:spacing w:line="520" w:lineRule="exact"/>
        <w:ind w:firstLine="482" w:firstLineChars="200"/>
        <w:rPr>
          <w:rFonts w:hint="eastAsia" w:ascii="宋体" w:hAnsi="宋体" w:eastAsia="宋体" w:cs="宋体"/>
          <w:color w:val="auto"/>
          <w:sz w:val="24"/>
          <w:szCs w:val="24"/>
          <w:highlight w:val="none"/>
        </w:rPr>
      </w:pPr>
      <w:r>
        <w:rPr>
          <w:rFonts w:hint="eastAsia" w:ascii="Times New Roman" w:hAnsi="Times New Roman" w:eastAsia="楷体_GB2312" w:cs="Times New Roman"/>
          <w:b/>
          <w:color w:val="auto"/>
          <w:sz w:val="24"/>
          <w:szCs w:val="24"/>
          <w:highlight w:val="none"/>
        </w:rPr>
        <w:t>（二）竣工日期：</w:t>
      </w:r>
      <w:r>
        <w:rPr>
          <w:rFonts w:hint="eastAsia" w:ascii="宋体" w:hAnsi="宋体" w:eastAsia="宋体" w:cs="宋体"/>
          <w:b/>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日，工期总日历天数</w:t>
      </w:r>
      <w:r>
        <w:rPr>
          <w:rFonts w:hint="eastAsia" w:ascii="宋体" w:hAnsi="宋体" w:eastAsia="宋体" w:cs="宋体"/>
          <w:color w:val="auto"/>
          <w:sz w:val="24"/>
          <w:szCs w:val="24"/>
          <w:highlight w:val="none"/>
          <w:u w:val="single"/>
          <w:lang w:val="en-US" w:eastAsia="zh-CN"/>
        </w:rPr>
        <w:t xml:space="preserve"> </w:t>
      </w:r>
      <w:r>
        <w:rPr>
          <w:rFonts w:hint="eastAsia" w:ascii="宋体" w:hAnsi="宋体" w:cs="宋体"/>
          <w:color w:val="auto"/>
          <w:sz w:val="24"/>
          <w:szCs w:val="24"/>
          <w:highlight w:val="none"/>
          <w:u w:val="single"/>
          <w:lang w:val="en-US" w:eastAsia="zh-CN"/>
        </w:rPr>
        <w:t>180</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天。乙方如不按时完工，视乙方违约，每延误一天即按签约合同价格的3‰支付逾期交工违约金, 逾期交工违约金限额为签约合同价格的3%。</w:t>
      </w:r>
    </w:p>
    <w:p w14:paraId="097A80C7">
      <w:pPr>
        <w:spacing w:line="520" w:lineRule="exact"/>
        <w:ind w:firstLine="482" w:firstLineChars="200"/>
        <w:rPr>
          <w:rFonts w:hint="eastAsia" w:ascii="宋体" w:hAnsi="宋体" w:eastAsia="宋体" w:cs="宋体"/>
          <w:color w:val="auto"/>
          <w:sz w:val="24"/>
          <w:szCs w:val="24"/>
          <w:highlight w:val="none"/>
        </w:rPr>
      </w:pPr>
      <w:r>
        <w:rPr>
          <w:rFonts w:hint="eastAsia" w:ascii="Times New Roman" w:hAnsi="Times New Roman" w:eastAsia="楷体_GB2312" w:cs="Times New Roman"/>
          <w:b/>
          <w:color w:val="auto"/>
          <w:sz w:val="24"/>
          <w:szCs w:val="24"/>
          <w:highlight w:val="none"/>
        </w:rPr>
        <w:t>（三）遇下列情况之一者，双方协商顺延工期：</w:t>
      </w:r>
      <w:r>
        <w:rPr>
          <w:rFonts w:hint="eastAsia" w:ascii="宋体" w:hAnsi="宋体" w:eastAsia="宋体" w:cs="宋体"/>
          <w:color w:val="auto"/>
          <w:sz w:val="24"/>
          <w:szCs w:val="24"/>
          <w:highlight w:val="none"/>
        </w:rPr>
        <w:t>(1)如遇战争、动乱、空中飞行物体坠落或其它非甲乙双方责任造成的爆炸、火灾、水灾，以及六级以上台风、大雨、暴雨、地震等不可抗力原因被迫停工的；(2)设计变更增加工程量的；(3)因受施工条件限制，如交通运输受阻或群众阻挠施工等非乙方原因造成停工的；（4）因长时间雨天而停工。乙方在上述情况发生后3天内，就延误的工期以书面形式向甲方提出报告，甲方在收到报告后5天内予以确认。</w:t>
      </w:r>
    </w:p>
    <w:p w14:paraId="4F6600D7">
      <w:pPr>
        <w:spacing w:line="520" w:lineRule="exact"/>
        <w:ind w:firstLine="560" w:firstLineChars="200"/>
        <w:rPr>
          <w:rFonts w:eastAsia="黑体"/>
          <w:bCs/>
          <w:color w:val="auto"/>
          <w:sz w:val="28"/>
          <w:szCs w:val="28"/>
          <w:highlight w:val="none"/>
        </w:rPr>
      </w:pPr>
      <w:r>
        <w:rPr>
          <w:rFonts w:eastAsia="黑体"/>
          <w:bCs/>
          <w:color w:val="auto"/>
          <w:sz w:val="28"/>
          <w:szCs w:val="28"/>
          <w:highlight w:val="none"/>
        </w:rPr>
        <w:t>四、质量标准</w:t>
      </w:r>
    </w:p>
    <w:p w14:paraId="75C95950">
      <w:pPr>
        <w:spacing w:line="520" w:lineRule="exact"/>
        <w:ind w:firstLine="482" w:firstLineChars="200"/>
        <w:rPr>
          <w:rFonts w:hint="eastAsia" w:ascii="宋体" w:hAnsi="宋体" w:eastAsia="宋体" w:cs="宋体"/>
          <w:color w:val="auto"/>
          <w:sz w:val="24"/>
          <w:szCs w:val="24"/>
          <w:highlight w:val="none"/>
        </w:rPr>
      </w:pPr>
      <w:r>
        <w:rPr>
          <w:rFonts w:hint="eastAsia" w:ascii="Times New Roman" w:hAnsi="Times New Roman" w:eastAsia="楷体_GB2312" w:cs="Times New Roman"/>
          <w:b/>
          <w:bCs/>
          <w:color w:val="auto"/>
          <w:sz w:val="24"/>
          <w:szCs w:val="24"/>
          <w:highlight w:val="none"/>
        </w:rPr>
        <w:t>工程质量标准：</w:t>
      </w:r>
      <w:r>
        <w:rPr>
          <w:rFonts w:hint="eastAsia" w:ascii="宋体" w:hAnsi="宋体" w:eastAsia="宋体" w:cs="宋体"/>
          <w:color w:val="auto"/>
          <w:sz w:val="24"/>
          <w:szCs w:val="24"/>
          <w:highlight w:val="none"/>
        </w:rPr>
        <w:t>合格。</w:t>
      </w:r>
    </w:p>
    <w:p w14:paraId="5C8189BB">
      <w:pPr>
        <w:spacing w:line="520" w:lineRule="exact"/>
        <w:ind w:firstLine="560" w:firstLineChars="200"/>
        <w:rPr>
          <w:rFonts w:eastAsia="黑体"/>
          <w:color w:val="auto"/>
          <w:sz w:val="28"/>
          <w:szCs w:val="28"/>
          <w:highlight w:val="none"/>
        </w:rPr>
      </w:pPr>
      <w:r>
        <w:rPr>
          <w:rFonts w:eastAsia="黑体"/>
          <w:color w:val="auto"/>
          <w:sz w:val="28"/>
          <w:szCs w:val="28"/>
          <w:highlight w:val="none"/>
        </w:rPr>
        <w:t>五、合同价款及调整</w:t>
      </w:r>
    </w:p>
    <w:p w14:paraId="51AA806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color w:val="auto"/>
          <w:kern w:val="0"/>
          <w:sz w:val="24"/>
          <w:szCs w:val="24"/>
          <w:highlight w:val="none"/>
          <w:u w:val="single"/>
        </w:rPr>
      </w:pPr>
      <w:r>
        <w:rPr>
          <w:rFonts w:hint="eastAsia" w:ascii="宋体" w:hAnsi="宋体" w:eastAsia="宋体" w:cs="宋体"/>
          <w:color w:val="auto"/>
          <w:sz w:val="24"/>
          <w:szCs w:val="24"/>
          <w:highlight w:val="none"/>
        </w:rPr>
        <w:t>（一）本工程合同总价款为</w:t>
      </w:r>
      <w:r>
        <w:rPr>
          <w:rFonts w:hint="eastAsia" w:ascii="宋体" w:hAnsi="宋体" w:eastAsia="宋体" w:cs="宋体"/>
          <w:b/>
          <w:color w:val="auto"/>
          <w:sz w:val="24"/>
          <w:szCs w:val="24"/>
          <w:highlight w:val="none"/>
          <w:u w:val="single"/>
        </w:rPr>
        <w:t>人民币</w:t>
      </w:r>
      <w:r>
        <w:rPr>
          <w:rFonts w:hint="eastAsia" w:ascii="宋体" w:hAnsi="宋体" w:eastAsia="宋体" w:cs="宋体"/>
          <w:b/>
          <w:color w:val="auto"/>
          <w:sz w:val="24"/>
          <w:szCs w:val="24"/>
          <w:highlight w:val="none"/>
          <w:u w:val="single"/>
          <w:lang w:val="en-US" w:eastAsia="zh-CN"/>
        </w:rPr>
        <w:t xml:space="preserve">      </w:t>
      </w:r>
      <w:r>
        <w:rPr>
          <w:rFonts w:hint="eastAsia" w:ascii="宋体" w:hAnsi="宋体" w:eastAsia="宋体" w:cs="宋体"/>
          <w:b/>
          <w:color w:val="auto"/>
          <w:sz w:val="24"/>
          <w:szCs w:val="24"/>
          <w:highlight w:val="none"/>
          <w:u w:val="single"/>
        </w:rPr>
        <w:t>（¥</w:t>
      </w:r>
      <w:r>
        <w:rPr>
          <w:rFonts w:hint="eastAsia" w:ascii="宋体" w:hAnsi="宋体" w:eastAsia="宋体" w:cs="宋体"/>
          <w:b/>
          <w:color w:val="auto"/>
          <w:sz w:val="24"/>
          <w:szCs w:val="24"/>
          <w:highlight w:val="none"/>
          <w:u w:val="single"/>
          <w:lang w:val="en-US" w:eastAsia="zh-CN"/>
        </w:rPr>
        <w:t xml:space="preserve">   </w:t>
      </w:r>
      <w:r>
        <w:rPr>
          <w:rFonts w:hint="eastAsia" w:ascii="宋体" w:hAnsi="宋体" w:eastAsia="宋体" w:cs="宋体"/>
          <w:b/>
          <w:color w:val="auto"/>
          <w:sz w:val="24"/>
          <w:szCs w:val="24"/>
          <w:highlight w:val="none"/>
          <w:u w:val="single"/>
        </w:rPr>
        <w:t>元）。</w:t>
      </w:r>
    </w:p>
    <w:p w14:paraId="5E77912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乙方应按合同规定的工程量进行施工，对于因群众要求或受地形条件限制等原因造成实际完成工程量有增减变动的，经甲方同意，增减的工程量允许乙方在合同包干总价款内予以调剂计算计价。</w:t>
      </w:r>
    </w:p>
    <w:p w14:paraId="0C4FAE1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二）本标段工程为中标价承包，合同价款结算方式采用固定单价结算。合同价款中包括的风险范围：除工程变更和政策性调整以外的其他风险。风险范围以外合同价款调整方法：1.因设计变更引起工程项目、工程量变化的，变更合同价款按下列方法进行：(1)合同中已有适用于变更工程的价格，按合同已有的价格变更合同价款。(2)合同中只有类似于变更工程的价格，可以参照类似价格变更合同价款。（3）合同中没有适用或类似于变更工程的价格，有定额的套定额计算，并乘以下浮系数（中标价/工程招标控制价）。其中管理费及利润按费率中值计取，材料价格有信息价的按施工当期信息价进行计算，无信息价的由甲乙双方市场询价确定；无定额可套的，由甲乙双方根据市场价格协商确定。2.施工期间，主要材料单价平均值与投标时主要材料价格比较，若材料单价浮动超过±5%时，对超出部分的差额按实调整。3.国家和自治区政策性调整有关费用标准的，按文件规定执行。</w:t>
      </w:r>
    </w:p>
    <w:p w14:paraId="3CE166C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color w:val="auto"/>
          <w:kern w:val="0"/>
          <w:sz w:val="28"/>
          <w:szCs w:val="28"/>
          <w:highlight w:val="none"/>
        </w:rPr>
      </w:pPr>
      <w:r>
        <w:rPr>
          <w:rFonts w:hint="eastAsia" w:ascii="宋体" w:hAnsi="宋体" w:eastAsia="宋体" w:cs="宋体"/>
          <w:color w:val="auto"/>
          <w:sz w:val="24"/>
          <w:szCs w:val="24"/>
          <w:highlight w:val="none"/>
        </w:rPr>
        <w:t>本标段工程最终结算价以审核机关审定价为准。</w:t>
      </w:r>
    </w:p>
    <w:p w14:paraId="307DDF9B">
      <w:pPr>
        <w:spacing w:line="520" w:lineRule="exact"/>
        <w:ind w:firstLine="560" w:firstLineChars="200"/>
        <w:rPr>
          <w:rFonts w:eastAsia="黑体"/>
          <w:color w:val="auto"/>
          <w:sz w:val="28"/>
          <w:szCs w:val="28"/>
          <w:highlight w:val="none"/>
        </w:rPr>
      </w:pPr>
      <w:r>
        <w:rPr>
          <w:rFonts w:eastAsia="黑体"/>
          <w:color w:val="auto"/>
          <w:sz w:val="28"/>
          <w:szCs w:val="28"/>
          <w:highlight w:val="none"/>
        </w:rPr>
        <w:t>六、组成合同的文件</w:t>
      </w:r>
    </w:p>
    <w:p w14:paraId="65D2932D">
      <w:pPr>
        <w:spacing w:line="480" w:lineRule="exact"/>
        <w:ind w:firstLine="482" w:firstLineChars="200"/>
        <w:rPr>
          <w:rFonts w:hint="eastAsia" w:ascii="Times New Roman" w:hAnsi="Times New Roman" w:eastAsia="楷体_GB2312" w:cs="Times New Roman"/>
          <w:b/>
          <w:color w:val="auto"/>
          <w:sz w:val="24"/>
          <w:szCs w:val="24"/>
          <w:highlight w:val="none"/>
        </w:rPr>
      </w:pPr>
      <w:r>
        <w:rPr>
          <w:rFonts w:hint="eastAsia" w:ascii="Times New Roman" w:hAnsi="Times New Roman" w:eastAsia="楷体_GB2312" w:cs="Times New Roman"/>
          <w:b/>
          <w:color w:val="auto"/>
          <w:sz w:val="24"/>
          <w:szCs w:val="24"/>
          <w:highlight w:val="none"/>
        </w:rPr>
        <w:t>组成本合同的文件包括：</w:t>
      </w:r>
    </w:p>
    <w:p w14:paraId="48C77A24">
      <w:pPr>
        <w:numPr>
          <w:ilvl w:val="0"/>
          <w:numId w:val="2"/>
        </w:numPr>
        <w:spacing w:line="52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本标段工程施工合同；</w:t>
      </w:r>
    </w:p>
    <w:p w14:paraId="6EA2A0D0">
      <w:pPr>
        <w:numPr>
          <w:ilvl w:val="0"/>
          <w:numId w:val="2"/>
        </w:numPr>
        <w:spacing w:line="52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工程造价咨询定案单</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100万以上项目</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w:t>
      </w:r>
    </w:p>
    <w:p w14:paraId="0E856259">
      <w:pPr>
        <w:spacing w:line="52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（三）中标通知书；</w:t>
      </w:r>
    </w:p>
    <w:p w14:paraId="519AFBC6">
      <w:pPr>
        <w:spacing w:line="52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（四）投标函附录；</w:t>
      </w:r>
    </w:p>
    <w:p w14:paraId="67419FCF">
      <w:pPr>
        <w:spacing w:line="52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（五）总预算表；</w:t>
      </w:r>
    </w:p>
    <w:p w14:paraId="397BE2CD">
      <w:pPr>
        <w:spacing w:line="52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（六）项目设计图纸（另附）；</w:t>
      </w:r>
    </w:p>
    <w:p w14:paraId="395C6E5E">
      <w:pPr>
        <w:spacing w:line="52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（七）项目经理委任书；</w:t>
      </w:r>
    </w:p>
    <w:p w14:paraId="2BE55842">
      <w:pPr>
        <w:spacing w:line="52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（八）双方有关工程的洽商、变更等书面协议或文件视为本合同的组成部分。</w:t>
      </w:r>
    </w:p>
    <w:p w14:paraId="0A9FD6DE">
      <w:pPr>
        <w:spacing w:line="520" w:lineRule="exact"/>
        <w:ind w:firstLine="560" w:firstLineChars="200"/>
        <w:rPr>
          <w:rFonts w:eastAsia="黑体"/>
          <w:color w:val="auto"/>
          <w:sz w:val="28"/>
          <w:szCs w:val="28"/>
          <w:highlight w:val="none"/>
        </w:rPr>
      </w:pPr>
      <w:r>
        <w:rPr>
          <w:rFonts w:eastAsia="黑体"/>
          <w:color w:val="auto"/>
          <w:sz w:val="28"/>
          <w:szCs w:val="28"/>
          <w:highlight w:val="none"/>
        </w:rPr>
        <w:t>七、工程款（进度款）支付</w:t>
      </w:r>
    </w:p>
    <w:p w14:paraId="1D76E83E">
      <w:pPr>
        <w:spacing w:line="52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（一）资金支付办法按照《广西财政衔接推进乡村振兴补助资金管理办法》和财政国库管理制度有关规定进行。</w:t>
      </w:r>
    </w:p>
    <w:p w14:paraId="02B36337">
      <w:pPr>
        <w:spacing w:line="520" w:lineRule="exact"/>
        <w:ind w:firstLine="480" w:firstLineChars="200"/>
        <w:rPr>
          <w:rFonts w:hint="eastAsia" w:ascii="宋体" w:hAnsi="宋体" w:eastAsia="宋体" w:cs="宋体"/>
          <w:color w:val="auto"/>
          <w:spacing w:val="-8"/>
          <w:sz w:val="24"/>
          <w:szCs w:val="24"/>
          <w:highlight w:val="none"/>
        </w:rPr>
      </w:pPr>
      <w:r>
        <w:rPr>
          <w:rFonts w:hint="default" w:ascii="宋体" w:hAnsi="宋体" w:eastAsia="宋体" w:cs="宋体"/>
          <w:color w:val="auto"/>
          <w:sz w:val="24"/>
          <w:szCs w:val="24"/>
          <w:highlight w:val="none"/>
        </w:rPr>
        <w:t>(二)乙方不得以任何理由拒付农民工工资</w:t>
      </w:r>
      <w:r>
        <w:rPr>
          <w:rFonts w:hint="eastAsia" w:ascii="宋体" w:hAnsi="宋体" w:eastAsia="宋体" w:cs="宋体"/>
          <w:color w:val="auto"/>
          <w:sz w:val="24"/>
          <w:szCs w:val="24"/>
          <w:highlight w:val="none"/>
          <w:lang w:eastAsia="zh-CN"/>
        </w:rPr>
        <w:t>。</w:t>
      </w:r>
      <w:r>
        <w:rPr>
          <w:rFonts w:hint="default" w:ascii="宋体" w:hAnsi="宋体" w:eastAsia="宋体" w:cs="宋体"/>
          <w:color w:val="auto"/>
          <w:sz w:val="24"/>
          <w:szCs w:val="24"/>
          <w:highlight w:val="none"/>
        </w:rPr>
        <w:t>工程款分次支付</w:t>
      </w:r>
      <w:r>
        <w:rPr>
          <w:rFonts w:hint="eastAsia" w:ascii="宋体" w:hAnsi="宋体" w:eastAsia="宋体" w:cs="宋体"/>
          <w:color w:val="auto"/>
          <w:sz w:val="24"/>
          <w:szCs w:val="24"/>
          <w:highlight w:val="none"/>
          <w:lang w:eastAsia="zh-CN"/>
        </w:rPr>
        <w:t>：</w:t>
      </w:r>
      <w:r>
        <w:rPr>
          <w:rFonts w:hint="default" w:ascii="宋体" w:hAnsi="宋体" w:eastAsia="宋体" w:cs="宋体"/>
          <w:color w:val="auto"/>
          <w:sz w:val="24"/>
          <w:szCs w:val="24"/>
          <w:highlight w:val="none"/>
        </w:rPr>
        <w:t>1.一旦签订合同并进场施工</w:t>
      </w:r>
      <w:r>
        <w:rPr>
          <w:rFonts w:hint="eastAsia" w:ascii="宋体" w:hAnsi="宋体" w:eastAsia="宋体" w:cs="宋体"/>
          <w:color w:val="auto"/>
          <w:sz w:val="24"/>
          <w:szCs w:val="24"/>
          <w:highlight w:val="none"/>
          <w:lang w:eastAsia="zh-CN"/>
        </w:rPr>
        <w:t>，</w:t>
      </w:r>
      <w:r>
        <w:rPr>
          <w:rFonts w:hint="default" w:ascii="宋体" w:hAnsi="宋体" w:eastAsia="宋体" w:cs="宋体"/>
          <w:color w:val="auto"/>
          <w:sz w:val="24"/>
          <w:szCs w:val="24"/>
          <w:highlight w:val="none"/>
        </w:rPr>
        <w:t>甲方在收到乙方开具相应发票的十个工作日内</w:t>
      </w:r>
      <w:r>
        <w:rPr>
          <w:rFonts w:hint="eastAsia" w:ascii="宋体" w:hAnsi="宋体" w:eastAsia="宋体" w:cs="宋体"/>
          <w:color w:val="auto"/>
          <w:sz w:val="24"/>
          <w:szCs w:val="24"/>
          <w:highlight w:val="none"/>
          <w:lang w:eastAsia="zh-CN"/>
        </w:rPr>
        <w:t>，</w:t>
      </w:r>
      <w:r>
        <w:rPr>
          <w:rFonts w:hint="default" w:ascii="宋体" w:hAnsi="宋体" w:eastAsia="宋体" w:cs="宋体"/>
          <w:color w:val="auto"/>
          <w:sz w:val="24"/>
          <w:szCs w:val="24"/>
          <w:highlight w:val="none"/>
        </w:rPr>
        <w:t>按合同价预拨付不超过</w:t>
      </w:r>
      <w:r>
        <w:rPr>
          <w:rFonts w:hint="eastAsia" w:ascii="宋体" w:hAnsi="宋体" w:eastAsia="宋体" w:cs="宋体"/>
          <w:color w:val="auto"/>
          <w:sz w:val="24"/>
          <w:szCs w:val="24"/>
          <w:highlight w:val="none"/>
          <w:lang w:val="en-US" w:eastAsia="zh-CN"/>
        </w:rPr>
        <w:t>3</w:t>
      </w:r>
      <w:r>
        <w:rPr>
          <w:rFonts w:hint="default" w:ascii="宋体" w:hAnsi="宋体" w:eastAsia="宋体" w:cs="宋体"/>
          <w:color w:val="auto"/>
          <w:sz w:val="24"/>
          <w:szCs w:val="24"/>
          <w:highlight w:val="none"/>
        </w:rPr>
        <w:t>0%的资金给乙方</w:t>
      </w:r>
      <w:r>
        <w:rPr>
          <w:rFonts w:hint="eastAsia" w:ascii="宋体" w:hAnsi="宋体" w:eastAsia="宋体" w:cs="宋体"/>
          <w:color w:val="auto"/>
          <w:sz w:val="24"/>
          <w:szCs w:val="24"/>
          <w:highlight w:val="none"/>
          <w:lang w:eastAsia="zh-CN"/>
        </w:rPr>
        <w:t>；</w:t>
      </w:r>
      <w:r>
        <w:rPr>
          <w:rFonts w:hint="default" w:ascii="宋体" w:hAnsi="宋体" w:eastAsia="宋体" w:cs="宋体"/>
          <w:color w:val="auto"/>
          <w:sz w:val="24"/>
          <w:szCs w:val="24"/>
          <w:highlight w:val="none"/>
        </w:rPr>
        <w:t>2.工程完工后，经甲方技术人员初检认定质量合格的并收到乙方开具相应发票的三十日内</w:t>
      </w:r>
      <w:r>
        <w:rPr>
          <w:rFonts w:hint="eastAsia" w:ascii="宋体" w:hAnsi="宋体" w:eastAsia="宋体" w:cs="宋体"/>
          <w:color w:val="auto"/>
          <w:sz w:val="24"/>
          <w:szCs w:val="24"/>
          <w:highlight w:val="none"/>
          <w:lang w:eastAsia="zh-CN"/>
        </w:rPr>
        <w:t>，</w:t>
      </w:r>
      <w:r>
        <w:rPr>
          <w:rFonts w:hint="default" w:ascii="宋体" w:hAnsi="宋体" w:eastAsia="宋体" w:cs="宋体"/>
          <w:color w:val="auto"/>
          <w:sz w:val="24"/>
          <w:szCs w:val="24"/>
          <w:highlight w:val="none"/>
        </w:rPr>
        <w:t>拨付</w:t>
      </w:r>
      <w:r>
        <w:rPr>
          <w:rFonts w:hint="eastAsia" w:ascii="宋体" w:hAnsi="宋体" w:eastAsia="宋体" w:cs="宋体"/>
          <w:color w:val="auto"/>
          <w:sz w:val="24"/>
          <w:szCs w:val="24"/>
          <w:highlight w:val="none"/>
          <w:lang w:val="en-US" w:eastAsia="zh-CN"/>
        </w:rPr>
        <w:t>8</w:t>
      </w:r>
      <w:r>
        <w:rPr>
          <w:rFonts w:hint="default" w:ascii="宋体" w:hAnsi="宋体" w:eastAsia="宋体" w:cs="宋体"/>
          <w:color w:val="auto"/>
          <w:sz w:val="24"/>
          <w:szCs w:val="24"/>
          <w:highlight w:val="none"/>
        </w:rPr>
        <w:t>0%工程进度款给乙方《扣除第一次预付款项》</w:t>
      </w:r>
      <w:r>
        <w:rPr>
          <w:rFonts w:hint="eastAsia" w:ascii="宋体" w:hAnsi="宋体" w:eastAsia="宋体" w:cs="宋体"/>
          <w:color w:val="auto"/>
          <w:sz w:val="24"/>
          <w:szCs w:val="24"/>
          <w:highlight w:val="none"/>
          <w:lang w:eastAsia="zh-CN"/>
        </w:rPr>
        <w:t>。</w:t>
      </w:r>
      <w:r>
        <w:rPr>
          <w:rFonts w:hint="default" w:ascii="宋体" w:hAnsi="宋体" w:eastAsia="宋体" w:cs="宋体"/>
          <w:color w:val="auto"/>
          <w:sz w:val="24"/>
          <w:szCs w:val="24"/>
          <w:highlight w:val="none"/>
        </w:rPr>
        <w:t>如确属需返修的工程</w:t>
      </w:r>
      <w:r>
        <w:rPr>
          <w:rFonts w:hint="eastAsia" w:ascii="宋体" w:hAnsi="宋体" w:eastAsia="宋体" w:cs="宋体"/>
          <w:color w:val="auto"/>
          <w:sz w:val="24"/>
          <w:szCs w:val="24"/>
          <w:highlight w:val="none"/>
          <w:lang w:eastAsia="zh-CN"/>
        </w:rPr>
        <w:t>，</w:t>
      </w:r>
      <w:r>
        <w:rPr>
          <w:rFonts w:hint="default" w:ascii="宋体" w:hAnsi="宋体" w:eastAsia="宋体" w:cs="宋体"/>
          <w:color w:val="auto"/>
          <w:sz w:val="24"/>
          <w:szCs w:val="24"/>
          <w:highlight w:val="none"/>
        </w:rPr>
        <w:t>视返修工程量情况酌情拨付工程款</w:t>
      </w:r>
      <w:r>
        <w:rPr>
          <w:rFonts w:hint="eastAsia" w:ascii="宋体" w:hAnsi="宋体" w:eastAsia="宋体" w:cs="宋体"/>
          <w:color w:val="auto"/>
          <w:sz w:val="24"/>
          <w:szCs w:val="24"/>
          <w:highlight w:val="none"/>
          <w:lang w:eastAsia="zh-CN"/>
        </w:rPr>
        <w:t>：</w:t>
      </w:r>
      <w:r>
        <w:rPr>
          <w:rFonts w:hint="default" w:ascii="宋体" w:hAnsi="宋体" w:eastAsia="宋体" w:cs="宋体"/>
          <w:color w:val="auto"/>
          <w:sz w:val="24"/>
          <w:szCs w:val="24"/>
          <w:highlight w:val="none"/>
        </w:rPr>
        <w:t>3</w:t>
      </w:r>
      <w:r>
        <w:rPr>
          <w:rFonts w:hint="eastAsia" w:ascii="宋体" w:hAnsi="宋体" w:eastAsia="宋体" w:cs="宋体"/>
          <w:color w:val="auto"/>
          <w:sz w:val="24"/>
          <w:szCs w:val="24"/>
          <w:highlight w:val="none"/>
          <w:lang w:val="en-US" w:eastAsia="zh-CN"/>
        </w:rPr>
        <w:t>.</w:t>
      </w:r>
      <w:r>
        <w:rPr>
          <w:rFonts w:hint="default" w:ascii="宋体" w:hAnsi="宋体" w:eastAsia="宋体" w:cs="宋体"/>
          <w:color w:val="auto"/>
          <w:sz w:val="24"/>
          <w:szCs w:val="24"/>
          <w:highlight w:val="none"/>
        </w:rPr>
        <w:t>工程竣工并经县级验收合格后</w:t>
      </w:r>
      <w:r>
        <w:rPr>
          <w:rFonts w:hint="eastAsia" w:ascii="宋体" w:hAnsi="宋体" w:eastAsia="宋体" w:cs="宋体"/>
          <w:color w:val="auto"/>
          <w:sz w:val="24"/>
          <w:szCs w:val="24"/>
          <w:highlight w:val="none"/>
          <w:lang w:eastAsia="zh-CN"/>
        </w:rPr>
        <w:t>，</w:t>
      </w:r>
      <w:r>
        <w:rPr>
          <w:rFonts w:hint="default" w:ascii="宋体" w:hAnsi="宋体" w:eastAsia="宋体" w:cs="宋体"/>
          <w:color w:val="auto"/>
          <w:sz w:val="24"/>
          <w:szCs w:val="24"/>
          <w:highlight w:val="none"/>
        </w:rPr>
        <w:t>并收到乙方开具相应发票的三十日内</w:t>
      </w:r>
      <w:r>
        <w:rPr>
          <w:rFonts w:hint="eastAsia" w:ascii="宋体" w:hAnsi="宋体" w:eastAsia="宋体" w:cs="宋体"/>
          <w:color w:val="auto"/>
          <w:sz w:val="24"/>
          <w:szCs w:val="24"/>
          <w:highlight w:val="none"/>
          <w:lang w:eastAsia="zh-CN"/>
        </w:rPr>
        <w:t>，</w:t>
      </w:r>
      <w:r>
        <w:rPr>
          <w:rFonts w:hint="default" w:ascii="宋体" w:hAnsi="宋体" w:eastAsia="宋体" w:cs="宋体"/>
          <w:color w:val="auto"/>
          <w:sz w:val="24"/>
          <w:szCs w:val="24"/>
          <w:highlight w:val="none"/>
        </w:rPr>
        <w:t>甲方可拨付</w:t>
      </w:r>
      <w:r>
        <w:rPr>
          <w:rFonts w:hint="eastAsia" w:ascii="宋体" w:hAnsi="宋体" w:eastAsia="宋体" w:cs="宋体"/>
          <w:color w:val="auto"/>
          <w:sz w:val="24"/>
          <w:szCs w:val="24"/>
          <w:highlight w:val="none"/>
          <w:lang w:val="en-US" w:eastAsia="zh-CN"/>
        </w:rPr>
        <w:t>9</w:t>
      </w:r>
      <w:r>
        <w:rPr>
          <w:rFonts w:hint="default" w:ascii="宋体" w:hAnsi="宋体" w:eastAsia="宋体" w:cs="宋体"/>
          <w:color w:val="auto"/>
          <w:sz w:val="24"/>
          <w:szCs w:val="24"/>
          <w:highlight w:val="none"/>
        </w:rPr>
        <w:t>0%工程款给乙方《扣除第一次预付款项和第二次工程进度款》</w:t>
      </w:r>
      <w:r>
        <w:rPr>
          <w:rFonts w:hint="eastAsia" w:ascii="宋体" w:hAnsi="宋体" w:eastAsia="宋体" w:cs="宋体"/>
          <w:color w:val="auto"/>
          <w:sz w:val="24"/>
          <w:szCs w:val="24"/>
          <w:highlight w:val="none"/>
          <w:lang w:eastAsia="zh-CN"/>
        </w:rPr>
        <w:t>；</w:t>
      </w:r>
      <w:r>
        <w:rPr>
          <w:rFonts w:hint="default" w:ascii="宋体" w:hAnsi="宋体" w:eastAsia="宋体" w:cs="宋体"/>
          <w:color w:val="auto"/>
          <w:sz w:val="24"/>
          <w:szCs w:val="24"/>
          <w:highlight w:val="none"/>
        </w:rPr>
        <w:t>4.</w:t>
      </w:r>
      <w:r>
        <w:rPr>
          <w:rFonts w:hint="eastAsia" w:ascii="宋体" w:hAnsi="宋体" w:eastAsia="宋体" w:cs="宋体"/>
          <w:color w:val="auto"/>
          <w:sz w:val="24"/>
          <w:szCs w:val="24"/>
          <w:highlight w:val="none"/>
          <w:lang w:eastAsia="zh-CN"/>
        </w:rPr>
        <w:t>由</w:t>
      </w:r>
      <w:r>
        <w:rPr>
          <w:rFonts w:hint="default" w:ascii="宋体" w:hAnsi="宋体" w:eastAsia="宋体" w:cs="宋体"/>
          <w:color w:val="auto"/>
          <w:sz w:val="24"/>
          <w:szCs w:val="24"/>
          <w:highlight w:val="none"/>
        </w:rPr>
        <w:t>审计部门结算造价审计后，按审计部门审定的结算造价金额预留 3%作为工程质保金后一次性结清工程款《扣除预付款项和进度款项》</w:t>
      </w:r>
      <w:r>
        <w:rPr>
          <w:rFonts w:hint="eastAsia" w:ascii="宋体" w:hAnsi="宋体" w:eastAsia="宋体" w:cs="宋体"/>
          <w:color w:val="auto"/>
          <w:sz w:val="24"/>
          <w:szCs w:val="24"/>
          <w:highlight w:val="none"/>
          <w:lang w:eastAsia="zh-CN"/>
        </w:rPr>
        <w:t>；</w:t>
      </w:r>
      <w:r>
        <w:rPr>
          <w:rFonts w:hint="default" w:ascii="宋体" w:hAnsi="宋体" w:eastAsia="宋体" w:cs="宋体"/>
          <w:color w:val="auto"/>
          <w:sz w:val="24"/>
          <w:szCs w:val="24"/>
          <w:highlight w:val="none"/>
        </w:rPr>
        <w:t>5.如未发生工程质量保修行为的</w:t>
      </w:r>
      <w:r>
        <w:rPr>
          <w:rFonts w:hint="eastAsia" w:ascii="宋体" w:hAnsi="宋体" w:eastAsia="宋体" w:cs="宋体"/>
          <w:color w:val="auto"/>
          <w:sz w:val="24"/>
          <w:szCs w:val="24"/>
          <w:highlight w:val="none"/>
          <w:lang w:eastAsia="zh-CN"/>
        </w:rPr>
        <w:t>，</w:t>
      </w:r>
      <w:r>
        <w:rPr>
          <w:rFonts w:hint="default" w:ascii="宋体" w:hAnsi="宋体" w:eastAsia="宋体" w:cs="宋体"/>
          <w:color w:val="auto"/>
          <w:sz w:val="24"/>
          <w:szCs w:val="24"/>
          <w:highlight w:val="none"/>
        </w:rPr>
        <w:t>竣工验收满 1年后</w:t>
      </w:r>
      <w:r>
        <w:rPr>
          <w:rFonts w:hint="eastAsia" w:ascii="宋体" w:hAnsi="宋体" w:eastAsia="宋体" w:cs="宋体"/>
          <w:color w:val="auto"/>
          <w:sz w:val="24"/>
          <w:szCs w:val="24"/>
          <w:highlight w:val="none"/>
          <w:lang w:eastAsia="zh-CN"/>
        </w:rPr>
        <w:t>，</w:t>
      </w:r>
      <w:r>
        <w:rPr>
          <w:rFonts w:hint="default" w:ascii="宋体" w:hAnsi="宋体" w:eastAsia="宋体" w:cs="宋体"/>
          <w:color w:val="auto"/>
          <w:sz w:val="24"/>
          <w:szCs w:val="24"/>
          <w:highlight w:val="none"/>
        </w:rPr>
        <w:t>由甲方及有关技术人员签证后退还工程质保金给乙方</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pacing w:val="-8"/>
          <w:sz w:val="24"/>
          <w:szCs w:val="24"/>
          <w:highlight w:val="none"/>
        </w:rPr>
        <w:t xml:space="preserve"> </w:t>
      </w:r>
    </w:p>
    <w:p w14:paraId="4DEE3007">
      <w:pPr>
        <w:spacing w:line="520" w:lineRule="exact"/>
        <w:ind w:firstLine="560" w:firstLineChars="200"/>
        <w:rPr>
          <w:rFonts w:eastAsia="黑体"/>
          <w:bCs/>
          <w:color w:val="auto"/>
          <w:sz w:val="28"/>
          <w:szCs w:val="28"/>
          <w:highlight w:val="none"/>
        </w:rPr>
      </w:pPr>
      <w:r>
        <w:rPr>
          <w:rFonts w:eastAsia="黑体"/>
          <w:bCs/>
          <w:color w:val="auto"/>
          <w:sz w:val="28"/>
          <w:szCs w:val="28"/>
          <w:highlight w:val="none"/>
        </w:rPr>
        <w:t>八、工程施工要求</w:t>
      </w:r>
    </w:p>
    <w:p w14:paraId="2BC90352">
      <w:pPr>
        <w:spacing w:line="520" w:lineRule="exact"/>
        <w:ind w:firstLine="482" w:firstLineChars="200"/>
        <w:rPr>
          <w:color w:val="auto"/>
          <w:sz w:val="24"/>
          <w:szCs w:val="24"/>
          <w:highlight w:val="none"/>
        </w:rPr>
      </w:pPr>
      <w:r>
        <w:rPr>
          <w:rFonts w:eastAsia="楷体_GB2312"/>
          <w:b/>
          <w:color w:val="auto"/>
          <w:sz w:val="24"/>
          <w:szCs w:val="24"/>
          <w:highlight w:val="none"/>
        </w:rPr>
        <w:t>（一）工程内容施工要求。</w:t>
      </w:r>
      <w:r>
        <w:rPr>
          <w:color w:val="auto"/>
          <w:sz w:val="24"/>
          <w:szCs w:val="24"/>
          <w:highlight w:val="none"/>
        </w:rPr>
        <w:t>乙方必须按工程图纸规范及所示工程内容或变更设计图纸确定的工程内容及工程结构、工程量施工，乙方不得擅自更改或增减，服从甲方对工程施工变更要求。</w:t>
      </w:r>
    </w:p>
    <w:p w14:paraId="6C088267">
      <w:pPr>
        <w:spacing w:line="520" w:lineRule="exact"/>
        <w:ind w:firstLine="482" w:firstLineChars="200"/>
        <w:rPr>
          <w:color w:val="auto"/>
          <w:sz w:val="24"/>
          <w:szCs w:val="24"/>
          <w:highlight w:val="none"/>
        </w:rPr>
      </w:pPr>
      <w:r>
        <w:rPr>
          <w:rFonts w:eastAsia="楷体_GB2312"/>
          <w:b/>
          <w:color w:val="auto"/>
          <w:sz w:val="24"/>
          <w:szCs w:val="24"/>
          <w:highlight w:val="none"/>
        </w:rPr>
        <w:t>（二）施工监督检查要求。</w:t>
      </w:r>
      <w:r>
        <w:rPr>
          <w:color w:val="auto"/>
          <w:sz w:val="24"/>
          <w:szCs w:val="24"/>
          <w:highlight w:val="none"/>
        </w:rPr>
        <w:t>乙方必须服从甲方工程施工监督检查人员对本工程的施工监督检查，遵从有关工程监督检查要求并及时向监督检查人员提供施工资料。</w:t>
      </w:r>
    </w:p>
    <w:p w14:paraId="48C1831A">
      <w:pPr>
        <w:spacing w:line="520" w:lineRule="exact"/>
        <w:ind w:firstLine="482" w:firstLineChars="200"/>
        <w:rPr>
          <w:color w:val="auto"/>
          <w:sz w:val="24"/>
          <w:szCs w:val="24"/>
          <w:highlight w:val="none"/>
        </w:rPr>
      </w:pPr>
      <w:r>
        <w:rPr>
          <w:rFonts w:eastAsia="楷体_GB2312"/>
          <w:b/>
          <w:color w:val="auto"/>
          <w:sz w:val="24"/>
          <w:szCs w:val="24"/>
          <w:highlight w:val="none"/>
        </w:rPr>
        <w:t>（三）工程质量要求。</w:t>
      </w:r>
      <w:r>
        <w:rPr>
          <w:color w:val="auto"/>
          <w:sz w:val="24"/>
          <w:szCs w:val="24"/>
          <w:highlight w:val="none"/>
        </w:rPr>
        <w:t>工程质量必须达到检验的“合格”标准。乙方必须服从质检部门的质检要求，所采购、使用的建筑材料必须符合“合格”质量标准，并向质检部门提供建材“合格”证件资料和递送建筑材料、构件质量检验。不合格的材料严禁使用，乙方使用不合格材料造成的一切质量问题和工程返工，均由乙方负一切责任。</w:t>
      </w:r>
    </w:p>
    <w:p w14:paraId="01E94AB1">
      <w:pPr>
        <w:spacing w:line="520" w:lineRule="exact"/>
        <w:ind w:firstLine="482" w:firstLineChars="200"/>
        <w:rPr>
          <w:color w:val="auto"/>
          <w:sz w:val="24"/>
          <w:szCs w:val="24"/>
          <w:highlight w:val="none"/>
        </w:rPr>
      </w:pPr>
      <w:r>
        <w:rPr>
          <w:rFonts w:eastAsia="楷体_GB2312"/>
          <w:b/>
          <w:color w:val="auto"/>
          <w:sz w:val="24"/>
          <w:szCs w:val="24"/>
          <w:highlight w:val="none"/>
        </w:rPr>
        <w:t>（四）施工安全要求。</w:t>
      </w:r>
      <w:r>
        <w:rPr>
          <w:color w:val="auto"/>
          <w:sz w:val="24"/>
          <w:szCs w:val="24"/>
          <w:highlight w:val="none"/>
        </w:rPr>
        <w:t>乙方必须做好施工安全防护，做好施工运输交通安全，做好施工安全标志，凡是由于乙方施工造成的安全事故一律由乙方承担一切责任。</w:t>
      </w:r>
    </w:p>
    <w:p w14:paraId="4ED9F3F6">
      <w:pPr>
        <w:spacing w:line="520" w:lineRule="exact"/>
        <w:ind w:firstLine="482" w:firstLineChars="200"/>
        <w:rPr>
          <w:rFonts w:hint="eastAsia" w:ascii="宋体" w:hAnsi="宋体" w:eastAsia="宋体" w:cs="宋体"/>
          <w:color w:val="auto"/>
          <w:sz w:val="24"/>
          <w:szCs w:val="24"/>
          <w:highlight w:val="none"/>
        </w:rPr>
      </w:pPr>
      <w:r>
        <w:rPr>
          <w:rFonts w:eastAsia="楷体_GB2312"/>
          <w:b/>
          <w:color w:val="auto"/>
          <w:sz w:val="24"/>
          <w:szCs w:val="24"/>
          <w:highlight w:val="none"/>
        </w:rPr>
        <w:t>（五）文明施工要求。</w:t>
      </w:r>
      <w:r>
        <w:rPr>
          <w:color w:val="auto"/>
          <w:sz w:val="24"/>
          <w:szCs w:val="24"/>
          <w:highlight w:val="none"/>
        </w:rPr>
        <w:t>乙方必须遵守地方民俗和村规民约，遵纪守法，尽可能地保护当地群众的财产和农作物，不能损害当地群众的利益，做到文明施工。乙方人员的住宿和建筑材料堆放要有规范的安排和管理，及时清理建筑和生活垃圾，保持施工和住宿场地整洁卫生，并且搞好与当地政府部门和群众的配合、协作等关系。</w:t>
      </w:r>
    </w:p>
    <w:p w14:paraId="3AFE8B45">
      <w:pPr>
        <w:spacing w:line="520" w:lineRule="exact"/>
        <w:ind w:firstLine="241" w:firstLineChars="100"/>
        <w:rPr>
          <w:rFonts w:hint="eastAsia" w:ascii="宋体" w:hAnsi="宋体" w:eastAsia="宋体" w:cs="宋体"/>
          <w:color w:val="auto"/>
          <w:sz w:val="24"/>
          <w:szCs w:val="24"/>
          <w:highlight w:val="none"/>
        </w:rPr>
      </w:pPr>
      <w:r>
        <w:rPr>
          <w:rFonts w:hint="eastAsia" w:ascii="Times New Roman" w:hAnsi="Times New Roman" w:eastAsia="楷体_GB2312" w:cs="Times New Roman"/>
          <w:b/>
          <w:color w:val="auto"/>
          <w:sz w:val="24"/>
          <w:szCs w:val="24"/>
          <w:highlight w:val="none"/>
        </w:rPr>
        <w:t>（六）施工进度要求。</w:t>
      </w:r>
      <w:r>
        <w:rPr>
          <w:rFonts w:hint="eastAsia" w:ascii="宋体" w:hAnsi="宋体" w:eastAsia="宋体" w:cs="宋体"/>
          <w:color w:val="auto"/>
          <w:sz w:val="24"/>
          <w:szCs w:val="24"/>
          <w:highlight w:val="none"/>
        </w:rPr>
        <w:t>在本工程要求在</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日前入场施工；</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日前完成全部工程。在施工过程中，乙方必须服从甲方提出的阶段性施工力量和完成进度任务要求。</w:t>
      </w:r>
    </w:p>
    <w:p w14:paraId="2D602E6B">
      <w:pPr>
        <w:spacing w:line="520" w:lineRule="exact"/>
        <w:ind w:firstLine="640" w:firstLineChars="200"/>
        <w:rPr>
          <w:rFonts w:eastAsia="黑体"/>
          <w:bCs/>
          <w:color w:val="auto"/>
          <w:sz w:val="32"/>
          <w:szCs w:val="32"/>
          <w:highlight w:val="none"/>
        </w:rPr>
      </w:pPr>
      <w:r>
        <w:rPr>
          <w:rFonts w:eastAsia="黑体"/>
          <w:bCs/>
          <w:color w:val="auto"/>
          <w:sz w:val="32"/>
          <w:szCs w:val="32"/>
          <w:highlight w:val="none"/>
        </w:rPr>
        <w:t>九、设计变更</w:t>
      </w:r>
    </w:p>
    <w:p w14:paraId="08FD61F5">
      <w:pPr>
        <w:autoSpaceDE w:val="0"/>
        <w:autoSpaceDN w:val="0"/>
        <w:adjustRightInd w:val="0"/>
        <w:spacing w:line="520" w:lineRule="exact"/>
        <w:ind w:firstLine="480" w:firstLineChars="200"/>
        <w:rPr>
          <w:color w:val="auto"/>
          <w:kern w:val="0"/>
          <w:sz w:val="24"/>
          <w:szCs w:val="24"/>
          <w:highlight w:val="none"/>
        </w:rPr>
      </w:pPr>
      <w:r>
        <w:rPr>
          <w:color w:val="auto"/>
          <w:kern w:val="0"/>
          <w:sz w:val="24"/>
          <w:szCs w:val="24"/>
          <w:highlight w:val="none"/>
        </w:rPr>
        <w:t>（一）发生设计变更或工程量发生变动，必须由甲方技术人员现场查看并签认后，方可作为工程结算依据。</w:t>
      </w:r>
    </w:p>
    <w:p w14:paraId="74EB2890">
      <w:pPr>
        <w:autoSpaceDE w:val="0"/>
        <w:autoSpaceDN w:val="0"/>
        <w:adjustRightInd w:val="0"/>
        <w:spacing w:line="520" w:lineRule="exact"/>
        <w:ind w:firstLine="480" w:firstLineChars="200"/>
        <w:rPr>
          <w:color w:val="auto"/>
          <w:kern w:val="0"/>
          <w:sz w:val="24"/>
          <w:szCs w:val="24"/>
          <w:highlight w:val="none"/>
        </w:rPr>
      </w:pPr>
      <w:r>
        <w:rPr>
          <w:color w:val="auto"/>
          <w:kern w:val="0"/>
          <w:sz w:val="24"/>
          <w:szCs w:val="24"/>
          <w:highlight w:val="none"/>
        </w:rPr>
        <w:t>（二）若发生单价变动，由甲乙双方共同商定签字确认。</w:t>
      </w:r>
    </w:p>
    <w:p w14:paraId="63F1775F">
      <w:pPr>
        <w:spacing w:line="520" w:lineRule="exact"/>
        <w:ind w:firstLine="640" w:firstLineChars="200"/>
        <w:rPr>
          <w:rFonts w:eastAsia="黑体"/>
          <w:bCs/>
          <w:color w:val="auto"/>
          <w:sz w:val="32"/>
          <w:szCs w:val="32"/>
          <w:highlight w:val="none"/>
        </w:rPr>
      </w:pPr>
      <w:r>
        <w:rPr>
          <w:rFonts w:eastAsia="黑体"/>
          <w:bCs/>
          <w:color w:val="auto"/>
          <w:sz w:val="32"/>
          <w:szCs w:val="32"/>
          <w:highlight w:val="none"/>
        </w:rPr>
        <w:t>十、工程隐蔽要求</w:t>
      </w:r>
    </w:p>
    <w:p w14:paraId="43A599D8">
      <w:pPr>
        <w:spacing w:line="520" w:lineRule="exact"/>
        <w:ind w:firstLine="480" w:firstLineChars="200"/>
        <w:rPr>
          <w:color w:val="auto"/>
          <w:sz w:val="24"/>
          <w:szCs w:val="24"/>
          <w:highlight w:val="none"/>
        </w:rPr>
      </w:pPr>
      <w:r>
        <w:rPr>
          <w:color w:val="auto"/>
          <w:sz w:val="24"/>
          <w:szCs w:val="24"/>
          <w:highlight w:val="none"/>
        </w:rPr>
        <w:t>（一）工程施工在具备隐蔽时，乙方应及时以书面资料形式通知甲方，报告隐蔽内容、检验时间和地点，甲方施工代表按时组织有关业务部门查验，经检验和甲方代表签字确认“合格”后方可隐蔽和进入下一道工序。</w:t>
      </w:r>
    </w:p>
    <w:p w14:paraId="00CD9A9D">
      <w:pPr>
        <w:spacing w:line="520" w:lineRule="exact"/>
        <w:ind w:firstLine="480" w:firstLineChars="200"/>
        <w:rPr>
          <w:color w:val="auto"/>
          <w:sz w:val="24"/>
          <w:szCs w:val="24"/>
          <w:highlight w:val="none"/>
        </w:rPr>
      </w:pPr>
      <w:r>
        <w:rPr>
          <w:color w:val="auto"/>
          <w:sz w:val="24"/>
          <w:szCs w:val="24"/>
          <w:highlight w:val="none"/>
        </w:rPr>
        <w:t>（二）甲方应在接到乙方工程施工隐蔽报告后5天内组织检验和确认合格签证，如5天内无组织检验和签字确认，乙方可视甲方认可进行隐蔽和进入下一道工序。</w:t>
      </w:r>
    </w:p>
    <w:p w14:paraId="6D8EA9C6">
      <w:pPr>
        <w:spacing w:line="520" w:lineRule="exact"/>
        <w:ind w:firstLine="640" w:firstLineChars="200"/>
        <w:rPr>
          <w:rFonts w:eastAsia="黑体"/>
          <w:bCs/>
          <w:color w:val="auto"/>
          <w:sz w:val="32"/>
          <w:szCs w:val="32"/>
          <w:highlight w:val="none"/>
        </w:rPr>
      </w:pPr>
      <w:r>
        <w:rPr>
          <w:rFonts w:eastAsia="黑体"/>
          <w:bCs/>
          <w:color w:val="auto"/>
          <w:sz w:val="32"/>
          <w:szCs w:val="32"/>
          <w:highlight w:val="none"/>
        </w:rPr>
        <w:t>十一、工程返工整改及保修</w:t>
      </w:r>
    </w:p>
    <w:p w14:paraId="65E4F173">
      <w:pPr>
        <w:spacing w:line="520" w:lineRule="exact"/>
        <w:ind w:firstLine="480" w:firstLineChars="200"/>
        <w:rPr>
          <w:color w:val="auto"/>
          <w:sz w:val="24"/>
          <w:szCs w:val="24"/>
          <w:highlight w:val="none"/>
        </w:rPr>
      </w:pPr>
      <w:r>
        <w:rPr>
          <w:color w:val="auto"/>
          <w:sz w:val="24"/>
          <w:szCs w:val="24"/>
          <w:highlight w:val="none"/>
        </w:rPr>
        <w:t>乙方在施工过程中或保修期内，如发生检验不合格或出现质量问题需要返工整改或保修的，在接到甲方返工整改、保修通知后必须按规定的时间内完成，返工整改、保修费用一概由乙方负责。</w:t>
      </w:r>
    </w:p>
    <w:p w14:paraId="709C6170">
      <w:pPr>
        <w:snapToGrid w:val="0"/>
        <w:spacing w:line="520" w:lineRule="exact"/>
        <w:ind w:firstLine="640" w:firstLineChars="200"/>
        <w:jc w:val="left"/>
        <w:rPr>
          <w:rFonts w:eastAsia="黑体"/>
          <w:color w:val="auto"/>
          <w:sz w:val="32"/>
          <w:szCs w:val="32"/>
          <w:highlight w:val="none"/>
        </w:rPr>
      </w:pPr>
      <w:r>
        <w:rPr>
          <w:rFonts w:eastAsia="黑体"/>
          <w:color w:val="auto"/>
          <w:sz w:val="32"/>
          <w:szCs w:val="32"/>
          <w:highlight w:val="none"/>
        </w:rPr>
        <w:t>十二、竣工验收</w:t>
      </w:r>
    </w:p>
    <w:p w14:paraId="661A92B8">
      <w:pPr>
        <w:snapToGrid w:val="0"/>
        <w:spacing w:line="520" w:lineRule="exact"/>
        <w:ind w:firstLine="480" w:firstLineChars="200"/>
        <w:jc w:val="left"/>
        <w:rPr>
          <w:color w:val="auto"/>
          <w:sz w:val="24"/>
          <w:szCs w:val="24"/>
          <w:highlight w:val="none"/>
        </w:rPr>
      </w:pPr>
      <w:r>
        <w:rPr>
          <w:color w:val="auto"/>
          <w:sz w:val="24"/>
          <w:szCs w:val="24"/>
          <w:highlight w:val="none"/>
        </w:rPr>
        <w:t>（一）工程具备竣工验收条件，乙方按国家工程竣工验收有关规定，向甲方提供竣工验收报告、竣工图纸及完整竣工资料2份。</w:t>
      </w:r>
    </w:p>
    <w:p w14:paraId="7FFCE73A">
      <w:pPr>
        <w:snapToGrid w:val="0"/>
        <w:spacing w:line="520" w:lineRule="exact"/>
        <w:ind w:firstLine="480" w:firstLineChars="200"/>
        <w:jc w:val="left"/>
        <w:rPr>
          <w:color w:val="auto"/>
          <w:sz w:val="24"/>
          <w:szCs w:val="24"/>
          <w:highlight w:val="none"/>
        </w:rPr>
      </w:pPr>
      <w:r>
        <w:rPr>
          <w:color w:val="auto"/>
          <w:sz w:val="24"/>
          <w:szCs w:val="24"/>
          <w:highlight w:val="none"/>
        </w:rPr>
        <w:t>（二）甲方收到竣工验收报告后组织有关单位验收，并在验收后</w:t>
      </w:r>
      <w:r>
        <w:rPr>
          <w:rFonts w:hint="eastAsia"/>
          <w:color w:val="auto"/>
          <w:sz w:val="24"/>
          <w:szCs w:val="24"/>
          <w:highlight w:val="none"/>
          <w:lang w:val="en-US" w:eastAsia="zh-CN"/>
        </w:rPr>
        <w:t>7</w:t>
      </w:r>
      <w:r>
        <w:rPr>
          <w:color w:val="auto"/>
          <w:sz w:val="24"/>
          <w:szCs w:val="24"/>
          <w:highlight w:val="none"/>
        </w:rPr>
        <w:t>天内给予认可或提出修改意见，乙方按要求进行整改。</w:t>
      </w:r>
    </w:p>
    <w:p w14:paraId="235AB716">
      <w:pPr>
        <w:snapToGrid w:val="0"/>
        <w:spacing w:line="520" w:lineRule="exact"/>
        <w:ind w:firstLine="480" w:firstLineChars="200"/>
        <w:jc w:val="left"/>
        <w:rPr>
          <w:color w:val="auto"/>
          <w:sz w:val="24"/>
          <w:szCs w:val="24"/>
          <w:highlight w:val="none"/>
        </w:rPr>
      </w:pPr>
      <w:r>
        <w:rPr>
          <w:color w:val="auto"/>
          <w:sz w:val="24"/>
          <w:szCs w:val="24"/>
          <w:highlight w:val="none"/>
        </w:rPr>
        <w:t>（三）甲方收到乙方递交竣工验收报告后不组织验收，或验收后</w:t>
      </w:r>
      <w:r>
        <w:rPr>
          <w:rFonts w:hint="eastAsia"/>
          <w:color w:val="auto"/>
          <w:sz w:val="24"/>
          <w:szCs w:val="24"/>
          <w:highlight w:val="none"/>
          <w:lang w:val="en-US" w:eastAsia="zh-CN"/>
        </w:rPr>
        <w:t>7</w:t>
      </w:r>
      <w:r>
        <w:rPr>
          <w:color w:val="auto"/>
          <w:sz w:val="24"/>
          <w:szCs w:val="24"/>
          <w:highlight w:val="none"/>
        </w:rPr>
        <w:t>天内不提出修改意见，视为竣工验收报告已被认可通过。</w:t>
      </w:r>
    </w:p>
    <w:p w14:paraId="5B0AD03D">
      <w:pPr>
        <w:snapToGrid w:val="0"/>
        <w:spacing w:line="520" w:lineRule="exact"/>
        <w:ind w:firstLine="480" w:firstLineChars="200"/>
        <w:jc w:val="left"/>
        <w:rPr>
          <w:color w:val="auto"/>
          <w:sz w:val="24"/>
          <w:szCs w:val="24"/>
          <w:highlight w:val="none"/>
        </w:rPr>
      </w:pPr>
      <w:r>
        <w:rPr>
          <w:color w:val="auto"/>
          <w:sz w:val="24"/>
          <w:szCs w:val="24"/>
          <w:highlight w:val="none"/>
        </w:rPr>
        <w:t>（四）工程竣工验收通过，乙方递交竣工验收报告的日期为实际竣工日期。</w:t>
      </w:r>
    </w:p>
    <w:p w14:paraId="62C12287">
      <w:pPr>
        <w:snapToGrid w:val="0"/>
        <w:spacing w:line="520" w:lineRule="exact"/>
        <w:ind w:firstLine="640" w:firstLineChars="200"/>
        <w:jc w:val="left"/>
        <w:rPr>
          <w:rFonts w:eastAsia="黑体"/>
          <w:color w:val="auto"/>
          <w:sz w:val="32"/>
          <w:szCs w:val="32"/>
          <w:highlight w:val="none"/>
        </w:rPr>
      </w:pPr>
      <w:r>
        <w:rPr>
          <w:rFonts w:eastAsia="黑体"/>
          <w:color w:val="auto"/>
          <w:sz w:val="32"/>
          <w:szCs w:val="32"/>
          <w:highlight w:val="none"/>
        </w:rPr>
        <w:t>十三、竣工结算</w:t>
      </w:r>
    </w:p>
    <w:p w14:paraId="425EB075">
      <w:pPr>
        <w:snapToGrid w:val="0"/>
        <w:spacing w:line="520" w:lineRule="exact"/>
        <w:ind w:firstLine="480" w:firstLineChars="200"/>
        <w:jc w:val="left"/>
        <w:rPr>
          <w:color w:val="auto"/>
          <w:kern w:val="0"/>
          <w:sz w:val="24"/>
          <w:szCs w:val="24"/>
          <w:highlight w:val="none"/>
        </w:rPr>
      </w:pPr>
      <w:r>
        <w:rPr>
          <w:color w:val="auto"/>
          <w:kern w:val="0"/>
          <w:sz w:val="24"/>
          <w:szCs w:val="24"/>
          <w:highlight w:val="none"/>
        </w:rPr>
        <w:t>（一）本工程采用包工包料承发包制，竣工结算按财政评审的预算书为依据按现行配套的有关文件规定结算。</w:t>
      </w:r>
    </w:p>
    <w:p w14:paraId="0809B5BA">
      <w:pPr>
        <w:snapToGrid w:val="0"/>
        <w:spacing w:line="520" w:lineRule="exact"/>
        <w:ind w:firstLine="480" w:firstLineChars="200"/>
        <w:jc w:val="left"/>
        <w:rPr>
          <w:color w:val="auto"/>
          <w:sz w:val="24"/>
          <w:szCs w:val="24"/>
          <w:highlight w:val="none"/>
        </w:rPr>
      </w:pPr>
      <w:r>
        <w:rPr>
          <w:color w:val="auto"/>
          <w:sz w:val="24"/>
          <w:szCs w:val="24"/>
          <w:highlight w:val="none"/>
        </w:rPr>
        <w:t>（二）工程竣工验收报告经甲方认可后，乙方向甲方递交竣工结算报告及完整的结算资料一式叁份，并由甲方核实送审计部门核定。</w:t>
      </w:r>
    </w:p>
    <w:p w14:paraId="4D55452E">
      <w:pPr>
        <w:snapToGrid w:val="0"/>
        <w:spacing w:line="520" w:lineRule="exact"/>
        <w:ind w:firstLine="480" w:firstLineChars="200"/>
        <w:jc w:val="left"/>
        <w:rPr>
          <w:color w:val="auto"/>
          <w:sz w:val="24"/>
          <w:szCs w:val="24"/>
          <w:highlight w:val="none"/>
        </w:rPr>
      </w:pPr>
      <w:r>
        <w:rPr>
          <w:color w:val="auto"/>
          <w:sz w:val="24"/>
          <w:szCs w:val="24"/>
          <w:highlight w:val="none"/>
        </w:rPr>
        <w:t>（三）甲方应在审计部门出具的审计结果报告送达后进行最终结算。</w:t>
      </w:r>
    </w:p>
    <w:p w14:paraId="7728DB46">
      <w:pPr>
        <w:snapToGrid w:val="0"/>
        <w:spacing w:line="520" w:lineRule="exact"/>
        <w:ind w:firstLine="560" w:firstLineChars="200"/>
        <w:jc w:val="left"/>
        <w:rPr>
          <w:rFonts w:eastAsia="黑体"/>
          <w:color w:val="auto"/>
          <w:sz w:val="28"/>
          <w:szCs w:val="28"/>
          <w:highlight w:val="none"/>
        </w:rPr>
      </w:pPr>
      <w:r>
        <w:rPr>
          <w:rFonts w:eastAsia="黑体"/>
          <w:color w:val="auto"/>
          <w:sz w:val="28"/>
          <w:szCs w:val="28"/>
          <w:highlight w:val="none"/>
        </w:rPr>
        <w:t>十四、双方责任</w:t>
      </w:r>
    </w:p>
    <w:p w14:paraId="71B7692A">
      <w:pPr>
        <w:snapToGrid w:val="0"/>
        <w:spacing w:line="520" w:lineRule="exact"/>
        <w:ind w:firstLine="562" w:firstLineChars="200"/>
        <w:jc w:val="left"/>
        <w:rPr>
          <w:rFonts w:hint="eastAsia" w:ascii="Times New Roman" w:hAnsi="Times New Roman" w:eastAsia="楷体_GB2312" w:cs="Times New Roman"/>
          <w:b/>
          <w:bCs/>
          <w:color w:val="auto"/>
          <w:sz w:val="28"/>
          <w:szCs w:val="28"/>
          <w:highlight w:val="none"/>
        </w:rPr>
      </w:pPr>
      <w:r>
        <w:rPr>
          <w:rFonts w:hint="eastAsia" w:ascii="Times New Roman" w:hAnsi="Times New Roman" w:eastAsia="楷体_GB2312" w:cs="Times New Roman"/>
          <w:b/>
          <w:bCs/>
          <w:color w:val="auto"/>
          <w:sz w:val="28"/>
          <w:szCs w:val="28"/>
          <w:highlight w:val="none"/>
        </w:rPr>
        <w:t>（一）甲方责任</w:t>
      </w:r>
    </w:p>
    <w:p w14:paraId="5CAA5F9C">
      <w:pPr>
        <w:snapToGrid w:val="0"/>
        <w:spacing w:line="520" w:lineRule="exact"/>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1.甲方派出施工代表</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，代表甲方行使工程施工管理权力。</w:t>
      </w:r>
    </w:p>
    <w:p w14:paraId="0A4208B7">
      <w:pPr>
        <w:snapToGrid w:val="0"/>
        <w:spacing w:line="520" w:lineRule="exact"/>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2.开工前，组织各单位做好建设工程用地和当地相关工作，并交给乙方施工图纸及有关技术资料。</w:t>
      </w:r>
    </w:p>
    <w:p w14:paraId="6CC80FFB">
      <w:pPr>
        <w:snapToGrid w:val="0"/>
        <w:spacing w:line="520" w:lineRule="exact"/>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3.甲方和派驻工地代表，对工程进度、工程质量进行监督，检查隐蔽工程、办理中间工程验收手续，负责签证，解决应由甲方解决的问题。</w:t>
      </w:r>
    </w:p>
    <w:p w14:paraId="22DA3AA7">
      <w:pPr>
        <w:snapToGrid w:val="0"/>
        <w:spacing w:line="520" w:lineRule="exact"/>
        <w:ind w:firstLine="562" w:firstLineChars="200"/>
        <w:jc w:val="left"/>
        <w:rPr>
          <w:rFonts w:hint="eastAsia" w:ascii="Times New Roman" w:hAnsi="Times New Roman" w:eastAsia="楷体_GB2312" w:cs="Times New Roman"/>
          <w:b/>
          <w:bCs/>
          <w:color w:val="auto"/>
          <w:sz w:val="28"/>
          <w:szCs w:val="28"/>
          <w:highlight w:val="none"/>
        </w:rPr>
      </w:pPr>
      <w:r>
        <w:rPr>
          <w:rFonts w:hint="eastAsia" w:ascii="Times New Roman" w:hAnsi="Times New Roman" w:eastAsia="楷体_GB2312" w:cs="Times New Roman"/>
          <w:b/>
          <w:bCs/>
          <w:color w:val="auto"/>
          <w:sz w:val="28"/>
          <w:szCs w:val="28"/>
          <w:highlight w:val="none"/>
        </w:rPr>
        <w:t>（二）乙方责任</w:t>
      </w:r>
    </w:p>
    <w:p w14:paraId="24B39F55">
      <w:pPr>
        <w:spacing w:line="520" w:lineRule="exact"/>
        <w:ind w:firstLine="480" w:firstLineChars="200"/>
        <w:rPr>
          <w:rFonts w:hint="eastAsia" w:ascii="宋体" w:hAnsi="宋体" w:eastAsia="宋体" w:cs="宋体"/>
          <w:color w:val="auto"/>
          <w:kern w:val="0"/>
          <w:sz w:val="24"/>
          <w:szCs w:val="24"/>
          <w:highlight w:val="none"/>
        </w:rPr>
      </w:pPr>
      <w:r>
        <w:rPr>
          <w:rFonts w:hint="eastAsia" w:ascii="宋体" w:hAnsi="宋体" w:eastAsia="宋体" w:cs="宋体"/>
          <w:color w:val="auto"/>
          <w:sz w:val="24"/>
          <w:szCs w:val="24"/>
          <w:highlight w:val="none"/>
        </w:rPr>
        <w:t>1.乙方派出</w:t>
      </w:r>
      <w:r>
        <w:rPr>
          <w:rFonts w:hint="eastAsia" w:ascii="宋体" w:hAnsi="宋体" w:eastAsia="宋体" w:cs="宋体"/>
          <w:color w:val="auto"/>
          <w:kern w:val="0"/>
          <w:sz w:val="24"/>
          <w:szCs w:val="24"/>
          <w:highlight w:val="none"/>
        </w:rPr>
        <w:t>项目经理</w:t>
      </w:r>
      <w:r>
        <w:rPr>
          <w:rFonts w:hint="eastAsia" w:ascii="宋体" w:hAnsi="宋体" w:eastAsia="宋体" w:cs="宋体"/>
          <w:color w:val="auto"/>
          <w:kern w:val="0"/>
          <w:sz w:val="24"/>
          <w:szCs w:val="24"/>
          <w:highlight w:val="none"/>
          <w:u w:val="single"/>
          <w:lang w:val="en-US" w:eastAsia="zh-CN"/>
        </w:rPr>
        <w:t xml:space="preserve">          </w:t>
      </w:r>
      <w:r>
        <w:rPr>
          <w:rFonts w:hint="eastAsia" w:ascii="宋体" w:hAnsi="宋体" w:eastAsia="宋体" w:cs="宋体"/>
          <w:color w:val="auto"/>
          <w:kern w:val="0"/>
          <w:sz w:val="24"/>
          <w:szCs w:val="24"/>
          <w:highlight w:val="none"/>
        </w:rPr>
        <w:t>负责本</w:t>
      </w:r>
      <w:r>
        <w:rPr>
          <w:rFonts w:hint="eastAsia" w:ascii="宋体" w:hAnsi="宋体" w:eastAsia="宋体" w:cs="宋体"/>
          <w:color w:val="auto"/>
          <w:sz w:val="24"/>
          <w:szCs w:val="24"/>
          <w:highlight w:val="none"/>
        </w:rPr>
        <w:t>工程施工管理。</w:t>
      </w:r>
    </w:p>
    <w:p w14:paraId="126F8E8A">
      <w:pPr>
        <w:spacing w:line="52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2.编制施工组织设计，做好各项施工准备工作。接受甲方的管理和监督。</w:t>
      </w:r>
    </w:p>
    <w:p w14:paraId="3ED4874E">
      <w:pPr>
        <w:spacing w:line="52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3.做好材料的采购、供应和管理，所采购的材料都应有出厂合格证，没有合格证的材料必须取得有关部门检验合格后方可使用。</w:t>
      </w:r>
    </w:p>
    <w:p w14:paraId="1B559E96">
      <w:pPr>
        <w:spacing w:line="52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4.按照施工图纸要求进行施工，确保工程质量，按合同工期竣工。</w:t>
      </w:r>
    </w:p>
    <w:p w14:paraId="271B0D4A">
      <w:pPr>
        <w:spacing w:line="52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5.及时向甲方提出开工通知书、施工进度计划表、施工平面布置图、隐蔽工程验收通知、竣工验收报告，并做好质保资料的整理、归档。</w:t>
      </w:r>
    </w:p>
    <w:p w14:paraId="55379BBE">
      <w:pPr>
        <w:spacing w:line="52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6.采取必要的安全防护措施，由于乙方安全措施不力造成事故的责任和因此发生的费用，由乙方承担。</w:t>
      </w:r>
    </w:p>
    <w:p w14:paraId="47B93C48">
      <w:pPr>
        <w:snapToGrid w:val="0"/>
        <w:spacing w:line="520" w:lineRule="exact"/>
        <w:ind w:firstLine="640" w:firstLineChars="200"/>
        <w:jc w:val="left"/>
        <w:rPr>
          <w:rFonts w:eastAsia="黑体"/>
          <w:color w:val="auto"/>
          <w:sz w:val="32"/>
          <w:szCs w:val="32"/>
          <w:highlight w:val="none"/>
        </w:rPr>
      </w:pPr>
      <w:r>
        <w:rPr>
          <w:rFonts w:eastAsia="黑体"/>
          <w:color w:val="auto"/>
          <w:sz w:val="32"/>
          <w:szCs w:val="32"/>
          <w:highlight w:val="none"/>
        </w:rPr>
        <w:t>十五、违约责任</w:t>
      </w:r>
    </w:p>
    <w:p w14:paraId="0685669E">
      <w:pPr>
        <w:pStyle w:val="21"/>
        <w:spacing w:line="520" w:lineRule="exact"/>
        <w:ind w:firstLine="480" w:firstLineChars="200"/>
        <w:rPr>
          <w:rFonts w:ascii="Times New Roman" w:eastAsia="宋体"/>
          <w:color w:val="auto"/>
          <w:sz w:val="28"/>
          <w:szCs w:val="28"/>
          <w:highlight w:val="none"/>
        </w:rPr>
      </w:pPr>
      <w:r>
        <w:rPr>
          <w:rFonts w:ascii="Times New Roman" w:eastAsia="宋体"/>
          <w:color w:val="auto"/>
          <w:sz w:val="24"/>
          <w:szCs w:val="24"/>
          <w:highlight w:val="none"/>
        </w:rPr>
        <w:t>合同一方不履行合同义务或者履行合同义务不符合约定，给对方造成损失的，由</w:t>
      </w:r>
      <w:r>
        <w:rPr>
          <w:rFonts w:ascii="Times New Roman" w:eastAsia="宋体"/>
          <w:color w:val="auto"/>
          <w:spacing w:val="-16"/>
          <w:sz w:val="24"/>
          <w:szCs w:val="24"/>
          <w:highlight w:val="none"/>
        </w:rPr>
        <w:t>违约方赔偿对方的实际损失。</w:t>
      </w:r>
      <w:r>
        <w:rPr>
          <w:rFonts w:ascii="Times New Roman" w:eastAsia="宋体"/>
          <w:color w:val="auto"/>
          <w:sz w:val="24"/>
          <w:szCs w:val="24"/>
          <w:highlight w:val="none"/>
        </w:rPr>
        <w:t>乙方不按合同要求组织、管理和施工或不服从甲方提出施工要求的，视作违约，甲方有权随时终止合同</w:t>
      </w:r>
      <w:r>
        <w:rPr>
          <w:rFonts w:ascii="Times New Roman" w:eastAsia="宋体"/>
          <w:color w:val="auto"/>
          <w:sz w:val="28"/>
          <w:szCs w:val="28"/>
          <w:highlight w:val="none"/>
        </w:rPr>
        <w:t>。</w:t>
      </w:r>
    </w:p>
    <w:p w14:paraId="65610F8B">
      <w:pPr>
        <w:spacing w:line="520" w:lineRule="exact"/>
        <w:ind w:firstLine="640" w:firstLineChars="200"/>
        <w:rPr>
          <w:rFonts w:eastAsia="黑体"/>
          <w:color w:val="auto"/>
          <w:sz w:val="32"/>
          <w:szCs w:val="32"/>
          <w:highlight w:val="none"/>
        </w:rPr>
      </w:pPr>
      <w:r>
        <w:rPr>
          <w:rFonts w:eastAsia="黑体"/>
          <w:color w:val="auto"/>
          <w:sz w:val="32"/>
          <w:szCs w:val="32"/>
          <w:highlight w:val="none"/>
        </w:rPr>
        <w:t xml:space="preserve">十六、合同的生效与终止 </w:t>
      </w:r>
    </w:p>
    <w:p w14:paraId="500DBE32">
      <w:pPr>
        <w:spacing w:line="520" w:lineRule="exact"/>
        <w:ind w:firstLine="480" w:firstLineChars="200"/>
        <w:rPr>
          <w:color w:val="auto"/>
          <w:sz w:val="24"/>
          <w:szCs w:val="24"/>
          <w:highlight w:val="none"/>
        </w:rPr>
      </w:pPr>
      <w:r>
        <w:rPr>
          <w:color w:val="auto"/>
          <w:sz w:val="24"/>
          <w:szCs w:val="24"/>
          <w:highlight w:val="none"/>
        </w:rPr>
        <w:t>（一）本合同自甲、乙双方法人代表或其委托代理人签字盖章后生效。至办完工程验收交接和竣工结算后，除有关保修条款仍生效外，其它条款即告终止。保修期满后，有关保修条款终止。</w:t>
      </w:r>
    </w:p>
    <w:p w14:paraId="298E90B4">
      <w:pPr>
        <w:spacing w:line="520" w:lineRule="exact"/>
        <w:ind w:firstLine="480" w:firstLineChars="200"/>
        <w:rPr>
          <w:color w:val="auto"/>
          <w:sz w:val="24"/>
          <w:szCs w:val="24"/>
          <w:highlight w:val="none"/>
        </w:rPr>
      </w:pPr>
      <w:r>
        <w:rPr>
          <w:color w:val="auto"/>
          <w:sz w:val="24"/>
          <w:szCs w:val="24"/>
          <w:highlight w:val="none"/>
        </w:rPr>
        <w:t>（二）本合同签订后，双方应认真履行本合同，关于合同的任何补充、修改或废除均应经双方协商一致并采取书面形式进行。</w:t>
      </w:r>
    </w:p>
    <w:p w14:paraId="5E783E3F">
      <w:pPr>
        <w:spacing w:line="520" w:lineRule="exact"/>
        <w:ind w:firstLine="640" w:firstLineChars="200"/>
        <w:rPr>
          <w:rFonts w:eastAsia="黑体"/>
          <w:color w:val="auto"/>
          <w:sz w:val="32"/>
          <w:szCs w:val="32"/>
          <w:highlight w:val="none"/>
        </w:rPr>
      </w:pPr>
      <w:r>
        <w:rPr>
          <w:rFonts w:eastAsia="黑体"/>
          <w:color w:val="auto"/>
          <w:sz w:val="32"/>
          <w:szCs w:val="32"/>
          <w:highlight w:val="none"/>
        </w:rPr>
        <w:t xml:space="preserve">十七、争议的解决 </w:t>
      </w:r>
    </w:p>
    <w:p w14:paraId="5036549F">
      <w:pPr>
        <w:spacing w:line="520" w:lineRule="exact"/>
        <w:ind w:firstLine="480" w:firstLineChars="200"/>
        <w:rPr>
          <w:color w:val="auto"/>
          <w:sz w:val="24"/>
          <w:szCs w:val="24"/>
          <w:highlight w:val="none"/>
        </w:rPr>
      </w:pPr>
      <w:r>
        <w:rPr>
          <w:color w:val="auto"/>
          <w:sz w:val="24"/>
          <w:szCs w:val="24"/>
          <w:highlight w:val="none"/>
        </w:rPr>
        <w:t>如双方因合同条款的解释、执行及工程密切相关的事项发生争议的，应友好协商解决，协商不成，可提交人民法院诉讼解决。</w:t>
      </w:r>
    </w:p>
    <w:p w14:paraId="4C0C07BC">
      <w:pPr>
        <w:snapToGrid w:val="0"/>
        <w:spacing w:line="520" w:lineRule="exact"/>
        <w:ind w:firstLine="640" w:firstLineChars="200"/>
        <w:jc w:val="left"/>
        <w:rPr>
          <w:rFonts w:eastAsia="黑体"/>
          <w:color w:val="auto"/>
          <w:sz w:val="32"/>
          <w:szCs w:val="32"/>
          <w:highlight w:val="none"/>
        </w:rPr>
      </w:pPr>
      <w:r>
        <w:rPr>
          <w:rFonts w:eastAsia="黑体"/>
          <w:color w:val="auto"/>
          <w:sz w:val="32"/>
          <w:szCs w:val="32"/>
          <w:highlight w:val="none"/>
        </w:rPr>
        <w:t>十八、附则</w:t>
      </w:r>
    </w:p>
    <w:p w14:paraId="1F876E96">
      <w:pPr>
        <w:pStyle w:val="21"/>
        <w:spacing w:line="520" w:lineRule="exact"/>
        <w:ind w:firstLine="480" w:firstLineChars="200"/>
        <w:rPr>
          <w:rFonts w:hint="eastAsia" w:ascii="宋体" w:hAnsi="宋体" w:eastAsia="宋体" w:cs="宋体"/>
          <w:color w:val="auto"/>
          <w:sz w:val="24"/>
          <w:szCs w:val="24"/>
          <w:highlight w:val="none"/>
        </w:rPr>
      </w:pPr>
      <w:r>
        <w:rPr>
          <w:rFonts w:ascii="Times New Roman" w:eastAsia="宋体"/>
          <w:color w:val="auto"/>
          <w:sz w:val="24"/>
          <w:szCs w:val="24"/>
          <w:highlight w:val="none"/>
        </w:rPr>
        <w:t>本合同一式</w:t>
      </w:r>
      <w:r>
        <w:rPr>
          <w:rFonts w:hint="eastAsia" w:ascii="Times New Roman" w:eastAsia="宋体"/>
          <w:color w:val="auto"/>
          <w:sz w:val="24"/>
          <w:szCs w:val="24"/>
          <w:highlight w:val="none"/>
          <w:lang w:eastAsia="zh-CN"/>
        </w:rPr>
        <w:t>柒</w:t>
      </w:r>
      <w:r>
        <w:rPr>
          <w:rFonts w:ascii="Times New Roman" w:eastAsia="宋体"/>
          <w:color w:val="auto"/>
          <w:sz w:val="24"/>
          <w:szCs w:val="24"/>
          <w:highlight w:val="none"/>
        </w:rPr>
        <w:t>份，甲乙双方各执</w:t>
      </w:r>
      <w:r>
        <w:rPr>
          <w:rFonts w:hint="eastAsia" w:ascii="Times New Roman" w:eastAsia="宋体"/>
          <w:color w:val="auto"/>
          <w:sz w:val="24"/>
          <w:szCs w:val="24"/>
          <w:highlight w:val="none"/>
        </w:rPr>
        <w:t>叁</w:t>
      </w:r>
      <w:r>
        <w:rPr>
          <w:rFonts w:ascii="Times New Roman" w:eastAsia="宋体"/>
          <w:color w:val="auto"/>
          <w:sz w:val="24"/>
          <w:szCs w:val="24"/>
          <w:highlight w:val="none"/>
        </w:rPr>
        <w:t>份，甲方送县财政局备案壹份。施工过程中，如有不详尽事宜，由双方协商另订补充协议，补充协议与原合同具有同等法律效力，合同和补充协议经双方法定代表人签字并加盖公章之日起生效，执行完毕为止</w:t>
      </w:r>
      <w:r>
        <w:rPr>
          <w:rFonts w:hint="eastAsia" w:ascii="宋体" w:hAnsi="宋体" w:eastAsia="宋体" w:cs="宋体"/>
          <w:color w:val="auto"/>
          <w:sz w:val="24"/>
          <w:szCs w:val="24"/>
          <w:highlight w:val="none"/>
        </w:rPr>
        <w:t>。</w:t>
      </w:r>
    </w:p>
    <w:p w14:paraId="533084CD">
      <w:pPr>
        <w:snapToGrid w:val="0"/>
        <w:spacing w:line="500" w:lineRule="exact"/>
        <w:jc w:val="left"/>
        <w:rPr>
          <w:rFonts w:hint="eastAsia" w:ascii="宋体" w:hAnsi="宋体" w:eastAsia="宋体" w:cs="宋体"/>
          <w:color w:val="auto"/>
          <w:sz w:val="24"/>
          <w:szCs w:val="24"/>
          <w:highlight w:val="none"/>
        </w:rPr>
      </w:pPr>
    </w:p>
    <w:p w14:paraId="69A810D5">
      <w:pPr>
        <w:snapToGrid w:val="0"/>
        <w:spacing w:line="500" w:lineRule="exact"/>
        <w:ind w:left="5880" w:hanging="5880" w:hangingChars="2100"/>
        <w:jc w:val="left"/>
        <w:rPr>
          <w:rFonts w:hint="eastAsia"/>
          <w:color w:val="auto"/>
          <w:sz w:val="28"/>
          <w:szCs w:val="28"/>
          <w:highlight w:val="none"/>
        </w:rPr>
      </w:pPr>
      <w:r>
        <w:rPr>
          <w:rFonts w:hint="eastAsia"/>
          <w:color w:val="auto"/>
          <w:sz w:val="28"/>
          <w:szCs w:val="28"/>
          <w:highlight w:val="none"/>
        </w:rPr>
        <w:t>甲方：大新县</w:t>
      </w:r>
      <w:r>
        <w:rPr>
          <w:rFonts w:hint="eastAsia"/>
          <w:color w:val="auto"/>
          <w:sz w:val="28"/>
          <w:szCs w:val="28"/>
          <w:highlight w:val="none"/>
          <w:lang w:eastAsia="zh-CN"/>
        </w:rPr>
        <w:t>农业农村局</w:t>
      </w:r>
      <w:r>
        <w:rPr>
          <w:color w:val="auto"/>
          <w:sz w:val="28"/>
          <w:szCs w:val="28"/>
          <w:highlight w:val="none"/>
        </w:rPr>
        <w:t xml:space="preserve">       </w:t>
      </w:r>
      <w:r>
        <w:rPr>
          <w:rFonts w:hint="eastAsia"/>
          <w:color w:val="auto"/>
          <w:sz w:val="28"/>
          <w:szCs w:val="28"/>
          <w:highlight w:val="none"/>
          <w:lang w:val="en-US" w:eastAsia="zh-CN"/>
        </w:rPr>
        <w:t xml:space="preserve">      </w:t>
      </w:r>
      <w:r>
        <w:rPr>
          <w:rFonts w:hint="eastAsia"/>
          <w:color w:val="auto"/>
          <w:sz w:val="28"/>
          <w:szCs w:val="28"/>
          <w:highlight w:val="none"/>
        </w:rPr>
        <w:t>乙方：</w:t>
      </w:r>
    </w:p>
    <w:p w14:paraId="6C077F0B">
      <w:pPr>
        <w:snapToGrid w:val="0"/>
        <w:spacing w:line="500" w:lineRule="exact"/>
        <w:jc w:val="left"/>
        <w:rPr>
          <w:rFonts w:hint="eastAsia"/>
          <w:color w:val="auto"/>
          <w:sz w:val="28"/>
          <w:szCs w:val="28"/>
          <w:highlight w:val="none"/>
        </w:rPr>
      </w:pPr>
    </w:p>
    <w:p w14:paraId="4AE62D29">
      <w:pPr>
        <w:snapToGrid w:val="0"/>
        <w:spacing w:line="500" w:lineRule="exact"/>
        <w:jc w:val="left"/>
        <w:rPr>
          <w:rFonts w:hint="eastAsia"/>
          <w:color w:val="auto"/>
          <w:sz w:val="28"/>
          <w:szCs w:val="28"/>
          <w:highlight w:val="none"/>
        </w:rPr>
      </w:pPr>
    </w:p>
    <w:p w14:paraId="23D0393F">
      <w:pPr>
        <w:snapToGrid w:val="0"/>
        <w:spacing w:line="500" w:lineRule="exact"/>
        <w:jc w:val="left"/>
        <w:rPr>
          <w:rFonts w:hint="eastAsia"/>
          <w:color w:val="auto"/>
          <w:sz w:val="28"/>
          <w:szCs w:val="28"/>
          <w:highlight w:val="none"/>
        </w:rPr>
      </w:pPr>
    </w:p>
    <w:p w14:paraId="36AD0E36">
      <w:pPr>
        <w:snapToGrid w:val="0"/>
        <w:spacing w:before="156" w:beforeLines="50" w:after="156" w:afterLines="50" w:line="500" w:lineRule="exact"/>
        <w:ind w:left="5880" w:hanging="5880" w:hangingChars="2100"/>
        <w:jc w:val="both"/>
        <w:rPr>
          <w:rFonts w:hint="eastAsia" w:hAnsi="宋体"/>
          <w:color w:val="auto"/>
          <w:sz w:val="28"/>
          <w:szCs w:val="28"/>
          <w:highlight w:val="none"/>
        </w:rPr>
      </w:pPr>
      <w:r>
        <w:rPr>
          <w:rFonts w:hint="eastAsia"/>
          <w:color w:val="auto"/>
          <w:sz w:val="28"/>
          <w:szCs w:val="28"/>
          <w:highlight w:val="none"/>
        </w:rPr>
        <w:t>住所：大新县桃城镇养利中路</w:t>
      </w:r>
      <w:r>
        <w:rPr>
          <w:rFonts w:hint="eastAsia"/>
          <w:color w:val="auto"/>
          <w:sz w:val="28"/>
          <w:szCs w:val="28"/>
          <w:highlight w:val="none"/>
          <w:lang w:val="en-US" w:eastAsia="zh-CN"/>
        </w:rPr>
        <w:t xml:space="preserve">450号 </w:t>
      </w:r>
      <w:r>
        <w:rPr>
          <w:color w:val="auto"/>
          <w:sz w:val="28"/>
          <w:szCs w:val="28"/>
          <w:highlight w:val="none"/>
        </w:rPr>
        <w:t xml:space="preserve"> </w:t>
      </w:r>
      <w:r>
        <w:rPr>
          <w:rFonts w:hint="eastAsia"/>
          <w:color w:val="auto"/>
          <w:sz w:val="28"/>
          <w:szCs w:val="28"/>
          <w:highlight w:val="none"/>
        </w:rPr>
        <w:t>住所：</w:t>
      </w:r>
    </w:p>
    <w:p w14:paraId="055EA39C">
      <w:pPr>
        <w:snapToGrid w:val="0"/>
        <w:spacing w:before="156" w:beforeLines="50" w:after="156" w:afterLines="50" w:line="500" w:lineRule="exact"/>
        <w:ind w:left="5600" w:hanging="5600" w:hangingChars="2000"/>
        <w:jc w:val="left"/>
        <w:rPr>
          <w:rFonts w:hint="eastAsia" w:hAnsi="宋体"/>
          <w:color w:val="auto"/>
          <w:sz w:val="28"/>
          <w:szCs w:val="28"/>
          <w:highlight w:val="none"/>
        </w:rPr>
      </w:pPr>
    </w:p>
    <w:p w14:paraId="146FC3E4">
      <w:pPr>
        <w:snapToGrid w:val="0"/>
        <w:spacing w:before="156" w:beforeLines="50" w:after="156" w:afterLines="50" w:line="500" w:lineRule="exact"/>
        <w:jc w:val="left"/>
        <w:rPr>
          <w:rFonts w:hint="eastAsia"/>
          <w:color w:val="auto"/>
          <w:sz w:val="28"/>
          <w:szCs w:val="28"/>
          <w:highlight w:val="none"/>
        </w:rPr>
      </w:pPr>
      <w:r>
        <w:rPr>
          <w:rFonts w:hint="eastAsia"/>
          <w:color w:val="auto"/>
          <w:sz w:val="28"/>
          <w:szCs w:val="28"/>
          <w:highlight w:val="none"/>
        </w:rPr>
        <w:t>法定代表人：　　　　　　　　</w:t>
      </w:r>
      <w:r>
        <w:rPr>
          <w:color w:val="auto"/>
          <w:sz w:val="28"/>
          <w:szCs w:val="28"/>
          <w:highlight w:val="none"/>
        </w:rPr>
        <w:t xml:space="preserve">  </w:t>
      </w:r>
      <w:r>
        <w:rPr>
          <w:rFonts w:hint="eastAsia"/>
          <w:color w:val="auto"/>
          <w:sz w:val="28"/>
          <w:szCs w:val="28"/>
          <w:highlight w:val="none"/>
          <w:lang w:val="en-US" w:eastAsia="zh-CN"/>
        </w:rPr>
        <w:t xml:space="preserve"> </w:t>
      </w:r>
      <w:r>
        <w:rPr>
          <w:rFonts w:hint="eastAsia"/>
          <w:color w:val="auto"/>
          <w:sz w:val="28"/>
          <w:szCs w:val="28"/>
          <w:highlight w:val="none"/>
        </w:rPr>
        <w:t xml:space="preserve">  </w:t>
      </w:r>
      <w:r>
        <w:rPr>
          <w:rFonts w:hint="eastAsia"/>
          <w:color w:val="auto"/>
          <w:sz w:val="28"/>
          <w:szCs w:val="28"/>
          <w:highlight w:val="none"/>
          <w:lang w:val="en-US" w:eastAsia="zh-CN"/>
        </w:rPr>
        <w:t xml:space="preserve"> </w:t>
      </w:r>
      <w:r>
        <w:rPr>
          <w:rFonts w:hint="eastAsia"/>
          <w:color w:val="auto"/>
          <w:sz w:val="28"/>
          <w:szCs w:val="28"/>
          <w:highlight w:val="none"/>
        </w:rPr>
        <w:t>法定代表人：</w:t>
      </w:r>
    </w:p>
    <w:p w14:paraId="45D7F018">
      <w:pPr>
        <w:snapToGrid w:val="0"/>
        <w:spacing w:before="156" w:beforeLines="50" w:after="156" w:afterLines="50" w:line="500" w:lineRule="exact"/>
        <w:jc w:val="left"/>
        <w:rPr>
          <w:rFonts w:hint="eastAsia" w:eastAsia="宋体"/>
          <w:color w:val="auto"/>
          <w:sz w:val="28"/>
          <w:szCs w:val="28"/>
          <w:highlight w:val="none"/>
          <w:lang w:val="en-US" w:eastAsia="zh-CN"/>
        </w:rPr>
      </w:pPr>
      <w:r>
        <w:rPr>
          <w:rFonts w:hint="eastAsia"/>
          <w:color w:val="auto"/>
          <w:sz w:val="28"/>
          <w:szCs w:val="28"/>
          <w:highlight w:val="none"/>
          <w:lang w:val="en-US" w:eastAsia="zh-CN"/>
        </w:rPr>
        <w:t xml:space="preserve"> </w:t>
      </w:r>
    </w:p>
    <w:p w14:paraId="0982C91E">
      <w:pPr>
        <w:snapToGrid w:val="0"/>
        <w:spacing w:before="156" w:beforeLines="50" w:after="156" w:afterLines="50" w:line="500" w:lineRule="exact"/>
        <w:jc w:val="left"/>
        <w:rPr>
          <w:rFonts w:hint="eastAsia"/>
          <w:color w:val="auto"/>
          <w:sz w:val="28"/>
          <w:szCs w:val="28"/>
          <w:highlight w:val="none"/>
        </w:rPr>
      </w:pPr>
      <w:r>
        <w:rPr>
          <w:rFonts w:hint="eastAsia"/>
          <w:color w:val="auto"/>
          <w:sz w:val="28"/>
          <w:szCs w:val="28"/>
          <w:highlight w:val="none"/>
        </w:rPr>
        <w:t>委托代理人：</w:t>
      </w:r>
      <w:r>
        <w:rPr>
          <w:color w:val="auto"/>
          <w:sz w:val="28"/>
          <w:szCs w:val="28"/>
          <w:highlight w:val="none"/>
        </w:rPr>
        <w:t xml:space="preserve">                   </w:t>
      </w:r>
      <w:r>
        <w:rPr>
          <w:rFonts w:hint="eastAsia"/>
          <w:color w:val="auto"/>
          <w:sz w:val="28"/>
          <w:szCs w:val="28"/>
          <w:highlight w:val="none"/>
          <w:lang w:val="en-US" w:eastAsia="zh-CN"/>
        </w:rPr>
        <w:t xml:space="preserve"> </w:t>
      </w:r>
      <w:r>
        <w:rPr>
          <w:color w:val="auto"/>
          <w:sz w:val="28"/>
          <w:szCs w:val="28"/>
          <w:highlight w:val="none"/>
        </w:rPr>
        <w:t xml:space="preserve">  </w:t>
      </w:r>
      <w:r>
        <w:rPr>
          <w:rFonts w:hint="eastAsia"/>
          <w:color w:val="auto"/>
          <w:sz w:val="28"/>
          <w:szCs w:val="28"/>
          <w:highlight w:val="none"/>
        </w:rPr>
        <w:t>委托代理人：</w:t>
      </w:r>
    </w:p>
    <w:p w14:paraId="40D34990">
      <w:pPr>
        <w:snapToGrid w:val="0"/>
        <w:spacing w:before="156" w:beforeLines="50" w:after="156" w:afterLines="50" w:line="500" w:lineRule="exact"/>
        <w:jc w:val="left"/>
        <w:rPr>
          <w:color w:val="auto"/>
          <w:sz w:val="28"/>
          <w:szCs w:val="28"/>
          <w:highlight w:val="none"/>
        </w:rPr>
      </w:pPr>
    </w:p>
    <w:p w14:paraId="3628F1CA">
      <w:pPr>
        <w:snapToGrid w:val="0"/>
        <w:spacing w:line="500" w:lineRule="exact"/>
        <w:jc w:val="left"/>
        <w:rPr>
          <w:color w:val="auto"/>
          <w:sz w:val="28"/>
          <w:szCs w:val="28"/>
          <w:highlight w:val="none"/>
        </w:rPr>
      </w:pPr>
      <w:r>
        <w:rPr>
          <w:rFonts w:hint="eastAsia"/>
          <w:color w:val="auto"/>
          <w:sz w:val="28"/>
          <w:szCs w:val="28"/>
          <w:highlight w:val="none"/>
        </w:rPr>
        <w:t>电</w:t>
      </w:r>
      <w:r>
        <w:rPr>
          <w:color w:val="auto"/>
          <w:sz w:val="28"/>
          <w:szCs w:val="28"/>
          <w:highlight w:val="none"/>
        </w:rPr>
        <w:t xml:space="preserve">      </w:t>
      </w:r>
      <w:r>
        <w:rPr>
          <w:rFonts w:hint="eastAsia"/>
          <w:color w:val="auto"/>
          <w:sz w:val="28"/>
          <w:szCs w:val="28"/>
          <w:highlight w:val="none"/>
        </w:rPr>
        <w:t>话：</w:t>
      </w:r>
      <w:r>
        <w:rPr>
          <w:color w:val="auto"/>
          <w:sz w:val="28"/>
          <w:szCs w:val="28"/>
          <w:highlight w:val="none"/>
        </w:rPr>
        <w:t>0771-</w:t>
      </w:r>
      <w:r>
        <w:rPr>
          <w:rFonts w:hint="eastAsia"/>
          <w:color w:val="auto"/>
          <w:sz w:val="28"/>
          <w:szCs w:val="28"/>
          <w:highlight w:val="none"/>
          <w:lang w:val="en-US" w:eastAsia="zh-CN"/>
        </w:rPr>
        <w:t>3628908</w:t>
      </w:r>
      <w:r>
        <w:rPr>
          <w:color w:val="auto"/>
          <w:sz w:val="28"/>
          <w:szCs w:val="28"/>
          <w:highlight w:val="none"/>
        </w:rPr>
        <w:t xml:space="preserve"> </w:t>
      </w:r>
      <w:r>
        <w:rPr>
          <w:rFonts w:hint="eastAsia"/>
          <w:color w:val="auto"/>
          <w:sz w:val="28"/>
          <w:szCs w:val="28"/>
          <w:highlight w:val="none"/>
        </w:rPr>
        <w:t>　　　</w:t>
      </w:r>
      <w:r>
        <w:rPr>
          <w:color w:val="auto"/>
          <w:sz w:val="28"/>
          <w:szCs w:val="28"/>
          <w:highlight w:val="none"/>
        </w:rPr>
        <w:t xml:space="preserve">   </w:t>
      </w:r>
      <w:r>
        <w:rPr>
          <w:rFonts w:hint="eastAsia"/>
          <w:color w:val="auto"/>
          <w:sz w:val="28"/>
          <w:szCs w:val="28"/>
          <w:highlight w:val="none"/>
        </w:rPr>
        <w:t>电</w:t>
      </w:r>
      <w:r>
        <w:rPr>
          <w:color w:val="auto"/>
          <w:sz w:val="28"/>
          <w:szCs w:val="28"/>
          <w:highlight w:val="none"/>
        </w:rPr>
        <w:t xml:space="preserve">      </w:t>
      </w:r>
      <w:r>
        <w:rPr>
          <w:rFonts w:hint="eastAsia"/>
          <w:color w:val="auto"/>
          <w:sz w:val="28"/>
          <w:szCs w:val="28"/>
          <w:highlight w:val="none"/>
        </w:rPr>
        <w:t>话：</w:t>
      </w:r>
    </w:p>
    <w:p w14:paraId="76E6A13F">
      <w:pPr>
        <w:snapToGrid w:val="0"/>
        <w:spacing w:line="500" w:lineRule="exact"/>
        <w:jc w:val="left"/>
        <w:rPr>
          <w:color w:val="auto"/>
          <w:sz w:val="28"/>
          <w:szCs w:val="28"/>
          <w:highlight w:val="none"/>
        </w:rPr>
      </w:pPr>
      <w:r>
        <w:rPr>
          <w:rFonts w:hint="eastAsia"/>
          <w:color w:val="auto"/>
          <w:sz w:val="28"/>
          <w:szCs w:val="28"/>
          <w:highlight w:val="none"/>
        </w:rPr>
        <w:t>传</w:t>
      </w:r>
      <w:r>
        <w:rPr>
          <w:color w:val="auto"/>
          <w:sz w:val="28"/>
          <w:szCs w:val="28"/>
          <w:highlight w:val="none"/>
        </w:rPr>
        <w:t xml:space="preserve">      </w:t>
      </w:r>
      <w:r>
        <w:rPr>
          <w:rFonts w:hint="eastAsia"/>
          <w:color w:val="auto"/>
          <w:sz w:val="28"/>
          <w:szCs w:val="28"/>
          <w:highlight w:val="none"/>
        </w:rPr>
        <w:t>真：</w:t>
      </w:r>
      <w:r>
        <w:rPr>
          <w:color w:val="auto"/>
          <w:sz w:val="28"/>
          <w:szCs w:val="28"/>
          <w:highlight w:val="none"/>
        </w:rPr>
        <w:t>0771-</w:t>
      </w:r>
      <w:r>
        <w:rPr>
          <w:rFonts w:hint="eastAsia"/>
          <w:color w:val="auto"/>
          <w:sz w:val="28"/>
          <w:szCs w:val="28"/>
          <w:highlight w:val="none"/>
          <w:lang w:val="en-US" w:eastAsia="zh-CN"/>
        </w:rPr>
        <w:t>3628908</w:t>
      </w:r>
      <w:r>
        <w:rPr>
          <w:color w:val="auto"/>
          <w:sz w:val="28"/>
          <w:szCs w:val="28"/>
          <w:highlight w:val="none"/>
        </w:rPr>
        <w:t xml:space="preserve">          </w:t>
      </w:r>
      <w:r>
        <w:rPr>
          <w:rFonts w:hint="eastAsia"/>
          <w:color w:val="auto"/>
          <w:sz w:val="28"/>
          <w:szCs w:val="28"/>
          <w:highlight w:val="none"/>
        </w:rPr>
        <w:t>传</w:t>
      </w:r>
      <w:r>
        <w:rPr>
          <w:color w:val="auto"/>
          <w:sz w:val="28"/>
          <w:szCs w:val="28"/>
          <w:highlight w:val="none"/>
        </w:rPr>
        <w:t xml:space="preserve">      </w:t>
      </w:r>
      <w:r>
        <w:rPr>
          <w:rFonts w:hint="eastAsia"/>
          <w:color w:val="auto"/>
          <w:sz w:val="28"/>
          <w:szCs w:val="28"/>
          <w:highlight w:val="none"/>
        </w:rPr>
        <w:t>真：</w:t>
      </w:r>
    </w:p>
    <w:p w14:paraId="2E74EEFC">
      <w:pPr>
        <w:snapToGrid w:val="0"/>
        <w:spacing w:line="500" w:lineRule="exact"/>
        <w:ind w:left="6612" w:hanging="6612" w:hangingChars="1900"/>
        <w:jc w:val="left"/>
        <w:rPr>
          <w:color w:val="auto"/>
          <w:spacing w:val="34"/>
          <w:sz w:val="28"/>
          <w:szCs w:val="28"/>
          <w:highlight w:val="none"/>
        </w:rPr>
      </w:pPr>
      <w:r>
        <w:rPr>
          <w:rFonts w:hint="eastAsia"/>
          <w:color w:val="auto"/>
          <w:spacing w:val="34"/>
          <w:sz w:val="28"/>
          <w:szCs w:val="28"/>
          <w:highlight w:val="none"/>
        </w:rPr>
        <w:t>开户银行：</w:t>
      </w:r>
      <w:r>
        <w:rPr>
          <w:color w:val="auto"/>
          <w:spacing w:val="34"/>
          <w:sz w:val="28"/>
          <w:szCs w:val="28"/>
          <w:highlight w:val="none"/>
        </w:rPr>
        <w:t xml:space="preserve">             </w:t>
      </w:r>
      <w:r>
        <w:rPr>
          <w:rFonts w:hint="eastAsia"/>
          <w:color w:val="auto"/>
          <w:spacing w:val="34"/>
          <w:sz w:val="28"/>
          <w:szCs w:val="28"/>
          <w:highlight w:val="none"/>
          <w:lang w:val="en-US" w:eastAsia="zh-CN"/>
        </w:rPr>
        <w:t xml:space="preserve"> </w:t>
      </w:r>
      <w:r>
        <w:rPr>
          <w:color w:val="auto"/>
          <w:spacing w:val="34"/>
          <w:sz w:val="28"/>
          <w:szCs w:val="28"/>
          <w:highlight w:val="none"/>
        </w:rPr>
        <w:t xml:space="preserve"> </w:t>
      </w:r>
      <w:r>
        <w:rPr>
          <w:rFonts w:hint="eastAsia"/>
          <w:color w:val="auto"/>
          <w:spacing w:val="34"/>
          <w:sz w:val="28"/>
          <w:szCs w:val="28"/>
          <w:highlight w:val="none"/>
        </w:rPr>
        <w:t xml:space="preserve">开户银行：    </w:t>
      </w:r>
    </w:p>
    <w:p w14:paraId="468B05F4">
      <w:pPr>
        <w:snapToGrid w:val="0"/>
        <w:spacing w:line="500" w:lineRule="exact"/>
        <w:jc w:val="left"/>
        <w:rPr>
          <w:rFonts w:hint="eastAsia"/>
          <w:color w:val="auto"/>
          <w:sz w:val="28"/>
          <w:szCs w:val="28"/>
          <w:highlight w:val="none"/>
        </w:rPr>
      </w:pPr>
      <w:r>
        <w:rPr>
          <w:rFonts w:hint="eastAsia"/>
          <w:color w:val="auto"/>
          <w:sz w:val="28"/>
          <w:szCs w:val="28"/>
          <w:highlight w:val="none"/>
        </w:rPr>
        <w:t>账</w:t>
      </w:r>
      <w:r>
        <w:rPr>
          <w:color w:val="auto"/>
          <w:sz w:val="28"/>
          <w:szCs w:val="28"/>
          <w:highlight w:val="none"/>
        </w:rPr>
        <w:t xml:space="preserve">     </w:t>
      </w:r>
      <w:r>
        <w:rPr>
          <w:rFonts w:hint="eastAsia"/>
          <w:color w:val="auto"/>
          <w:sz w:val="28"/>
          <w:szCs w:val="28"/>
          <w:highlight w:val="none"/>
        </w:rPr>
        <w:t>号：</w:t>
      </w:r>
      <w:r>
        <w:rPr>
          <w:color w:val="auto"/>
          <w:sz w:val="28"/>
          <w:szCs w:val="28"/>
          <w:highlight w:val="none"/>
        </w:rPr>
        <w:t xml:space="preserve">                   </w:t>
      </w:r>
      <w:r>
        <w:rPr>
          <w:rFonts w:hint="eastAsia"/>
          <w:color w:val="auto"/>
          <w:sz w:val="28"/>
          <w:szCs w:val="28"/>
          <w:highlight w:val="none"/>
          <w:lang w:val="en-US" w:eastAsia="zh-CN"/>
        </w:rPr>
        <w:t xml:space="preserve">   </w:t>
      </w:r>
      <w:r>
        <w:rPr>
          <w:color w:val="auto"/>
          <w:sz w:val="28"/>
          <w:szCs w:val="28"/>
          <w:highlight w:val="none"/>
        </w:rPr>
        <w:t xml:space="preserve"> </w:t>
      </w:r>
      <w:r>
        <w:rPr>
          <w:rFonts w:hint="eastAsia"/>
          <w:color w:val="auto"/>
          <w:sz w:val="28"/>
          <w:szCs w:val="28"/>
          <w:highlight w:val="none"/>
        </w:rPr>
        <w:t>账</w:t>
      </w:r>
      <w:r>
        <w:rPr>
          <w:color w:val="auto"/>
          <w:sz w:val="28"/>
          <w:szCs w:val="28"/>
          <w:highlight w:val="none"/>
        </w:rPr>
        <w:t xml:space="preserve">  </w:t>
      </w:r>
      <w:r>
        <w:rPr>
          <w:rFonts w:hint="eastAsia"/>
          <w:color w:val="auto"/>
          <w:sz w:val="28"/>
          <w:szCs w:val="28"/>
          <w:highlight w:val="none"/>
          <w:lang w:val="en-US" w:eastAsia="zh-CN"/>
        </w:rPr>
        <w:t xml:space="preserve">  </w:t>
      </w:r>
      <w:r>
        <w:rPr>
          <w:color w:val="auto"/>
          <w:sz w:val="28"/>
          <w:szCs w:val="28"/>
          <w:highlight w:val="none"/>
        </w:rPr>
        <w:t xml:space="preserve"> </w:t>
      </w:r>
      <w:r>
        <w:rPr>
          <w:rFonts w:hint="eastAsia"/>
          <w:color w:val="auto"/>
          <w:sz w:val="28"/>
          <w:szCs w:val="28"/>
          <w:highlight w:val="none"/>
        </w:rPr>
        <w:t>号：</w:t>
      </w:r>
    </w:p>
    <w:p w14:paraId="0BE44965">
      <w:pPr>
        <w:snapToGrid w:val="0"/>
        <w:spacing w:line="500" w:lineRule="exact"/>
        <w:jc w:val="left"/>
        <w:rPr>
          <w:color w:val="auto"/>
          <w:spacing w:val="32"/>
          <w:sz w:val="28"/>
          <w:szCs w:val="28"/>
          <w:highlight w:val="none"/>
        </w:rPr>
      </w:pPr>
      <w:r>
        <w:rPr>
          <w:rFonts w:hint="eastAsia"/>
          <w:color w:val="auto"/>
          <w:spacing w:val="32"/>
          <w:sz w:val="28"/>
          <w:szCs w:val="28"/>
          <w:highlight w:val="none"/>
        </w:rPr>
        <w:t>邮政编码</w:t>
      </w:r>
      <w:r>
        <w:rPr>
          <w:rFonts w:hint="eastAsia"/>
          <w:color w:val="auto"/>
          <w:sz w:val="28"/>
          <w:szCs w:val="28"/>
          <w:highlight w:val="none"/>
        </w:rPr>
        <w:t>：</w:t>
      </w:r>
      <w:r>
        <w:rPr>
          <w:color w:val="auto"/>
          <w:sz w:val="28"/>
          <w:szCs w:val="28"/>
          <w:highlight w:val="none"/>
        </w:rPr>
        <w:t xml:space="preserve">532300                </w:t>
      </w:r>
      <w:r>
        <w:rPr>
          <w:rFonts w:hint="eastAsia"/>
          <w:color w:val="auto"/>
          <w:spacing w:val="32"/>
          <w:sz w:val="28"/>
          <w:szCs w:val="28"/>
          <w:highlight w:val="none"/>
        </w:rPr>
        <w:t>邮政编码：</w:t>
      </w:r>
    </w:p>
    <w:p w14:paraId="0E180AB7">
      <w:pPr>
        <w:snapToGrid w:val="0"/>
        <w:spacing w:line="360" w:lineRule="auto"/>
        <w:rPr>
          <w:rFonts w:hint="eastAsia" w:ascii="宋体" w:hAnsi="宋体" w:eastAsia="宋体" w:cs="宋体"/>
          <w:color w:val="auto"/>
          <w:sz w:val="24"/>
          <w:szCs w:val="24"/>
          <w:highlight w:val="none"/>
        </w:rPr>
      </w:pPr>
    </w:p>
    <w:p w14:paraId="3C71A784">
      <w:pPr>
        <w:snapToGrid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 xml:space="preserve">日                    </w:t>
      </w:r>
      <w:r>
        <w:rPr>
          <w:rFonts w:hint="eastAsia" w:ascii="宋体" w:hAnsi="宋体" w:eastAsia="宋体" w:cs="宋体"/>
          <w:color w:val="auto"/>
          <w:sz w:val="24"/>
          <w:szCs w:val="24"/>
          <w:highlight w:val="none"/>
          <w:lang w:val="en-US" w:eastAsia="zh-CN"/>
        </w:rPr>
        <w:t xml:space="preserve">     </w:t>
      </w:r>
      <w:r>
        <w:rPr>
          <w:rFonts w:hint="eastAsia" w:ascii="宋体" w:hAnsi="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日</w:t>
      </w:r>
    </w:p>
    <w:p w14:paraId="2366C716">
      <w:pPr>
        <w:spacing w:line="360" w:lineRule="auto"/>
        <w:rPr>
          <w:rFonts w:hint="eastAsia" w:ascii="宋体" w:hAnsi="宋体" w:cs="宋体"/>
          <w:color w:val="auto"/>
          <w:highlight w:val="none"/>
        </w:rPr>
      </w:pPr>
    </w:p>
    <w:p w14:paraId="23FC0237">
      <w:pPr>
        <w:pStyle w:val="28"/>
        <w:snapToGrid w:val="0"/>
        <w:spacing w:before="120" w:after="120" w:line="320" w:lineRule="exact"/>
        <w:jc w:val="center"/>
        <w:outlineLvl w:val="0"/>
        <w:rPr>
          <w:rFonts w:hint="eastAsia" w:hAnsi="宋体" w:cs="宋体"/>
          <w:color w:val="auto"/>
          <w:highlight w:val="none"/>
        </w:rPr>
      </w:pPr>
      <w:r>
        <w:rPr>
          <w:rFonts w:hint="eastAsia" w:hAnsi="宋体" w:cs="宋体"/>
          <w:color w:val="auto"/>
          <w:highlight w:val="none"/>
        </w:rPr>
        <w:br w:type="page"/>
      </w:r>
      <w:bookmarkStart w:id="88" w:name="_Toc506"/>
      <w:r>
        <w:rPr>
          <w:rFonts w:hint="eastAsia" w:hAnsi="宋体" w:cs="宋体"/>
          <w:color w:val="auto"/>
          <w:sz w:val="32"/>
          <w:szCs w:val="32"/>
          <w:highlight w:val="none"/>
        </w:rPr>
        <w:t>第六章  响应文件格式</w:t>
      </w:r>
      <w:bookmarkEnd w:id="88"/>
    </w:p>
    <w:p w14:paraId="0D6B2EC0">
      <w:pPr>
        <w:rPr>
          <w:rFonts w:hint="eastAsia" w:ascii="宋体" w:hAnsi="宋体" w:cs="宋体"/>
          <w:color w:val="auto"/>
          <w:sz w:val="28"/>
          <w:szCs w:val="28"/>
          <w:highlight w:val="none"/>
        </w:rPr>
      </w:pPr>
      <w:bookmarkStart w:id="89" w:name="_Toc254970697"/>
      <w:bookmarkStart w:id="90" w:name="_Toc254970556"/>
    </w:p>
    <w:p w14:paraId="55EE1D87">
      <w:pPr>
        <w:rPr>
          <w:rFonts w:hint="eastAsia" w:ascii="宋体" w:hAnsi="宋体" w:cs="宋体"/>
          <w:color w:val="auto"/>
          <w:sz w:val="28"/>
          <w:szCs w:val="28"/>
          <w:highlight w:val="none"/>
        </w:rPr>
      </w:pPr>
    </w:p>
    <w:p w14:paraId="2DC1CB1F">
      <w:pPr>
        <w:snapToGrid w:val="0"/>
        <w:spacing w:before="120" w:beforeLines="50" w:after="50" w:line="440" w:lineRule="exact"/>
        <w:rPr>
          <w:rFonts w:hint="eastAsia" w:ascii="宋体" w:hAnsi="宋体" w:cs="宋体"/>
          <w:bCs/>
          <w:color w:val="auto"/>
          <w:sz w:val="24"/>
          <w:highlight w:val="none"/>
        </w:rPr>
      </w:pPr>
      <w:bookmarkStart w:id="91" w:name="_Hlk89190642"/>
      <w:r>
        <w:rPr>
          <w:rFonts w:hint="eastAsia" w:ascii="宋体" w:hAnsi="宋体" w:cs="宋体"/>
          <w:color w:val="auto"/>
          <w:sz w:val="28"/>
          <w:szCs w:val="28"/>
          <w:highlight w:val="none"/>
        </w:rPr>
        <w:t>注：有签字、盖章要求的应按要求签字（签章）、盖章（签章）。</w:t>
      </w:r>
      <w:bookmarkEnd w:id="89"/>
      <w:bookmarkEnd w:id="90"/>
      <w:r>
        <w:rPr>
          <w:rFonts w:hint="eastAsia" w:ascii="宋体" w:hAnsi="宋体" w:cs="宋体"/>
          <w:bCs/>
          <w:color w:val="auto"/>
          <w:sz w:val="24"/>
          <w:highlight w:val="none"/>
        </w:rPr>
        <w:t xml:space="preserve"> </w:t>
      </w:r>
    </w:p>
    <w:bookmarkEnd w:id="91"/>
    <w:p w14:paraId="49A05FBA">
      <w:pPr>
        <w:snapToGrid w:val="0"/>
        <w:spacing w:before="120" w:beforeLines="50" w:after="50" w:line="440" w:lineRule="exact"/>
        <w:jc w:val="left"/>
        <w:outlineLvl w:val="1"/>
        <w:rPr>
          <w:rFonts w:hint="eastAsia" w:ascii="宋体" w:hAnsi="宋体" w:cs="宋体"/>
          <w:b/>
          <w:color w:val="auto"/>
          <w:sz w:val="24"/>
          <w:highlight w:val="none"/>
        </w:rPr>
      </w:pPr>
      <w:r>
        <w:rPr>
          <w:rFonts w:hint="eastAsia" w:ascii="宋体" w:hAnsi="宋体" w:cs="宋体"/>
          <w:color w:val="auto"/>
          <w:sz w:val="24"/>
          <w:highlight w:val="none"/>
        </w:rPr>
        <w:br w:type="page"/>
      </w:r>
      <w:bookmarkStart w:id="92" w:name="_Hlk89190719"/>
      <w:r>
        <w:rPr>
          <w:rFonts w:hint="eastAsia" w:ascii="宋体" w:hAnsi="宋体" w:cs="宋体"/>
          <w:b/>
          <w:color w:val="auto"/>
          <w:sz w:val="24"/>
          <w:highlight w:val="none"/>
        </w:rPr>
        <w:t xml:space="preserve">1.响应文件封面格式： </w:t>
      </w:r>
    </w:p>
    <w:p w14:paraId="5F3A06BA">
      <w:pPr>
        <w:snapToGrid w:val="0"/>
        <w:spacing w:before="120" w:beforeLines="50" w:after="50" w:line="360" w:lineRule="exact"/>
        <w:rPr>
          <w:rFonts w:hint="eastAsia" w:ascii="宋体" w:hAnsi="宋体" w:cs="宋体"/>
          <w:color w:val="auto"/>
          <w:sz w:val="24"/>
          <w:highlight w:val="none"/>
        </w:rPr>
      </w:pPr>
    </w:p>
    <w:p w14:paraId="7F3BC6DB">
      <w:pPr>
        <w:snapToGrid w:val="0"/>
        <w:spacing w:before="120" w:beforeLines="50" w:after="50" w:line="360" w:lineRule="exact"/>
        <w:jc w:val="center"/>
        <w:rPr>
          <w:rFonts w:hint="eastAsia" w:ascii="宋体" w:hAnsi="宋体" w:cs="宋体"/>
          <w:bCs/>
          <w:color w:val="auto"/>
          <w:sz w:val="24"/>
          <w:highlight w:val="none"/>
        </w:rPr>
      </w:pPr>
    </w:p>
    <w:p w14:paraId="1460CE98">
      <w:pPr>
        <w:snapToGrid w:val="0"/>
        <w:spacing w:before="120" w:beforeLines="50" w:after="50" w:line="360" w:lineRule="exact"/>
        <w:jc w:val="center"/>
        <w:rPr>
          <w:rFonts w:hint="eastAsia" w:ascii="宋体" w:hAnsi="宋体" w:cs="宋体"/>
          <w:b/>
          <w:bCs/>
          <w:color w:val="auto"/>
          <w:sz w:val="44"/>
          <w:szCs w:val="44"/>
          <w:highlight w:val="none"/>
        </w:rPr>
      </w:pPr>
    </w:p>
    <w:p w14:paraId="6B431E10">
      <w:pPr>
        <w:snapToGrid w:val="0"/>
        <w:spacing w:before="120" w:beforeLines="50" w:after="50" w:line="360" w:lineRule="exact"/>
        <w:jc w:val="center"/>
        <w:rPr>
          <w:rFonts w:hint="eastAsia" w:ascii="宋体" w:hAnsi="宋体" w:cs="宋体"/>
          <w:b/>
          <w:bCs/>
          <w:color w:val="auto"/>
          <w:sz w:val="44"/>
          <w:szCs w:val="44"/>
          <w:highlight w:val="none"/>
        </w:rPr>
      </w:pPr>
      <w:r>
        <w:rPr>
          <w:rFonts w:hint="eastAsia" w:ascii="宋体" w:hAnsi="宋体" w:cs="宋体"/>
          <w:b/>
          <w:bCs/>
          <w:color w:val="auto"/>
          <w:sz w:val="44"/>
          <w:szCs w:val="44"/>
          <w:highlight w:val="none"/>
        </w:rPr>
        <w:t>电子响应文件</w:t>
      </w:r>
    </w:p>
    <w:p w14:paraId="3F7734E3">
      <w:pPr>
        <w:snapToGrid w:val="0"/>
        <w:spacing w:before="120" w:beforeLines="50" w:after="50" w:line="360" w:lineRule="exact"/>
        <w:rPr>
          <w:rFonts w:hint="eastAsia" w:ascii="宋体" w:hAnsi="宋体" w:cs="宋体"/>
          <w:bCs/>
          <w:color w:val="auto"/>
          <w:sz w:val="24"/>
          <w:highlight w:val="none"/>
        </w:rPr>
      </w:pPr>
    </w:p>
    <w:p w14:paraId="4AFBB931">
      <w:pPr>
        <w:snapToGrid w:val="0"/>
        <w:spacing w:before="120" w:beforeLines="50" w:after="50" w:line="360" w:lineRule="exact"/>
        <w:ind w:firstLine="720" w:firstLineChars="300"/>
        <w:rPr>
          <w:rFonts w:hint="eastAsia" w:ascii="宋体" w:hAnsi="宋体" w:cs="宋体"/>
          <w:bCs/>
          <w:color w:val="auto"/>
          <w:sz w:val="24"/>
          <w:highlight w:val="none"/>
        </w:rPr>
      </w:pPr>
      <w:r>
        <w:rPr>
          <w:rFonts w:hint="eastAsia" w:ascii="宋体" w:hAnsi="宋体" w:cs="宋体"/>
          <w:bCs/>
          <w:color w:val="auto"/>
          <w:sz w:val="24"/>
          <w:highlight w:val="none"/>
        </w:rPr>
        <w:t xml:space="preserve">项目名称： </w:t>
      </w:r>
    </w:p>
    <w:p w14:paraId="3DB49D9F">
      <w:pPr>
        <w:snapToGrid w:val="0"/>
        <w:spacing w:before="120" w:beforeLines="50" w:after="50" w:line="360" w:lineRule="exact"/>
        <w:ind w:firstLine="720" w:firstLineChars="300"/>
        <w:rPr>
          <w:rFonts w:hint="eastAsia" w:ascii="宋体" w:hAnsi="宋体" w:cs="宋体"/>
          <w:bCs/>
          <w:color w:val="auto"/>
          <w:sz w:val="24"/>
          <w:highlight w:val="none"/>
        </w:rPr>
      </w:pPr>
      <w:r>
        <w:rPr>
          <w:rFonts w:hint="eastAsia" w:ascii="宋体" w:hAnsi="宋体" w:cs="宋体"/>
          <w:bCs/>
          <w:color w:val="auto"/>
          <w:sz w:val="24"/>
          <w:highlight w:val="none"/>
        </w:rPr>
        <w:t>项目编号：</w:t>
      </w:r>
    </w:p>
    <w:p w14:paraId="4E7402E1">
      <w:pPr>
        <w:snapToGrid w:val="0"/>
        <w:spacing w:before="120" w:beforeLines="50" w:after="50" w:line="360" w:lineRule="exact"/>
        <w:ind w:firstLine="720" w:firstLineChars="300"/>
        <w:rPr>
          <w:rFonts w:hint="eastAsia" w:ascii="宋体" w:hAnsi="宋体" w:cs="宋体"/>
          <w:bCs/>
          <w:color w:val="auto"/>
          <w:sz w:val="24"/>
          <w:highlight w:val="none"/>
        </w:rPr>
      </w:pPr>
      <w:r>
        <w:rPr>
          <w:rFonts w:hint="eastAsia" w:ascii="宋体" w:hAnsi="宋体" w:cs="宋体"/>
          <w:bCs/>
          <w:color w:val="auto"/>
          <w:sz w:val="24"/>
          <w:highlight w:val="none"/>
        </w:rPr>
        <w:t>分标号： （若无留空或写“/”）</w:t>
      </w:r>
    </w:p>
    <w:p w14:paraId="66E7CDC6">
      <w:pPr>
        <w:snapToGrid w:val="0"/>
        <w:spacing w:before="120" w:beforeLines="50" w:after="50" w:line="360" w:lineRule="exact"/>
        <w:ind w:firstLine="720" w:firstLineChars="300"/>
        <w:rPr>
          <w:rFonts w:hint="eastAsia" w:ascii="宋体" w:hAnsi="宋体" w:cs="宋体"/>
          <w:bCs/>
          <w:color w:val="auto"/>
          <w:sz w:val="24"/>
          <w:highlight w:val="none"/>
        </w:rPr>
      </w:pPr>
      <w:r>
        <w:rPr>
          <w:rFonts w:hint="eastAsia" w:ascii="宋体" w:hAnsi="宋体" w:cs="宋体"/>
          <w:bCs/>
          <w:color w:val="auto"/>
          <w:sz w:val="24"/>
          <w:highlight w:val="none"/>
        </w:rPr>
        <w:t>响应文件名称：资格证明文件、商务技术文件、报价文件</w:t>
      </w:r>
    </w:p>
    <w:bookmarkEnd w:id="92"/>
    <w:p w14:paraId="3D1EADF0">
      <w:pPr>
        <w:snapToGrid w:val="0"/>
        <w:spacing w:before="120" w:beforeLines="50" w:after="50" w:line="360" w:lineRule="exact"/>
        <w:ind w:firstLine="720" w:firstLineChars="300"/>
        <w:rPr>
          <w:rFonts w:hint="eastAsia" w:ascii="宋体" w:hAnsi="宋体" w:cs="宋体"/>
          <w:bCs/>
          <w:color w:val="auto"/>
          <w:sz w:val="24"/>
          <w:highlight w:val="none"/>
        </w:rPr>
      </w:pPr>
      <w:r>
        <w:rPr>
          <w:rFonts w:hint="eastAsia" w:ascii="宋体" w:hAnsi="宋体" w:cs="宋体"/>
          <w:bCs/>
          <w:color w:val="auto"/>
          <w:sz w:val="24"/>
          <w:highlight w:val="none"/>
        </w:rPr>
        <w:t>供应商名称：</w:t>
      </w:r>
    </w:p>
    <w:p w14:paraId="070D0A91">
      <w:pPr>
        <w:snapToGrid w:val="0"/>
        <w:spacing w:before="120" w:beforeLines="50" w:after="50" w:line="360" w:lineRule="exact"/>
        <w:ind w:firstLine="720" w:firstLineChars="300"/>
        <w:rPr>
          <w:rFonts w:hint="eastAsia" w:ascii="宋体" w:hAnsi="宋体" w:cs="宋体"/>
          <w:bCs/>
          <w:color w:val="auto"/>
          <w:sz w:val="24"/>
          <w:highlight w:val="none"/>
        </w:rPr>
      </w:pPr>
      <w:r>
        <w:rPr>
          <w:rFonts w:hint="eastAsia" w:ascii="宋体" w:hAnsi="宋体" w:cs="宋体"/>
          <w:bCs/>
          <w:color w:val="auto"/>
          <w:sz w:val="24"/>
          <w:highlight w:val="none"/>
        </w:rPr>
        <w:t>供应商地址：</w:t>
      </w:r>
    </w:p>
    <w:p w14:paraId="09FF1D78">
      <w:pPr>
        <w:pStyle w:val="7"/>
        <w:snapToGrid w:val="0"/>
        <w:spacing w:before="50" w:after="50" w:line="360" w:lineRule="exact"/>
        <w:ind w:firstLine="960" w:firstLineChars="400"/>
        <w:rPr>
          <w:rFonts w:hint="eastAsia" w:ascii="宋体" w:hAnsi="宋体" w:cs="宋体"/>
          <w:bCs/>
          <w:color w:val="auto"/>
          <w:sz w:val="24"/>
          <w:szCs w:val="24"/>
          <w:highlight w:val="none"/>
        </w:rPr>
      </w:pPr>
    </w:p>
    <w:p w14:paraId="5A5A0A6C">
      <w:pPr>
        <w:snapToGrid w:val="0"/>
        <w:spacing w:before="120" w:beforeLines="50" w:after="50" w:line="360" w:lineRule="exact"/>
        <w:jc w:val="center"/>
        <w:rPr>
          <w:rFonts w:hint="eastAsia" w:ascii="宋体" w:hAnsi="宋体" w:cs="宋体"/>
          <w:color w:val="auto"/>
          <w:sz w:val="24"/>
          <w:highlight w:val="none"/>
        </w:rPr>
      </w:pPr>
      <w:r>
        <w:rPr>
          <w:rFonts w:hint="eastAsia" w:ascii="宋体" w:hAnsi="宋体" w:cs="宋体"/>
          <w:color w:val="auto"/>
          <w:sz w:val="24"/>
          <w:highlight w:val="none"/>
        </w:rPr>
        <w:t xml:space="preserve">                        年  月  日</w:t>
      </w:r>
    </w:p>
    <w:p w14:paraId="493152A1">
      <w:pPr>
        <w:rPr>
          <w:rFonts w:hint="eastAsia"/>
          <w:color w:val="auto"/>
          <w:highlight w:val="none"/>
        </w:rPr>
      </w:pPr>
      <w:bookmarkStart w:id="93" w:name="_Toc254970698"/>
      <w:bookmarkStart w:id="94" w:name="_Toc254970557"/>
      <w:r>
        <w:rPr>
          <w:rFonts w:hint="eastAsia"/>
          <w:color w:val="auto"/>
          <w:highlight w:val="none"/>
        </w:rPr>
        <w:br w:type="page"/>
      </w:r>
      <w:bookmarkEnd w:id="93"/>
      <w:bookmarkEnd w:id="94"/>
    </w:p>
    <w:p w14:paraId="5B787AA4">
      <w:pPr>
        <w:snapToGrid w:val="0"/>
        <w:spacing w:before="120" w:beforeLines="50" w:after="50" w:line="440" w:lineRule="exact"/>
        <w:jc w:val="center"/>
        <w:rPr>
          <w:rFonts w:hint="eastAsia" w:ascii="宋体" w:hAnsi="宋体" w:cs="宋体"/>
          <w:color w:val="auto"/>
          <w:sz w:val="24"/>
          <w:highlight w:val="none"/>
        </w:rPr>
      </w:pPr>
    </w:p>
    <w:p w14:paraId="6E5A1136">
      <w:pPr>
        <w:snapToGrid w:val="0"/>
        <w:spacing w:before="50" w:after="50" w:line="440" w:lineRule="exact"/>
        <w:ind w:firstLine="138" w:firstLineChars="49"/>
        <w:jc w:val="center"/>
        <w:rPr>
          <w:rFonts w:hint="eastAsia" w:ascii="宋体" w:hAnsi="宋体" w:cs="宋体"/>
          <w:b/>
          <w:color w:val="auto"/>
          <w:sz w:val="28"/>
          <w:szCs w:val="28"/>
          <w:highlight w:val="none"/>
        </w:rPr>
      </w:pPr>
      <w:r>
        <w:rPr>
          <w:rFonts w:hint="eastAsia" w:ascii="宋体" w:hAnsi="宋体" w:cs="宋体"/>
          <w:b/>
          <w:color w:val="auto"/>
          <w:sz w:val="28"/>
          <w:szCs w:val="28"/>
          <w:highlight w:val="none"/>
        </w:rPr>
        <w:t>目录</w:t>
      </w:r>
    </w:p>
    <w:p w14:paraId="1967B5AB">
      <w:pPr>
        <w:snapToGrid w:val="0"/>
        <w:spacing w:before="50" w:after="50" w:line="440" w:lineRule="exact"/>
        <w:ind w:firstLine="118" w:firstLineChars="49"/>
        <w:jc w:val="center"/>
        <w:rPr>
          <w:rFonts w:hint="eastAsia" w:ascii="宋体" w:hAnsi="宋体" w:cs="宋体"/>
          <w:b/>
          <w:color w:val="auto"/>
          <w:sz w:val="24"/>
          <w:highlight w:val="none"/>
        </w:rPr>
      </w:pPr>
      <w:r>
        <w:rPr>
          <w:rFonts w:hint="eastAsia" w:ascii="宋体" w:hAnsi="宋体" w:cs="宋体"/>
          <w:b/>
          <w:color w:val="auto"/>
          <w:sz w:val="24"/>
          <w:highlight w:val="none"/>
        </w:rPr>
        <w:t>（</w:t>
      </w:r>
      <w:bookmarkStart w:id="95" w:name="_Hlk89190735"/>
      <w:r>
        <w:rPr>
          <w:rFonts w:hint="eastAsia" w:ascii="宋体" w:hAnsi="宋体" w:cs="宋体"/>
          <w:b/>
          <w:color w:val="auto"/>
          <w:sz w:val="24"/>
          <w:highlight w:val="none"/>
        </w:rPr>
        <w:t>需</w:t>
      </w:r>
      <w:bookmarkEnd w:id="95"/>
      <w:r>
        <w:rPr>
          <w:rFonts w:hint="eastAsia" w:ascii="宋体" w:hAnsi="宋体" w:cs="宋体"/>
          <w:b/>
          <w:color w:val="auto"/>
          <w:sz w:val="24"/>
          <w:highlight w:val="none"/>
        </w:rPr>
        <w:t>有页码）</w:t>
      </w:r>
    </w:p>
    <w:p w14:paraId="2A480290">
      <w:pPr>
        <w:snapToGrid w:val="0"/>
        <w:spacing w:before="50" w:after="50" w:line="440" w:lineRule="exact"/>
        <w:ind w:firstLine="118" w:firstLineChars="49"/>
        <w:jc w:val="center"/>
        <w:rPr>
          <w:rFonts w:hint="eastAsia" w:ascii="宋体" w:hAnsi="宋体" w:cs="宋体"/>
          <w:b/>
          <w:color w:val="auto"/>
          <w:sz w:val="24"/>
          <w:highlight w:val="none"/>
        </w:rPr>
      </w:pPr>
      <w:r>
        <w:rPr>
          <w:rFonts w:hint="eastAsia" w:ascii="宋体" w:hAnsi="宋体" w:cs="宋体"/>
          <w:b/>
          <w:color w:val="auto"/>
          <w:sz w:val="24"/>
          <w:highlight w:val="none"/>
        </w:rPr>
        <w:br w:type="page"/>
      </w:r>
    </w:p>
    <w:p w14:paraId="781D1A24">
      <w:pPr>
        <w:snapToGrid w:val="0"/>
        <w:spacing w:before="120" w:beforeLines="50" w:after="50" w:line="440" w:lineRule="exact"/>
        <w:jc w:val="center"/>
        <w:outlineLvl w:val="1"/>
        <w:rPr>
          <w:rFonts w:hint="eastAsia" w:ascii="宋体" w:hAnsi="宋体" w:cs="宋体"/>
          <w:bCs/>
          <w:color w:val="auto"/>
          <w:sz w:val="24"/>
          <w:highlight w:val="none"/>
        </w:rPr>
      </w:pPr>
      <w:r>
        <w:rPr>
          <w:rFonts w:hint="eastAsia" w:ascii="宋体" w:hAnsi="宋体" w:cs="宋体"/>
          <w:bCs/>
          <w:color w:val="auto"/>
          <w:sz w:val="24"/>
          <w:highlight w:val="none"/>
        </w:rPr>
        <w:t xml:space="preserve">第一部分 </w:t>
      </w:r>
      <w:bookmarkStart w:id="96" w:name="_Hlk89190743"/>
      <w:r>
        <w:rPr>
          <w:rFonts w:hint="eastAsia" w:ascii="宋体" w:hAnsi="宋体" w:cs="宋体"/>
          <w:bCs/>
          <w:color w:val="auto"/>
          <w:sz w:val="24"/>
          <w:highlight w:val="none"/>
        </w:rPr>
        <w:t>资格证明文件</w:t>
      </w:r>
      <w:bookmarkEnd w:id="96"/>
    </w:p>
    <w:p w14:paraId="396ED41A">
      <w:pPr>
        <w:numPr>
          <w:ilvl w:val="1"/>
          <w:numId w:val="3"/>
        </w:numPr>
        <w:snapToGrid w:val="0"/>
        <w:spacing w:before="50" w:after="120" w:afterLines="50" w:line="400" w:lineRule="exact"/>
        <w:jc w:val="left"/>
        <w:rPr>
          <w:rFonts w:hint="eastAsia" w:ascii="Arial" w:hAnsi="Arial" w:cs="Arial"/>
          <w:b/>
          <w:color w:val="auto"/>
          <w:szCs w:val="21"/>
          <w:highlight w:val="none"/>
        </w:rPr>
      </w:pPr>
      <w:r>
        <w:rPr>
          <w:rFonts w:hint="eastAsia" w:ascii="Arial" w:hAnsi="Arial" w:cs="Arial"/>
          <w:b/>
          <w:color w:val="auto"/>
          <w:szCs w:val="21"/>
          <w:highlight w:val="none"/>
        </w:rPr>
        <w:t>崇左市政府采购供应商信用承诺函</w:t>
      </w:r>
    </w:p>
    <w:p w14:paraId="5E79AB20">
      <w:pPr>
        <w:numPr>
          <w:ilvl w:val="0"/>
          <w:numId w:val="0"/>
        </w:numPr>
        <w:snapToGrid w:val="0"/>
        <w:spacing w:before="50" w:after="120" w:afterLines="50" w:line="400" w:lineRule="exact"/>
        <w:ind w:leftChars="0"/>
        <w:jc w:val="left"/>
        <w:rPr>
          <w:rFonts w:hint="eastAsia" w:ascii="Arial" w:hAnsi="Arial" w:cs="Arial"/>
          <w:b/>
          <w:color w:val="auto"/>
          <w:szCs w:val="21"/>
          <w:highlight w:val="none"/>
        </w:rPr>
      </w:pPr>
    </w:p>
    <w:p w14:paraId="02C4060F">
      <w:pPr>
        <w:widowControl/>
        <w:spacing w:line="440" w:lineRule="exact"/>
        <w:jc w:val="center"/>
        <w:rPr>
          <w:rFonts w:hint="eastAsia" w:ascii="宋体" w:hAnsi="宋体" w:eastAsia="宋体" w:cs="宋体"/>
          <w:color w:val="auto"/>
          <w:sz w:val="32"/>
          <w:szCs w:val="32"/>
          <w:highlight w:val="none"/>
        </w:rPr>
      </w:pPr>
      <w:r>
        <w:rPr>
          <w:rFonts w:hint="eastAsia" w:ascii="宋体" w:hAnsi="宋体" w:eastAsia="宋体" w:cs="宋体"/>
          <w:color w:val="auto"/>
          <w:kern w:val="0"/>
          <w:sz w:val="36"/>
          <w:szCs w:val="36"/>
          <w:highlight w:val="none"/>
          <w:lang w:bidi="ar"/>
        </w:rPr>
        <w:t>崇左市政府采购供应商信用承诺函（格式）</w:t>
      </w:r>
    </w:p>
    <w:p w14:paraId="6C1B0781">
      <w:pPr>
        <w:widowControl/>
        <w:spacing w:line="440" w:lineRule="exact"/>
        <w:jc w:val="left"/>
        <w:rPr>
          <w:rFonts w:ascii="仿宋_GB2312" w:hAnsi="仿宋_GB2312" w:eastAsia="仿宋_GB2312" w:cs="仿宋_GB2312"/>
          <w:color w:val="auto"/>
          <w:kern w:val="0"/>
          <w:sz w:val="32"/>
          <w:szCs w:val="32"/>
          <w:highlight w:val="none"/>
          <w:lang w:bidi="ar"/>
        </w:rPr>
      </w:pPr>
    </w:p>
    <w:p w14:paraId="45375174">
      <w:pPr>
        <w:widowControl/>
        <w:spacing w:line="440" w:lineRule="exact"/>
        <w:rPr>
          <w:rFonts w:hint="eastAsia" w:ascii="仿宋_GB2312" w:hAnsi="仿宋_GB2312" w:eastAsia="仿宋_GB2312" w:cs="仿宋_GB2312"/>
          <w:color w:val="auto"/>
          <w:sz w:val="24"/>
          <w:highlight w:val="none"/>
          <w:u w:val="single"/>
        </w:rPr>
      </w:pPr>
      <w:r>
        <w:rPr>
          <w:rFonts w:hint="eastAsia" w:ascii="仿宋_GB2312" w:hAnsi="仿宋_GB2312" w:eastAsia="仿宋_GB2312" w:cs="仿宋_GB2312"/>
          <w:color w:val="auto"/>
          <w:kern w:val="0"/>
          <w:sz w:val="24"/>
          <w:highlight w:val="none"/>
          <w:lang w:bidi="ar"/>
        </w:rPr>
        <w:t>致</w:t>
      </w:r>
      <w:r>
        <w:rPr>
          <w:rFonts w:hint="eastAsia" w:ascii="仿宋_GB2312" w:hAnsi="仿宋_GB2312" w:eastAsia="仿宋_GB2312" w:cs="仿宋_GB2312"/>
          <w:color w:val="auto"/>
          <w:kern w:val="0"/>
          <w:sz w:val="24"/>
          <w:highlight w:val="none"/>
          <w:u w:val="single"/>
          <w:lang w:bidi="ar"/>
        </w:rPr>
        <w:t>（采购代理机构名称）</w:t>
      </w:r>
      <w:r>
        <w:rPr>
          <w:rFonts w:hint="eastAsia" w:ascii="仿宋_GB2312" w:hAnsi="仿宋_GB2312" w:eastAsia="仿宋_GB2312" w:cs="仿宋_GB2312"/>
          <w:color w:val="auto"/>
          <w:kern w:val="0"/>
          <w:sz w:val="24"/>
          <w:highlight w:val="none"/>
          <w:lang w:bidi="ar"/>
        </w:rPr>
        <w:t>:</w:t>
      </w:r>
    </w:p>
    <w:p w14:paraId="7FE452D3">
      <w:pPr>
        <w:widowControl/>
        <w:spacing w:line="440" w:lineRule="exact"/>
        <w:ind w:firstLine="480" w:firstLineChars="200"/>
        <w:rPr>
          <w:rFonts w:hint="eastAsia" w:ascii="仿宋_GB2312" w:hAnsi="仿宋_GB2312" w:eastAsia="仿宋_GB2312" w:cs="仿宋_GB2312"/>
          <w:color w:val="auto"/>
          <w:spacing w:val="-6"/>
          <w:sz w:val="24"/>
          <w:highlight w:val="none"/>
        </w:rPr>
      </w:pPr>
      <w:r>
        <w:rPr>
          <w:rFonts w:hint="eastAsia" w:ascii="仿宋_GB2312" w:hAnsi="仿宋_GB2312" w:eastAsia="仿宋_GB2312" w:cs="仿宋_GB2312"/>
          <w:color w:val="auto"/>
          <w:kern w:val="0"/>
          <w:sz w:val="24"/>
          <w:highlight w:val="none"/>
          <w:lang w:bidi="ar"/>
        </w:rPr>
        <w:t>我方自愿参加</w:t>
      </w:r>
      <w:r>
        <w:rPr>
          <w:rFonts w:hint="eastAsia" w:ascii="仿宋_GB2312" w:hAnsi="仿宋_GB2312" w:eastAsia="仿宋_GB2312" w:cs="仿宋_GB2312"/>
          <w:color w:val="auto"/>
          <w:kern w:val="0"/>
          <w:sz w:val="24"/>
          <w:highlight w:val="none"/>
          <w:u w:val="single"/>
          <w:lang w:bidi="ar"/>
        </w:rPr>
        <w:t xml:space="preserve"> （项目名称） </w:t>
      </w:r>
      <w:r>
        <w:rPr>
          <w:rFonts w:hint="eastAsia" w:ascii="仿宋_GB2312" w:hAnsi="仿宋_GB2312" w:eastAsia="仿宋_GB2312" w:cs="仿宋_GB2312"/>
          <w:color w:val="auto"/>
          <w:kern w:val="0"/>
          <w:sz w:val="24"/>
          <w:highlight w:val="none"/>
          <w:lang w:bidi="ar"/>
        </w:rPr>
        <w:t>项目</w:t>
      </w:r>
      <w:r>
        <w:rPr>
          <w:rFonts w:hint="eastAsia" w:ascii="仿宋_GB2312" w:eastAsia="仿宋_GB2312"/>
          <w:color w:val="auto"/>
          <w:spacing w:val="6"/>
          <w:sz w:val="24"/>
          <w:highlight w:val="none"/>
        </w:rPr>
        <w:t>（项目编号：</w:t>
      </w:r>
      <w:r>
        <w:rPr>
          <w:rFonts w:hint="eastAsia" w:ascii="仿宋_GB2312" w:eastAsia="仿宋_GB2312"/>
          <w:color w:val="auto"/>
          <w:spacing w:val="6"/>
          <w:sz w:val="24"/>
          <w:highlight w:val="none"/>
          <w:u w:val="single"/>
        </w:rPr>
        <w:t xml:space="preserve">         </w:t>
      </w:r>
      <w:r>
        <w:rPr>
          <w:rFonts w:hint="eastAsia" w:ascii="仿宋_GB2312" w:eastAsia="仿宋_GB2312"/>
          <w:color w:val="auto"/>
          <w:spacing w:val="6"/>
          <w:sz w:val="24"/>
          <w:highlight w:val="none"/>
        </w:rPr>
        <w:t>）</w:t>
      </w:r>
      <w:r>
        <w:rPr>
          <w:rFonts w:hint="eastAsia" w:ascii="仿宋_GB2312" w:hAnsi="仿宋_GB2312" w:eastAsia="仿宋_GB2312" w:cs="仿宋_GB2312"/>
          <w:color w:val="auto"/>
          <w:kern w:val="0"/>
          <w:sz w:val="24"/>
          <w:highlight w:val="none"/>
          <w:lang w:bidi="ar"/>
        </w:rPr>
        <w:t>的政府采购活动，严格遵守《中华人民共和国政府采购法》及相关法律法规，依法诚信经营，无条件遵守本次政府采购活动的各项规定，并郑重承诺</w:t>
      </w:r>
      <w:r>
        <w:rPr>
          <w:rFonts w:hint="eastAsia" w:ascii="仿宋_GB2312" w:hAnsi="仿宋_GB2312" w:eastAsia="仿宋_GB2312" w:cs="仿宋_GB2312"/>
          <w:color w:val="auto"/>
          <w:spacing w:val="-6"/>
          <w:kern w:val="0"/>
          <w:sz w:val="24"/>
          <w:highlight w:val="none"/>
          <w:lang w:bidi="ar"/>
        </w:rPr>
        <w:t xml:space="preserve">： </w:t>
      </w:r>
    </w:p>
    <w:p w14:paraId="1304454C">
      <w:pPr>
        <w:widowControl/>
        <w:spacing w:line="440" w:lineRule="exact"/>
        <w:ind w:firstLine="480" w:firstLineChars="200"/>
        <w:rPr>
          <w:rFonts w:hint="eastAsia" w:ascii="仿宋_GB2312" w:hAnsi="仿宋_GB2312" w:eastAsia="仿宋_GB2312" w:cs="仿宋_GB2312"/>
          <w:color w:val="auto"/>
          <w:kern w:val="0"/>
          <w:sz w:val="24"/>
          <w:highlight w:val="none"/>
          <w:lang w:bidi="ar"/>
        </w:rPr>
      </w:pPr>
      <w:r>
        <w:rPr>
          <w:rFonts w:hint="eastAsia" w:ascii="仿宋_GB2312" w:hAnsi="仿宋_GB2312" w:eastAsia="仿宋_GB2312" w:cs="仿宋_GB2312"/>
          <w:color w:val="auto"/>
          <w:kern w:val="0"/>
          <w:sz w:val="24"/>
          <w:highlight w:val="none"/>
          <w:lang w:bidi="ar"/>
        </w:rPr>
        <w:t>1.我方</w:t>
      </w:r>
      <w:r>
        <w:rPr>
          <w:rFonts w:hint="eastAsia" w:ascii="仿宋_GB2312" w:eastAsia="仿宋_GB2312"/>
          <w:color w:val="auto"/>
          <w:spacing w:val="6"/>
          <w:sz w:val="24"/>
          <w:highlight w:val="none"/>
        </w:rPr>
        <w:t>具有独立承担民事责任的能力或我方属于银行、保险、石油石化、电力、电信等有行业特殊情况的法人的分支机构在参加本次政府采购活动前已取得总公司的授权。</w:t>
      </w:r>
    </w:p>
    <w:p w14:paraId="469F03E5">
      <w:pPr>
        <w:widowControl/>
        <w:spacing w:line="440" w:lineRule="exact"/>
        <w:ind w:firstLine="480" w:firstLineChars="200"/>
        <w:rPr>
          <w:rFonts w:hint="eastAsia" w:ascii="仿宋_GB2312" w:hAnsi="仿宋_GB2312" w:eastAsia="仿宋_GB2312" w:cs="仿宋_GB2312"/>
          <w:color w:val="auto"/>
          <w:sz w:val="24"/>
          <w:highlight w:val="none"/>
        </w:rPr>
      </w:pPr>
      <w:r>
        <w:rPr>
          <w:rFonts w:hint="eastAsia" w:ascii="仿宋_GB2312" w:hAnsi="仿宋_GB2312" w:eastAsia="仿宋_GB2312" w:cs="仿宋_GB2312"/>
          <w:color w:val="auto"/>
          <w:kern w:val="0"/>
          <w:sz w:val="24"/>
          <w:highlight w:val="none"/>
          <w:lang w:bidi="ar"/>
        </w:rPr>
        <w:t xml:space="preserve">2.我方具有符合采购文件资格要求的财务状况报告。 </w:t>
      </w:r>
    </w:p>
    <w:p w14:paraId="3F29F319">
      <w:pPr>
        <w:widowControl/>
        <w:spacing w:line="440" w:lineRule="exact"/>
        <w:ind w:firstLine="456" w:firstLineChars="200"/>
        <w:rPr>
          <w:rFonts w:hint="eastAsia" w:ascii="仿宋_GB2312" w:hAnsi="仿宋_GB2312" w:eastAsia="仿宋_GB2312" w:cs="仿宋_GB2312"/>
          <w:color w:val="auto"/>
          <w:spacing w:val="-17"/>
          <w:sz w:val="24"/>
          <w:highlight w:val="none"/>
        </w:rPr>
      </w:pPr>
      <w:r>
        <w:rPr>
          <w:rFonts w:hint="eastAsia" w:ascii="仿宋_GB2312" w:hAnsi="仿宋_GB2312" w:eastAsia="仿宋_GB2312" w:cs="仿宋_GB2312"/>
          <w:color w:val="auto"/>
          <w:spacing w:val="-6"/>
          <w:kern w:val="0"/>
          <w:sz w:val="24"/>
          <w:highlight w:val="none"/>
          <w:lang w:bidi="ar"/>
        </w:rPr>
        <w:t>3.我方具有符合采购文件资格要求的依法缴纳税收和社会保障资金的良好记录。</w:t>
      </w:r>
      <w:r>
        <w:rPr>
          <w:rFonts w:hint="eastAsia" w:ascii="仿宋_GB2312" w:hAnsi="仿宋_GB2312" w:eastAsia="仿宋_GB2312" w:cs="仿宋_GB2312"/>
          <w:color w:val="auto"/>
          <w:spacing w:val="-17"/>
          <w:kern w:val="0"/>
          <w:sz w:val="24"/>
          <w:highlight w:val="none"/>
          <w:lang w:bidi="ar"/>
        </w:rPr>
        <w:t xml:space="preserve"> </w:t>
      </w:r>
    </w:p>
    <w:p w14:paraId="607617FA">
      <w:pPr>
        <w:widowControl/>
        <w:spacing w:line="440" w:lineRule="exact"/>
        <w:ind w:firstLine="480" w:firstLineChars="200"/>
        <w:rPr>
          <w:rFonts w:hint="eastAsia" w:ascii="仿宋_GB2312" w:hAnsi="仿宋_GB2312" w:eastAsia="仿宋_GB2312" w:cs="仿宋_GB2312"/>
          <w:color w:val="auto"/>
          <w:sz w:val="24"/>
          <w:highlight w:val="none"/>
        </w:rPr>
      </w:pPr>
      <w:r>
        <w:rPr>
          <w:rFonts w:hint="eastAsia" w:ascii="仿宋_GB2312" w:hAnsi="仿宋_GB2312" w:eastAsia="仿宋_GB2312" w:cs="仿宋_GB2312"/>
          <w:color w:val="auto"/>
          <w:kern w:val="0"/>
          <w:sz w:val="24"/>
          <w:highlight w:val="none"/>
          <w:lang w:bidi="ar"/>
        </w:rPr>
        <w:t xml:space="preserve">4.我方具有符合采购文件资格要求履行合同所必需的设备和专业技术能力。 </w:t>
      </w:r>
    </w:p>
    <w:p w14:paraId="3FDC423C">
      <w:pPr>
        <w:widowControl/>
        <w:spacing w:line="440" w:lineRule="exact"/>
        <w:ind w:firstLine="480" w:firstLineChars="200"/>
        <w:rPr>
          <w:rFonts w:hint="eastAsia" w:ascii="仿宋_GB2312" w:hAnsi="仿宋_GB2312" w:eastAsia="仿宋_GB2312" w:cs="仿宋_GB2312"/>
          <w:color w:val="auto"/>
          <w:sz w:val="24"/>
          <w:highlight w:val="none"/>
        </w:rPr>
      </w:pPr>
      <w:r>
        <w:rPr>
          <w:rFonts w:hint="eastAsia" w:ascii="仿宋_GB2312" w:hAnsi="仿宋_GB2312" w:eastAsia="仿宋_GB2312" w:cs="仿宋_GB2312"/>
          <w:color w:val="auto"/>
          <w:kern w:val="0"/>
          <w:sz w:val="24"/>
          <w:highlight w:val="none"/>
          <w:lang w:bidi="ar"/>
        </w:rPr>
        <w:t xml:space="preserve">5.我方参加政府采购活动前3年内在经营活动中没有重大违法记录。 </w:t>
      </w:r>
    </w:p>
    <w:p w14:paraId="7B85A205">
      <w:pPr>
        <w:widowControl/>
        <w:spacing w:line="440" w:lineRule="exact"/>
        <w:ind w:firstLine="480" w:firstLineChars="200"/>
        <w:rPr>
          <w:rFonts w:hint="eastAsia" w:ascii="仿宋_GB2312" w:hAnsi="仿宋_GB2312" w:eastAsia="仿宋_GB2312" w:cs="仿宋_GB2312"/>
          <w:color w:val="auto"/>
          <w:kern w:val="0"/>
          <w:sz w:val="24"/>
          <w:highlight w:val="none"/>
          <w:lang w:bidi="ar"/>
        </w:rPr>
      </w:pPr>
      <w:r>
        <w:rPr>
          <w:rFonts w:hint="eastAsia" w:ascii="仿宋_GB2312" w:hAnsi="仿宋_GB2312" w:eastAsia="仿宋_GB2312" w:cs="仿宋_GB2312"/>
          <w:color w:val="auto"/>
          <w:kern w:val="0"/>
          <w:sz w:val="24"/>
          <w:highlight w:val="none"/>
          <w:lang w:bidi="ar"/>
        </w:rPr>
        <w:t>我方对以上承诺内容的真实性负责。如有虚假，将依法承担相应责任。</w:t>
      </w:r>
    </w:p>
    <w:p w14:paraId="3CD096DD">
      <w:pPr>
        <w:widowControl/>
        <w:spacing w:line="440" w:lineRule="exact"/>
        <w:ind w:firstLine="480" w:firstLineChars="200"/>
        <w:rPr>
          <w:rFonts w:hint="eastAsia" w:ascii="仿宋_GB2312" w:hAnsi="仿宋_GB2312" w:eastAsia="仿宋_GB2312" w:cs="仿宋_GB2312"/>
          <w:color w:val="auto"/>
          <w:kern w:val="0"/>
          <w:sz w:val="24"/>
          <w:highlight w:val="none"/>
          <w:lang w:bidi="ar"/>
        </w:rPr>
      </w:pPr>
    </w:p>
    <w:p w14:paraId="342CD988">
      <w:pPr>
        <w:widowControl/>
        <w:spacing w:line="440" w:lineRule="exact"/>
        <w:ind w:firstLine="480" w:firstLineChars="200"/>
        <w:rPr>
          <w:rFonts w:hint="eastAsia" w:ascii="仿宋_GB2312" w:hAnsi="仿宋_GB2312" w:eastAsia="仿宋_GB2312" w:cs="仿宋_GB2312"/>
          <w:color w:val="auto"/>
          <w:kern w:val="0"/>
          <w:sz w:val="24"/>
          <w:highlight w:val="none"/>
          <w:lang w:bidi="ar"/>
        </w:rPr>
      </w:pPr>
    </w:p>
    <w:p w14:paraId="321D5FC8">
      <w:pPr>
        <w:widowControl/>
        <w:spacing w:line="440" w:lineRule="exact"/>
        <w:ind w:firstLine="3600" w:firstLineChars="1500"/>
        <w:jc w:val="left"/>
        <w:rPr>
          <w:rFonts w:hint="eastAsia" w:ascii="仿宋_GB2312" w:hAnsi="仿宋_GB2312" w:eastAsia="仿宋_GB2312" w:cs="仿宋_GB2312"/>
          <w:color w:val="auto"/>
          <w:sz w:val="24"/>
          <w:highlight w:val="none"/>
        </w:rPr>
      </w:pPr>
      <w:r>
        <w:rPr>
          <w:rFonts w:hint="eastAsia" w:ascii="仿宋_GB2312" w:hAnsi="仿宋_GB2312" w:eastAsia="仿宋_GB2312" w:cs="仿宋_GB2312"/>
          <w:color w:val="auto"/>
          <w:kern w:val="0"/>
          <w:sz w:val="24"/>
          <w:highlight w:val="none"/>
          <w:lang w:bidi="ar"/>
        </w:rPr>
        <w:t xml:space="preserve">供应商名称（盖章）： </w:t>
      </w:r>
    </w:p>
    <w:p w14:paraId="07348BB9">
      <w:pPr>
        <w:tabs>
          <w:tab w:val="left" w:pos="7560"/>
        </w:tabs>
        <w:spacing w:line="440" w:lineRule="exact"/>
        <w:ind w:firstLine="3600" w:firstLineChars="1500"/>
        <w:jc w:val="left"/>
        <w:rPr>
          <w:rFonts w:hint="eastAsia" w:ascii="仿宋_GB2312" w:hAnsi="仿宋_GB2312" w:eastAsia="仿宋_GB2312" w:cs="仿宋_GB2312"/>
          <w:color w:val="auto"/>
          <w:kern w:val="0"/>
          <w:sz w:val="24"/>
          <w:highlight w:val="none"/>
          <w:lang w:bidi="ar"/>
        </w:rPr>
      </w:pPr>
      <w:r>
        <w:rPr>
          <w:rFonts w:hint="eastAsia" w:ascii="仿宋_GB2312" w:hAnsi="仿宋_GB2312" w:eastAsia="仿宋_GB2312" w:cs="仿宋_GB2312"/>
          <w:color w:val="auto"/>
          <w:kern w:val="0"/>
          <w:sz w:val="24"/>
          <w:highlight w:val="none"/>
          <w:lang w:bidi="ar"/>
        </w:rPr>
        <w:t>日期：</w:t>
      </w:r>
    </w:p>
    <w:p w14:paraId="5AEAB660">
      <w:pPr>
        <w:snapToGrid w:val="0"/>
        <w:spacing w:before="50" w:after="120" w:afterLines="50" w:line="400" w:lineRule="exact"/>
        <w:jc w:val="left"/>
        <w:rPr>
          <w:rFonts w:hint="eastAsia"/>
          <w:b/>
          <w:color w:val="auto"/>
          <w:szCs w:val="21"/>
          <w:highlight w:val="none"/>
        </w:rPr>
      </w:pPr>
      <w:r>
        <w:rPr>
          <w:rFonts w:hint="eastAsia" w:ascii="仿宋_GB2312" w:hAnsi="仿宋_GB2312" w:eastAsia="仿宋_GB2312" w:cs="仿宋_GB2312"/>
          <w:color w:val="auto"/>
          <w:highlight w:val="none"/>
          <w:lang w:bidi="ar"/>
        </w:rPr>
        <w:t>注：1.</w:t>
      </w:r>
      <w:r>
        <w:rPr>
          <w:rFonts w:hint="eastAsia" w:ascii="仿宋_GB2312" w:hAnsi="仿宋_GB2312" w:eastAsia="仿宋_GB2312" w:cs="仿宋_GB2312"/>
          <w:color w:val="auto"/>
          <w:highlight w:val="none"/>
        </w:rPr>
        <w:t>参与政府采购活动的供应商可按第1点的内容：“</w:t>
      </w:r>
      <w:r>
        <w:rPr>
          <w:rFonts w:hint="eastAsia" w:ascii="仿宋_GB2312" w:hAnsi="仿宋_GB2312" w:eastAsia="仿宋_GB2312" w:cs="仿宋_GB2312"/>
          <w:color w:val="auto"/>
          <w:highlight w:val="none"/>
          <w:lang w:bidi="ar"/>
        </w:rPr>
        <w:t>我方</w:t>
      </w:r>
      <w:r>
        <w:rPr>
          <w:rFonts w:hint="eastAsia" w:ascii="仿宋_GB2312" w:eastAsia="仿宋_GB2312"/>
          <w:color w:val="auto"/>
          <w:spacing w:val="6"/>
          <w:highlight w:val="none"/>
        </w:rPr>
        <w:t>具有独立承担民事责任的能力或我方属于银行、保险、石油石化、电力、电信等有行业特殊情况的法人的分支机构在参加本次政府采购活动前已取得总公司的授权。”进行承诺，也可以根据自身的真实情况选择以下2种方式进行承诺：一是“</w:t>
      </w:r>
      <w:r>
        <w:rPr>
          <w:rFonts w:hint="eastAsia" w:ascii="仿宋_GB2312" w:hAnsi="仿宋_GB2312" w:eastAsia="仿宋_GB2312" w:cs="仿宋_GB2312"/>
          <w:color w:val="auto"/>
          <w:highlight w:val="none"/>
          <w:lang w:bidi="ar"/>
        </w:rPr>
        <w:t>我方</w:t>
      </w:r>
      <w:r>
        <w:rPr>
          <w:rFonts w:hint="eastAsia" w:ascii="仿宋_GB2312" w:eastAsia="仿宋_GB2312"/>
          <w:color w:val="auto"/>
          <w:spacing w:val="6"/>
          <w:highlight w:val="none"/>
        </w:rPr>
        <w:t>具有独立承担民事责任的能力”进行承诺；二是“我方属于银行、保险、石油石化、电力、电信等有行业特殊情况的法人的分支机构在参加本次政府采购活动前已取得总公司的授权”进行承诺。参加政府采购活动的供应商只要第1点承诺的内容包含有：具有独立承担民事责任的能力、在参加本次政府采购活动前已取得总公司的授权等内容的即为有效的承诺。2.第1点所指的行业特殊情况使用了“等”字表示列举未尽，即行业特殊情况包含但不限于银行、保险、石油石化、电力、电信。</w:t>
      </w:r>
    </w:p>
    <w:p w14:paraId="3902EE8E">
      <w:pPr>
        <w:snapToGrid w:val="0"/>
        <w:spacing w:before="50" w:after="120" w:afterLines="50" w:line="400" w:lineRule="exact"/>
        <w:jc w:val="left"/>
        <w:rPr>
          <w:rFonts w:hint="eastAsia" w:ascii="宋体" w:hAnsi="宋体" w:cs="宋体"/>
          <w:b/>
          <w:color w:val="auto"/>
          <w:szCs w:val="21"/>
          <w:highlight w:val="none"/>
          <w:lang w:val="en-US" w:eastAsia="zh-CN"/>
        </w:rPr>
        <w:sectPr>
          <w:headerReference r:id="rId16" w:type="default"/>
          <w:footerReference r:id="rId17" w:type="default"/>
          <w:pgSz w:w="11906" w:h="16838"/>
          <w:pgMar w:top="1418" w:right="1274" w:bottom="1418" w:left="1418" w:header="851" w:footer="992" w:gutter="0"/>
          <w:cols w:space="720" w:num="1"/>
          <w:docGrid w:linePitch="312" w:charSpace="0"/>
        </w:sectPr>
      </w:pPr>
    </w:p>
    <w:p w14:paraId="11BECC03">
      <w:pPr>
        <w:snapToGrid w:val="0"/>
        <w:spacing w:before="50" w:after="120" w:afterLines="50" w:line="400" w:lineRule="exact"/>
        <w:jc w:val="left"/>
        <w:rPr>
          <w:rFonts w:hint="eastAsia" w:ascii="宋体" w:hAnsi="宋体" w:cs="宋体"/>
          <w:b/>
          <w:color w:val="auto"/>
          <w:szCs w:val="21"/>
          <w:highlight w:val="none"/>
        </w:rPr>
      </w:pPr>
      <w:r>
        <w:rPr>
          <w:rFonts w:hint="eastAsia" w:ascii="宋体" w:hAnsi="宋体" w:cs="宋体"/>
          <w:b/>
          <w:color w:val="auto"/>
          <w:szCs w:val="21"/>
          <w:highlight w:val="none"/>
          <w:lang w:val="en-US" w:eastAsia="zh-CN"/>
        </w:rPr>
        <w:t>2</w:t>
      </w:r>
      <w:r>
        <w:rPr>
          <w:rFonts w:hint="eastAsia" w:ascii="宋体" w:hAnsi="宋体" w:cs="宋体"/>
          <w:b/>
          <w:color w:val="auto"/>
          <w:szCs w:val="21"/>
          <w:highlight w:val="none"/>
        </w:rPr>
        <w:t>．响应声明书格式</w:t>
      </w:r>
      <w:r>
        <w:rPr>
          <w:rFonts w:hint="eastAsia" w:ascii="宋体" w:hAnsi="宋体" w:cs="宋体"/>
          <w:b/>
          <w:color w:val="auto"/>
          <w:szCs w:val="21"/>
          <w:highlight w:val="none"/>
          <w:lang w:eastAsia="zh-CN"/>
        </w:rPr>
        <w:t>（须提供）</w:t>
      </w:r>
      <w:r>
        <w:rPr>
          <w:rFonts w:hint="eastAsia" w:ascii="宋体" w:hAnsi="宋体" w:cs="宋体"/>
          <w:b/>
          <w:color w:val="auto"/>
          <w:szCs w:val="21"/>
          <w:highlight w:val="none"/>
        </w:rPr>
        <w:t>：</w:t>
      </w:r>
    </w:p>
    <w:p w14:paraId="4F3737C9">
      <w:pPr>
        <w:snapToGrid w:val="0"/>
        <w:spacing w:before="120" w:beforeLines="50" w:after="50" w:line="360" w:lineRule="exact"/>
        <w:jc w:val="center"/>
        <w:rPr>
          <w:rFonts w:hint="eastAsia" w:ascii="宋体" w:hAnsi="宋体" w:cs="宋体"/>
          <w:b/>
          <w:color w:val="auto"/>
          <w:szCs w:val="21"/>
          <w:highlight w:val="none"/>
        </w:rPr>
      </w:pPr>
      <w:r>
        <w:rPr>
          <w:rFonts w:hint="eastAsia" w:ascii="宋体" w:hAnsi="宋体" w:cs="宋体"/>
          <w:b/>
          <w:color w:val="auto"/>
          <w:szCs w:val="21"/>
          <w:highlight w:val="none"/>
        </w:rPr>
        <w:t>响应声明书</w:t>
      </w:r>
    </w:p>
    <w:p w14:paraId="27D438DC">
      <w:pPr>
        <w:snapToGrid w:val="0"/>
        <w:spacing w:before="120" w:beforeLines="50" w:after="50" w:line="360" w:lineRule="exact"/>
        <w:jc w:val="center"/>
        <w:rPr>
          <w:rFonts w:hint="eastAsia" w:ascii="宋体" w:hAnsi="宋体" w:cs="宋体"/>
          <w:color w:val="auto"/>
          <w:szCs w:val="21"/>
          <w:highlight w:val="none"/>
        </w:rPr>
      </w:pPr>
    </w:p>
    <w:p w14:paraId="1138E746">
      <w:pPr>
        <w:snapToGrid w:val="0"/>
        <w:spacing w:before="120" w:beforeLines="50" w:after="50" w:line="360" w:lineRule="exact"/>
        <w:rPr>
          <w:rFonts w:hint="eastAsia" w:ascii="宋体" w:hAnsi="宋体" w:eastAsia="宋体" w:cs="宋体"/>
          <w:color w:val="auto"/>
          <w:szCs w:val="21"/>
          <w:highlight w:val="none"/>
          <w:lang w:eastAsia="zh-CN"/>
        </w:rPr>
      </w:pPr>
      <w:r>
        <w:rPr>
          <w:rFonts w:hint="eastAsia" w:ascii="宋体" w:hAnsi="宋体" w:cs="宋体"/>
          <w:color w:val="auto"/>
          <w:szCs w:val="21"/>
          <w:highlight w:val="none"/>
        </w:rPr>
        <w:t>致：</w:t>
      </w:r>
      <w:r>
        <w:rPr>
          <w:rFonts w:hint="eastAsia" w:ascii="宋体" w:hAnsi="宋体" w:cs="宋体"/>
          <w:i/>
          <w:iCs/>
          <w:color w:val="auto"/>
          <w:szCs w:val="21"/>
          <w:highlight w:val="none"/>
          <w:u w:val="single"/>
        </w:rPr>
        <w:t>（采购人名称）</w:t>
      </w:r>
      <w:r>
        <w:rPr>
          <w:rFonts w:hint="eastAsia" w:ascii="宋体" w:hAnsi="宋体" w:cs="宋体"/>
          <w:color w:val="auto"/>
          <w:szCs w:val="21"/>
          <w:highlight w:val="none"/>
          <w:lang w:eastAsia="zh-CN"/>
        </w:rPr>
        <w:t>：</w:t>
      </w:r>
    </w:p>
    <w:p w14:paraId="6207DDDA">
      <w:pPr>
        <w:snapToGrid w:val="0"/>
        <w:spacing w:before="120" w:beforeLines="50" w:after="50" w:line="360" w:lineRule="exact"/>
        <w:ind w:firstLine="630" w:firstLineChars="300"/>
        <w:rPr>
          <w:rFonts w:hint="eastAsia" w:ascii="宋体" w:hAnsi="宋体" w:cs="宋体"/>
          <w:color w:val="auto"/>
          <w:szCs w:val="21"/>
          <w:highlight w:val="none"/>
        </w:rPr>
      </w:pPr>
      <w:r>
        <w:rPr>
          <w:rFonts w:hint="eastAsia" w:ascii="宋体" w:hAnsi="宋体" w:cs="宋体"/>
          <w:i/>
          <w:iCs/>
          <w:color w:val="auto"/>
          <w:szCs w:val="21"/>
          <w:highlight w:val="none"/>
          <w:u w:val="single"/>
        </w:rPr>
        <w:t>（供应商名称）</w:t>
      </w:r>
      <w:r>
        <w:rPr>
          <w:rFonts w:hint="eastAsia" w:ascii="宋体" w:hAnsi="宋体" w:cs="宋体"/>
          <w:color w:val="auto"/>
          <w:szCs w:val="21"/>
          <w:highlight w:val="none"/>
        </w:rPr>
        <w:t>系中华人民共和国合法企业，</w:t>
      </w:r>
      <w:r>
        <w:rPr>
          <w:rFonts w:hint="eastAsia" w:ascii="宋体" w:hAnsi="宋体" w:cs="宋体"/>
          <w:color w:val="auto"/>
          <w:szCs w:val="21"/>
          <w:highlight w:val="none"/>
          <w:u w:val="single"/>
        </w:rPr>
        <w:t xml:space="preserve"> </w:t>
      </w:r>
      <w:r>
        <w:rPr>
          <w:rFonts w:hint="eastAsia" w:ascii="宋体" w:hAnsi="宋体" w:cs="宋体"/>
          <w:i/>
          <w:iCs/>
          <w:color w:val="auto"/>
          <w:szCs w:val="21"/>
          <w:highlight w:val="none"/>
          <w:u w:val="single"/>
        </w:rPr>
        <w:t xml:space="preserve"> （经营地址）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14:paraId="47834A44">
      <w:pPr>
        <w:snapToGrid w:val="0"/>
        <w:spacing w:before="120" w:beforeLines="50" w:after="50" w:line="360" w:lineRule="exact"/>
        <w:ind w:firstLine="645"/>
        <w:rPr>
          <w:rFonts w:hint="eastAsia" w:ascii="宋体" w:hAnsi="宋体" w:cs="宋体"/>
          <w:color w:val="auto"/>
          <w:szCs w:val="21"/>
          <w:highlight w:val="none"/>
        </w:rPr>
      </w:pPr>
      <w:r>
        <w:rPr>
          <w:rFonts w:hint="eastAsia" w:ascii="宋体" w:hAnsi="宋体" w:cs="宋体"/>
          <w:color w:val="auto"/>
          <w:szCs w:val="21"/>
          <w:highlight w:val="none"/>
        </w:rPr>
        <w:t>我</w:t>
      </w:r>
      <w:r>
        <w:rPr>
          <w:rFonts w:hint="eastAsia" w:ascii="宋体" w:hAnsi="宋体" w:cs="宋体"/>
          <w:i/>
          <w:iCs/>
          <w:color w:val="auto"/>
          <w:szCs w:val="21"/>
          <w:highlight w:val="none"/>
          <w:u w:val="single"/>
        </w:rPr>
        <w:t xml:space="preserve">（姓名） </w:t>
      </w:r>
      <w:r>
        <w:rPr>
          <w:rFonts w:hint="eastAsia" w:ascii="宋体" w:hAnsi="宋体" w:cs="宋体"/>
          <w:color w:val="auto"/>
          <w:szCs w:val="21"/>
          <w:highlight w:val="none"/>
        </w:rPr>
        <w:t>系</w:t>
      </w:r>
      <w:r>
        <w:rPr>
          <w:rFonts w:hint="eastAsia" w:ascii="宋体" w:hAnsi="宋体" w:cs="宋体"/>
          <w:i/>
          <w:iCs/>
          <w:color w:val="auto"/>
          <w:szCs w:val="21"/>
          <w:highlight w:val="none"/>
          <w:u w:val="single"/>
        </w:rPr>
        <w:t>（供应商名称）</w:t>
      </w:r>
      <w:r>
        <w:rPr>
          <w:rFonts w:hint="eastAsia" w:ascii="宋体" w:hAnsi="宋体" w:cs="宋体"/>
          <w:color w:val="auto"/>
          <w:szCs w:val="21"/>
          <w:highlight w:val="none"/>
        </w:rPr>
        <w:t>的法定代表人，我方愿意参加贵方组织的</w:t>
      </w:r>
      <w:r>
        <w:rPr>
          <w:rFonts w:hint="eastAsia" w:ascii="宋体" w:hAnsi="宋体" w:cs="宋体"/>
          <w:i/>
          <w:iCs/>
          <w:color w:val="auto"/>
          <w:szCs w:val="21"/>
          <w:highlight w:val="none"/>
          <w:u w:val="single"/>
        </w:rPr>
        <w:t xml:space="preserve">（项目名称） </w:t>
      </w:r>
      <w:r>
        <w:rPr>
          <w:rFonts w:hint="eastAsia" w:ascii="宋体" w:hAnsi="宋体" w:cs="宋体"/>
          <w:color w:val="auto"/>
          <w:szCs w:val="21"/>
          <w:highlight w:val="none"/>
        </w:rPr>
        <w:t>项目的磋商，为便于贵方公正、择优地确定成交供应商及其响应内容，我方就本次磋商有关事项郑重声明如下：</w:t>
      </w:r>
    </w:p>
    <w:p w14:paraId="74541D9B">
      <w:pPr>
        <w:snapToGrid w:val="0"/>
        <w:spacing w:before="120" w:beforeLines="50"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（1）我方向贵方提交的所有响应文件、资料都是准确的和真实的。</w:t>
      </w:r>
    </w:p>
    <w:p w14:paraId="13CC6EBD">
      <w:pPr>
        <w:snapToGrid w:val="0"/>
        <w:spacing w:before="120" w:beforeLines="50"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（2）我方不是采购人的附属机构；也不是为本项目提供整体设计、规范编制或者项目管理、监理、检测等服务的供应商或其附属机构。</w:t>
      </w:r>
    </w:p>
    <w:p w14:paraId="241063A4">
      <w:pPr>
        <w:snapToGrid w:val="0"/>
        <w:spacing w:before="120" w:beforeLines="50"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 我方承诺在参加本政府采购项目活动前，没有被纳入政府部门或银行认定的失信名单，我方具有良好的商业信誉。</w:t>
      </w:r>
    </w:p>
    <w:p w14:paraId="5C9BC672">
      <w:pPr>
        <w:spacing w:line="30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4）我方及本人承诺在参加本政府采购项目活动前三年内，在经营活动中没有重大违法记录。重大违法记录是指供应商因违法经营受到刑事处罚或者责令停产停业、吊销许可证或者执照、较大数额罚款等行政处罚。如我方提供的声明不实，则自愿承担《政府采购法》有关提供虚假材料的规定给予的处罚。</w:t>
      </w:r>
    </w:p>
    <w:p w14:paraId="60682F43">
      <w:pPr>
        <w:snapToGrid w:val="0"/>
        <w:spacing w:before="120" w:beforeLines="50" w:line="360" w:lineRule="exact"/>
        <w:ind w:firstLine="420" w:firstLineChars="200"/>
        <w:rPr>
          <w:rFonts w:hint="eastAsia" w:ascii="宋体" w:hAnsi="宋体" w:cs="宋体"/>
          <w:color w:val="auto"/>
          <w:szCs w:val="21"/>
          <w:highlight w:val="none"/>
          <w:lang w:val="zh-CN"/>
        </w:rPr>
      </w:pPr>
      <w:r>
        <w:rPr>
          <w:rFonts w:hint="eastAsia" w:ascii="宋体" w:hAnsi="宋体" w:cs="宋体"/>
          <w:color w:val="auto"/>
          <w:szCs w:val="21"/>
          <w:highlight w:val="none"/>
        </w:rPr>
        <w:t>（5）</w:t>
      </w:r>
      <w:r>
        <w:rPr>
          <w:rFonts w:hint="eastAsia" w:ascii="宋体" w:hAnsi="宋体" w:cs="宋体"/>
          <w:color w:val="auto"/>
          <w:szCs w:val="21"/>
          <w:highlight w:val="none"/>
          <w:lang w:val="zh-CN"/>
        </w:rPr>
        <w:t>我方</w:t>
      </w:r>
      <w:r>
        <w:rPr>
          <w:rFonts w:hint="eastAsia" w:ascii="宋体" w:hAnsi="宋体" w:cs="宋体"/>
          <w:color w:val="auto"/>
          <w:szCs w:val="21"/>
          <w:highlight w:val="none"/>
        </w:rPr>
        <w:t>承诺</w:t>
      </w:r>
      <w:r>
        <w:rPr>
          <w:rFonts w:hint="eastAsia" w:ascii="宋体" w:hAnsi="宋体" w:cs="宋体"/>
          <w:color w:val="auto"/>
          <w:szCs w:val="21"/>
          <w:highlight w:val="none"/>
          <w:lang w:val="zh-CN"/>
        </w:rPr>
        <w:t>具有履行本项目合同所必需的设备和专业技术能力。</w:t>
      </w:r>
    </w:p>
    <w:p w14:paraId="3A3BF7D5">
      <w:pPr>
        <w:snapToGrid w:val="0"/>
        <w:spacing w:before="120" w:beforeLines="50"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（6）我方承诺未被列入失信被执行人、</w:t>
      </w:r>
      <w:r>
        <w:rPr>
          <w:rFonts w:hint="eastAsia" w:ascii="宋体" w:hAnsi="宋体" w:cs="宋体"/>
          <w:color w:val="auto"/>
          <w:kern w:val="0"/>
          <w:szCs w:val="21"/>
          <w:highlight w:val="none"/>
        </w:rPr>
        <w:t>重大税收违法失信主体</w:t>
      </w:r>
      <w:r>
        <w:rPr>
          <w:rFonts w:hint="eastAsia" w:ascii="宋体" w:hAnsi="宋体" w:cs="宋体"/>
          <w:color w:val="auto"/>
          <w:szCs w:val="21"/>
          <w:highlight w:val="none"/>
        </w:rPr>
        <w:t>、政府采购严重违法失信行为记录名单，如我方提供的声明不实，则接受本次响应作为响应无效的处理，并根据财库〔2016〕125号《财政部关于在政府采购活动中查询及使用信用记录有关问题的通知》规定接受失信联合惩戒。</w:t>
      </w:r>
    </w:p>
    <w:p w14:paraId="3AB96AA5">
      <w:pPr>
        <w:snapToGrid w:val="0"/>
        <w:spacing w:before="120" w:beforeLines="50"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（7）我方承诺成交后按规定缴纳代理服务费。如未按时缴纳，贵方可不退还我方提交的磋商保证金，并从中扣除代理服务费。</w:t>
      </w:r>
    </w:p>
    <w:p w14:paraId="45471DE8">
      <w:pPr>
        <w:snapToGrid w:val="0"/>
        <w:spacing w:before="120" w:beforeLines="50"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我方对以上声明负全部法律责任。如有虚假或隐瞒，我方愿意承担一切后果，并不再寻求任何旨在减轻或免除法律责任的辩解。</w:t>
      </w:r>
    </w:p>
    <w:p w14:paraId="5A8FB9A4">
      <w:pPr>
        <w:snapToGrid w:val="0"/>
        <w:spacing w:before="120" w:beforeLines="50" w:line="360" w:lineRule="exact"/>
        <w:ind w:firstLine="420" w:firstLineChars="200"/>
        <w:rPr>
          <w:rFonts w:hint="eastAsia" w:ascii="宋体" w:hAnsi="宋体" w:cs="宋体"/>
          <w:color w:val="auto"/>
          <w:szCs w:val="21"/>
          <w:highlight w:val="none"/>
        </w:rPr>
      </w:pPr>
    </w:p>
    <w:p w14:paraId="470AB87A">
      <w:pPr>
        <w:snapToGrid w:val="0"/>
        <w:spacing w:before="120" w:beforeLines="50" w:after="50" w:line="360" w:lineRule="exact"/>
        <w:ind w:firstLine="3570" w:firstLineChars="1700"/>
        <w:rPr>
          <w:rFonts w:hint="eastAsia" w:ascii="宋体" w:hAnsi="宋体" w:cs="宋体"/>
          <w:color w:val="auto"/>
          <w:szCs w:val="21"/>
          <w:highlight w:val="none"/>
        </w:rPr>
      </w:pPr>
      <w:bookmarkStart w:id="97" w:name="_Hlk89190765"/>
      <w:r>
        <w:rPr>
          <w:rFonts w:hint="eastAsia" w:ascii="宋体" w:hAnsi="宋体" w:cs="宋体"/>
          <w:color w:val="auto"/>
          <w:szCs w:val="21"/>
          <w:highlight w:val="none"/>
        </w:rPr>
        <w:t>供应商名称（电子签章）</w:t>
      </w:r>
      <w:bookmarkEnd w:id="97"/>
      <w:r>
        <w:rPr>
          <w:rFonts w:hint="eastAsia" w:ascii="宋体" w:hAnsi="宋体" w:cs="宋体"/>
          <w:color w:val="auto"/>
          <w:szCs w:val="21"/>
          <w:highlight w:val="none"/>
        </w:rPr>
        <w:t>：</w:t>
      </w:r>
      <w:r>
        <w:rPr>
          <w:rFonts w:hint="eastAsia" w:ascii="宋体" w:hAnsi="宋体" w:cs="宋体"/>
          <w:color w:val="auto"/>
          <w:szCs w:val="21"/>
          <w:highlight w:val="none"/>
          <w:u w:val="single"/>
        </w:rPr>
        <w:t xml:space="preserve">                </w:t>
      </w:r>
    </w:p>
    <w:p w14:paraId="21915E22">
      <w:pPr>
        <w:snapToGrid w:val="0"/>
        <w:spacing w:before="120" w:beforeLines="50" w:after="50" w:line="360" w:lineRule="exact"/>
        <w:ind w:firstLine="210" w:firstLineChars="100"/>
        <w:rPr>
          <w:rFonts w:hint="eastAsia" w:ascii="宋体" w:hAnsi="宋体" w:cs="宋体"/>
          <w:color w:val="auto"/>
          <w:szCs w:val="21"/>
          <w:highlight w:val="none"/>
        </w:rPr>
      </w:pPr>
      <w:r>
        <w:rPr>
          <w:rFonts w:hint="eastAsia" w:ascii="宋体" w:hAnsi="宋体" w:cs="宋体"/>
          <w:color w:val="auto"/>
          <w:szCs w:val="21"/>
          <w:highlight w:val="none"/>
        </w:rPr>
        <w:t xml:space="preserve">                                          年    月    日</w:t>
      </w:r>
    </w:p>
    <w:p w14:paraId="79D622DB">
      <w:pPr>
        <w:snapToGrid w:val="0"/>
        <w:spacing w:before="120" w:beforeLines="50" w:after="50" w:line="360" w:lineRule="exact"/>
        <w:rPr>
          <w:rFonts w:hint="eastAsia" w:ascii="宋体" w:hAnsi="宋体" w:cs="宋体"/>
          <w:b/>
          <w:color w:val="auto"/>
          <w:szCs w:val="21"/>
          <w:highlight w:val="none"/>
        </w:rPr>
      </w:pPr>
      <w:r>
        <w:rPr>
          <w:rFonts w:hint="eastAsia" w:ascii="宋体" w:hAnsi="宋体" w:cs="宋体"/>
          <w:color w:val="auto"/>
          <w:szCs w:val="21"/>
          <w:highlight w:val="none"/>
        </w:rPr>
        <w:br w:type="page"/>
      </w:r>
      <w:bookmarkStart w:id="98" w:name="_Toc462320613"/>
      <w:bookmarkStart w:id="99" w:name="_Toc455309222"/>
      <w:bookmarkStart w:id="100" w:name="_Toc462223472"/>
      <w:r>
        <w:rPr>
          <w:rFonts w:hint="eastAsia" w:ascii="宋体" w:hAnsi="宋体" w:cs="宋体"/>
          <w:b/>
          <w:color w:val="auto"/>
          <w:szCs w:val="21"/>
          <w:highlight w:val="none"/>
          <w:lang w:val="en-US" w:eastAsia="zh-CN"/>
        </w:rPr>
        <w:t>3</w:t>
      </w:r>
      <w:r>
        <w:rPr>
          <w:rFonts w:hint="eastAsia" w:ascii="宋体" w:hAnsi="宋体" w:cs="宋体"/>
          <w:b/>
          <w:color w:val="auto"/>
          <w:szCs w:val="21"/>
          <w:highlight w:val="none"/>
        </w:rPr>
        <w:t>．法定代表人身份证明（无授权代表时提供）：</w:t>
      </w:r>
    </w:p>
    <w:p w14:paraId="0757AE4F">
      <w:pPr>
        <w:pStyle w:val="200"/>
        <w:jc w:val="left"/>
        <w:rPr>
          <w:rFonts w:hint="eastAsia" w:ascii="宋体" w:hAnsi="宋体" w:cs="宋体"/>
          <w:color w:val="auto"/>
          <w:highlight w:val="none"/>
        </w:rPr>
      </w:pPr>
    </w:p>
    <w:p w14:paraId="6442A36B">
      <w:pPr>
        <w:snapToGrid w:val="0"/>
        <w:spacing w:before="120" w:beforeLines="50" w:after="50" w:line="440" w:lineRule="exact"/>
        <w:jc w:val="center"/>
        <w:rPr>
          <w:rFonts w:hint="eastAsia" w:ascii="宋体" w:hAnsi="宋体" w:cs="宋体"/>
          <w:b/>
          <w:color w:val="auto"/>
          <w:szCs w:val="21"/>
          <w:highlight w:val="none"/>
        </w:rPr>
      </w:pPr>
      <w:r>
        <w:rPr>
          <w:rFonts w:hint="eastAsia" w:ascii="宋体" w:hAnsi="宋体" w:cs="宋体"/>
          <w:b/>
          <w:color w:val="auto"/>
          <w:szCs w:val="21"/>
          <w:highlight w:val="none"/>
        </w:rPr>
        <w:t>法定代表人身份证明</w:t>
      </w:r>
      <w:bookmarkEnd w:id="98"/>
      <w:bookmarkEnd w:id="99"/>
      <w:bookmarkEnd w:id="100"/>
    </w:p>
    <w:p w14:paraId="3F610E21">
      <w:pPr>
        <w:spacing w:line="360" w:lineRule="auto"/>
        <w:rPr>
          <w:rFonts w:hint="eastAsia" w:ascii="宋体" w:hAnsi="宋体" w:cs="宋体"/>
          <w:color w:val="auto"/>
          <w:highlight w:val="none"/>
        </w:rPr>
      </w:pPr>
    </w:p>
    <w:p w14:paraId="2B559E64">
      <w:pPr>
        <w:spacing w:line="360" w:lineRule="auto"/>
        <w:rPr>
          <w:rFonts w:hint="eastAsia" w:ascii="宋体" w:hAnsi="宋体" w:cs="宋体"/>
          <w:color w:val="auto"/>
          <w:highlight w:val="none"/>
        </w:rPr>
      </w:pPr>
    </w:p>
    <w:p w14:paraId="36CAA31D">
      <w:pPr>
        <w:spacing w:line="540" w:lineRule="exact"/>
        <w:rPr>
          <w:rFonts w:hint="eastAsia" w:ascii="宋体" w:hAnsi="宋体" w:cs="宋体"/>
          <w:color w:val="auto"/>
          <w:szCs w:val="21"/>
          <w:highlight w:val="none"/>
        </w:rPr>
      </w:pPr>
      <w:r>
        <w:rPr>
          <w:rFonts w:hint="eastAsia" w:ascii="宋体" w:hAnsi="宋体" w:cs="宋体"/>
          <w:color w:val="auto"/>
          <w:szCs w:val="21"/>
          <w:highlight w:val="none"/>
        </w:rPr>
        <w:t>供应商名称：</w:t>
      </w:r>
      <w:r>
        <w:rPr>
          <w:rFonts w:hint="eastAsia" w:ascii="宋体" w:hAnsi="宋体" w:cs="宋体"/>
          <w:color w:val="auto"/>
          <w:szCs w:val="21"/>
          <w:highlight w:val="none"/>
          <w:u w:val="single"/>
        </w:rPr>
        <w:t xml:space="preserve">                                         </w:t>
      </w:r>
    </w:p>
    <w:p w14:paraId="48817D9D">
      <w:pPr>
        <w:spacing w:line="540" w:lineRule="exact"/>
        <w:rPr>
          <w:rFonts w:hint="eastAsia" w:ascii="宋体" w:hAnsi="宋体" w:cs="宋体"/>
          <w:color w:val="auto"/>
          <w:szCs w:val="21"/>
          <w:highlight w:val="none"/>
        </w:rPr>
      </w:pPr>
      <w:r>
        <w:rPr>
          <w:rFonts w:hint="eastAsia" w:ascii="宋体" w:hAnsi="宋体" w:cs="宋体"/>
          <w:color w:val="auto"/>
          <w:szCs w:val="21"/>
          <w:highlight w:val="none"/>
        </w:rPr>
        <w:t>单位性质：</w:t>
      </w:r>
      <w:r>
        <w:rPr>
          <w:rFonts w:hint="eastAsia" w:ascii="宋体" w:hAnsi="宋体" w:cs="宋体"/>
          <w:color w:val="auto"/>
          <w:szCs w:val="21"/>
          <w:highlight w:val="none"/>
          <w:u w:val="single"/>
        </w:rPr>
        <w:t xml:space="preserve">                                           </w:t>
      </w:r>
    </w:p>
    <w:p w14:paraId="56059415">
      <w:pPr>
        <w:spacing w:line="540" w:lineRule="exact"/>
        <w:rPr>
          <w:rFonts w:hint="eastAsia" w:ascii="宋体" w:hAnsi="宋体" w:cs="宋体"/>
          <w:color w:val="auto"/>
          <w:szCs w:val="21"/>
          <w:highlight w:val="none"/>
        </w:rPr>
      </w:pPr>
      <w:r>
        <w:rPr>
          <w:rFonts w:hint="eastAsia" w:ascii="宋体" w:hAnsi="宋体" w:cs="宋体"/>
          <w:color w:val="auto"/>
          <w:szCs w:val="21"/>
          <w:highlight w:val="none"/>
        </w:rPr>
        <w:t>地址：</w:t>
      </w:r>
      <w:r>
        <w:rPr>
          <w:rFonts w:hint="eastAsia" w:ascii="宋体" w:hAnsi="宋体" w:cs="宋体"/>
          <w:color w:val="auto"/>
          <w:szCs w:val="21"/>
          <w:highlight w:val="none"/>
          <w:u w:val="single"/>
        </w:rPr>
        <w:t xml:space="preserve">                                               </w:t>
      </w:r>
    </w:p>
    <w:p w14:paraId="7A5B08A6">
      <w:pPr>
        <w:spacing w:line="540" w:lineRule="exact"/>
        <w:rPr>
          <w:rFonts w:hint="eastAsia" w:ascii="宋体" w:hAnsi="宋体" w:cs="宋体"/>
          <w:color w:val="auto"/>
          <w:szCs w:val="21"/>
          <w:highlight w:val="none"/>
          <w:u w:val="single"/>
        </w:rPr>
      </w:pPr>
      <w:r>
        <w:rPr>
          <w:rFonts w:hint="eastAsia" w:ascii="宋体" w:hAnsi="宋体" w:cs="宋体"/>
          <w:color w:val="auto"/>
          <w:szCs w:val="21"/>
          <w:highlight w:val="none"/>
        </w:rPr>
        <w:t>成立时间：</w:t>
      </w:r>
      <w:r>
        <w:rPr>
          <w:rFonts w:hint="eastAsia" w:ascii="宋体" w:hAnsi="宋体" w:cs="宋体"/>
          <w:color w:val="auto"/>
          <w:szCs w:val="21"/>
          <w:highlight w:val="none"/>
          <w:u w:val="single"/>
        </w:rPr>
        <w:t xml:space="preserve">          年        月        日</w:t>
      </w:r>
    </w:p>
    <w:p w14:paraId="042996DA">
      <w:pPr>
        <w:spacing w:line="540" w:lineRule="exact"/>
        <w:rPr>
          <w:rFonts w:hint="eastAsia" w:ascii="宋体" w:hAnsi="宋体" w:cs="宋体"/>
          <w:color w:val="auto"/>
          <w:szCs w:val="21"/>
          <w:highlight w:val="none"/>
        </w:rPr>
      </w:pPr>
      <w:r>
        <w:rPr>
          <w:rFonts w:hint="eastAsia" w:ascii="宋体" w:hAnsi="宋体" w:cs="宋体"/>
          <w:color w:val="auto"/>
          <w:szCs w:val="21"/>
          <w:highlight w:val="none"/>
        </w:rPr>
        <w:t>经营期限：</w:t>
      </w:r>
      <w:r>
        <w:rPr>
          <w:rFonts w:hint="eastAsia" w:ascii="宋体" w:hAnsi="宋体" w:cs="宋体"/>
          <w:color w:val="auto"/>
          <w:szCs w:val="21"/>
          <w:highlight w:val="none"/>
          <w:u w:val="single"/>
        </w:rPr>
        <w:t xml:space="preserve">                                           </w:t>
      </w:r>
    </w:p>
    <w:p w14:paraId="48C3EED7">
      <w:pPr>
        <w:spacing w:line="540" w:lineRule="exact"/>
        <w:rPr>
          <w:rFonts w:hint="eastAsia" w:ascii="宋体" w:hAnsi="宋体" w:cs="宋体"/>
          <w:color w:val="auto"/>
          <w:szCs w:val="21"/>
          <w:highlight w:val="none"/>
        </w:rPr>
      </w:pPr>
      <w:r>
        <w:rPr>
          <w:rFonts w:hint="eastAsia" w:ascii="宋体" w:hAnsi="宋体" w:cs="宋体"/>
          <w:color w:val="auto"/>
          <w:szCs w:val="21"/>
          <w:highlight w:val="none"/>
        </w:rPr>
        <w:t>姓名：</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；性别：</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w:t>
      </w:r>
    </w:p>
    <w:p w14:paraId="74C2CE9F">
      <w:pPr>
        <w:spacing w:line="540" w:lineRule="exact"/>
        <w:rPr>
          <w:rFonts w:hint="eastAsia" w:ascii="宋体" w:hAnsi="宋体" w:cs="宋体"/>
          <w:color w:val="auto"/>
          <w:szCs w:val="21"/>
          <w:highlight w:val="none"/>
        </w:rPr>
      </w:pPr>
      <w:r>
        <w:rPr>
          <w:rFonts w:hint="eastAsia" w:ascii="宋体" w:hAnsi="宋体" w:cs="宋体"/>
          <w:color w:val="auto"/>
          <w:szCs w:val="21"/>
          <w:highlight w:val="none"/>
        </w:rPr>
        <w:t>年龄：</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；职务：</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；身份证号码：</w:t>
      </w:r>
      <w:r>
        <w:rPr>
          <w:rFonts w:hint="eastAsia" w:ascii="宋体" w:hAnsi="宋体" w:cs="宋体"/>
          <w:color w:val="auto"/>
          <w:szCs w:val="21"/>
          <w:highlight w:val="none"/>
          <w:u w:val="single"/>
        </w:rPr>
        <w:t xml:space="preserve">                                      </w:t>
      </w:r>
    </w:p>
    <w:p w14:paraId="601DB7D8">
      <w:pPr>
        <w:spacing w:line="540" w:lineRule="exact"/>
        <w:rPr>
          <w:rFonts w:hint="eastAsia" w:ascii="宋体" w:hAnsi="宋体" w:cs="宋体"/>
          <w:color w:val="auto"/>
          <w:szCs w:val="21"/>
          <w:highlight w:val="none"/>
        </w:rPr>
      </w:pPr>
      <w:r>
        <w:rPr>
          <w:rFonts w:hint="eastAsia" w:ascii="宋体" w:hAnsi="宋体" w:cs="宋体"/>
          <w:color w:val="auto"/>
          <w:szCs w:val="21"/>
          <w:highlight w:val="none"/>
        </w:rPr>
        <w:t>系</w:t>
      </w:r>
      <w:r>
        <w:rPr>
          <w:rFonts w:hint="eastAsia" w:ascii="宋体" w:hAnsi="宋体" w:cs="宋体"/>
          <w:color w:val="auto"/>
          <w:szCs w:val="21"/>
          <w:highlight w:val="none"/>
          <w:u w:val="single"/>
        </w:rPr>
        <w:t xml:space="preserve">                                      （ 供应商名称）</w:t>
      </w:r>
      <w:r>
        <w:rPr>
          <w:rFonts w:hint="eastAsia" w:ascii="宋体" w:hAnsi="宋体" w:cs="宋体"/>
          <w:color w:val="auto"/>
          <w:szCs w:val="21"/>
          <w:highlight w:val="none"/>
        </w:rPr>
        <w:t>的法定代表人。</w:t>
      </w:r>
    </w:p>
    <w:p w14:paraId="0D88BAF7">
      <w:pPr>
        <w:spacing w:line="540" w:lineRule="exact"/>
        <w:rPr>
          <w:rFonts w:hint="eastAsia" w:ascii="宋体" w:hAnsi="宋体" w:cs="宋体"/>
          <w:color w:val="auto"/>
          <w:szCs w:val="21"/>
          <w:highlight w:val="none"/>
        </w:rPr>
      </w:pPr>
    </w:p>
    <w:p w14:paraId="01EE2471">
      <w:pPr>
        <w:spacing w:line="5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特此证明。</w:t>
      </w:r>
    </w:p>
    <w:p w14:paraId="1C28572D">
      <w:pPr>
        <w:spacing w:line="360" w:lineRule="auto"/>
        <w:ind w:firstLine="420" w:firstLineChars="200"/>
        <w:rPr>
          <w:rFonts w:hint="eastAsia" w:ascii="宋体" w:hAnsi="宋体" w:cs="宋体"/>
          <w:color w:val="auto"/>
          <w:szCs w:val="21"/>
          <w:highlight w:val="none"/>
        </w:rPr>
      </w:pPr>
    </w:p>
    <w:p w14:paraId="20D1ABEC">
      <w:pPr>
        <w:spacing w:line="360" w:lineRule="auto"/>
        <w:ind w:firstLine="4830" w:firstLineChars="2300"/>
        <w:rPr>
          <w:rFonts w:hint="eastAsia" w:ascii="宋体" w:hAnsi="宋体" w:cs="宋体"/>
          <w:color w:val="auto"/>
          <w:szCs w:val="21"/>
          <w:highlight w:val="none"/>
        </w:rPr>
      </w:pPr>
      <w:r>
        <w:rPr>
          <w:rFonts w:hint="eastAsia" w:ascii="宋体" w:hAnsi="宋体" w:cs="宋体"/>
          <w:color w:val="auto"/>
          <w:szCs w:val="21"/>
          <w:highlight w:val="none"/>
        </w:rPr>
        <w:t>供应商名称（电子签章）：</w:t>
      </w:r>
      <w:r>
        <w:rPr>
          <w:rFonts w:hint="eastAsia" w:ascii="宋体" w:hAnsi="宋体" w:cs="宋体"/>
          <w:color w:val="auto"/>
          <w:szCs w:val="21"/>
          <w:highlight w:val="none"/>
          <w:u w:val="single"/>
        </w:rPr>
        <w:t xml:space="preserve">                </w:t>
      </w:r>
    </w:p>
    <w:p w14:paraId="663EC16B">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 xml:space="preserve">                                                   年       月       日 </w:t>
      </w:r>
    </w:p>
    <w:p w14:paraId="3CE2F178">
      <w:pPr>
        <w:spacing w:line="360" w:lineRule="auto"/>
        <w:ind w:firstLine="420" w:firstLineChars="200"/>
        <w:rPr>
          <w:rFonts w:hint="eastAsia" w:ascii="宋体" w:hAnsi="宋体" w:cs="宋体"/>
          <w:color w:val="auto"/>
          <w:szCs w:val="21"/>
          <w:highlight w:val="none"/>
        </w:rPr>
      </w:pPr>
    </w:p>
    <w:p w14:paraId="278495B3">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附件：法定代表人身份证扫描件</w:t>
      </w:r>
    </w:p>
    <w:p w14:paraId="16972AF8">
      <w:pPr>
        <w:spacing w:line="360" w:lineRule="auto"/>
        <w:rPr>
          <w:rFonts w:hint="eastAsia" w:ascii="宋体" w:hAnsi="宋体" w:cs="宋体"/>
          <w:color w:val="auto"/>
          <w:szCs w:val="21"/>
          <w:highlight w:val="none"/>
        </w:rPr>
      </w:pPr>
    </w:p>
    <w:p w14:paraId="03743F36">
      <w:pPr>
        <w:snapToGrid w:val="0"/>
        <w:spacing w:before="120" w:beforeLines="50" w:after="50" w:line="360" w:lineRule="exact"/>
        <w:rPr>
          <w:rFonts w:hint="eastAsia" w:ascii="宋体" w:hAnsi="宋体" w:cs="宋体"/>
          <w:b/>
          <w:color w:val="auto"/>
          <w:szCs w:val="21"/>
          <w:highlight w:val="none"/>
        </w:rPr>
      </w:pPr>
      <w:r>
        <w:rPr>
          <w:rFonts w:hint="eastAsia" w:ascii="宋体" w:hAnsi="宋体" w:cs="宋体"/>
          <w:b/>
          <w:color w:val="auto"/>
          <w:szCs w:val="21"/>
          <w:highlight w:val="none"/>
        </w:rPr>
        <w:br w:type="page"/>
      </w:r>
      <w:r>
        <w:rPr>
          <w:rFonts w:hint="eastAsia" w:ascii="宋体" w:hAnsi="宋体" w:cs="宋体"/>
          <w:b/>
          <w:color w:val="auto"/>
          <w:szCs w:val="21"/>
          <w:highlight w:val="none"/>
          <w:lang w:val="en-US" w:eastAsia="zh-CN"/>
        </w:rPr>
        <w:t>3</w:t>
      </w:r>
      <w:r>
        <w:rPr>
          <w:rFonts w:hint="eastAsia" w:ascii="宋体" w:hAnsi="宋体" w:cs="宋体"/>
          <w:b/>
          <w:color w:val="auto"/>
          <w:szCs w:val="21"/>
          <w:highlight w:val="none"/>
        </w:rPr>
        <w:t>．授权委托书（有授权代表时提供）：</w:t>
      </w:r>
    </w:p>
    <w:p w14:paraId="244FC021">
      <w:pPr>
        <w:snapToGrid w:val="0"/>
        <w:spacing w:before="120" w:beforeLines="50" w:after="50" w:line="360" w:lineRule="exact"/>
        <w:rPr>
          <w:rFonts w:hint="eastAsia" w:ascii="宋体" w:hAnsi="宋体" w:cs="宋体"/>
          <w:b/>
          <w:color w:val="auto"/>
          <w:szCs w:val="21"/>
          <w:highlight w:val="none"/>
        </w:rPr>
      </w:pPr>
    </w:p>
    <w:p w14:paraId="7CBE5283">
      <w:pPr>
        <w:snapToGrid w:val="0"/>
        <w:spacing w:before="120" w:beforeLines="50" w:after="50" w:line="440" w:lineRule="exact"/>
        <w:jc w:val="center"/>
        <w:rPr>
          <w:rFonts w:hint="eastAsia" w:ascii="宋体" w:hAnsi="宋体" w:cs="宋体"/>
          <w:b/>
          <w:color w:val="auto"/>
          <w:szCs w:val="21"/>
          <w:highlight w:val="none"/>
        </w:rPr>
      </w:pPr>
      <w:r>
        <w:rPr>
          <w:rFonts w:hint="eastAsia" w:ascii="宋体" w:hAnsi="宋体" w:cs="宋体"/>
          <w:b/>
          <w:color w:val="auto"/>
          <w:szCs w:val="21"/>
          <w:highlight w:val="none"/>
        </w:rPr>
        <w:t>法定代表人授权委托书</w:t>
      </w:r>
    </w:p>
    <w:p w14:paraId="0E2FA24E">
      <w:pPr>
        <w:snapToGrid w:val="0"/>
        <w:spacing w:before="120" w:beforeLines="50" w:after="50" w:line="440" w:lineRule="exact"/>
        <w:rPr>
          <w:rFonts w:hint="eastAsia" w:ascii="宋体" w:hAnsi="宋体" w:cs="宋体"/>
          <w:b/>
          <w:bCs/>
          <w:color w:val="auto"/>
          <w:szCs w:val="21"/>
          <w:highlight w:val="none"/>
        </w:rPr>
      </w:pPr>
      <w:r>
        <w:rPr>
          <w:rFonts w:hint="eastAsia" w:ascii="宋体" w:hAnsi="宋体" w:cs="宋体"/>
          <w:bCs/>
          <w:color w:val="auto"/>
          <w:szCs w:val="21"/>
          <w:highlight w:val="none"/>
        </w:rPr>
        <w:t>致：</w:t>
      </w:r>
      <w:r>
        <w:rPr>
          <w:rFonts w:hint="eastAsia" w:ascii="宋体" w:hAnsi="宋体" w:cs="宋体"/>
          <w:i/>
          <w:iCs/>
          <w:color w:val="auto"/>
          <w:szCs w:val="21"/>
          <w:highlight w:val="none"/>
          <w:u w:val="single"/>
        </w:rPr>
        <w:t>（采购人名称）</w:t>
      </w:r>
      <w:r>
        <w:rPr>
          <w:rFonts w:hint="eastAsia" w:ascii="宋体" w:hAnsi="宋体" w:cs="宋体"/>
          <w:color w:val="auto"/>
          <w:szCs w:val="21"/>
          <w:highlight w:val="none"/>
        </w:rPr>
        <w:t>：</w:t>
      </w:r>
    </w:p>
    <w:p w14:paraId="77949E35">
      <w:pPr>
        <w:snapToGrid w:val="0"/>
        <w:spacing w:before="120" w:beforeLines="50" w:after="50"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我</w:t>
      </w:r>
      <w:r>
        <w:rPr>
          <w:rFonts w:hint="eastAsia" w:ascii="宋体" w:hAnsi="宋体" w:cs="宋体"/>
          <w:i/>
          <w:iCs/>
          <w:color w:val="auto"/>
          <w:szCs w:val="21"/>
          <w:highlight w:val="none"/>
          <w:u w:val="single"/>
        </w:rPr>
        <w:t>（姓名）</w:t>
      </w:r>
      <w:r>
        <w:rPr>
          <w:rFonts w:hint="eastAsia" w:ascii="宋体" w:hAnsi="宋体" w:cs="宋体"/>
          <w:color w:val="auto"/>
          <w:szCs w:val="21"/>
          <w:highlight w:val="none"/>
        </w:rPr>
        <w:t>系</w:t>
      </w:r>
      <w:r>
        <w:rPr>
          <w:rFonts w:hint="eastAsia" w:ascii="宋体" w:hAnsi="宋体" w:cs="宋体"/>
          <w:i/>
          <w:iCs/>
          <w:color w:val="auto"/>
          <w:szCs w:val="21"/>
          <w:highlight w:val="none"/>
          <w:u w:val="single"/>
        </w:rPr>
        <w:t>（供应商名称）</w:t>
      </w:r>
      <w:r>
        <w:rPr>
          <w:rFonts w:hint="eastAsia" w:ascii="宋体" w:hAnsi="宋体" w:cs="宋体"/>
          <w:color w:val="auto"/>
          <w:szCs w:val="21"/>
          <w:highlight w:val="none"/>
        </w:rPr>
        <w:t>的法定代表人，现授权委托本单位在职职工</w:t>
      </w:r>
      <w:r>
        <w:rPr>
          <w:rFonts w:hint="eastAsia" w:ascii="宋体" w:hAnsi="宋体" w:cs="宋体"/>
          <w:i/>
          <w:color w:val="auto"/>
          <w:szCs w:val="21"/>
          <w:highlight w:val="none"/>
          <w:u w:val="single"/>
        </w:rPr>
        <w:t>（姓名）</w:t>
      </w:r>
      <w:r>
        <w:rPr>
          <w:rFonts w:hint="eastAsia" w:ascii="宋体" w:hAnsi="宋体" w:cs="宋体"/>
          <w:color w:val="auto"/>
          <w:szCs w:val="21"/>
          <w:highlight w:val="none"/>
        </w:rPr>
        <w:t>以我方的名义参加</w:t>
      </w:r>
      <w:r>
        <w:rPr>
          <w:rFonts w:hint="eastAsia" w:ascii="宋体" w:hAnsi="宋体" w:cs="宋体"/>
          <w:color w:val="auto"/>
          <w:szCs w:val="21"/>
          <w:highlight w:val="none"/>
          <w:u w:val="single"/>
        </w:rPr>
        <w:t xml:space="preserve"> </w:t>
      </w:r>
      <w:r>
        <w:rPr>
          <w:rFonts w:hint="eastAsia" w:ascii="宋体" w:hAnsi="宋体" w:cs="宋体"/>
          <w:i/>
          <w:iCs/>
          <w:color w:val="auto"/>
          <w:szCs w:val="21"/>
          <w:highlight w:val="none"/>
          <w:u w:val="single"/>
        </w:rPr>
        <w:t>（项目名称）</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项目的磋商活动，并代表我方全权办理针对上述项目的磋商、截标、评审、签约等具体事务和签署相关文件。</w:t>
      </w:r>
    </w:p>
    <w:p w14:paraId="644B2B62">
      <w:pPr>
        <w:snapToGrid w:val="0"/>
        <w:spacing w:before="120" w:beforeLines="50" w:after="50" w:line="440" w:lineRule="exact"/>
        <w:rPr>
          <w:rFonts w:hint="eastAsia" w:ascii="宋体" w:hAnsi="宋体" w:cs="宋体"/>
          <w:color w:val="auto"/>
          <w:szCs w:val="21"/>
          <w:highlight w:val="none"/>
        </w:rPr>
      </w:pPr>
      <w:r>
        <w:rPr>
          <w:rFonts w:hint="eastAsia" w:ascii="宋体" w:hAnsi="宋体" w:cs="宋体"/>
          <w:color w:val="auto"/>
          <w:szCs w:val="21"/>
          <w:highlight w:val="none"/>
        </w:rPr>
        <w:t xml:space="preserve">    我方对被授权人的签名事项负全部责任。</w:t>
      </w:r>
    </w:p>
    <w:p w14:paraId="7592A84A">
      <w:pPr>
        <w:snapToGrid w:val="0"/>
        <w:spacing w:before="120" w:beforeLines="50" w:after="50" w:line="440" w:lineRule="exact"/>
        <w:ind w:firstLine="480"/>
        <w:rPr>
          <w:rFonts w:hint="eastAsia" w:ascii="宋体" w:hAnsi="宋体" w:cs="宋体"/>
          <w:color w:val="auto"/>
          <w:szCs w:val="21"/>
          <w:highlight w:val="none"/>
        </w:rPr>
      </w:pPr>
      <w:r>
        <w:rPr>
          <w:rFonts w:hint="eastAsia" w:ascii="宋体" w:hAnsi="宋体" w:cs="宋体"/>
          <w:color w:val="auto"/>
          <w:szCs w:val="21"/>
          <w:highlight w:val="none"/>
        </w:rPr>
        <w:t>在撤销授权的书面通知以前，本授权书一直有效。被授权人在授权书有效期内签署的所有文件不因授权的撤销而失效。</w:t>
      </w:r>
    </w:p>
    <w:p w14:paraId="12BAB4D9">
      <w:pPr>
        <w:snapToGrid w:val="0"/>
        <w:spacing w:before="120" w:beforeLines="50" w:after="50" w:line="440" w:lineRule="exact"/>
        <w:ind w:firstLine="480"/>
        <w:rPr>
          <w:rFonts w:hint="eastAsia" w:ascii="宋体" w:hAnsi="宋体" w:cs="宋体"/>
          <w:color w:val="auto"/>
          <w:szCs w:val="21"/>
          <w:highlight w:val="none"/>
        </w:rPr>
      </w:pPr>
      <w:r>
        <w:rPr>
          <w:rFonts w:hint="eastAsia" w:ascii="宋体" w:hAnsi="宋体" w:cs="宋体"/>
          <w:color w:val="auto"/>
          <w:szCs w:val="21"/>
          <w:highlight w:val="none"/>
        </w:rPr>
        <w:t>被授权人无转委托权，特此委托。</w:t>
      </w:r>
    </w:p>
    <w:p w14:paraId="4635FAA0">
      <w:pPr>
        <w:snapToGrid w:val="0"/>
        <w:spacing w:before="120" w:beforeLines="50" w:after="50" w:line="440" w:lineRule="exact"/>
        <w:rPr>
          <w:rFonts w:hint="eastAsia" w:ascii="宋体" w:hAnsi="宋体" w:cs="宋体"/>
          <w:color w:val="auto"/>
          <w:szCs w:val="21"/>
          <w:highlight w:val="none"/>
          <w:u w:val="single"/>
        </w:rPr>
      </w:pPr>
      <w:r>
        <w:rPr>
          <w:rFonts w:hint="eastAsia" w:ascii="宋体" w:hAnsi="宋体" w:cs="宋体"/>
          <w:color w:val="auto"/>
          <w:szCs w:val="21"/>
          <w:highlight w:val="none"/>
        </w:rPr>
        <w:t>被授权人</w:t>
      </w:r>
      <w:bookmarkStart w:id="101" w:name="_Hlk89190805"/>
      <w:r>
        <w:rPr>
          <w:rFonts w:hint="eastAsia" w:ascii="宋体" w:hAnsi="宋体" w:cs="宋体"/>
          <w:color w:val="auto"/>
          <w:szCs w:val="21"/>
          <w:highlight w:val="none"/>
        </w:rPr>
        <w:t>签名或签章</w:t>
      </w:r>
      <w:bookmarkEnd w:id="101"/>
      <w:r>
        <w:rPr>
          <w:rFonts w:hint="eastAsia" w:ascii="宋体" w:hAnsi="宋体" w:cs="宋体"/>
          <w:color w:val="auto"/>
          <w:szCs w:val="21"/>
          <w:highlight w:val="none"/>
        </w:rPr>
        <w:t>：</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法定代表人签名或签章：</w:t>
      </w:r>
      <w:r>
        <w:rPr>
          <w:rFonts w:hint="eastAsia" w:ascii="宋体" w:hAnsi="宋体" w:cs="宋体"/>
          <w:color w:val="auto"/>
          <w:szCs w:val="21"/>
          <w:highlight w:val="none"/>
          <w:u w:val="single"/>
        </w:rPr>
        <w:t xml:space="preserve">          </w:t>
      </w:r>
    </w:p>
    <w:p w14:paraId="3ABEF81C">
      <w:pPr>
        <w:snapToGrid w:val="0"/>
        <w:spacing w:before="120" w:beforeLines="50" w:after="50" w:line="440" w:lineRule="exact"/>
        <w:rPr>
          <w:rFonts w:hint="eastAsia" w:ascii="宋体" w:hAnsi="宋体" w:cs="宋体"/>
          <w:color w:val="auto"/>
          <w:szCs w:val="21"/>
          <w:highlight w:val="none"/>
        </w:rPr>
      </w:pPr>
      <w:r>
        <w:rPr>
          <w:rFonts w:hint="eastAsia" w:ascii="宋体" w:hAnsi="宋体" w:cs="宋体"/>
          <w:color w:val="auto"/>
          <w:szCs w:val="21"/>
          <w:highlight w:val="none"/>
        </w:rPr>
        <w:t>职务：</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职务：</w:t>
      </w:r>
      <w:r>
        <w:rPr>
          <w:rFonts w:hint="eastAsia" w:ascii="宋体" w:hAnsi="宋体" w:cs="宋体"/>
          <w:color w:val="auto"/>
          <w:szCs w:val="21"/>
          <w:highlight w:val="none"/>
          <w:u w:val="single"/>
        </w:rPr>
        <w:t xml:space="preserve">           </w:t>
      </w:r>
    </w:p>
    <w:p w14:paraId="405137FA">
      <w:pPr>
        <w:snapToGrid w:val="0"/>
        <w:spacing w:before="120" w:beforeLines="50" w:after="50" w:line="440" w:lineRule="exact"/>
        <w:rPr>
          <w:rFonts w:hint="eastAsia" w:ascii="宋体" w:hAnsi="宋体" w:cs="宋体"/>
          <w:color w:val="auto"/>
          <w:szCs w:val="21"/>
          <w:highlight w:val="none"/>
          <w:u w:val="single"/>
        </w:rPr>
      </w:pPr>
      <w:r>
        <w:rPr>
          <w:rFonts w:hint="eastAsia" w:ascii="宋体" w:hAnsi="宋体" w:cs="宋体"/>
          <w:color w:val="auto"/>
          <w:szCs w:val="21"/>
          <w:highlight w:val="none"/>
        </w:rPr>
        <w:t>被授权人身份证号码：</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授权人身份证号码：</w:t>
      </w:r>
      <w:r>
        <w:rPr>
          <w:rFonts w:hint="eastAsia" w:ascii="宋体" w:hAnsi="宋体" w:cs="宋体"/>
          <w:color w:val="auto"/>
          <w:szCs w:val="21"/>
          <w:highlight w:val="none"/>
          <w:u w:val="single"/>
        </w:rPr>
        <w:t xml:space="preserve">                 </w:t>
      </w:r>
    </w:p>
    <w:p w14:paraId="6BA08010">
      <w:pPr>
        <w:snapToGrid w:val="0"/>
        <w:spacing w:before="120" w:beforeLines="50" w:after="50" w:line="440" w:lineRule="exact"/>
        <w:rPr>
          <w:rFonts w:hint="eastAsia" w:ascii="宋体" w:hAnsi="宋体" w:eastAsia="宋体" w:cs="宋体"/>
          <w:color w:val="auto"/>
          <w:szCs w:val="21"/>
          <w:highlight w:val="none"/>
          <w:u w:val="single"/>
          <w:lang w:val="en-US" w:eastAsia="zh-CN"/>
        </w:rPr>
      </w:pPr>
      <w:bookmarkStart w:id="102" w:name="_Hlk133576837"/>
      <w:r>
        <w:rPr>
          <w:rFonts w:hint="eastAsia" w:ascii="宋体" w:hAnsi="宋体" w:cs="宋体"/>
          <w:color w:val="auto"/>
          <w:szCs w:val="21"/>
          <w:highlight w:val="none"/>
        </w:rPr>
        <w:t>被授权人</w:t>
      </w:r>
      <w:bookmarkStart w:id="103" w:name="_Hlk132793041"/>
      <w:r>
        <w:rPr>
          <w:rFonts w:hint="eastAsia" w:ascii="宋体" w:hAnsi="宋体" w:cs="宋体"/>
          <w:color w:val="auto"/>
          <w:szCs w:val="21"/>
          <w:highlight w:val="none"/>
          <w:lang w:val="en-US" w:eastAsia="zh-CN"/>
        </w:rPr>
        <w:t>联系电话</w:t>
      </w:r>
      <w:r>
        <w:rPr>
          <w:rFonts w:hint="eastAsia" w:ascii="宋体" w:hAnsi="宋体" w:cs="宋体"/>
          <w:color w:val="auto"/>
          <w:szCs w:val="21"/>
          <w:highlight w:val="none"/>
        </w:rPr>
        <w:t>：</w:t>
      </w:r>
      <w:bookmarkEnd w:id="103"/>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none"/>
        </w:rPr>
        <w:t xml:space="preserve"> </w:t>
      </w:r>
      <w:r>
        <w:rPr>
          <w:rFonts w:hint="eastAsia" w:ascii="宋体" w:hAnsi="宋体" w:cs="宋体"/>
          <w:color w:val="auto"/>
          <w:szCs w:val="21"/>
          <w:highlight w:val="none"/>
          <w:u w:val="none"/>
          <w:lang w:val="en-US" w:eastAsia="zh-CN"/>
        </w:rPr>
        <w:t xml:space="preserve">                        </w:t>
      </w:r>
      <w:r>
        <w:rPr>
          <w:rFonts w:hint="eastAsia" w:ascii="宋体" w:hAnsi="宋体" w:cs="宋体"/>
          <w:color w:val="auto"/>
          <w:szCs w:val="21"/>
          <w:highlight w:val="none"/>
        </w:rPr>
        <w:t>邮箱</w:t>
      </w:r>
      <w:r>
        <w:rPr>
          <w:rFonts w:hint="eastAsia" w:ascii="宋体" w:hAnsi="宋体" w:cs="宋体"/>
          <w:color w:val="auto"/>
          <w:szCs w:val="21"/>
          <w:highlight w:val="none"/>
          <w:lang w:eastAsia="zh-CN"/>
        </w:rPr>
        <w:t>：</w:t>
      </w:r>
      <w:r>
        <w:rPr>
          <w:rFonts w:hint="eastAsia" w:ascii="宋体" w:hAnsi="宋体" w:cs="宋体"/>
          <w:color w:val="auto"/>
          <w:szCs w:val="21"/>
          <w:highlight w:val="none"/>
          <w:u w:val="single"/>
        </w:rPr>
        <w:t xml:space="preserve">        </w:t>
      </w:r>
    </w:p>
    <w:bookmarkEnd w:id="102"/>
    <w:p w14:paraId="2CC61334">
      <w:pPr>
        <w:snapToGrid w:val="0"/>
        <w:spacing w:before="120" w:beforeLines="50" w:after="50" w:line="440" w:lineRule="exact"/>
        <w:rPr>
          <w:rFonts w:hint="eastAsia" w:ascii="宋体" w:hAnsi="宋体" w:cs="宋体"/>
          <w:color w:val="auto"/>
          <w:szCs w:val="21"/>
          <w:highlight w:val="none"/>
        </w:rPr>
      </w:pPr>
    </w:p>
    <w:p w14:paraId="6E1E4B18">
      <w:pPr>
        <w:snapToGrid w:val="0"/>
        <w:spacing w:before="120" w:beforeLines="50" w:after="50" w:line="440" w:lineRule="exact"/>
        <w:rPr>
          <w:rFonts w:hint="eastAsia" w:ascii="宋体" w:hAnsi="宋体" w:cs="宋体"/>
          <w:color w:val="auto"/>
          <w:szCs w:val="21"/>
          <w:highlight w:val="none"/>
        </w:rPr>
      </w:pPr>
    </w:p>
    <w:p w14:paraId="13715130">
      <w:pPr>
        <w:snapToGrid w:val="0"/>
        <w:spacing w:before="120" w:beforeLines="50" w:after="50" w:line="440" w:lineRule="exact"/>
        <w:rPr>
          <w:rFonts w:hint="eastAsia" w:ascii="宋体" w:hAnsi="宋体" w:cs="宋体"/>
          <w:color w:val="auto"/>
          <w:szCs w:val="21"/>
          <w:highlight w:val="none"/>
        </w:rPr>
      </w:pPr>
      <w:r>
        <w:rPr>
          <w:rFonts w:hint="eastAsia" w:ascii="宋体" w:hAnsi="宋体" w:cs="宋体"/>
          <w:color w:val="auto"/>
          <w:szCs w:val="21"/>
          <w:highlight w:val="none"/>
        </w:rPr>
        <w:t xml:space="preserve">                                </w:t>
      </w:r>
    </w:p>
    <w:p w14:paraId="5259D950">
      <w:pPr>
        <w:snapToGrid w:val="0"/>
        <w:spacing w:before="120" w:beforeLines="50" w:after="50" w:line="440" w:lineRule="exact"/>
        <w:ind w:firstLine="5670" w:firstLineChars="2700"/>
        <w:rPr>
          <w:rFonts w:hint="eastAsia" w:ascii="宋体" w:hAnsi="宋体" w:cs="宋体"/>
          <w:color w:val="auto"/>
          <w:szCs w:val="21"/>
          <w:highlight w:val="none"/>
        </w:rPr>
      </w:pPr>
      <w:r>
        <w:rPr>
          <w:rFonts w:hint="eastAsia" w:ascii="宋体" w:hAnsi="宋体" w:cs="宋体"/>
          <w:color w:val="auto"/>
          <w:szCs w:val="21"/>
          <w:highlight w:val="none"/>
        </w:rPr>
        <w:t>供应商名称（电子签章）：</w:t>
      </w:r>
      <w:r>
        <w:rPr>
          <w:rFonts w:hint="eastAsia" w:ascii="宋体" w:hAnsi="宋体" w:cs="宋体"/>
          <w:color w:val="auto"/>
          <w:szCs w:val="21"/>
          <w:highlight w:val="none"/>
          <w:u w:val="single"/>
        </w:rPr>
        <w:t xml:space="preserve">         </w:t>
      </w:r>
    </w:p>
    <w:p w14:paraId="7DFE13C1">
      <w:pPr>
        <w:snapToGrid w:val="0"/>
        <w:spacing w:before="120" w:beforeLines="50" w:after="50" w:line="440" w:lineRule="exact"/>
        <w:jc w:val="center"/>
        <w:rPr>
          <w:rFonts w:hint="eastAsia" w:ascii="宋体" w:hAnsi="宋体" w:cs="宋体"/>
          <w:color w:val="auto"/>
          <w:szCs w:val="21"/>
          <w:highlight w:val="none"/>
        </w:rPr>
      </w:pPr>
      <w:r>
        <w:rPr>
          <w:rFonts w:hint="eastAsia" w:ascii="宋体" w:hAnsi="宋体" w:cs="宋体"/>
          <w:color w:val="auto"/>
          <w:szCs w:val="21"/>
          <w:highlight w:val="none"/>
        </w:rPr>
        <w:t xml:space="preserve">                                        年    月    日</w:t>
      </w:r>
    </w:p>
    <w:p w14:paraId="66141FDB">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附件：法定代表人身份证证明、法定代表人身份证扫描件及</w:t>
      </w:r>
      <w:r>
        <w:rPr>
          <w:rFonts w:hint="eastAsia" w:ascii="宋体" w:hAnsi="宋体" w:cs="宋体"/>
          <w:color w:val="auto"/>
          <w:szCs w:val="21"/>
          <w:highlight w:val="none"/>
          <w:lang w:eastAsia="zh-CN"/>
        </w:rPr>
        <w:t>被授权</w:t>
      </w:r>
      <w:r>
        <w:rPr>
          <w:rFonts w:hint="eastAsia" w:ascii="宋体" w:hAnsi="宋体" w:cs="宋体"/>
          <w:color w:val="auto"/>
          <w:szCs w:val="21"/>
          <w:highlight w:val="none"/>
        </w:rPr>
        <w:t>人身份证扫描件</w:t>
      </w:r>
    </w:p>
    <w:p w14:paraId="7490E5D8">
      <w:pPr>
        <w:spacing w:line="360" w:lineRule="auto"/>
        <w:rPr>
          <w:rFonts w:hint="eastAsia" w:ascii="宋体" w:hAnsi="宋体" w:cs="宋体"/>
          <w:color w:val="auto"/>
          <w:highlight w:val="none"/>
        </w:rPr>
      </w:pPr>
    </w:p>
    <w:p w14:paraId="5F0DF411">
      <w:pPr>
        <w:snapToGrid w:val="0"/>
        <w:spacing w:before="50" w:after="120" w:afterLines="50" w:line="440" w:lineRule="exact"/>
        <w:jc w:val="left"/>
        <w:rPr>
          <w:rFonts w:hint="eastAsia" w:ascii="宋体" w:hAnsi="宋体" w:cs="宋体"/>
          <w:b/>
          <w:color w:val="auto"/>
          <w:szCs w:val="21"/>
          <w:highlight w:val="none"/>
        </w:rPr>
      </w:pPr>
      <w:r>
        <w:rPr>
          <w:rFonts w:hint="eastAsia" w:ascii="宋体" w:hAnsi="宋体" w:cs="宋体"/>
          <w:color w:val="auto"/>
          <w:szCs w:val="21"/>
          <w:highlight w:val="none"/>
        </w:rPr>
        <w:br w:type="page"/>
      </w:r>
    </w:p>
    <w:p w14:paraId="45722DCC">
      <w:pPr>
        <w:snapToGrid w:val="0"/>
        <w:spacing w:before="50" w:after="120" w:afterLines="50" w:line="440" w:lineRule="exact"/>
        <w:jc w:val="left"/>
        <w:rPr>
          <w:rFonts w:hint="eastAsia" w:ascii="宋体" w:hAnsi="宋体" w:cs="宋体"/>
          <w:b/>
          <w:color w:val="auto"/>
          <w:highlight w:val="none"/>
        </w:rPr>
      </w:pPr>
      <w:r>
        <w:rPr>
          <w:rFonts w:hint="eastAsia" w:ascii="宋体" w:hAnsi="宋体" w:cs="宋体"/>
          <w:color w:val="auto"/>
          <w:highlight w:val="none"/>
          <w:lang w:val="en-US" w:eastAsia="zh-CN"/>
        </w:rPr>
        <w:t>4</w:t>
      </w:r>
      <w:r>
        <w:rPr>
          <w:rFonts w:hint="eastAsia" w:ascii="宋体" w:hAnsi="宋体" w:cs="宋体"/>
          <w:color w:val="auto"/>
          <w:highlight w:val="none"/>
        </w:rPr>
        <w:t>．具备法律、行政法规规定的其他要求的证明材料（按“评审方法及标准” “</w:t>
      </w:r>
      <w:r>
        <w:rPr>
          <w:rFonts w:hint="eastAsia" w:ascii="宋体" w:hAnsi="宋体" w:cs="宋体"/>
          <w:color w:val="auto"/>
          <w:szCs w:val="21"/>
          <w:highlight w:val="none"/>
        </w:rPr>
        <w:t>资格审查表</w:t>
      </w:r>
      <w:r>
        <w:rPr>
          <w:rFonts w:hint="eastAsia" w:ascii="宋体" w:hAnsi="宋体" w:cs="宋体"/>
          <w:color w:val="auto"/>
          <w:highlight w:val="none"/>
        </w:rPr>
        <w:t>”规定提供）。</w:t>
      </w:r>
      <w:r>
        <w:rPr>
          <w:rFonts w:hint="eastAsia" w:ascii="宋体" w:hAnsi="宋体" w:cs="宋体"/>
          <w:b/>
          <w:color w:val="auto"/>
          <w:highlight w:val="none"/>
        </w:rPr>
        <w:t>（如采购文件有要求时提供）</w:t>
      </w:r>
    </w:p>
    <w:p w14:paraId="76676B51">
      <w:pPr>
        <w:snapToGrid w:val="0"/>
        <w:spacing w:before="50" w:after="120" w:afterLines="50" w:line="440" w:lineRule="exact"/>
        <w:jc w:val="left"/>
        <w:rPr>
          <w:rFonts w:hint="eastAsia" w:ascii="宋体" w:hAnsi="宋体" w:cs="宋体"/>
          <w:color w:val="auto"/>
          <w:highlight w:val="none"/>
        </w:rPr>
      </w:pPr>
      <w:r>
        <w:rPr>
          <w:rFonts w:hint="eastAsia" w:ascii="宋体" w:hAnsi="宋体" w:cs="宋体"/>
          <w:color w:val="auto"/>
          <w:highlight w:val="none"/>
          <w:lang w:val="en-US" w:eastAsia="zh-CN"/>
        </w:rPr>
        <w:t>4</w:t>
      </w:r>
      <w:r>
        <w:rPr>
          <w:rFonts w:hint="eastAsia" w:ascii="宋体" w:hAnsi="宋体" w:cs="宋体"/>
          <w:color w:val="auto"/>
          <w:highlight w:val="none"/>
        </w:rPr>
        <w:t>.1供应商基本情况表</w:t>
      </w:r>
    </w:p>
    <w:tbl>
      <w:tblPr>
        <w:tblStyle w:val="5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26"/>
        <w:gridCol w:w="897"/>
        <w:gridCol w:w="1021"/>
        <w:gridCol w:w="1160"/>
        <w:gridCol w:w="311"/>
        <w:gridCol w:w="1246"/>
        <w:gridCol w:w="63"/>
        <w:gridCol w:w="720"/>
        <w:gridCol w:w="1923"/>
      </w:tblGrid>
      <w:tr w14:paraId="1A4288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26" w:type="dxa"/>
            <w:noWrap w:val="0"/>
            <w:vAlign w:val="center"/>
          </w:tcPr>
          <w:p w14:paraId="3FDBC16B">
            <w:pPr>
              <w:jc w:val="center"/>
              <w:rPr>
                <w:rFonts w:hint="eastAsia" w:ascii="宋体" w:hAnsi="宋体" w:cs="宋体"/>
                <w:color w:val="auto"/>
                <w:szCs w:val="21"/>
                <w:highlight w:val="none"/>
              </w:rPr>
            </w:pPr>
            <w:r>
              <w:rPr>
                <w:rFonts w:hint="eastAsia" w:ascii="宋体" w:hAnsi="宋体" w:cs="宋体"/>
                <w:color w:val="auto"/>
                <w:szCs w:val="21"/>
                <w:highlight w:val="none"/>
              </w:rPr>
              <w:t>供应商名称</w:t>
            </w:r>
          </w:p>
        </w:tc>
        <w:tc>
          <w:tcPr>
            <w:tcW w:w="7341" w:type="dxa"/>
            <w:gridSpan w:val="8"/>
            <w:noWrap w:val="0"/>
            <w:vAlign w:val="center"/>
          </w:tcPr>
          <w:p w14:paraId="6CC7A4F2">
            <w:pPr>
              <w:jc w:val="center"/>
              <w:rPr>
                <w:rFonts w:hint="eastAsia" w:ascii="宋体" w:hAnsi="宋体" w:cs="宋体"/>
                <w:color w:val="auto"/>
                <w:szCs w:val="21"/>
                <w:highlight w:val="none"/>
              </w:rPr>
            </w:pPr>
          </w:p>
        </w:tc>
      </w:tr>
      <w:tr w14:paraId="1209F3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26" w:type="dxa"/>
            <w:noWrap w:val="0"/>
            <w:vAlign w:val="center"/>
          </w:tcPr>
          <w:p w14:paraId="1D76E24B">
            <w:pPr>
              <w:jc w:val="center"/>
              <w:rPr>
                <w:rFonts w:hint="eastAsia" w:ascii="宋体" w:hAnsi="宋体" w:cs="宋体"/>
                <w:color w:val="auto"/>
                <w:szCs w:val="21"/>
                <w:highlight w:val="none"/>
              </w:rPr>
            </w:pPr>
            <w:r>
              <w:rPr>
                <w:rFonts w:hint="eastAsia" w:ascii="宋体" w:hAnsi="宋体" w:cs="宋体"/>
                <w:color w:val="auto"/>
                <w:szCs w:val="21"/>
                <w:highlight w:val="none"/>
              </w:rPr>
              <w:t>注册地址</w:t>
            </w:r>
          </w:p>
        </w:tc>
        <w:tc>
          <w:tcPr>
            <w:tcW w:w="3389" w:type="dxa"/>
            <w:gridSpan w:val="4"/>
            <w:noWrap w:val="0"/>
            <w:vAlign w:val="center"/>
          </w:tcPr>
          <w:p w14:paraId="6B157331">
            <w:pPr>
              <w:jc w:val="center"/>
              <w:rPr>
                <w:rFonts w:hint="eastAsia" w:ascii="宋体" w:hAnsi="宋体" w:cs="宋体"/>
                <w:color w:val="auto"/>
                <w:szCs w:val="21"/>
                <w:highlight w:val="none"/>
              </w:rPr>
            </w:pPr>
          </w:p>
        </w:tc>
        <w:tc>
          <w:tcPr>
            <w:tcW w:w="1246" w:type="dxa"/>
            <w:noWrap w:val="0"/>
            <w:vAlign w:val="center"/>
          </w:tcPr>
          <w:p w14:paraId="2289DD34">
            <w:pPr>
              <w:jc w:val="center"/>
              <w:rPr>
                <w:rFonts w:hint="eastAsia" w:ascii="宋体" w:hAnsi="宋体" w:cs="宋体"/>
                <w:color w:val="auto"/>
                <w:szCs w:val="21"/>
                <w:highlight w:val="none"/>
              </w:rPr>
            </w:pPr>
            <w:r>
              <w:rPr>
                <w:rFonts w:hint="eastAsia" w:ascii="宋体" w:hAnsi="宋体" w:cs="宋体"/>
                <w:color w:val="auto"/>
                <w:szCs w:val="21"/>
                <w:highlight w:val="none"/>
              </w:rPr>
              <w:t>邮政编码</w:t>
            </w:r>
          </w:p>
        </w:tc>
        <w:tc>
          <w:tcPr>
            <w:tcW w:w="2706" w:type="dxa"/>
            <w:gridSpan w:val="3"/>
            <w:noWrap w:val="0"/>
            <w:vAlign w:val="center"/>
          </w:tcPr>
          <w:p w14:paraId="4FA81E17">
            <w:pPr>
              <w:jc w:val="center"/>
              <w:rPr>
                <w:rFonts w:hint="eastAsia" w:ascii="宋体" w:hAnsi="宋体" w:cs="宋体"/>
                <w:color w:val="auto"/>
                <w:szCs w:val="21"/>
                <w:highlight w:val="none"/>
              </w:rPr>
            </w:pPr>
          </w:p>
        </w:tc>
      </w:tr>
      <w:tr w14:paraId="267F05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26" w:type="dxa"/>
            <w:vMerge w:val="restart"/>
            <w:noWrap w:val="0"/>
            <w:vAlign w:val="center"/>
          </w:tcPr>
          <w:p w14:paraId="08E71234">
            <w:pPr>
              <w:jc w:val="center"/>
              <w:rPr>
                <w:rFonts w:hint="eastAsia" w:ascii="宋体" w:hAnsi="宋体" w:cs="宋体"/>
                <w:color w:val="auto"/>
                <w:szCs w:val="21"/>
                <w:highlight w:val="none"/>
              </w:rPr>
            </w:pPr>
            <w:r>
              <w:rPr>
                <w:rFonts w:hint="eastAsia" w:ascii="宋体" w:hAnsi="宋体" w:cs="宋体"/>
                <w:color w:val="auto"/>
                <w:szCs w:val="21"/>
                <w:highlight w:val="none"/>
              </w:rPr>
              <w:t>联系方式</w:t>
            </w:r>
          </w:p>
        </w:tc>
        <w:tc>
          <w:tcPr>
            <w:tcW w:w="897" w:type="dxa"/>
            <w:noWrap w:val="0"/>
            <w:vAlign w:val="center"/>
          </w:tcPr>
          <w:p w14:paraId="5A5AA9D7">
            <w:pPr>
              <w:jc w:val="center"/>
              <w:rPr>
                <w:rFonts w:hint="eastAsia" w:ascii="宋体" w:hAnsi="宋体" w:cs="宋体"/>
                <w:color w:val="auto"/>
                <w:szCs w:val="21"/>
                <w:highlight w:val="none"/>
              </w:rPr>
            </w:pPr>
            <w:r>
              <w:rPr>
                <w:rFonts w:hint="eastAsia" w:ascii="宋体" w:hAnsi="宋体" w:cs="宋体"/>
                <w:color w:val="auto"/>
                <w:szCs w:val="21"/>
                <w:highlight w:val="none"/>
              </w:rPr>
              <w:t>联系人</w:t>
            </w:r>
          </w:p>
        </w:tc>
        <w:tc>
          <w:tcPr>
            <w:tcW w:w="2492" w:type="dxa"/>
            <w:gridSpan w:val="3"/>
            <w:noWrap w:val="0"/>
            <w:vAlign w:val="center"/>
          </w:tcPr>
          <w:p w14:paraId="14A2D647">
            <w:pPr>
              <w:jc w:val="center"/>
              <w:rPr>
                <w:rFonts w:hint="eastAsia" w:ascii="宋体" w:hAnsi="宋体" w:cs="宋体"/>
                <w:color w:val="auto"/>
                <w:szCs w:val="21"/>
                <w:highlight w:val="none"/>
              </w:rPr>
            </w:pPr>
          </w:p>
        </w:tc>
        <w:tc>
          <w:tcPr>
            <w:tcW w:w="1246" w:type="dxa"/>
            <w:noWrap w:val="0"/>
            <w:vAlign w:val="center"/>
          </w:tcPr>
          <w:p w14:paraId="0B5D0E36">
            <w:pPr>
              <w:jc w:val="center"/>
              <w:rPr>
                <w:rFonts w:hint="eastAsia" w:ascii="宋体" w:hAnsi="宋体" w:cs="宋体"/>
                <w:color w:val="auto"/>
                <w:szCs w:val="21"/>
                <w:highlight w:val="none"/>
              </w:rPr>
            </w:pPr>
            <w:r>
              <w:rPr>
                <w:rFonts w:hint="eastAsia" w:ascii="宋体" w:hAnsi="宋体" w:cs="宋体"/>
                <w:color w:val="auto"/>
                <w:szCs w:val="21"/>
                <w:highlight w:val="none"/>
              </w:rPr>
              <w:t>电  话</w:t>
            </w:r>
          </w:p>
        </w:tc>
        <w:tc>
          <w:tcPr>
            <w:tcW w:w="2706" w:type="dxa"/>
            <w:gridSpan w:val="3"/>
            <w:noWrap w:val="0"/>
            <w:vAlign w:val="center"/>
          </w:tcPr>
          <w:p w14:paraId="6C1018A5">
            <w:pPr>
              <w:jc w:val="center"/>
              <w:rPr>
                <w:rFonts w:hint="eastAsia" w:ascii="宋体" w:hAnsi="宋体" w:cs="宋体"/>
                <w:color w:val="auto"/>
                <w:szCs w:val="21"/>
                <w:highlight w:val="none"/>
              </w:rPr>
            </w:pPr>
          </w:p>
        </w:tc>
      </w:tr>
      <w:tr w14:paraId="321940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26" w:type="dxa"/>
            <w:vMerge w:val="continue"/>
            <w:noWrap w:val="0"/>
            <w:vAlign w:val="center"/>
          </w:tcPr>
          <w:p w14:paraId="73E83437">
            <w:pPr>
              <w:jc w:val="center"/>
              <w:rPr>
                <w:rFonts w:hint="eastAsia" w:ascii="宋体" w:hAnsi="宋体" w:cs="宋体"/>
                <w:color w:val="auto"/>
                <w:szCs w:val="21"/>
                <w:highlight w:val="none"/>
              </w:rPr>
            </w:pPr>
          </w:p>
        </w:tc>
        <w:tc>
          <w:tcPr>
            <w:tcW w:w="897" w:type="dxa"/>
            <w:noWrap w:val="0"/>
            <w:vAlign w:val="center"/>
          </w:tcPr>
          <w:p w14:paraId="249FD455">
            <w:pPr>
              <w:jc w:val="center"/>
              <w:rPr>
                <w:rFonts w:hint="eastAsia" w:ascii="宋体" w:hAnsi="宋体" w:cs="宋体"/>
                <w:color w:val="auto"/>
                <w:szCs w:val="21"/>
                <w:highlight w:val="none"/>
              </w:rPr>
            </w:pPr>
            <w:r>
              <w:rPr>
                <w:rFonts w:hint="eastAsia" w:ascii="宋体" w:hAnsi="宋体" w:cs="宋体"/>
                <w:color w:val="auto"/>
                <w:szCs w:val="21"/>
                <w:highlight w:val="none"/>
              </w:rPr>
              <w:t>传  真</w:t>
            </w:r>
          </w:p>
        </w:tc>
        <w:tc>
          <w:tcPr>
            <w:tcW w:w="2492" w:type="dxa"/>
            <w:gridSpan w:val="3"/>
            <w:noWrap w:val="0"/>
            <w:vAlign w:val="center"/>
          </w:tcPr>
          <w:p w14:paraId="29B793EC">
            <w:pPr>
              <w:jc w:val="center"/>
              <w:rPr>
                <w:rFonts w:hint="eastAsia" w:ascii="宋体" w:hAnsi="宋体" w:cs="宋体"/>
                <w:color w:val="auto"/>
                <w:szCs w:val="21"/>
                <w:highlight w:val="none"/>
              </w:rPr>
            </w:pPr>
          </w:p>
        </w:tc>
        <w:tc>
          <w:tcPr>
            <w:tcW w:w="1246" w:type="dxa"/>
            <w:noWrap w:val="0"/>
            <w:vAlign w:val="center"/>
          </w:tcPr>
          <w:p w14:paraId="2F22EE6F">
            <w:pPr>
              <w:jc w:val="center"/>
              <w:rPr>
                <w:rFonts w:hint="eastAsia" w:ascii="宋体" w:hAnsi="宋体" w:cs="宋体"/>
                <w:color w:val="auto"/>
                <w:szCs w:val="21"/>
                <w:highlight w:val="none"/>
              </w:rPr>
            </w:pPr>
            <w:r>
              <w:rPr>
                <w:rFonts w:hint="eastAsia" w:ascii="宋体" w:hAnsi="宋体" w:cs="宋体"/>
                <w:color w:val="auto"/>
                <w:szCs w:val="21"/>
                <w:highlight w:val="none"/>
              </w:rPr>
              <w:t>网  址</w:t>
            </w:r>
          </w:p>
        </w:tc>
        <w:tc>
          <w:tcPr>
            <w:tcW w:w="2706" w:type="dxa"/>
            <w:gridSpan w:val="3"/>
            <w:noWrap w:val="0"/>
            <w:vAlign w:val="center"/>
          </w:tcPr>
          <w:p w14:paraId="586A4024">
            <w:pPr>
              <w:jc w:val="center"/>
              <w:rPr>
                <w:rFonts w:hint="eastAsia" w:ascii="宋体" w:hAnsi="宋体" w:cs="宋体"/>
                <w:color w:val="auto"/>
                <w:szCs w:val="21"/>
                <w:highlight w:val="none"/>
              </w:rPr>
            </w:pPr>
          </w:p>
        </w:tc>
      </w:tr>
      <w:tr w14:paraId="30A027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26" w:type="dxa"/>
            <w:noWrap w:val="0"/>
            <w:vAlign w:val="center"/>
          </w:tcPr>
          <w:p w14:paraId="38D50C19">
            <w:pPr>
              <w:jc w:val="center"/>
              <w:rPr>
                <w:rFonts w:hint="eastAsia" w:ascii="宋体" w:hAnsi="宋体" w:cs="宋体"/>
                <w:color w:val="auto"/>
                <w:szCs w:val="21"/>
                <w:highlight w:val="none"/>
              </w:rPr>
            </w:pPr>
            <w:r>
              <w:rPr>
                <w:rFonts w:hint="eastAsia" w:ascii="宋体" w:hAnsi="宋体" w:cs="宋体"/>
                <w:color w:val="auto"/>
                <w:szCs w:val="21"/>
                <w:highlight w:val="none"/>
              </w:rPr>
              <w:t>统一社会信用代码</w:t>
            </w:r>
          </w:p>
        </w:tc>
        <w:tc>
          <w:tcPr>
            <w:tcW w:w="7341" w:type="dxa"/>
            <w:gridSpan w:val="8"/>
            <w:noWrap w:val="0"/>
            <w:vAlign w:val="center"/>
          </w:tcPr>
          <w:p w14:paraId="08AE8D7B">
            <w:pPr>
              <w:jc w:val="center"/>
              <w:rPr>
                <w:rFonts w:hint="eastAsia" w:ascii="宋体" w:hAnsi="宋体" w:cs="宋体"/>
                <w:color w:val="auto"/>
                <w:szCs w:val="21"/>
                <w:highlight w:val="none"/>
              </w:rPr>
            </w:pPr>
          </w:p>
        </w:tc>
      </w:tr>
      <w:tr w14:paraId="108F2F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26" w:type="dxa"/>
            <w:noWrap w:val="0"/>
            <w:vAlign w:val="center"/>
          </w:tcPr>
          <w:p w14:paraId="02A615A7">
            <w:pPr>
              <w:jc w:val="center"/>
              <w:rPr>
                <w:rFonts w:hint="eastAsia" w:ascii="宋体" w:hAnsi="宋体" w:cs="宋体"/>
                <w:color w:val="auto"/>
                <w:szCs w:val="21"/>
                <w:highlight w:val="none"/>
              </w:rPr>
            </w:pPr>
            <w:r>
              <w:rPr>
                <w:rFonts w:hint="eastAsia" w:ascii="宋体" w:hAnsi="宋体" w:cs="宋体"/>
                <w:color w:val="auto"/>
                <w:szCs w:val="21"/>
                <w:highlight w:val="none"/>
              </w:rPr>
              <w:t>法定代表人</w:t>
            </w:r>
          </w:p>
        </w:tc>
        <w:tc>
          <w:tcPr>
            <w:tcW w:w="897" w:type="dxa"/>
            <w:noWrap w:val="0"/>
            <w:vAlign w:val="center"/>
          </w:tcPr>
          <w:p w14:paraId="40A062DF">
            <w:pPr>
              <w:jc w:val="center"/>
              <w:rPr>
                <w:rFonts w:hint="eastAsia" w:ascii="宋体" w:hAnsi="宋体" w:cs="宋体"/>
                <w:color w:val="auto"/>
                <w:szCs w:val="21"/>
                <w:highlight w:val="none"/>
              </w:rPr>
            </w:pPr>
            <w:r>
              <w:rPr>
                <w:rFonts w:hint="eastAsia" w:ascii="宋体" w:hAnsi="宋体" w:cs="宋体"/>
                <w:color w:val="auto"/>
                <w:szCs w:val="21"/>
                <w:highlight w:val="none"/>
              </w:rPr>
              <w:t>姓名</w:t>
            </w:r>
          </w:p>
        </w:tc>
        <w:tc>
          <w:tcPr>
            <w:tcW w:w="1021" w:type="dxa"/>
            <w:noWrap w:val="0"/>
            <w:vAlign w:val="center"/>
          </w:tcPr>
          <w:p w14:paraId="11F56229">
            <w:pPr>
              <w:jc w:val="center"/>
              <w:rPr>
                <w:rFonts w:hint="eastAsia" w:ascii="宋体" w:hAnsi="宋体" w:cs="宋体"/>
                <w:color w:val="auto"/>
                <w:szCs w:val="21"/>
                <w:highlight w:val="none"/>
              </w:rPr>
            </w:pPr>
          </w:p>
        </w:tc>
        <w:tc>
          <w:tcPr>
            <w:tcW w:w="1160" w:type="dxa"/>
            <w:noWrap w:val="0"/>
            <w:vAlign w:val="center"/>
          </w:tcPr>
          <w:p w14:paraId="364237EA">
            <w:pPr>
              <w:jc w:val="center"/>
              <w:rPr>
                <w:rFonts w:hint="eastAsia" w:ascii="宋体" w:hAnsi="宋体" w:cs="宋体"/>
                <w:color w:val="auto"/>
                <w:szCs w:val="21"/>
                <w:highlight w:val="none"/>
              </w:rPr>
            </w:pPr>
            <w:r>
              <w:rPr>
                <w:rFonts w:hint="eastAsia" w:ascii="宋体" w:hAnsi="宋体" w:cs="宋体"/>
                <w:color w:val="auto"/>
                <w:szCs w:val="21"/>
                <w:highlight w:val="none"/>
              </w:rPr>
              <w:t>技术职称</w:t>
            </w:r>
          </w:p>
        </w:tc>
        <w:tc>
          <w:tcPr>
            <w:tcW w:w="1620" w:type="dxa"/>
            <w:gridSpan w:val="3"/>
            <w:noWrap w:val="0"/>
            <w:vAlign w:val="center"/>
          </w:tcPr>
          <w:p w14:paraId="6B614C67">
            <w:pPr>
              <w:jc w:val="center"/>
              <w:rPr>
                <w:rFonts w:hint="eastAsia" w:ascii="宋体" w:hAnsi="宋体" w:cs="宋体"/>
                <w:color w:val="auto"/>
                <w:szCs w:val="21"/>
                <w:highlight w:val="none"/>
              </w:rPr>
            </w:pPr>
          </w:p>
        </w:tc>
        <w:tc>
          <w:tcPr>
            <w:tcW w:w="720" w:type="dxa"/>
            <w:noWrap w:val="0"/>
            <w:vAlign w:val="center"/>
          </w:tcPr>
          <w:p w14:paraId="57BD24D4">
            <w:pPr>
              <w:jc w:val="center"/>
              <w:rPr>
                <w:rFonts w:hint="eastAsia" w:ascii="宋体" w:hAnsi="宋体" w:cs="宋体"/>
                <w:color w:val="auto"/>
                <w:szCs w:val="21"/>
                <w:highlight w:val="none"/>
              </w:rPr>
            </w:pPr>
            <w:r>
              <w:rPr>
                <w:rFonts w:hint="eastAsia" w:ascii="宋体" w:hAnsi="宋体" w:cs="宋体"/>
                <w:color w:val="auto"/>
                <w:szCs w:val="21"/>
                <w:highlight w:val="none"/>
              </w:rPr>
              <w:t>电话</w:t>
            </w:r>
          </w:p>
        </w:tc>
        <w:tc>
          <w:tcPr>
            <w:tcW w:w="1923" w:type="dxa"/>
            <w:noWrap w:val="0"/>
            <w:vAlign w:val="center"/>
          </w:tcPr>
          <w:p w14:paraId="1881FCAF">
            <w:pPr>
              <w:jc w:val="center"/>
              <w:rPr>
                <w:rFonts w:hint="eastAsia" w:ascii="宋体" w:hAnsi="宋体" w:cs="宋体"/>
                <w:color w:val="auto"/>
                <w:szCs w:val="21"/>
                <w:highlight w:val="none"/>
              </w:rPr>
            </w:pPr>
          </w:p>
        </w:tc>
      </w:tr>
      <w:tr w14:paraId="35D05D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26" w:type="dxa"/>
            <w:noWrap w:val="0"/>
            <w:vAlign w:val="center"/>
          </w:tcPr>
          <w:p w14:paraId="0489413D">
            <w:pPr>
              <w:jc w:val="center"/>
              <w:rPr>
                <w:rFonts w:hint="eastAsia" w:ascii="宋体" w:hAnsi="宋体" w:cs="宋体"/>
                <w:color w:val="auto"/>
                <w:szCs w:val="21"/>
                <w:highlight w:val="none"/>
              </w:rPr>
            </w:pPr>
            <w:r>
              <w:rPr>
                <w:rFonts w:hint="eastAsia" w:ascii="宋体" w:hAnsi="宋体" w:cs="宋体"/>
                <w:color w:val="auto"/>
                <w:szCs w:val="21"/>
                <w:highlight w:val="none"/>
              </w:rPr>
              <w:t>技术负责人</w:t>
            </w:r>
          </w:p>
        </w:tc>
        <w:tc>
          <w:tcPr>
            <w:tcW w:w="897" w:type="dxa"/>
            <w:noWrap w:val="0"/>
            <w:vAlign w:val="center"/>
          </w:tcPr>
          <w:p w14:paraId="30B90790">
            <w:pPr>
              <w:jc w:val="center"/>
              <w:rPr>
                <w:rFonts w:hint="eastAsia" w:ascii="宋体" w:hAnsi="宋体" w:cs="宋体"/>
                <w:color w:val="auto"/>
                <w:szCs w:val="21"/>
                <w:highlight w:val="none"/>
              </w:rPr>
            </w:pPr>
            <w:r>
              <w:rPr>
                <w:rFonts w:hint="eastAsia" w:ascii="宋体" w:hAnsi="宋体" w:cs="宋体"/>
                <w:color w:val="auto"/>
                <w:szCs w:val="21"/>
                <w:highlight w:val="none"/>
              </w:rPr>
              <w:t>姓名</w:t>
            </w:r>
          </w:p>
        </w:tc>
        <w:tc>
          <w:tcPr>
            <w:tcW w:w="1021" w:type="dxa"/>
            <w:noWrap w:val="0"/>
            <w:vAlign w:val="center"/>
          </w:tcPr>
          <w:p w14:paraId="395EFFE2">
            <w:pPr>
              <w:jc w:val="center"/>
              <w:rPr>
                <w:rFonts w:hint="eastAsia" w:ascii="宋体" w:hAnsi="宋体" w:cs="宋体"/>
                <w:color w:val="auto"/>
                <w:szCs w:val="21"/>
                <w:highlight w:val="none"/>
              </w:rPr>
            </w:pPr>
          </w:p>
        </w:tc>
        <w:tc>
          <w:tcPr>
            <w:tcW w:w="1160" w:type="dxa"/>
            <w:noWrap w:val="0"/>
            <w:vAlign w:val="center"/>
          </w:tcPr>
          <w:p w14:paraId="4CCCD8E8">
            <w:pPr>
              <w:jc w:val="center"/>
              <w:rPr>
                <w:rFonts w:hint="eastAsia" w:ascii="宋体" w:hAnsi="宋体" w:cs="宋体"/>
                <w:color w:val="auto"/>
                <w:szCs w:val="21"/>
                <w:highlight w:val="none"/>
              </w:rPr>
            </w:pPr>
            <w:r>
              <w:rPr>
                <w:rFonts w:hint="eastAsia" w:ascii="宋体" w:hAnsi="宋体" w:cs="宋体"/>
                <w:color w:val="auto"/>
                <w:szCs w:val="21"/>
                <w:highlight w:val="none"/>
              </w:rPr>
              <w:t>技术职称</w:t>
            </w:r>
          </w:p>
        </w:tc>
        <w:tc>
          <w:tcPr>
            <w:tcW w:w="1620" w:type="dxa"/>
            <w:gridSpan w:val="3"/>
            <w:noWrap w:val="0"/>
            <w:vAlign w:val="center"/>
          </w:tcPr>
          <w:p w14:paraId="42066431">
            <w:pPr>
              <w:jc w:val="center"/>
              <w:rPr>
                <w:rFonts w:hint="eastAsia" w:ascii="宋体" w:hAnsi="宋体" w:cs="宋体"/>
                <w:color w:val="auto"/>
                <w:szCs w:val="21"/>
                <w:highlight w:val="none"/>
              </w:rPr>
            </w:pPr>
          </w:p>
        </w:tc>
        <w:tc>
          <w:tcPr>
            <w:tcW w:w="720" w:type="dxa"/>
            <w:noWrap w:val="0"/>
            <w:vAlign w:val="center"/>
          </w:tcPr>
          <w:p w14:paraId="7C37DC95">
            <w:pPr>
              <w:jc w:val="center"/>
              <w:rPr>
                <w:rFonts w:hint="eastAsia" w:ascii="宋体" w:hAnsi="宋体" w:cs="宋体"/>
                <w:color w:val="auto"/>
                <w:szCs w:val="21"/>
                <w:highlight w:val="none"/>
              </w:rPr>
            </w:pPr>
            <w:r>
              <w:rPr>
                <w:rFonts w:hint="eastAsia" w:ascii="宋体" w:hAnsi="宋体" w:cs="宋体"/>
                <w:color w:val="auto"/>
                <w:szCs w:val="21"/>
                <w:highlight w:val="none"/>
              </w:rPr>
              <w:t>电话</w:t>
            </w:r>
          </w:p>
        </w:tc>
        <w:tc>
          <w:tcPr>
            <w:tcW w:w="1923" w:type="dxa"/>
            <w:noWrap w:val="0"/>
            <w:vAlign w:val="center"/>
          </w:tcPr>
          <w:p w14:paraId="26AD9800">
            <w:pPr>
              <w:jc w:val="center"/>
              <w:rPr>
                <w:rFonts w:hint="eastAsia" w:ascii="宋体" w:hAnsi="宋体" w:cs="宋体"/>
                <w:color w:val="auto"/>
                <w:szCs w:val="21"/>
                <w:highlight w:val="none"/>
              </w:rPr>
            </w:pPr>
          </w:p>
        </w:tc>
      </w:tr>
      <w:tr w14:paraId="154A1E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26" w:type="dxa"/>
            <w:noWrap w:val="0"/>
            <w:vAlign w:val="center"/>
          </w:tcPr>
          <w:p w14:paraId="10A68F50">
            <w:pPr>
              <w:jc w:val="center"/>
              <w:rPr>
                <w:rFonts w:hint="eastAsia" w:ascii="宋体" w:hAnsi="宋体" w:cs="宋体"/>
                <w:color w:val="auto"/>
                <w:szCs w:val="21"/>
                <w:highlight w:val="none"/>
              </w:rPr>
            </w:pPr>
            <w:r>
              <w:rPr>
                <w:rFonts w:hint="eastAsia" w:ascii="宋体" w:hAnsi="宋体" w:cs="宋体"/>
                <w:color w:val="auto"/>
                <w:szCs w:val="21"/>
                <w:highlight w:val="none"/>
              </w:rPr>
              <w:t>成立时间</w:t>
            </w:r>
          </w:p>
        </w:tc>
        <w:tc>
          <w:tcPr>
            <w:tcW w:w="1918" w:type="dxa"/>
            <w:gridSpan w:val="2"/>
            <w:noWrap w:val="0"/>
            <w:vAlign w:val="center"/>
          </w:tcPr>
          <w:p w14:paraId="608695D1">
            <w:pPr>
              <w:jc w:val="center"/>
              <w:rPr>
                <w:rFonts w:hint="eastAsia" w:ascii="宋体" w:hAnsi="宋体" w:cs="宋体"/>
                <w:color w:val="auto"/>
                <w:szCs w:val="21"/>
                <w:highlight w:val="none"/>
              </w:rPr>
            </w:pPr>
          </w:p>
        </w:tc>
        <w:tc>
          <w:tcPr>
            <w:tcW w:w="5423" w:type="dxa"/>
            <w:gridSpan w:val="6"/>
            <w:noWrap w:val="0"/>
            <w:vAlign w:val="center"/>
          </w:tcPr>
          <w:p w14:paraId="547B8465">
            <w:pPr>
              <w:jc w:val="center"/>
              <w:rPr>
                <w:rFonts w:hint="eastAsia" w:ascii="宋体" w:hAnsi="宋体" w:cs="宋体"/>
                <w:color w:val="auto"/>
                <w:szCs w:val="21"/>
                <w:highlight w:val="none"/>
              </w:rPr>
            </w:pPr>
            <w:r>
              <w:rPr>
                <w:rFonts w:hint="eastAsia" w:ascii="宋体" w:hAnsi="宋体" w:cs="宋体"/>
                <w:color w:val="auto"/>
                <w:szCs w:val="21"/>
                <w:highlight w:val="none"/>
              </w:rPr>
              <w:t>员工总人数：</w:t>
            </w:r>
          </w:p>
        </w:tc>
      </w:tr>
      <w:tr w14:paraId="5D02A6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26" w:type="dxa"/>
            <w:noWrap w:val="0"/>
            <w:vAlign w:val="center"/>
          </w:tcPr>
          <w:p w14:paraId="08044B46">
            <w:pPr>
              <w:jc w:val="center"/>
              <w:rPr>
                <w:rFonts w:hint="eastAsia" w:ascii="宋体" w:hAnsi="宋体" w:cs="宋体"/>
                <w:color w:val="auto"/>
                <w:szCs w:val="21"/>
                <w:highlight w:val="none"/>
              </w:rPr>
            </w:pPr>
            <w:r>
              <w:rPr>
                <w:rFonts w:hint="eastAsia" w:ascii="宋体" w:hAnsi="宋体" w:cs="宋体"/>
                <w:color w:val="auto"/>
                <w:szCs w:val="21"/>
                <w:highlight w:val="none"/>
              </w:rPr>
              <w:t>资质等级</w:t>
            </w:r>
          </w:p>
        </w:tc>
        <w:tc>
          <w:tcPr>
            <w:tcW w:w="1918" w:type="dxa"/>
            <w:gridSpan w:val="2"/>
            <w:noWrap w:val="0"/>
            <w:vAlign w:val="center"/>
          </w:tcPr>
          <w:p w14:paraId="34573481">
            <w:pPr>
              <w:jc w:val="center"/>
              <w:rPr>
                <w:rFonts w:hint="eastAsia" w:ascii="宋体" w:hAnsi="宋体" w:cs="宋体"/>
                <w:color w:val="auto"/>
                <w:szCs w:val="21"/>
                <w:highlight w:val="none"/>
              </w:rPr>
            </w:pPr>
          </w:p>
        </w:tc>
        <w:tc>
          <w:tcPr>
            <w:tcW w:w="1160" w:type="dxa"/>
            <w:vMerge w:val="restart"/>
            <w:noWrap w:val="0"/>
            <w:vAlign w:val="center"/>
          </w:tcPr>
          <w:p w14:paraId="65DCD915">
            <w:pPr>
              <w:jc w:val="center"/>
              <w:rPr>
                <w:rFonts w:hint="eastAsia" w:ascii="宋体" w:hAnsi="宋体" w:cs="宋体"/>
                <w:color w:val="auto"/>
                <w:szCs w:val="21"/>
                <w:highlight w:val="none"/>
              </w:rPr>
            </w:pPr>
            <w:r>
              <w:rPr>
                <w:rFonts w:hint="eastAsia" w:ascii="宋体" w:hAnsi="宋体" w:cs="宋体"/>
                <w:color w:val="auto"/>
                <w:szCs w:val="21"/>
                <w:highlight w:val="none"/>
              </w:rPr>
              <w:t>其中</w:t>
            </w:r>
          </w:p>
        </w:tc>
        <w:tc>
          <w:tcPr>
            <w:tcW w:w="1620" w:type="dxa"/>
            <w:gridSpan w:val="3"/>
            <w:noWrap w:val="0"/>
            <w:vAlign w:val="center"/>
          </w:tcPr>
          <w:p w14:paraId="5820243A">
            <w:pPr>
              <w:jc w:val="center"/>
              <w:rPr>
                <w:rFonts w:hint="eastAsia" w:ascii="宋体" w:hAnsi="宋体" w:cs="宋体"/>
                <w:color w:val="auto"/>
                <w:szCs w:val="21"/>
                <w:highlight w:val="none"/>
              </w:rPr>
            </w:pPr>
            <w:r>
              <w:rPr>
                <w:rFonts w:hint="eastAsia" w:ascii="宋体" w:hAnsi="宋体" w:cs="宋体"/>
                <w:color w:val="auto"/>
                <w:szCs w:val="21"/>
                <w:highlight w:val="none"/>
              </w:rPr>
              <w:t>项目经理</w:t>
            </w:r>
          </w:p>
        </w:tc>
        <w:tc>
          <w:tcPr>
            <w:tcW w:w="2643" w:type="dxa"/>
            <w:gridSpan w:val="2"/>
            <w:noWrap w:val="0"/>
            <w:vAlign w:val="center"/>
          </w:tcPr>
          <w:p w14:paraId="485E3AF4">
            <w:pPr>
              <w:jc w:val="center"/>
              <w:rPr>
                <w:rFonts w:hint="eastAsia" w:ascii="宋体" w:hAnsi="宋体" w:cs="宋体"/>
                <w:color w:val="auto"/>
                <w:szCs w:val="21"/>
                <w:highlight w:val="none"/>
              </w:rPr>
            </w:pPr>
          </w:p>
        </w:tc>
      </w:tr>
      <w:tr w14:paraId="5CB424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26" w:type="dxa"/>
            <w:noWrap w:val="0"/>
            <w:vAlign w:val="center"/>
          </w:tcPr>
          <w:p w14:paraId="62BA5B8F">
            <w:pPr>
              <w:jc w:val="center"/>
              <w:rPr>
                <w:rFonts w:hint="eastAsia" w:ascii="宋体" w:hAnsi="宋体" w:cs="宋体"/>
                <w:color w:val="auto"/>
                <w:szCs w:val="21"/>
                <w:highlight w:val="none"/>
              </w:rPr>
            </w:pPr>
            <w:r>
              <w:rPr>
                <w:rFonts w:hint="eastAsia" w:ascii="宋体" w:hAnsi="宋体" w:cs="宋体"/>
                <w:color w:val="auto"/>
                <w:szCs w:val="21"/>
                <w:highlight w:val="none"/>
              </w:rPr>
              <w:t>安全生产许可证号</w:t>
            </w:r>
          </w:p>
        </w:tc>
        <w:tc>
          <w:tcPr>
            <w:tcW w:w="1918" w:type="dxa"/>
            <w:gridSpan w:val="2"/>
            <w:noWrap w:val="0"/>
            <w:vAlign w:val="center"/>
          </w:tcPr>
          <w:p w14:paraId="51084EE5">
            <w:pPr>
              <w:jc w:val="center"/>
              <w:rPr>
                <w:rFonts w:hint="eastAsia" w:ascii="宋体" w:hAnsi="宋体" w:cs="宋体"/>
                <w:color w:val="auto"/>
                <w:szCs w:val="21"/>
                <w:highlight w:val="none"/>
              </w:rPr>
            </w:pPr>
          </w:p>
        </w:tc>
        <w:tc>
          <w:tcPr>
            <w:tcW w:w="1160" w:type="dxa"/>
            <w:vMerge w:val="continue"/>
            <w:noWrap w:val="0"/>
            <w:vAlign w:val="center"/>
          </w:tcPr>
          <w:p w14:paraId="7C368E0F">
            <w:pPr>
              <w:jc w:val="center"/>
              <w:rPr>
                <w:rFonts w:hint="eastAsia" w:ascii="宋体" w:hAnsi="宋体" w:cs="宋体"/>
                <w:color w:val="auto"/>
                <w:szCs w:val="21"/>
                <w:highlight w:val="none"/>
              </w:rPr>
            </w:pPr>
          </w:p>
        </w:tc>
        <w:tc>
          <w:tcPr>
            <w:tcW w:w="1620" w:type="dxa"/>
            <w:gridSpan w:val="3"/>
            <w:noWrap w:val="0"/>
            <w:vAlign w:val="center"/>
          </w:tcPr>
          <w:p w14:paraId="0FC7E666">
            <w:pPr>
              <w:jc w:val="center"/>
              <w:rPr>
                <w:rFonts w:hint="eastAsia" w:ascii="宋体" w:hAnsi="宋体" w:cs="宋体"/>
                <w:color w:val="auto"/>
                <w:szCs w:val="21"/>
                <w:highlight w:val="none"/>
              </w:rPr>
            </w:pPr>
            <w:r>
              <w:rPr>
                <w:rFonts w:hint="eastAsia" w:ascii="宋体" w:hAnsi="宋体" w:cs="宋体"/>
                <w:color w:val="auto"/>
                <w:szCs w:val="21"/>
                <w:highlight w:val="none"/>
              </w:rPr>
              <w:t>高级职称人员</w:t>
            </w:r>
          </w:p>
        </w:tc>
        <w:tc>
          <w:tcPr>
            <w:tcW w:w="2643" w:type="dxa"/>
            <w:gridSpan w:val="2"/>
            <w:noWrap w:val="0"/>
            <w:vAlign w:val="center"/>
          </w:tcPr>
          <w:p w14:paraId="31012ECE">
            <w:pPr>
              <w:jc w:val="center"/>
              <w:rPr>
                <w:rFonts w:hint="eastAsia" w:ascii="宋体" w:hAnsi="宋体" w:cs="宋体"/>
                <w:color w:val="auto"/>
                <w:szCs w:val="21"/>
                <w:highlight w:val="none"/>
              </w:rPr>
            </w:pPr>
          </w:p>
        </w:tc>
      </w:tr>
      <w:tr w14:paraId="5A9846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26" w:type="dxa"/>
            <w:noWrap w:val="0"/>
            <w:vAlign w:val="center"/>
          </w:tcPr>
          <w:p w14:paraId="07D1892B">
            <w:pPr>
              <w:jc w:val="center"/>
              <w:rPr>
                <w:rFonts w:hint="eastAsia" w:ascii="宋体" w:hAnsi="宋体" w:cs="宋体"/>
                <w:color w:val="auto"/>
                <w:szCs w:val="21"/>
                <w:highlight w:val="none"/>
              </w:rPr>
            </w:pPr>
            <w:r>
              <w:rPr>
                <w:rFonts w:hint="eastAsia" w:ascii="宋体" w:hAnsi="宋体" w:cs="宋体"/>
                <w:color w:val="auto"/>
                <w:szCs w:val="21"/>
                <w:highlight w:val="none"/>
              </w:rPr>
              <w:t>注册资金</w:t>
            </w:r>
          </w:p>
        </w:tc>
        <w:tc>
          <w:tcPr>
            <w:tcW w:w="1918" w:type="dxa"/>
            <w:gridSpan w:val="2"/>
            <w:noWrap w:val="0"/>
            <w:vAlign w:val="center"/>
          </w:tcPr>
          <w:p w14:paraId="5E77D79F">
            <w:pPr>
              <w:jc w:val="center"/>
              <w:rPr>
                <w:rFonts w:hint="eastAsia" w:ascii="宋体" w:hAnsi="宋体" w:cs="宋体"/>
                <w:color w:val="auto"/>
                <w:szCs w:val="21"/>
                <w:highlight w:val="none"/>
              </w:rPr>
            </w:pPr>
          </w:p>
        </w:tc>
        <w:tc>
          <w:tcPr>
            <w:tcW w:w="1160" w:type="dxa"/>
            <w:vMerge w:val="continue"/>
            <w:noWrap w:val="0"/>
            <w:vAlign w:val="center"/>
          </w:tcPr>
          <w:p w14:paraId="6B6CEB8C">
            <w:pPr>
              <w:jc w:val="center"/>
              <w:rPr>
                <w:rFonts w:hint="eastAsia" w:ascii="宋体" w:hAnsi="宋体" w:cs="宋体"/>
                <w:color w:val="auto"/>
                <w:szCs w:val="21"/>
                <w:highlight w:val="none"/>
              </w:rPr>
            </w:pPr>
          </w:p>
        </w:tc>
        <w:tc>
          <w:tcPr>
            <w:tcW w:w="1620" w:type="dxa"/>
            <w:gridSpan w:val="3"/>
            <w:noWrap w:val="0"/>
            <w:vAlign w:val="center"/>
          </w:tcPr>
          <w:p w14:paraId="28CDF688">
            <w:pPr>
              <w:jc w:val="center"/>
              <w:rPr>
                <w:rFonts w:hint="eastAsia" w:ascii="宋体" w:hAnsi="宋体" w:cs="宋体"/>
                <w:color w:val="auto"/>
                <w:szCs w:val="21"/>
                <w:highlight w:val="none"/>
              </w:rPr>
            </w:pPr>
            <w:r>
              <w:rPr>
                <w:rFonts w:hint="eastAsia" w:ascii="宋体" w:hAnsi="宋体" w:cs="宋体"/>
                <w:color w:val="auto"/>
                <w:szCs w:val="21"/>
                <w:highlight w:val="none"/>
              </w:rPr>
              <w:t>中级职称人员</w:t>
            </w:r>
          </w:p>
        </w:tc>
        <w:tc>
          <w:tcPr>
            <w:tcW w:w="2643" w:type="dxa"/>
            <w:gridSpan w:val="2"/>
            <w:noWrap w:val="0"/>
            <w:vAlign w:val="center"/>
          </w:tcPr>
          <w:p w14:paraId="09916FB4">
            <w:pPr>
              <w:jc w:val="center"/>
              <w:rPr>
                <w:rFonts w:hint="eastAsia" w:ascii="宋体" w:hAnsi="宋体" w:cs="宋体"/>
                <w:color w:val="auto"/>
                <w:szCs w:val="21"/>
                <w:highlight w:val="none"/>
              </w:rPr>
            </w:pPr>
          </w:p>
        </w:tc>
      </w:tr>
      <w:tr w14:paraId="00658D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26" w:type="dxa"/>
            <w:noWrap w:val="0"/>
            <w:vAlign w:val="center"/>
          </w:tcPr>
          <w:p w14:paraId="29D93537">
            <w:pPr>
              <w:jc w:val="center"/>
              <w:rPr>
                <w:rFonts w:hint="eastAsia" w:ascii="宋体" w:hAnsi="宋体" w:cs="宋体"/>
                <w:color w:val="auto"/>
                <w:szCs w:val="21"/>
                <w:highlight w:val="none"/>
              </w:rPr>
            </w:pPr>
            <w:r>
              <w:rPr>
                <w:rFonts w:hint="eastAsia" w:ascii="宋体" w:hAnsi="宋体" w:cs="宋体"/>
                <w:color w:val="auto"/>
                <w:szCs w:val="21"/>
                <w:highlight w:val="none"/>
              </w:rPr>
              <w:t>开户银行</w:t>
            </w:r>
          </w:p>
        </w:tc>
        <w:tc>
          <w:tcPr>
            <w:tcW w:w="1918" w:type="dxa"/>
            <w:gridSpan w:val="2"/>
            <w:noWrap w:val="0"/>
            <w:vAlign w:val="center"/>
          </w:tcPr>
          <w:p w14:paraId="2B249392">
            <w:pPr>
              <w:jc w:val="center"/>
              <w:rPr>
                <w:rFonts w:hint="eastAsia" w:ascii="宋体" w:hAnsi="宋体" w:cs="宋体"/>
                <w:color w:val="auto"/>
                <w:szCs w:val="21"/>
                <w:highlight w:val="none"/>
              </w:rPr>
            </w:pPr>
          </w:p>
        </w:tc>
        <w:tc>
          <w:tcPr>
            <w:tcW w:w="1160" w:type="dxa"/>
            <w:vMerge w:val="continue"/>
            <w:noWrap w:val="0"/>
            <w:vAlign w:val="center"/>
          </w:tcPr>
          <w:p w14:paraId="6A15CE39">
            <w:pPr>
              <w:jc w:val="center"/>
              <w:rPr>
                <w:rFonts w:hint="eastAsia" w:ascii="宋体" w:hAnsi="宋体" w:cs="宋体"/>
                <w:color w:val="auto"/>
                <w:szCs w:val="21"/>
                <w:highlight w:val="none"/>
              </w:rPr>
            </w:pPr>
          </w:p>
        </w:tc>
        <w:tc>
          <w:tcPr>
            <w:tcW w:w="1620" w:type="dxa"/>
            <w:gridSpan w:val="3"/>
            <w:noWrap w:val="0"/>
            <w:vAlign w:val="center"/>
          </w:tcPr>
          <w:p w14:paraId="4804146F">
            <w:pPr>
              <w:jc w:val="center"/>
              <w:rPr>
                <w:rFonts w:hint="eastAsia" w:ascii="宋体" w:hAnsi="宋体" w:cs="宋体"/>
                <w:color w:val="auto"/>
                <w:szCs w:val="21"/>
                <w:highlight w:val="none"/>
              </w:rPr>
            </w:pPr>
            <w:r>
              <w:rPr>
                <w:rFonts w:hint="eastAsia" w:ascii="宋体" w:hAnsi="宋体" w:cs="宋体"/>
                <w:color w:val="auto"/>
                <w:szCs w:val="21"/>
                <w:highlight w:val="none"/>
              </w:rPr>
              <w:t>初级职称人员</w:t>
            </w:r>
          </w:p>
        </w:tc>
        <w:tc>
          <w:tcPr>
            <w:tcW w:w="2643" w:type="dxa"/>
            <w:gridSpan w:val="2"/>
            <w:noWrap w:val="0"/>
            <w:vAlign w:val="center"/>
          </w:tcPr>
          <w:p w14:paraId="5ECF284E">
            <w:pPr>
              <w:jc w:val="center"/>
              <w:rPr>
                <w:rFonts w:hint="eastAsia" w:ascii="宋体" w:hAnsi="宋体" w:cs="宋体"/>
                <w:color w:val="auto"/>
                <w:szCs w:val="21"/>
                <w:highlight w:val="none"/>
              </w:rPr>
            </w:pPr>
          </w:p>
        </w:tc>
      </w:tr>
      <w:tr w14:paraId="39AE2A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26" w:type="dxa"/>
            <w:noWrap w:val="0"/>
            <w:vAlign w:val="center"/>
          </w:tcPr>
          <w:p w14:paraId="7A4D8956">
            <w:pPr>
              <w:jc w:val="center"/>
              <w:rPr>
                <w:rFonts w:hint="eastAsia" w:ascii="宋体" w:hAnsi="宋体" w:cs="宋体"/>
                <w:color w:val="auto"/>
                <w:szCs w:val="21"/>
                <w:highlight w:val="none"/>
              </w:rPr>
            </w:pPr>
            <w:r>
              <w:rPr>
                <w:rFonts w:hint="eastAsia" w:ascii="宋体" w:hAnsi="宋体" w:cs="宋体"/>
                <w:color w:val="auto"/>
                <w:szCs w:val="21"/>
                <w:highlight w:val="none"/>
              </w:rPr>
              <w:t>账号</w:t>
            </w:r>
          </w:p>
        </w:tc>
        <w:tc>
          <w:tcPr>
            <w:tcW w:w="1918" w:type="dxa"/>
            <w:gridSpan w:val="2"/>
            <w:noWrap w:val="0"/>
            <w:vAlign w:val="center"/>
          </w:tcPr>
          <w:p w14:paraId="1F0CD57E">
            <w:pPr>
              <w:jc w:val="center"/>
              <w:rPr>
                <w:rFonts w:hint="eastAsia" w:ascii="宋体" w:hAnsi="宋体" w:cs="宋体"/>
                <w:color w:val="auto"/>
                <w:szCs w:val="21"/>
                <w:highlight w:val="none"/>
              </w:rPr>
            </w:pPr>
          </w:p>
        </w:tc>
        <w:tc>
          <w:tcPr>
            <w:tcW w:w="1160" w:type="dxa"/>
            <w:vMerge w:val="continue"/>
            <w:noWrap w:val="0"/>
            <w:vAlign w:val="center"/>
          </w:tcPr>
          <w:p w14:paraId="0DD8B99C">
            <w:pPr>
              <w:jc w:val="center"/>
              <w:rPr>
                <w:rFonts w:hint="eastAsia" w:ascii="宋体" w:hAnsi="宋体" w:cs="宋体"/>
                <w:color w:val="auto"/>
                <w:szCs w:val="21"/>
                <w:highlight w:val="none"/>
              </w:rPr>
            </w:pPr>
          </w:p>
        </w:tc>
        <w:tc>
          <w:tcPr>
            <w:tcW w:w="1620" w:type="dxa"/>
            <w:gridSpan w:val="3"/>
            <w:noWrap w:val="0"/>
            <w:vAlign w:val="center"/>
          </w:tcPr>
          <w:p w14:paraId="44C7AB72">
            <w:pPr>
              <w:jc w:val="center"/>
              <w:rPr>
                <w:rFonts w:hint="eastAsia" w:ascii="宋体" w:hAnsi="宋体" w:cs="宋体"/>
                <w:color w:val="auto"/>
                <w:szCs w:val="21"/>
                <w:highlight w:val="none"/>
              </w:rPr>
            </w:pPr>
            <w:r>
              <w:rPr>
                <w:rFonts w:hint="eastAsia" w:ascii="宋体" w:hAnsi="宋体" w:cs="宋体"/>
                <w:color w:val="auto"/>
                <w:szCs w:val="21"/>
                <w:highlight w:val="none"/>
              </w:rPr>
              <w:t>技  工</w:t>
            </w:r>
          </w:p>
        </w:tc>
        <w:tc>
          <w:tcPr>
            <w:tcW w:w="2643" w:type="dxa"/>
            <w:gridSpan w:val="2"/>
            <w:noWrap w:val="0"/>
            <w:vAlign w:val="center"/>
          </w:tcPr>
          <w:p w14:paraId="23AF90C0">
            <w:pPr>
              <w:jc w:val="center"/>
              <w:rPr>
                <w:rFonts w:hint="eastAsia" w:ascii="宋体" w:hAnsi="宋体" w:cs="宋体"/>
                <w:color w:val="auto"/>
                <w:szCs w:val="21"/>
                <w:highlight w:val="none"/>
              </w:rPr>
            </w:pPr>
          </w:p>
        </w:tc>
      </w:tr>
      <w:tr w14:paraId="438E3A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1" w:hRule="atLeast"/>
          <w:jc w:val="center"/>
        </w:trPr>
        <w:tc>
          <w:tcPr>
            <w:tcW w:w="1626" w:type="dxa"/>
            <w:noWrap w:val="0"/>
            <w:vAlign w:val="center"/>
          </w:tcPr>
          <w:p w14:paraId="6D662EEF">
            <w:pPr>
              <w:jc w:val="center"/>
              <w:rPr>
                <w:rFonts w:hint="eastAsia" w:ascii="宋体" w:hAnsi="宋体" w:cs="宋体"/>
                <w:color w:val="auto"/>
                <w:szCs w:val="21"/>
                <w:highlight w:val="none"/>
              </w:rPr>
            </w:pPr>
            <w:r>
              <w:rPr>
                <w:rFonts w:hint="eastAsia" w:ascii="宋体" w:hAnsi="宋体" w:cs="宋体"/>
                <w:color w:val="auto"/>
                <w:szCs w:val="21"/>
                <w:highlight w:val="none"/>
              </w:rPr>
              <w:t>经营范围</w:t>
            </w:r>
          </w:p>
        </w:tc>
        <w:tc>
          <w:tcPr>
            <w:tcW w:w="7341" w:type="dxa"/>
            <w:gridSpan w:val="8"/>
            <w:noWrap w:val="0"/>
            <w:vAlign w:val="center"/>
          </w:tcPr>
          <w:p w14:paraId="3B808042">
            <w:pPr>
              <w:jc w:val="center"/>
              <w:rPr>
                <w:rFonts w:hint="eastAsia" w:ascii="宋体" w:hAnsi="宋体" w:cs="宋体"/>
                <w:color w:val="auto"/>
                <w:szCs w:val="21"/>
                <w:highlight w:val="none"/>
              </w:rPr>
            </w:pPr>
          </w:p>
        </w:tc>
      </w:tr>
      <w:tr w14:paraId="3D0E36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26" w:type="dxa"/>
            <w:noWrap w:val="0"/>
            <w:vAlign w:val="center"/>
          </w:tcPr>
          <w:p w14:paraId="5F86EC3C">
            <w:pPr>
              <w:jc w:val="center"/>
              <w:rPr>
                <w:rFonts w:hint="eastAsia" w:ascii="宋体" w:hAnsi="宋体" w:cs="宋体"/>
                <w:color w:val="auto"/>
                <w:szCs w:val="21"/>
                <w:highlight w:val="none"/>
              </w:rPr>
            </w:pPr>
            <w:r>
              <w:rPr>
                <w:rFonts w:hint="eastAsia" w:ascii="宋体" w:hAnsi="宋体" w:cs="宋体"/>
                <w:color w:val="auto"/>
                <w:szCs w:val="21"/>
                <w:highlight w:val="none"/>
              </w:rPr>
              <w:t>备注</w:t>
            </w:r>
          </w:p>
        </w:tc>
        <w:tc>
          <w:tcPr>
            <w:tcW w:w="7341" w:type="dxa"/>
            <w:gridSpan w:val="8"/>
            <w:noWrap w:val="0"/>
            <w:vAlign w:val="center"/>
          </w:tcPr>
          <w:p w14:paraId="270ED032">
            <w:pPr>
              <w:jc w:val="center"/>
              <w:rPr>
                <w:rFonts w:hint="eastAsia" w:ascii="宋体" w:hAnsi="宋体" w:cs="宋体"/>
                <w:color w:val="auto"/>
                <w:szCs w:val="21"/>
                <w:highlight w:val="none"/>
              </w:rPr>
            </w:pPr>
          </w:p>
        </w:tc>
      </w:tr>
    </w:tbl>
    <w:p w14:paraId="4C036C37">
      <w:pPr>
        <w:snapToGrid w:val="0"/>
        <w:spacing w:before="50" w:after="120" w:afterLines="50" w:line="440" w:lineRule="exact"/>
        <w:jc w:val="left"/>
        <w:rPr>
          <w:rFonts w:hint="eastAsia" w:ascii="宋体" w:hAnsi="宋体" w:cs="宋体"/>
          <w:b/>
          <w:color w:val="auto"/>
          <w:szCs w:val="21"/>
          <w:highlight w:val="none"/>
        </w:rPr>
      </w:pPr>
      <w:r>
        <w:rPr>
          <w:rFonts w:hint="eastAsia" w:ascii="宋体" w:hAnsi="宋体" w:cs="宋体"/>
          <w:color w:val="auto"/>
          <w:szCs w:val="21"/>
          <w:highlight w:val="none"/>
        </w:rPr>
        <w:t>【备注：附有效的安全生产许可证副本扫描件加盖</w:t>
      </w:r>
      <w:bookmarkStart w:id="104" w:name="_Hlk89190857"/>
      <w:r>
        <w:rPr>
          <w:rFonts w:hint="eastAsia" w:ascii="宋体" w:hAnsi="宋体" w:cs="宋体"/>
          <w:color w:val="auto"/>
          <w:szCs w:val="21"/>
          <w:highlight w:val="none"/>
        </w:rPr>
        <w:t>供应商电子签章</w:t>
      </w:r>
      <w:bookmarkEnd w:id="104"/>
      <w:r>
        <w:rPr>
          <w:rFonts w:hint="eastAsia" w:ascii="宋体" w:hAnsi="宋体" w:cs="宋体"/>
          <w:color w:val="auto"/>
          <w:szCs w:val="21"/>
          <w:highlight w:val="none"/>
        </w:rPr>
        <w:t>】</w:t>
      </w:r>
      <w:r>
        <w:rPr>
          <w:rFonts w:hint="eastAsia" w:ascii="宋体" w:hAnsi="宋体" w:cs="宋体"/>
          <w:color w:val="auto"/>
          <w:szCs w:val="21"/>
          <w:highlight w:val="none"/>
        </w:rPr>
        <w:br w:type="page"/>
      </w:r>
      <w:bookmarkStart w:id="105" w:name="_Hlk132792497"/>
      <w:r>
        <w:rPr>
          <w:rFonts w:hint="eastAsia" w:ascii="宋体" w:hAnsi="宋体" w:cs="宋体"/>
          <w:color w:val="auto"/>
          <w:szCs w:val="21"/>
          <w:highlight w:val="none"/>
          <w:lang w:val="en-US" w:eastAsia="zh-CN"/>
        </w:rPr>
        <w:t>5</w:t>
      </w:r>
      <w:r>
        <w:rPr>
          <w:rFonts w:hint="eastAsia" w:ascii="宋体" w:hAnsi="宋体" w:cs="宋体"/>
          <w:bCs/>
          <w:color w:val="auto"/>
          <w:szCs w:val="21"/>
          <w:highlight w:val="none"/>
        </w:rPr>
        <w:t>．落实政府采购政策需满足的资格要求（按“评审方法及标准” “资格审查表”规定提供）。（</w:t>
      </w:r>
      <w:r>
        <w:rPr>
          <w:rFonts w:hint="eastAsia" w:ascii="宋体" w:hAnsi="宋体" w:cs="宋体"/>
          <w:b/>
          <w:color w:val="auto"/>
          <w:szCs w:val="21"/>
          <w:highlight w:val="none"/>
        </w:rPr>
        <w:t>如采购文件有要求时提供</w:t>
      </w:r>
      <w:r>
        <w:rPr>
          <w:rFonts w:hint="eastAsia" w:ascii="宋体" w:hAnsi="宋体" w:cs="宋体"/>
          <w:bCs/>
          <w:color w:val="auto"/>
          <w:szCs w:val="21"/>
          <w:highlight w:val="none"/>
        </w:rPr>
        <w:t>）</w:t>
      </w:r>
    </w:p>
    <w:bookmarkEnd w:id="105"/>
    <w:p w14:paraId="2081A840">
      <w:pPr>
        <w:rPr>
          <w:rFonts w:hint="eastAsia" w:ascii="宋体" w:hAnsi="宋体" w:cs="宋体"/>
          <w:color w:val="auto"/>
          <w:szCs w:val="21"/>
          <w:highlight w:val="none"/>
        </w:rPr>
      </w:pPr>
      <w:r>
        <w:rPr>
          <w:rFonts w:hint="eastAsia" w:ascii="宋体" w:hAnsi="宋体" w:cs="宋体"/>
          <w:color w:val="auto"/>
          <w:szCs w:val="21"/>
          <w:highlight w:val="none"/>
          <w:lang w:val="en-US" w:eastAsia="zh-CN"/>
        </w:rPr>
        <w:t>5</w:t>
      </w:r>
      <w:r>
        <w:rPr>
          <w:rFonts w:hint="eastAsia" w:ascii="宋体" w:hAnsi="宋体" w:cs="宋体"/>
          <w:color w:val="auto"/>
          <w:szCs w:val="21"/>
          <w:highlight w:val="none"/>
        </w:rPr>
        <w:t>.1</w:t>
      </w:r>
      <w:r>
        <w:rPr>
          <w:rFonts w:hint="eastAsia" w:ascii="宋体" w:hAnsi="宋体" w:cs="宋体"/>
          <w:bCs/>
          <w:color w:val="auto"/>
          <w:szCs w:val="21"/>
          <w:highlight w:val="none"/>
        </w:rPr>
        <w:t>中小企业声明函</w:t>
      </w:r>
      <w:r>
        <w:rPr>
          <w:rFonts w:hint="eastAsia" w:ascii="宋体" w:hAnsi="宋体" w:cs="宋体"/>
          <w:color w:val="auto"/>
          <w:szCs w:val="21"/>
          <w:highlight w:val="none"/>
        </w:rPr>
        <w:t>。</w:t>
      </w:r>
    </w:p>
    <w:p w14:paraId="190DA4C9">
      <w:pPr>
        <w:spacing w:line="360" w:lineRule="auto"/>
        <w:ind w:firstLine="3584" w:firstLineChars="1700"/>
        <w:rPr>
          <w:rFonts w:hint="eastAsia" w:ascii="宋体" w:hAnsi="宋体" w:cs="宋体"/>
          <w:b/>
          <w:color w:val="auto"/>
          <w:szCs w:val="21"/>
          <w:highlight w:val="none"/>
        </w:rPr>
      </w:pPr>
    </w:p>
    <w:p w14:paraId="6E50E99D">
      <w:pPr>
        <w:spacing w:line="360" w:lineRule="auto"/>
        <w:ind w:firstLine="420"/>
        <w:jc w:val="center"/>
        <w:rPr>
          <w:rFonts w:hint="eastAsia" w:ascii="宋体" w:hAnsi="宋体" w:cs="宋体"/>
          <w:b/>
          <w:color w:val="auto"/>
          <w:szCs w:val="21"/>
          <w:highlight w:val="none"/>
        </w:rPr>
      </w:pPr>
      <w:r>
        <w:rPr>
          <w:rFonts w:hint="eastAsia" w:ascii="宋体" w:hAnsi="宋体" w:cs="宋体"/>
          <w:b/>
          <w:color w:val="auto"/>
          <w:szCs w:val="21"/>
          <w:highlight w:val="none"/>
        </w:rPr>
        <w:t>中小企业声明函（工程）</w:t>
      </w:r>
    </w:p>
    <w:p w14:paraId="55DC032E">
      <w:pPr>
        <w:spacing w:line="360" w:lineRule="auto"/>
        <w:ind w:firstLine="420"/>
        <w:rPr>
          <w:rFonts w:hint="eastAsia" w:ascii="宋体" w:hAnsi="宋体" w:cs="宋体"/>
          <w:bCs/>
          <w:color w:val="auto"/>
          <w:szCs w:val="21"/>
          <w:highlight w:val="none"/>
        </w:rPr>
      </w:pPr>
      <w:r>
        <w:rPr>
          <w:rFonts w:hint="eastAsia" w:ascii="宋体" w:hAnsi="宋体" w:cs="宋体"/>
          <w:bCs/>
          <w:color w:val="auto"/>
          <w:szCs w:val="21"/>
          <w:highlight w:val="none"/>
        </w:rPr>
        <w:t>本公司（联合体）郑重声明，根据《政府采购促进中小企业发展管理办法》（财库﹝2020﹞46 号）的规定，本公司（联合体）参加</w:t>
      </w:r>
      <w:r>
        <w:rPr>
          <w:rFonts w:hint="eastAsia" w:ascii="宋体" w:hAnsi="宋体" w:cs="宋体"/>
          <w:bCs/>
          <w:color w:val="auto"/>
          <w:szCs w:val="21"/>
          <w:highlight w:val="none"/>
          <w:u w:val="single"/>
        </w:rPr>
        <w:t>（单位名称）</w:t>
      </w:r>
      <w:r>
        <w:rPr>
          <w:rFonts w:hint="eastAsia" w:ascii="宋体" w:hAnsi="宋体" w:cs="宋体"/>
          <w:bCs/>
          <w:color w:val="auto"/>
          <w:szCs w:val="21"/>
          <w:highlight w:val="none"/>
        </w:rPr>
        <w:t>的</w:t>
      </w:r>
      <w:r>
        <w:rPr>
          <w:rFonts w:hint="eastAsia" w:ascii="宋体" w:hAnsi="宋体" w:cs="宋体"/>
          <w:bCs/>
          <w:color w:val="auto"/>
          <w:szCs w:val="21"/>
          <w:highlight w:val="none"/>
          <w:u w:val="single"/>
        </w:rPr>
        <w:t>（项目名称）</w:t>
      </w:r>
      <w:r>
        <w:rPr>
          <w:rFonts w:hint="eastAsia" w:ascii="宋体" w:hAnsi="宋体" w:cs="宋体"/>
          <w:bCs/>
          <w:color w:val="auto"/>
          <w:szCs w:val="21"/>
          <w:highlight w:val="none"/>
        </w:rPr>
        <w:t>采购活动，</w:t>
      </w:r>
      <w:r>
        <w:rPr>
          <w:rFonts w:hint="eastAsia" w:ascii="宋体" w:hAnsi="宋体" w:cs="宋体"/>
          <w:bCs/>
          <w:color w:val="auto"/>
          <w:szCs w:val="21"/>
          <w:highlight w:val="none"/>
          <w:lang w:eastAsia="zh-CN"/>
        </w:rPr>
        <w:t>工程的施工单位</w:t>
      </w:r>
      <w:r>
        <w:rPr>
          <w:rFonts w:hint="eastAsia" w:ascii="宋体" w:hAnsi="宋体" w:cs="宋体"/>
          <w:bCs/>
          <w:color w:val="auto"/>
          <w:szCs w:val="21"/>
          <w:highlight w:val="none"/>
        </w:rPr>
        <w:t>由符合政策要求的中小企业承接。相关企业（含联合体中的中小企业、签订分包意向协议的中小企业） 的具体情况如下：</w:t>
      </w:r>
    </w:p>
    <w:p w14:paraId="11619EE8">
      <w:pPr>
        <w:spacing w:line="360" w:lineRule="auto"/>
        <w:ind w:firstLine="420"/>
        <w:rPr>
          <w:rFonts w:hint="eastAsia" w:ascii="宋体" w:hAnsi="宋体" w:cs="宋体"/>
          <w:bCs/>
          <w:color w:val="auto"/>
          <w:szCs w:val="21"/>
          <w:highlight w:val="none"/>
        </w:rPr>
      </w:pPr>
      <w:r>
        <w:rPr>
          <w:rFonts w:hint="eastAsia" w:ascii="宋体" w:hAnsi="宋体" w:cs="宋体"/>
          <w:bCs/>
          <w:color w:val="auto"/>
          <w:szCs w:val="21"/>
          <w:highlight w:val="none"/>
        </w:rPr>
        <w:t>1.</w:t>
      </w:r>
      <w:r>
        <w:rPr>
          <w:rFonts w:hint="eastAsia" w:ascii="宋体" w:hAnsi="宋体" w:cs="宋体"/>
          <w:bCs/>
          <w:color w:val="auto"/>
          <w:szCs w:val="21"/>
          <w:highlight w:val="none"/>
          <w:u w:val="single"/>
        </w:rPr>
        <w:t>（标的名称）</w:t>
      </w:r>
      <w:r>
        <w:rPr>
          <w:rFonts w:hint="eastAsia" w:ascii="宋体" w:hAnsi="宋体" w:cs="宋体"/>
          <w:bCs/>
          <w:color w:val="auto"/>
          <w:szCs w:val="21"/>
          <w:highlight w:val="none"/>
        </w:rPr>
        <w:t>，属于</w:t>
      </w:r>
      <w:r>
        <w:rPr>
          <w:rFonts w:hint="eastAsia" w:ascii="宋体" w:hAnsi="宋体" w:cs="宋体"/>
          <w:bCs/>
          <w:color w:val="auto"/>
          <w:szCs w:val="21"/>
          <w:highlight w:val="none"/>
          <w:u w:val="single"/>
        </w:rPr>
        <w:t>（采购文件中明确的所属行业）</w:t>
      </w:r>
      <w:r>
        <w:rPr>
          <w:rFonts w:hint="eastAsia" w:ascii="宋体" w:hAnsi="宋体" w:cs="宋体"/>
          <w:bCs/>
          <w:color w:val="auto"/>
          <w:szCs w:val="21"/>
          <w:highlight w:val="none"/>
        </w:rPr>
        <w:t>行业；承建（承接）企业为</w:t>
      </w:r>
      <w:r>
        <w:rPr>
          <w:rFonts w:hint="eastAsia" w:ascii="宋体" w:hAnsi="宋体" w:cs="宋体"/>
          <w:bCs/>
          <w:color w:val="auto"/>
          <w:szCs w:val="21"/>
          <w:highlight w:val="none"/>
          <w:u w:val="single"/>
        </w:rPr>
        <w:t>（企业名称）</w:t>
      </w:r>
      <w:r>
        <w:rPr>
          <w:rFonts w:hint="eastAsia" w:ascii="宋体" w:hAnsi="宋体" w:cs="宋体"/>
          <w:bCs/>
          <w:color w:val="auto"/>
          <w:szCs w:val="21"/>
          <w:highlight w:val="none"/>
        </w:rPr>
        <w:t>，从业人员</w:t>
      </w:r>
      <w:r>
        <w:rPr>
          <w:rFonts w:hint="eastAsia" w:ascii="宋体" w:hAnsi="宋体" w:cs="宋体"/>
          <w:bCs/>
          <w:color w:val="auto"/>
          <w:szCs w:val="21"/>
          <w:highlight w:val="none"/>
          <w:u w:val="single"/>
        </w:rPr>
        <w:t xml:space="preserve">    </w:t>
      </w:r>
      <w:r>
        <w:rPr>
          <w:rFonts w:hint="eastAsia" w:ascii="宋体" w:hAnsi="宋体" w:cs="宋体"/>
          <w:bCs/>
          <w:color w:val="auto"/>
          <w:szCs w:val="21"/>
          <w:highlight w:val="none"/>
        </w:rPr>
        <w:t>人，营业收入为</w:t>
      </w:r>
      <w:r>
        <w:rPr>
          <w:rFonts w:hint="eastAsia" w:ascii="宋体" w:hAnsi="宋体" w:cs="宋体"/>
          <w:bCs/>
          <w:color w:val="auto"/>
          <w:szCs w:val="21"/>
          <w:highlight w:val="none"/>
          <w:u w:val="single"/>
        </w:rPr>
        <w:t xml:space="preserve">    </w:t>
      </w:r>
      <w:r>
        <w:rPr>
          <w:rFonts w:hint="eastAsia" w:ascii="宋体" w:hAnsi="宋体" w:cs="宋体"/>
          <w:bCs/>
          <w:color w:val="auto"/>
          <w:szCs w:val="21"/>
          <w:highlight w:val="none"/>
        </w:rPr>
        <w:t>万元，资产总额为</w:t>
      </w:r>
      <w:r>
        <w:rPr>
          <w:rFonts w:hint="eastAsia" w:ascii="宋体" w:hAnsi="宋体" w:cs="宋体"/>
          <w:bCs/>
          <w:color w:val="auto"/>
          <w:szCs w:val="21"/>
          <w:highlight w:val="none"/>
          <w:u w:val="single"/>
        </w:rPr>
        <w:t xml:space="preserve">    </w:t>
      </w:r>
      <w:r>
        <w:rPr>
          <w:rFonts w:hint="eastAsia" w:ascii="宋体" w:hAnsi="宋体" w:cs="宋体"/>
          <w:bCs/>
          <w:color w:val="auto"/>
          <w:szCs w:val="21"/>
          <w:highlight w:val="none"/>
        </w:rPr>
        <w:t>万元，属于</w:t>
      </w:r>
      <w:r>
        <w:rPr>
          <w:rFonts w:hint="eastAsia" w:ascii="宋体" w:hAnsi="宋体" w:cs="宋体"/>
          <w:bCs/>
          <w:color w:val="auto"/>
          <w:szCs w:val="21"/>
          <w:highlight w:val="none"/>
          <w:u w:val="single"/>
        </w:rPr>
        <w:t>（中型企业、小型企业、微型企业）</w:t>
      </w:r>
      <w:r>
        <w:rPr>
          <w:rFonts w:hint="eastAsia" w:ascii="宋体" w:hAnsi="宋体" w:cs="宋体"/>
          <w:bCs/>
          <w:color w:val="auto"/>
          <w:szCs w:val="21"/>
          <w:highlight w:val="none"/>
        </w:rPr>
        <w:t>；</w:t>
      </w:r>
    </w:p>
    <w:p w14:paraId="1E5B49DE">
      <w:pPr>
        <w:spacing w:line="360" w:lineRule="auto"/>
        <w:ind w:firstLine="420"/>
        <w:rPr>
          <w:rFonts w:hint="eastAsia" w:ascii="宋体" w:hAnsi="宋体" w:cs="宋体"/>
          <w:bCs/>
          <w:color w:val="auto"/>
          <w:szCs w:val="21"/>
          <w:highlight w:val="none"/>
        </w:rPr>
      </w:pPr>
      <w:r>
        <w:rPr>
          <w:rFonts w:hint="eastAsia" w:ascii="宋体" w:hAnsi="宋体" w:cs="宋体"/>
          <w:bCs/>
          <w:color w:val="auto"/>
          <w:szCs w:val="21"/>
          <w:highlight w:val="none"/>
        </w:rPr>
        <w:t>2.</w:t>
      </w:r>
      <w:r>
        <w:rPr>
          <w:rFonts w:hint="eastAsia" w:ascii="宋体" w:hAnsi="宋体" w:cs="宋体"/>
          <w:bCs/>
          <w:color w:val="auto"/>
          <w:szCs w:val="21"/>
          <w:highlight w:val="none"/>
          <w:u w:val="single"/>
        </w:rPr>
        <w:t>（标的名称）</w:t>
      </w:r>
      <w:r>
        <w:rPr>
          <w:rFonts w:hint="eastAsia" w:ascii="宋体" w:hAnsi="宋体" w:cs="宋体"/>
          <w:bCs/>
          <w:color w:val="auto"/>
          <w:szCs w:val="21"/>
          <w:highlight w:val="none"/>
        </w:rPr>
        <w:t>，属于</w:t>
      </w:r>
      <w:r>
        <w:rPr>
          <w:rFonts w:hint="eastAsia" w:ascii="宋体" w:hAnsi="宋体" w:cs="宋体"/>
          <w:bCs/>
          <w:color w:val="auto"/>
          <w:szCs w:val="21"/>
          <w:highlight w:val="none"/>
          <w:u w:val="single"/>
        </w:rPr>
        <w:t>（采购文件中明确的所属行业）</w:t>
      </w:r>
      <w:r>
        <w:rPr>
          <w:rFonts w:hint="eastAsia" w:ascii="宋体" w:hAnsi="宋体" w:cs="宋体"/>
          <w:bCs/>
          <w:color w:val="auto"/>
          <w:szCs w:val="21"/>
          <w:highlight w:val="none"/>
        </w:rPr>
        <w:t>行业；承建（承接）企业为</w:t>
      </w:r>
      <w:r>
        <w:rPr>
          <w:rFonts w:hint="eastAsia" w:ascii="宋体" w:hAnsi="宋体" w:cs="宋体"/>
          <w:bCs/>
          <w:color w:val="auto"/>
          <w:szCs w:val="21"/>
          <w:highlight w:val="none"/>
          <w:u w:val="single"/>
        </w:rPr>
        <w:t>（企业名称）</w:t>
      </w:r>
      <w:r>
        <w:rPr>
          <w:rFonts w:hint="eastAsia" w:ascii="宋体" w:hAnsi="宋体" w:cs="宋体"/>
          <w:bCs/>
          <w:color w:val="auto"/>
          <w:szCs w:val="21"/>
          <w:highlight w:val="none"/>
        </w:rPr>
        <w:t>，从业人员</w:t>
      </w:r>
      <w:r>
        <w:rPr>
          <w:rFonts w:hint="eastAsia" w:ascii="宋体" w:hAnsi="宋体" w:cs="宋体"/>
          <w:bCs/>
          <w:color w:val="auto"/>
          <w:szCs w:val="21"/>
          <w:highlight w:val="none"/>
          <w:u w:val="single"/>
        </w:rPr>
        <w:t xml:space="preserve">       </w:t>
      </w:r>
      <w:r>
        <w:rPr>
          <w:rFonts w:hint="eastAsia" w:ascii="宋体" w:hAnsi="宋体" w:cs="宋体"/>
          <w:bCs/>
          <w:color w:val="auto"/>
          <w:szCs w:val="21"/>
          <w:highlight w:val="none"/>
        </w:rPr>
        <w:t>人，营业收入为</w:t>
      </w:r>
      <w:r>
        <w:rPr>
          <w:rFonts w:hint="eastAsia" w:ascii="宋体" w:hAnsi="宋体" w:cs="宋体"/>
          <w:bCs/>
          <w:color w:val="auto"/>
          <w:szCs w:val="21"/>
          <w:highlight w:val="none"/>
          <w:u w:val="single"/>
        </w:rPr>
        <w:t xml:space="preserve">     </w:t>
      </w:r>
      <w:r>
        <w:rPr>
          <w:rFonts w:hint="eastAsia" w:ascii="宋体" w:hAnsi="宋体" w:cs="宋体"/>
          <w:bCs/>
          <w:color w:val="auto"/>
          <w:szCs w:val="21"/>
          <w:highlight w:val="none"/>
        </w:rPr>
        <w:t>万元，资产总额为</w:t>
      </w:r>
      <w:r>
        <w:rPr>
          <w:rFonts w:hint="eastAsia" w:ascii="宋体" w:hAnsi="宋体" w:cs="宋体"/>
          <w:bCs/>
          <w:color w:val="auto"/>
          <w:szCs w:val="21"/>
          <w:highlight w:val="none"/>
          <w:u w:val="single"/>
        </w:rPr>
        <w:t xml:space="preserve">       </w:t>
      </w:r>
      <w:r>
        <w:rPr>
          <w:rFonts w:hint="eastAsia" w:ascii="宋体" w:hAnsi="宋体" w:cs="宋体"/>
          <w:bCs/>
          <w:color w:val="auto"/>
          <w:szCs w:val="21"/>
          <w:highlight w:val="none"/>
        </w:rPr>
        <w:t>万元，属于</w:t>
      </w:r>
      <w:r>
        <w:rPr>
          <w:rFonts w:hint="eastAsia" w:ascii="宋体" w:hAnsi="宋体" w:cs="宋体"/>
          <w:bCs/>
          <w:color w:val="auto"/>
          <w:szCs w:val="21"/>
          <w:highlight w:val="none"/>
          <w:u w:val="single"/>
        </w:rPr>
        <w:t>（中型企业、小型企业、微型企业）</w:t>
      </w:r>
      <w:r>
        <w:rPr>
          <w:rFonts w:hint="eastAsia" w:ascii="宋体" w:hAnsi="宋体" w:cs="宋体"/>
          <w:bCs/>
          <w:color w:val="auto"/>
          <w:szCs w:val="21"/>
          <w:highlight w:val="none"/>
        </w:rPr>
        <w:t>；</w:t>
      </w:r>
    </w:p>
    <w:p w14:paraId="69487903">
      <w:pPr>
        <w:spacing w:line="360" w:lineRule="auto"/>
        <w:ind w:firstLine="420"/>
        <w:rPr>
          <w:rFonts w:hint="eastAsia" w:ascii="宋体" w:hAnsi="宋体" w:cs="宋体"/>
          <w:bCs/>
          <w:color w:val="auto"/>
          <w:szCs w:val="21"/>
          <w:highlight w:val="none"/>
        </w:rPr>
      </w:pPr>
      <w:r>
        <w:rPr>
          <w:rFonts w:hint="eastAsia" w:ascii="宋体" w:hAnsi="宋体" w:cs="宋体"/>
          <w:bCs/>
          <w:color w:val="auto"/>
          <w:szCs w:val="21"/>
          <w:highlight w:val="none"/>
        </w:rPr>
        <w:t>……</w:t>
      </w:r>
    </w:p>
    <w:p w14:paraId="2CDAF9FC">
      <w:pPr>
        <w:spacing w:line="360" w:lineRule="auto"/>
        <w:ind w:firstLine="420"/>
        <w:rPr>
          <w:rFonts w:hint="eastAsia" w:ascii="宋体" w:hAnsi="宋体" w:cs="宋体"/>
          <w:bCs/>
          <w:color w:val="auto"/>
          <w:szCs w:val="21"/>
          <w:highlight w:val="none"/>
        </w:rPr>
      </w:pPr>
      <w:r>
        <w:rPr>
          <w:rFonts w:hint="eastAsia" w:ascii="宋体" w:hAnsi="宋体" w:cs="宋体"/>
          <w:bCs/>
          <w:color w:val="auto"/>
          <w:szCs w:val="21"/>
          <w:highlight w:val="none"/>
        </w:rPr>
        <w:t>以上企业，不属于大企业的分支机构，不存在控股股东为大企业的情形，也不存在与大企业的负责人为同一人的情形。</w:t>
      </w:r>
    </w:p>
    <w:p w14:paraId="5D859C55">
      <w:pPr>
        <w:spacing w:line="360" w:lineRule="auto"/>
        <w:ind w:firstLine="420"/>
        <w:rPr>
          <w:rFonts w:hint="eastAsia" w:ascii="宋体" w:hAnsi="宋体" w:cs="宋体"/>
          <w:bCs/>
          <w:color w:val="auto"/>
          <w:szCs w:val="21"/>
          <w:highlight w:val="none"/>
        </w:rPr>
      </w:pPr>
      <w:r>
        <w:rPr>
          <w:rFonts w:hint="eastAsia" w:ascii="宋体" w:hAnsi="宋体" w:cs="宋体"/>
          <w:bCs/>
          <w:color w:val="auto"/>
          <w:szCs w:val="21"/>
          <w:highlight w:val="none"/>
        </w:rPr>
        <w:t>本企业对上述声明内容的真实性负责。如有虚假，将依法承担相应责任。</w:t>
      </w:r>
    </w:p>
    <w:p w14:paraId="05D6F2B4">
      <w:pPr>
        <w:spacing w:line="360" w:lineRule="auto"/>
        <w:ind w:firstLine="3150" w:firstLineChars="1500"/>
        <w:rPr>
          <w:rFonts w:hint="eastAsia" w:ascii="宋体" w:hAnsi="宋体" w:cs="宋体"/>
          <w:bCs/>
          <w:color w:val="auto"/>
          <w:szCs w:val="21"/>
          <w:highlight w:val="none"/>
        </w:rPr>
      </w:pPr>
      <w:r>
        <w:rPr>
          <w:rFonts w:hint="eastAsia" w:ascii="宋体" w:hAnsi="宋体" w:cs="宋体"/>
          <w:bCs/>
          <w:color w:val="auto"/>
          <w:szCs w:val="21"/>
          <w:highlight w:val="none"/>
        </w:rPr>
        <w:t>企业名称（</w:t>
      </w:r>
      <w:r>
        <w:rPr>
          <w:rFonts w:hint="eastAsia" w:ascii="宋体" w:hAnsi="宋体" w:cs="宋体"/>
          <w:color w:val="auto"/>
          <w:szCs w:val="21"/>
          <w:highlight w:val="none"/>
        </w:rPr>
        <w:t>电子签章</w:t>
      </w:r>
      <w:r>
        <w:rPr>
          <w:rFonts w:hint="eastAsia" w:ascii="宋体" w:hAnsi="宋体" w:cs="宋体"/>
          <w:bCs/>
          <w:color w:val="auto"/>
          <w:szCs w:val="21"/>
          <w:highlight w:val="none"/>
        </w:rPr>
        <w:t>）：日期：</w:t>
      </w:r>
    </w:p>
    <w:p w14:paraId="036AE402">
      <w:pPr>
        <w:spacing w:line="360" w:lineRule="auto"/>
        <w:jc w:val="left"/>
        <w:rPr>
          <w:rFonts w:hint="eastAsia" w:ascii="宋体" w:hAnsi="宋体" w:cs="宋体"/>
          <w:bCs/>
          <w:color w:val="auto"/>
          <w:szCs w:val="21"/>
          <w:highlight w:val="none"/>
        </w:rPr>
      </w:pPr>
      <w:r>
        <w:rPr>
          <w:rFonts w:hint="eastAsia" w:ascii="宋体" w:hAnsi="宋体" w:cs="宋体"/>
          <w:bCs/>
          <w:color w:val="auto"/>
          <w:szCs w:val="21"/>
          <w:highlight w:val="none"/>
        </w:rPr>
        <w:t>注：</w:t>
      </w:r>
    </w:p>
    <w:p w14:paraId="22250478">
      <w:pPr>
        <w:spacing w:line="360" w:lineRule="auto"/>
        <w:jc w:val="left"/>
        <w:rPr>
          <w:rFonts w:hint="eastAsia" w:ascii="宋体" w:hAnsi="宋体" w:cs="宋体"/>
          <w:bCs/>
          <w:color w:val="auto"/>
          <w:szCs w:val="21"/>
          <w:highlight w:val="none"/>
        </w:rPr>
      </w:pPr>
      <w:r>
        <w:rPr>
          <w:rFonts w:hint="eastAsia" w:ascii="宋体" w:hAnsi="宋体" w:cs="宋体"/>
          <w:bCs/>
          <w:color w:val="auto"/>
          <w:szCs w:val="21"/>
          <w:highlight w:val="none"/>
        </w:rPr>
        <w:t>（1）标的名称按照第二章采购需求中的名称填写，</w:t>
      </w:r>
      <w:r>
        <w:rPr>
          <w:rFonts w:hint="eastAsia" w:ascii="宋体" w:hAnsi="宋体" w:cs="宋体"/>
          <w:color w:val="auto"/>
          <w:szCs w:val="21"/>
          <w:highlight w:val="none"/>
        </w:rPr>
        <w:t>所属行业标明“/”的</w:t>
      </w:r>
      <w:r>
        <w:rPr>
          <w:rFonts w:hint="eastAsia" w:ascii="宋体" w:hAnsi="宋体" w:cs="宋体"/>
          <w:bCs/>
          <w:color w:val="auto"/>
          <w:szCs w:val="21"/>
          <w:highlight w:val="none"/>
        </w:rPr>
        <w:t>，无需在上表填写。</w:t>
      </w:r>
    </w:p>
    <w:p w14:paraId="5331F8D6">
      <w:pPr>
        <w:spacing w:line="360" w:lineRule="auto"/>
        <w:jc w:val="left"/>
        <w:rPr>
          <w:rFonts w:hint="eastAsia" w:ascii="宋体" w:hAnsi="宋体" w:cs="宋体"/>
          <w:bCs/>
          <w:color w:val="auto"/>
          <w:szCs w:val="21"/>
          <w:highlight w:val="none"/>
        </w:rPr>
      </w:pPr>
      <w:r>
        <w:rPr>
          <w:rFonts w:hint="eastAsia" w:ascii="宋体" w:hAnsi="宋体" w:cs="宋体"/>
          <w:bCs/>
          <w:color w:val="auto"/>
          <w:szCs w:val="21"/>
          <w:highlight w:val="none"/>
        </w:rPr>
        <w:t>（2）如供应商为联合体或分包的，声明函中“项目名称”应填写联合体中小微企业承担的具体内容或者小微企业具体分包内容。</w:t>
      </w:r>
    </w:p>
    <w:p w14:paraId="0E096C48">
      <w:pPr>
        <w:spacing w:line="360" w:lineRule="auto"/>
        <w:jc w:val="left"/>
        <w:rPr>
          <w:rFonts w:hint="eastAsia" w:ascii="宋体" w:hAnsi="宋体" w:cs="宋体"/>
          <w:bCs/>
          <w:color w:val="auto"/>
          <w:szCs w:val="21"/>
          <w:highlight w:val="none"/>
        </w:rPr>
      </w:pPr>
      <w:r>
        <w:rPr>
          <w:rFonts w:hint="eastAsia" w:ascii="宋体" w:hAnsi="宋体" w:cs="宋体"/>
          <w:bCs/>
          <w:color w:val="auto"/>
          <w:szCs w:val="21"/>
          <w:highlight w:val="none"/>
        </w:rPr>
        <w:t>（3）从业人员、营业收入、资产总额填报上一年度数据，无上一年度数据的新成立企业参照国务院批准的中小企业划分标准，根据企业自身情况如实判断。</w:t>
      </w:r>
    </w:p>
    <w:p w14:paraId="5C088DBF">
      <w:pPr>
        <w:spacing w:line="360" w:lineRule="auto"/>
        <w:jc w:val="left"/>
        <w:rPr>
          <w:rFonts w:hint="eastAsia" w:ascii="宋体" w:hAnsi="宋体" w:cs="宋体"/>
          <w:bCs/>
          <w:color w:val="auto"/>
          <w:szCs w:val="21"/>
          <w:highlight w:val="none"/>
        </w:rPr>
      </w:pPr>
      <w:r>
        <w:rPr>
          <w:rFonts w:hint="eastAsia" w:ascii="宋体" w:hAnsi="宋体" w:cs="宋体"/>
          <w:bCs/>
          <w:color w:val="auto"/>
          <w:szCs w:val="21"/>
          <w:highlight w:val="none"/>
        </w:rPr>
        <w:t>（4）根据工业和信息化部对“从业人员”定义的答复，《民法典》、《公司法》等法律规定，分公司不具有法人资格，其民事责任由总公司承担。企业划型时，应将分公司的从业人员、营业收入、资产总额等指标数据纳入合并计算。</w:t>
      </w:r>
    </w:p>
    <w:p w14:paraId="36B8AA7F">
      <w:pPr>
        <w:spacing w:line="360" w:lineRule="auto"/>
        <w:jc w:val="left"/>
        <w:rPr>
          <w:rFonts w:hint="eastAsia" w:ascii="宋体" w:hAnsi="宋体" w:cs="宋体"/>
          <w:bCs/>
          <w:color w:val="auto"/>
          <w:szCs w:val="21"/>
          <w:highlight w:val="none"/>
        </w:rPr>
      </w:pPr>
      <w:r>
        <w:rPr>
          <w:rFonts w:hint="eastAsia" w:ascii="宋体" w:hAnsi="宋体" w:cs="宋体"/>
          <w:bCs/>
          <w:color w:val="auto"/>
          <w:szCs w:val="21"/>
          <w:highlight w:val="none"/>
        </w:rPr>
        <w:t>（5）根据国际统计局《劳动工资统计报表制度》，从业人员数是指本单位工作，并取得工资活其他形式劳动报酬的人员数，是在岗职工、劳务派遣人员及其他从业人员之和。</w:t>
      </w:r>
    </w:p>
    <w:p w14:paraId="2AB05541">
      <w:pPr>
        <w:spacing w:line="360" w:lineRule="auto"/>
        <w:jc w:val="left"/>
        <w:rPr>
          <w:rFonts w:hint="eastAsia" w:ascii="宋体" w:hAnsi="宋体" w:cs="宋体"/>
          <w:bCs/>
          <w:color w:val="auto"/>
          <w:szCs w:val="21"/>
          <w:highlight w:val="none"/>
        </w:rPr>
      </w:pPr>
      <w:r>
        <w:rPr>
          <w:rFonts w:hint="eastAsia" w:ascii="宋体" w:hAnsi="宋体" w:cs="宋体"/>
          <w:bCs/>
          <w:color w:val="auto"/>
          <w:szCs w:val="21"/>
          <w:highlight w:val="none"/>
        </w:rPr>
        <w:t>（6）本声明函由供应商填写，供应商应按中小企业划分标准《关于印发中小企业划型标准规定的通知》（工信部联企业〔2011〕300号</w:t>
      </w:r>
      <w:r>
        <w:rPr>
          <w:rFonts w:hint="eastAsia" w:ascii="宋体" w:hAnsi="宋体" w:cs="宋体"/>
          <w:color w:val="auto"/>
          <w:szCs w:val="21"/>
          <w:highlight w:val="none"/>
        </w:rPr>
        <w:t>以及《金融业企业划型标准规定》（银发〔2015〕309号）</w:t>
      </w:r>
      <w:r>
        <w:rPr>
          <w:rFonts w:hint="eastAsia" w:ascii="宋体" w:hAnsi="宋体" w:cs="宋体"/>
          <w:bCs/>
          <w:color w:val="auto"/>
          <w:szCs w:val="21"/>
          <w:highlight w:val="none"/>
        </w:rPr>
        <w:t>）判断是否为中小企业。</w:t>
      </w:r>
    </w:p>
    <w:p w14:paraId="2C692510">
      <w:pPr>
        <w:spacing w:line="360" w:lineRule="auto"/>
        <w:jc w:val="left"/>
        <w:rPr>
          <w:rFonts w:hint="eastAsia" w:ascii="宋体" w:hAnsi="宋体" w:cs="宋体"/>
          <w:bCs/>
          <w:color w:val="auto"/>
          <w:szCs w:val="21"/>
          <w:highlight w:val="none"/>
        </w:rPr>
      </w:pPr>
      <w:r>
        <w:rPr>
          <w:rFonts w:hint="eastAsia" w:ascii="宋体" w:hAnsi="宋体" w:cs="宋体"/>
          <w:bCs/>
          <w:color w:val="auto"/>
          <w:szCs w:val="21"/>
          <w:highlight w:val="none"/>
        </w:rPr>
        <w:t>（7）供应商对《中小企业声明函》的真实性负责，如有虚假则需承担不利后果。依法享受中小企业优惠政策的，采购人或采购代理机构在公告成交结果时，同时公告其《中小企业声明函》，接受社会监督。</w:t>
      </w:r>
    </w:p>
    <w:p w14:paraId="37C6756D">
      <w:pPr>
        <w:spacing w:line="360" w:lineRule="auto"/>
        <w:jc w:val="left"/>
        <w:rPr>
          <w:rFonts w:hint="eastAsia" w:ascii="宋体" w:hAnsi="宋体" w:cs="宋体"/>
          <w:bCs/>
          <w:color w:val="auto"/>
          <w:szCs w:val="21"/>
          <w:highlight w:val="none"/>
        </w:rPr>
      </w:pPr>
      <w:r>
        <w:rPr>
          <w:rFonts w:hint="eastAsia" w:ascii="宋体" w:hAnsi="宋体" w:cs="宋体"/>
          <w:bCs/>
          <w:color w:val="auto"/>
          <w:szCs w:val="21"/>
          <w:highlight w:val="none"/>
        </w:rPr>
        <w:t>（8）上述企业属于大企业的分支机构或控股股东为大企业或与大企业的负责人为同一人的，不得享受价格扣除优惠政策。接受分包的小微企业与分包企业之间存在直接控股、管理关系的，不得享受价格扣除优惠政策。</w:t>
      </w:r>
    </w:p>
    <w:p w14:paraId="6DDA994D">
      <w:pPr>
        <w:snapToGrid w:val="0"/>
        <w:spacing w:before="50" w:after="120" w:afterLines="50"/>
        <w:jc w:val="left"/>
        <w:rPr>
          <w:rFonts w:hint="eastAsia" w:ascii="宋体" w:hAnsi="宋体" w:cs="宋体"/>
          <w:color w:val="auto"/>
          <w:szCs w:val="21"/>
          <w:highlight w:val="none"/>
        </w:rPr>
      </w:pPr>
    </w:p>
    <w:p w14:paraId="6AC07BF9">
      <w:pPr>
        <w:snapToGrid w:val="0"/>
        <w:spacing w:before="50" w:after="120" w:afterLines="50"/>
        <w:jc w:val="left"/>
        <w:rPr>
          <w:rFonts w:hint="eastAsia" w:ascii="宋体" w:hAnsi="宋体" w:cs="宋体"/>
          <w:color w:val="auto"/>
          <w:szCs w:val="21"/>
          <w:highlight w:val="none"/>
        </w:rPr>
      </w:pPr>
      <w:r>
        <w:rPr>
          <w:rFonts w:hint="eastAsia" w:ascii="宋体" w:hAnsi="宋体" w:cs="宋体"/>
          <w:color w:val="auto"/>
          <w:szCs w:val="21"/>
          <w:highlight w:val="none"/>
          <w:lang w:val="en-US" w:eastAsia="zh-CN"/>
        </w:rPr>
        <w:t>5</w:t>
      </w:r>
      <w:r>
        <w:rPr>
          <w:rFonts w:hint="eastAsia" w:ascii="宋体" w:hAnsi="宋体" w:cs="宋体"/>
          <w:color w:val="auto"/>
          <w:szCs w:val="21"/>
          <w:highlight w:val="none"/>
        </w:rPr>
        <w:t>.2监狱企业须提供最新一期《XX省监狱企业产品目录》或其他监狱企业证明材料。（非监狱企业无需提供）</w:t>
      </w:r>
    </w:p>
    <w:p w14:paraId="419848DC">
      <w:pPr>
        <w:snapToGrid w:val="0"/>
        <w:spacing w:before="50" w:after="120" w:afterLines="50"/>
        <w:jc w:val="left"/>
        <w:rPr>
          <w:rFonts w:hint="eastAsia" w:ascii="宋体" w:hAnsi="宋体" w:cs="宋体"/>
          <w:color w:val="auto"/>
          <w:szCs w:val="21"/>
          <w:highlight w:val="none"/>
        </w:rPr>
      </w:pPr>
    </w:p>
    <w:p w14:paraId="6F0C2451">
      <w:pPr>
        <w:widowControl/>
        <w:jc w:val="left"/>
        <w:rPr>
          <w:rFonts w:hint="eastAsia" w:ascii="宋体" w:hAnsi="宋体" w:cs="宋体"/>
          <w:color w:val="auto"/>
          <w:szCs w:val="21"/>
          <w:highlight w:val="none"/>
        </w:rPr>
      </w:pPr>
      <w:r>
        <w:rPr>
          <w:rFonts w:hint="eastAsia" w:ascii="宋体" w:hAnsi="宋体" w:cs="宋体"/>
          <w:color w:val="auto"/>
          <w:szCs w:val="21"/>
          <w:highlight w:val="none"/>
          <w:lang w:val="en-US" w:eastAsia="zh-CN"/>
        </w:rPr>
        <w:t>5</w:t>
      </w:r>
      <w:r>
        <w:rPr>
          <w:rFonts w:hint="eastAsia" w:ascii="宋体" w:hAnsi="宋体" w:cs="宋体"/>
          <w:color w:val="auto"/>
          <w:szCs w:val="21"/>
          <w:highlight w:val="none"/>
        </w:rPr>
        <w:t>.3</w:t>
      </w:r>
      <w:r>
        <w:rPr>
          <w:rFonts w:hint="eastAsia" w:ascii="宋体" w:hAnsi="宋体" w:cs="宋体"/>
          <w:color w:val="auto"/>
          <w:highlight w:val="none"/>
        </w:rPr>
        <w:t>残疾人福利性单位须提供《残疾人福利性单位声明函》，格式如下。</w:t>
      </w:r>
      <w:r>
        <w:rPr>
          <w:rFonts w:hint="eastAsia" w:ascii="宋体" w:hAnsi="宋体" w:cs="宋体"/>
          <w:color w:val="auto"/>
          <w:szCs w:val="21"/>
          <w:highlight w:val="none"/>
        </w:rPr>
        <w:t>（非残疾人福利性单位无需提供）</w:t>
      </w:r>
    </w:p>
    <w:p w14:paraId="66B5E16F">
      <w:pPr>
        <w:spacing w:line="360" w:lineRule="auto"/>
        <w:jc w:val="center"/>
        <w:rPr>
          <w:rFonts w:hint="eastAsia" w:ascii="宋体" w:hAnsi="宋体" w:cs="宋体"/>
          <w:b/>
          <w:color w:val="auto"/>
          <w:szCs w:val="21"/>
          <w:highlight w:val="none"/>
        </w:rPr>
      </w:pPr>
    </w:p>
    <w:p w14:paraId="3C88B66F">
      <w:pPr>
        <w:spacing w:line="360" w:lineRule="auto"/>
        <w:jc w:val="center"/>
        <w:rPr>
          <w:rFonts w:hint="eastAsia" w:ascii="宋体" w:hAnsi="宋体" w:cs="宋体"/>
          <w:b/>
          <w:color w:val="auto"/>
          <w:szCs w:val="21"/>
          <w:highlight w:val="none"/>
        </w:rPr>
      </w:pPr>
      <w:r>
        <w:rPr>
          <w:rFonts w:hint="eastAsia" w:ascii="宋体" w:hAnsi="宋体" w:cs="宋体"/>
          <w:b/>
          <w:color w:val="auto"/>
          <w:szCs w:val="21"/>
          <w:highlight w:val="none"/>
        </w:rPr>
        <w:t>残疾人福利性单位声明函</w:t>
      </w:r>
    </w:p>
    <w:p w14:paraId="0B70CDCF">
      <w:pPr>
        <w:spacing w:line="360" w:lineRule="auto"/>
        <w:ind w:firstLine="420"/>
        <w:jc w:val="left"/>
        <w:rPr>
          <w:rFonts w:hint="eastAsia" w:ascii="宋体" w:hAnsi="宋体" w:cs="宋体"/>
          <w:color w:val="auto"/>
          <w:szCs w:val="21"/>
          <w:highlight w:val="none"/>
        </w:rPr>
      </w:pPr>
      <w:r>
        <w:rPr>
          <w:rFonts w:hint="eastAsia" w:ascii="宋体" w:hAnsi="宋体" w:cs="宋体"/>
          <w:color w:val="auto"/>
          <w:szCs w:val="21"/>
          <w:highlight w:val="none"/>
        </w:rPr>
        <w:t>本单位郑重声明，根据《财政部 民政部 中国残疾人联合会关于促进残疾人就业政府采购政策的通知》（财库〔2017〕141号）的规定，本单位为符合条件的残疾人福利性单位，且本单位参加</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单位的</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项目采购活动提供本单位制造的货物（由本单位承担工程/提供服务），或者提供其他残疾人福利性单位制造的货物（不包括使用非残疾人福利性单位注册商标的货物）。</w:t>
      </w:r>
    </w:p>
    <w:p w14:paraId="6AEA42C2">
      <w:pPr>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rPr>
        <w:t>本单位对上述声明的真实性负责。如有虚假，将依法承担相应责任。</w:t>
      </w:r>
    </w:p>
    <w:p w14:paraId="364D5DBC">
      <w:pPr>
        <w:spacing w:line="360" w:lineRule="auto"/>
        <w:ind w:firstLine="420"/>
        <w:jc w:val="right"/>
        <w:rPr>
          <w:rFonts w:hint="eastAsia" w:ascii="宋体" w:hAnsi="宋体" w:cs="宋体"/>
          <w:color w:val="auto"/>
          <w:spacing w:val="6"/>
          <w:szCs w:val="21"/>
          <w:highlight w:val="none"/>
        </w:rPr>
      </w:pPr>
      <w:r>
        <w:rPr>
          <w:rFonts w:hint="eastAsia" w:ascii="宋体" w:hAnsi="宋体" w:cs="宋体"/>
          <w:color w:val="auto"/>
          <w:spacing w:val="6"/>
          <w:sz w:val="30"/>
          <w:szCs w:val="30"/>
          <w:highlight w:val="none"/>
        </w:rPr>
        <w:t xml:space="preserve"> </w:t>
      </w:r>
      <w:r>
        <w:rPr>
          <w:rFonts w:hint="eastAsia" w:ascii="宋体" w:hAnsi="宋体" w:cs="宋体"/>
          <w:color w:val="auto"/>
          <w:spacing w:val="6"/>
          <w:szCs w:val="21"/>
          <w:highlight w:val="none"/>
        </w:rPr>
        <w:t xml:space="preserve">                                             单位名称</w:t>
      </w:r>
      <w:r>
        <w:rPr>
          <w:rFonts w:hint="eastAsia" w:ascii="宋体" w:hAnsi="宋体" w:cs="宋体"/>
          <w:color w:val="auto"/>
          <w:szCs w:val="21"/>
          <w:highlight w:val="none"/>
        </w:rPr>
        <w:t>（电子签章）</w:t>
      </w:r>
      <w:r>
        <w:rPr>
          <w:rFonts w:hint="eastAsia" w:ascii="宋体" w:hAnsi="宋体" w:cs="宋体"/>
          <w:color w:val="auto"/>
          <w:spacing w:val="6"/>
          <w:szCs w:val="21"/>
          <w:highlight w:val="none"/>
        </w:rPr>
        <w:t xml:space="preserve">：          </w:t>
      </w:r>
    </w:p>
    <w:p w14:paraId="24252F02">
      <w:pPr>
        <w:spacing w:line="360" w:lineRule="auto"/>
        <w:ind w:firstLine="420"/>
        <w:jc w:val="right"/>
        <w:rPr>
          <w:rFonts w:hint="eastAsia" w:ascii="宋体" w:hAnsi="宋体" w:cs="宋体"/>
          <w:color w:val="auto"/>
          <w:spacing w:val="6"/>
          <w:szCs w:val="21"/>
          <w:highlight w:val="none"/>
        </w:rPr>
      </w:pPr>
      <w:r>
        <w:rPr>
          <w:rFonts w:hint="eastAsia" w:ascii="宋体" w:hAnsi="宋体" w:cs="宋体"/>
          <w:color w:val="auto"/>
          <w:spacing w:val="6"/>
          <w:szCs w:val="21"/>
          <w:highlight w:val="none"/>
        </w:rPr>
        <w:t xml:space="preserve">                                                       日  期：</w:t>
      </w:r>
    </w:p>
    <w:p w14:paraId="3E71C3C6">
      <w:pPr>
        <w:spacing w:line="360" w:lineRule="auto"/>
        <w:rPr>
          <w:rFonts w:hint="eastAsia" w:ascii="宋体" w:hAnsi="宋体" w:cs="宋体"/>
          <w:color w:val="auto"/>
          <w:szCs w:val="21"/>
          <w:highlight w:val="none"/>
        </w:rPr>
      </w:pPr>
    </w:p>
    <w:p w14:paraId="602FB8B3">
      <w:pPr>
        <w:snapToGrid w:val="0"/>
        <w:spacing w:before="50" w:after="120" w:afterLines="50"/>
        <w:jc w:val="left"/>
        <w:rPr>
          <w:rFonts w:hint="eastAsia" w:ascii="宋体" w:hAnsi="宋体" w:cs="宋体"/>
          <w:color w:val="auto"/>
          <w:szCs w:val="21"/>
          <w:highlight w:val="none"/>
        </w:rPr>
      </w:pPr>
    </w:p>
    <w:p w14:paraId="727CC085">
      <w:pPr>
        <w:snapToGrid w:val="0"/>
        <w:spacing w:before="50" w:after="120" w:afterLines="50" w:line="440" w:lineRule="exact"/>
        <w:jc w:val="left"/>
        <w:rPr>
          <w:rFonts w:hint="eastAsia" w:ascii="宋体" w:hAnsi="宋体" w:cs="宋体"/>
          <w:b/>
          <w:color w:val="auto"/>
          <w:highlight w:val="none"/>
        </w:rPr>
      </w:pPr>
      <w:r>
        <w:rPr>
          <w:rFonts w:hint="eastAsia" w:ascii="宋体" w:hAnsi="宋体" w:cs="宋体"/>
          <w:color w:val="auto"/>
          <w:szCs w:val="21"/>
          <w:highlight w:val="none"/>
        </w:rPr>
        <w:br w:type="page"/>
      </w:r>
      <w:r>
        <w:rPr>
          <w:rFonts w:hint="eastAsia" w:ascii="宋体" w:hAnsi="宋体" w:cs="宋体"/>
          <w:color w:val="auto"/>
          <w:szCs w:val="21"/>
          <w:highlight w:val="none"/>
          <w:lang w:val="en-US" w:eastAsia="zh-CN"/>
        </w:rPr>
        <w:t>6</w:t>
      </w:r>
      <w:r>
        <w:rPr>
          <w:rFonts w:hint="eastAsia" w:ascii="宋体" w:hAnsi="宋体" w:cs="宋体"/>
          <w:color w:val="auto"/>
          <w:highlight w:val="none"/>
        </w:rPr>
        <w:t>．满足供应商特定资格条件的其他证明材料加盖</w:t>
      </w:r>
      <w:r>
        <w:rPr>
          <w:rFonts w:hint="eastAsia" w:ascii="宋体" w:hAnsi="宋体" w:cs="宋体"/>
          <w:color w:val="auto"/>
          <w:szCs w:val="21"/>
          <w:highlight w:val="none"/>
        </w:rPr>
        <w:t>供应商电子签章</w:t>
      </w:r>
      <w:r>
        <w:rPr>
          <w:rFonts w:hint="eastAsia" w:ascii="宋体" w:hAnsi="宋体" w:cs="宋体"/>
          <w:color w:val="auto"/>
          <w:highlight w:val="none"/>
        </w:rPr>
        <w:t>（按“评审方法及标准” “</w:t>
      </w:r>
      <w:r>
        <w:rPr>
          <w:rFonts w:hint="eastAsia" w:ascii="宋体" w:hAnsi="宋体" w:cs="宋体"/>
          <w:color w:val="auto"/>
          <w:szCs w:val="21"/>
          <w:highlight w:val="none"/>
        </w:rPr>
        <w:t>资格审查表</w:t>
      </w:r>
      <w:r>
        <w:rPr>
          <w:rFonts w:hint="eastAsia" w:ascii="宋体" w:hAnsi="宋体" w:cs="宋体"/>
          <w:color w:val="auto"/>
          <w:highlight w:val="none"/>
        </w:rPr>
        <w:t>”规定提供）。</w:t>
      </w:r>
      <w:r>
        <w:rPr>
          <w:rFonts w:hint="eastAsia" w:ascii="宋体" w:hAnsi="宋体" w:cs="宋体"/>
          <w:b/>
          <w:color w:val="auto"/>
          <w:highlight w:val="none"/>
        </w:rPr>
        <w:t>（如采购文件有要求时提供）</w:t>
      </w:r>
    </w:p>
    <w:p w14:paraId="4C032C8A">
      <w:pPr>
        <w:pStyle w:val="200"/>
        <w:jc w:val="left"/>
        <w:rPr>
          <w:rFonts w:hint="eastAsia" w:ascii="宋体" w:hAnsi="宋体" w:cs="宋体"/>
          <w:color w:val="auto"/>
          <w:highlight w:val="none"/>
        </w:rPr>
      </w:pPr>
    </w:p>
    <w:p w14:paraId="756C7890">
      <w:pPr>
        <w:pStyle w:val="200"/>
        <w:jc w:val="left"/>
        <w:rPr>
          <w:rFonts w:hint="eastAsia" w:ascii="宋体" w:hAnsi="宋体" w:cs="宋体"/>
          <w:color w:val="auto"/>
          <w:highlight w:val="none"/>
        </w:rPr>
      </w:pPr>
      <w:r>
        <w:rPr>
          <w:rFonts w:hint="eastAsia" w:ascii="宋体" w:hAnsi="宋体" w:cs="宋体"/>
          <w:color w:val="auto"/>
          <w:highlight w:val="none"/>
          <w:lang w:val="en-US" w:eastAsia="zh-CN"/>
        </w:rPr>
        <w:t>6</w:t>
      </w:r>
      <w:r>
        <w:rPr>
          <w:rFonts w:hint="eastAsia" w:ascii="宋体" w:hAnsi="宋体" w:cs="宋体"/>
          <w:color w:val="auto"/>
          <w:highlight w:val="none"/>
        </w:rPr>
        <w:t>.1有效的企业资质证书副本</w:t>
      </w:r>
      <w:r>
        <w:rPr>
          <w:rFonts w:hint="eastAsia" w:ascii="宋体" w:hAnsi="宋体" w:cs="宋体"/>
          <w:color w:val="auto"/>
          <w:szCs w:val="21"/>
          <w:highlight w:val="none"/>
        </w:rPr>
        <w:t>扫描件</w:t>
      </w:r>
      <w:r>
        <w:rPr>
          <w:rFonts w:hint="eastAsia" w:ascii="宋体" w:hAnsi="宋体" w:cs="宋体"/>
          <w:color w:val="auto"/>
          <w:highlight w:val="none"/>
        </w:rPr>
        <w:t>加盖</w:t>
      </w:r>
      <w:r>
        <w:rPr>
          <w:rFonts w:hint="eastAsia" w:ascii="宋体" w:hAnsi="宋体" w:cs="宋体"/>
          <w:color w:val="auto"/>
          <w:szCs w:val="21"/>
          <w:highlight w:val="none"/>
        </w:rPr>
        <w:t>供应商</w:t>
      </w:r>
      <w:bookmarkStart w:id="106" w:name="_Hlk89190867"/>
      <w:r>
        <w:rPr>
          <w:rFonts w:hint="eastAsia" w:ascii="宋体" w:hAnsi="宋体" w:cs="宋体"/>
          <w:color w:val="auto"/>
          <w:szCs w:val="21"/>
          <w:highlight w:val="none"/>
        </w:rPr>
        <w:t>电子签章</w:t>
      </w:r>
      <w:bookmarkEnd w:id="106"/>
    </w:p>
    <w:p w14:paraId="20893E70">
      <w:pPr>
        <w:pStyle w:val="200"/>
        <w:jc w:val="left"/>
        <w:rPr>
          <w:rFonts w:hint="eastAsia" w:ascii="宋体" w:hAnsi="宋体" w:cs="宋体"/>
          <w:color w:val="auto"/>
          <w:highlight w:val="none"/>
        </w:rPr>
      </w:pPr>
    </w:p>
    <w:p w14:paraId="7BCCA6F9">
      <w:pPr>
        <w:pStyle w:val="200"/>
        <w:jc w:val="left"/>
        <w:rPr>
          <w:rFonts w:hint="eastAsia" w:ascii="宋体" w:hAnsi="宋体" w:cs="宋体"/>
          <w:color w:val="auto"/>
          <w:highlight w:val="none"/>
        </w:rPr>
      </w:pPr>
    </w:p>
    <w:p w14:paraId="3A455E0C">
      <w:pPr>
        <w:pStyle w:val="28"/>
        <w:tabs>
          <w:tab w:val="left" w:pos="2127"/>
        </w:tabs>
        <w:spacing w:line="340" w:lineRule="exact"/>
        <w:rPr>
          <w:rFonts w:hint="eastAsia" w:hAnsi="宋体" w:cs="宋体"/>
          <w:color w:val="auto"/>
          <w:highlight w:val="none"/>
        </w:rPr>
      </w:pPr>
      <w:r>
        <w:rPr>
          <w:rFonts w:hint="eastAsia" w:hAnsi="宋体" w:cs="宋体"/>
          <w:color w:val="auto"/>
          <w:highlight w:val="none"/>
          <w:lang w:val="en-US" w:eastAsia="zh-CN"/>
        </w:rPr>
        <w:t>6</w:t>
      </w:r>
      <w:r>
        <w:rPr>
          <w:rFonts w:hint="eastAsia" w:hAnsi="宋体" w:cs="宋体"/>
          <w:color w:val="auto"/>
          <w:highlight w:val="none"/>
        </w:rPr>
        <w:t>.</w:t>
      </w:r>
      <w:bookmarkStart w:id="107" w:name="_Toc251052200"/>
      <w:bookmarkStart w:id="108" w:name="_Toc389065364"/>
      <w:bookmarkStart w:id="109" w:name="_Toc172364026"/>
      <w:bookmarkStart w:id="110" w:name="_Toc153274948"/>
      <w:bookmarkStart w:id="111" w:name="_Toc173579006"/>
      <w:r>
        <w:rPr>
          <w:rFonts w:hint="eastAsia" w:hAnsi="宋体" w:cs="宋体"/>
          <w:color w:val="auto"/>
          <w:highlight w:val="none"/>
        </w:rPr>
        <w:t>2项目经理简历表</w:t>
      </w:r>
      <w:bookmarkEnd w:id="107"/>
      <w:bookmarkEnd w:id="108"/>
      <w:bookmarkEnd w:id="109"/>
      <w:bookmarkEnd w:id="110"/>
      <w:bookmarkEnd w:id="111"/>
    </w:p>
    <w:tbl>
      <w:tblPr>
        <w:tblStyle w:val="55"/>
        <w:tblW w:w="928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83"/>
        <w:gridCol w:w="464"/>
        <w:gridCol w:w="1548"/>
        <w:gridCol w:w="328"/>
        <w:gridCol w:w="1219"/>
        <w:gridCol w:w="674"/>
        <w:gridCol w:w="874"/>
        <w:gridCol w:w="711"/>
        <w:gridCol w:w="836"/>
        <w:gridCol w:w="272"/>
        <w:gridCol w:w="1276"/>
      </w:tblGrid>
      <w:tr w14:paraId="4D6E20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83" w:type="dxa"/>
            <w:noWrap w:val="0"/>
            <w:vAlign w:val="center"/>
          </w:tcPr>
          <w:p w14:paraId="2B8C831B">
            <w:pPr>
              <w:jc w:val="center"/>
              <w:rPr>
                <w:rFonts w:hint="eastAsia" w:ascii="宋体" w:hAnsi="宋体" w:cs="宋体"/>
                <w:color w:val="auto"/>
                <w:highlight w:val="none"/>
              </w:rPr>
            </w:pPr>
            <w:r>
              <w:rPr>
                <w:rFonts w:hint="eastAsia" w:ascii="宋体" w:hAnsi="宋体" w:cs="宋体"/>
                <w:color w:val="auto"/>
                <w:highlight w:val="none"/>
              </w:rPr>
              <w:t>姓名</w:t>
            </w:r>
          </w:p>
        </w:tc>
        <w:tc>
          <w:tcPr>
            <w:tcW w:w="2340" w:type="dxa"/>
            <w:gridSpan w:val="3"/>
            <w:noWrap w:val="0"/>
            <w:vAlign w:val="center"/>
          </w:tcPr>
          <w:p w14:paraId="14BCDCA3">
            <w:pPr>
              <w:jc w:val="center"/>
              <w:rPr>
                <w:rFonts w:hint="eastAsia" w:ascii="宋体" w:hAnsi="宋体" w:cs="宋体"/>
                <w:color w:val="auto"/>
                <w:highlight w:val="none"/>
              </w:rPr>
            </w:pPr>
          </w:p>
        </w:tc>
        <w:tc>
          <w:tcPr>
            <w:tcW w:w="1893" w:type="dxa"/>
            <w:gridSpan w:val="2"/>
            <w:noWrap w:val="0"/>
            <w:vAlign w:val="center"/>
          </w:tcPr>
          <w:p w14:paraId="3E6B5BB0">
            <w:pPr>
              <w:jc w:val="center"/>
              <w:rPr>
                <w:rFonts w:hint="eastAsia" w:ascii="宋体" w:hAnsi="宋体" w:cs="宋体"/>
                <w:color w:val="auto"/>
                <w:highlight w:val="none"/>
              </w:rPr>
            </w:pPr>
            <w:r>
              <w:rPr>
                <w:rFonts w:hint="eastAsia" w:ascii="宋体" w:hAnsi="宋体" w:cs="宋体"/>
                <w:color w:val="auto"/>
                <w:highlight w:val="none"/>
              </w:rPr>
              <w:t>性别</w:t>
            </w:r>
          </w:p>
        </w:tc>
        <w:tc>
          <w:tcPr>
            <w:tcW w:w="1585" w:type="dxa"/>
            <w:gridSpan w:val="2"/>
            <w:noWrap w:val="0"/>
            <w:vAlign w:val="center"/>
          </w:tcPr>
          <w:p w14:paraId="1DB0240D">
            <w:pPr>
              <w:jc w:val="center"/>
              <w:rPr>
                <w:rFonts w:hint="eastAsia" w:ascii="宋体" w:hAnsi="宋体" w:cs="宋体"/>
                <w:color w:val="auto"/>
                <w:highlight w:val="none"/>
              </w:rPr>
            </w:pPr>
          </w:p>
        </w:tc>
        <w:tc>
          <w:tcPr>
            <w:tcW w:w="1108" w:type="dxa"/>
            <w:gridSpan w:val="2"/>
            <w:noWrap w:val="0"/>
            <w:vAlign w:val="center"/>
          </w:tcPr>
          <w:p w14:paraId="2F18BDA4">
            <w:pPr>
              <w:jc w:val="center"/>
              <w:rPr>
                <w:rFonts w:hint="eastAsia" w:ascii="宋体" w:hAnsi="宋体" w:cs="宋体"/>
                <w:color w:val="auto"/>
                <w:highlight w:val="none"/>
              </w:rPr>
            </w:pPr>
            <w:r>
              <w:rPr>
                <w:rFonts w:hint="eastAsia" w:ascii="宋体" w:hAnsi="宋体" w:cs="宋体"/>
                <w:color w:val="auto"/>
                <w:highlight w:val="none"/>
              </w:rPr>
              <w:t>年龄</w:t>
            </w:r>
          </w:p>
        </w:tc>
        <w:tc>
          <w:tcPr>
            <w:tcW w:w="1276" w:type="dxa"/>
            <w:noWrap w:val="0"/>
            <w:vAlign w:val="center"/>
          </w:tcPr>
          <w:p w14:paraId="73865D1D">
            <w:pPr>
              <w:jc w:val="center"/>
              <w:rPr>
                <w:rFonts w:hint="eastAsia" w:ascii="宋体" w:hAnsi="宋体" w:cs="宋体"/>
                <w:color w:val="auto"/>
                <w:highlight w:val="none"/>
              </w:rPr>
            </w:pPr>
          </w:p>
        </w:tc>
      </w:tr>
      <w:tr w14:paraId="296B96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jc w:val="center"/>
        </w:trPr>
        <w:tc>
          <w:tcPr>
            <w:tcW w:w="1083" w:type="dxa"/>
            <w:noWrap w:val="0"/>
            <w:vAlign w:val="center"/>
          </w:tcPr>
          <w:p w14:paraId="1407140D">
            <w:pPr>
              <w:jc w:val="center"/>
              <w:rPr>
                <w:rFonts w:hint="eastAsia" w:ascii="宋体" w:hAnsi="宋体" w:cs="宋体"/>
                <w:color w:val="auto"/>
                <w:highlight w:val="none"/>
              </w:rPr>
            </w:pPr>
            <w:r>
              <w:rPr>
                <w:rFonts w:hint="eastAsia" w:ascii="宋体" w:hAnsi="宋体" w:cs="宋体"/>
                <w:color w:val="auto"/>
                <w:highlight w:val="none"/>
              </w:rPr>
              <w:t>职务</w:t>
            </w:r>
          </w:p>
        </w:tc>
        <w:tc>
          <w:tcPr>
            <w:tcW w:w="2340" w:type="dxa"/>
            <w:gridSpan w:val="3"/>
            <w:noWrap w:val="0"/>
            <w:vAlign w:val="center"/>
          </w:tcPr>
          <w:p w14:paraId="2D291EF1">
            <w:pPr>
              <w:jc w:val="center"/>
              <w:rPr>
                <w:rFonts w:hint="eastAsia" w:ascii="宋体" w:hAnsi="宋体" w:cs="宋体"/>
                <w:color w:val="auto"/>
                <w:highlight w:val="none"/>
              </w:rPr>
            </w:pPr>
          </w:p>
        </w:tc>
        <w:tc>
          <w:tcPr>
            <w:tcW w:w="1893" w:type="dxa"/>
            <w:gridSpan w:val="2"/>
            <w:noWrap w:val="0"/>
            <w:vAlign w:val="center"/>
          </w:tcPr>
          <w:p w14:paraId="45281E19">
            <w:pPr>
              <w:jc w:val="center"/>
              <w:rPr>
                <w:rFonts w:hint="eastAsia" w:ascii="宋体" w:hAnsi="宋体" w:cs="宋体"/>
                <w:color w:val="auto"/>
                <w:highlight w:val="none"/>
              </w:rPr>
            </w:pPr>
            <w:r>
              <w:rPr>
                <w:rFonts w:hint="eastAsia" w:ascii="宋体" w:hAnsi="宋体" w:cs="宋体"/>
                <w:color w:val="auto"/>
                <w:highlight w:val="none"/>
              </w:rPr>
              <w:t>职称</w:t>
            </w:r>
          </w:p>
        </w:tc>
        <w:tc>
          <w:tcPr>
            <w:tcW w:w="1585" w:type="dxa"/>
            <w:gridSpan w:val="2"/>
            <w:noWrap w:val="0"/>
            <w:vAlign w:val="center"/>
          </w:tcPr>
          <w:p w14:paraId="30616550">
            <w:pPr>
              <w:jc w:val="center"/>
              <w:rPr>
                <w:rFonts w:hint="eastAsia" w:ascii="宋体" w:hAnsi="宋体" w:cs="宋体"/>
                <w:color w:val="auto"/>
                <w:highlight w:val="none"/>
              </w:rPr>
            </w:pPr>
          </w:p>
        </w:tc>
        <w:tc>
          <w:tcPr>
            <w:tcW w:w="1108" w:type="dxa"/>
            <w:gridSpan w:val="2"/>
            <w:noWrap w:val="0"/>
            <w:vAlign w:val="center"/>
          </w:tcPr>
          <w:p w14:paraId="16775C3C">
            <w:pPr>
              <w:jc w:val="center"/>
              <w:rPr>
                <w:rFonts w:hint="eastAsia" w:ascii="宋体" w:hAnsi="宋体" w:cs="宋体"/>
                <w:color w:val="auto"/>
                <w:highlight w:val="none"/>
              </w:rPr>
            </w:pPr>
            <w:r>
              <w:rPr>
                <w:rFonts w:hint="eastAsia" w:ascii="宋体" w:hAnsi="宋体" w:cs="宋体"/>
                <w:color w:val="auto"/>
                <w:highlight w:val="none"/>
              </w:rPr>
              <w:t>学历</w:t>
            </w:r>
          </w:p>
        </w:tc>
        <w:tc>
          <w:tcPr>
            <w:tcW w:w="1276" w:type="dxa"/>
            <w:noWrap w:val="0"/>
            <w:vAlign w:val="center"/>
          </w:tcPr>
          <w:p w14:paraId="4FFEFF96">
            <w:pPr>
              <w:jc w:val="center"/>
              <w:rPr>
                <w:rFonts w:hint="eastAsia" w:ascii="宋体" w:hAnsi="宋体" w:cs="宋体"/>
                <w:color w:val="auto"/>
                <w:highlight w:val="none"/>
              </w:rPr>
            </w:pPr>
          </w:p>
        </w:tc>
      </w:tr>
      <w:tr w14:paraId="3D7034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3423" w:type="dxa"/>
            <w:gridSpan w:val="4"/>
            <w:noWrap w:val="0"/>
            <w:vAlign w:val="center"/>
          </w:tcPr>
          <w:p w14:paraId="5DB19B84">
            <w:pPr>
              <w:jc w:val="center"/>
              <w:rPr>
                <w:rFonts w:hint="eastAsia" w:ascii="宋体" w:hAnsi="宋体" w:cs="宋体"/>
                <w:color w:val="auto"/>
                <w:highlight w:val="none"/>
              </w:rPr>
            </w:pPr>
            <w:r>
              <w:rPr>
                <w:rFonts w:hint="eastAsia" w:ascii="宋体" w:hAnsi="宋体" w:cs="宋体"/>
                <w:color w:val="auto"/>
                <w:highlight w:val="none"/>
              </w:rPr>
              <w:t>参加工作时间</w:t>
            </w:r>
          </w:p>
        </w:tc>
        <w:tc>
          <w:tcPr>
            <w:tcW w:w="1893" w:type="dxa"/>
            <w:gridSpan w:val="2"/>
            <w:noWrap w:val="0"/>
            <w:vAlign w:val="center"/>
          </w:tcPr>
          <w:p w14:paraId="179547C8">
            <w:pPr>
              <w:jc w:val="center"/>
              <w:rPr>
                <w:rFonts w:hint="eastAsia" w:ascii="宋体" w:hAnsi="宋体" w:cs="宋体"/>
                <w:color w:val="auto"/>
                <w:highlight w:val="none"/>
              </w:rPr>
            </w:pPr>
          </w:p>
        </w:tc>
        <w:tc>
          <w:tcPr>
            <w:tcW w:w="2693" w:type="dxa"/>
            <w:gridSpan w:val="4"/>
            <w:noWrap w:val="0"/>
            <w:vAlign w:val="center"/>
          </w:tcPr>
          <w:p w14:paraId="1FEA6792">
            <w:pPr>
              <w:jc w:val="center"/>
              <w:rPr>
                <w:rFonts w:hint="eastAsia" w:ascii="宋体" w:hAnsi="宋体" w:cs="宋体"/>
                <w:color w:val="auto"/>
                <w:highlight w:val="none"/>
              </w:rPr>
            </w:pPr>
            <w:r>
              <w:rPr>
                <w:rFonts w:hint="eastAsia" w:ascii="宋体" w:hAnsi="宋体" w:cs="宋体"/>
                <w:color w:val="auto"/>
                <w:highlight w:val="none"/>
              </w:rPr>
              <w:t>担任项目经理年限</w:t>
            </w:r>
          </w:p>
        </w:tc>
        <w:tc>
          <w:tcPr>
            <w:tcW w:w="1276" w:type="dxa"/>
            <w:noWrap w:val="0"/>
            <w:vAlign w:val="center"/>
          </w:tcPr>
          <w:p w14:paraId="4F6CA19A">
            <w:pPr>
              <w:jc w:val="center"/>
              <w:rPr>
                <w:rFonts w:hint="eastAsia" w:ascii="宋体" w:hAnsi="宋体" w:cs="宋体"/>
                <w:color w:val="auto"/>
                <w:highlight w:val="none"/>
              </w:rPr>
            </w:pPr>
          </w:p>
        </w:tc>
      </w:tr>
      <w:tr w14:paraId="2C35B0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8" w:hRule="atLeast"/>
          <w:jc w:val="center"/>
        </w:trPr>
        <w:tc>
          <w:tcPr>
            <w:tcW w:w="3423" w:type="dxa"/>
            <w:gridSpan w:val="4"/>
            <w:noWrap w:val="0"/>
            <w:vAlign w:val="center"/>
          </w:tcPr>
          <w:p w14:paraId="0AA7E86C">
            <w:pPr>
              <w:jc w:val="center"/>
              <w:rPr>
                <w:rFonts w:hint="eastAsia" w:ascii="宋体" w:hAnsi="宋体" w:cs="宋体"/>
                <w:color w:val="auto"/>
                <w:highlight w:val="none"/>
              </w:rPr>
            </w:pPr>
            <w:r>
              <w:rPr>
                <w:rFonts w:hint="eastAsia" w:ascii="宋体" w:hAnsi="宋体" w:cs="宋体"/>
                <w:color w:val="auto"/>
                <w:highlight w:val="none"/>
              </w:rPr>
              <w:t>建造师注册编号</w:t>
            </w:r>
          </w:p>
        </w:tc>
        <w:tc>
          <w:tcPr>
            <w:tcW w:w="5862" w:type="dxa"/>
            <w:gridSpan w:val="7"/>
            <w:noWrap w:val="0"/>
            <w:vAlign w:val="center"/>
          </w:tcPr>
          <w:p w14:paraId="082EC87D">
            <w:pPr>
              <w:jc w:val="center"/>
              <w:rPr>
                <w:rFonts w:hint="eastAsia" w:ascii="宋体" w:hAnsi="宋体" w:cs="宋体"/>
                <w:color w:val="auto"/>
                <w:highlight w:val="none"/>
              </w:rPr>
            </w:pPr>
          </w:p>
        </w:tc>
      </w:tr>
      <w:tr w14:paraId="216F55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8" w:hRule="atLeast"/>
          <w:jc w:val="center"/>
        </w:trPr>
        <w:tc>
          <w:tcPr>
            <w:tcW w:w="3423" w:type="dxa"/>
            <w:gridSpan w:val="4"/>
            <w:noWrap w:val="0"/>
            <w:vAlign w:val="center"/>
          </w:tcPr>
          <w:p w14:paraId="29298FF0">
            <w:pPr>
              <w:jc w:val="center"/>
              <w:rPr>
                <w:rFonts w:hint="eastAsia" w:ascii="宋体" w:hAnsi="宋体" w:cs="宋体"/>
                <w:color w:val="auto"/>
                <w:highlight w:val="none"/>
              </w:rPr>
            </w:pPr>
            <w:r>
              <w:rPr>
                <w:rFonts w:hint="eastAsia" w:ascii="宋体" w:hAnsi="宋体" w:cs="宋体"/>
                <w:color w:val="auto"/>
                <w:highlight w:val="none"/>
              </w:rPr>
              <w:t>注册专业、等级</w:t>
            </w:r>
          </w:p>
        </w:tc>
        <w:tc>
          <w:tcPr>
            <w:tcW w:w="5862" w:type="dxa"/>
            <w:gridSpan w:val="7"/>
            <w:noWrap w:val="0"/>
            <w:vAlign w:val="center"/>
          </w:tcPr>
          <w:p w14:paraId="73E59EEA">
            <w:pPr>
              <w:jc w:val="center"/>
              <w:rPr>
                <w:rFonts w:hint="eastAsia" w:ascii="宋体" w:hAnsi="宋体" w:cs="宋体"/>
                <w:color w:val="auto"/>
                <w:highlight w:val="none"/>
              </w:rPr>
            </w:pPr>
          </w:p>
        </w:tc>
      </w:tr>
      <w:tr w14:paraId="3B1669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jc w:val="center"/>
        </w:trPr>
        <w:tc>
          <w:tcPr>
            <w:tcW w:w="9285" w:type="dxa"/>
            <w:gridSpan w:val="11"/>
            <w:noWrap w:val="0"/>
            <w:vAlign w:val="center"/>
          </w:tcPr>
          <w:p w14:paraId="037417FE">
            <w:pPr>
              <w:jc w:val="center"/>
              <w:rPr>
                <w:rFonts w:hint="eastAsia" w:ascii="宋体" w:hAnsi="宋体" w:cs="宋体"/>
                <w:color w:val="auto"/>
                <w:highlight w:val="none"/>
              </w:rPr>
            </w:pPr>
            <w:r>
              <w:rPr>
                <w:rFonts w:hint="eastAsia" w:ascii="宋体" w:hAnsi="宋体" w:cs="宋体"/>
                <w:color w:val="auto"/>
                <w:highlight w:val="none"/>
              </w:rPr>
              <w:t>在建和已完工程项目情况</w:t>
            </w:r>
          </w:p>
        </w:tc>
      </w:tr>
      <w:tr w14:paraId="7666DC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547" w:type="dxa"/>
            <w:gridSpan w:val="2"/>
            <w:noWrap w:val="0"/>
            <w:vAlign w:val="center"/>
          </w:tcPr>
          <w:p w14:paraId="72582110">
            <w:pPr>
              <w:jc w:val="center"/>
              <w:rPr>
                <w:rFonts w:hint="eastAsia" w:ascii="宋体" w:hAnsi="宋体" w:cs="宋体"/>
                <w:color w:val="auto"/>
                <w:highlight w:val="none"/>
              </w:rPr>
            </w:pPr>
            <w:r>
              <w:rPr>
                <w:rFonts w:hint="eastAsia" w:ascii="宋体" w:hAnsi="宋体" w:cs="宋体"/>
                <w:color w:val="auto"/>
                <w:highlight w:val="none"/>
              </w:rPr>
              <w:t>建设单位</w:t>
            </w:r>
          </w:p>
        </w:tc>
        <w:tc>
          <w:tcPr>
            <w:tcW w:w="1548" w:type="dxa"/>
            <w:noWrap w:val="0"/>
            <w:vAlign w:val="center"/>
          </w:tcPr>
          <w:p w14:paraId="568A6EEE">
            <w:pPr>
              <w:jc w:val="center"/>
              <w:rPr>
                <w:rFonts w:hint="eastAsia" w:ascii="宋体" w:hAnsi="宋体" w:cs="宋体"/>
                <w:color w:val="auto"/>
                <w:highlight w:val="none"/>
              </w:rPr>
            </w:pPr>
            <w:r>
              <w:rPr>
                <w:rFonts w:hint="eastAsia" w:ascii="宋体" w:hAnsi="宋体" w:cs="宋体"/>
                <w:color w:val="auto"/>
                <w:highlight w:val="none"/>
              </w:rPr>
              <w:t>项目名称</w:t>
            </w:r>
          </w:p>
        </w:tc>
        <w:tc>
          <w:tcPr>
            <w:tcW w:w="1547" w:type="dxa"/>
            <w:gridSpan w:val="2"/>
            <w:noWrap w:val="0"/>
            <w:vAlign w:val="center"/>
          </w:tcPr>
          <w:p w14:paraId="60945BA5">
            <w:pPr>
              <w:jc w:val="center"/>
              <w:rPr>
                <w:rFonts w:hint="eastAsia" w:ascii="宋体" w:hAnsi="宋体" w:cs="宋体"/>
                <w:color w:val="auto"/>
                <w:highlight w:val="none"/>
              </w:rPr>
            </w:pPr>
            <w:r>
              <w:rPr>
                <w:rFonts w:hint="eastAsia" w:ascii="宋体" w:hAnsi="宋体" w:cs="宋体"/>
                <w:color w:val="auto"/>
                <w:highlight w:val="none"/>
              </w:rPr>
              <w:t>建设规模</w:t>
            </w:r>
          </w:p>
        </w:tc>
        <w:tc>
          <w:tcPr>
            <w:tcW w:w="1548" w:type="dxa"/>
            <w:gridSpan w:val="2"/>
            <w:noWrap w:val="0"/>
            <w:vAlign w:val="center"/>
          </w:tcPr>
          <w:p w14:paraId="76510132">
            <w:pPr>
              <w:jc w:val="center"/>
              <w:rPr>
                <w:rFonts w:hint="eastAsia" w:ascii="宋体" w:hAnsi="宋体" w:cs="宋体"/>
                <w:color w:val="auto"/>
                <w:highlight w:val="none"/>
              </w:rPr>
            </w:pPr>
            <w:r>
              <w:rPr>
                <w:rFonts w:hint="eastAsia" w:ascii="宋体" w:hAnsi="宋体" w:cs="宋体"/>
                <w:color w:val="auto"/>
                <w:highlight w:val="none"/>
              </w:rPr>
              <w:t>开、竣工日期</w:t>
            </w:r>
          </w:p>
        </w:tc>
        <w:tc>
          <w:tcPr>
            <w:tcW w:w="1547" w:type="dxa"/>
            <w:gridSpan w:val="2"/>
            <w:noWrap w:val="0"/>
            <w:vAlign w:val="center"/>
          </w:tcPr>
          <w:p w14:paraId="31FA33D2">
            <w:pPr>
              <w:jc w:val="center"/>
              <w:rPr>
                <w:rFonts w:hint="eastAsia" w:ascii="宋体" w:hAnsi="宋体" w:cs="宋体"/>
                <w:color w:val="auto"/>
                <w:highlight w:val="none"/>
              </w:rPr>
            </w:pPr>
            <w:r>
              <w:rPr>
                <w:rFonts w:hint="eastAsia" w:ascii="宋体" w:hAnsi="宋体" w:cs="宋体"/>
                <w:color w:val="auto"/>
                <w:highlight w:val="none"/>
              </w:rPr>
              <w:t>在建或已完</w:t>
            </w:r>
          </w:p>
        </w:tc>
        <w:tc>
          <w:tcPr>
            <w:tcW w:w="1548" w:type="dxa"/>
            <w:gridSpan w:val="2"/>
            <w:noWrap w:val="0"/>
            <w:vAlign w:val="center"/>
          </w:tcPr>
          <w:p w14:paraId="0EFF55A0">
            <w:pPr>
              <w:jc w:val="center"/>
              <w:rPr>
                <w:rFonts w:hint="eastAsia" w:ascii="宋体" w:hAnsi="宋体" w:cs="宋体"/>
                <w:color w:val="auto"/>
                <w:highlight w:val="none"/>
              </w:rPr>
            </w:pPr>
            <w:r>
              <w:rPr>
                <w:rFonts w:hint="eastAsia" w:ascii="宋体" w:hAnsi="宋体" w:cs="宋体"/>
                <w:color w:val="auto"/>
                <w:highlight w:val="none"/>
              </w:rPr>
              <w:t>工程质量</w:t>
            </w:r>
          </w:p>
        </w:tc>
      </w:tr>
      <w:tr w14:paraId="77D7BC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 w:hRule="atLeast"/>
          <w:jc w:val="center"/>
        </w:trPr>
        <w:tc>
          <w:tcPr>
            <w:tcW w:w="1547" w:type="dxa"/>
            <w:gridSpan w:val="2"/>
            <w:noWrap w:val="0"/>
            <w:vAlign w:val="center"/>
          </w:tcPr>
          <w:p w14:paraId="1380DAF6">
            <w:pPr>
              <w:jc w:val="center"/>
              <w:rPr>
                <w:rFonts w:hint="eastAsia" w:ascii="宋体" w:hAnsi="宋体" w:cs="宋体"/>
                <w:color w:val="auto"/>
                <w:highlight w:val="none"/>
              </w:rPr>
            </w:pPr>
          </w:p>
        </w:tc>
        <w:tc>
          <w:tcPr>
            <w:tcW w:w="1548" w:type="dxa"/>
            <w:noWrap w:val="0"/>
            <w:vAlign w:val="center"/>
          </w:tcPr>
          <w:p w14:paraId="6DD87CAA">
            <w:pPr>
              <w:jc w:val="center"/>
              <w:rPr>
                <w:rFonts w:hint="eastAsia" w:ascii="宋体" w:hAnsi="宋体" w:cs="宋体"/>
                <w:color w:val="auto"/>
                <w:highlight w:val="none"/>
              </w:rPr>
            </w:pPr>
          </w:p>
        </w:tc>
        <w:tc>
          <w:tcPr>
            <w:tcW w:w="1547" w:type="dxa"/>
            <w:gridSpan w:val="2"/>
            <w:noWrap w:val="0"/>
            <w:vAlign w:val="center"/>
          </w:tcPr>
          <w:p w14:paraId="6B7D0B3B">
            <w:pPr>
              <w:jc w:val="center"/>
              <w:rPr>
                <w:rFonts w:hint="eastAsia" w:ascii="宋体" w:hAnsi="宋体" w:cs="宋体"/>
                <w:color w:val="auto"/>
                <w:highlight w:val="none"/>
              </w:rPr>
            </w:pPr>
          </w:p>
        </w:tc>
        <w:tc>
          <w:tcPr>
            <w:tcW w:w="1548" w:type="dxa"/>
            <w:gridSpan w:val="2"/>
            <w:noWrap w:val="0"/>
            <w:vAlign w:val="center"/>
          </w:tcPr>
          <w:p w14:paraId="20C27FC2">
            <w:pPr>
              <w:jc w:val="center"/>
              <w:rPr>
                <w:rFonts w:hint="eastAsia" w:ascii="宋体" w:hAnsi="宋体" w:cs="宋体"/>
                <w:color w:val="auto"/>
                <w:highlight w:val="none"/>
              </w:rPr>
            </w:pPr>
          </w:p>
        </w:tc>
        <w:tc>
          <w:tcPr>
            <w:tcW w:w="1547" w:type="dxa"/>
            <w:gridSpan w:val="2"/>
            <w:noWrap w:val="0"/>
            <w:vAlign w:val="center"/>
          </w:tcPr>
          <w:p w14:paraId="775FCF8C">
            <w:pPr>
              <w:jc w:val="center"/>
              <w:rPr>
                <w:rFonts w:hint="eastAsia" w:ascii="宋体" w:hAnsi="宋体" w:cs="宋体"/>
                <w:color w:val="auto"/>
                <w:highlight w:val="none"/>
              </w:rPr>
            </w:pPr>
          </w:p>
        </w:tc>
        <w:tc>
          <w:tcPr>
            <w:tcW w:w="1548" w:type="dxa"/>
            <w:gridSpan w:val="2"/>
            <w:noWrap w:val="0"/>
            <w:vAlign w:val="center"/>
          </w:tcPr>
          <w:p w14:paraId="00989673">
            <w:pPr>
              <w:jc w:val="center"/>
              <w:rPr>
                <w:rFonts w:hint="eastAsia" w:ascii="宋体" w:hAnsi="宋体" w:cs="宋体"/>
                <w:color w:val="auto"/>
                <w:highlight w:val="none"/>
              </w:rPr>
            </w:pPr>
          </w:p>
        </w:tc>
      </w:tr>
      <w:tr w14:paraId="2B38D4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 w:hRule="atLeast"/>
          <w:jc w:val="center"/>
        </w:trPr>
        <w:tc>
          <w:tcPr>
            <w:tcW w:w="1547" w:type="dxa"/>
            <w:gridSpan w:val="2"/>
            <w:noWrap w:val="0"/>
            <w:vAlign w:val="center"/>
          </w:tcPr>
          <w:p w14:paraId="4108DB3F">
            <w:pPr>
              <w:jc w:val="center"/>
              <w:rPr>
                <w:rFonts w:hint="eastAsia" w:ascii="宋体" w:hAnsi="宋体" w:cs="宋体"/>
                <w:color w:val="auto"/>
                <w:highlight w:val="none"/>
              </w:rPr>
            </w:pPr>
          </w:p>
        </w:tc>
        <w:tc>
          <w:tcPr>
            <w:tcW w:w="1548" w:type="dxa"/>
            <w:noWrap w:val="0"/>
            <w:vAlign w:val="center"/>
          </w:tcPr>
          <w:p w14:paraId="1A8FBAE2">
            <w:pPr>
              <w:jc w:val="center"/>
              <w:rPr>
                <w:rFonts w:hint="eastAsia" w:ascii="宋体" w:hAnsi="宋体" w:cs="宋体"/>
                <w:color w:val="auto"/>
                <w:highlight w:val="none"/>
              </w:rPr>
            </w:pPr>
          </w:p>
        </w:tc>
        <w:tc>
          <w:tcPr>
            <w:tcW w:w="1547" w:type="dxa"/>
            <w:gridSpan w:val="2"/>
            <w:noWrap w:val="0"/>
            <w:vAlign w:val="center"/>
          </w:tcPr>
          <w:p w14:paraId="72B8F244">
            <w:pPr>
              <w:jc w:val="center"/>
              <w:rPr>
                <w:rFonts w:hint="eastAsia" w:ascii="宋体" w:hAnsi="宋体" w:cs="宋体"/>
                <w:color w:val="auto"/>
                <w:highlight w:val="none"/>
              </w:rPr>
            </w:pPr>
          </w:p>
        </w:tc>
        <w:tc>
          <w:tcPr>
            <w:tcW w:w="1548" w:type="dxa"/>
            <w:gridSpan w:val="2"/>
            <w:noWrap w:val="0"/>
            <w:vAlign w:val="center"/>
          </w:tcPr>
          <w:p w14:paraId="46AF5581">
            <w:pPr>
              <w:jc w:val="center"/>
              <w:rPr>
                <w:rFonts w:hint="eastAsia" w:ascii="宋体" w:hAnsi="宋体" w:cs="宋体"/>
                <w:color w:val="auto"/>
                <w:highlight w:val="none"/>
              </w:rPr>
            </w:pPr>
          </w:p>
        </w:tc>
        <w:tc>
          <w:tcPr>
            <w:tcW w:w="1547" w:type="dxa"/>
            <w:gridSpan w:val="2"/>
            <w:noWrap w:val="0"/>
            <w:vAlign w:val="center"/>
          </w:tcPr>
          <w:p w14:paraId="7345D992">
            <w:pPr>
              <w:jc w:val="center"/>
              <w:rPr>
                <w:rFonts w:hint="eastAsia" w:ascii="宋体" w:hAnsi="宋体" w:cs="宋体"/>
                <w:color w:val="auto"/>
                <w:highlight w:val="none"/>
              </w:rPr>
            </w:pPr>
          </w:p>
        </w:tc>
        <w:tc>
          <w:tcPr>
            <w:tcW w:w="1548" w:type="dxa"/>
            <w:gridSpan w:val="2"/>
            <w:noWrap w:val="0"/>
            <w:vAlign w:val="center"/>
          </w:tcPr>
          <w:p w14:paraId="05096A02">
            <w:pPr>
              <w:jc w:val="center"/>
              <w:rPr>
                <w:rFonts w:hint="eastAsia" w:ascii="宋体" w:hAnsi="宋体" w:cs="宋体"/>
                <w:color w:val="auto"/>
                <w:highlight w:val="none"/>
              </w:rPr>
            </w:pPr>
          </w:p>
        </w:tc>
      </w:tr>
      <w:tr w14:paraId="755DB8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 w:hRule="atLeast"/>
          <w:jc w:val="center"/>
        </w:trPr>
        <w:tc>
          <w:tcPr>
            <w:tcW w:w="1547" w:type="dxa"/>
            <w:gridSpan w:val="2"/>
            <w:noWrap w:val="0"/>
            <w:vAlign w:val="center"/>
          </w:tcPr>
          <w:p w14:paraId="387B6669">
            <w:pPr>
              <w:jc w:val="center"/>
              <w:rPr>
                <w:rFonts w:hint="eastAsia" w:ascii="宋体" w:hAnsi="宋体" w:cs="宋体"/>
                <w:color w:val="auto"/>
                <w:highlight w:val="none"/>
              </w:rPr>
            </w:pPr>
          </w:p>
        </w:tc>
        <w:tc>
          <w:tcPr>
            <w:tcW w:w="1548" w:type="dxa"/>
            <w:noWrap w:val="0"/>
            <w:vAlign w:val="center"/>
          </w:tcPr>
          <w:p w14:paraId="750E217B">
            <w:pPr>
              <w:jc w:val="center"/>
              <w:rPr>
                <w:rFonts w:hint="eastAsia" w:ascii="宋体" w:hAnsi="宋体" w:cs="宋体"/>
                <w:color w:val="auto"/>
                <w:highlight w:val="none"/>
              </w:rPr>
            </w:pPr>
          </w:p>
        </w:tc>
        <w:tc>
          <w:tcPr>
            <w:tcW w:w="1547" w:type="dxa"/>
            <w:gridSpan w:val="2"/>
            <w:noWrap w:val="0"/>
            <w:vAlign w:val="center"/>
          </w:tcPr>
          <w:p w14:paraId="6B11F1D9">
            <w:pPr>
              <w:jc w:val="center"/>
              <w:rPr>
                <w:rFonts w:hint="eastAsia" w:ascii="宋体" w:hAnsi="宋体" w:cs="宋体"/>
                <w:color w:val="auto"/>
                <w:highlight w:val="none"/>
              </w:rPr>
            </w:pPr>
          </w:p>
        </w:tc>
        <w:tc>
          <w:tcPr>
            <w:tcW w:w="1548" w:type="dxa"/>
            <w:gridSpan w:val="2"/>
            <w:noWrap w:val="0"/>
            <w:vAlign w:val="center"/>
          </w:tcPr>
          <w:p w14:paraId="38CF9B42">
            <w:pPr>
              <w:jc w:val="center"/>
              <w:rPr>
                <w:rFonts w:hint="eastAsia" w:ascii="宋体" w:hAnsi="宋体" w:cs="宋体"/>
                <w:color w:val="auto"/>
                <w:highlight w:val="none"/>
              </w:rPr>
            </w:pPr>
          </w:p>
        </w:tc>
        <w:tc>
          <w:tcPr>
            <w:tcW w:w="1547" w:type="dxa"/>
            <w:gridSpan w:val="2"/>
            <w:noWrap w:val="0"/>
            <w:vAlign w:val="center"/>
          </w:tcPr>
          <w:p w14:paraId="05795428">
            <w:pPr>
              <w:jc w:val="center"/>
              <w:rPr>
                <w:rFonts w:hint="eastAsia" w:ascii="宋体" w:hAnsi="宋体" w:cs="宋体"/>
                <w:color w:val="auto"/>
                <w:highlight w:val="none"/>
              </w:rPr>
            </w:pPr>
          </w:p>
        </w:tc>
        <w:tc>
          <w:tcPr>
            <w:tcW w:w="1548" w:type="dxa"/>
            <w:gridSpan w:val="2"/>
            <w:noWrap w:val="0"/>
            <w:vAlign w:val="center"/>
          </w:tcPr>
          <w:p w14:paraId="77E2B9AB">
            <w:pPr>
              <w:jc w:val="center"/>
              <w:rPr>
                <w:rFonts w:hint="eastAsia" w:ascii="宋体" w:hAnsi="宋体" w:cs="宋体"/>
                <w:color w:val="auto"/>
                <w:highlight w:val="none"/>
              </w:rPr>
            </w:pPr>
          </w:p>
        </w:tc>
      </w:tr>
    </w:tbl>
    <w:p w14:paraId="62B32267">
      <w:pPr>
        <w:pStyle w:val="200"/>
        <w:rPr>
          <w:rFonts w:hint="eastAsia" w:ascii="宋体" w:hAnsi="宋体" w:cs="宋体"/>
          <w:color w:val="auto"/>
          <w:highlight w:val="none"/>
        </w:rPr>
      </w:pPr>
      <w:r>
        <w:rPr>
          <w:rFonts w:hint="eastAsia" w:ascii="宋体" w:hAnsi="宋体" w:cs="宋体"/>
          <w:color w:val="auto"/>
          <w:highlight w:val="none"/>
        </w:rPr>
        <w:t>备注：附项目经理注册建造师注册证书、安全生产考核合格证书（B证）、响应文件递交截止时间前6个月内任意1个月在现任职单位依法缴纳社会保险的凭证和已完工程中标（成交）通知书（如有）、工程合同协议书（如有）、工程竣工验收证明材料（如有），以及供应商认为需要增加的其他证明材料</w:t>
      </w:r>
      <w:r>
        <w:rPr>
          <w:rFonts w:hint="eastAsia" w:ascii="宋体" w:hAnsi="宋体" w:cs="宋体"/>
          <w:color w:val="auto"/>
          <w:szCs w:val="21"/>
          <w:highlight w:val="none"/>
        </w:rPr>
        <w:t>扫描件</w:t>
      </w:r>
      <w:r>
        <w:rPr>
          <w:rFonts w:hint="eastAsia" w:ascii="宋体" w:hAnsi="宋体" w:cs="宋体"/>
          <w:color w:val="auto"/>
          <w:highlight w:val="none"/>
        </w:rPr>
        <w:t>，以上</w:t>
      </w:r>
      <w:r>
        <w:rPr>
          <w:rFonts w:hint="eastAsia" w:ascii="宋体" w:hAnsi="宋体" w:cs="宋体"/>
          <w:color w:val="auto"/>
          <w:szCs w:val="21"/>
          <w:highlight w:val="none"/>
        </w:rPr>
        <w:t>扫描件</w:t>
      </w:r>
      <w:r>
        <w:rPr>
          <w:rFonts w:hint="eastAsia" w:ascii="宋体" w:hAnsi="宋体" w:cs="宋体"/>
          <w:color w:val="auto"/>
          <w:highlight w:val="none"/>
        </w:rPr>
        <w:t>须加盖</w:t>
      </w:r>
      <w:r>
        <w:rPr>
          <w:rFonts w:hint="eastAsia" w:ascii="宋体" w:hAnsi="宋体" w:cs="宋体"/>
          <w:color w:val="auto"/>
          <w:szCs w:val="21"/>
          <w:highlight w:val="none"/>
        </w:rPr>
        <w:t>供应商电子签章</w:t>
      </w:r>
      <w:r>
        <w:rPr>
          <w:rFonts w:hint="eastAsia" w:ascii="宋体" w:hAnsi="宋体" w:cs="宋体"/>
          <w:color w:val="auto"/>
          <w:highlight w:val="none"/>
        </w:rPr>
        <w:t>。</w:t>
      </w:r>
      <w:bookmarkStart w:id="112" w:name="_Toc251052219"/>
      <w:bookmarkStart w:id="113" w:name="_Toc153274949"/>
      <w:bookmarkStart w:id="114" w:name="_Toc173579007"/>
      <w:bookmarkStart w:id="115" w:name="_Toc172364027"/>
      <w:bookmarkStart w:id="116" w:name="_Toc389065365"/>
    </w:p>
    <w:p w14:paraId="1E0B052F">
      <w:pPr>
        <w:pStyle w:val="200"/>
        <w:rPr>
          <w:rFonts w:hint="eastAsia" w:ascii="宋体" w:hAnsi="宋体" w:cs="宋体"/>
          <w:color w:val="auto"/>
          <w:highlight w:val="none"/>
        </w:rPr>
      </w:pPr>
    </w:p>
    <w:p w14:paraId="30D0A64C">
      <w:pPr>
        <w:pStyle w:val="200"/>
        <w:rPr>
          <w:rFonts w:hint="eastAsia" w:ascii="宋体" w:hAnsi="宋体" w:cs="宋体"/>
          <w:color w:val="auto"/>
          <w:highlight w:val="none"/>
        </w:rPr>
      </w:pPr>
    </w:p>
    <w:p w14:paraId="0D6AD5E5">
      <w:pPr>
        <w:pStyle w:val="200"/>
        <w:rPr>
          <w:rFonts w:hint="eastAsia" w:ascii="宋体" w:hAnsi="宋体" w:cs="宋体"/>
          <w:color w:val="auto"/>
          <w:highlight w:val="none"/>
        </w:rPr>
      </w:pPr>
      <w:r>
        <w:rPr>
          <w:rFonts w:hint="eastAsia" w:ascii="宋体" w:hAnsi="宋体" w:cs="宋体"/>
          <w:color w:val="auto"/>
          <w:highlight w:val="none"/>
          <w:lang w:val="en-US" w:eastAsia="zh-CN"/>
        </w:rPr>
        <w:t>6</w:t>
      </w:r>
      <w:r>
        <w:rPr>
          <w:rFonts w:hint="eastAsia" w:ascii="宋体" w:hAnsi="宋体" w:cs="宋体"/>
          <w:color w:val="auto"/>
          <w:highlight w:val="none"/>
        </w:rPr>
        <w:t>.3项目技术负责人简历表</w:t>
      </w:r>
      <w:bookmarkEnd w:id="112"/>
      <w:bookmarkEnd w:id="113"/>
      <w:bookmarkEnd w:id="114"/>
      <w:bookmarkEnd w:id="115"/>
      <w:bookmarkEnd w:id="116"/>
    </w:p>
    <w:tbl>
      <w:tblPr>
        <w:tblStyle w:val="5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83"/>
        <w:gridCol w:w="464"/>
        <w:gridCol w:w="1548"/>
        <w:gridCol w:w="328"/>
        <w:gridCol w:w="1219"/>
        <w:gridCol w:w="674"/>
        <w:gridCol w:w="874"/>
        <w:gridCol w:w="711"/>
        <w:gridCol w:w="836"/>
        <w:gridCol w:w="272"/>
        <w:gridCol w:w="1276"/>
      </w:tblGrid>
      <w:tr w14:paraId="626B1F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83" w:type="dxa"/>
            <w:noWrap w:val="0"/>
            <w:vAlign w:val="center"/>
          </w:tcPr>
          <w:p w14:paraId="7BA5342A">
            <w:pPr>
              <w:jc w:val="center"/>
              <w:rPr>
                <w:rFonts w:hint="eastAsia" w:ascii="宋体" w:hAnsi="宋体" w:cs="宋体"/>
                <w:color w:val="auto"/>
                <w:highlight w:val="none"/>
              </w:rPr>
            </w:pPr>
            <w:r>
              <w:rPr>
                <w:rFonts w:hint="eastAsia" w:ascii="宋体" w:hAnsi="宋体" w:cs="宋体"/>
                <w:color w:val="auto"/>
                <w:highlight w:val="none"/>
              </w:rPr>
              <w:t>姓名</w:t>
            </w:r>
          </w:p>
        </w:tc>
        <w:tc>
          <w:tcPr>
            <w:tcW w:w="2340" w:type="dxa"/>
            <w:gridSpan w:val="3"/>
            <w:noWrap w:val="0"/>
            <w:vAlign w:val="center"/>
          </w:tcPr>
          <w:p w14:paraId="24C9B22E">
            <w:pPr>
              <w:jc w:val="center"/>
              <w:rPr>
                <w:rFonts w:hint="eastAsia" w:ascii="宋体" w:hAnsi="宋体" w:cs="宋体"/>
                <w:color w:val="auto"/>
                <w:highlight w:val="none"/>
              </w:rPr>
            </w:pPr>
          </w:p>
        </w:tc>
        <w:tc>
          <w:tcPr>
            <w:tcW w:w="1893" w:type="dxa"/>
            <w:gridSpan w:val="2"/>
            <w:noWrap w:val="0"/>
            <w:vAlign w:val="center"/>
          </w:tcPr>
          <w:p w14:paraId="78492981">
            <w:pPr>
              <w:jc w:val="center"/>
              <w:rPr>
                <w:rFonts w:hint="eastAsia" w:ascii="宋体" w:hAnsi="宋体" w:cs="宋体"/>
                <w:color w:val="auto"/>
                <w:highlight w:val="none"/>
              </w:rPr>
            </w:pPr>
            <w:r>
              <w:rPr>
                <w:rFonts w:hint="eastAsia" w:ascii="宋体" w:hAnsi="宋体" w:cs="宋体"/>
                <w:color w:val="auto"/>
                <w:highlight w:val="none"/>
              </w:rPr>
              <w:t>性别</w:t>
            </w:r>
          </w:p>
        </w:tc>
        <w:tc>
          <w:tcPr>
            <w:tcW w:w="1585" w:type="dxa"/>
            <w:gridSpan w:val="2"/>
            <w:noWrap w:val="0"/>
            <w:vAlign w:val="center"/>
          </w:tcPr>
          <w:p w14:paraId="03305581">
            <w:pPr>
              <w:jc w:val="center"/>
              <w:rPr>
                <w:rFonts w:hint="eastAsia" w:ascii="宋体" w:hAnsi="宋体" w:cs="宋体"/>
                <w:color w:val="auto"/>
                <w:highlight w:val="none"/>
              </w:rPr>
            </w:pPr>
          </w:p>
        </w:tc>
        <w:tc>
          <w:tcPr>
            <w:tcW w:w="1108" w:type="dxa"/>
            <w:gridSpan w:val="2"/>
            <w:noWrap w:val="0"/>
            <w:vAlign w:val="center"/>
          </w:tcPr>
          <w:p w14:paraId="2D23BF07">
            <w:pPr>
              <w:jc w:val="center"/>
              <w:rPr>
                <w:rFonts w:hint="eastAsia" w:ascii="宋体" w:hAnsi="宋体" w:cs="宋体"/>
                <w:color w:val="auto"/>
                <w:highlight w:val="none"/>
              </w:rPr>
            </w:pPr>
            <w:r>
              <w:rPr>
                <w:rFonts w:hint="eastAsia" w:ascii="宋体" w:hAnsi="宋体" w:cs="宋体"/>
                <w:color w:val="auto"/>
                <w:highlight w:val="none"/>
              </w:rPr>
              <w:t>年龄</w:t>
            </w:r>
          </w:p>
        </w:tc>
        <w:tc>
          <w:tcPr>
            <w:tcW w:w="1276" w:type="dxa"/>
            <w:noWrap w:val="0"/>
            <w:vAlign w:val="center"/>
          </w:tcPr>
          <w:p w14:paraId="23661752">
            <w:pPr>
              <w:jc w:val="center"/>
              <w:rPr>
                <w:rFonts w:hint="eastAsia" w:ascii="宋体" w:hAnsi="宋体" w:cs="宋体"/>
                <w:color w:val="auto"/>
                <w:highlight w:val="none"/>
              </w:rPr>
            </w:pPr>
          </w:p>
        </w:tc>
      </w:tr>
      <w:tr w14:paraId="7F33CF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jc w:val="center"/>
        </w:trPr>
        <w:tc>
          <w:tcPr>
            <w:tcW w:w="1083" w:type="dxa"/>
            <w:noWrap w:val="0"/>
            <w:vAlign w:val="center"/>
          </w:tcPr>
          <w:p w14:paraId="7C2EC818">
            <w:pPr>
              <w:jc w:val="center"/>
              <w:rPr>
                <w:rFonts w:hint="eastAsia" w:ascii="宋体" w:hAnsi="宋体" w:cs="宋体"/>
                <w:color w:val="auto"/>
                <w:highlight w:val="none"/>
              </w:rPr>
            </w:pPr>
            <w:r>
              <w:rPr>
                <w:rFonts w:hint="eastAsia" w:ascii="宋体" w:hAnsi="宋体" w:cs="宋体"/>
                <w:color w:val="auto"/>
                <w:highlight w:val="none"/>
              </w:rPr>
              <w:t>职务</w:t>
            </w:r>
          </w:p>
        </w:tc>
        <w:tc>
          <w:tcPr>
            <w:tcW w:w="2340" w:type="dxa"/>
            <w:gridSpan w:val="3"/>
            <w:noWrap w:val="0"/>
            <w:vAlign w:val="center"/>
          </w:tcPr>
          <w:p w14:paraId="7DB4BAAB">
            <w:pPr>
              <w:jc w:val="center"/>
              <w:rPr>
                <w:rFonts w:hint="eastAsia" w:ascii="宋体" w:hAnsi="宋体" w:cs="宋体"/>
                <w:color w:val="auto"/>
                <w:highlight w:val="none"/>
              </w:rPr>
            </w:pPr>
          </w:p>
        </w:tc>
        <w:tc>
          <w:tcPr>
            <w:tcW w:w="1893" w:type="dxa"/>
            <w:gridSpan w:val="2"/>
            <w:noWrap w:val="0"/>
            <w:vAlign w:val="center"/>
          </w:tcPr>
          <w:p w14:paraId="0BAAEBB5">
            <w:pPr>
              <w:jc w:val="center"/>
              <w:rPr>
                <w:rFonts w:hint="eastAsia" w:ascii="宋体" w:hAnsi="宋体" w:cs="宋体"/>
                <w:color w:val="auto"/>
                <w:highlight w:val="none"/>
              </w:rPr>
            </w:pPr>
            <w:r>
              <w:rPr>
                <w:rFonts w:hint="eastAsia" w:ascii="宋体" w:hAnsi="宋体" w:cs="宋体"/>
                <w:color w:val="auto"/>
                <w:highlight w:val="none"/>
              </w:rPr>
              <w:t>职称</w:t>
            </w:r>
          </w:p>
        </w:tc>
        <w:tc>
          <w:tcPr>
            <w:tcW w:w="1585" w:type="dxa"/>
            <w:gridSpan w:val="2"/>
            <w:noWrap w:val="0"/>
            <w:vAlign w:val="center"/>
          </w:tcPr>
          <w:p w14:paraId="35338438">
            <w:pPr>
              <w:jc w:val="center"/>
              <w:rPr>
                <w:rFonts w:hint="eastAsia" w:ascii="宋体" w:hAnsi="宋体" w:cs="宋体"/>
                <w:color w:val="auto"/>
                <w:highlight w:val="none"/>
              </w:rPr>
            </w:pPr>
          </w:p>
        </w:tc>
        <w:tc>
          <w:tcPr>
            <w:tcW w:w="1108" w:type="dxa"/>
            <w:gridSpan w:val="2"/>
            <w:noWrap w:val="0"/>
            <w:vAlign w:val="center"/>
          </w:tcPr>
          <w:p w14:paraId="16B63589">
            <w:pPr>
              <w:jc w:val="center"/>
              <w:rPr>
                <w:rFonts w:hint="eastAsia" w:ascii="宋体" w:hAnsi="宋体" w:cs="宋体"/>
                <w:color w:val="auto"/>
                <w:highlight w:val="none"/>
              </w:rPr>
            </w:pPr>
            <w:r>
              <w:rPr>
                <w:rFonts w:hint="eastAsia" w:ascii="宋体" w:hAnsi="宋体" w:cs="宋体"/>
                <w:color w:val="auto"/>
                <w:highlight w:val="none"/>
              </w:rPr>
              <w:t>学历</w:t>
            </w:r>
          </w:p>
        </w:tc>
        <w:tc>
          <w:tcPr>
            <w:tcW w:w="1276" w:type="dxa"/>
            <w:noWrap w:val="0"/>
            <w:vAlign w:val="center"/>
          </w:tcPr>
          <w:p w14:paraId="71EE0392">
            <w:pPr>
              <w:jc w:val="center"/>
              <w:rPr>
                <w:rFonts w:hint="eastAsia" w:ascii="宋体" w:hAnsi="宋体" w:cs="宋体"/>
                <w:color w:val="auto"/>
                <w:highlight w:val="none"/>
              </w:rPr>
            </w:pPr>
          </w:p>
        </w:tc>
      </w:tr>
      <w:tr w14:paraId="6FFC9F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3423" w:type="dxa"/>
            <w:gridSpan w:val="4"/>
            <w:noWrap w:val="0"/>
            <w:vAlign w:val="center"/>
          </w:tcPr>
          <w:p w14:paraId="560A6BF4">
            <w:pPr>
              <w:jc w:val="center"/>
              <w:rPr>
                <w:rFonts w:hint="eastAsia" w:ascii="宋体" w:hAnsi="宋体" w:cs="宋体"/>
                <w:color w:val="auto"/>
                <w:highlight w:val="none"/>
              </w:rPr>
            </w:pPr>
            <w:r>
              <w:rPr>
                <w:rFonts w:hint="eastAsia" w:ascii="宋体" w:hAnsi="宋体" w:cs="宋体"/>
                <w:color w:val="auto"/>
                <w:highlight w:val="none"/>
              </w:rPr>
              <w:t>参加工作时间</w:t>
            </w:r>
          </w:p>
        </w:tc>
        <w:tc>
          <w:tcPr>
            <w:tcW w:w="1893" w:type="dxa"/>
            <w:gridSpan w:val="2"/>
            <w:noWrap w:val="0"/>
            <w:vAlign w:val="center"/>
          </w:tcPr>
          <w:p w14:paraId="75C8C84A">
            <w:pPr>
              <w:jc w:val="center"/>
              <w:rPr>
                <w:rFonts w:hint="eastAsia" w:ascii="宋体" w:hAnsi="宋体" w:cs="宋体"/>
                <w:color w:val="auto"/>
                <w:highlight w:val="none"/>
              </w:rPr>
            </w:pPr>
          </w:p>
        </w:tc>
        <w:tc>
          <w:tcPr>
            <w:tcW w:w="2693" w:type="dxa"/>
            <w:gridSpan w:val="4"/>
            <w:noWrap w:val="0"/>
            <w:vAlign w:val="center"/>
          </w:tcPr>
          <w:p w14:paraId="67E53710">
            <w:pPr>
              <w:jc w:val="center"/>
              <w:rPr>
                <w:rFonts w:hint="eastAsia" w:ascii="宋体" w:hAnsi="宋体" w:cs="宋体"/>
                <w:color w:val="auto"/>
                <w:highlight w:val="none"/>
              </w:rPr>
            </w:pPr>
            <w:r>
              <w:rPr>
                <w:rFonts w:hint="eastAsia" w:ascii="宋体" w:hAnsi="宋体" w:cs="宋体"/>
                <w:color w:val="auto"/>
                <w:highlight w:val="none"/>
              </w:rPr>
              <w:t>担任技术负责人年限</w:t>
            </w:r>
          </w:p>
        </w:tc>
        <w:tc>
          <w:tcPr>
            <w:tcW w:w="1276" w:type="dxa"/>
            <w:noWrap w:val="0"/>
            <w:vAlign w:val="center"/>
          </w:tcPr>
          <w:p w14:paraId="154E2635">
            <w:pPr>
              <w:jc w:val="center"/>
              <w:rPr>
                <w:rFonts w:hint="eastAsia" w:ascii="宋体" w:hAnsi="宋体" w:cs="宋体"/>
                <w:color w:val="auto"/>
                <w:highlight w:val="none"/>
              </w:rPr>
            </w:pPr>
          </w:p>
        </w:tc>
      </w:tr>
      <w:tr w14:paraId="6FAFB1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jc w:val="center"/>
        </w:trPr>
        <w:tc>
          <w:tcPr>
            <w:tcW w:w="9285" w:type="dxa"/>
            <w:gridSpan w:val="11"/>
            <w:noWrap w:val="0"/>
            <w:vAlign w:val="center"/>
          </w:tcPr>
          <w:p w14:paraId="39132519">
            <w:pPr>
              <w:jc w:val="center"/>
              <w:rPr>
                <w:rFonts w:hint="eastAsia" w:ascii="宋体" w:hAnsi="宋体" w:cs="宋体"/>
                <w:color w:val="auto"/>
                <w:highlight w:val="none"/>
              </w:rPr>
            </w:pPr>
            <w:r>
              <w:rPr>
                <w:rFonts w:hint="eastAsia" w:ascii="宋体" w:hAnsi="宋体" w:cs="宋体"/>
                <w:color w:val="auto"/>
                <w:highlight w:val="none"/>
              </w:rPr>
              <w:t>在建和已完工程项目情况</w:t>
            </w:r>
          </w:p>
        </w:tc>
      </w:tr>
      <w:tr w14:paraId="3C9189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547" w:type="dxa"/>
            <w:gridSpan w:val="2"/>
            <w:noWrap w:val="0"/>
            <w:vAlign w:val="center"/>
          </w:tcPr>
          <w:p w14:paraId="48AA1AE5">
            <w:pPr>
              <w:jc w:val="center"/>
              <w:rPr>
                <w:rFonts w:hint="eastAsia" w:ascii="宋体" w:hAnsi="宋体" w:cs="宋体"/>
                <w:color w:val="auto"/>
                <w:highlight w:val="none"/>
              </w:rPr>
            </w:pPr>
            <w:r>
              <w:rPr>
                <w:rFonts w:hint="eastAsia" w:ascii="宋体" w:hAnsi="宋体" w:cs="宋体"/>
                <w:color w:val="auto"/>
                <w:highlight w:val="none"/>
              </w:rPr>
              <w:t>建设单位</w:t>
            </w:r>
          </w:p>
        </w:tc>
        <w:tc>
          <w:tcPr>
            <w:tcW w:w="1548" w:type="dxa"/>
            <w:noWrap w:val="0"/>
            <w:vAlign w:val="center"/>
          </w:tcPr>
          <w:p w14:paraId="142529B4">
            <w:pPr>
              <w:jc w:val="center"/>
              <w:rPr>
                <w:rFonts w:hint="eastAsia" w:ascii="宋体" w:hAnsi="宋体" w:cs="宋体"/>
                <w:color w:val="auto"/>
                <w:highlight w:val="none"/>
              </w:rPr>
            </w:pPr>
            <w:r>
              <w:rPr>
                <w:rFonts w:hint="eastAsia" w:ascii="宋体" w:hAnsi="宋体" w:cs="宋体"/>
                <w:color w:val="auto"/>
                <w:highlight w:val="none"/>
              </w:rPr>
              <w:t>项目名称</w:t>
            </w:r>
          </w:p>
        </w:tc>
        <w:tc>
          <w:tcPr>
            <w:tcW w:w="1547" w:type="dxa"/>
            <w:gridSpan w:val="2"/>
            <w:noWrap w:val="0"/>
            <w:vAlign w:val="center"/>
          </w:tcPr>
          <w:p w14:paraId="61FBE94E">
            <w:pPr>
              <w:jc w:val="center"/>
              <w:rPr>
                <w:rFonts w:hint="eastAsia" w:ascii="宋体" w:hAnsi="宋体" w:cs="宋体"/>
                <w:color w:val="auto"/>
                <w:highlight w:val="none"/>
              </w:rPr>
            </w:pPr>
            <w:r>
              <w:rPr>
                <w:rFonts w:hint="eastAsia" w:ascii="宋体" w:hAnsi="宋体" w:cs="宋体"/>
                <w:color w:val="auto"/>
                <w:highlight w:val="none"/>
              </w:rPr>
              <w:t>建设规模</w:t>
            </w:r>
          </w:p>
        </w:tc>
        <w:tc>
          <w:tcPr>
            <w:tcW w:w="1548" w:type="dxa"/>
            <w:gridSpan w:val="2"/>
            <w:noWrap w:val="0"/>
            <w:vAlign w:val="center"/>
          </w:tcPr>
          <w:p w14:paraId="671901D5">
            <w:pPr>
              <w:jc w:val="center"/>
              <w:rPr>
                <w:rFonts w:hint="eastAsia" w:ascii="宋体" w:hAnsi="宋体" w:cs="宋体"/>
                <w:color w:val="auto"/>
                <w:highlight w:val="none"/>
              </w:rPr>
            </w:pPr>
            <w:r>
              <w:rPr>
                <w:rFonts w:hint="eastAsia" w:ascii="宋体" w:hAnsi="宋体" w:cs="宋体"/>
                <w:color w:val="auto"/>
                <w:highlight w:val="none"/>
              </w:rPr>
              <w:t>开、竣工日期</w:t>
            </w:r>
          </w:p>
        </w:tc>
        <w:tc>
          <w:tcPr>
            <w:tcW w:w="1547" w:type="dxa"/>
            <w:gridSpan w:val="2"/>
            <w:noWrap w:val="0"/>
            <w:vAlign w:val="center"/>
          </w:tcPr>
          <w:p w14:paraId="1C02AF31">
            <w:pPr>
              <w:jc w:val="center"/>
              <w:rPr>
                <w:rFonts w:hint="eastAsia" w:ascii="宋体" w:hAnsi="宋体" w:cs="宋体"/>
                <w:color w:val="auto"/>
                <w:highlight w:val="none"/>
              </w:rPr>
            </w:pPr>
            <w:r>
              <w:rPr>
                <w:rFonts w:hint="eastAsia" w:ascii="宋体" w:hAnsi="宋体" w:cs="宋体"/>
                <w:color w:val="auto"/>
                <w:highlight w:val="none"/>
              </w:rPr>
              <w:t>在建或已完</w:t>
            </w:r>
          </w:p>
        </w:tc>
        <w:tc>
          <w:tcPr>
            <w:tcW w:w="1548" w:type="dxa"/>
            <w:gridSpan w:val="2"/>
            <w:noWrap w:val="0"/>
            <w:vAlign w:val="center"/>
          </w:tcPr>
          <w:p w14:paraId="36F311E8">
            <w:pPr>
              <w:jc w:val="center"/>
              <w:rPr>
                <w:rFonts w:hint="eastAsia" w:ascii="宋体" w:hAnsi="宋体" w:cs="宋体"/>
                <w:color w:val="auto"/>
                <w:highlight w:val="none"/>
              </w:rPr>
            </w:pPr>
            <w:r>
              <w:rPr>
                <w:rFonts w:hint="eastAsia" w:ascii="宋体" w:hAnsi="宋体" w:cs="宋体"/>
                <w:color w:val="auto"/>
                <w:highlight w:val="none"/>
              </w:rPr>
              <w:t>工程质量</w:t>
            </w:r>
          </w:p>
        </w:tc>
      </w:tr>
      <w:tr w14:paraId="40D000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 w:hRule="atLeast"/>
          <w:jc w:val="center"/>
        </w:trPr>
        <w:tc>
          <w:tcPr>
            <w:tcW w:w="1547" w:type="dxa"/>
            <w:gridSpan w:val="2"/>
            <w:noWrap w:val="0"/>
            <w:vAlign w:val="center"/>
          </w:tcPr>
          <w:p w14:paraId="6E799247">
            <w:pPr>
              <w:jc w:val="center"/>
              <w:rPr>
                <w:rFonts w:hint="eastAsia" w:ascii="宋体" w:hAnsi="宋体" w:cs="宋体"/>
                <w:color w:val="auto"/>
                <w:highlight w:val="none"/>
              </w:rPr>
            </w:pPr>
          </w:p>
        </w:tc>
        <w:tc>
          <w:tcPr>
            <w:tcW w:w="1548" w:type="dxa"/>
            <w:noWrap w:val="0"/>
            <w:vAlign w:val="center"/>
          </w:tcPr>
          <w:p w14:paraId="2DC0D659">
            <w:pPr>
              <w:jc w:val="center"/>
              <w:rPr>
                <w:rFonts w:hint="eastAsia" w:ascii="宋体" w:hAnsi="宋体" w:cs="宋体"/>
                <w:color w:val="auto"/>
                <w:highlight w:val="none"/>
              </w:rPr>
            </w:pPr>
          </w:p>
        </w:tc>
        <w:tc>
          <w:tcPr>
            <w:tcW w:w="1547" w:type="dxa"/>
            <w:gridSpan w:val="2"/>
            <w:noWrap w:val="0"/>
            <w:vAlign w:val="center"/>
          </w:tcPr>
          <w:p w14:paraId="13308ACD">
            <w:pPr>
              <w:jc w:val="center"/>
              <w:rPr>
                <w:rFonts w:hint="eastAsia" w:ascii="宋体" w:hAnsi="宋体" w:cs="宋体"/>
                <w:color w:val="auto"/>
                <w:highlight w:val="none"/>
              </w:rPr>
            </w:pPr>
          </w:p>
        </w:tc>
        <w:tc>
          <w:tcPr>
            <w:tcW w:w="1548" w:type="dxa"/>
            <w:gridSpan w:val="2"/>
            <w:noWrap w:val="0"/>
            <w:vAlign w:val="center"/>
          </w:tcPr>
          <w:p w14:paraId="3115DC7D">
            <w:pPr>
              <w:jc w:val="center"/>
              <w:rPr>
                <w:rFonts w:hint="eastAsia" w:ascii="宋体" w:hAnsi="宋体" w:cs="宋体"/>
                <w:color w:val="auto"/>
                <w:highlight w:val="none"/>
              </w:rPr>
            </w:pPr>
          </w:p>
        </w:tc>
        <w:tc>
          <w:tcPr>
            <w:tcW w:w="1547" w:type="dxa"/>
            <w:gridSpan w:val="2"/>
            <w:noWrap w:val="0"/>
            <w:vAlign w:val="center"/>
          </w:tcPr>
          <w:p w14:paraId="26445AFC">
            <w:pPr>
              <w:jc w:val="center"/>
              <w:rPr>
                <w:rFonts w:hint="eastAsia" w:ascii="宋体" w:hAnsi="宋体" w:cs="宋体"/>
                <w:color w:val="auto"/>
                <w:highlight w:val="none"/>
              </w:rPr>
            </w:pPr>
          </w:p>
        </w:tc>
        <w:tc>
          <w:tcPr>
            <w:tcW w:w="1548" w:type="dxa"/>
            <w:gridSpan w:val="2"/>
            <w:noWrap w:val="0"/>
            <w:vAlign w:val="center"/>
          </w:tcPr>
          <w:p w14:paraId="4ECEF008">
            <w:pPr>
              <w:jc w:val="center"/>
              <w:rPr>
                <w:rFonts w:hint="eastAsia" w:ascii="宋体" w:hAnsi="宋体" w:cs="宋体"/>
                <w:color w:val="auto"/>
                <w:highlight w:val="none"/>
              </w:rPr>
            </w:pPr>
          </w:p>
        </w:tc>
      </w:tr>
      <w:tr w14:paraId="7B7893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 w:hRule="atLeast"/>
          <w:jc w:val="center"/>
        </w:trPr>
        <w:tc>
          <w:tcPr>
            <w:tcW w:w="1547" w:type="dxa"/>
            <w:gridSpan w:val="2"/>
            <w:noWrap w:val="0"/>
            <w:vAlign w:val="center"/>
          </w:tcPr>
          <w:p w14:paraId="6E2A3EAE">
            <w:pPr>
              <w:jc w:val="center"/>
              <w:rPr>
                <w:rFonts w:hint="eastAsia" w:ascii="宋体" w:hAnsi="宋体" w:cs="宋体"/>
                <w:color w:val="auto"/>
                <w:highlight w:val="none"/>
              </w:rPr>
            </w:pPr>
          </w:p>
        </w:tc>
        <w:tc>
          <w:tcPr>
            <w:tcW w:w="1548" w:type="dxa"/>
            <w:noWrap w:val="0"/>
            <w:vAlign w:val="center"/>
          </w:tcPr>
          <w:p w14:paraId="5BCFA2FF">
            <w:pPr>
              <w:jc w:val="center"/>
              <w:rPr>
                <w:rFonts w:hint="eastAsia" w:ascii="宋体" w:hAnsi="宋体" w:cs="宋体"/>
                <w:color w:val="auto"/>
                <w:highlight w:val="none"/>
              </w:rPr>
            </w:pPr>
          </w:p>
        </w:tc>
        <w:tc>
          <w:tcPr>
            <w:tcW w:w="1547" w:type="dxa"/>
            <w:gridSpan w:val="2"/>
            <w:noWrap w:val="0"/>
            <w:vAlign w:val="center"/>
          </w:tcPr>
          <w:p w14:paraId="32562338">
            <w:pPr>
              <w:jc w:val="center"/>
              <w:rPr>
                <w:rFonts w:hint="eastAsia" w:ascii="宋体" w:hAnsi="宋体" w:cs="宋体"/>
                <w:color w:val="auto"/>
                <w:highlight w:val="none"/>
              </w:rPr>
            </w:pPr>
          </w:p>
        </w:tc>
        <w:tc>
          <w:tcPr>
            <w:tcW w:w="1548" w:type="dxa"/>
            <w:gridSpan w:val="2"/>
            <w:noWrap w:val="0"/>
            <w:vAlign w:val="center"/>
          </w:tcPr>
          <w:p w14:paraId="43136BFC">
            <w:pPr>
              <w:jc w:val="center"/>
              <w:rPr>
                <w:rFonts w:hint="eastAsia" w:ascii="宋体" w:hAnsi="宋体" w:cs="宋体"/>
                <w:color w:val="auto"/>
                <w:highlight w:val="none"/>
              </w:rPr>
            </w:pPr>
          </w:p>
        </w:tc>
        <w:tc>
          <w:tcPr>
            <w:tcW w:w="1547" w:type="dxa"/>
            <w:gridSpan w:val="2"/>
            <w:noWrap w:val="0"/>
            <w:vAlign w:val="center"/>
          </w:tcPr>
          <w:p w14:paraId="45E2CE3A">
            <w:pPr>
              <w:jc w:val="center"/>
              <w:rPr>
                <w:rFonts w:hint="eastAsia" w:ascii="宋体" w:hAnsi="宋体" w:cs="宋体"/>
                <w:color w:val="auto"/>
                <w:highlight w:val="none"/>
              </w:rPr>
            </w:pPr>
          </w:p>
        </w:tc>
        <w:tc>
          <w:tcPr>
            <w:tcW w:w="1548" w:type="dxa"/>
            <w:gridSpan w:val="2"/>
            <w:noWrap w:val="0"/>
            <w:vAlign w:val="center"/>
          </w:tcPr>
          <w:p w14:paraId="22BAA1F5">
            <w:pPr>
              <w:jc w:val="center"/>
              <w:rPr>
                <w:rFonts w:hint="eastAsia" w:ascii="宋体" w:hAnsi="宋体" w:cs="宋体"/>
                <w:color w:val="auto"/>
                <w:highlight w:val="none"/>
              </w:rPr>
            </w:pPr>
          </w:p>
        </w:tc>
      </w:tr>
      <w:tr w14:paraId="69E71C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 w:hRule="atLeast"/>
          <w:jc w:val="center"/>
        </w:trPr>
        <w:tc>
          <w:tcPr>
            <w:tcW w:w="1547" w:type="dxa"/>
            <w:gridSpan w:val="2"/>
            <w:noWrap w:val="0"/>
            <w:vAlign w:val="center"/>
          </w:tcPr>
          <w:p w14:paraId="47CEAB42">
            <w:pPr>
              <w:jc w:val="center"/>
              <w:rPr>
                <w:rFonts w:hint="eastAsia" w:ascii="宋体" w:hAnsi="宋体" w:cs="宋体"/>
                <w:color w:val="auto"/>
                <w:highlight w:val="none"/>
              </w:rPr>
            </w:pPr>
          </w:p>
        </w:tc>
        <w:tc>
          <w:tcPr>
            <w:tcW w:w="1548" w:type="dxa"/>
            <w:noWrap w:val="0"/>
            <w:vAlign w:val="center"/>
          </w:tcPr>
          <w:p w14:paraId="17A4E69F">
            <w:pPr>
              <w:jc w:val="center"/>
              <w:rPr>
                <w:rFonts w:hint="eastAsia" w:ascii="宋体" w:hAnsi="宋体" w:cs="宋体"/>
                <w:color w:val="auto"/>
                <w:highlight w:val="none"/>
              </w:rPr>
            </w:pPr>
          </w:p>
        </w:tc>
        <w:tc>
          <w:tcPr>
            <w:tcW w:w="1547" w:type="dxa"/>
            <w:gridSpan w:val="2"/>
            <w:noWrap w:val="0"/>
            <w:vAlign w:val="center"/>
          </w:tcPr>
          <w:p w14:paraId="43A1583E">
            <w:pPr>
              <w:jc w:val="center"/>
              <w:rPr>
                <w:rFonts w:hint="eastAsia" w:ascii="宋体" w:hAnsi="宋体" w:cs="宋体"/>
                <w:color w:val="auto"/>
                <w:highlight w:val="none"/>
              </w:rPr>
            </w:pPr>
          </w:p>
        </w:tc>
        <w:tc>
          <w:tcPr>
            <w:tcW w:w="1548" w:type="dxa"/>
            <w:gridSpan w:val="2"/>
            <w:noWrap w:val="0"/>
            <w:vAlign w:val="center"/>
          </w:tcPr>
          <w:p w14:paraId="42AFC046">
            <w:pPr>
              <w:jc w:val="center"/>
              <w:rPr>
                <w:rFonts w:hint="eastAsia" w:ascii="宋体" w:hAnsi="宋体" w:cs="宋体"/>
                <w:color w:val="auto"/>
                <w:highlight w:val="none"/>
              </w:rPr>
            </w:pPr>
          </w:p>
        </w:tc>
        <w:tc>
          <w:tcPr>
            <w:tcW w:w="1547" w:type="dxa"/>
            <w:gridSpan w:val="2"/>
            <w:noWrap w:val="0"/>
            <w:vAlign w:val="center"/>
          </w:tcPr>
          <w:p w14:paraId="52ACDEFE">
            <w:pPr>
              <w:jc w:val="center"/>
              <w:rPr>
                <w:rFonts w:hint="eastAsia" w:ascii="宋体" w:hAnsi="宋体" w:cs="宋体"/>
                <w:color w:val="auto"/>
                <w:highlight w:val="none"/>
              </w:rPr>
            </w:pPr>
          </w:p>
        </w:tc>
        <w:tc>
          <w:tcPr>
            <w:tcW w:w="1548" w:type="dxa"/>
            <w:gridSpan w:val="2"/>
            <w:noWrap w:val="0"/>
            <w:vAlign w:val="center"/>
          </w:tcPr>
          <w:p w14:paraId="1FB479F7">
            <w:pPr>
              <w:jc w:val="center"/>
              <w:rPr>
                <w:rFonts w:hint="eastAsia" w:ascii="宋体" w:hAnsi="宋体" w:cs="宋体"/>
                <w:color w:val="auto"/>
                <w:highlight w:val="none"/>
              </w:rPr>
            </w:pPr>
          </w:p>
        </w:tc>
      </w:tr>
      <w:tr w14:paraId="0D0CF0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jc w:val="center"/>
        </w:trPr>
        <w:tc>
          <w:tcPr>
            <w:tcW w:w="1547" w:type="dxa"/>
            <w:gridSpan w:val="2"/>
            <w:noWrap w:val="0"/>
            <w:vAlign w:val="center"/>
          </w:tcPr>
          <w:p w14:paraId="4A4CE2E3">
            <w:pPr>
              <w:jc w:val="center"/>
              <w:rPr>
                <w:rFonts w:hint="eastAsia" w:ascii="宋体" w:hAnsi="宋体" w:cs="宋体"/>
                <w:color w:val="auto"/>
                <w:highlight w:val="none"/>
              </w:rPr>
            </w:pPr>
          </w:p>
        </w:tc>
        <w:tc>
          <w:tcPr>
            <w:tcW w:w="1548" w:type="dxa"/>
            <w:noWrap w:val="0"/>
            <w:vAlign w:val="center"/>
          </w:tcPr>
          <w:p w14:paraId="6CC02216">
            <w:pPr>
              <w:jc w:val="center"/>
              <w:rPr>
                <w:rFonts w:hint="eastAsia" w:ascii="宋体" w:hAnsi="宋体" w:cs="宋体"/>
                <w:color w:val="auto"/>
                <w:highlight w:val="none"/>
              </w:rPr>
            </w:pPr>
          </w:p>
        </w:tc>
        <w:tc>
          <w:tcPr>
            <w:tcW w:w="1547" w:type="dxa"/>
            <w:gridSpan w:val="2"/>
            <w:noWrap w:val="0"/>
            <w:vAlign w:val="center"/>
          </w:tcPr>
          <w:p w14:paraId="23461CBF">
            <w:pPr>
              <w:jc w:val="center"/>
              <w:rPr>
                <w:rFonts w:hint="eastAsia" w:ascii="宋体" w:hAnsi="宋体" w:cs="宋体"/>
                <w:color w:val="auto"/>
                <w:highlight w:val="none"/>
              </w:rPr>
            </w:pPr>
          </w:p>
        </w:tc>
        <w:tc>
          <w:tcPr>
            <w:tcW w:w="1548" w:type="dxa"/>
            <w:gridSpan w:val="2"/>
            <w:noWrap w:val="0"/>
            <w:vAlign w:val="center"/>
          </w:tcPr>
          <w:p w14:paraId="2FE76E3C">
            <w:pPr>
              <w:jc w:val="center"/>
              <w:rPr>
                <w:rFonts w:hint="eastAsia" w:ascii="宋体" w:hAnsi="宋体" w:cs="宋体"/>
                <w:color w:val="auto"/>
                <w:highlight w:val="none"/>
              </w:rPr>
            </w:pPr>
          </w:p>
        </w:tc>
        <w:tc>
          <w:tcPr>
            <w:tcW w:w="1547" w:type="dxa"/>
            <w:gridSpan w:val="2"/>
            <w:noWrap w:val="0"/>
            <w:vAlign w:val="center"/>
          </w:tcPr>
          <w:p w14:paraId="23EA1D76">
            <w:pPr>
              <w:jc w:val="center"/>
              <w:rPr>
                <w:rFonts w:hint="eastAsia" w:ascii="宋体" w:hAnsi="宋体" w:cs="宋体"/>
                <w:color w:val="auto"/>
                <w:highlight w:val="none"/>
              </w:rPr>
            </w:pPr>
          </w:p>
        </w:tc>
        <w:tc>
          <w:tcPr>
            <w:tcW w:w="1548" w:type="dxa"/>
            <w:gridSpan w:val="2"/>
            <w:noWrap w:val="0"/>
            <w:vAlign w:val="center"/>
          </w:tcPr>
          <w:p w14:paraId="6AEB133F">
            <w:pPr>
              <w:jc w:val="center"/>
              <w:rPr>
                <w:rFonts w:hint="eastAsia" w:ascii="宋体" w:hAnsi="宋体" w:cs="宋体"/>
                <w:color w:val="auto"/>
                <w:highlight w:val="none"/>
              </w:rPr>
            </w:pPr>
          </w:p>
        </w:tc>
      </w:tr>
    </w:tbl>
    <w:p w14:paraId="706448C4">
      <w:pPr>
        <w:pStyle w:val="200"/>
        <w:rPr>
          <w:rFonts w:hint="eastAsia" w:ascii="宋体" w:hAnsi="宋体" w:cs="宋体"/>
          <w:color w:val="auto"/>
          <w:highlight w:val="none"/>
        </w:rPr>
      </w:pPr>
      <w:r>
        <w:rPr>
          <w:rFonts w:hint="eastAsia" w:ascii="宋体" w:hAnsi="宋体" w:cs="宋体"/>
          <w:color w:val="auto"/>
          <w:highlight w:val="none"/>
        </w:rPr>
        <w:t>备注：附技术负责人的职称证</w:t>
      </w:r>
      <w:r>
        <w:rPr>
          <w:rFonts w:hint="eastAsia" w:ascii="宋体" w:hAnsi="宋体" w:cs="宋体"/>
          <w:color w:val="auto"/>
          <w:highlight w:val="none"/>
          <w:lang w:eastAsia="zh-CN"/>
        </w:rPr>
        <w:t>（</w:t>
      </w:r>
      <w:r>
        <w:rPr>
          <w:rFonts w:hint="eastAsia" w:ascii="宋体" w:hAnsi="宋体" w:cs="宋体"/>
          <w:color w:val="auto"/>
          <w:highlight w:val="none"/>
          <w:lang w:val="en-US" w:eastAsia="zh-CN"/>
        </w:rPr>
        <w:t>如需</w:t>
      </w:r>
      <w:r>
        <w:rPr>
          <w:rFonts w:hint="eastAsia" w:ascii="宋体" w:hAnsi="宋体" w:cs="宋体"/>
          <w:color w:val="auto"/>
          <w:highlight w:val="none"/>
          <w:lang w:eastAsia="zh-CN"/>
        </w:rPr>
        <w:t>）</w:t>
      </w:r>
      <w:r>
        <w:rPr>
          <w:rFonts w:hint="eastAsia" w:ascii="宋体" w:hAnsi="宋体" w:cs="宋体"/>
          <w:color w:val="auto"/>
          <w:highlight w:val="none"/>
        </w:rPr>
        <w:t>、响应文件递交截止时间前6个月内任意1个月在现任职单位依法缴纳社会保险的凭证和已完工程中标（成交）通知书（如有）、工程合同协议书（如有）、工程竣工验收证明材料（如有），以及供应商认为需要增加的其他证明材料</w:t>
      </w:r>
      <w:r>
        <w:rPr>
          <w:rFonts w:hint="eastAsia" w:ascii="宋体" w:hAnsi="宋体" w:cs="宋体"/>
          <w:color w:val="auto"/>
          <w:szCs w:val="21"/>
          <w:highlight w:val="none"/>
        </w:rPr>
        <w:t>扫描件</w:t>
      </w:r>
      <w:r>
        <w:rPr>
          <w:rFonts w:hint="eastAsia" w:ascii="宋体" w:hAnsi="宋体" w:cs="宋体"/>
          <w:color w:val="auto"/>
          <w:highlight w:val="none"/>
        </w:rPr>
        <w:t>，以上</w:t>
      </w:r>
      <w:r>
        <w:rPr>
          <w:rFonts w:hint="eastAsia" w:ascii="宋体" w:hAnsi="宋体" w:cs="宋体"/>
          <w:color w:val="auto"/>
          <w:szCs w:val="21"/>
          <w:highlight w:val="none"/>
        </w:rPr>
        <w:t>扫描件</w:t>
      </w:r>
      <w:r>
        <w:rPr>
          <w:rFonts w:hint="eastAsia" w:ascii="宋体" w:hAnsi="宋体" w:cs="宋体"/>
          <w:color w:val="auto"/>
          <w:highlight w:val="none"/>
        </w:rPr>
        <w:t>均须加盖</w:t>
      </w:r>
      <w:r>
        <w:rPr>
          <w:rFonts w:hint="eastAsia" w:ascii="宋体" w:hAnsi="宋体" w:cs="宋体"/>
          <w:color w:val="auto"/>
          <w:szCs w:val="21"/>
          <w:highlight w:val="none"/>
        </w:rPr>
        <w:t>供应商电子签章</w:t>
      </w:r>
      <w:r>
        <w:rPr>
          <w:rFonts w:hint="eastAsia" w:ascii="宋体" w:hAnsi="宋体" w:cs="宋体"/>
          <w:color w:val="auto"/>
          <w:highlight w:val="none"/>
        </w:rPr>
        <w:t>。</w:t>
      </w:r>
    </w:p>
    <w:p w14:paraId="6B2BB706">
      <w:pPr>
        <w:pStyle w:val="200"/>
        <w:rPr>
          <w:rFonts w:hint="eastAsia" w:ascii="宋体" w:hAnsi="宋体" w:cs="宋体"/>
          <w:color w:val="auto"/>
          <w:highlight w:val="none"/>
        </w:rPr>
      </w:pPr>
    </w:p>
    <w:p w14:paraId="479CEDF3">
      <w:pPr>
        <w:pStyle w:val="200"/>
        <w:rPr>
          <w:rFonts w:hint="eastAsia" w:ascii="宋体" w:hAnsi="宋体" w:cs="宋体"/>
          <w:color w:val="auto"/>
          <w:highlight w:val="none"/>
        </w:rPr>
      </w:pPr>
    </w:p>
    <w:p w14:paraId="24937EB1">
      <w:pPr>
        <w:pStyle w:val="200"/>
        <w:jc w:val="left"/>
        <w:rPr>
          <w:rFonts w:hint="eastAsia" w:ascii="宋体" w:hAnsi="宋体" w:cs="宋体"/>
          <w:color w:val="auto"/>
          <w:highlight w:val="none"/>
        </w:rPr>
      </w:pPr>
      <w:r>
        <w:rPr>
          <w:rFonts w:hint="eastAsia" w:ascii="宋体" w:hAnsi="宋体" w:cs="宋体"/>
          <w:color w:val="auto"/>
          <w:highlight w:val="none"/>
          <w:lang w:val="en-US" w:eastAsia="zh-CN"/>
        </w:rPr>
        <w:t>6</w:t>
      </w:r>
      <w:r>
        <w:rPr>
          <w:rFonts w:hint="eastAsia" w:ascii="宋体" w:hAnsi="宋体" w:cs="宋体"/>
          <w:color w:val="auto"/>
          <w:highlight w:val="none"/>
        </w:rPr>
        <w:t>.4项目管理机构其他人员配备情况表</w:t>
      </w:r>
    </w:p>
    <w:tbl>
      <w:tblPr>
        <w:tblStyle w:val="55"/>
        <w:tblW w:w="935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93"/>
        <w:gridCol w:w="829"/>
        <w:gridCol w:w="816"/>
        <w:gridCol w:w="1148"/>
        <w:gridCol w:w="1148"/>
        <w:gridCol w:w="1148"/>
        <w:gridCol w:w="1148"/>
        <w:gridCol w:w="850"/>
        <w:gridCol w:w="1276"/>
      </w:tblGrid>
      <w:tr w14:paraId="78FEAE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7" w:hRule="atLeast"/>
          <w:jc w:val="center"/>
        </w:trPr>
        <w:tc>
          <w:tcPr>
            <w:tcW w:w="993" w:type="dxa"/>
            <w:vMerge w:val="restart"/>
            <w:noWrap w:val="0"/>
            <w:vAlign w:val="center"/>
          </w:tcPr>
          <w:p w14:paraId="3FA22A7B">
            <w:pPr>
              <w:ind w:left="223" w:hanging="222" w:hangingChars="106"/>
              <w:jc w:val="center"/>
              <w:rPr>
                <w:rFonts w:hint="eastAsia" w:ascii="宋体" w:hAnsi="宋体" w:cs="宋体"/>
                <w:color w:val="auto"/>
                <w:highlight w:val="none"/>
              </w:rPr>
            </w:pPr>
            <w:r>
              <w:rPr>
                <w:rFonts w:hint="eastAsia" w:ascii="宋体" w:hAnsi="宋体" w:cs="宋体"/>
                <w:color w:val="auto"/>
                <w:highlight w:val="none"/>
              </w:rPr>
              <w:t>岗位</w:t>
            </w:r>
          </w:p>
        </w:tc>
        <w:tc>
          <w:tcPr>
            <w:tcW w:w="829" w:type="dxa"/>
            <w:vMerge w:val="restart"/>
            <w:noWrap w:val="0"/>
            <w:vAlign w:val="center"/>
          </w:tcPr>
          <w:p w14:paraId="3D9BD675">
            <w:pPr>
              <w:ind w:left="223" w:hanging="222" w:hangingChars="106"/>
              <w:jc w:val="center"/>
              <w:rPr>
                <w:rFonts w:hint="eastAsia" w:ascii="宋体" w:hAnsi="宋体" w:cs="宋体"/>
                <w:color w:val="auto"/>
                <w:highlight w:val="none"/>
              </w:rPr>
            </w:pPr>
            <w:bookmarkStart w:id="117" w:name="_Toc251052187"/>
            <w:r>
              <w:rPr>
                <w:rFonts w:hint="eastAsia" w:ascii="宋体" w:hAnsi="宋体" w:cs="宋体"/>
                <w:color w:val="auto"/>
                <w:highlight w:val="none"/>
              </w:rPr>
              <w:t>姓名</w:t>
            </w:r>
            <w:bookmarkEnd w:id="117"/>
          </w:p>
        </w:tc>
        <w:tc>
          <w:tcPr>
            <w:tcW w:w="816" w:type="dxa"/>
            <w:vMerge w:val="restart"/>
            <w:noWrap w:val="0"/>
            <w:vAlign w:val="center"/>
          </w:tcPr>
          <w:p w14:paraId="7B77FDC8">
            <w:pPr>
              <w:ind w:left="223" w:hanging="222" w:hangingChars="106"/>
              <w:jc w:val="center"/>
              <w:rPr>
                <w:rFonts w:hint="eastAsia" w:ascii="宋体" w:hAnsi="宋体" w:cs="宋体"/>
                <w:color w:val="auto"/>
                <w:highlight w:val="none"/>
              </w:rPr>
            </w:pPr>
            <w:bookmarkStart w:id="118" w:name="_Toc251052188"/>
            <w:r>
              <w:rPr>
                <w:rFonts w:hint="eastAsia" w:ascii="宋体" w:hAnsi="宋体" w:cs="宋体"/>
                <w:color w:val="auto"/>
                <w:highlight w:val="none"/>
              </w:rPr>
              <w:t>职称</w:t>
            </w:r>
            <w:bookmarkEnd w:id="118"/>
          </w:p>
        </w:tc>
        <w:tc>
          <w:tcPr>
            <w:tcW w:w="4592" w:type="dxa"/>
            <w:gridSpan w:val="4"/>
            <w:noWrap w:val="0"/>
            <w:vAlign w:val="center"/>
          </w:tcPr>
          <w:p w14:paraId="3B960141">
            <w:pPr>
              <w:ind w:left="223" w:hanging="222" w:hangingChars="106"/>
              <w:jc w:val="center"/>
              <w:rPr>
                <w:rFonts w:hint="eastAsia" w:ascii="宋体" w:hAnsi="宋体" w:cs="宋体"/>
                <w:color w:val="auto"/>
                <w:highlight w:val="none"/>
              </w:rPr>
            </w:pPr>
            <w:bookmarkStart w:id="119" w:name="_Toc251052189"/>
            <w:r>
              <w:rPr>
                <w:rFonts w:hint="eastAsia" w:ascii="宋体" w:hAnsi="宋体" w:cs="宋体"/>
                <w:color w:val="auto"/>
                <w:highlight w:val="none"/>
              </w:rPr>
              <w:t>执业或职业资格证明</w:t>
            </w:r>
            <w:bookmarkEnd w:id="119"/>
          </w:p>
        </w:tc>
        <w:tc>
          <w:tcPr>
            <w:tcW w:w="2126" w:type="dxa"/>
            <w:gridSpan w:val="2"/>
            <w:noWrap w:val="0"/>
            <w:vAlign w:val="center"/>
          </w:tcPr>
          <w:p w14:paraId="1D49A80E">
            <w:pPr>
              <w:ind w:left="223" w:hanging="222" w:hangingChars="106"/>
              <w:jc w:val="center"/>
              <w:rPr>
                <w:rFonts w:hint="eastAsia" w:ascii="宋体" w:hAnsi="宋体" w:cs="宋体"/>
                <w:color w:val="auto"/>
                <w:highlight w:val="none"/>
              </w:rPr>
            </w:pPr>
            <w:bookmarkStart w:id="120" w:name="_Toc251052190"/>
            <w:r>
              <w:rPr>
                <w:rFonts w:hint="eastAsia" w:ascii="宋体" w:hAnsi="宋体" w:cs="宋体"/>
                <w:color w:val="auto"/>
                <w:highlight w:val="none"/>
              </w:rPr>
              <w:t>承担完工</w:t>
            </w:r>
            <w:bookmarkEnd w:id="120"/>
            <w:bookmarkStart w:id="121" w:name="_Toc251052191"/>
            <w:r>
              <w:rPr>
                <w:rFonts w:hint="eastAsia" w:ascii="宋体" w:hAnsi="宋体" w:cs="宋体"/>
                <w:color w:val="auto"/>
                <w:highlight w:val="none"/>
              </w:rPr>
              <w:t>工程情况</w:t>
            </w:r>
            <w:bookmarkEnd w:id="121"/>
          </w:p>
        </w:tc>
      </w:tr>
      <w:tr w14:paraId="0A9705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4" w:hRule="atLeast"/>
          <w:jc w:val="center"/>
        </w:trPr>
        <w:tc>
          <w:tcPr>
            <w:tcW w:w="993" w:type="dxa"/>
            <w:vMerge w:val="continue"/>
            <w:noWrap w:val="0"/>
            <w:vAlign w:val="center"/>
          </w:tcPr>
          <w:p w14:paraId="185DD631">
            <w:pPr>
              <w:ind w:left="223" w:hanging="222" w:hangingChars="106"/>
              <w:jc w:val="center"/>
              <w:rPr>
                <w:rFonts w:hint="eastAsia" w:ascii="宋体" w:hAnsi="宋体" w:cs="宋体"/>
                <w:color w:val="auto"/>
                <w:highlight w:val="none"/>
              </w:rPr>
            </w:pPr>
          </w:p>
        </w:tc>
        <w:tc>
          <w:tcPr>
            <w:tcW w:w="829" w:type="dxa"/>
            <w:vMerge w:val="continue"/>
            <w:noWrap w:val="0"/>
            <w:vAlign w:val="center"/>
          </w:tcPr>
          <w:p w14:paraId="29A6B549">
            <w:pPr>
              <w:ind w:left="223" w:hanging="222" w:hangingChars="106"/>
              <w:jc w:val="center"/>
              <w:rPr>
                <w:rFonts w:hint="eastAsia" w:ascii="宋体" w:hAnsi="宋体" w:cs="宋体"/>
                <w:color w:val="auto"/>
                <w:highlight w:val="none"/>
              </w:rPr>
            </w:pPr>
          </w:p>
        </w:tc>
        <w:tc>
          <w:tcPr>
            <w:tcW w:w="816" w:type="dxa"/>
            <w:vMerge w:val="continue"/>
            <w:noWrap w:val="0"/>
            <w:vAlign w:val="center"/>
          </w:tcPr>
          <w:p w14:paraId="079C6D4B">
            <w:pPr>
              <w:ind w:left="223" w:hanging="222" w:hangingChars="106"/>
              <w:jc w:val="center"/>
              <w:rPr>
                <w:rFonts w:hint="eastAsia" w:ascii="宋体" w:hAnsi="宋体" w:cs="宋体"/>
                <w:color w:val="auto"/>
                <w:highlight w:val="none"/>
              </w:rPr>
            </w:pPr>
          </w:p>
        </w:tc>
        <w:tc>
          <w:tcPr>
            <w:tcW w:w="1148" w:type="dxa"/>
            <w:noWrap w:val="0"/>
            <w:vAlign w:val="center"/>
          </w:tcPr>
          <w:p w14:paraId="6588DC3C">
            <w:pPr>
              <w:ind w:left="223" w:hanging="222" w:hangingChars="106"/>
              <w:jc w:val="center"/>
              <w:rPr>
                <w:rFonts w:hint="eastAsia" w:ascii="宋体" w:hAnsi="宋体" w:cs="宋体"/>
                <w:color w:val="auto"/>
                <w:highlight w:val="none"/>
              </w:rPr>
            </w:pPr>
            <w:bookmarkStart w:id="122" w:name="_Toc251052192"/>
            <w:r>
              <w:rPr>
                <w:rFonts w:hint="eastAsia" w:ascii="宋体" w:hAnsi="宋体" w:cs="宋体"/>
                <w:color w:val="auto"/>
                <w:highlight w:val="none"/>
              </w:rPr>
              <w:t>证书名称</w:t>
            </w:r>
            <w:bookmarkEnd w:id="122"/>
          </w:p>
        </w:tc>
        <w:tc>
          <w:tcPr>
            <w:tcW w:w="1148" w:type="dxa"/>
            <w:noWrap w:val="0"/>
            <w:vAlign w:val="center"/>
          </w:tcPr>
          <w:p w14:paraId="51F57377">
            <w:pPr>
              <w:ind w:left="223" w:hanging="222" w:hangingChars="106"/>
              <w:jc w:val="center"/>
              <w:rPr>
                <w:rFonts w:hint="eastAsia" w:ascii="宋体" w:hAnsi="宋体" w:cs="宋体"/>
                <w:color w:val="auto"/>
                <w:highlight w:val="none"/>
              </w:rPr>
            </w:pPr>
            <w:bookmarkStart w:id="123" w:name="_Toc251052193"/>
            <w:r>
              <w:rPr>
                <w:rFonts w:hint="eastAsia" w:ascii="宋体" w:hAnsi="宋体" w:cs="宋体"/>
                <w:color w:val="auto"/>
                <w:highlight w:val="none"/>
              </w:rPr>
              <w:t>级别</w:t>
            </w:r>
            <w:bookmarkEnd w:id="123"/>
          </w:p>
        </w:tc>
        <w:tc>
          <w:tcPr>
            <w:tcW w:w="1148" w:type="dxa"/>
            <w:noWrap w:val="0"/>
            <w:vAlign w:val="center"/>
          </w:tcPr>
          <w:p w14:paraId="1FBF454A">
            <w:pPr>
              <w:ind w:left="223" w:hanging="222" w:hangingChars="106"/>
              <w:jc w:val="center"/>
              <w:rPr>
                <w:rFonts w:hint="eastAsia" w:ascii="宋体" w:hAnsi="宋体" w:cs="宋体"/>
                <w:color w:val="auto"/>
                <w:highlight w:val="none"/>
              </w:rPr>
            </w:pPr>
            <w:bookmarkStart w:id="124" w:name="_Toc251052194"/>
            <w:r>
              <w:rPr>
                <w:rFonts w:hint="eastAsia" w:ascii="宋体" w:hAnsi="宋体" w:cs="宋体"/>
                <w:color w:val="auto"/>
                <w:highlight w:val="none"/>
              </w:rPr>
              <w:t>证号</w:t>
            </w:r>
            <w:bookmarkEnd w:id="124"/>
          </w:p>
        </w:tc>
        <w:tc>
          <w:tcPr>
            <w:tcW w:w="1148" w:type="dxa"/>
            <w:noWrap w:val="0"/>
            <w:vAlign w:val="center"/>
          </w:tcPr>
          <w:p w14:paraId="37EEEC1C">
            <w:pPr>
              <w:ind w:left="223" w:hanging="222" w:hangingChars="106"/>
              <w:jc w:val="center"/>
              <w:rPr>
                <w:rFonts w:hint="eastAsia" w:ascii="宋体" w:hAnsi="宋体" w:cs="宋体"/>
                <w:color w:val="auto"/>
                <w:highlight w:val="none"/>
              </w:rPr>
            </w:pPr>
            <w:bookmarkStart w:id="125" w:name="_Toc251052195"/>
            <w:r>
              <w:rPr>
                <w:rFonts w:hint="eastAsia" w:ascii="宋体" w:hAnsi="宋体" w:cs="宋体"/>
                <w:color w:val="auto"/>
                <w:highlight w:val="none"/>
              </w:rPr>
              <w:t>专业</w:t>
            </w:r>
            <w:bookmarkEnd w:id="125"/>
          </w:p>
        </w:tc>
        <w:tc>
          <w:tcPr>
            <w:tcW w:w="850" w:type="dxa"/>
            <w:noWrap w:val="0"/>
            <w:vAlign w:val="center"/>
          </w:tcPr>
          <w:p w14:paraId="639CBDCF">
            <w:pPr>
              <w:ind w:left="223" w:hanging="222" w:hangingChars="106"/>
              <w:jc w:val="center"/>
              <w:rPr>
                <w:rFonts w:hint="eastAsia" w:ascii="宋体" w:hAnsi="宋体" w:cs="宋体"/>
                <w:color w:val="auto"/>
                <w:highlight w:val="none"/>
              </w:rPr>
            </w:pPr>
            <w:bookmarkStart w:id="126" w:name="_Toc251052197"/>
            <w:r>
              <w:rPr>
                <w:rFonts w:hint="eastAsia" w:ascii="宋体" w:hAnsi="宋体" w:cs="宋体"/>
                <w:color w:val="auto"/>
                <w:highlight w:val="none"/>
              </w:rPr>
              <w:t>项目数</w:t>
            </w:r>
            <w:bookmarkEnd w:id="126"/>
          </w:p>
        </w:tc>
        <w:tc>
          <w:tcPr>
            <w:tcW w:w="1276" w:type="dxa"/>
            <w:noWrap w:val="0"/>
            <w:vAlign w:val="center"/>
          </w:tcPr>
          <w:p w14:paraId="4522A0F2">
            <w:pPr>
              <w:ind w:left="223" w:hanging="222" w:hangingChars="106"/>
              <w:jc w:val="center"/>
              <w:rPr>
                <w:rFonts w:hint="eastAsia" w:ascii="宋体" w:hAnsi="宋体" w:cs="宋体"/>
                <w:color w:val="auto"/>
                <w:highlight w:val="none"/>
              </w:rPr>
            </w:pPr>
            <w:bookmarkStart w:id="127" w:name="_Toc251052198"/>
            <w:r>
              <w:rPr>
                <w:rFonts w:hint="eastAsia" w:ascii="宋体" w:hAnsi="宋体" w:cs="宋体"/>
                <w:color w:val="auto"/>
                <w:highlight w:val="none"/>
              </w:rPr>
              <w:t>主要项目</w:t>
            </w:r>
          </w:p>
          <w:p w14:paraId="7D497D6A">
            <w:pPr>
              <w:ind w:left="223" w:hanging="222" w:hangingChars="106"/>
              <w:jc w:val="center"/>
              <w:rPr>
                <w:rFonts w:hint="eastAsia" w:ascii="宋体" w:hAnsi="宋体" w:cs="宋体"/>
                <w:color w:val="auto"/>
                <w:highlight w:val="none"/>
              </w:rPr>
            </w:pPr>
            <w:r>
              <w:rPr>
                <w:rFonts w:hint="eastAsia" w:ascii="宋体" w:hAnsi="宋体" w:cs="宋体"/>
                <w:color w:val="auto"/>
                <w:highlight w:val="none"/>
              </w:rPr>
              <w:t>名称</w:t>
            </w:r>
            <w:bookmarkEnd w:id="127"/>
          </w:p>
        </w:tc>
      </w:tr>
      <w:tr w14:paraId="4E341C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993" w:type="dxa"/>
            <w:noWrap w:val="0"/>
            <w:vAlign w:val="center"/>
          </w:tcPr>
          <w:p w14:paraId="7E1566F1">
            <w:pPr>
              <w:ind w:left="223" w:hanging="222" w:hangingChars="106"/>
              <w:jc w:val="center"/>
              <w:rPr>
                <w:rFonts w:hint="eastAsia" w:ascii="宋体" w:hAnsi="宋体" w:cs="宋体"/>
                <w:color w:val="auto"/>
                <w:szCs w:val="21"/>
                <w:highlight w:val="none"/>
              </w:rPr>
            </w:pPr>
            <w:r>
              <w:rPr>
                <w:rFonts w:hint="eastAsia" w:ascii="宋体" w:hAnsi="宋体" w:cs="宋体"/>
                <w:color w:val="auto"/>
                <w:szCs w:val="21"/>
                <w:highlight w:val="none"/>
              </w:rPr>
              <w:t>施工员</w:t>
            </w:r>
          </w:p>
        </w:tc>
        <w:tc>
          <w:tcPr>
            <w:tcW w:w="829" w:type="dxa"/>
            <w:noWrap w:val="0"/>
            <w:vAlign w:val="center"/>
          </w:tcPr>
          <w:p w14:paraId="50E1CCCF">
            <w:pPr>
              <w:ind w:left="223" w:hanging="222" w:hangingChars="106"/>
              <w:jc w:val="center"/>
              <w:rPr>
                <w:rFonts w:hint="eastAsia" w:ascii="宋体" w:hAnsi="宋体" w:cs="宋体"/>
                <w:color w:val="auto"/>
                <w:highlight w:val="none"/>
              </w:rPr>
            </w:pPr>
          </w:p>
        </w:tc>
        <w:tc>
          <w:tcPr>
            <w:tcW w:w="816" w:type="dxa"/>
            <w:noWrap w:val="0"/>
            <w:vAlign w:val="center"/>
          </w:tcPr>
          <w:p w14:paraId="2C8870F7">
            <w:pPr>
              <w:ind w:left="223" w:hanging="222" w:hangingChars="106"/>
              <w:jc w:val="center"/>
              <w:rPr>
                <w:rFonts w:hint="eastAsia" w:ascii="宋体" w:hAnsi="宋体" w:cs="宋体"/>
                <w:color w:val="auto"/>
                <w:highlight w:val="none"/>
              </w:rPr>
            </w:pPr>
          </w:p>
        </w:tc>
        <w:tc>
          <w:tcPr>
            <w:tcW w:w="1148" w:type="dxa"/>
            <w:noWrap w:val="0"/>
            <w:vAlign w:val="center"/>
          </w:tcPr>
          <w:p w14:paraId="6EF212AD">
            <w:pPr>
              <w:ind w:left="223" w:hanging="222" w:hangingChars="106"/>
              <w:jc w:val="center"/>
              <w:rPr>
                <w:rFonts w:hint="eastAsia" w:ascii="宋体" w:hAnsi="宋体" w:cs="宋体"/>
                <w:color w:val="auto"/>
                <w:highlight w:val="none"/>
              </w:rPr>
            </w:pPr>
          </w:p>
        </w:tc>
        <w:tc>
          <w:tcPr>
            <w:tcW w:w="1148" w:type="dxa"/>
            <w:noWrap w:val="0"/>
            <w:vAlign w:val="center"/>
          </w:tcPr>
          <w:p w14:paraId="58D6A1E6">
            <w:pPr>
              <w:ind w:left="223" w:hanging="222" w:hangingChars="106"/>
              <w:jc w:val="center"/>
              <w:rPr>
                <w:rFonts w:hint="eastAsia" w:ascii="宋体" w:hAnsi="宋体" w:cs="宋体"/>
                <w:color w:val="auto"/>
                <w:highlight w:val="none"/>
              </w:rPr>
            </w:pPr>
          </w:p>
        </w:tc>
        <w:tc>
          <w:tcPr>
            <w:tcW w:w="1148" w:type="dxa"/>
            <w:noWrap w:val="0"/>
            <w:vAlign w:val="center"/>
          </w:tcPr>
          <w:p w14:paraId="3C90E084">
            <w:pPr>
              <w:ind w:left="223" w:hanging="222" w:hangingChars="106"/>
              <w:jc w:val="center"/>
              <w:rPr>
                <w:rFonts w:hint="eastAsia" w:ascii="宋体" w:hAnsi="宋体" w:cs="宋体"/>
                <w:color w:val="auto"/>
                <w:highlight w:val="none"/>
              </w:rPr>
            </w:pPr>
          </w:p>
        </w:tc>
        <w:tc>
          <w:tcPr>
            <w:tcW w:w="1148" w:type="dxa"/>
            <w:noWrap w:val="0"/>
            <w:vAlign w:val="center"/>
          </w:tcPr>
          <w:p w14:paraId="5D38E019">
            <w:pPr>
              <w:ind w:left="223" w:hanging="222" w:hangingChars="106"/>
              <w:jc w:val="center"/>
              <w:rPr>
                <w:rFonts w:hint="eastAsia" w:ascii="宋体" w:hAnsi="宋体" w:cs="宋体"/>
                <w:color w:val="auto"/>
                <w:highlight w:val="none"/>
              </w:rPr>
            </w:pPr>
          </w:p>
        </w:tc>
        <w:tc>
          <w:tcPr>
            <w:tcW w:w="850" w:type="dxa"/>
            <w:noWrap w:val="0"/>
            <w:vAlign w:val="center"/>
          </w:tcPr>
          <w:p w14:paraId="75635E86">
            <w:pPr>
              <w:ind w:left="223" w:hanging="222" w:hangingChars="106"/>
              <w:jc w:val="center"/>
              <w:rPr>
                <w:rFonts w:hint="eastAsia" w:ascii="宋体" w:hAnsi="宋体" w:cs="宋体"/>
                <w:color w:val="auto"/>
                <w:highlight w:val="none"/>
              </w:rPr>
            </w:pPr>
          </w:p>
        </w:tc>
        <w:tc>
          <w:tcPr>
            <w:tcW w:w="1276" w:type="dxa"/>
            <w:noWrap w:val="0"/>
            <w:vAlign w:val="center"/>
          </w:tcPr>
          <w:p w14:paraId="6DC33BA6">
            <w:pPr>
              <w:ind w:left="223" w:hanging="222" w:hangingChars="106"/>
              <w:jc w:val="center"/>
              <w:rPr>
                <w:rFonts w:hint="eastAsia" w:ascii="宋体" w:hAnsi="宋体" w:cs="宋体"/>
                <w:color w:val="auto"/>
                <w:highlight w:val="none"/>
              </w:rPr>
            </w:pPr>
          </w:p>
        </w:tc>
      </w:tr>
      <w:tr w14:paraId="4B0149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993" w:type="dxa"/>
            <w:noWrap w:val="0"/>
            <w:vAlign w:val="center"/>
          </w:tcPr>
          <w:p w14:paraId="29A1C665">
            <w:pPr>
              <w:ind w:left="223" w:hanging="222" w:hangingChars="106"/>
              <w:jc w:val="center"/>
              <w:rPr>
                <w:rFonts w:hint="eastAsia" w:ascii="宋体" w:hAnsi="宋体" w:cs="宋体"/>
                <w:color w:val="auto"/>
                <w:szCs w:val="21"/>
                <w:highlight w:val="none"/>
              </w:rPr>
            </w:pPr>
            <w:r>
              <w:rPr>
                <w:rFonts w:hint="eastAsia" w:ascii="宋体" w:hAnsi="宋体" w:cs="宋体"/>
                <w:color w:val="auto"/>
                <w:szCs w:val="21"/>
                <w:highlight w:val="none"/>
              </w:rPr>
              <w:t>质量员</w:t>
            </w:r>
          </w:p>
        </w:tc>
        <w:tc>
          <w:tcPr>
            <w:tcW w:w="829" w:type="dxa"/>
            <w:noWrap w:val="0"/>
            <w:vAlign w:val="center"/>
          </w:tcPr>
          <w:p w14:paraId="2D98F090">
            <w:pPr>
              <w:ind w:left="223" w:hanging="222" w:hangingChars="106"/>
              <w:jc w:val="center"/>
              <w:rPr>
                <w:rFonts w:hint="eastAsia" w:ascii="宋体" w:hAnsi="宋体" w:cs="宋体"/>
                <w:color w:val="auto"/>
                <w:highlight w:val="none"/>
              </w:rPr>
            </w:pPr>
          </w:p>
        </w:tc>
        <w:tc>
          <w:tcPr>
            <w:tcW w:w="816" w:type="dxa"/>
            <w:noWrap w:val="0"/>
            <w:vAlign w:val="center"/>
          </w:tcPr>
          <w:p w14:paraId="6712E215">
            <w:pPr>
              <w:ind w:left="223" w:hanging="222" w:hangingChars="106"/>
              <w:jc w:val="center"/>
              <w:rPr>
                <w:rFonts w:hint="eastAsia" w:ascii="宋体" w:hAnsi="宋体" w:cs="宋体"/>
                <w:color w:val="auto"/>
                <w:highlight w:val="none"/>
              </w:rPr>
            </w:pPr>
          </w:p>
        </w:tc>
        <w:tc>
          <w:tcPr>
            <w:tcW w:w="1148" w:type="dxa"/>
            <w:noWrap w:val="0"/>
            <w:vAlign w:val="center"/>
          </w:tcPr>
          <w:p w14:paraId="658E08DA">
            <w:pPr>
              <w:ind w:left="223" w:hanging="222" w:hangingChars="106"/>
              <w:jc w:val="center"/>
              <w:rPr>
                <w:rFonts w:hint="eastAsia" w:ascii="宋体" w:hAnsi="宋体" w:cs="宋体"/>
                <w:color w:val="auto"/>
                <w:highlight w:val="none"/>
              </w:rPr>
            </w:pPr>
          </w:p>
        </w:tc>
        <w:tc>
          <w:tcPr>
            <w:tcW w:w="1148" w:type="dxa"/>
            <w:noWrap w:val="0"/>
            <w:vAlign w:val="center"/>
          </w:tcPr>
          <w:p w14:paraId="0A657DC7">
            <w:pPr>
              <w:ind w:left="223" w:hanging="222" w:hangingChars="106"/>
              <w:jc w:val="center"/>
              <w:rPr>
                <w:rFonts w:hint="eastAsia" w:ascii="宋体" w:hAnsi="宋体" w:cs="宋体"/>
                <w:color w:val="auto"/>
                <w:highlight w:val="none"/>
              </w:rPr>
            </w:pPr>
          </w:p>
        </w:tc>
        <w:tc>
          <w:tcPr>
            <w:tcW w:w="1148" w:type="dxa"/>
            <w:noWrap w:val="0"/>
            <w:vAlign w:val="center"/>
          </w:tcPr>
          <w:p w14:paraId="4DAD95ED">
            <w:pPr>
              <w:ind w:left="223" w:hanging="222" w:hangingChars="106"/>
              <w:jc w:val="center"/>
              <w:rPr>
                <w:rFonts w:hint="eastAsia" w:ascii="宋体" w:hAnsi="宋体" w:cs="宋体"/>
                <w:color w:val="auto"/>
                <w:highlight w:val="none"/>
              </w:rPr>
            </w:pPr>
          </w:p>
        </w:tc>
        <w:tc>
          <w:tcPr>
            <w:tcW w:w="1148" w:type="dxa"/>
            <w:noWrap w:val="0"/>
            <w:vAlign w:val="center"/>
          </w:tcPr>
          <w:p w14:paraId="0C166371">
            <w:pPr>
              <w:ind w:left="223" w:hanging="222" w:hangingChars="106"/>
              <w:jc w:val="center"/>
              <w:rPr>
                <w:rFonts w:hint="eastAsia" w:ascii="宋体" w:hAnsi="宋体" w:cs="宋体"/>
                <w:color w:val="auto"/>
                <w:highlight w:val="none"/>
              </w:rPr>
            </w:pPr>
          </w:p>
        </w:tc>
        <w:tc>
          <w:tcPr>
            <w:tcW w:w="850" w:type="dxa"/>
            <w:noWrap w:val="0"/>
            <w:vAlign w:val="center"/>
          </w:tcPr>
          <w:p w14:paraId="324129A1">
            <w:pPr>
              <w:ind w:left="223" w:hanging="222" w:hangingChars="106"/>
              <w:jc w:val="center"/>
              <w:rPr>
                <w:rFonts w:hint="eastAsia" w:ascii="宋体" w:hAnsi="宋体" w:cs="宋体"/>
                <w:color w:val="auto"/>
                <w:highlight w:val="none"/>
              </w:rPr>
            </w:pPr>
          </w:p>
        </w:tc>
        <w:tc>
          <w:tcPr>
            <w:tcW w:w="1276" w:type="dxa"/>
            <w:noWrap w:val="0"/>
            <w:vAlign w:val="center"/>
          </w:tcPr>
          <w:p w14:paraId="385610E3">
            <w:pPr>
              <w:ind w:left="223" w:hanging="222" w:hangingChars="106"/>
              <w:jc w:val="center"/>
              <w:rPr>
                <w:rFonts w:hint="eastAsia" w:ascii="宋体" w:hAnsi="宋体" w:cs="宋体"/>
                <w:color w:val="auto"/>
                <w:highlight w:val="none"/>
              </w:rPr>
            </w:pPr>
          </w:p>
        </w:tc>
      </w:tr>
      <w:tr w14:paraId="4C35E5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993" w:type="dxa"/>
            <w:vMerge w:val="restart"/>
            <w:noWrap w:val="0"/>
            <w:vAlign w:val="center"/>
          </w:tcPr>
          <w:p w14:paraId="3F8DBC20">
            <w:pPr>
              <w:ind w:left="223" w:hanging="222" w:hangingChars="106"/>
              <w:jc w:val="center"/>
              <w:rPr>
                <w:rFonts w:hint="eastAsia" w:ascii="宋体" w:hAnsi="宋体" w:cs="宋体"/>
                <w:color w:val="auto"/>
                <w:szCs w:val="21"/>
                <w:highlight w:val="none"/>
              </w:rPr>
            </w:pPr>
            <w:r>
              <w:rPr>
                <w:rFonts w:hint="eastAsia" w:ascii="宋体" w:hAnsi="宋体" w:cs="宋体"/>
                <w:color w:val="auto"/>
                <w:szCs w:val="21"/>
                <w:highlight w:val="none"/>
              </w:rPr>
              <w:t>安全员</w:t>
            </w:r>
          </w:p>
        </w:tc>
        <w:tc>
          <w:tcPr>
            <w:tcW w:w="829" w:type="dxa"/>
            <w:noWrap w:val="0"/>
            <w:vAlign w:val="center"/>
          </w:tcPr>
          <w:p w14:paraId="6BDB4B06">
            <w:pPr>
              <w:ind w:left="223" w:hanging="222" w:hangingChars="106"/>
              <w:jc w:val="center"/>
              <w:rPr>
                <w:rFonts w:hint="eastAsia" w:ascii="宋体" w:hAnsi="宋体" w:cs="宋体"/>
                <w:color w:val="auto"/>
                <w:highlight w:val="none"/>
              </w:rPr>
            </w:pPr>
          </w:p>
        </w:tc>
        <w:tc>
          <w:tcPr>
            <w:tcW w:w="816" w:type="dxa"/>
            <w:noWrap w:val="0"/>
            <w:vAlign w:val="center"/>
          </w:tcPr>
          <w:p w14:paraId="79867BB3">
            <w:pPr>
              <w:ind w:left="223" w:hanging="222" w:hangingChars="106"/>
              <w:jc w:val="center"/>
              <w:rPr>
                <w:rFonts w:hint="eastAsia" w:ascii="宋体" w:hAnsi="宋体" w:cs="宋体"/>
                <w:color w:val="auto"/>
                <w:highlight w:val="none"/>
              </w:rPr>
            </w:pPr>
          </w:p>
        </w:tc>
        <w:tc>
          <w:tcPr>
            <w:tcW w:w="1148" w:type="dxa"/>
            <w:noWrap w:val="0"/>
            <w:vAlign w:val="center"/>
          </w:tcPr>
          <w:p w14:paraId="0BAAFA0A">
            <w:pPr>
              <w:ind w:left="223" w:hanging="222" w:hangingChars="106"/>
              <w:jc w:val="center"/>
              <w:rPr>
                <w:rFonts w:hint="eastAsia" w:ascii="宋体" w:hAnsi="宋体" w:cs="宋体"/>
                <w:color w:val="auto"/>
                <w:highlight w:val="none"/>
              </w:rPr>
            </w:pPr>
          </w:p>
        </w:tc>
        <w:tc>
          <w:tcPr>
            <w:tcW w:w="1148" w:type="dxa"/>
            <w:noWrap w:val="0"/>
            <w:vAlign w:val="center"/>
          </w:tcPr>
          <w:p w14:paraId="4B4079BF">
            <w:pPr>
              <w:ind w:left="223" w:hanging="222" w:hangingChars="106"/>
              <w:jc w:val="center"/>
              <w:rPr>
                <w:rFonts w:hint="eastAsia" w:ascii="宋体" w:hAnsi="宋体" w:cs="宋体"/>
                <w:color w:val="auto"/>
                <w:highlight w:val="none"/>
              </w:rPr>
            </w:pPr>
          </w:p>
        </w:tc>
        <w:tc>
          <w:tcPr>
            <w:tcW w:w="1148" w:type="dxa"/>
            <w:noWrap w:val="0"/>
            <w:vAlign w:val="center"/>
          </w:tcPr>
          <w:p w14:paraId="353CAB81">
            <w:pPr>
              <w:ind w:left="223" w:hanging="222" w:hangingChars="106"/>
              <w:jc w:val="center"/>
              <w:rPr>
                <w:rFonts w:hint="eastAsia" w:ascii="宋体" w:hAnsi="宋体" w:cs="宋体"/>
                <w:color w:val="auto"/>
                <w:highlight w:val="none"/>
              </w:rPr>
            </w:pPr>
          </w:p>
        </w:tc>
        <w:tc>
          <w:tcPr>
            <w:tcW w:w="1148" w:type="dxa"/>
            <w:noWrap w:val="0"/>
            <w:vAlign w:val="center"/>
          </w:tcPr>
          <w:p w14:paraId="4D226D50">
            <w:pPr>
              <w:ind w:left="223" w:hanging="222" w:hangingChars="106"/>
              <w:jc w:val="center"/>
              <w:rPr>
                <w:rFonts w:hint="eastAsia" w:ascii="宋体" w:hAnsi="宋体" w:cs="宋体"/>
                <w:color w:val="auto"/>
                <w:highlight w:val="none"/>
              </w:rPr>
            </w:pPr>
          </w:p>
        </w:tc>
        <w:tc>
          <w:tcPr>
            <w:tcW w:w="850" w:type="dxa"/>
            <w:noWrap w:val="0"/>
            <w:vAlign w:val="center"/>
          </w:tcPr>
          <w:p w14:paraId="0FE5D271">
            <w:pPr>
              <w:ind w:left="223" w:hanging="222" w:hangingChars="106"/>
              <w:jc w:val="center"/>
              <w:rPr>
                <w:rFonts w:hint="eastAsia" w:ascii="宋体" w:hAnsi="宋体" w:cs="宋体"/>
                <w:color w:val="auto"/>
                <w:highlight w:val="none"/>
              </w:rPr>
            </w:pPr>
          </w:p>
        </w:tc>
        <w:tc>
          <w:tcPr>
            <w:tcW w:w="1276" w:type="dxa"/>
            <w:noWrap w:val="0"/>
            <w:vAlign w:val="center"/>
          </w:tcPr>
          <w:p w14:paraId="17178BE8">
            <w:pPr>
              <w:ind w:left="223" w:hanging="222" w:hangingChars="106"/>
              <w:jc w:val="center"/>
              <w:rPr>
                <w:rFonts w:hint="eastAsia" w:ascii="宋体" w:hAnsi="宋体" w:cs="宋体"/>
                <w:color w:val="auto"/>
                <w:highlight w:val="none"/>
              </w:rPr>
            </w:pPr>
          </w:p>
        </w:tc>
      </w:tr>
      <w:tr w14:paraId="040F15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993" w:type="dxa"/>
            <w:vMerge w:val="continue"/>
            <w:noWrap w:val="0"/>
            <w:vAlign w:val="center"/>
          </w:tcPr>
          <w:p w14:paraId="78E11A40">
            <w:pPr>
              <w:ind w:left="223" w:hanging="222" w:hangingChars="106"/>
              <w:jc w:val="center"/>
              <w:rPr>
                <w:rFonts w:hint="eastAsia" w:ascii="宋体" w:hAnsi="宋体" w:cs="宋体"/>
                <w:color w:val="auto"/>
                <w:szCs w:val="21"/>
                <w:highlight w:val="none"/>
              </w:rPr>
            </w:pPr>
          </w:p>
        </w:tc>
        <w:tc>
          <w:tcPr>
            <w:tcW w:w="829" w:type="dxa"/>
            <w:noWrap w:val="0"/>
            <w:vAlign w:val="center"/>
          </w:tcPr>
          <w:p w14:paraId="53C03DE1">
            <w:pPr>
              <w:ind w:left="223" w:hanging="222" w:hangingChars="106"/>
              <w:jc w:val="center"/>
              <w:rPr>
                <w:rFonts w:hint="eastAsia" w:ascii="宋体" w:hAnsi="宋体" w:cs="宋体"/>
                <w:color w:val="auto"/>
                <w:highlight w:val="none"/>
              </w:rPr>
            </w:pPr>
          </w:p>
        </w:tc>
        <w:tc>
          <w:tcPr>
            <w:tcW w:w="816" w:type="dxa"/>
            <w:noWrap w:val="0"/>
            <w:vAlign w:val="center"/>
          </w:tcPr>
          <w:p w14:paraId="5F93F016">
            <w:pPr>
              <w:ind w:left="223" w:hanging="222" w:hangingChars="106"/>
              <w:jc w:val="center"/>
              <w:rPr>
                <w:rFonts w:hint="eastAsia" w:ascii="宋体" w:hAnsi="宋体" w:cs="宋体"/>
                <w:color w:val="auto"/>
                <w:highlight w:val="none"/>
              </w:rPr>
            </w:pPr>
          </w:p>
        </w:tc>
        <w:tc>
          <w:tcPr>
            <w:tcW w:w="1148" w:type="dxa"/>
            <w:noWrap w:val="0"/>
            <w:vAlign w:val="center"/>
          </w:tcPr>
          <w:p w14:paraId="149DFB4C">
            <w:pPr>
              <w:ind w:left="223" w:hanging="222" w:hangingChars="106"/>
              <w:jc w:val="center"/>
              <w:rPr>
                <w:rFonts w:hint="eastAsia" w:ascii="宋体" w:hAnsi="宋体" w:cs="宋体"/>
                <w:color w:val="auto"/>
                <w:highlight w:val="none"/>
              </w:rPr>
            </w:pPr>
          </w:p>
        </w:tc>
        <w:tc>
          <w:tcPr>
            <w:tcW w:w="1148" w:type="dxa"/>
            <w:noWrap w:val="0"/>
            <w:vAlign w:val="center"/>
          </w:tcPr>
          <w:p w14:paraId="29C3141D">
            <w:pPr>
              <w:ind w:left="223" w:hanging="222" w:hangingChars="106"/>
              <w:jc w:val="center"/>
              <w:rPr>
                <w:rFonts w:hint="eastAsia" w:ascii="宋体" w:hAnsi="宋体" w:cs="宋体"/>
                <w:color w:val="auto"/>
                <w:highlight w:val="none"/>
              </w:rPr>
            </w:pPr>
          </w:p>
        </w:tc>
        <w:tc>
          <w:tcPr>
            <w:tcW w:w="1148" w:type="dxa"/>
            <w:noWrap w:val="0"/>
            <w:vAlign w:val="center"/>
          </w:tcPr>
          <w:p w14:paraId="7E59F6F0">
            <w:pPr>
              <w:ind w:left="223" w:hanging="222" w:hangingChars="106"/>
              <w:jc w:val="center"/>
              <w:rPr>
                <w:rFonts w:hint="eastAsia" w:ascii="宋体" w:hAnsi="宋体" w:cs="宋体"/>
                <w:color w:val="auto"/>
                <w:highlight w:val="none"/>
              </w:rPr>
            </w:pPr>
          </w:p>
        </w:tc>
        <w:tc>
          <w:tcPr>
            <w:tcW w:w="1148" w:type="dxa"/>
            <w:noWrap w:val="0"/>
            <w:vAlign w:val="center"/>
          </w:tcPr>
          <w:p w14:paraId="7DC84E8C">
            <w:pPr>
              <w:ind w:left="223" w:hanging="222" w:hangingChars="106"/>
              <w:jc w:val="center"/>
              <w:rPr>
                <w:rFonts w:hint="eastAsia" w:ascii="宋体" w:hAnsi="宋体" w:cs="宋体"/>
                <w:color w:val="auto"/>
                <w:highlight w:val="none"/>
              </w:rPr>
            </w:pPr>
          </w:p>
        </w:tc>
        <w:tc>
          <w:tcPr>
            <w:tcW w:w="850" w:type="dxa"/>
            <w:noWrap w:val="0"/>
            <w:vAlign w:val="center"/>
          </w:tcPr>
          <w:p w14:paraId="49A12594">
            <w:pPr>
              <w:ind w:left="223" w:hanging="222" w:hangingChars="106"/>
              <w:jc w:val="center"/>
              <w:rPr>
                <w:rFonts w:hint="eastAsia" w:ascii="宋体" w:hAnsi="宋体" w:cs="宋体"/>
                <w:color w:val="auto"/>
                <w:highlight w:val="none"/>
              </w:rPr>
            </w:pPr>
          </w:p>
        </w:tc>
        <w:tc>
          <w:tcPr>
            <w:tcW w:w="1276" w:type="dxa"/>
            <w:noWrap w:val="0"/>
            <w:vAlign w:val="center"/>
          </w:tcPr>
          <w:p w14:paraId="1C3C5432">
            <w:pPr>
              <w:ind w:left="223" w:hanging="222" w:hangingChars="106"/>
              <w:jc w:val="center"/>
              <w:rPr>
                <w:rFonts w:hint="eastAsia" w:ascii="宋体" w:hAnsi="宋体" w:cs="宋体"/>
                <w:color w:val="auto"/>
                <w:highlight w:val="none"/>
              </w:rPr>
            </w:pPr>
          </w:p>
        </w:tc>
      </w:tr>
      <w:tr w14:paraId="56CB88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993" w:type="dxa"/>
            <w:vMerge w:val="continue"/>
            <w:noWrap w:val="0"/>
            <w:vAlign w:val="center"/>
          </w:tcPr>
          <w:p w14:paraId="3293103C">
            <w:pPr>
              <w:ind w:left="223" w:hanging="222" w:hangingChars="106"/>
              <w:jc w:val="center"/>
              <w:rPr>
                <w:rFonts w:hint="eastAsia" w:ascii="宋体" w:hAnsi="宋体" w:cs="宋体"/>
                <w:color w:val="auto"/>
                <w:szCs w:val="21"/>
                <w:highlight w:val="none"/>
              </w:rPr>
            </w:pPr>
          </w:p>
        </w:tc>
        <w:tc>
          <w:tcPr>
            <w:tcW w:w="829" w:type="dxa"/>
            <w:noWrap w:val="0"/>
            <w:vAlign w:val="center"/>
          </w:tcPr>
          <w:p w14:paraId="2EB65884">
            <w:pPr>
              <w:ind w:left="223" w:hanging="222" w:hangingChars="106"/>
              <w:jc w:val="center"/>
              <w:rPr>
                <w:rFonts w:hint="eastAsia" w:ascii="宋体" w:hAnsi="宋体" w:cs="宋体"/>
                <w:color w:val="auto"/>
                <w:highlight w:val="none"/>
              </w:rPr>
            </w:pPr>
          </w:p>
        </w:tc>
        <w:tc>
          <w:tcPr>
            <w:tcW w:w="816" w:type="dxa"/>
            <w:noWrap w:val="0"/>
            <w:vAlign w:val="center"/>
          </w:tcPr>
          <w:p w14:paraId="46CD71BE">
            <w:pPr>
              <w:ind w:left="223" w:hanging="222" w:hangingChars="106"/>
              <w:jc w:val="center"/>
              <w:rPr>
                <w:rFonts w:hint="eastAsia" w:ascii="宋体" w:hAnsi="宋体" w:cs="宋体"/>
                <w:color w:val="auto"/>
                <w:highlight w:val="none"/>
              </w:rPr>
            </w:pPr>
          </w:p>
        </w:tc>
        <w:tc>
          <w:tcPr>
            <w:tcW w:w="1148" w:type="dxa"/>
            <w:noWrap w:val="0"/>
            <w:vAlign w:val="center"/>
          </w:tcPr>
          <w:p w14:paraId="6DD32087">
            <w:pPr>
              <w:ind w:left="223" w:hanging="222" w:hangingChars="106"/>
              <w:jc w:val="center"/>
              <w:rPr>
                <w:rFonts w:hint="eastAsia" w:ascii="宋体" w:hAnsi="宋体" w:cs="宋体"/>
                <w:color w:val="auto"/>
                <w:highlight w:val="none"/>
              </w:rPr>
            </w:pPr>
          </w:p>
        </w:tc>
        <w:tc>
          <w:tcPr>
            <w:tcW w:w="1148" w:type="dxa"/>
            <w:noWrap w:val="0"/>
            <w:vAlign w:val="center"/>
          </w:tcPr>
          <w:p w14:paraId="12FCE25B">
            <w:pPr>
              <w:ind w:left="223" w:hanging="222" w:hangingChars="106"/>
              <w:jc w:val="center"/>
              <w:rPr>
                <w:rFonts w:hint="eastAsia" w:ascii="宋体" w:hAnsi="宋体" w:cs="宋体"/>
                <w:color w:val="auto"/>
                <w:highlight w:val="none"/>
              </w:rPr>
            </w:pPr>
          </w:p>
        </w:tc>
        <w:tc>
          <w:tcPr>
            <w:tcW w:w="1148" w:type="dxa"/>
            <w:noWrap w:val="0"/>
            <w:vAlign w:val="center"/>
          </w:tcPr>
          <w:p w14:paraId="263B6597">
            <w:pPr>
              <w:ind w:left="223" w:hanging="222" w:hangingChars="106"/>
              <w:jc w:val="center"/>
              <w:rPr>
                <w:rFonts w:hint="eastAsia" w:ascii="宋体" w:hAnsi="宋体" w:cs="宋体"/>
                <w:color w:val="auto"/>
                <w:highlight w:val="none"/>
              </w:rPr>
            </w:pPr>
          </w:p>
        </w:tc>
        <w:tc>
          <w:tcPr>
            <w:tcW w:w="1148" w:type="dxa"/>
            <w:noWrap w:val="0"/>
            <w:vAlign w:val="center"/>
          </w:tcPr>
          <w:p w14:paraId="0751209A">
            <w:pPr>
              <w:ind w:left="223" w:hanging="222" w:hangingChars="106"/>
              <w:jc w:val="center"/>
              <w:rPr>
                <w:rFonts w:hint="eastAsia" w:ascii="宋体" w:hAnsi="宋体" w:cs="宋体"/>
                <w:color w:val="auto"/>
                <w:highlight w:val="none"/>
              </w:rPr>
            </w:pPr>
          </w:p>
        </w:tc>
        <w:tc>
          <w:tcPr>
            <w:tcW w:w="850" w:type="dxa"/>
            <w:noWrap w:val="0"/>
            <w:vAlign w:val="center"/>
          </w:tcPr>
          <w:p w14:paraId="2CE3D23E">
            <w:pPr>
              <w:ind w:left="223" w:hanging="222" w:hangingChars="106"/>
              <w:jc w:val="center"/>
              <w:rPr>
                <w:rFonts w:hint="eastAsia" w:ascii="宋体" w:hAnsi="宋体" w:cs="宋体"/>
                <w:color w:val="auto"/>
                <w:highlight w:val="none"/>
              </w:rPr>
            </w:pPr>
          </w:p>
        </w:tc>
        <w:tc>
          <w:tcPr>
            <w:tcW w:w="1276" w:type="dxa"/>
            <w:noWrap w:val="0"/>
            <w:vAlign w:val="center"/>
          </w:tcPr>
          <w:p w14:paraId="7CA09436">
            <w:pPr>
              <w:ind w:left="223" w:hanging="222" w:hangingChars="106"/>
              <w:jc w:val="center"/>
              <w:rPr>
                <w:rFonts w:hint="eastAsia" w:ascii="宋体" w:hAnsi="宋体" w:cs="宋体"/>
                <w:color w:val="auto"/>
                <w:highlight w:val="none"/>
              </w:rPr>
            </w:pPr>
          </w:p>
        </w:tc>
      </w:tr>
      <w:tr w14:paraId="6C165F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993" w:type="dxa"/>
            <w:noWrap w:val="0"/>
            <w:vAlign w:val="center"/>
          </w:tcPr>
          <w:p w14:paraId="13F08227">
            <w:pPr>
              <w:ind w:left="223" w:hanging="222" w:hangingChars="106"/>
              <w:jc w:val="center"/>
              <w:rPr>
                <w:rFonts w:hint="eastAsia" w:ascii="宋体" w:hAnsi="宋体" w:cs="宋体"/>
                <w:color w:val="auto"/>
                <w:szCs w:val="21"/>
                <w:highlight w:val="none"/>
              </w:rPr>
            </w:pPr>
            <w:r>
              <w:rPr>
                <w:rFonts w:hint="eastAsia" w:ascii="宋体" w:hAnsi="宋体" w:cs="宋体"/>
                <w:color w:val="auto"/>
                <w:szCs w:val="21"/>
                <w:highlight w:val="none"/>
              </w:rPr>
              <w:t>材料员</w:t>
            </w:r>
          </w:p>
        </w:tc>
        <w:tc>
          <w:tcPr>
            <w:tcW w:w="829" w:type="dxa"/>
            <w:noWrap w:val="0"/>
            <w:vAlign w:val="center"/>
          </w:tcPr>
          <w:p w14:paraId="3852B718">
            <w:pPr>
              <w:ind w:left="223" w:hanging="222" w:hangingChars="106"/>
              <w:jc w:val="center"/>
              <w:rPr>
                <w:rFonts w:hint="eastAsia" w:ascii="宋体" w:hAnsi="宋体" w:cs="宋体"/>
                <w:color w:val="auto"/>
                <w:highlight w:val="none"/>
              </w:rPr>
            </w:pPr>
          </w:p>
        </w:tc>
        <w:tc>
          <w:tcPr>
            <w:tcW w:w="816" w:type="dxa"/>
            <w:noWrap w:val="0"/>
            <w:vAlign w:val="center"/>
          </w:tcPr>
          <w:p w14:paraId="3A39EE74">
            <w:pPr>
              <w:ind w:left="223" w:hanging="222" w:hangingChars="106"/>
              <w:jc w:val="center"/>
              <w:rPr>
                <w:rFonts w:hint="eastAsia" w:ascii="宋体" w:hAnsi="宋体" w:cs="宋体"/>
                <w:color w:val="auto"/>
                <w:highlight w:val="none"/>
              </w:rPr>
            </w:pPr>
          </w:p>
        </w:tc>
        <w:tc>
          <w:tcPr>
            <w:tcW w:w="1148" w:type="dxa"/>
            <w:noWrap w:val="0"/>
            <w:vAlign w:val="center"/>
          </w:tcPr>
          <w:p w14:paraId="75C42A48">
            <w:pPr>
              <w:ind w:left="223" w:hanging="222" w:hangingChars="106"/>
              <w:jc w:val="center"/>
              <w:rPr>
                <w:rFonts w:hint="eastAsia" w:ascii="宋体" w:hAnsi="宋体" w:cs="宋体"/>
                <w:color w:val="auto"/>
                <w:highlight w:val="none"/>
              </w:rPr>
            </w:pPr>
          </w:p>
        </w:tc>
        <w:tc>
          <w:tcPr>
            <w:tcW w:w="1148" w:type="dxa"/>
            <w:noWrap w:val="0"/>
            <w:vAlign w:val="center"/>
          </w:tcPr>
          <w:p w14:paraId="0C0473D9">
            <w:pPr>
              <w:ind w:left="223" w:hanging="222" w:hangingChars="106"/>
              <w:jc w:val="center"/>
              <w:rPr>
                <w:rFonts w:hint="eastAsia" w:ascii="宋体" w:hAnsi="宋体" w:cs="宋体"/>
                <w:color w:val="auto"/>
                <w:highlight w:val="none"/>
              </w:rPr>
            </w:pPr>
          </w:p>
        </w:tc>
        <w:tc>
          <w:tcPr>
            <w:tcW w:w="1148" w:type="dxa"/>
            <w:noWrap w:val="0"/>
            <w:vAlign w:val="center"/>
          </w:tcPr>
          <w:p w14:paraId="657B15AB">
            <w:pPr>
              <w:ind w:left="223" w:hanging="222" w:hangingChars="106"/>
              <w:jc w:val="center"/>
              <w:rPr>
                <w:rFonts w:hint="eastAsia" w:ascii="宋体" w:hAnsi="宋体" w:cs="宋体"/>
                <w:color w:val="auto"/>
                <w:highlight w:val="none"/>
              </w:rPr>
            </w:pPr>
          </w:p>
        </w:tc>
        <w:tc>
          <w:tcPr>
            <w:tcW w:w="1148" w:type="dxa"/>
            <w:noWrap w:val="0"/>
            <w:vAlign w:val="center"/>
          </w:tcPr>
          <w:p w14:paraId="587A2BDD">
            <w:pPr>
              <w:ind w:left="223" w:hanging="222" w:hangingChars="106"/>
              <w:jc w:val="center"/>
              <w:rPr>
                <w:rFonts w:hint="eastAsia" w:ascii="宋体" w:hAnsi="宋体" w:cs="宋体"/>
                <w:color w:val="auto"/>
                <w:highlight w:val="none"/>
              </w:rPr>
            </w:pPr>
          </w:p>
        </w:tc>
        <w:tc>
          <w:tcPr>
            <w:tcW w:w="850" w:type="dxa"/>
            <w:noWrap w:val="0"/>
            <w:vAlign w:val="center"/>
          </w:tcPr>
          <w:p w14:paraId="2FE632D7">
            <w:pPr>
              <w:ind w:left="223" w:hanging="222" w:hangingChars="106"/>
              <w:jc w:val="center"/>
              <w:rPr>
                <w:rFonts w:hint="eastAsia" w:ascii="宋体" w:hAnsi="宋体" w:cs="宋体"/>
                <w:color w:val="auto"/>
                <w:highlight w:val="none"/>
              </w:rPr>
            </w:pPr>
          </w:p>
        </w:tc>
        <w:tc>
          <w:tcPr>
            <w:tcW w:w="1276" w:type="dxa"/>
            <w:noWrap w:val="0"/>
            <w:vAlign w:val="center"/>
          </w:tcPr>
          <w:p w14:paraId="3136C19F">
            <w:pPr>
              <w:ind w:left="223" w:hanging="222" w:hangingChars="106"/>
              <w:jc w:val="center"/>
              <w:rPr>
                <w:rFonts w:hint="eastAsia" w:ascii="宋体" w:hAnsi="宋体" w:cs="宋体"/>
                <w:color w:val="auto"/>
                <w:highlight w:val="none"/>
              </w:rPr>
            </w:pPr>
          </w:p>
        </w:tc>
      </w:tr>
      <w:tr w14:paraId="406498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993" w:type="dxa"/>
            <w:noWrap w:val="0"/>
            <w:vAlign w:val="center"/>
          </w:tcPr>
          <w:p w14:paraId="1390F5C6">
            <w:pPr>
              <w:ind w:left="223" w:hanging="222" w:hangingChars="106"/>
              <w:jc w:val="center"/>
              <w:rPr>
                <w:rFonts w:hint="eastAsia" w:ascii="宋体" w:hAnsi="宋体" w:cs="宋体"/>
                <w:color w:val="auto"/>
                <w:szCs w:val="21"/>
                <w:highlight w:val="none"/>
              </w:rPr>
            </w:pPr>
          </w:p>
        </w:tc>
        <w:tc>
          <w:tcPr>
            <w:tcW w:w="829" w:type="dxa"/>
            <w:noWrap w:val="0"/>
            <w:vAlign w:val="center"/>
          </w:tcPr>
          <w:p w14:paraId="4B7C229D">
            <w:pPr>
              <w:ind w:left="223" w:hanging="222" w:hangingChars="106"/>
              <w:jc w:val="center"/>
              <w:rPr>
                <w:rFonts w:hint="eastAsia" w:ascii="宋体" w:hAnsi="宋体" w:cs="宋体"/>
                <w:color w:val="auto"/>
                <w:highlight w:val="none"/>
              </w:rPr>
            </w:pPr>
          </w:p>
        </w:tc>
        <w:tc>
          <w:tcPr>
            <w:tcW w:w="816" w:type="dxa"/>
            <w:noWrap w:val="0"/>
            <w:vAlign w:val="center"/>
          </w:tcPr>
          <w:p w14:paraId="01F3997C">
            <w:pPr>
              <w:ind w:left="223" w:hanging="222" w:hangingChars="106"/>
              <w:jc w:val="center"/>
              <w:rPr>
                <w:rFonts w:hint="eastAsia" w:ascii="宋体" w:hAnsi="宋体" w:cs="宋体"/>
                <w:color w:val="auto"/>
                <w:highlight w:val="none"/>
              </w:rPr>
            </w:pPr>
          </w:p>
        </w:tc>
        <w:tc>
          <w:tcPr>
            <w:tcW w:w="1148" w:type="dxa"/>
            <w:noWrap w:val="0"/>
            <w:vAlign w:val="center"/>
          </w:tcPr>
          <w:p w14:paraId="62ADF1E4">
            <w:pPr>
              <w:ind w:left="223" w:hanging="222" w:hangingChars="106"/>
              <w:jc w:val="center"/>
              <w:rPr>
                <w:rFonts w:hint="eastAsia" w:ascii="宋体" w:hAnsi="宋体" w:cs="宋体"/>
                <w:color w:val="auto"/>
                <w:highlight w:val="none"/>
              </w:rPr>
            </w:pPr>
          </w:p>
        </w:tc>
        <w:tc>
          <w:tcPr>
            <w:tcW w:w="1148" w:type="dxa"/>
            <w:noWrap w:val="0"/>
            <w:vAlign w:val="center"/>
          </w:tcPr>
          <w:p w14:paraId="69226422">
            <w:pPr>
              <w:ind w:left="223" w:hanging="222" w:hangingChars="106"/>
              <w:jc w:val="center"/>
              <w:rPr>
                <w:rFonts w:hint="eastAsia" w:ascii="宋体" w:hAnsi="宋体" w:cs="宋体"/>
                <w:color w:val="auto"/>
                <w:highlight w:val="none"/>
              </w:rPr>
            </w:pPr>
          </w:p>
        </w:tc>
        <w:tc>
          <w:tcPr>
            <w:tcW w:w="1148" w:type="dxa"/>
            <w:noWrap w:val="0"/>
            <w:vAlign w:val="center"/>
          </w:tcPr>
          <w:p w14:paraId="1EB62ED0">
            <w:pPr>
              <w:ind w:left="223" w:hanging="222" w:hangingChars="106"/>
              <w:jc w:val="center"/>
              <w:rPr>
                <w:rFonts w:hint="eastAsia" w:ascii="宋体" w:hAnsi="宋体" w:cs="宋体"/>
                <w:color w:val="auto"/>
                <w:highlight w:val="none"/>
              </w:rPr>
            </w:pPr>
          </w:p>
        </w:tc>
        <w:tc>
          <w:tcPr>
            <w:tcW w:w="1148" w:type="dxa"/>
            <w:noWrap w:val="0"/>
            <w:vAlign w:val="center"/>
          </w:tcPr>
          <w:p w14:paraId="37427D49">
            <w:pPr>
              <w:ind w:left="223" w:hanging="222" w:hangingChars="106"/>
              <w:jc w:val="center"/>
              <w:rPr>
                <w:rFonts w:hint="eastAsia" w:ascii="宋体" w:hAnsi="宋体" w:cs="宋体"/>
                <w:color w:val="auto"/>
                <w:highlight w:val="none"/>
              </w:rPr>
            </w:pPr>
          </w:p>
        </w:tc>
        <w:tc>
          <w:tcPr>
            <w:tcW w:w="850" w:type="dxa"/>
            <w:noWrap w:val="0"/>
            <w:vAlign w:val="center"/>
          </w:tcPr>
          <w:p w14:paraId="73550D64">
            <w:pPr>
              <w:ind w:left="223" w:hanging="222" w:hangingChars="106"/>
              <w:jc w:val="center"/>
              <w:rPr>
                <w:rFonts w:hint="eastAsia" w:ascii="宋体" w:hAnsi="宋体" w:cs="宋体"/>
                <w:color w:val="auto"/>
                <w:highlight w:val="none"/>
              </w:rPr>
            </w:pPr>
          </w:p>
        </w:tc>
        <w:tc>
          <w:tcPr>
            <w:tcW w:w="1276" w:type="dxa"/>
            <w:noWrap w:val="0"/>
            <w:vAlign w:val="center"/>
          </w:tcPr>
          <w:p w14:paraId="59BFB72D">
            <w:pPr>
              <w:ind w:left="223" w:hanging="222" w:hangingChars="106"/>
              <w:jc w:val="center"/>
              <w:rPr>
                <w:rFonts w:hint="eastAsia" w:ascii="宋体" w:hAnsi="宋体" w:cs="宋体"/>
                <w:color w:val="auto"/>
                <w:highlight w:val="none"/>
              </w:rPr>
            </w:pPr>
          </w:p>
        </w:tc>
      </w:tr>
      <w:tr w14:paraId="54BA3C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993" w:type="dxa"/>
            <w:noWrap w:val="0"/>
            <w:vAlign w:val="center"/>
          </w:tcPr>
          <w:p w14:paraId="36AB3EDF">
            <w:pPr>
              <w:ind w:left="223" w:hanging="222" w:hangingChars="106"/>
              <w:jc w:val="center"/>
              <w:rPr>
                <w:rFonts w:hint="eastAsia" w:ascii="宋体" w:hAnsi="宋体" w:cs="宋体"/>
                <w:color w:val="auto"/>
                <w:highlight w:val="none"/>
              </w:rPr>
            </w:pPr>
            <w:r>
              <w:rPr>
                <w:rFonts w:hint="eastAsia" w:ascii="宋体" w:hAnsi="宋体" w:cs="宋体"/>
                <w:color w:val="auto"/>
                <w:highlight w:val="none"/>
              </w:rPr>
              <w:t>……</w:t>
            </w:r>
          </w:p>
        </w:tc>
        <w:tc>
          <w:tcPr>
            <w:tcW w:w="829" w:type="dxa"/>
            <w:noWrap w:val="0"/>
            <w:vAlign w:val="center"/>
          </w:tcPr>
          <w:p w14:paraId="00172A4F">
            <w:pPr>
              <w:ind w:left="223" w:hanging="222" w:hangingChars="106"/>
              <w:jc w:val="center"/>
              <w:rPr>
                <w:rFonts w:hint="eastAsia" w:ascii="宋体" w:hAnsi="宋体" w:cs="宋体"/>
                <w:color w:val="auto"/>
                <w:highlight w:val="none"/>
              </w:rPr>
            </w:pPr>
          </w:p>
        </w:tc>
        <w:tc>
          <w:tcPr>
            <w:tcW w:w="816" w:type="dxa"/>
            <w:noWrap w:val="0"/>
            <w:vAlign w:val="center"/>
          </w:tcPr>
          <w:p w14:paraId="0C960087">
            <w:pPr>
              <w:ind w:left="223" w:hanging="222" w:hangingChars="106"/>
              <w:jc w:val="center"/>
              <w:rPr>
                <w:rFonts w:hint="eastAsia" w:ascii="宋体" w:hAnsi="宋体" w:cs="宋体"/>
                <w:color w:val="auto"/>
                <w:highlight w:val="none"/>
              </w:rPr>
            </w:pPr>
          </w:p>
        </w:tc>
        <w:tc>
          <w:tcPr>
            <w:tcW w:w="1148" w:type="dxa"/>
            <w:noWrap w:val="0"/>
            <w:vAlign w:val="center"/>
          </w:tcPr>
          <w:p w14:paraId="5EBC07C1">
            <w:pPr>
              <w:ind w:left="223" w:hanging="222" w:hangingChars="106"/>
              <w:jc w:val="center"/>
              <w:rPr>
                <w:rFonts w:hint="eastAsia" w:ascii="宋体" w:hAnsi="宋体" w:cs="宋体"/>
                <w:color w:val="auto"/>
                <w:highlight w:val="none"/>
              </w:rPr>
            </w:pPr>
          </w:p>
        </w:tc>
        <w:tc>
          <w:tcPr>
            <w:tcW w:w="1148" w:type="dxa"/>
            <w:noWrap w:val="0"/>
            <w:vAlign w:val="center"/>
          </w:tcPr>
          <w:p w14:paraId="5ED474FD">
            <w:pPr>
              <w:ind w:left="223" w:hanging="222" w:hangingChars="106"/>
              <w:jc w:val="center"/>
              <w:rPr>
                <w:rFonts w:hint="eastAsia" w:ascii="宋体" w:hAnsi="宋体" w:cs="宋体"/>
                <w:color w:val="auto"/>
                <w:highlight w:val="none"/>
              </w:rPr>
            </w:pPr>
          </w:p>
        </w:tc>
        <w:tc>
          <w:tcPr>
            <w:tcW w:w="1148" w:type="dxa"/>
            <w:noWrap w:val="0"/>
            <w:vAlign w:val="center"/>
          </w:tcPr>
          <w:p w14:paraId="6BDE2D79">
            <w:pPr>
              <w:ind w:left="223" w:hanging="222" w:hangingChars="106"/>
              <w:jc w:val="center"/>
              <w:rPr>
                <w:rFonts w:hint="eastAsia" w:ascii="宋体" w:hAnsi="宋体" w:cs="宋体"/>
                <w:color w:val="auto"/>
                <w:highlight w:val="none"/>
              </w:rPr>
            </w:pPr>
          </w:p>
        </w:tc>
        <w:tc>
          <w:tcPr>
            <w:tcW w:w="1148" w:type="dxa"/>
            <w:noWrap w:val="0"/>
            <w:vAlign w:val="center"/>
          </w:tcPr>
          <w:p w14:paraId="4DD2056B">
            <w:pPr>
              <w:ind w:left="223" w:hanging="222" w:hangingChars="106"/>
              <w:jc w:val="center"/>
              <w:rPr>
                <w:rFonts w:hint="eastAsia" w:ascii="宋体" w:hAnsi="宋体" w:cs="宋体"/>
                <w:color w:val="auto"/>
                <w:highlight w:val="none"/>
              </w:rPr>
            </w:pPr>
          </w:p>
        </w:tc>
        <w:tc>
          <w:tcPr>
            <w:tcW w:w="850" w:type="dxa"/>
            <w:noWrap w:val="0"/>
            <w:vAlign w:val="center"/>
          </w:tcPr>
          <w:p w14:paraId="05616B5A">
            <w:pPr>
              <w:ind w:left="223" w:hanging="222" w:hangingChars="106"/>
              <w:jc w:val="center"/>
              <w:rPr>
                <w:rFonts w:hint="eastAsia" w:ascii="宋体" w:hAnsi="宋体" w:cs="宋体"/>
                <w:color w:val="auto"/>
                <w:highlight w:val="none"/>
              </w:rPr>
            </w:pPr>
          </w:p>
        </w:tc>
        <w:tc>
          <w:tcPr>
            <w:tcW w:w="1276" w:type="dxa"/>
            <w:noWrap w:val="0"/>
            <w:vAlign w:val="center"/>
          </w:tcPr>
          <w:p w14:paraId="4574B2D8">
            <w:pPr>
              <w:ind w:left="223" w:hanging="222" w:hangingChars="106"/>
              <w:jc w:val="center"/>
              <w:rPr>
                <w:rFonts w:hint="eastAsia" w:ascii="宋体" w:hAnsi="宋体" w:cs="宋体"/>
                <w:color w:val="auto"/>
                <w:highlight w:val="none"/>
              </w:rPr>
            </w:pPr>
          </w:p>
        </w:tc>
      </w:tr>
      <w:tr w14:paraId="14E6F5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79" w:hRule="atLeast"/>
          <w:jc w:val="center"/>
        </w:trPr>
        <w:tc>
          <w:tcPr>
            <w:tcW w:w="9356" w:type="dxa"/>
            <w:gridSpan w:val="9"/>
            <w:noWrap w:val="0"/>
            <w:vAlign w:val="center"/>
          </w:tcPr>
          <w:p w14:paraId="0E9705CA">
            <w:pPr>
              <w:spacing w:line="360" w:lineRule="auto"/>
              <w:rPr>
                <w:rFonts w:hint="eastAsia" w:ascii="宋体" w:hAnsi="宋体" w:cs="宋体"/>
                <w:color w:val="auto"/>
                <w:szCs w:val="21"/>
                <w:highlight w:val="none"/>
              </w:rPr>
            </w:pPr>
            <w:bookmarkStart w:id="128" w:name="_Toc251052199"/>
            <w:r>
              <w:rPr>
                <w:rFonts w:hint="eastAsia" w:ascii="宋体" w:hAnsi="宋体" w:cs="宋体"/>
                <w:color w:val="auto"/>
                <w:szCs w:val="21"/>
                <w:highlight w:val="none"/>
              </w:rPr>
              <w:t>一旦我单位成交，将实行项目经理负责制，我方保证并配备上述项目管理机构。上述填报内容真实，若不真实，愿按有关规定接受处理。项目管理班子机构设置、职责分工等情况另附资料说明</w:t>
            </w:r>
            <w:bookmarkEnd w:id="128"/>
          </w:p>
        </w:tc>
      </w:tr>
    </w:tbl>
    <w:p w14:paraId="58F212D8">
      <w:pPr>
        <w:pStyle w:val="28"/>
        <w:tabs>
          <w:tab w:val="left" w:pos="2127"/>
        </w:tabs>
        <w:spacing w:line="340" w:lineRule="exact"/>
        <w:rPr>
          <w:rFonts w:hint="eastAsia" w:hAnsi="宋体" w:cs="宋体"/>
          <w:color w:val="auto"/>
          <w:highlight w:val="none"/>
        </w:rPr>
      </w:pPr>
      <w:r>
        <w:rPr>
          <w:rFonts w:hint="eastAsia" w:hAnsi="宋体" w:cs="宋体"/>
          <w:color w:val="auto"/>
          <w:highlight w:val="none"/>
        </w:rPr>
        <w:t>【备注：附项目管理机构人员证件、响应文件递交截止时间前6个月内任意1个月在现任职单位依法缴纳社会保险的凭证等相关证明材料的扫描件，以及供应商认为需要增加的其他证明材料扫描件，以上扫描件须加盖供应商电子签章。】</w:t>
      </w:r>
    </w:p>
    <w:p w14:paraId="1518C313">
      <w:pPr>
        <w:pStyle w:val="200"/>
        <w:rPr>
          <w:rFonts w:hint="eastAsia" w:ascii="宋体" w:hAnsi="宋体" w:cs="宋体"/>
          <w:color w:val="auto"/>
          <w:highlight w:val="none"/>
        </w:rPr>
      </w:pPr>
    </w:p>
    <w:p w14:paraId="0EB4BFAD">
      <w:pPr>
        <w:snapToGrid w:val="0"/>
        <w:spacing w:before="50" w:after="120" w:afterLines="50" w:line="440" w:lineRule="exact"/>
        <w:jc w:val="left"/>
        <w:rPr>
          <w:rFonts w:hint="eastAsia" w:ascii="宋体" w:hAnsi="宋体" w:cs="宋体"/>
          <w:color w:val="auto"/>
          <w:highlight w:val="none"/>
        </w:rPr>
      </w:pPr>
      <w:r>
        <w:rPr>
          <w:rFonts w:hint="eastAsia" w:ascii="宋体" w:hAnsi="宋体" w:cs="宋体"/>
          <w:color w:val="auto"/>
          <w:highlight w:val="none"/>
        </w:rPr>
        <w:br w:type="page"/>
      </w:r>
      <w:r>
        <w:rPr>
          <w:rFonts w:hint="eastAsia" w:ascii="宋体" w:hAnsi="宋体" w:cs="宋体"/>
          <w:color w:val="auto"/>
          <w:highlight w:val="none"/>
          <w:lang w:val="en-US" w:eastAsia="zh-CN"/>
        </w:rPr>
        <w:t>6</w:t>
      </w:r>
      <w:r>
        <w:rPr>
          <w:rFonts w:hint="eastAsia" w:ascii="宋体" w:hAnsi="宋体" w:cs="宋体"/>
          <w:color w:val="auto"/>
          <w:highlight w:val="none"/>
        </w:rPr>
        <w:t>.5满足本项目特定资格条件其他要求的证明材料</w:t>
      </w:r>
      <w:r>
        <w:rPr>
          <w:rFonts w:hint="eastAsia" w:ascii="宋体" w:hAnsi="宋体" w:cs="宋体"/>
          <w:b/>
          <w:bCs/>
          <w:color w:val="auto"/>
          <w:szCs w:val="21"/>
          <w:highlight w:val="none"/>
          <w:lang w:eastAsia="zh-CN"/>
        </w:rPr>
        <w:t>（必须提供）</w:t>
      </w:r>
      <w:r>
        <w:rPr>
          <w:rFonts w:hint="eastAsia" w:ascii="宋体" w:hAnsi="宋体" w:cs="宋体"/>
          <w:color w:val="auto"/>
          <w:highlight w:val="none"/>
        </w:rPr>
        <w:t>。</w:t>
      </w:r>
    </w:p>
    <w:p w14:paraId="33DB718A">
      <w:pPr>
        <w:snapToGrid w:val="0"/>
        <w:spacing w:before="50" w:after="120" w:afterLines="50" w:line="360" w:lineRule="auto"/>
        <w:jc w:val="left"/>
        <w:rPr>
          <w:rFonts w:hint="eastAsia" w:ascii="宋体" w:hAnsi="宋体" w:eastAsia="宋体" w:cs="宋体"/>
          <w:b/>
          <w:bCs/>
          <w:color w:val="auto"/>
          <w:szCs w:val="21"/>
          <w:highlight w:val="none"/>
          <w:lang w:eastAsia="zh-CN"/>
        </w:rPr>
      </w:pPr>
      <w:r>
        <w:rPr>
          <w:rFonts w:hint="eastAsia" w:ascii="宋体" w:hAnsi="宋体" w:cs="宋体"/>
          <w:color w:val="auto"/>
          <w:szCs w:val="21"/>
          <w:highlight w:val="none"/>
          <w:lang w:val="en-US" w:eastAsia="zh-CN"/>
        </w:rPr>
        <w:t>6</w:t>
      </w:r>
      <w:r>
        <w:rPr>
          <w:rFonts w:hint="eastAsia" w:ascii="宋体" w:hAnsi="宋体" w:cs="宋体"/>
          <w:color w:val="auto"/>
          <w:szCs w:val="21"/>
          <w:highlight w:val="none"/>
        </w:rPr>
        <w:t>.5.1供应商直接控股股东信息表</w:t>
      </w:r>
    </w:p>
    <w:tbl>
      <w:tblPr>
        <w:tblStyle w:val="55"/>
        <w:tblW w:w="0" w:type="auto"/>
        <w:tblInd w:w="125" w:type="dxa"/>
        <w:tblLayout w:type="fixed"/>
        <w:tblCellMar>
          <w:top w:w="0" w:type="dxa"/>
          <w:left w:w="0" w:type="dxa"/>
          <w:bottom w:w="0" w:type="dxa"/>
          <w:right w:w="0" w:type="dxa"/>
        </w:tblCellMar>
      </w:tblPr>
      <w:tblGrid>
        <w:gridCol w:w="828"/>
        <w:gridCol w:w="2269"/>
        <w:gridCol w:w="1239"/>
        <w:gridCol w:w="3722"/>
        <w:gridCol w:w="1418"/>
      </w:tblGrid>
      <w:tr w14:paraId="3FBB7659">
        <w:tblPrEx>
          <w:tblCellMar>
            <w:top w:w="0" w:type="dxa"/>
            <w:left w:w="0" w:type="dxa"/>
            <w:bottom w:w="0" w:type="dxa"/>
            <w:right w:w="0" w:type="dxa"/>
          </w:tblCellMar>
        </w:tblPrEx>
        <w:trPr>
          <w:tblHeader/>
        </w:trPr>
        <w:tc>
          <w:tcPr>
            <w:tcW w:w="828" w:type="dxa"/>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059CEC99">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序号</w:t>
            </w:r>
          </w:p>
        </w:tc>
        <w:tc>
          <w:tcPr>
            <w:tcW w:w="2269" w:type="dxa"/>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00FBBE7F">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直接控股股东名称</w:t>
            </w:r>
          </w:p>
        </w:tc>
        <w:tc>
          <w:tcPr>
            <w:tcW w:w="1239" w:type="dxa"/>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7B180AEA">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出资比例</w:t>
            </w:r>
          </w:p>
        </w:tc>
        <w:tc>
          <w:tcPr>
            <w:tcW w:w="3722" w:type="dxa"/>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3D84C6EF">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身份证号码或者统一社会信用代码</w:t>
            </w:r>
          </w:p>
        </w:tc>
        <w:tc>
          <w:tcPr>
            <w:tcW w:w="1418" w:type="dxa"/>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4ACE0251">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备注</w:t>
            </w:r>
          </w:p>
        </w:tc>
      </w:tr>
      <w:tr w14:paraId="78B3F026">
        <w:tblPrEx>
          <w:tblCellMar>
            <w:top w:w="0" w:type="dxa"/>
            <w:left w:w="0" w:type="dxa"/>
            <w:bottom w:w="0" w:type="dxa"/>
            <w:right w:w="0" w:type="dxa"/>
          </w:tblCellMar>
        </w:tblPrEx>
        <w:tc>
          <w:tcPr>
            <w:tcW w:w="828" w:type="dxa"/>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114522B9">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1</w:t>
            </w:r>
          </w:p>
        </w:tc>
        <w:tc>
          <w:tcPr>
            <w:tcW w:w="2269" w:type="dxa"/>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2F2E7361">
            <w:pPr>
              <w:spacing w:line="360" w:lineRule="auto"/>
              <w:jc w:val="center"/>
              <w:rPr>
                <w:rFonts w:hint="eastAsia" w:ascii="宋体" w:hAnsi="宋体" w:cs="宋体"/>
                <w:color w:val="auto"/>
                <w:szCs w:val="21"/>
                <w:highlight w:val="none"/>
              </w:rPr>
            </w:pPr>
          </w:p>
        </w:tc>
        <w:tc>
          <w:tcPr>
            <w:tcW w:w="1239" w:type="dxa"/>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1B925D90">
            <w:pPr>
              <w:spacing w:line="360" w:lineRule="auto"/>
              <w:jc w:val="center"/>
              <w:rPr>
                <w:rFonts w:hint="eastAsia" w:ascii="宋体" w:hAnsi="宋体" w:cs="宋体"/>
                <w:color w:val="auto"/>
                <w:szCs w:val="21"/>
                <w:highlight w:val="none"/>
              </w:rPr>
            </w:pPr>
          </w:p>
        </w:tc>
        <w:tc>
          <w:tcPr>
            <w:tcW w:w="3722" w:type="dxa"/>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2A640AA5">
            <w:pPr>
              <w:spacing w:line="360" w:lineRule="auto"/>
              <w:jc w:val="center"/>
              <w:rPr>
                <w:rFonts w:hint="eastAsia" w:ascii="宋体" w:hAnsi="宋体" w:cs="宋体"/>
                <w:color w:val="auto"/>
                <w:szCs w:val="21"/>
                <w:highlight w:val="none"/>
              </w:rPr>
            </w:pPr>
          </w:p>
        </w:tc>
        <w:tc>
          <w:tcPr>
            <w:tcW w:w="1418" w:type="dxa"/>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0D1F0FE4">
            <w:pPr>
              <w:spacing w:line="360" w:lineRule="auto"/>
              <w:jc w:val="center"/>
              <w:rPr>
                <w:rFonts w:hint="eastAsia" w:ascii="宋体" w:hAnsi="宋体" w:cs="宋体"/>
                <w:color w:val="auto"/>
                <w:szCs w:val="21"/>
                <w:highlight w:val="none"/>
              </w:rPr>
            </w:pPr>
          </w:p>
        </w:tc>
      </w:tr>
      <w:tr w14:paraId="28A74B53">
        <w:tblPrEx>
          <w:tblCellMar>
            <w:top w:w="0" w:type="dxa"/>
            <w:left w:w="0" w:type="dxa"/>
            <w:bottom w:w="0" w:type="dxa"/>
            <w:right w:w="0" w:type="dxa"/>
          </w:tblCellMar>
        </w:tblPrEx>
        <w:tc>
          <w:tcPr>
            <w:tcW w:w="828" w:type="dxa"/>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786D21E2">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2</w:t>
            </w:r>
          </w:p>
        </w:tc>
        <w:tc>
          <w:tcPr>
            <w:tcW w:w="2269" w:type="dxa"/>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5DD91BEE">
            <w:pPr>
              <w:spacing w:line="360" w:lineRule="auto"/>
              <w:jc w:val="center"/>
              <w:rPr>
                <w:rFonts w:hint="eastAsia" w:ascii="宋体" w:hAnsi="宋体" w:cs="宋体"/>
                <w:color w:val="auto"/>
                <w:szCs w:val="21"/>
                <w:highlight w:val="none"/>
              </w:rPr>
            </w:pPr>
          </w:p>
        </w:tc>
        <w:tc>
          <w:tcPr>
            <w:tcW w:w="1239" w:type="dxa"/>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7F20EF1A">
            <w:pPr>
              <w:spacing w:line="360" w:lineRule="auto"/>
              <w:jc w:val="center"/>
              <w:rPr>
                <w:rFonts w:hint="eastAsia" w:ascii="宋体" w:hAnsi="宋体" w:cs="宋体"/>
                <w:color w:val="auto"/>
                <w:szCs w:val="21"/>
                <w:highlight w:val="none"/>
              </w:rPr>
            </w:pPr>
          </w:p>
        </w:tc>
        <w:tc>
          <w:tcPr>
            <w:tcW w:w="3722" w:type="dxa"/>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5735AFFC">
            <w:pPr>
              <w:spacing w:line="360" w:lineRule="auto"/>
              <w:jc w:val="center"/>
              <w:rPr>
                <w:rFonts w:hint="eastAsia" w:ascii="宋体" w:hAnsi="宋体" w:cs="宋体"/>
                <w:color w:val="auto"/>
                <w:szCs w:val="21"/>
                <w:highlight w:val="none"/>
              </w:rPr>
            </w:pPr>
          </w:p>
        </w:tc>
        <w:tc>
          <w:tcPr>
            <w:tcW w:w="1418" w:type="dxa"/>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45BE3472">
            <w:pPr>
              <w:spacing w:line="360" w:lineRule="auto"/>
              <w:jc w:val="center"/>
              <w:rPr>
                <w:rFonts w:hint="eastAsia" w:ascii="宋体" w:hAnsi="宋体" w:cs="宋体"/>
                <w:color w:val="auto"/>
                <w:szCs w:val="21"/>
                <w:highlight w:val="none"/>
              </w:rPr>
            </w:pPr>
          </w:p>
        </w:tc>
      </w:tr>
      <w:tr w14:paraId="086D64FC">
        <w:tblPrEx>
          <w:tblCellMar>
            <w:top w:w="0" w:type="dxa"/>
            <w:left w:w="0" w:type="dxa"/>
            <w:bottom w:w="0" w:type="dxa"/>
            <w:right w:w="0" w:type="dxa"/>
          </w:tblCellMar>
        </w:tblPrEx>
        <w:tc>
          <w:tcPr>
            <w:tcW w:w="828" w:type="dxa"/>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478CD3C5">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3</w:t>
            </w:r>
          </w:p>
        </w:tc>
        <w:tc>
          <w:tcPr>
            <w:tcW w:w="2269" w:type="dxa"/>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6A5C1FA4">
            <w:pPr>
              <w:spacing w:line="360" w:lineRule="auto"/>
              <w:jc w:val="center"/>
              <w:rPr>
                <w:rFonts w:hint="eastAsia" w:ascii="宋体" w:hAnsi="宋体" w:cs="宋体"/>
                <w:color w:val="auto"/>
                <w:szCs w:val="21"/>
                <w:highlight w:val="none"/>
              </w:rPr>
            </w:pPr>
          </w:p>
        </w:tc>
        <w:tc>
          <w:tcPr>
            <w:tcW w:w="1239" w:type="dxa"/>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1D34726D">
            <w:pPr>
              <w:spacing w:line="360" w:lineRule="auto"/>
              <w:jc w:val="center"/>
              <w:rPr>
                <w:rFonts w:hint="eastAsia" w:ascii="宋体" w:hAnsi="宋体" w:cs="宋体"/>
                <w:color w:val="auto"/>
                <w:szCs w:val="21"/>
                <w:highlight w:val="none"/>
              </w:rPr>
            </w:pPr>
          </w:p>
        </w:tc>
        <w:tc>
          <w:tcPr>
            <w:tcW w:w="3722" w:type="dxa"/>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6C6796FD">
            <w:pPr>
              <w:spacing w:line="360" w:lineRule="auto"/>
              <w:jc w:val="center"/>
              <w:rPr>
                <w:rFonts w:hint="eastAsia" w:ascii="宋体" w:hAnsi="宋体" w:cs="宋体"/>
                <w:color w:val="auto"/>
                <w:szCs w:val="21"/>
                <w:highlight w:val="none"/>
              </w:rPr>
            </w:pPr>
          </w:p>
        </w:tc>
        <w:tc>
          <w:tcPr>
            <w:tcW w:w="1418" w:type="dxa"/>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22D0FDF8">
            <w:pPr>
              <w:spacing w:line="360" w:lineRule="auto"/>
              <w:jc w:val="center"/>
              <w:rPr>
                <w:rFonts w:hint="eastAsia" w:ascii="宋体" w:hAnsi="宋体" w:cs="宋体"/>
                <w:color w:val="auto"/>
                <w:szCs w:val="21"/>
                <w:highlight w:val="none"/>
              </w:rPr>
            </w:pPr>
          </w:p>
        </w:tc>
      </w:tr>
      <w:tr w14:paraId="4B079BA9">
        <w:tblPrEx>
          <w:tblCellMar>
            <w:top w:w="0" w:type="dxa"/>
            <w:left w:w="0" w:type="dxa"/>
            <w:bottom w:w="0" w:type="dxa"/>
            <w:right w:w="0" w:type="dxa"/>
          </w:tblCellMar>
        </w:tblPrEx>
        <w:tc>
          <w:tcPr>
            <w:tcW w:w="828" w:type="dxa"/>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196199B4">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w:t>
            </w:r>
          </w:p>
        </w:tc>
        <w:tc>
          <w:tcPr>
            <w:tcW w:w="2269" w:type="dxa"/>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4184431E">
            <w:pPr>
              <w:spacing w:line="360" w:lineRule="auto"/>
              <w:jc w:val="center"/>
              <w:rPr>
                <w:rFonts w:hint="eastAsia" w:ascii="宋体" w:hAnsi="宋体" w:cs="宋体"/>
                <w:color w:val="auto"/>
                <w:szCs w:val="21"/>
                <w:highlight w:val="none"/>
              </w:rPr>
            </w:pPr>
          </w:p>
        </w:tc>
        <w:tc>
          <w:tcPr>
            <w:tcW w:w="1239" w:type="dxa"/>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6BC5AA94">
            <w:pPr>
              <w:spacing w:line="360" w:lineRule="auto"/>
              <w:jc w:val="center"/>
              <w:rPr>
                <w:rFonts w:hint="eastAsia" w:ascii="宋体" w:hAnsi="宋体" w:cs="宋体"/>
                <w:color w:val="auto"/>
                <w:szCs w:val="21"/>
                <w:highlight w:val="none"/>
              </w:rPr>
            </w:pPr>
          </w:p>
        </w:tc>
        <w:tc>
          <w:tcPr>
            <w:tcW w:w="3722" w:type="dxa"/>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13319311">
            <w:pPr>
              <w:spacing w:line="360" w:lineRule="auto"/>
              <w:jc w:val="center"/>
              <w:rPr>
                <w:rFonts w:hint="eastAsia" w:ascii="宋体" w:hAnsi="宋体" w:cs="宋体"/>
                <w:color w:val="auto"/>
                <w:szCs w:val="21"/>
                <w:highlight w:val="none"/>
              </w:rPr>
            </w:pPr>
          </w:p>
        </w:tc>
        <w:tc>
          <w:tcPr>
            <w:tcW w:w="1418" w:type="dxa"/>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1D9D4D36">
            <w:pPr>
              <w:spacing w:line="360" w:lineRule="auto"/>
              <w:jc w:val="center"/>
              <w:rPr>
                <w:rFonts w:hint="eastAsia" w:ascii="宋体" w:hAnsi="宋体" w:cs="宋体"/>
                <w:color w:val="auto"/>
                <w:szCs w:val="21"/>
                <w:highlight w:val="none"/>
              </w:rPr>
            </w:pPr>
          </w:p>
        </w:tc>
      </w:tr>
    </w:tbl>
    <w:p w14:paraId="7CCF62BE">
      <w:pPr>
        <w:snapToGrid w:val="0"/>
        <w:spacing w:line="360" w:lineRule="auto"/>
        <w:jc w:val="left"/>
        <w:rPr>
          <w:rFonts w:hint="eastAsia" w:ascii="宋体" w:hAnsi="宋体" w:cs="宋体"/>
          <w:color w:val="auto"/>
          <w:szCs w:val="21"/>
          <w:highlight w:val="none"/>
        </w:rPr>
      </w:pPr>
      <w:r>
        <w:rPr>
          <w:rFonts w:hint="eastAsia" w:ascii="宋体" w:hAnsi="宋体" w:cs="宋体"/>
          <w:color w:val="auto"/>
          <w:szCs w:val="21"/>
          <w:highlight w:val="none"/>
        </w:rPr>
        <w:t>注：</w:t>
      </w:r>
    </w:p>
    <w:p w14:paraId="03D0961A">
      <w:pPr>
        <w:snapToGrid w:val="0"/>
        <w:spacing w:line="360" w:lineRule="auto"/>
        <w:jc w:val="left"/>
        <w:rPr>
          <w:rFonts w:hint="eastAsia" w:ascii="宋体" w:hAnsi="宋体" w:cs="宋体"/>
          <w:color w:val="auto"/>
          <w:szCs w:val="21"/>
          <w:highlight w:val="none"/>
        </w:rPr>
      </w:pPr>
      <w:r>
        <w:rPr>
          <w:rFonts w:hint="eastAsia" w:ascii="宋体" w:hAnsi="宋体" w:cs="宋体"/>
          <w:color w:val="auto"/>
          <w:szCs w:val="21"/>
          <w:highlight w:val="none"/>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14:paraId="1FC6A5F4">
      <w:pPr>
        <w:snapToGrid w:val="0"/>
        <w:spacing w:line="360" w:lineRule="auto"/>
        <w:jc w:val="left"/>
        <w:rPr>
          <w:rFonts w:hint="eastAsia" w:ascii="宋体" w:hAnsi="宋体" w:cs="宋体"/>
          <w:color w:val="auto"/>
          <w:szCs w:val="21"/>
          <w:highlight w:val="none"/>
        </w:rPr>
      </w:pPr>
      <w:r>
        <w:rPr>
          <w:rFonts w:hint="eastAsia" w:ascii="宋体" w:hAnsi="宋体" w:cs="宋体"/>
          <w:color w:val="auto"/>
          <w:szCs w:val="21"/>
          <w:highlight w:val="none"/>
        </w:rPr>
        <w:t>2.本表所指的控股关系仅限于直接控股关系，不包括间接的控股关系。公司实际控制人与公司之间的关系不属于本表所指的直接控股关系。</w:t>
      </w:r>
    </w:p>
    <w:p w14:paraId="440C29FE">
      <w:pPr>
        <w:snapToGrid w:val="0"/>
        <w:spacing w:line="360" w:lineRule="auto"/>
        <w:jc w:val="left"/>
        <w:rPr>
          <w:rFonts w:hint="eastAsia" w:ascii="宋体" w:hAnsi="宋体" w:cs="宋体"/>
          <w:color w:val="auto"/>
          <w:szCs w:val="21"/>
          <w:highlight w:val="none"/>
        </w:rPr>
      </w:pPr>
      <w:r>
        <w:rPr>
          <w:rFonts w:hint="eastAsia" w:ascii="宋体" w:hAnsi="宋体" w:cs="宋体"/>
          <w:color w:val="auto"/>
          <w:szCs w:val="21"/>
          <w:highlight w:val="none"/>
        </w:rPr>
        <w:t>3.供应商不存在直接控股股东的，则填“无”。</w:t>
      </w:r>
    </w:p>
    <w:p w14:paraId="3A5C9529">
      <w:pPr>
        <w:snapToGrid w:val="0"/>
        <w:spacing w:line="360" w:lineRule="auto"/>
        <w:jc w:val="left"/>
        <w:rPr>
          <w:rFonts w:hint="eastAsia" w:ascii="宋体" w:hAnsi="宋体" w:cs="宋体"/>
          <w:color w:val="auto"/>
          <w:szCs w:val="21"/>
          <w:highlight w:val="none"/>
        </w:rPr>
      </w:pPr>
    </w:p>
    <w:p w14:paraId="4B567B8A">
      <w:pPr>
        <w:snapToGrid w:val="0"/>
        <w:spacing w:line="360" w:lineRule="auto"/>
        <w:jc w:val="left"/>
        <w:rPr>
          <w:rFonts w:hint="eastAsia" w:ascii="宋体" w:hAnsi="宋体" w:cs="宋体"/>
          <w:color w:val="auto"/>
          <w:szCs w:val="21"/>
          <w:highlight w:val="none"/>
        </w:rPr>
      </w:pPr>
    </w:p>
    <w:p w14:paraId="42B33C32">
      <w:pPr>
        <w:snapToGrid w:val="0"/>
        <w:spacing w:line="360" w:lineRule="auto"/>
        <w:jc w:val="left"/>
        <w:rPr>
          <w:rFonts w:hint="eastAsia" w:ascii="宋体" w:hAnsi="宋体" w:cs="宋体"/>
          <w:color w:val="auto"/>
          <w:szCs w:val="21"/>
          <w:highlight w:val="none"/>
        </w:rPr>
      </w:pPr>
    </w:p>
    <w:p w14:paraId="6CE62ADF">
      <w:pPr>
        <w:snapToGrid w:val="0"/>
        <w:spacing w:line="360" w:lineRule="auto"/>
        <w:jc w:val="left"/>
        <w:rPr>
          <w:rFonts w:hint="eastAsia" w:ascii="宋体" w:hAnsi="宋体" w:cs="宋体"/>
          <w:color w:val="auto"/>
          <w:szCs w:val="21"/>
          <w:highlight w:val="none"/>
        </w:rPr>
      </w:pPr>
    </w:p>
    <w:p w14:paraId="6D11CD99">
      <w:pPr>
        <w:snapToGrid w:val="0"/>
        <w:spacing w:line="360" w:lineRule="auto"/>
        <w:jc w:val="left"/>
        <w:rPr>
          <w:rFonts w:hint="eastAsia" w:ascii="宋体" w:hAnsi="宋体" w:cs="宋体"/>
          <w:color w:val="auto"/>
          <w:szCs w:val="21"/>
          <w:highlight w:val="none"/>
        </w:rPr>
      </w:pPr>
    </w:p>
    <w:p w14:paraId="69F71E4E">
      <w:pPr>
        <w:snapToGrid w:val="0"/>
        <w:spacing w:line="360" w:lineRule="auto"/>
        <w:ind w:firstLine="4410" w:firstLineChars="2100"/>
        <w:rPr>
          <w:rFonts w:hint="eastAsia" w:ascii="宋体" w:hAnsi="宋体" w:cs="宋体"/>
          <w:color w:val="auto"/>
          <w:szCs w:val="21"/>
          <w:highlight w:val="none"/>
        </w:rPr>
      </w:pPr>
      <w:r>
        <w:rPr>
          <w:rFonts w:hint="eastAsia" w:ascii="宋体" w:hAnsi="宋体" w:cs="宋体"/>
          <w:color w:val="auto"/>
          <w:szCs w:val="21"/>
          <w:highlight w:val="none"/>
        </w:rPr>
        <w:t>供应商名称（电子签章）：</w:t>
      </w:r>
    </w:p>
    <w:p w14:paraId="08A84B42">
      <w:pPr>
        <w:snapToGrid w:val="0"/>
        <w:spacing w:line="360" w:lineRule="auto"/>
        <w:ind w:firstLine="4515" w:firstLineChars="2150"/>
        <w:rPr>
          <w:rFonts w:hint="eastAsia" w:ascii="宋体" w:hAnsi="宋体" w:cs="宋体"/>
          <w:color w:val="auto"/>
          <w:szCs w:val="21"/>
          <w:highlight w:val="none"/>
        </w:rPr>
      </w:pPr>
      <w:r>
        <w:rPr>
          <w:rFonts w:hint="eastAsia" w:ascii="宋体" w:hAnsi="宋体" w:cs="宋体"/>
          <w:color w:val="auto"/>
          <w:szCs w:val="21"/>
          <w:highlight w:val="none"/>
        </w:rPr>
        <w:t>日期：  年  月   日</w:t>
      </w:r>
    </w:p>
    <w:p w14:paraId="54B71A5E">
      <w:pPr>
        <w:snapToGrid w:val="0"/>
        <w:jc w:val="left"/>
        <w:rPr>
          <w:rFonts w:hint="eastAsia" w:ascii="宋体" w:hAnsi="宋体" w:eastAsia="宋体" w:cs="宋体"/>
          <w:color w:val="auto"/>
          <w:szCs w:val="21"/>
          <w:highlight w:val="none"/>
        </w:rPr>
      </w:pPr>
      <w:r>
        <w:rPr>
          <w:rFonts w:hint="eastAsia" w:ascii="宋体" w:hAnsi="宋体" w:cs="宋体"/>
          <w:b/>
          <w:color w:val="auto"/>
          <w:sz w:val="28"/>
          <w:szCs w:val="28"/>
          <w:highlight w:val="none"/>
        </w:rPr>
        <w:br w:type="page"/>
      </w:r>
      <w:r>
        <w:rPr>
          <w:rFonts w:hint="eastAsia" w:ascii="宋体" w:hAnsi="宋体" w:eastAsia="宋体" w:cs="宋体"/>
          <w:color w:val="auto"/>
          <w:szCs w:val="21"/>
          <w:highlight w:val="none"/>
          <w:lang w:val="en-US" w:eastAsia="zh-CN"/>
        </w:rPr>
        <w:t>6</w:t>
      </w:r>
      <w:r>
        <w:rPr>
          <w:rFonts w:hint="eastAsia" w:ascii="宋体" w:hAnsi="宋体" w:eastAsia="宋体" w:cs="宋体"/>
          <w:color w:val="auto"/>
          <w:szCs w:val="21"/>
          <w:highlight w:val="none"/>
        </w:rPr>
        <w:t>.5.2供应商直接管理关系信息表</w:t>
      </w:r>
    </w:p>
    <w:tbl>
      <w:tblPr>
        <w:tblStyle w:val="55"/>
        <w:tblW w:w="0" w:type="auto"/>
        <w:tblInd w:w="125" w:type="dxa"/>
        <w:shd w:val="clear" w:color="auto" w:fill="FBFBFB"/>
        <w:tblLayout w:type="fixed"/>
        <w:tblCellMar>
          <w:top w:w="0" w:type="dxa"/>
          <w:left w:w="0" w:type="dxa"/>
          <w:bottom w:w="0" w:type="dxa"/>
          <w:right w:w="0" w:type="dxa"/>
        </w:tblCellMar>
      </w:tblPr>
      <w:tblGrid>
        <w:gridCol w:w="1005"/>
        <w:gridCol w:w="2659"/>
        <w:gridCol w:w="3924"/>
        <w:gridCol w:w="2064"/>
      </w:tblGrid>
      <w:tr w14:paraId="77EAD28E">
        <w:tblPrEx>
          <w:shd w:val="clear" w:color="auto" w:fill="FBFBFB"/>
          <w:tblCellMar>
            <w:top w:w="0" w:type="dxa"/>
            <w:left w:w="0" w:type="dxa"/>
            <w:bottom w:w="0" w:type="dxa"/>
            <w:right w:w="0" w:type="dxa"/>
          </w:tblCellMar>
        </w:tblPrEx>
        <w:trPr>
          <w:tblHeader/>
        </w:trPr>
        <w:tc>
          <w:tcPr>
            <w:tcW w:w="100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17C68273">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序号</w:t>
            </w:r>
          </w:p>
        </w:tc>
        <w:tc>
          <w:tcPr>
            <w:tcW w:w="2659"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04C6E21A">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直接管理关系单位名称</w:t>
            </w:r>
          </w:p>
        </w:tc>
        <w:tc>
          <w:tcPr>
            <w:tcW w:w="3924"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657CBA56">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统一社会信用代码</w:t>
            </w:r>
          </w:p>
        </w:tc>
        <w:tc>
          <w:tcPr>
            <w:tcW w:w="2064"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3CEEFBEB">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备注</w:t>
            </w:r>
          </w:p>
        </w:tc>
      </w:tr>
      <w:tr w14:paraId="62E3CD93">
        <w:tblPrEx>
          <w:tblCellMar>
            <w:top w:w="0" w:type="dxa"/>
            <w:left w:w="0" w:type="dxa"/>
            <w:bottom w:w="0" w:type="dxa"/>
            <w:right w:w="0" w:type="dxa"/>
          </w:tblCellMar>
        </w:tblPrEx>
        <w:tc>
          <w:tcPr>
            <w:tcW w:w="100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2CF4DA36">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1</w:t>
            </w:r>
          </w:p>
        </w:tc>
        <w:tc>
          <w:tcPr>
            <w:tcW w:w="2659"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02519668">
            <w:pPr>
              <w:spacing w:line="360" w:lineRule="auto"/>
              <w:jc w:val="center"/>
              <w:rPr>
                <w:rFonts w:hint="eastAsia" w:ascii="宋体" w:hAnsi="宋体" w:cs="宋体"/>
                <w:color w:val="auto"/>
                <w:szCs w:val="21"/>
                <w:highlight w:val="none"/>
              </w:rPr>
            </w:pPr>
          </w:p>
        </w:tc>
        <w:tc>
          <w:tcPr>
            <w:tcW w:w="3924"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728CD009">
            <w:pPr>
              <w:spacing w:line="360" w:lineRule="auto"/>
              <w:jc w:val="center"/>
              <w:rPr>
                <w:rFonts w:hint="eastAsia" w:ascii="宋体" w:hAnsi="宋体" w:cs="宋体"/>
                <w:color w:val="auto"/>
                <w:szCs w:val="21"/>
                <w:highlight w:val="none"/>
              </w:rPr>
            </w:pPr>
          </w:p>
        </w:tc>
        <w:tc>
          <w:tcPr>
            <w:tcW w:w="2064"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5C13B29E">
            <w:pPr>
              <w:spacing w:line="360" w:lineRule="auto"/>
              <w:jc w:val="center"/>
              <w:rPr>
                <w:rFonts w:hint="eastAsia" w:ascii="宋体" w:hAnsi="宋体" w:cs="宋体"/>
                <w:color w:val="auto"/>
                <w:szCs w:val="21"/>
                <w:highlight w:val="none"/>
              </w:rPr>
            </w:pPr>
          </w:p>
        </w:tc>
      </w:tr>
      <w:tr w14:paraId="40CC8E97">
        <w:tblPrEx>
          <w:tblCellMar>
            <w:top w:w="0" w:type="dxa"/>
            <w:left w:w="0" w:type="dxa"/>
            <w:bottom w:w="0" w:type="dxa"/>
            <w:right w:w="0" w:type="dxa"/>
          </w:tblCellMar>
        </w:tblPrEx>
        <w:tc>
          <w:tcPr>
            <w:tcW w:w="100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654EB6E6">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2</w:t>
            </w:r>
          </w:p>
        </w:tc>
        <w:tc>
          <w:tcPr>
            <w:tcW w:w="2659"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2223A9A9">
            <w:pPr>
              <w:spacing w:line="360" w:lineRule="auto"/>
              <w:jc w:val="center"/>
              <w:rPr>
                <w:rFonts w:hint="eastAsia" w:ascii="宋体" w:hAnsi="宋体" w:cs="宋体"/>
                <w:color w:val="auto"/>
                <w:szCs w:val="21"/>
                <w:highlight w:val="none"/>
              </w:rPr>
            </w:pPr>
          </w:p>
        </w:tc>
        <w:tc>
          <w:tcPr>
            <w:tcW w:w="3924"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287B19CE">
            <w:pPr>
              <w:spacing w:line="360" w:lineRule="auto"/>
              <w:jc w:val="center"/>
              <w:rPr>
                <w:rFonts w:hint="eastAsia" w:ascii="宋体" w:hAnsi="宋体" w:cs="宋体"/>
                <w:color w:val="auto"/>
                <w:szCs w:val="21"/>
                <w:highlight w:val="none"/>
              </w:rPr>
            </w:pPr>
          </w:p>
        </w:tc>
        <w:tc>
          <w:tcPr>
            <w:tcW w:w="2064"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3ED0DA3B">
            <w:pPr>
              <w:spacing w:line="360" w:lineRule="auto"/>
              <w:jc w:val="center"/>
              <w:rPr>
                <w:rFonts w:hint="eastAsia" w:ascii="宋体" w:hAnsi="宋体" w:cs="宋体"/>
                <w:color w:val="auto"/>
                <w:szCs w:val="21"/>
                <w:highlight w:val="none"/>
              </w:rPr>
            </w:pPr>
          </w:p>
        </w:tc>
      </w:tr>
      <w:tr w14:paraId="7454A456">
        <w:tblPrEx>
          <w:tblCellMar>
            <w:top w:w="0" w:type="dxa"/>
            <w:left w:w="0" w:type="dxa"/>
            <w:bottom w:w="0" w:type="dxa"/>
            <w:right w:w="0" w:type="dxa"/>
          </w:tblCellMar>
        </w:tblPrEx>
        <w:tc>
          <w:tcPr>
            <w:tcW w:w="100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2E95C960">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3</w:t>
            </w:r>
          </w:p>
        </w:tc>
        <w:tc>
          <w:tcPr>
            <w:tcW w:w="2659"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557A5A1F">
            <w:pPr>
              <w:spacing w:line="360" w:lineRule="auto"/>
              <w:jc w:val="center"/>
              <w:rPr>
                <w:rFonts w:hint="eastAsia" w:ascii="宋体" w:hAnsi="宋体" w:cs="宋体"/>
                <w:color w:val="auto"/>
                <w:szCs w:val="21"/>
                <w:highlight w:val="none"/>
              </w:rPr>
            </w:pPr>
          </w:p>
        </w:tc>
        <w:tc>
          <w:tcPr>
            <w:tcW w:w="3924"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329E4A94">
            <w:pPr>
              <w:spacing w:line="360" w:lineRule="auto"/>
              <w:jc w:val="center"/>
              <w:rPr>
                <w:rFonts w:hint="eastAsia" w:ascii="宋体" w:hAnsi="宋体" w:cs="宋体"/>
                <w:color w:val="auto"/>
                <w:szCs w:val="21"/>
                <w:highlight w:val="none"/>
              </w:rPr>
            </w:pPr>
          </w:p>
        </w:tc>
        <w:tc>
          <w:tcPr>
            <w:tcW w:w="2064"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3485007D">
            <w:pPr>
              <w:spacing w:line="360" w:lineRule="auto"/>
              <w:jc w:val="center"/>
              <w:rPr>
                <w:rFonts w:hint="eastAsia" w:ascii="宋体" w:hAnsi="宋体" w:cs="宋体"/>
                <w:color w:val="auto"/>
                <w:szCs w:val="21"/>
                <w:highlight w:val="none"/>
              </w:rPr>
            </w:pPr>
          </w:p>
        </w:tc>
      </w:tr>
      <w:tr w14:paraId="68027C89">
        <w:tblPrEx>
          <w:tblCellMar>
            <w:top w:w="0" w:type="dxa"/>
            <w:left w:w="0" w:type="dxa"/>
            <w:bottom w:w="0" w:type="dxa"/>
            <w:right w:w="0" w:type="dxa"/>
          </w:tblCellMar>
        </w:tblPrEx>
        <w:tc>
          <w:tcPr>
            <w:tcW w:w="100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2F5D4FB8">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w:t>
            </w:r>
          </w:p>
        </w:tc>
        <w:tc>
          <w:tcPr>
            <w:tcW w:w="2659"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351B6CE9">
            <w:pPr>
              <w:spacing w:line="360" w:lineRule="auto"/>
              <w:jc w:val="center"/>
              <w:rPr>
                <w:rFonts w:hint="eastAsia" w:ascii="宋体" w:hAnsi="宋体" w:cs="宋体"/>
                <w:color w:val="auto"/>
                <w:szCs w:val="21"/>
                <w:highlight w:val="none"/>
              </w:rPr>
            </w:pPr>
          </w:p>
        </w:tc>
        <w:tc>
          <w:tcPr>
            <w:tcW w:w="3924"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068D76A0">
            <w:pPr>
              <w:spacing w:line="360" w:lineRule="auto"/>
              <w:jc w:val="center"/>
              <w:rPr>
                <w:rFonts w:hint="eastAsia" w:ascii="宋体" w:hAnsi="宋体" w:cs="宋体"/>
                <w:color w:val="auto"/>
                <w:szCs w:val="21"/>
                <w:highlight w:val="none"/>
              </w:rPr>
            </w:pPr>
          </w:p>
        </w:tc>
        <w:tc>
          <w:tcPr>
            <w:tcW w:w="2064"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7DA96980">
            <w:pPr>
              <w:spacing w:line="360" w:lineRule="auto"/>
              <w:jc w:val="center"/>
              <w:rPr>
                <w:rFonts w:hint="eastAsia" w:ascii="宋体" w:hAnsi="宋体" w:cs="宋体"/>
                <w:color w:val="auto"/>
                <w:szCs w:val="21"/>
                <w:highlight w:val="none"/>
              </w:rPr>
            </w:pPr>
          </w:p>
        </w:tc>
      </w:tr>
    </w:tbl>
    <w:p w14:paraId="2A199360">
      <w:pPr>
        <w:snapToGrid w:val="0"/>
        <w:spacing w:line="360" w:lineRule="auto"/>
        <w:jc w:val="left"/>
        <w:rPr>
          <w:rFonts w:hint="eastAsia" w:ascii="宋体" w:hAnsi="宋体" w:cs="宋体"/>
          <w:color w:val="auto"/>
          <w:szCs w:val="21"/>
          <w:highlight w:val="none"/>
        </w:rPr>
      </w:pPr>
      <w:r>
        <w:rPr>
          <w:rFonts w:hint="eastAsia" w:ascii="宋体" w:hAnsi="宋体" w:cs="宋体"/>
          <w:color w:val="auto"/>
          <w:szCs w:val="21"/>
          <w:highlight w:val="none"/>
        </w:rPr>
        <w:t>注：</w:t>
      </w:r>
    </w:p>
    <w:p w14:paraId="18B4D716">
      <w:pPr>
        <w:snapToGrid w:val="0"/>
        <w:spacing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1.管理关系：是指不具有出资持股关系的其他单位之间存在的管理与被管理关系，如一些上下级关系的事业单位和团体组织。</w:t>
      </w:r>
    </w:p>
    <w:p w14:paraId="474DFD0A">
      <w:pPr>
        <w:snapToGrid w:val="0"/>
        <w:spacing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2.本表所指的管理关系仅限于直接管理关系，不包括间接的管理关系。</w:t>
      </w:r>
    </w:p>
    <w:p w14:paraId="1082998D">
      <w:pPr>
        <w:snapToGrid w:val="0"/>
        <w:spacing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3.供应商不存在直接管理关系的，则填“无”。</w:t>
      </w:r>
    </w:p>
    <w:p w14:paraId="58B8DA8C">
      <w:pPr>
        <w:snapToGrid w:val="0"/>
        <w:spacing w:line="360" w:lineRule="auto"/>
        <w:jc w:val="left"/>
        <w:rPr>
          <w:rFonts w:hint="eastAsia" w:ascii="宋体" w:hAnsi="宋体" w:cs="宋体"/>
          <w:color w:val="auto"/>
          <w:szCs w:val="21"/>
          <w:highlight w:val="none"/>
        </w:rPr>
      </w:pPr>
    </w:p>
    <w:p w14:paraId="44CA2A82">
      <w:pPr>
        <w:snapToGrid w:val="0"/>
        <w:spacing w:line="360" w:lineRule="auto"/>
        <w:jc w:val="left"/>
        <w:rPr>
          <w:rFonts w:hint="eastAsia" w:ascii="宋体" w:hAnsi="宋体" w:cs="宋体"/>
          <w:color w:val="auto"/>
          <w:szCs w:val="21"/>
          <w:highlight w:val="none"/>
        </w:rPr>
      </w:pPr>
    </w:p>
    <w:p w14:paraId="06AF26EE">
      <w:pPr>
        <w:snapToGrid w:val="0"/>
        <w:spacing w:line="360" w:lineRule="auto"/>
        <w:jc w:val="left"/>
        <w:rPr>
          <w:rFonts w:hint="eastAsia" w:ascii="宋体" w:hAnsi="宋体" w:cs="宋体"/>
          <w:color w:val="auto"/>
          <w:szCs w:val="21"/>
          <w:highlight w:val="none"/>
        </w:rPr>
      </w:pPr>
    </w:p>
    <w:p w14:paraId="64C6B6B0">
      <w:pPr>
        <w:snapToGrid w:val="0"/>
        <w:spacing w:line="360" w:lineRule="auto"/>
        <w:jc w:val="left"/>
        <w:rPr>
          <w:rFonts w:hint="eastAsia" w:ascii="宋体" w:hAnsi="宋体" w:cs="宋体"/>
          <w:color w:val="auto"/>
          <w:szCs w:val="21"/>
          <w:highlight w:val="none"/>
        </w:rPr>
      </w:pPr>
    </w:p>
    <w:p w14:paraId="6710EEFB">
      <w:pPr>
        <w:snapToGrid w:val="0"/>
        <w:spacing w:line="360" w:lineRule="auto"/>
        <w:jc w:val="left"/>
        <w:rPr>
          <w:rFonts w:hint="eastAsia" w:ascii="宋体" w:hAnsi="宋体" w:cs="宋体"/>
          <w:color w:val="auto"/>
          <w:szCs w:val="21"/>
          <w:highlight w:val="none"/>
        </w:rPr>
      </w:pPr>
    </w:p>
    <w:p w14:paraId="44C5D9DA">
      <w:pPr>
        <w:snapToGrid w:val="0"/>
        <w:spacing w:line="360" w:lineRule="auto"/>
        <w:jc w:val="left"/>
        <w:rPr>
          <w:rFonts w:hint="eastAsia" w:ascii="宋体" w:hAnsi="宋体" w:cs="宋体"/>
          <w:color w:val="auto"/>
          <w:szCs w:val="21"/>
          <w:highlight w:val="none"/>
        </w:rPr>
      </w:pPr>
    </w:p>
    <w:p w14:paraId="67828219">
      <w:pPr>
        <w:snapToGrid w:val="0"/>
        <w:spacing w:line="360" w:lineRule="auto"/>
        <w:jc w:val="left"/>
        <w:rPr>
          <w:rFonts w:hint="eastAsia" w:ascii="宋体" w:hAnsi="宋体" w:cs="宋体"/>
          <w:color w:val="auto"/>
          <w:szCs w:val="21"/>
          <w:highlight w:val="none"/>
        </w:rPr>
      </w:pPr>
    </w:p>
    <w:p w14:paraId="27127FAF">
      <w:pPr>
        <w:snapToGrid w:val="0"/>
        <w:spacing w:line="360" w:lineRule="auto"/>
        <w:jc w:val="left"/>
        <w:rPr>
          <w:rFonts w:hint="eastAsia" w:ascii="宋体" w:hAnsi="宋体" w:cs="宋体"/>
          <w:color w:val="auto"/>
          <w:szCs w:val="21"/>
          <w:highlight w:val="none"/>
        </w:rPr>
      </w:pPr>
    </w:p>
    <w:p w14:paraId="6B7C9790">
      <w:pPr>
        <w:snapToGrid w:val="0"/>
        <w:spacing w:line="360" w:lineRule="auto"/>
        <w:ind w:firstLine="4410" w:firstLineChars="2100"/>
        <w:rPr>
          <w:rFonts w:hint="eastAsia" w:ascii="宋体" w:hAnsi="宋体" w:cs="宋体"/>
          <w:color w:val="auto"/>
          <w:szCs w:val="21"/>
          <w:highlight w:val="none"/>
        </w:rPr>
      </w:pPr>
      <w:r>
        <w:rPr>
          <w:rFonts w:hint="eastAsia" w:ascii="宋体" w:hAnsi="宋体" w:cs="宋体"/>
          <w:color w:val="auto"/>
          <w:szCs w:val="21"/>
          <w:highlight w:val="none"/>
        </w:rPr>
        <w:t>供应商名称（电子签章）：</w:t>
      </w:r>
    </w:p>
    <w:p w14:paraId="2F1608F7">
      <w:pPr>
        <w:snapToGrid w:val="0"/>
        <w:spacing w:line="360" w:lineRule="auto"/>
        <w:ind w:firstLine="4515" w:firstLineChars="2150"/>
        <w:rPr>
          <w:rFonts w:hint="eastAsia" w:ascii="宋体" w:hAnsi="宋体" w:cs="宋体"/>
          <w:color w:val="auto"/>
          <w:szCs w:val="21"/>
          <w:highlight w:val="none"/>
        </w:rPr>
      </w:pPr>
      <w:r>
        <w:rPr>
          <w:rFonts w:hint="eastAsia" w:ascii="宋体" w:hAnsi="宋体" w:cs="宋体"/>
          <w:color w:val="auto"/>
          <w:szCs w:val="21"/>
          <w:highlight w:val="none"/>
        </w:rPr>
        <w:t>日期：  年  月   日</w:t>
      </w:r>
    </w:p>
    <w:p w14:paraId="27971B35">
      <w:pPr>
        <w:pStyle w:val="28"/>
        <w:tabs>
          <w:tab w:val="left" w:pos="2127"/>
        </w:tabs>
        <w:spacing w:line="340" w:lineRule="exact"/>
        <w:rPr>
          <w:rFonts w:hint="eastAsia" w:hAnsi="宋体" w:cs="宋体"/>
          <w:color w:val="auto"/>
          <w:highlight w:val="none"/>
        </w:rPr>
      </w:pPr>
    </w:p>
    <w:p w14:paraId="5C885659">
      <w:pPr>
        <w:snapToGrid w:val="0"/>
        <w:spacing w:before="50" w:after="120" w:afterLines="50" w:line="440" w:lineRule="exact"/>
        <w:jc w:val="left"/>
        <w:rPr>
          <w:rFonts w:hint="eastAsia" w:ascii="宋体" w:hAnsi="宋体" w:cs="宋体"/>
          <w:color w:val="auto"/>
          <w:szCs w:val="21"/>
          <w:highlight w:val="none"/>
        </w:rPr>
      </w:pPr>
    </w:p>
    <w:p w14:paraId="5054CF39">
      <w:pPr>
        <w:snapToGrid w:val="0"/>
        <w:spacing w:before="50" w:after="120" w:afterLines="50" w:line="400" w:lineRule="exact"/>
        <w:jc w:val="left"/>
        <w:rPr>
          <w:rFonts w:hint="default" w:ascii="宋体" w:hAnsi="宋体" w:eastAsia="宋体" w:cs="宋体"/>
          <w:bCs/>
          <w:color w:val="auto"/>
          <w:sz w:val="24"/>
          <w:highlight w:val="none"/>
          <w:lang w:val="en-US" w:eastAsia="zh-CN"/>
        </w:rPr>
      </w:pPr>
      <w:r>
        <w:rPr>
          <w:rFonts w:hint="eastAsia" w:ascii="宋体" w:hAnsi="宋体" w:cs="宋体"/>
          <w:color w:val="auto"/>
          <w:szCs w:val="21"/>
          <w:highlight w:val="none"/>
        </w:rPr>
        <w:br w:type="page"/>
      </w:r>
      <w:r>
        <w:rPr>
          <w:rFonts w:hint="eastAsia" w:ascii="宋体" w:hAnsi="宋体" w:cs="宋体"/>
          <w:color w:val="auto"/>
          <w:szCs w:val="21"/>
          <w:highlight w:val="none"/>
          <w:lang w:val="en-US" w:eastAsia="zh-CN"/>
        </w:rPr>
        <w:t>7</w:t>
      </w:r>
      <w:r>
        <w:rPr>
          <w:rFonts w:hint="eastAsia" w:ascii="宋体" w:hAnsi="宋体" w:cs="宋体"/>
          <w:color w:val="auto"/>
          <w:szCs w:val="21"/>
          <w:highlight w:val="none"/>
        </w:rPr>
        <w:t>．建设工程项目管理承诺书</w:t>
      </w:r>
      <w:r>
        <w:rPr>
          <w:rFonts w:hint="eastAsia" w:ascii="宋体" w:hAnsi="宋体" w:cs="宋体"/>
          <w:color w:val="auto"/>
          <w:szCs w:val="21"/>
          <w:highlight w:val="none"/>
          <w:lang w:val="en-US" w:eastAsia="zh-CN"/>
        </w:rPr>
        <w:tab/>
      </w:r>
    </w:p>
    <w:p w14:paraId="3997E328">
      <w:pPr>
        <w:pStyle w:val="200"/>
        <w:jc w:val="center"/>
        <w:rPr>
          <w:rFonts w:hint="eastAsia" w:ascii="宋体" w:hAnsi="宋体" w:cs="宋体"/>
          <w:color w:val="auto"/>
          <w:szCs w:val="21"/>
          <w:highlight w:val="none"/>
        </w:rPr>
      </w:pPr>
      <w:r>
        <w:rPr>
          <w:rFonts w:hint="eastAsia" w:ascii="宋体" w:hAnsi="宋体" w:cs="宋体"/>
          <w:color w:val="auto"/>
          <w:szCs w:val="21"/>
          <w:highlight w:val="none"/>
        </w:rPr>
        <w:t>建设工程项目管理承诺书</w:t>
      </w:r>
    </w:p>
    <w:p w14:paraId="02AD0DBE">
      <w:pPr>
        <w:spacing w:line="360" w:lineRule="auto"/>
        <w:jc w:val="center"/>
        <w:rPr>
          <w:rFonts w:hint="eastAsia" w:ascii="宋体" w:hAnsi="宋体" w:cs="宋体"/>
          <w:b/>
          <w:bCs/>
          <w:color w:val="auto"/>
          <w:sz w:val="24"/>
          <w:highlight w:val="none"/>
        </w:rPr>
      </w:pPr>
    </w:p>
    <w:p w14:paraId="5B301571">
      <w:pPr>
        <w:spacing w:line="360" w:lineRule="auto"/>
        <w:jc w:val="center"/>
        <w:rPr>
          <w:rFonts w:hint="eastAsia" w:ascii="宋体" w:hAnsi="宋体" w:cs="宋体"/>
          <w:b/>
          <w:bCs/>
          <w:color w:val="auto"/>
          <w:sz w:val="24"/>
          <w:highlight w:val="none"/>
        </w:rPr>
      </w:pPr>
    </w:p>
    <w:p w14:paraId="473C612A">
      <w:pPr>
        <w:pStyle w:val="28"/>
        <w:tabs>
          <w:tab w:val="left" w:pos="2127"/>
        </w:tabs>
        <w:spacing w:line="340" w:lineRule="exact"/>
        <w:rPr>
          <w:rFonts w:hint="eastAsia" w:hAnsi="宋体" w:cs="宋体"/>
          <w:color w:val="auto"/>
          <w:highlight w:val="none"/>
        </w:rPr>
      </w:pPr>
      <w:r>
        <w:rPr>
          <w:rFonts w:hint="eastAsia" w:hAnsi="宋体" w:cs="宋体"/>
          <w:color w:val="auto"/>
          <w:highlight w:val="none"/>
        </w:rPr>
        <w:t>致</w:t>
      </w:r>
      <w:r>
        <w:rPr>
          <w:rFonts w:hint="eastAsia" w:hAnsi="宋体" w:cs="宋体"/>
          <w:i/>
          <w:iCs/>
          <w:color w:val="auto"/>
          <w:highlight w:val="none"/>
          <w:u w:val="single"/>
        </w:rPr>
        <w:t>（采购人名称）</w:t>
      </w:r>
      <w:r>
        <w:rPr>
          <w:rFonts w:hint="eastAsia" w:hAnsi="宋体" w:cs="宋体"/>
          <w:color w:val="auto"/>
          <w:highlight w:val="none"/>
        </w:rPr>
        <w:t>：</w:t>
      </w:r>
    </w:p>
    <w:p w14:paraId="049EDC41">
      <w:pPr>
        <w:snapToGrid w:val="0"/>
        <w:spacing w:before="120" w:beforeLines="50"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作为参与</w:t>
      </w:r>
      <w:r>
        <w:rPr>
          <w:rFonts w:hint="eastAsia" w:ascii="宋体" w:hAnsi="宋体" w:cs="宋体"/>
          <w:color w:val="auto"/>
          <w:szCs w:val="21"/>
          <w:highlight w:val="none"/>
          <w:u w:val="single"/>
        </w:rPr>
        <w:t></w:t>
      </w:r>
      <w:r>
        <w:rPr>
          <w:rFonts w:hint="eastAsia" w:ascii="宋体" w:hAnsi="宋体" w:cs="宋体"/>
          <w:i/>
          <w:iCs/>
          <w:color w:val="auto"/>
          <w:szCs w:val="21"/>
          <w:highlight w:val="none"/>
          <w:u w:val="single"/>
        </w:rPr>
        <w:t>（工程名称）</w:t>
      </w:r>
      <w:r>
        <w:rPr>
          <w:rFonts w:hint="eastAsia" w:ascii="宋体" w:hAnsi="宋体" w:cs="宋体"/>
          <w:color w:val="auto"/>
          <w:szCs w:val="21"/>
          <w:highlight w:val="none"/>
        </w:rPr>
        <w:t>项目的供应商，根据国家、自治区相关文件规定，我方在此承诺：</w:t>
      </w:r>
    </w:p>
    <w:p w14:paraId="4380C38F">
      <w:pPr>
        <w:spacing w:line="520" w:lineRule="exact"/>
        <w:ind w:left="-2" w:leftChars="-1" w:firstLine="449" w:firstLineChars="214"/>
        <w:jc w:val="left"/>
        <w:rPr>
          <w:rFonts w:hint="eastAsia" w:ascii="宋体" w:hAnsi="宋体" w:cs="宋体"/>
          <w:color w:val="auto"/>
          <w:szCs w:val="21"/>
          <w:highlight w:val="none"/>
        </w:rPr>
      </w:pPr>
      <w:r>
        <w:rPr>
          <w:rFonts w:hint="eastAsia" w:ascii="宋体" w:hAnsi="宋体" w:cs="宋体"/>
          <w:color w:val="auto"/>
          <w:szCs w:val="21"/>
          <w:highlight w:val="none"/>
        </w:rPr>
        <w:t>1、一旦成交，</w:t>
      </w:r>
      <w:r>
        <w:rPr>
          <w:rFonts w:hint="eastAsia" w:ascii="宋体" w:hAnsi="宋体" w:cs="宋体"/>
          <w:color w:val="auto"/>
          <w:highlight w:val="none"/>
        </w:rPr>
        <w:t>我方保证按照政府相关部门的规定，在合同签订之日起30日内，按照《保障农民工工资支付条例》规定及广西壮族自治区有关规定开设农民工工资专用账户，并按</w:t>
      </w:r>
      <w:r>
        <w:rPr>
          <w:rFonts w:hint="eastAsia" w:ascii="宋体" w:hAnsi="宋体" w:cs="宋体"/>
          <w:color w:val="auto"/>
          <w:highlight w:val="none"/>
          <w:u w:val="single"/>
        </w:rPr>
        <w:t>要求</w:t>
      </w:r>
      <w:r>
        <w:rPr>
          <w:rFonts w:hint="eastAsia" w:ascii="宋体" w:hAnsi="宋体" w:cs="宋体"/>
          <w:color w:val="auto"/>
          <w:highlight w:val="none"/>
        </w:rPr>
        <w:t>比例将农民工工资保证金存入</w:t>
      </w:r>
      <w:r>
        <w:rPr>
          <w:rFonts w:hint="eastAsia" w:ascii="宋体" w:hAnsi="宋体" w:cs="宋体"/>
          <w:color w:val="auto"/>
          <w:highlight w:val="none"/>
          <w:lang w:eastAsia="zh-CN"/>
        </w:rPr>
        <w:t>账户</w:t>
      </w:r>
      <w:r>
        <w:rPr>
          <w:rFonts w:hint="eastAsia" w:ascii="宋体" w:hAnsi="宋体" w:cs="宋体"/>
          <w:color w:val="auto"/>
          <w:highlight w:val="none"/>
        </w:rPr>
        <w:t>，专项用于支付本工程提供劳动的农民工被拖欠的工资。按照与农民工依法约定的工资支付周期和具体支付日期支付工资，保证每月至少向农民工足额支付一次工资。</w:t>
      </w:r>
    </w:p>
    <w:p w14:paraId="56BF4C6A">
      <w:pPr>
        <w:spacing w:line="520" w:lineRule="exact"/>
        <w:ind w:left="-2" w:leftChars="-1" w:firstLine="449" w:firstLineChars="214"/>
        <w:jc w:val="left"/>
        <w:rPr>
          <w:rFonts w:hint="eastAsia" w:ascii="宋体" w:hAnsi="宋体" w:cs="宋体"/>
          <w:color w:val="auto"/>
          <w:szCs w:val="21"/>
          <w:highlight w:val="none"/>
        </w:rPr>
      </w:pPr>
      <w:r>
        <w:rPr>
          <w:rFonts w:hint="eastAsia" w:ascii="宋体" w:hAnsi="宋体" w:cs="宋体"/>
          <w:color w:val="auto"/>
          <w:szCs w:val="21"/>
          <w:highlight w:val="none"/>
        </w:rPr>
        <w:t>2、一旦成交，我方保证在施工过程中，严格执行《广西壮族自治区建筑工程安全文明施工费使用管理细则》（桂建质〔2015〕16号）的有关规定，确保建设工程各项安全防护、文明施工措施落实到位。如我方在该项目的承包中出现未按桂建质〔2015〕16号文附件一规定执行的情形，我方愿意按照相关规定接受建设单位及有关主管部门的处罚。</w:t>
      </w:r>
    </w:p>
    <w:p w14:paraId="5AF451B5">
      <w:pPr>
        <w:spacing w:line="520" w:lineRule="exact"/>
        <w:ind w:left="-2" w:leftChars="-1" w:firstLine="449" w:firstLineChars="214"/>
        <w:jc w:val="left"/>
        <w:rPr>
          <w:rFonts w:hint="eastAsia" w:ascii="宋体" w:hAnsi="宋体" w:cs="宋体"/>
          <w:color w:val="auto"/>
          <w:szCs w:val="21"/>
          <w:highlight w:val="none"/>
        </w:rPr>
      </w:pPr>
      <w:r>
        <w:rPr>
          <w:rFonts w:hint="eastAsia" w:ascii="宋体" w:hAnsi="宋体" w:cs="宋体"/>
          <w:color w:val="auto"/>
          <w:szCs w:val="21"/>
          <w:highlight w:val="none"/>
        </w:rPr>
        <w:t>3、一旦成交，我方保证在施工过程中，严格执行散装水泥和预拌混凝土管理的有关规定，确保建设工程按规定使用散装水泥和预拌混凝土。如我方在该项目的承包中出现未按规定执行的情形，我方愿意按照相关规定接受建设单位及有关主管部门的处罚。</w:t>
      </w:r>
    </w:p>
    <w:p w14:paraId="624F8970">
      <w:pPr>
        <w:spacing w:line="520" w:lineRule="exact"/>
        <w:ind w:left="-2" w:leftChars="-1" w:firstLine="449" w:firstLineChars="214"/>
        <w:jc w:val="left"/>
        <w:rPr>
          <w:rFonts w:hint="eastAsia" w:ascii="宋体" w:hAnsi="宋体" w:cs="宋体"/>
          <w:color w:val="auto"/>
          <w:szCs w:val="21"/>
          <w:highlight w:val="none"/>
        </w:rPr>
      </w:pPr>
      <w:r>
        <w:rPr>
          <w:rFonts w:hint="eastAsia" w:ascii="宋体" w:hAnsi="宋体" w:cs="宋体"/>
          <w:color w:val="auto"/>
          <w:szCs w:val="21"/>
          <w:highlight w:val="none"/>
        </w:rPr>
        <w:t>4、一旦成交，我方保证在施工过程中，严格执行《关于禁止使用不符合规范要求的竹脚手架的通知》（桂建管字〔2003〕40号）的有关规定，不使用竹脚手架。如我方在该项目的承包中出现未按规定执行的情形，我方愿意按照相关规定接受建设单位及有关主管部门的处罚。</w:t>
      </w:r>
    </w:p>
    <w:p w14:paraId="57EA0BD2">
      <w:pPr>
        <w:spacing w:line="520" w:lineRule="exact"/>
        <w:ind w:left="-2" w:leftChars="-1" w:firstLine="449" w:firstLineChars="214"/>
        <w:jc w:val="left"/>
        <w:rPr>
          <w:rFonts w:hint="eastAsia" w:ascii="宋体" w:hAnsi="宋体" w:cs="宋体"/>
          <w:color w:val="auto"/>
          <w:highlight w:val="none"/>
        </w:rPr>
      </w:pPr>
      <w:r>
        <w:rPr>
          <w:rFonts w:hint="eastAsia" w:ascii="宋体" w:hAnsi="宋体" w:cs="宋体"/>
          <w:color w:val="auto"/>
          <w:szCs w:val="21"/>
          <w:highlight w:val="none"/>
        </w:rPr>
        <w:t>5、一旦成交，我方保证严格执行《危险性较大的分部分项工程安全管理规定》（建办质〔2018〕31号）的规定，强化对深基坑、高切坡、高大模板、人工挖孔桩、起重吊装、临时活动板房等重大危险源的专项施工方案的编制、论证、审批、实施、检测的风险管理。</w:t>
      </w:r>
    </w:p>
    <w:p w14:paraId="657DFEE6">
      <w:pPr>
        <w:spacing w:line="360" w:lineRule="auto"/>
        <w:jc w:val="left"/>
        <w:rPr>
          <w:rFonts w:hint="eastAsia" w:ascii="宋体" w:hAnsi="宋体" w:cs="宋体"/>
          <w:color w:val="auto"/>
          <w:highlight w:val="none"/>
        </w:rPr>
      </w:pPr>
    </w:p>
    <w:p w14:paraId="76F8F87E">
      <w:pPr>
        <w:spacing w:line="360" w:lineRule="auto"/>
        <w:jc w:val="left"/>
        <w:rPr>
          <w:rFonts w:hint="eastAsia" w:ascii="宋体" w:hAnsi="宋体" w:cs="宋体"/>
          <w:color w:val="auto"/>
          <w:highlight w:val="none"/>
        </w:rPr>
      </w:pPr>
    </w:p>
    <w:p w14:paraId="654575D0">
      <w:pPr>
        <w:snapToGrid w:val="0"/>
        <w:spacing w:before="120" w:beforeLines="50" w:after="50" w:line="360" w:lineRule="exact"/>
        <w:ind w:firstLine="4410" w:firstLineChars="2100"/>
        <w:rPr>
          <w:rFonts w:hint="eastAsia" w:ascii="宋体" w:hAnsi="宋体" w:cs="宋体"/>
          <w:color w:val="auto"/>
          <w:szCs w:val="21"/>
          <w:highlight w:val="none"/>
        </w:rPr>
      </w:pPr>
      <w:bookmarkStart w:id="129" w:name="_Hlk89190944"/>
      <w:r>
        <w:rPr>
          <w:rFonts w:hint="eastAsia" w:ascii="宋体" w:hAnsi="宋体" w:cs="宋体"/>
          <w:color w:val="auto"/>
          <w:szCs w:val="21"/>
          <w:highlight w:val="none"/>
        </w:rPr>
        <w:t>供应商名称（电子签章）：</w:t>
      </w:r>
      <w:r>
        <w:rPr>
          <w:rFonts w:hint="eastAsia" w:ascii="宋体" w:hAnsi="宋体" w:cs="宋体"/>
          <w:color w:val="auto"/>
          <w:szCs w:val="21"/>
          <w:highlight w:val="none"/>
          <w:u w:val="single"/>
        </w:rPr>
        <w:t xml:space="preserve">                </w:t>
      </w:r>
    </w:p>
    <w:bookmarkEnd w:id="129"/>
    <w:p w14:paraId="2A12D64B">
      <w:pPr>
        <w:spacing w:line="360" w:lineRule="auto"/>
        <w:ind w:firstLine="1260" w:firstLineChars="600"/>
        <w:jc w:val="left"/>
        <w:rPr>
          <w:rFonts w:hint="eastAsia" w:ascii="宋体" w:hAnsi="宋体" w:cs="宋体"/>
          <w:color w:val="auto"/>
          <w:highlight w:val="none"/>
        </w:rPr>
      </w:pPr>
    </w:p>
    <w:p w14:paraId="40E1043B">
      <w:pPr>
        <w:spacing w:line="360" w:lineRule="auto"/>
        <w:ind w:firstLine="4515" w:firstLineChars="2150"/>
        <w:jc w:val="left"/>
        <w:rPr>
          <w:rFonts w:hint="eastAsia" w:ascii="宋体" w:hAnsi="宋体" w:cs="宋体"/>
          <w:color w:val="auto"/>
          <w:highlight w:val="none"/>
        </w:rPr>
      </w:pPr>
      <w:r>
        <w:rPr>
          <w:rFonts w:hint="eastAsia" w:ascii="宋体" w:hAnsi="宋体" w:cs="宋体"/>
          <w:color w:val="auto"/>
          <w:highlight w:val="none"/>
        </w:rPr>
        <w:t>日期：</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年</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月</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日</w:t>
      </w:r>
    </w:p>
    <w:p w14:paraId="76F1D4BC">
      <w:pPr>
        <w:spacing w:line="360" w:lineRule="auto"/>
        <w:ind w:firstLine="525" w:firstLineChars="250"/>
        <w:jc w:val="center"/>
        <w:rPr>
          <w:rFonts w:hint="eastAsia" w:ascii="宋体" w:hAnsi="宋体" w:cs="宋体"/>
          <w:b/>
          <w:color w:val="auto"/>
          <w:sz w:val="28"/>
          <w:szCs w:val="28"/>
          <w:highlight w:val="none"/>
        </w:rPr>
      </w:pPr>
      <w:r>
        <w:rPr>
          <w:rFonts w:hint="eastAsia" w:ascii="宋体" w:hAnsi="宋体" w:cs="宋体"/>
          <w:color w:val="auto"/>
          <w:szCs w:val="21"/>
          <w:highlight w:val="none"/>
        </w:rPr>
        <w:br w:type="page"/>
      </w:r>
      <w:r>
        <w:rPr>
          <w:rFonts w:hint="eastAsia" w:ascii="宋体" w:hAnsi="宋体" w:cs="宋体"/>
          <w:b/>
          <w:color w:val="auto"/>
          <w:sz w:val="28"/>
          <w:szCs w:val="28"/>
          <w:highlight w:val="none"/>
        </w:rPr>
        <w:t>广西壮族自治区建筑工程安全文明施工措施项目清单内容</w:t>
      </w:r>
    </w:p>
    <w:p w14:paraId="2D51159D">
      <w:pPr>
        <w:pStyle w:val="258"/>
        <w:spacing w:line="360" w:lineRule="auto"/>
        <w:jc w:val="center"/>
        <w:rPr>
          <w:rFonts w:hint="eastAsia" w:ascii="宋体" w:hAnsi="宋体" w:cs="宋体"/>
          <w:color w:val="auto"/>
          <w:highlight w:val="none"/>
        </w:rPr>
      </w:pPr>
      <w:r>
        <w:rPr>
          <w:rFonts w:hint="eastAsia" w:ascii="宋体" w:hAnsi="宋体" w:cs="宋体"/>
          <w:color w:val="auto"/>
          <w:sz w:val="24"/>
          <w:highlight w:val="none"/>
        </w:rPr>
        <w:t>（桂建质【2015】16号文附件一）</w:t>
      </w:r>
    </w:p>
    <w:p w14:paraId="6AADCDD3">
      <w:pPr>
        <w:pStyle w:val="259"/>
        <w:spacing w:line="0" w:lineRule="atLeast"/>
        <w:jc w:val="center"/>
        <w:rPr>
          <w:rFonts w:hint="eastAsia" w:ascii="宋体" w:hAnsi="宋体" w:cs="宋体"/>
          <w:b/>
          <w:bCs/>
          <w:color w:val="auto"/>
          <w:sz w:val="24"/>
          <w:highlight w:val="none"/>
        </w:rPr>
      </w:pPr>
      <w:r>
        <w:rPr>
          <w:rFonts w:hint="eastAsia" w:ascii="宋体" w:hAnsi="宋体" w:cs="宋体"/>
          <w:b/>
          <w:bCs/>
          <w:color w:val="auto"/>
          <w:sz w:val="24"/>
          <w:highlight w:val="none"/>
        </w:rPr>
        <w:t>广西壮族自治区</w:t>
      </w:r>
    </w:p>
    <w:p w14:paraId="7511DD5F">
      <w:pPr>
        <w:pStyle w:val="259"/>
        <w:spacing w:line="0" w:lineRule="atLeast"/>
        <w:jc w:val="center"/>
        <w:rPr>
          <w:rFonts w:hint="eastAsia" w:ascii="宋体" w:hAnsi="宋体" w:cs="宋体"/>
          <w:b/>
          <w:bCs/>
          <w:color w:val="auto"/>
          <w:w w:val="90"/>
          <w:sz w:val="24"/>
          <w:highlight w:val="none"/>
        </w:rPr>
      </w:pPr>
      <w:r>
        <w:rPr>
          <w:rFonts w:hint="eastAsia" w:ascii="宋体" w:hAnsi="宋体" w:cs="宋体"/>
          <w:b/>
          <w:bCs/>
          <w:color w:val="auto"/>
          <w:w w:val="90"/>
          <w:sz w:val="24"/>
          <w:highlight w:val="none"/>
        </w:rPr>
        <w:t>建设工程安全文明施工措施项目清单内容</w:t>
      </w:r>
    </w:p>
    <w:tbl>
      <w:tblPr>
        <w:tblStyle w:val="55"/>
        <w:tblW w:w="0" w:type="auto"/>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738"/>
        <w:gridCol w:w="525"/>
        <w:gridCol w:w="1545"/>
        <w:gridCol w:w="6645"/>
      </w:tblGrid>
      <w:tr w14:paraId="4F268C7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01" w:hRule="exact"/>
        </w:trPr>
        <w:tc>
          <w:tcPr>
            <w:tcW w:w="738" w:type="dxa"/>
            <w:noWrap w:val="0"/>
            <w:vAlign w:val="center"/>
          </w:tcPr>
          <w:p w14:paraId="10BFFC7B">
            <w:pPr>
              <w:pStyle w:val="259"/>
              <w:spacing w:line="300" w:lineRule="exact"/>
              <w:jc w:val="center"/>
              <w:rPr>
                <w:rFonts w:hint="eastAsia" w:ascii="宋体" w:hAnsi="宋体" w:cs="宋体"/>
                <w:b/>
                <w:bCs/>
                <w:color w:val="auto"/>
                <w:szCs w:val="21"/>
                <w:highlight w:val="none"/>
              </w:rPr>
            </w:pPr>
            <w:r>
              <w:rPr>
                <w:rFonts w:hint="eastAsia" w:ascii="宋体" w:hAnsi="宋体" w:cs="宋体"/>
                <w:b/>
                <w:bCs/>
                <w:color w:val="auto"/>
                <w:szCs w:val="21"/>
                <w:highlight w:val="none"/>
              </w:rPr>
              <w:t>类别</w:t>
            </w:r>
          </w:p>
        </w:tc>
        <w:tc>
          <w:tcPr>
            <w:tcW w:w="2070" w:type="dxa"/>
            <w:gridSpan w:val="2"/>
            <w:noWrap w:val="0"/>
            <w:vAlign w:val="center"/>
          </w:tcPr>
          <w:p w14:paraId="74627E99">
            <w:pPr>
              <w:pStyle w:val="259"/>
              <w:spacing w:line="300" w:lineRule="exact"/>
              <w:jc w:val="center"/>
              <w:rPr>
                <w:rFonts w:hint="eastAsia" w:ascii="宋体" w:hAnsi="宋体" w:cs="宋体"/>
                <w:b/>
                <w:bCs/>
                <w:color w:val="auto"/>
                <w:szCs w:val="21"/>
                <w:highlight w:val="none"/>
              </w:rPr>
            </w:pPr>
            <w:r>
              <w:rPr>
                <w:rFonts w:hint="eastAsia" w:ascii="宋体" w:hAnsi="宋体" w:cs="宋体"/>
                <w:b/>
                <w:bCs/>
                <w:color w:val="auto"/>
                <w:szCs w:val="21"/>
                <w:highlight w:val="none"/>
              </w:rPr>
              <w:t>项目名称</w:t>
            </w:r>
          </w:p>
        </w:tc>
        <w:tc>
          <w:tcPr>
            <w:tcW w:w="6645" w:type="dxa"/>
            <w:noWrap w:val="0"/>
            <w:vAlign w:val="center"/>
          </w:tcPr>
          <w:p w14:paraId="4D0E92B1">
            <w:pPr>
              <w:pStyle w:val="259"/>
              <w:spacing w:line="300" w:lineRule="exact"/>
              <w:jc w:val="center"/>
              <w:rPr>
                <w:rFonts w:hint="eastAsia" w:ascii="宋体" w:hAnsi="宋体" w:cs="宋体"/>
                <w:b/>
                <w:bCs/>
                <w:color w:val="auto"/>
                <w:szCs w:val="21"/>
                <w:highlight w:val="none"/>
              </w:rPr>
            </w:pPr>
            <w:r>
              <w:rPr>
                <w:rFonts w:hint="eastAsia" w:ascii="宋体" w:hAnsi="宋体" w:cs="宋体"/>
                <w:b/>
                <w:bCs/>
                <w:color w:val="auto"/>
                <w:szCs w:val="21"/>
                <w:highlight w:val="none"/>
              </w:rPr>
              <w:t>主要内容和要求</w:t>
            </w:r>
          </w:p>
        </w:tc>
      </w:tr>
      <w:tr w14:paraId="38AD4F8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restart"/>
            <w:noWrap w:val="0"/>
            <w:vAlign w:val="center"/>
          </w:tcPr>
          <w:p w14:paraId="418E33D6">
            <w:pPr>
              <w:pStyle w:val="259"/>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文明</w:t>
            </w:r>
          </w:p>
          <w:p w14:paraId="12D01CBF">
            <w:pPr>
              <w:pStyle w:val="259"/>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施工</w:t>
            </w:r>
          </w:p>
          <w:p w14:paraId="565C59A3">
            <w:pPr>
              <w:pStyle w:val="259"/>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与</w:t>
            </w:r>
          </w:p>
          <w:p w14:paraId="09DAB179">
            <w:pPr>
              <w:pStyle w:val="259"/>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环境</w:t>
            </w:r>
          </w:p>
          <w:p w14:paraId="32D842DB">
            <w:pPr>
              <w:pStyle w:val="259"/>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保护</w:t>
            </w:r>
          </w:p>
        </w:tc>
        <w:tc>
          <w:tcPr>
            <w:tcW w:w="2070" w:type="dxa"/>
            <w:gridSpan w:val="2"/>
            <w:noWrap w:val="0"/>
            <w:vAlign w:val="center"/>
          </w:tcPr>
          <w:p w14:paraId="085D549C">
            <w:pPr>
              <w:pStyle w:val="259"/>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安全警示</w:t>
            </w:r>
          </w:p>
          <w:p w14:paraId="69FD1ECD">
            <w:pPr>
              <w:pStyle w:val="259"/>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标志牌</w:t>
            </w:r>
          </w:p>
        </w:tc>
        <w:tc>
          <w:tcPr>
            <w:tcW w:w="6645" w:type="dxa"/>
            <w:noWrap w:val="0"/>
            <w:vAlign w:val="center"/>
          </w:tcPr>
          <w:p w14:paraId="153A87EF">
            <w:pPr>
              <w:pStyle w:val="259"/>
              <w:spacing w:line="300" w:lineRule="exact"/>
              <w:rPr>
                <w:rFonts w:hint="eastAsia" w:ascii="宋体" w:hAnsi="宋体" w:cs="宋体"/>
                <w:color w:val="auto"/>
                <w:szCs w:val="21"/>
                <w:highlight w:val="none"/>
              </w:rPr>
            </w:pPr>
            <w:r>
              <w:rPr>
                <w:rFonts w:hint="eastAsia" w:ascii="宋体" w:hAnsi="宋体" w:cs="宋体"/>
                <w:color w:val="auto"/>
                <w:szCs w:val="21"/>
                <w:highlight w:val="none"/>
              </w:rPr>
              <w:t>在易发伤亡事故（或危险）处设置明显的、符合国家标准要求的安全警示标志牌。</w:t>
            </w:r>
          </w:p>
        </w:tc>
      </w:tr>
      <w:tr w14:paraId="098C154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continue"/>
            <w:noWrap w:val="0"/>
            <w:vAlign w:val="center"/>
          </w:tcPr>
          <w:p w14:paraId="4D6FF6BE">
            <w:pPr>
              <w:pStyle w:val="259"/>
              <w:spacing w:line="300" w:lineRule="exact"/>
              <w:jc w:val="center"/>
              <w:rPr>
                <w:rFonts w:hint="eastAsia" w:ascii="宋体" w:hAnsi="宋体" w:cs="宋体"/>
                <w:color w:val="auto"/>
                <w:szCs w:val="21"/>
                <w:highlight w:val="none"/>
              </w:rPr>
            </w:pPr>
          </w:p>
        </w:tc>
        <w:tc>
          <w:tcPr>
            <w:tcW w:w="2070" w:type="dxa"/>
            <w:gridSpan w:val="2"/>
            <w:noWrap w:val="0"/>
            <w:vAlign w:val="center"/>
          </w:tcPr>
          <w:p w14:paraId="30811B78">
            <w:pPr>
              <w:pStyle w:val="259"/>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现场围挡</w:t>
            </w:r>
          </w:p>
        </w:tc>
        <w:tc>
          <w:tcPr>
            <w:tcW w:w="6645" w:type="dxa"/>
            <w:noWrap w:val="0"/>
            <w:vAlign w:val="center"/>
          </w:tcPr>
          <w:p w14:paraId="6106F4F4">
            <w:pPr>
              <w:pStyle w:val="259"/>
              <w:spacing w:line="300" w:lineRule="exact"/>
              <w:rPr>
                <w:rFonts w:hint="eastAsia" w:ascii="宋体" w:hAnsi="宋体" w:cs="宋体"/>
                <w:color w:val="auto"/>
                <w:szCs w:val="21"/>
                <w:highlight w:val="none"/>
              </w:rPr>
            </w:pPr>
            <w:r>
              <w:rPr>
                <w:rFonts w:hint="eastAsia" w:ascii="宋体" w:hAnsi="宋体" w:cs="宋体"/>
                <w:color w:val="auto"/>
                <w:szCs w:val="21"/>
                <w:highlight w:val="none"/>
              </w:rPr>
              <w:t>1. 现场采用封闭围挡，高度不小于1.8m。</w:t>
            </w:r>
          </w:p>
          <w:p w14:paraId="188F42FB">
            <w:pPr>
              <w:pStyle w:val="259"/>
              <w:spacing w:line="300" w:lineRule="exact"/>
              <w:rPr>
                <w:rFonts w:hint="eastAsia" w:ascii="宋体" w:hAnsi="宋体" w:cs="宋体"/>
                <w:color w:val="auto"/>
                <w:szCs w:val="21"/>
                <w:highlight w:val="none"/>
              </w:rPr>
            </w:pPr>
            <w:r>
              <w:rPr>
                <w:rFonts w:hint="eastAsia" w:ascii="宋体" w:hAnsi="宋体" w:cs="宋体"/>
                <w:color w:val="auto"/>
                <w:szCs w:val="21"/>
                <w:highlight w:val="none"/>
              </w:rPr>
              <w:t>2. 围挡材料可用彩色、定型钢板，砌块等墙体。</w:t>
            </w:r>
          </w:p>
        </w:tc>
      </w:tr>
      <w:tr w14:paraId="20A97CD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continue"/>
            <w:noWrap w:val="0"/>
            <w:vAlign w:val="center"/>
          </w:tcPr>
          <w:p w14:paraId="12D1E985">
            <w:pPr>
              <w:pStyle w:val="259"/>
              <w:spacing w:line="300" w:lineRule="exact"/>
              <w:jc w:val="center"/>
              <w:rPr>
                <w:rFonts w:hint="eastAsia" w:ascii="宋体" w:hAnsi="宋体" w:cs="宋体"/>
                <w:color w:val="auto"/>
                <w:szCs w:val="21"/>
                <w:highlight w:val="none"/>
              </w:rPr>
            </w:pPr>
          </w:p>
        </w:tc>
        <w:tc>
          <w:tcPr>
            <w:tcW w:w="2070" w:type="dxa"/>
            <w:gridSpan w:val="2"/>
            <w:noWrap w:val="0"/>
            <w:vAlign w:val="center"/>
          </w:tcPr>
          <w:p w14:paraId="13351ACD">
            <w:pPr>
              <w:pStyle w:val="259"/>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七牌二图</w:t>
            </w:r>
          </w:p>
        </w:tc>
        <w:tc>
          <w:tcPr>
            <w:tcW w:w="6645" w:type="dxa"/>
            <w:noWrap w:val="0"/>
            <w:vAlign w:val="center"/>
          </w:tcPr>
          <w:p w14:paraId="11ED5D1C">
            <w:pPr>
              <w:pStyle w:val="259"/>
              <w:spacing w:line="300" w:lineRule="exact"/>
              <w:rPr>
                <w:rFonts w:hint="eastAsia" w:ascii="宋体" w:hAnsi="宋体" w:cs="宋体"/>
                <w:color w:val="auto"/>
                <w:szCs w:val="21"/>
                <w:highlight w:val="none"/>
              </w:rPr>
            </w:pPr>
            <w:r>
              <w:rPr>
                <w:rFonts w:hint="eastAsia" w:ascii="宋体" w:hAnsi="宋体" w:cs="宋体"/>
                <w:color w:val="auto"/>
                <w:szCs w:val="21"/>
                <w:highlight w:val="none"/>
              </w:rPr>
              <w:t>在进门处悬挂工程概况、现场出入制度、管理人员名单及监督电话、安全生产规定、文明施工、消防保卫、节能公示等七牌以及施工现场总平面图、工程效果图。</w:t>
            </w:r>
          </w:p>
        </w:tc>
      </w:tr>
      <w:tr w14:paraId="508CF4C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10" w:hRule="atLeast"/>
        </w:trPr>
        <w:tc>
          <w:tcPr>
            <w:tcW w:w="738" w:type="dxa"/>
            <w:vMerge w:val="continue"/>
            <w:noWrap w:val="0"/>
            <w:vAlign w:val="center"/>
          </w:tcPr>
          <w:p w14:paraId="3CACC15F">
            <w:pPr>
              <w:pStyle w:val="259"/>
              <w:spacing w:line="300" w:lineRule="exact"/>
              <w:jc w:val="center"/>
              <w:rPr>
                <w:rFonts w:hint="eastAsia" w:ascii="宋体" w:hAnsi="宋体" w:cs="宋体"/>
                <w:color w:val="auto"/>
                <w:szCs w:val="21"/>
                <w:highlight w:val="none"/>
              </w:rPr>
            </w:pPr>
          </w:p>
        </w:tc>
        <w:tc>
          <w:tcPr>
            <w:tcW w:w="2070" w:type="dxa"/>
            <w:gridSpan w:val="2"/>
            <w:noWrap w:val="0"/>
            <w:vAlign w:val="center"/>
          </w:tcPr>
          <w:p w14:paraId="7DED74C3">
            <w:pPr>
              <w:pStyle w:val="259"/>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企业标志</w:t>
            </w:r>
          </w:p>
        </w:tc>
        <w:tc>
          <w:tcPr>
            <w:tcW w:w="6645" w:type="dxa"/>
            <w:noWrap w:val="0"/>
            <w:vAlign w:val="center"/>
          </w:tcPr>
          <w:p w14:paraId="5A0A7593">
            <w:pPr>
              <w:pStyle w:val="259"/>
              <w:spacing w:line="300" w:lineRule="exact"/>
              <w:rPr>
                <w:rFonts w:hint="eastAsia" w:ascii="宋体" w:hAnsi="宋体" w:cs="宋体"/>
                <w:color w:val="auto"/>
                <w:szCs w:val="21"/>
                <w:highlight w:val="none"/>
              </w:rPr>
            </w:pPr>
            <w:r>
              <w:rPr>
                <w:rFonts w:hint="eastAsia" w:ascii="宋体" w:hAnsi="宋体" w:cs="宋体"/>
                <w:color w:val="auto"/>
                <w:szCs w:val="21"/>
                <w:highlight w:val="none"/>
              </w:rPr>
              <w:t>现场出入的大门应设有本企业标志或企业标识。</w:t>
            </w:r>
          </w:p>
        </w:tc>
      </w:tr>
      <w:tr w14:paraId="61CE9AA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continue"/>
            <w:noWrap w:val="0"/>
            <w:vAlign w:val="center"/>
          </w:tcPr>
          <w:p w14:paraId="5691084D">
            <w:pPr>
              <w:pStyle w:val="259"/>
              <w:spacing w:line="300" w:lineRule="exact"/>
              <w:jc w:val="center"/>
              <w:rPr>
                <w:rFonts w:hint="eastAsia" w:ascii="宋体" w:hAnsi="宋体" w:cs="宋体"/>
                <w:color w:val="auto"/>
                <w:szCs w:val="21"/>
                <w:highlight w:val="none"/>
              </w:rPr>
            </w:pPr>
          </w:p>
        </w:tc>
        <w:tc>
          <w:tcPr>
            <w:tcW w:w="2070" w:type="dxa"/>
            <w:gridSpan w:val="2"/>
            <w:noWrap w:val="0"/>
            <w:vAlign w:val="center"/>
          </w:tcPr>
          <w:p w14:paraId="02D900FF">
            <w:pPr>
              <w:pStyle w:val="259"/>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场容场貌</w:t>
            </w:r>
          </w:p>
        </w:tc>
        <w:tc>
          <w:tcPr>
            <w:tcW w:w="6645" w:type="dxa"/>
            <w:noWrap w:val="0"/>
            <w:vAlign w:val="center"/>
          </w:tcPr>
          <w:p w14:paraId="72D8B003">
            <w:pPr>
              <w:pStyle w:val="259"/>
              <w:spacing w:line="300" w:lineRule="exact"/>
              <w:rPr>
                <w:rFonts w:hint="eastAsia" w:ascii="宋体" w:hAnsi="宋体" w:cs="宋体"/>
                <w:color w:val="auto"/>
                <w:szCs w:val="21"/>
                <w:highlight w:val="none"/>
              </w:rPr>
            </w:pPr>
            <w:r>
              <w:rPr>
                <w:rFonts w:hint="eastAsia" w:ascii="宋体" w:hAnsi="宋体" w:cs="宋体"/>
                <w:color w:val="auto"/>
                <w:szCs w:val="21"/>
                <w:highlight w:val="none"/>
              </w:rPr>
              <w:t>1. 道路畅通。</w:t>
            </w:r>
          </w:p>
          <w:p w14:paraId="2CE0F524">
            <w:pPr>
              <w:pStyle w:val="259"/>
              <w:spacing w:line="300" w:lineRule="exact"/>
              <w:rPr>
                <w:rFonts w:hint="eastAsia" w:ascii="宋体" w:hAnsi="宋体" w:cs="宋体"/>
                <w:color w:val="auto"/>
                <w:szCs w:val="21"/>
                <w:highlight w:val="none"/>
              </w:rPr>
            </w:pPr>
            <w:r>
              <w:rPr>
                <w:rFonts w:hint="eastAsia" w:ascii="宋体" w:hAnsi="宋体" w:cs="宋体"/>
                <w:color w:val="auto"/>
                <w:szCs w:val="21"/>
                <w:highlight w:val="none"/>
              </w:rPr>
              <w:t>2. 排水设施齐全畅通。</w:t>
            </w:r>
          </w:p>
          <w:p w14:paraId="1384B3B6">
            <w:pPr>
              <w:pStyle w:val="259"/>
              <w:spacing w:line="300" w:lineRule="exact"/>
              <w:rPr>
                <w:rFonts w:hint="eastAsia" w:ascii="宋体" w:hAnsi="宋体" w:cs="宋体"/>
                <w:color w:val="auto"/>
                <w:szCs w:val="21"/>
                <w:highlight w:val="none"/>
              </w:rPr>
            </w:pPr>
            <w:r>
              <w:rPr>
                <w:rFonts w:hint="eastAsia" w:ascii="宋体" w:hAnsi="宋体" w:cs="宋体"/>
                <w:color w:val="auto"/>
                <w:szCs w:val="21"/>
                <w:highlight w:val="none"/>
              </w:rPr>
              <w:t>3. 工地地面硬化处理（办公区、生活区、现场道路、材料堆放、混凝土搅拌、砂浆搅拌、钢筋加工等场地和外脚手架基础等）。</w:t>
            </w:r>
          </w:p>
        </w:tc>
      </w:tr>
      <w:tr w14:paraId="7B35AF5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continue"/>
            <w:noWrap w:val="0"/>
            <w:vAlign w:val="center"/>
          </w:tcPr>
          <w:p w14:paraId="5372B7E5">
            <w:pPr>
              <w:pStyle w:val="259"/>
              <w:spacing w:line="300" w:lineRule="exact"/>
              <w:jc w:val="center"/>
              <w:rPr>
                <w:rFonts w:hint="eastAsia" w:ascii="宋体" w:hAnsi="宋体" w:cs="宋体"/>
                <w:color w:val="auto"/>
                <w:szCs w:val="21"/>
                <w:highlight w:val="none"/>
              </w:rPr>
            </w:pPr>
          </w:p>
        </w:tc>
        <w:tc>
          <w:tcPr>
            <w:tcW w:w="2070" w:type="dxa"/>
            <w:gridSpan w:val="2"/>
            <w:noWrap w:val="0"/>
            <w:vAlign w:val="center"/>
          </w:tcPr>
          <w:p w14:paraId="0553C28D">
            <w:pPr>
              <w:pStyle w:val="259"/>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材料堆放</w:t>
            </w:r>
          </w:p>
        </w:tc>
        <w:tc>
          <w:tcPr>
            <w:tcW w:w="6645" w:type="dxa"/>
            <w:noWrap w:val="0"/>
            <w:vAlign w:val="center"/>
          </w:tcPr>
          <w:p w14:paraId="2F7B4E49">
            <w:pPr>
              <w:pStyle w:val="259"/>
              <w:numPr>
                <w:ilvl w:val="0"/>
                <w:numId w:val="4"/>
              </w:numPr>
              <w:spacing w:line="300" w:lineRule="exact"/>
              <w:rPr>
                <w:rFonts w:hint="eastAsia" w:ascii="宋体" w:hAnsi="宋体" w:cs="宋体"/>
                <w:color w:val="auto"/>
                <w:szCs w:val="21"/>
                <w:highlight w:val="none"/>
              </w:rPr>
            </w:pPr>
            <w:r>
              <w:rPr>
                <w:rFonts w:hint="eastAsia" w:ascii="宋体" w:hAnsi="宋体" w:cs="宋体"/>
                <w:color w:val="auto"/>
                <w:szCs w:val="21"/>
                <w:highlight w:val="none"/>
              </w:rPr>
              <w:t>材料、构件、料具等堆放时，应有名称、品种、规格等标牌。</w:t>
            </w:r>
          </w:p>
          <w:p w14:paraId="22E19148">
            <w:pPr>
              <w:pStyle w:val="259"/>
              <w:spacing w:line="300" w:lineRule="exact"/>
              <w:rPr>
                <w:rFonts w:hint="eastAsia" w:ascii="宋体" w:hAnsi="宋体" w:cs="宋体"/>
                <w:color w:val="auto"/>
                <w:szCs w:val="21"/>
                <w:highlight w:val="none"/>
              </w:rPr>
            </w:pPr>
            <w:r>
              <w:rPr>
                <w:rFonts w:hint="eastAsia" w:ascii="宋体" w:hAnsi="宋体" w:cs="宋体"/>
                <w:color w:val="auto"/>
                <w:szCs w:val="21"/>
                <w:highlight w:val="none"/>
              </w:rPr>
              <w:t>2. 水泥和其它易飞扬细颗粒建筑材料应封闭存放或采取覆盖等措施。</w:t>
            </w:r>
          </w:p>
          <w:p w14:paraId="6462D729">
            <w:pPr>
              <w:pStyle w:val="259"/>
              <w:spacing w:line="300" w:lineRule="exact"/>
              <w:rPr>
                <w:rFonts w:hint="eastAsia" w:ascii="宋体" w:hAnsi="宋体" w:cs="宋体"/>
                <w:color w:val="auto"/>
                <w:szCs w:val="21"/>
                <w:highlight w:val="none"/>
              </w:rPr>
            </w:pPr>
            <w:r>
              <w:rPr>
                <w:rFonts w:hint="eastAsia" w:ascii="宋体" w:hAnsi="宋体" w:cs="宋体"/>
                <w:color w:val="auto"/>
                <w:szCs w:val="21"/>
                <w:highlight w:val="none"/>
              </w:rPr>
              <w:t>3. 易燃、易爆和有毒有害物品分类存放。</w:t>
            </w:r>
          </w:p>
        </w:tc>
      </w:tr>
      <w:tr w14:paraId="33011E4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10" w:hRule="exact"/>
        </w:trPr>
        <w:tc>
          <w:tcPr>
            <w:tcW w:w="738" w:type="dxa"/>
            <w:vMerge w:val="continue"/>
            <w:noWrap w:val="0"/>
            <w:vAlign w:val="center"/>
          </w:tcPr>
          <w:p w14:paraId="2812EACA">
            <w:pPr>
              <w:pStyle w:val="259"/>
              <w:spacing w:line="300" w:lineRule="exact"/>
              <w:jc w:val="center"/>
              <w:rPr>
                <w:rFonts w:hint="eastAsia" w:ascii="宋体" w:hAnsi="宋体" w:cs="宋体"/>
                <w:color w:val="auto"/>
                <w:szCs w:val="21"/>
                <w:highlight w:val="none"/>
              </w:rPr>
            </w:pPr>
          </w:p>
        </w:tc>
        <w:tc>
          <w:tcPr>
            <w:tcW w:w="2070" w:type="dxa"/>
            <w:gridSpan w:val="2"/>
            <w:noWrap w:val="0"/>
            <w:vAlign w:val="center"/>
          </w:tcPr>
          <w:p w14:paraId="55E78562">
            <w:pPr>
              <w:pStyle w:val="259"/>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现场防火</w:t>
            </w:r>
          </w:p>
        </w:tc>
        <w:tc>
          <w:tcPr>
            <w:tcW w:w="6645" w:type="dxa"/>
            <w:noWrap w:val="0"/>
            <w:vAlign w:val="center"/>
          </w:tcPr>
          <w:p w14:paraId="10D5029E">
            <w:pPr>
              <w:pStyle w:val="259"/>
              <w:spacing w:line="300" w:lineRule="exact"/>
              <w:rPr>
                <w:rFonts w:hint="eastAsia" w:ascii="宋体" w:hAnsi="宋体" w:cs="宋体"/>
                <w:color w:val="auto"/>
                <w:szCs w:val="21"/>
                <w:highlight w:val="none"/>
              </w:rPr>
            </w:pPr>
            <w:r>
              <w:rPr>
                <w:rFonts w:hint="eastAsia" w:ascii="宋体" w:hAnsi="宋体" w:cs="宋体"/>
                <w:color w:val="auto"/>
                <w:szCs w:val="21"/>
                <w:highlight w:val="none"/>
              </w:rPr>
              <w:t>消防器材配置合理，符合消防要求。</w:t>
            </w:r>
          </w:p>
        </w:tc>
      </w:tr>
      <w:tr w14:paraId="1279CF2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continue"/>
            <w:noWrap w:val="0"/>
            <w:vAlign w:val="center"/>
          </w:tcPr>
          <w:p w14:paraId="22141D57">
            <w:pPr>
              <w:pStyle w:val="259"/>
              <w:spacing w:line="300" w:lineRule="exact"/>
              <w:jc w:val="center"/>
              <w:rPr>
                <w:rFonts w:hint="eastAsia" w:ascii="宋体" w:hAnsi="宋体" w:cs="宋体"/>
                <w:color w:val="auto"/>
                <w:szCs w:val="21"/>
                <w:highlight w:val="none"/>
              </w:rPr>
            </w:pPr>
          </w:p>
        </w:tc>
        <w:tc>
          <w:tcPr>
            <w:tcW w:w="2070" w:type="dxa"/>
            <w:gridSpan w:val="2"/>
            <w:noWrap w:val="0"/>
            <w:vAlign w:val="center"/>
          </w:tcPr>
          <w:p w14:paraId="7E2B755C">
            <w:pPr>
              <w:pStyle w:val="259"/>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垃圾清运</w:t>
            </w:r>
          </w:p>
        </w:tc>
        <w:tc>
          <w:tcPr>
            <w:tcW w:w="6645" w:type="dxa"/>
            <w:noWrap w:val="0"/>
            <w:vAlign w:val="center"/>
          </w:tcPr>
          <w:p w14:paraId="6436E931">
            <w:pPr>
              <w:pStyle w:val="259"/>
              <w:spacing w:line="300" w:lineRule="exact"/>
              <w:rPr>
                <w:rFonts w:hint="eastAsia" w:ascii="宋体" w:hAnsi="宋体" w:cs="宋体"/>
                <w:color w:val="auto"/>
                <w:szCs w:val="21"/>
                <w:highlight w:val="none"/>
              </w:rPr>
            </w:pPr>
            <w:r>
              <w:rPr>
                <w:rFonts w:hint="eastAsia" w:ascii="宋体" w:hAnsi="宋体" w:cs="宋体"/>
                <w:color w:val="auto"/>
                <w:szCs w:val="21"/>
                <w:highlight w:val="none"/>
              </w:rPr>
              <w:t>1. 施工现场应设置密闭式垃圾站，施工垃圾、生活垃圾应分类存放。</w:t>
            </w:r>
          </w:p>
          <w:p w14:paraId="64C56B86">
            <w:pPr>
              <w:pStyle w:val="259"/>
              <w:spacing w:line="300" w:lineRule="exact"/>
              <w:rPr>
                <w:rFonts w:hint="eastAsia" w:ascii="宋体" w:hAnsi="宋体" w:cs="宋体"/>
                <w:color w:val="auto"/>
                <w:szCs w:val="21"/>
                <w:highlight w:val="none"/>
              </w:rPr>
            </w:pPr>
            <w:r>
              <w:rPr>
                <w:rFonts w:hint="eastAsia" w:ascii="宋体" w:hAnsi="宋体" w:cs="宋体"/>
                <w:color w:val="auto"/>
                <w:szCs w:val="21"/>
                <w:highlight w:val="none"/>
              </w:rPr>
              <w:t>2. 施工垃圾必须采用相应容器或管道运输。</w:t>
            </w:r>
          </w:p>
        </w:tc>
      </w:tr>
      <w:tr w14:paraId="4709A5A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continue"/>
            <w:noWrap w:val="0"/>
            <w:vAlign w:val="center"/>
          </w:tcPr>
          <w:p w14:paraId="6EB711C1">
            <w:pPr>
              <w:pStyle w:val="259"/>
              <w:spacing w:line="300" w:lineRule="exact"/>
              <w:jc w:val="center"/>
              <w:rPr>
                <w:rFonts w:hint="eastAsia" w:ascii="宋体" w:hAnsi="宋体" w:cs="宋体"/>
                <w:color w:val="auto"/>
                <w:szCs w:val="21"/>
                <w:highlight w:val="none"/>
              </w:rPr>
            </w:pPr>
          </w:p>
        </w:tc>
        <w:tc>
          <w:tcPr>
            <w:tcW w:w="2070" w:type="dxa"/>
            <w:gridSpan w:val="2"/>
            <w:noWrap w:val="0"/>
            <w:vAlign w:val="center"/>
          </w:tcPr>
          <w:p w14:paraId="21818F2F">
            <w:pPr>
              <w:pStyle w:val="259"/>
              <w:spacing w:line="300" w:lineRule="exact"/>
              <w:rPr>
                <w:rFonts w:hint="eastAsia" w:ascii="宋体" w:hAnsi="宋体" w:cs="宋体"/>
                <w:color w:val="auto"/>
                <w:szCs w:val="21"/>
                <w:highlight w:val="none"/>
              </w:rPr>
            </w:pPr>
            <w:r>
              <w:rPr>
                <w:rFonts w:hint="eastAsia" w:ascii="宋体" w:hAnsi="宋体" w:cs="宋体"/>
                <w:color w:val="auto"/>
                <w:szCs w:val="21"/>
                <w:highlight w:val="none"/>
              </w:rPr>
              <w:t>宣传栏、环保及不扰民措施</w:t>
            </w:r>
          </w:p>
        </w:tc>
        <w:tc>
          <w:tcPr>
            <w:tcW w:w="6645" w:type="dxa"/>
            <w:noWrap w:val="0"/>
            <w:vAlign w:val="center"/>
          </w:tcPr>
          <w:p w14:paraId="1471D05D">
            <w:pPr>
              <w:pStyle w:val="259"/>
              <w:spacing w:line="300" w:lineRule="exact"/>
              <w:rPr>
                <w:rFonts w:hint="eastAsia" w:ascii="宋体" w:hAnsi="宋体" w:cs="宋体"/>
                <w:color w:val="auto"/>
                <w:szCs w:val="21"/>
                <w:highlight w:val="none"/>
              </w:rPr>
            </w:pPr>
            <w:r>
              <w:rPr>
                <w:rFonts w:hint="eastAsia" w:ascii="宋体" w:hAnsi="宋体" w:cs="宋体"/>
                <w:color w:val="auto"/>
                <w:szCs w:val="21"/>
                <w:highlight w:val="none"/>
              </w:rPr>
              <w:t>宣传栏、安全宣传标语等，洗车（防止污染市区道路）、粉尘、噪声控制和排污（污水、废气）措施等。</w:t>
            </w:r>
          </w:p>
        </w:tc>
      </w:tr>
      <w:tr w14:paraId="2CECB97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restart"/>
            <w:noWrap w:val="0"/>
            <w:vAlign w:val="center"/>
          </w:tcPr>
          <w:p w14:paraId="6CE505E6">
            <w:pPr>
              <w:pStyle w:val="259"/>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临时设施</w:t>
            </w:r>
          </w:p>
        </w:tc>
        <w:tc>
          <w:tcPr>
            <w:tcW w:w="2070" w:type="dxa"/>
            <w:gridSpan w:val="2"/>
            <w:noWrap w:val="0"/>
            <w:vAlign w:val="center"/>
          </w:tcPr>
          <w:p w14:paraId="15841A3E">
            <w:pPr>
              <w:pStyle w:val="259"/>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现场办公</w:t>
            </w:r>
          </w:p>
          <w:p w14:paraId="0F9DE3C4">
            <w:pPr>
              <w:pStyle w:val="259"/>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生活设施</w:t>
            </w:r>
          </w:p>
        </w:tc>
        <w:tc>
          <w:tcPr>
            <w:tcW w:w="6645" w:type="dxa"/>
            <w:noWrap w:val="0"/>
            <w:vAlign w:val="center"/>
          </w:tcPr>
          <w:p w14:paraId="21578282">
            <w:pPr>
              <w:pStyle w:val="259"/>
              <w:spacing w:line="300" w:lineRule="exact"/>
              <w:rPr>
                <w:rFonts w:hint="eastAsia" w:ascii="宋体" w:hAnsi="宋体" w:cs="宋体"/>
                <w:color w:val="auto"/>
                <w:szCs w:val="21"/>
                <w:highlight w:val="none"/>
              </w:rPr>
            </w:pPr>
            <w:r>
              <w:rPr>
                <w:rFonts w:hint="eastAsia" w:ascii="宋体" w:hAnsi="宋体" w:cs="宋体"/>
                <w:color w:val="auto"/>
                <w:szCs w:val="21"/>
                <w:highlight w:val="none"/>
              </w:rPr>
              <w:t>1. 施工现场办公、生活区与作业区分开设置，保持安全距离。</w:t>
            </w:r>
          </w:p>
          <w:p w14:paraId="05827F3D">
            <w:pPr>
              <w:pStyle w:val="259"/>
              <w:spacing w:line="300" w:lineRule="exact"/>
              <w:rPr>
                <w:rFonts w:hint="eastAsia" w:ascii="宋体" w:hAnsi="宋体" w:cs="宋体"/>
                <w:color w:val="auto"/>
                <w:szCs w:val="21"/>
                <w:highlight w:val="none"/>
              </w:rPr>
            </w:pPr>
            <w:r>
              <w:rPr>
                <w:rFonts w:hint="eastAsia" w:ascii="宋体" w:hAnsi="宋体" w:cs="宋体"/>
                <w:color w:val="auto"/>
                <w:szCs w:val="21"/>
                <w:highlight w:val="none"/>
              </w:rPr>
              <w:t>2. 工地办公室、现场宿舍、食堂、厕所、饮水、沐浴、休息场所等符合卫生、消防安全要求。</w:t>
            </w:r>
          </w:p>
        </w:tc>
      </w:tr>
      <w:tr w14:paraId="64D1F39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continue"/>
            <w:noWrap w:val="0"/>
            <w:vAlign w:val="center"/>
          </w:tcPr>
          <w:p w14:paraId="4F308C2F">
            <w:pPr>
              <w:pStyle w:val="259"/>
              <w:spacing w:line="300" w:lineRule="exact"/>
              <w:jc w:val="center"/>
              <w:rPr>
                <w:rFonts w:hint="eastAsia" w:ascii="宋体" w:hAnsi="宋体" w:cs="宋体"/>
                <w:color w:val="auto"/>
                <w:szCs w:val="21"/>
                <w:highlight w:val="none"/>
              </w:rPr>
            </w:pPr>
          </w:p>
        </w:tc>
        <w:tc>
          <w:tcPr>
            <w:tcW w:w="525" w:type="dxa"/>
            <w:vMerge w:val="restart"/>
            <w:noWrap w:val="0"/>
            <w:vAlign w:val="center"/>
          </w:tcPr>
          <w:p w14:paraId="0A7DB287">
            <w:pPr>
              <w:pStyle w:val="259"/>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施工现场</w:t>
            </w:r>
          </w:p>
          <w:p w14:paraId="0F78F0DB">
            <w:pPr>
              <w:pStyle w:val="259"/>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临时用电</w:t>
            </w:r>
          </w:p>
        </w:tc>
        <w:tc>
          <w:tcPr>
            <w:tcW w:w="1545" w:type="dxa"/>
            <w:noWrap w:val="0"/>
            <w:vAlign w:val="center"/>
          </w:tcPr>
          <w:p w14:paraId="6ED26121">
            <w:pPr>
              <w:pStyle w:val="259"/>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配电线路</w:t>
            </w:r>
          </w:p>
        </w:tc>
        <w:tc>
          <w:tcPr>
            <w:tcW w:w="6645" w:type="dxa"/>
            <w:noWrap w:val="0"/>
            <w:vAlign w:val="center"/>
          </w:tcPr>
          <w:p w14:paraId="1AFB2F28">
            <w:pPr>
              <w:pStyle w:val="259"/>
              <w:spacing w:line="300" w:lineRule="exact"/>
              <w:rPr>
                <w:rFonts w:hint="eastAsia" w:ascii="宋体" w:hAnsi="宋体" w:cs="宋体"/>
                <w:color w:val="auto"/>
                <w:szCs w:val="21"/>
                <w:highlight w:val="none"/>
              </w:rPr>
            </w:pPr>
            <w:r>
              <w:rPr>
                <w:rFonts w:hint="eastAsia" w:ascii="宋体" w:hAnsi="宋体" w:cs="宋体"/>
                <w:color w:val="auto"/>
                <w:szCs w:val="21"/>
                <w:highlight w:val="none"/>
              </w:rPr>
              <w:t>1. 按照TN-S系统要求配备五芯电缆、四芯电缆和三芯电缆。</w:t>
            </w:r>
          </w:p>
          <w:p w14:paraId="5CEE02ED">
            <w:pPr>
              <w:pStyle w:val="259"/>
              <w:spacing w:line="300" w:lineRule="exact"/>
              <w:rPr>
                <w:rFonts w:hint="eastAsia" w:ascii="宋体" w:hAnsi="宋体" w:cs="宋体"/>
                <w:color w:val="auto"/>
                <w:szCs w:val="21"/>
                <w:highlight w:val="none"/>
              </w:rPr>
            </w:pPr>
            <w:r>
              <w:rPr>
                <w:rFonts w:hint="eastAsia" w:ascii="宋体" w:hAnsi="宋体" w:cs="宋体"/>
                <w:color w:val="auto"/>
                <w:szCs w:val="21"/>
                <w:highlight w:val="none"/>
              </w:rPr>
              <w:t>2. 按要求架设临时用电线路的电杆、横担、瓷夹、瓷瓶等，或电缆埋地的地沟。</w:t>
            </w:r>
          </w:p>
          <w:p w14:paraId="152BEBA4">
            <w:pPr>
              <w:pStyle w:val="259"/>
              <w:spacing w:line="300" w:lineRule="exact"/>
              <w:rPr>
                <w:rFonts w:hint="eastAsia" w:ascii="宋体" w:hAnsi="宋体" w:cs="宋体"/>
                <w:color w:val="auto"/>
                <w:szCs w:val="21"/>
                <w:highlight w:val="none"/>
              </w:rPr>
            </w:pPr>
            <w:r>
              <w:rPr>
                <w:rFonts w:hint="eastAsia" w:ascii="宋体" w:hAnsi="宋体" w:cs="宋体"/>
                <w:color w:val="auto"/>
                <w:szCs w:val="21"/>
                <w:highlight w:val="none"/>
              </w:rPr>
              <w:t>3. 对靠近施工现场的外电线路，设置木质、塑料等绝缘体的防护设施。</w:t>
            </w:r>
          </w:p>
        </w:tc>
      </w:tr>
      <w:tr w14:paraId="0DDAC1E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continue"/>
            <w:noWrap w:val="0"/>
            <w:vAlign w:val="center"/>
          </w:tcPr>
          <w:p w14:paraId="6C926E7D">
            <w:pPr>
              <w:pStyle w:val="259"/>
              <w:spacing w:line="300" w:lineRule="exact"/>
              <w:jc w:val="center"/>
              <w:rPr>
                <w:rFonts w:hint="eastAsia" w:ascii="宋体" w:hAnsi="宋体" w:cs="宋体"/>
                <w:color w:val="auto"/>
                <w:szCs w:val="21"/>
                <w:highlight w:val="none"/>
              </w:rPr>
            </w:pPr>
          </w:p>
        </w:tc>
        <w:tc>
          <w:tcPr>
            <w:tcW w:w="525" w:type="dxa"/>
            <w:vMerge w:val="continue"/>
            <w:noWrap w:val="0"/>
            <w:vAlign w:val="center"/>
          </w:tcPr>
          <w:p w14:paraId="62CF21AF">
            <w:pPr>
              <w:pStyle w:val="259"/>
              <w:spacing w:line="300" w:lineRule="exact"/>
              <w:jc w:val="center"/>
              <w:rPr>
                <w:rFonts w:hint="eastAsia" w:ascii="宋体" w:hAnsi="宋体" w:cs="宋体"/>
                <w:color w:val="auto"/>
                <w:szCs w:val="21"/>
                <w:highlight w:val="none"/>
              </w:rPr>
            </w:pPr>
          </w:p>
        </w:tc>
        <w:tc>
          <w:tcPr>
            <w:tcW w:w="1545" w:type="dxa"/>
            <w:noWrap w:val="0"/>
            <w:vAlign w:val="center"/>
          </w:tcPr>
          <w:p w14:paraId="58922286">
            <w:pPr>
              <w:pStyle w:val="259"/>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配电箱</w:t>
            </w:r>
          </w:p>
          <w:p w14:paraId="12C4E99C">
            <w:pPr>
              <w:pStyle w:val="259"/>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开关箱</w:t>
            </w:r>
          </w:p>
        </w:tc>
        <w:tc>
          <w:tcPr>
            <w:tcW w:w="6645" w:type="dxa"/>
            <w:noWrap w:val="0"/>
            <w:vAlign w:val="center"/>
          </w:tcPr>
          <w:p w14:paraId="704BAC4B">
            <w:pPr>
              <w:pStyle w:val="259"/>
              <w:spacing w:line="300" w:lineRule="exact"/>
              <w:rPr>
                <w:rFonts w:hint="eastAsia" w:ascii="宋体" w:hAnsi="宋体" w:cs="宋体"/>
                <w:color w:val="auto"/>
                <w:szCs w:val="21"/>
                <w:highlight w:val="none"/>
              </w:rPr>
            </w:pPr>
            <w:r>
              <w:rPr>
                <w:rFonts w:hint="eastAsia" w:ascii="宋体" w:hAnsi="宋体" w:cs="宋体"/>
                <w:color w:val="auto"/>
                <w:szCs w:val="21"/>
                <w:highlight w:val="none"/>
              </w:rPr>
              <w:t>1. 按三级配电要求，配备总配电箱、分配电箱、开关箱三类（铁质）标准电箱，开关箱应符合“一机、一箱、一闸、一漏”，三类电箱中的各类电器应是合格品。</w:t>
            </w:r>
          </w:p>
          <w:p w14:paraId="61165E89">
            <w:pPr>
              <w:pStyle w:val="259"/>
              <w:spacing w:line="300" w:lineRule="exact"/>
              <w:rPr>
                <w:rFonts w:hint="eastAsia" w:ascii="宋体" w:hAnsi="宋体" w:cs="宋体"/>
                <w:color w:val="auto"/>
                <w:szCs w:val="21"/>
                <w:highlight w:val="none"/>
              </w:rPr>
            </w:pPr>
            <w:r>
              <w:rPr>
                <w:rFonts w:hint="eastAsia" w:ascii="宋体" w:hAnsi="宋体" w:cs="宋体"/>
                <w:color w:val="auto"/>
                <w:szCs w:val="21"/>
                <w:highlight w:val="none"/>
              </w:rPr>
              <w:t>2. 按两级保护的要求，选取符合容量要求和质量合格的总配电箱和开关箱中的漏电保护器。</w:t>
            </w:r>
          </w:p>
          <w:p w14:paraId="7CA6E611">
            <w:pPr>
              <w:pStyle w:val="259"/>
              <w:spacing w:line="300" w:lineRule="exact"/>
              <w:rPr>
                <w:rFonts w:hint="eastAsia" w:ascii="宋体" w:hAnsi="宋体" w:cs="宋体"/>
                <w:color w:val="auto"/>
                <w:szCs w:val="21"/>
                <w:highlight w:val="none"/>
              </w:rPr>
            </w:pPr>
            <w:r>
              <w:rPr>
                <w:rFonts w:hint="eastAsia" w:ascii="宋体" w:hAnsi="宋体" w:cs="宋体"/>
                <w:color w:val="auto"/>
                <w:szCs w:val="21"/>
                <w:highlight w:val="none"/>
              </w:rPr>
              <w:t>3. 对大型、落地式分配电箱、开关箱设置防护棚和通透式围挡。</w:t>
            </w:r>
          </w:p>
        </w:tc>
      </w:tr>
      <w:tr w14:paraId="4EB2F51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75" w:hRule="atLeast"/>
        </w:trPr>
        <w:tc>
          <w:tcPr>
            <w:tcW w:w="738" w:type="dxa"/>
            <w:vMerge w:val="continue"/>
            <w:noWrap w:val="0"/>
            <w:vAlign w:val="center"/>
          </w:tcPr>
          <w:p w14:paraId="4B68E566">
            <w:pPr>
              <w:pStyle w:val="259"/>
              <w:spacing w:line="300" w:lineRule="exact"/>
              <w:jc w:val="center"/>
              <w:rPr>
                <w:rFonts w:hint="eastAsia" w:ascii="宋体" w:hAnsi="宋体" w:cs="宋体"/>
                <w:color w:val="auto"/>
                <w:szCs w:val="21"/>
                <w:highlight w:val="none"/>
              </w:rPr>
            </w:pPr>
          </w:p>
        </w:tc>
        <w:tc>
          <w:tcPr>
            <w:tcW w:w="525" w:type="dxa"/>
            <w:vMerge w:val="continue"/>
            <w:noWrap w:val="0"/>
            <w:vAlign w:val="center"/>
          </w:tcPr>
          <w:p w14:paraId="69EF189F">
            <w:pPr>
              <w:pStyle w:val="259"/>
              <w:spacing w:line="300" w:lineRule="exact"/>
              <w:jc w:val="center"/>
              <w:rPr>
                <w:rFonts w:hint="eastAsia" w:ascii="宋体" w:hAnsi="宋体" w:cs="宋体"/>
                <w:color w:val="auto"/>
                <w:szCs w:val="21"/>
                <w:highlight w:val="none"/>
              </w:rPr>
            </w:pPr>
          </w:p>
        </w:tc>
        <w:tc>
          <w:tcPr>
            <w:tcW w:w="1545" w:type="dxa"/>
            <w:noWrap w:val="0"/>
            <w:vAlign w:val="center"/>
          </w:tcPr>
          <w:p w14:paraId="27CCDD09">
            <w:pPr>
              <w:pStyle w:val="259"/>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接地装置</w:t>
            </w:r>
          </w:p>
        </w:tc>
        <w:tc>
          <w:tcPr>
            <w:tcW w:w="6645" w:type="dxa"/>
            <w:noWrap w:val="0"/>
            <w:vAlign w:val="center"/>
          </w:tcPr>
          <w:p w14:paraId="10B1BA5E">
            <w:pPr>
              <w:pStyle w:val="259"/>
              <w:spacing w:line="300" w:lineRule="exact"/>
              <w:rPr>
                <w:rFonts w:hint="eastAsia" w:ascii="宋体" w:hAnsi="宋体" w:cs="宋体"/>
                <w:color w:val="auto"/>
                <w:szCs w:val="21"/>
                <w:highlight w:val="none"/>
              </w:rPr>
            </w:pPr>
            <w:r>
              <w:rPr>
                <w:rFonts w:hint="eastAsia" w:ascii="宋体" w:hAnsi="宋体" w:cs="宋体"/>
                <w:color w:val="auto"/>
                <w:szCs w:val="21"/>
                <w:highlight w:val="none"/>
              </w:rPr>
              <w:t>施工现场应设置不少于三处的重复接地装置。</w:t>
            </w:r>
          </w:p>
        </w:tc>
      </w:tr>
      <w:tr w14:paraId="2A654B3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916" w:hRule="atLeast"/>
        </w:trPr>
        <w:tc>
          <w:tcPr>
            <w:tcW w:w="738" w:type="dxa"/>
            <w:vMerge w:val="continue"/>
            <w:noWrap w:val="0"/>
            <w:vAlign w:val="center"/>
          </w:tcPr>
          <w:p w14:paraId="436A5194">
            <w:pPr>
              <w:pStyle w:val="259"/>
              <w:spacing w:line="300" w:lineRule="exact"/>
              <w:jc w:val="center"/>
              <w:rPr>
                <w:rFonts w:hint="eastAsia" w:ascii="宋体" w:hAnsi="宋体" w:cs="宋体"/>
                <w:color w:val="auto"/>
                <w:szCs w:val="21"/>
                <w:highlight w:val="none"/>
              </w:rPr>
            </w:pPr>
          </w:p>
        </w:tc>
        <w:tc>
          <w:tcPr>
            <w:tcW w:w="525" w:type="dxa"/>
            <w:vMerge w:val="continue"/>
            <w:noWrap w:val="0"/>
            <w:vAlign w:val="center"/>
          </w:tcPr>
          <w:p w14:paraId="325D6F3D">
            <w:pPr>
              <w:pStyle w:val="259"/>
              <w:spacing w:line="300" w:lineRule="exact"/>
              <w:jc w:val="center"/>
              <w:rPr>
                <w:rFonts w:hint="eastAsia" w:ascii="宋体" w:hAnsi="宋体" w:cs="宋体"/>
                <w:color w:val="auto"/>
                <w:szCs w:val="21"/>
                <w:highlight w:val="none"/>
              </w:rPr>
            </w:pPr>
          </w:p>
        </w:tc>
        <w:tc>
          <w:tcPr>
            <w:tcW w:w="1545" w:type="dxa"/>
            <w:noWrap w:val="0"/>
            <w:vAlign w:val="center"/>
          </w:tcPr>
          <w:p w14:paraId="15C6C6E7">
            <w:pPr>
              <w:pStyle w:val="259"/>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现场变配电装置</w:t>
            </w:r>
          </w:p>
        </w:tc>
        <w:tc>
          <w:tcPr>
            <w:tcW w:w="6645" w:type="dxa"/>
            <w:noWrap w:val="0"/>
            <w:vAlign w:val="center"/>
          </w:tcPr>
          <w:p w14:paraId="2C53D2FF">
            <w:pPr>
              <w:pStyle w:val="259"/>
              <w:spacing w:line="300" w:lineRule="exact"/>
              <w:rPr>
                <w:rFonts w:hint="eastAsia" w:ascii="宋体" w:hAnsi="宋体" w:cs="宋体"/>
                <w:color w:val="auto"/>
                <w:szCs w:val="21"/>
                <w:highlight w:val="none"/>
              </w:rPr>
            </w:pPr>
            <w:r>
              <w:rPr>
                <w:rFonts w:hint="eastAsia" w:ascii="宋体" w:hAnsi="宋体" w:cs="宋体"/>
                <w:color w:val="auto"/>
                <w:szCs w:val="21"/>
                <w:highlight w:val="none"/>
              </w:rPr>
              <w:t>总配电房建筑材料必须达到消防防火要求，室内做硬地坪、电缆沟。</w:t>
            </w:r>
          </w:p>
        </w:tc>
      </w:tr>
      <w:tr w14:paraId="7E1610A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66" w:hRule="atLeast"/>
        </w:trPr>
        <w:tc>
          <w:tcPr>
            <w:tcW w:w="738" w:type="dxa"/>
            <w:noWrap w:val="0"/>
            <w:vAlign w:val="center"/>
          </w:tcPr>
          <w:p w14:paraId="426DC632">
            <w:pPr>
              <w:pStyle w:val="259"/>
              <w:spacing w:line="300" w:lineRule="exact"/>
              <w:jc w:val="center"/>
              <w:rPr>
                <w:rFonts w:hint="eastAsia" w:ascii="宋体" w:hAnsi="宋体" w:cs="宋体"/>
                <w:b/>
                <w:bCs/>
                <w:color w:val="auto"/>
                <w:szCs w:val="21"/>
                <w:highlight w:val="none"/>
              </w:rPr>
            </w:pPr>
            <w:r>
              <w:rPr>
                <w:rFonts w:hint="eastAsia" w:ascii="宋体" w:hAnsi="宋体" w:cs="宋体"/>
                <w:b/>
                <w:bCs/>
                <w:color w:val="auto"/>
                <w:szCs w:val="21"/>
                <w:highlight w:val="none"/>
              </w:rPr>
              <w:t>类别</w:t>
            </w:r>
          </w:p>
        </w:tc>
        <w:tc>
          <w:tcPr>
            <w:tcW w:w="2070" w:type="dxa"/>
            <w:gridSpan w:val="2"/>
            <w:noWrap w:val="0"/>
            <w:vAlign w:val="center"/>
          </w:tcPr>
          <w:p w14:paraId="2AA3D733">
            <w:pPr>
              <w:pStyle w:val="259"/>
              <w:spacing w:line="300" w:lineRule="exact"/>
              <w:jc w:val="center"/>
              <w:rPr>
                <w:rFonts w:hint="eastAsia" w:ascii="宋体" w:hAnsi="宋体" w:cs="宋体"/>
                <w:b/>
                <w:bCs/>
                <w:color w:val="auto"/>
                <w:szCs w:val="21"/>
                <w:highlight w:val="none"/>
              </w:rPr>
            </w:pPr>
            <w:r>
              <w:rPr>
                <w:rFonts w:hint="eastAsia" w:ascii="宋体" w:hAnsi="宋体" w:cs="宋体"/>
                <w:b/>
                <w:bCs/>
                <w:color w:val="auto"/>
                <w:szCs w:val="21"/>
                <w:highlight w:val="none"/>
              </w:rPr>
              <w:t>项目名称</w:t>
            </w:r>
          </w:p>
        </w:tc>
        <w:tc>
          <w:tcPr>
            <w:tcW w:w="6645" w:type="dxa"/>
            <w:noWrap w:val="0"/>
            <w:vAlign w:val="center"/>
          </w:tcPr>
          <w:p w14:paraId="0AB13958">
            <w:pPr>
              <w:pStyle w:val="259"/>
              <w:spacing w:line="300" w:lineRule="exact"/>
              <w:jc w:val="center"/>
              <w:rPr>
                <w:rFonts w:hint="eastAsia" w:ascii="宋体" w:hAnsi="宋体" w:cs="宋体"/>
                <w:b/>
                <w:bCs/>
                <w:color w:val="auto"/>
                <w:szCs w:val="21"/>
                <w:highlight w:val="none"/>
              </w:rPr>
            </w:pPr>
            <w:r>
              <w:rPr>
                <w:rFonts w:hint="eastAsia" w:ascii="宋体" w:hAnsi="宋体" w:cs="宋体"/>
                <w:b/>
                <w:bCs/>
                <w:color w:val="auto"/>
                <w:szCs w:val="21"/>
                <w:highlight w:val="none"/>
              </w:rPr>
              <w:t>主要内容和要求</w:t>
            </w:r>
          </w:p>
        </w:tc>
      </w:tr>
      <w:tr w14:paraId="64603A7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restart"/>
            <w:noWrap w:val="0"/>
            <w:vAlign w:val="center"/>
          </w:tcPr>
          <w:p w14:paraId="2239A126">
            <w:pPr>
              <w:pStyle w:val="259"/>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安全施工</w:t>
            </w:r>
          </w:p>
        </w:tc>
        <w:tc>
          <w:tcPr>
            <w:tcW w:w="525" w:type="dxa"/>
            <w:vMerge w:val="restart"/>
            <w:noWrap w:val="0"/>
            <w:vAlign w:val="center"/>
          </w:tcPr>
          <w:p w14:paraId="37ADA008">
            <w:pPr>
              <w:pStyle w:val="259"/>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高处作业防护</w:t>
            </w:r>
          </w:p>
        </w:tc>
        <w:tc>
          <w:tcPr>
            <w:tcW w:w="1545" w:type="dxa"/>
            <w:noWrap w:val="0"/>
            <w:vAlign w:val="center"/>
          </w:tcPr>
          <w:p w14:paraId="56E2EC48">
            <w:pPr>
              <w:pStyle w:val="259"/>
              <w:spacing w:line="300" w:lineRule="exact"/>
              <w:rPr>
                <w:rFonts w:hint="eastAsia" w:ascii="宋体" w:hAnsi="宋体" w:cs="宋体"/>
                <w:color w:val="auto"/>
                <w:szCs w:val="21"/>
                <w:highlight w:val="none"/>
              </w:rPr>
            </w:pPr>
            <w:r>
              <w:rPr>
                <w:rFonts w:hint="eastAsia" w:ascii="宋体" w:hAnsi="宋体" w:cs="宋体"/>
                <w:color w:val="auto"/>
                <w:szCs w:val="21"/>
                <w:highlight w:val="none"/>
              </w:rPr>
              <w:t>楼层、屋面、阳台等临边</w:t>
            </w:r>
          </w:p>
        </w:tc>
        <w:tc>
          <w:tcPr>
            <w:tcW w:w="6645" w:type="dxa"/>
            <w:noWrap w:val="0"/>
            <w:vAlign w:val="center"/>
          </w:tcPr>
          <w:p w14:paraId="3B4B8B8E">
            <w:pPr>
              <w:pStyle w:val="259"/>
              <w:spacing w:line="300" w:lineRule="exact"/>
              <w:rPr>
                <w:rFonts w:hint="eastAsia" w:ascii="宋体" w:hAnsi="宋体" w:cs="宋体"/>
                <w:color w:val="auto"/>
                <w:szCs w:val="21"/>
                <w:highlight w:val="none"/>
              </w:rPr>
            </w:pPr>
            <w:r>
              <w:rPr>
                <w:rFonts w:hint="eastAsia" w:ascii="宋体" w:hAnsi="宋体" w:cs="宋体"/>
                <w:color w:val="auto"/>
                <w:szCs w:val="21"/>
                <w:highlight w:val="none"/>
              </w:rPr>
              <w:t>设两道防护栏杆和18cm高的踢脚板，用密目式安全立网全封闭。</w:t>
            </w:r>
          </w:p>
        </w:tc>
      </w:tr>
      <w:tr w14:paraId="01A319B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continue"/>
            <w:noWrap w:val="0"/>
            <w:vAlign w:val="center"/>
          </w:tcPr>
          <w:p w14:paraId="3A93A238">
            <w:pPr>
              <w:pStyle w:val="259"/>
              <w:spacing w:line="300" w:lineRule="exact"/>
              <w:jc w:val="center"/>
              <w:rPr>
                <w:rFonts w:hint="eastAsia" w:ascii="宋体" w:hAnsi="宋体" w:cs="宋体"/>
                <w:color w:val="auto"/>
                <w:szCs w:val="21"/>
                <w:highlight w:val="none"/>
              </w:rPr>
            </w:pPr>
          </w:p>
        </w:tc>
        <w:tc>
          <w:tcPr>
            <w:tcW w:w="525" w:type="dxa"/>
            <w:vMerge w:val="continue"/>
            <w:noWrap w:val="0"/>
            <w:vAlign w:val="center"/>
          </w:tcPr>
          <w:p w14:paraId="037048CB">
            <w:pPr>
              <w:pStyle w:val="259"/>
              <w:spacing w:line="300" w:lineRule="exact"/>
              <w:jc w:val="center"/>
              <w:rPr>
                <w:rFonts w:hint="eastAsia" w:ascii="宋体" w:hAnsi="宋体" w:cs="宋体"/>
                <w:color w:val="auto"/>
                <w:szCs w:val="21"/>
                <w:highlight w:val="none"/>
              </w:rPr>
            </w:pPr>
          </w:p>
        </w:tc>
        <w:tc>
          <w:tcPr>
            <w:tcW w:w="1545" w:type="dxa"/>
            <w:noWrap w:val="0"/>
            <w:vAlign w:val="center"/>
          </w:tcPr>
          <w:p w14:paraId="64C0FAE1">
            <w:pPr>
              <w:pStyle w:val="259"/>
              <w:spacing w:line="300" w:lineRule="exact"/>
              <w:rPr>
                <w:rFonts w:hint="eastAsia" w:ascii="宋体" w:hAnsi="宋体" w:cs="宋体"/>
                <w:color w:val="auto"/>
                <w:szCs w:val="21"/>
                <w:highlight w:val="none"/>
              </w:rPr>
            </w:pPr>
            <w:r>
              <w:rPr>
                <w:rFonts w:hint="eastAsia" w:ascii="宋体" w:hAnsi="宋体" w:cs="宋体"/>
                <w:color w:val="auto"/>
                <w:szCs w:val="21"/>
                <w:highlight w:val="none"/>
              </w:rPr>
              <w:t>通道口</w:t>
            </w:r>
          </w:p>
        </w:tc>
        <w:tc>
          <w:tcPr>
            <w:tcW w:w="6645" w:type="dxa"/>
            <w:noWrap w:val="0"/>
            <w:vAlign w:val="center"/>
          </w:tcPr>
          <w:p w14:paraId="1E9DF62B">
            <w:pPr>
              <w:pStyle w:val="259"/>
              <w:spacing w:line="300" w:lineRule="exact"/>
              <w:rPr>
                <w:rFonts w:hint="eastAsia" w:ascii="宋体" w:hAnsi="宋体" w:cs="宋体"/>
                <w:color w:val="auto"/>
                <w:szCs w:val="21"/>
                <w:highlight w:val="none"/>
              </w:rPr>
            </w:pPr>
            <w:r>
              <w:rPr>
                <w:rFonts w:hint="eastAsia" w:ascii="宋体" w:hAnsi="宋体" w:cs="宋体"/>
                <w:color w:val="auto"/>
                <w:szCs w:val="21"/>
                <w:highlight w:val="none"/>
              </w:rPr>
              <w:t>设防护棚，防护棚应为不小于5cm厚的木板或两道相距50cm的竹笆。两侧应沿栏杆架用密目式安全网封闭。</w:t>
            </w:r>
          </w:p>
        </w:tc>
      </w:tr>
      <w:tr w14:paraId="28C0DD9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continue"/>
            <w:noWrap w:val="0"/>
            <w:vAlign w:val="center"/>
          </w:tcPr>
          <w:p w14:paraId="1E1C2213">
            <w:pPr>
              <w:pStyle w:val="259"/>
              <w:spacing w:line="300" w:lineRule="exact"/>
              <w:jc w:val="center"/>
              <w:rPr>
                <w:rFonts w:hint="eastAsia" w:ascii="宋体" w:hAnsi="宋体" w:cs="宋体"/>
                <w:color w:val="auto"/>
                <w:szCs w:val="21"/>
                <w:highlight w:val="none"/>
              </w:rPr>
            </w:pPr>
          </w:p>
        </w:tc>
        <w:tc>
          <w:tcPr>
            <w:tcW w:w="525" w:type="dxa"/>
            <w:vMerge w:val="continue"/>
            <w:noWrap w:val="0"/>
            <w:vAlign w:val="center"/>
          </w:tcPr>
          <w:p w14:paraId="1C8C9E9C">
            <w:pPr>
              <w:pStyle w:val="259"/>
              <w:spacing w:line="300" w:lineRule="exact"/>
              <w:jc w:val="center"/>
              <w:rPr>
                <w:rFonts w:hint="eastAsia" w:ascii="宋体" w:hAnsi="宋体" w:cs="宋体"/>
                <w:color w:val="auto"/>
                <w:szCs w:val="21"/>
                <w:highlight w:val="none"/>
              </w:rPr>
            </w:pPr>
          </w:p>
        </w:tc>
        <w:tc>
          <w:tcPr>
            <w:tcW w:w="1545" w:type="dxa"/>
            <w:noWrap w:val="0"/>
            <w:vAlign w:val="center"/>
          </w:tcPr>
          <w:p w14:paraId="4F50E36F">
            <w:pPr>
              <w:pStyle w:val="259"/>
              <w:spacing w:line="300" w:lineRule="exact"/>
              <w:rPr>
                <w:rFonts w:hint="eastAsia" w:ascii="宋体" w:hAnsi="宋体" w:cs="宋体"/>
                <w:color w:val="auto"/>
                <w:szCs w:val="21"/>
                <w:highlight w:val="none"/>
              </w:rPr>
            </w:pPr>
            <w:r>
              <w:rPr>
                <w:rFonts w:hint="eastAsia" w:ascii="宋体" w:hAnsi="宋体" w:cs="宋体"/>
                <w:color w:val="auto"/>
                <w:szCs w:val="21"/>
                <w:highlight w:val="none"/>
              </w:rPr>
              <w:t>预留洞口</w:t>
            </w:r>
          </w:p>
        </w:tc>
        <w:tc>
          <w:tcPr>
            <w:tcW w:w="6645" w:type="dxa"/>
            <w:noWrap w:val="0"/>
            <w:vAlign w:val="center"/>
          </w:tcPr>
          <w:p w14:paraId="6413C02D">
            <w:pPr>
              <w:pStyle w:val="259"/>
              <w:spacing w:line="300" w:lineRule="exact"/>
              <w:rPr>
                <w:rFonts w:hint="eastAsia" w:ascii="宋体" w:hAnsi="宋体" w:cs="宋体"/>
                <w:color w:val="auto"/>
                <w:szCs w:val="21"/>
                <w:highlight w:val="none"/>
              </w:rPr>
            </w:pPr>
            <w:r>
              <w:rPr>
                <w:rFonts w:hint="eastAsia" w:ascii="宋体" w:hAnsi="宋体" w:cs="宋体"/>
                <w:color w:val="auto"/>
                <w:szCs w:val="21"/>
                <w:highlight w:val="none"/>
              </w:rPr>
              <w:t>用硬质材料全封闭，短边超过1.5m长的洞口，除封闭外四周还应设有防护栏杆。</w:t>
            </w:r>
          </w:p>
        </w:tc>
      </w:tr>
      <w:tr w14:paraId="0C0D3DD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605" w:hRule="atLeast"/>
        </w:trPr>
        <w:tc>
          <w:tcPr>
            <w:tcW w:w="738" w:type="dxa"/>
            <w:vMerge w:val="continue"/>
            <w:noWrap w:val="0"/>
            <w:vAlign w:val="center"/>
          </w:tcPr>
          <w:p w14:paraId="05B3687B">
            <w:pPr>
              <w:pStyle w:val="259"/>
              <w:spacing w:line="300" w:lineRule="exact"/>
              <w:jc w:val="center"/>
              <w:rPr>
                <w:rFonts w:hint="eastAsia" w:ascii="宋体" w:hAnsi="宋体" w:cs="宋体"/>
                <w:color w:val="auto"/>
                <w:szCs w:val="21"/>
                <w:highlight w:val="none"/>
              </w:rPr>
            </w:pPr>
          </w:p>
        </w:tc>
        <w:tc>
          <w:tcPr>
            <w:tcW w:w="525" w:type="dxa"/>
            <w:vMerge w:val="continue"/>
            <w:noWrap w:val="0"/>
            <w:vAlign w:val="center"/>
          </w:tcPr>
          <w:p w14:paraId="51627E12">
            <w:pPr>
              <w:pStyle w:val="259"/>
              <w:spacing w:line="300" w:lineRule="exact"/>
              <w:jc w:val="center"/>
              <w:rPr>
                <w:rFonts w:hint="eastAsia" w:ascii="宋体" w:hAnsi="宋体" w:cs="宋体"/>
                <w:color w:val="auto"/>
                <w:szCs w:val="21"/>
                <w:highlight w:val="none"/>
              </w:rPr>
            </w:pPr>
          </w:p>
        </w:tc>
        <w:tc>
          <w:tcPr>
            <w:tcW w:w="1545" w:type="dxa"/>
            <w:noWrap w:val="0"/>
            <w:vAlign w:val="center"/>
          </w:tcPr>
          <w:p w14:paraId="16846790">
            <w:pPr>
              <w:pStyle w:val="259"/>
              <w:spacing w:line="300" w:lineRule="exact"/>
              <w:rPr>
                <w:rFonts w:hint="eastAsia" w:ascii="宋体" w:hAnsi="宋体" w:cs="宋体"/>
                <w:color w:val="auto"/>
                <w:szCs w:val="21"/>
                <w:highlight w:val="none"/>
              </w:rPr>
            </w:pPr>
            <w:r>
              <w:rPr>
                <w:rFonts w:hint="eastAsia" w:ascii="宋体" w:hAnsi="宋体" w:cs="宋体"/>
                <w:color w:val="auto"/>
                <w:szCs w:val="21"/>
                <w:highlight w:val="none"/>
              </w:rPr>
              <w:t>电梯井口</w:t>
            </w:r>
          </w:p>
        </w:tc>
        <w:tc>
          <w:tcPr>
            <w:tcW w:w="6645" w:type="dxa"/>
            <w:noWrap w:val="0"/>
            <w:vAlign w:val="center"/>
          </w:tcPr>
          <w:p w14:paraId="51E38074">
            <w:pPr>
              <w:pStyle w:val="259"/>
              <w:spacing w:line="300" w:lineRule="exact"/>
              <w:rPr>
                <w:rFonts w:hint="eastAsia" w:ascii="宋体" w:hAnsi="宋体" w:cs="宋体"/>
                <w:color w:val="auto"/>
                <w:szCs w:val="21"/>
                <w:highlight w:val="none"/>
              </w:rPr>
            </w:pPr>
            <w:r>
              <w:rPr>
                <w:rFonts w:hint="eastAsia" w:ascii="宋体" w:hAnsi="宋体" w:cs="宋体"/>
                <w:color w:val="auto"/>
                <w:szCs w:val="21"/>
                <w:highlight w:val="none"/>
              </w:rPr>
              <w:t>设置定型化、工具化的防护门，在电梯井内每隔2层（不大于10m）设置一道水平防护。</w:t>
            </w:r>
          </w:p>
        </w:tc>
      </w:tr>
      <w:tr w14:paraId="7E0DCF6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continue"/>
            <w:noWrap w:val="0"/>
            <w:vAlign w:val="center"/>
          </w:tcPr>
          <w:p w14:paraId="77CC9F39">
            <w:pPr>
              <w:pStyle w:val="259"/>
              <w:spacing w:line="300" w:lineRule="exact"/>
              <w:jc w:val="center"/>
              <w:rPr>
                <w:rFonts w:hint="eastAsia" w:ascii="宋体" w:hAnsi="宋体" w:cs="宋体"/>
                <w:color w:val="auto"/>
                <w:szCs w:val="21"/>
                <w:highlight w:val="none"/>
              </w:rPr>
            </w:pPr>
          </w:p>
        </w:tc>
        <w:tc>
          <w:tcPr>
            <w:tcW w:w="525" w:type="dxa"/>
            <w:vMerge w:val="continue"/>
            <w:noWrap w:val="0"/>
            <w:vAlign w:val="center"/>
          </w:tcPr>
          <w:p w14:paraId="079DC96E">
            <w:pPr>
              <w:pStyle w:val="259"/>
              <w:spacing w:line="300" w:lineRule="exact"/>
              <w:jc w:val="center"/>
              <w:rPr>
                <w:rFonts w:hint="eastAsia" w:ascii="宋体" w:hAnsi="宋体" w:cs="宋体"/>
                <w:color w:val="auto"/>
                <w:szCs w:val="21"/>
                <w:highlight w:val="none"/>
              </w:rPr>
            </w:pPr>
          </w:p>
        </w:tc>
        <w:tc>
          <w:tcPr>
            <w:tcW w:w="1545" w:type="dxa"/>
            <w:noWrap w:val="0"/>
            <w:vAlign w:val="center"/>
          </w:tcPr>
          <w:p w14:paraId="5DBEBFA2">
            <w:pPr>
              <w:pStyle w:val="259"/>
              <w:spacing w:line="300" w:lineRule="exact"/>
              <w:rPr>
                <w:rFonts w:hint="eastAsia" w:ascii="宋体" w:hAnsi="宋体" w:cs="宋体"/>
                <w:color w:val="auto"/>
                <w:szCs w:val="21"/>
                <w:highlight w:val="none"/>
              </w:rPr>
            </w:pPr>
            <w:r>
              <w:rPr>
                <w:rFonts w:hint="eastAsia" w:ascii="宋体" w:hAnsi="宋体" w:cs="宋体"/>
                <w:color w:val="auto"/>
                <w:szCs w:val="21"/>
                <w:highlight w:val="none"/>
              </w:rPr>
              <w:t>楼梯边</w:t>
            </w:r>
          </w:p>
        </w:tc>
        <w:tc>
          <w:tcPr>
            <w:tcW w:w="6645" w:type="dxa"/>
            <w:noWrap w:val="0"/>
            <w:vAlign w:val="center"/>
          </w:tcPr>
          <w:p w14:paraId="68EC14C4">
            <w:pPr>
              <w:pStyle w:val="259"/>
              <w:spacing w:line="300" w:lineRule="exact"/>
              <w:rPr>
                <w:rFonts w:hint="eastAsia" w:ascii="宋体" w:hAnsi="宋体" w:cs="宋体"/>
                <w:color w:val="auto"/>
                <w:szCs w:val="21"/>
                <w:highlight w:val="none"/>
              </w:rPr>
            </w:pPr>
            <w:r>
              <w:rPr>
                <w:rFonts w:hint="eastAsia" w:ascii="宋体" w:hAnsi="宋体" w:cs="宋体"/>
                <w:color w:val="auto"/>
                <w:szCs w:val="21"/>
                <w:highlight w:val="none"/>
              </w:rPr>
              <w:t>设1.2m高的定型化、工具化的防护栏，18cm高的踢脚板。</w:t>
            </w:r>
          </w:p>
        </w:tc>
      </w:tr>
      <w:tr w14:paraId="5ECFB95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continue"/>
            <w:noWrap w:val="0"/>
            <w:vAlign w:val="center"/>
          </w:tcPr>
          <w:p w14:paraId="15F92AA2">
            <w:pPr>
              <w:pStyle w:val="259"/>
              <w:spacing w:line="300" w:lineRule="exact"/>
              <w:jc w:val="center"/>
              <w:rPr>
                <w:rFonts w:hint="eastAsia" w:ascii="宋体" w:hAnsi="宋体" w:cs="宋体"/>
                <w:color w:val="auto"/>
                <w:szCs w:val="21"/>
                <w:highlight w:val="none"/>
              </w:rPr>
            </w:pPr>
          </w:p>
        </w:tc>
        <w:tc>
          <w:tcPr>
            <w:tcW w:w="525" w:type="dxa"/>
            <w:vMerge w:val="continue"/>
            <w:noWrap w:val="0"/>
            <w:vAlign w:val="center"/>
          </w:tcPr>
          <w:p w14:paraId="4AA4317F">
            <w:pPr>
              <w:pStyle w:val="259"/>
              <w:spacing w:line="300" w:lineRule="exact"/>
              <w:jc w:val="center"/>
              <w:rPr>
                <w:rFonts w:hint="eastAsia" w:ascii="宋体" w:hAnsi="宋体" w:cs="宋体"/>
                <w:color w:val="auto"/>
                <w:szCs w:val="21"/>
                <w:highlight w:val="none"/>
              </w:rPr>
            </w:pPr>
          </w:p>
        </w:tc>
        <w:tc>
          <w:tcPr>
            <w:tcW w:w="1545" w:type="dxa"/>
            <w:noWrap w:val="0"/>
            <w:vAlign w:val="center"/>
          </w:tcPr>
          <w:p w14:paraId="0C47859D">
            <w:pPr>
              <w:pStyle w:val="259"/>
              <w:spacing w:line="300" w:lineRule="exact"/>
              <w:rPr>
                <w:rFonts w:hint="eastAsia" w:ascii="宋体" w:hAnsi="宋体" w:cs="宋体"/>
                <w:color w:val="auto"/>
                <w:szCs w:val="21"/>
                <w:highlight w:val="none"/>
              </w:rPr>
            </w:pPr>
            <w:r>
              <w:rPr>
                <w:rFonts w:hint="eastAsia" w:ascii="宋体" w:hAnsi="宋体" w:cs="宋体"/>
                <w:color w:val="auto"/>
                <w:szCs w:val="21"/>
                <w:highlight w:val="none"/>
              </w:rPr>
              <w:t>垂直方向交叉作业</w:t>
            </w:r>
          </w:p>
        </w:tc>
        <w:tc>
          <w:tcPr>
            <w:tcW w:w="6645" w:type="dxa"/>
            <w:noWrap w:val="0"/>
            <w:vAlign w:val="center"/>
          </w:tcPr>
          <w:p w14:paraId="076EFC49">
            <w:pPr>
              <w:pStyle w:val="259"/>
              <w:spacing w:line="300" w:lineRule="exact"/>
              <w:rPr>
                <w:rFonts w:hint="eastAsia" w:ascii="宋体" w:hAnsi="宋体" w:cs="宋体"/>
                <w:color w:val="auto"/>
                <w:szCs w:val="21"/>
                <w:highlight w:val="none"/>
              </w:rPr>
            </w:pPr>
            <w:r>
              <w:rPr>
                <w:rFonts w:hint="eastAsia" w:ascii="宋体" w:hAnsi="宋体" w:cs="宋体"/>
                <w:color w:val="auto"/>
                <w:szCs w:val="21"/>
                <w:highlight w:val="none"/>
              </w:rPr>
              <w:t>设置防护隔离棚或其它设施。</w:t>
            </w:r>
          </w:p>
        </w:tc>
      </w:tr>
      <w:tr w14:paraId="6211BB9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continue"/>
            <w:noWrap w:val="0"/>
            <w:vAlign w:val="center"/>
          </w:tcPr>
          <w:p w14:paraId="3B8DF355">
            <w:pPr>
              <w:pStyle w:val="259"/>
              <w:spacing w:line="300" w:lineRule="exact"/>
              <w:jc w:val="center"/>
              <w:rPr>
                <w:rFonts w:hint="eastAsia" w:ascii="宋体" w:hAnsi="宋体" w:cs="宋体"/>
                <w:color w:val="auto"/>
                <w:szCs w:val="21"/>
                <w:highlight w:val="none"/>
              </w:rPr>
            </w:pPr>
          </w:p>
        </w:tc>
        <w:tc>
          <w:tcPr>
            <w:tcW w:w="525" w:type="dxa"/>
            <w:vMerge w:val="continue"/>
            <w:noWrap w:val="0"/>
            <w:vAlign w:val="center"/>
          </w:tcPr>
          <w:p w14:paraId="5A130BA8">
            <w:pPr>
              <w:pStyle w:val="259"/>
              <w:spacing w:line="300" w:lineRule="exact"/>
              <w:jc w:val="center"/>
              <w:rPr>
                <w:rFonts w:hint="eastAsia" w:ascii="宋体" w:hAnsi="宋体" w:cs="宋体"/>
                <w:color w:val="auto"/>
                <w:szCs w:val="21"/>
                <w:highlight w:val="none"/>
              </w:rPr>
            </w:pPr>
          </w:p>
        </w:tc>
        <w:tc>
          <w:tcPr>
            <w:tcW w:w="1545" w:type="dxa"/>
            <w:noWrap w:val="0"/>
            <w:vAlign w:val="center"/>
          </w:tcPr>
          <w:p w14:paraId="0C23566F">
            <w:pPr>
              <w:pStyle w:val="259"/>
              <w:spacing w:line="300" w:lineRule="exact"/>
              <w:rPr>
                <w:rFonts w:hint="eastAsia" w:ascii="宋体" w:hAnsi="宋体" w:cs="宋体"/>
                <w:color w:val="auto"/>
                <w:szCs w:val="21"/>
                <w:highlight w:val="none"/>
              </w:rPr>
            </w:pPr>
            <w:r>
              <w:rPr>
                <w:rFonts w:hint="eastAsia" w:ascii="宋体" w:hAnsi="宋体" w:cs="宋体"/>
                <w:color w:val="auto"/>
                <w:szCs w:val="21"/>
                <w:highlight w:val="none"/>
              </w:rPr>
              <w:t>高处作业</w:t>
            </w:r>
          </w:p>
        </w:tc>
        <w:tc>
          <w:tcPr>
            <w:tcW w:w="6645" w:type="dxa"/>
            <w:noWrap w:val="0"/>
            <w:vAlign w:val="center"/>
          </w:tcPr>
          <w:p w14:paraId="41C375FA">
            <w:pPr>
              <w:pStyle w:val="259"/>
              <w:spacing w:line="300" w:lineRule="exact"/>
              <w:rPr>
                <w:rFonts w:hint="eastAsia" w:ascii="宋体" w:hAnsi="宋体" w:cs="宋体"/>
                <w:color w:val="auto"/>
                <w:szCs w:val="21"/>
                <w:highlight w:val="none"/>
              </w:rPr>
            </w:pPr>
            <w:r>
              <w:rPr>
                <w:rFonts w:hint="eastAsia" w:ascii="宋体" w:hAnsi="宋体" w:cs="宋体"/>
                <w:color w:val="auto"/>
                <w:szCs w:val="21"/>
                <w:highlight w:val="none"/>
              </w:rPr>
              <w:t>有悬挂安全带的悬索或其它设施，有操作平台，有上下的梯子或其它形式的通道。</w:t>
            </w:r>
          </w:p>
        </w:tc>
      </w:tr>
      <w:tr w14:paraId="447277B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continue"/>
            <w:noWrap w:val="0"/>
            <w:vAlign w:val="center"/>
          </w:tcPr>
          <w:p w14:paraId="1C237370">
            <w:pPr>
              <w:pStyle w:val="259"/>
              <w:spacing w:line="300" w:lineRule="exact"/>
              <w:jc w:val="center"/>
              <w:rPr>
                <w:rFonts w:hint="eastAsia" w:ascii="宋体" w:hAnsi="宋体" w:cs="宋体"/>
                <w:color w:val="auto"/>
                <w:szCs w:val="21"/>
                <w:highlight w:val="none"/>
              </w:rPr>
            </w:pPr>
          </w:p>
        </w:tc>
        <w:tc>
          <w:tcPr>
            <w:tcW w:w="525" w:type="dxa"/>
            <w:vMerge w:val="continue"/>
            <w:noWrap w:val="0"/>
            <w:vAlign w:val="center"/>
          </w:tcPr>
          <w:p w14:paraId="3FFD5A74">
            <w:pPr>
              <w:pStyle w:val="259"/>
              <w:spacing w:line="300" w:lineRule="exact"/>
              <w:jc w:val="center"/>
              <w:rPr>
                <w:rFonts w:hint="eastAsia" w:ascii="宋体" w:hAnsi="宋体" w:cs="宋体"/>
                <w:color w:val="auto"/>
                <w:szCs w:val="21"/>
                <w:highlight w:val="none"/>
              </w:rPr>
            </w:pPr>
          </w:p>
        </w:tc>
        <w:tc>
          <w:tcPr>
            <w:tcW w:w="1545" w:type="dxa"/>
            <w:noWrap w:val="0"/>
            <w:vAlign w:val="center"/>
          </w:tcPr>
          <w:p w14:paraId="15DDE6F2">
            <w:pPr>
              <w:pStyle w:val="259"/>
              <w:spacing w:line="300" w:lineRule="exact"/>
              <w:rPr>
                <w:rFonts w:hint="eastAsia" w:ascii="宋体" w:hAnsi="宋体" w:cs="宋体"/>
                <w:color w:val="auto"/>
                <w:szCs w:val="21"/>
                <w:highlight w:val="none"/>
              </w:rPr>
            </w:pPr>
            <w:r>
              <w:rPr>
                <w:rFonts w:hint="eastAsia" w:ascii="宋体" w:hAnsi="宋体" w:cs="宋体"/>
                <w:color w:val="auto"/>
                <w:szCs w:val="21"/>
                <w:highlight w:val="none"/>
              </w:rPr>
              <w:t>基坑、物料平台</w:t>
            </w:r>
          </w:p>
        </w:tc>
        <w:tc>
          <w:tcPr>
            <w:tcW w:w="6645" w:type="dxa"/>
            <w:noWrap w:val="0"/>
            <w:vAlign w:val="center"/>
          </w:tcPr>
          <w:p w14:paraId="670B2BC2">
            <w:pPr>
              <w:pStyle w:val="259"/>
              <w:spacing w:line="300" w:lineRule="exact"/>
              <w:rPr>
                <w:rFonts w:hint="eastAsia" w:ascii="宋体" w:hAnsi="宋体" w:cs="宋体"/>
                <w:color w:val="auto"/>
                <w:szCs w:val="21"/>
                <w:highlight w:val="none"/>
              </w:rPr>
            </w:pPr>
            <w:r>
              <w:rPr>
                <w:rFonts w:hint="eastAsia" w:ascii="宋体" w:hAnsi="宋体" w:cs="宋体"/>
                <w:color w:val="auto"/>
                <w:szCs w:val="21"/>
                <w:highlight w:val="none"/>
              </w:rPr>
              <w:t>设1.2m高标准化的防护栏，用密目式安全立网封闭，悬挂标识。</w:t>
            </w:r>
          </w:p>
        </w:tc>
      </w:tr>
      <w:tr w14:paraId="6E56C57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continue"/>
            <w:noWrap w:val="0"/>
            <w:vAlign w:val="center"/>
          </w:tcPr>
          <w:p w14:paraId="2C2513F9">
            <w:pPr>
              <w:pStyle w:val="259"/>
              <w:spacing w:line="300" w:lineRule="exact"/>
              <w:jc w:val="center"/>
              <w:rPr>
                <w:rFonts w:hint="eastAsia" w:ascii="宋体" w:hAnsi="宋体" w:cs="宋体"/>
                <w:color w:val="auto"/>
                <w:szCs w:val="21"/>
                <w:highlight w:val="none"/>
              </w:rPr>
            </w:pPr>
          </w:p>
        </w:tc>
        <w:tc>
          <w:tcPr>
            <w:tcW w:w="2070" w:type="dxa"/>
            <w:gridSpan w:val="2"/>
            <w:noWrap w:val="0"/>
            <w:vAlign w:val="center"/>
          </w:tcPr>
          <w:p w14:paraId="634F8089">
            <w:pPr>
              <w:pStyle w:val="259"/>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安全防护用品</w:t>
            </w:r>
          </w:p>
        </w:tc>
        <w:tc>
          <w:tcPr>
            <w:tcW w:w="6645" w:type="dxa"/>
            <w:noWrap w:val="0"/>
            <w:vAlign w:val="center"/>
          </w:tcPr>
          <w:p w14:paraId="5818D4BB">
            <w:pPr>
              <w:pStyle w:val="259"/>
              <w:spacing w:line="300" w:lineRule="exact"/>
              <w:rPr>
                <w:rFonts w:hint="eastAsia" w:ascii="宋体" w:hAnsi="宋体" w:cs="宋体"/>
                <w:color w:val="auto"/>
                <w:szCs w:val="21"/>
                <w:highlight w:val="none"/>
              </w:rPr>
            </w:pPr>
            <w:r>
              <w:rPr>
                <w:rFonts w:hint="eastAsia" w:ascii="宋体" w:hAnsi="宋体" w:cs="宋体"/>
                <w:color w:val="auto"/>
                <w:szCs w:val="21"/>
                <w:highlight w:val="none"/>
              </w:rPr>
              <w:t>安全帽、安全带、特种作业人员（电工、焊工、架子工等）防护服装、用品等。</w:t>
            </w:r>
          </w:p>
        </w:tc>
      </w:tr>
      <w:tr w14:paraId="041FFCC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655" w:hRule="atLeast"/>
        </w:trPr>
        <w:tc>
          <w:tcPr>
            <w:tcW w:w="738" w:type="dxa"/>
            <w:vMerge w:val="restart"/>
            <w:noWrap w:val="0"/>
            <w:vAlign w:val="center"/>
          </w:tcPr>
          <w:p w14:paraId="23D86E86">
            <w:pPr>
              <w:pStyle w:val="259"/>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其它</w:t>
            </w:r>
          </w:p>
        </w:tc>
        <w:tc>
          <w:tcPr>
            <w:tcW w:w="525" w:type="dxa"/>
            <w:vMerge w:val="restart"/>
            <w:noWrap w:val="0"/>
            <w:vAlign w:val="center"/>
          </w:tcPr>
          <w:p w14:paraId="2B58D7CF">
            <w:pPr>
              <w:pStyle w:val="259"/>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机械设备防护</w:t>
            </w:r>
          </w:p>
        </w:tc>
        <w:tc>
          <w:tcPr>
            <w:tcW w:w="1545" w:type="dxa"/>
            <w:noWrap w:val="0"/>
            <w:vAlign w:val="center"/>
          </w:tcPr>
          <w:p w14:paraId="5A32C450">
            <w:pPr>
              <w:pStyle w:val="259"/>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中小型机械</w:t>
            </w:r>
          </w:p>
        </w:tc>
        <w:tc>
          <w:tcPr>
            <w:tcW w:w="6645" w:type="dxa"/>
            <w:noWrap w:val="0"/>
            <w:vAlign w:val="center"/>
          </w:tcPr>
          <w:p w14:paraId="59574907">
            <w:pPr>
              <w:pStyle w:val="259"/>
              <w:spacing w:line="300" w:lineRule="exact"/>
              <w:rPr>
                <w:rFonts w:hint="eastAsia" w:ascii="宋体" w:hAnsi="宋体" w:cs="宋体"/>
                <w:color w:val="auto"/>
                <w:szCs w:val="21"/>
                <w:highlight w:val="none"/>
              </w:rPr>
            </w:pPr>
            <w:r>
              <w:rPr>
                <w:rFonts w:hint="eastAsia" w:ascii="宋体" w:hAnsi="宋体" w:cs="宋体"/>
                <w:color w:val="auto"/>
                <w:szCs w:val="21"/>
                <w:highlight w:val="none"/>
              </w:rPr>
              <w:t>设防护棚（同通道口防护并有防雨措施）。</w:t>
            </w:r>
          </w:p>
        </w:tc>
      </w:tr>
      <w:tr w14:paraId="56FC9A3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continue"/>
            <w:noWrap w:val="0"/>
            <w:vAlign w:val="center"/>
          </w:tcPr>
          <w:p w14:paraId="769B0FD3">
            <w:pPr>
              <w:pStyle w:val="259"/>
              <w:spacing w:line="300" w:lineRule="exact"/>
              <w:jc w:val="center"/>
              <w:rPr>
                <w:rFonts w:hint="eastAsia" w:ascii="宋体" w:hAnsi="宋体" w:cs="宋体"/>
                <w:color w:val="auto"/>
                <w:szCs w:val="21"/>
                <w:highlight w:val="none"/>
              </w:rPr>
            </w:pPr>
          </w:p>
        </w:tc>
        <w:tc>
          <w:tcPr>
            <w:tcW w:w="525" w:type="dxa"/>
            <w:vMerge w:val="continue"/>
            <w:noWrap w:val="0"/>
            <w:vAlign w:val="center"/>
          </w:tcPr>
          <w:p w14:paraId="0A596873">
            <w:pPr>
              <w:pStyle w:val="259"/>
              <w:spacing w:line="300" w:lineRule="exact"/>
              <w:jc w:val="center"/>
              <w:rPr>
                <w:rFonts w:hint="eastAsia" w:ascii="宋体" w:hAnsi="宋体" w:cs="宋体"/>
                <w:color w:val="auto"/>
                <w:szCs w:val="21"/>
                <w:highlight w:val="none"/>
              </w:rPr>
            </w:pPr>
          </w:p>
        </w:tc>
        <w:tc>
          <w:tcPr>
            <w:tcW w:w="1545" w:type="dxa"/>
            <w:noWrap w:val="0"/>
            <w:vAlign w:val="center"/>
          </w:tcPr>
          <w:p w14:paraId="595845C6">
            <w:pPr>
              <w:pStyle w:val="259"/>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垂直运输设备</w:t>
            </w:r>
          </w:p>
        </w:tc>
        <w:tc>
          <w:tcPr>
            <w:tcW w:w="6645" w:type="dxa"/>
            <w:noWrap w:val="0"/>
            <w:vAlign w:val="center"/>
          </w:tcPr>
          <w:p w14:paraId="459D4B42">
            <w:pPr>
              <w:pStyle w:val="259"/>
              <w:spacing w:line="300" w:lineRule="exact"/>
              <w:rPr>
                <w:rFonts w:hint="eastAsia" w:ascii="宋体" w:hAnsi="宋体" w:cs="宋体"/>
                <w:color w:val="auto"/>
                <w:szCs w:val="21"/>
                <w:highlight w:val="none"/>
              </w:rPr>
            </w:pPr>
            <w:r>
              <w:rPr>
                <w:rFonts w:hint="eastAsia" w:ascii="宋体" w:hAnsi="宋体" w:cs="宋体"/>
                <w:color w:val="auto"/>
                <w:szCs w:val="21"/>
                <w:highlight w:val="none"/>
              </w:rPr>
              <w:t>1. 垂直运输设备检测、检验、日常维护、保养等。</w:t>
            </w:r>
          </w:p>
          <w:p w14:paraId="01A31A1D">
            <w:pPr>
              <w:pStyle w:val="259"/>
              <w:spacing w:line="300" w:lineRule="exact"/>
              <w:rPr>
                <w:rFonts w:hint="eastAsia" w:ascii="宋体" w:hAnsi="宋体" w:cs="宋体"/>
                <w:color w:val="auto"/>
                <w:szCs w:val="21"/>
                <w:highlight w:val="none"/>
              </w:rPr>
            </w:pPr>
            <w:r>
              <w:rPr>
                <w:rFonts w:hint="eastAsia" w:ascii="宋体" w:hAnsi="宋体" w:cs="宋体"/>
                <w:color w:val="auto"/>
                <w:szCs w:val="21"/>
                <w:highlight w:val="none"/>
              </w:rPr>
              <w:t>2. 物料提升机、施工电梯等物料平台搭设、外侧用密目式安全立网全封闭，有安全通道、安全防护门、防护棚等。</w:t>
            </w:r>
          </w:p>
        </w:tc>
      </w:tr>
      <w:tr w14:paraId="16E4E13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10" w:hRule="exact"/>
        </w:trPr>
        <w:tc>
          <w:tcPr>
            <w:tcW w:w="738" w:type="dxa"/>
            <w:vMerge w:val="continue"/>
            <w:noWrap w:val="0"/>
            <w:vAlign w:val="center"/>
          </w:tcPr>
          <w:p w14:paraId="50AAD28E">
            <w:pPr>
              <w:pStyle w:val="259"/>
              <w:spacing w:line="300" w:lineRule="exact"/>
              <w:jc w:val="center"/>
              <w:rPr>
                <w:rFonts w:hint="eastAsia" w:ascii="宋体" w:hAnsi="宋体" w:cs="宋体"/>
                <w:color w:val="auto"/>
                <w:szCs w:val="21"/>
                <w:highlight w:val="none"/>
              </w:rPr>
            </w:pPr>
          </w:p>
        </w:tc>
        <w:tc>
          <w:tcPr>
            <w:tcW w:w="2070" w:type="dxa"/>
            <w:gridSpan w:val="2"/>
            <w:noWrap w:val="0"/>
            <w:vAlign w:val="center"/>
          </w:tcPr>
          <w:p w14:paraId="5C2069AD">
            <w:pPr>
              <w:pStyle w:val="259"/>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专家论证审查</w:t>
            </w:r>
          </w:p>
        </w:tc>
        <w:tc>
          <w:tcPr>
            <w:tcW w:w="6645" w:type="dxa"/>
            <w:noWrap w:val="0"/>
            <w:vAlign w:val="center"/>
          </w:tcPr>
          <w:p w14:paraId="7C22F6C0">
            <w:pPr>
              <w:pStyle w:val="259"/>
              <w:spacing w:line="300" w:lineRule="exact"/>
              <w:rPr>
                <w:rFonts w:hint="eastAsia" w:ascii="宋体" w:hAnsi="宋体" w:cs="宋体"/>
                <w:color w:val="auto"/>
                <w:szCs w:val="21"/>
                <w:highlight w:val="none"/>
              </w:rPr>
            </w:pPr>
            <w:r>
              <w:rPr>
                <w:rFonts w:hint="eastAsia" w:ascii="宋体" w:hAnsi="宋体" w:cs="宋体"/>
                <w:color w:val="auto"/>
                <w:szCs w:val="21"/>
                <w:highlight w:val="none"/>
              </w:rPr>
              <w:t>超过一定规模的危险性较大分部分项工程专家论证审查。</w:t>
            </w:r>
          </w:p>
        </w:tc>
      </w:tr>
      <w:tr w14:paraId="7D6E0A5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10" w:hRule="exact"/>
        </w:trPr>
        <w:tc>
          <w:tcPr>
            <w:tcW w:w="738" w:type="dxa"/>
            <w:vMerge w:val="continue"/>
            <w:noWrap w:val="0"/>
            <w:vAlign w:val="center"/>
          </w:tcPr>
          <w:p w14:paraId="1BB25649">
            <w:pPr>
              <w:pStyle w:val="259"/>
              <w:spacing w:line="300" w:lineRule="exact"/>
              <w:jc w:val="center"/>
              <w:rPr>
                <w:rFonts w:hint="eastAsia" w:ascii="宋体" w:hAnsi="宋体" w:cs="宋体"/>
                <w:color w:val="auto"/>
                <w:szCs w:val="21"/>
                <w:highlight w:val="none"/>
              </w:rPr>
            </w:pPr>
          </w:p>
        </w:tc>
        <w:tc>
          <w:tcPr>
            <w:tcW w:w="2070" w:type="dxa"/>
            <w:gridSpan w:val="2"/>
            <w:noWrap w:val="0"/>
            <w:vAlign w:val="center"/>
          </w:tcPr>
          <w:p w14:paraId="1AA7F980">
            <w:pPr>
              <w:pStyle w:val="259"/>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应急救援预案</w:t>
            </w:r>
          </w:p>
        </w:tc>
        <w:tc>
          <w:tcPr>
            <w:tcW w:w="6645" w:type="dxa"/>
            <w:noWrap w:val="0"/>
            <w:vAlign w:val="center"/>
          </w:tcPr>
          <w:p w14:paraId="366A3461">
            <w:pPr>
              <w:pStyle w:val="259"/>
              <w:spacing w:line="300" w:lineRule="exact"/>
              <w:rPr>
                <w:rFonts w:hint="eastAsia" w:ascii="宋体" w:hAnsi="宋体" w:cs="宋体"/>
                <w:color w:val="auto"/>
                <w:szCs w:val="21"/>
                <w:highlight w:val="none"/>
              </w:rPr>
            </w:pPr>
            <w:r>
              <w:rPr>
                <w:rFonts w:hint="eastAsia" w:ascii="宋体" w:hAnsi="宋体" w:cs="宋体"/>
                <w:color w:val="auto"/>
                <w:szCs w:val="21"/>
                <w:highlight w:val="none"/>
              </w:rPr>
              <w:t>救援器材准备及演练等。</w:t>
            </w:r>
          </w:p>
        </w:tc>
      </w:tr>
      <w:tr w14:paraId="2F2E4BE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continue"/>
            <w:noWrap w:val="0"/>
            <w:vAlign w:val="center"/>
          </w:tcPr>
          <w:p w14:paraId="2B657454">
            <w:pPr>
              <w:pStyle w:val="259"/>
              <w:spacing w:line="300" w:lineRule="exact"/>
              <w:jc w:val="center"/>
              <w:rPr>
                <w:rFonts w:hint="eastAsia" w:ascii="宋体" w:hAnsi="宋体" w:cs="宋体"/>
                <w:color w:val="auto"/>
                <w:szCs w:val="21"/>
                <w:highlight w:val="none"/>
              </w:rPr>
            </w:pPr>
          </w:p>
        </w:tc>
        <w:tc>
          <w:tcPr>
            <w:tcW w:w="2070" w:type="dxa"/>
            <w:gridSpan w:val="2"/>
            <w:noWrap w:val="0"/>
            <w:vAlign w:val="center"/>
          </w:tcPr>
          <w:p w14:paraId="7C735FD3">
            <w:pPr>
              <w:pStyle w:val="259"/>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非正常情况施工</w:t>
            </w:r>
          </w:p>
        </w:tc>
        <w:tc>
          <w:tcPr>
            <w:tcW w:w="6645" w:type="dxa"/>
            <w:noWrap w:val="0"/>
            <w:vAlign w:val="center"/>
          </w:tcPr>
          <w:p w14:paraId="7D201155">
            <w:pPr>
              <w:pStyle w:val="259"/>
              <w:spacing w:line="300" w:lineRule="exact"/>
              <w:rPr>
                <w:rFonts w:hint="eastAsia" w:ascii="宋体" w:hAnsi="宋体" w:cs="宋体"/>
                <w:color w:val="auto"/>
                <w:szCs w:val="21"/>
                <w:highlight w:val="none"/>
              </w:rPr>
            </w:pPr>
            <w:r>
              <w:rPr>
                <w:rFonts w:hint="eastAsia" w:ascii="宋体" w:hAnsi="宋体" w:cs="宋体"/>
                <w:color w:val="auto"/>
                <w:szCs w:val="21"/>
                <w:highlight w:val="none"/>
              </w:rPr>
              <w:t>其它特殊情况下的防护费用，如：城市主干道、人流密集、河边等处施工及文物、古建筑、古树保护等。</w:t>
            </w:r>
          </w:p>
        </w:tc>
      </w:tr>
    </w:tbl>
    <w:p w14:paraId="7CBE3FDB">
      <w:pPr>
        <w:pStyle w:val="28"/>
        <w:tabs>
          <w:tab w:val="left" w:pos="2127"/>
        </w:tabs>
        <w:spacing w:line="340" w:lineRule="exact"/>
        <w:rPr>
          <w:rFonts w:hint="eastAsia" w:hAnsi="宋体" w:cs="宋体"/>
          <w:color w:val="auto"/>
          <w:highlight w:val="none"/>
        </w:rPr>
      </w:pPr>
      <w:r>
        <w:rPr>
          <w:rFonts w:hint="eastAsia" w:hAnsi="宋体" w:cs="宋体"/>
          <w:color w:val="auto"/>
          <w:highlight w:val="none"/>
        </w:rPr>
        <w:t>注：本表所列建设工程安全文明施工费，是依据现行法律法规及标准、规范确定的。如法律法规和标准、规范修订，本表所列项目应按照修订后的法律法规和标准规范进行调整。</w:t>
      </w:r>
    </w:p>
    <w:p w14:paraId="4FA93909">
      <w:pPr>
        <w:snapToGrid w:val="0"/>
        <w:spacing w:before="50" w:after="120" w:afterLines="50"/>
        <w:jc w:val="left"/>
        <w:rPr>
          <w:rFonts w:hint="eastAsia" w:ascii="宋体" w:hAnsi="宋体" w:cs="宋体"/>
          <w:color w:val="auto"/>
          <w:szCs w:val="21"/>
          <w:highlight w:val="none"/>
        </w:rPr>
      </w:pPr>
      <w:r>
        <w:rPr>
          <w:rFonts w:hint="eastAsia" w:ascii="宋体" w:hAnsi="宋体" w:cs="宋体"/>
          <w:color w:val="auto"/>
          <w:highlight w:val="none"/>
        </w:rPr>
        <w:br w:type="page"/>
      </w:r>
      <w:r>
        <w:rPr>
          <w:rFonts w:hint="eastAsia" w:ascii="宋体" w:hAnsi="宋体" w:cs="宋体"/>
          <w:color w:val="auto"/>
          <w:highlight w:val="none"/>
          <w:lang w:val="en-US" w:eastAsia="zh-CN"/>
        </w:rPr>
        <w:t>8</w:t>
      </w:r>
      <w:r>
        <w:rPr>
          <w:rFonts w:hint="eastAsia" w:ascii="宋体" w:hAnsi="宋体" w:cs="宋体"/>
          <w:color w:val="auto"/>
          <w:szCs w:val="21"/>
          <w:highlight w:val="none"/>
        </w:rPr>
        <w:t>.本工程拟投入列入节能产品政府采购品目清单及环境标志产品政府采购品目清单的货物清单。</w:t>
      </w:r>
      <w:r>
        <w:rPr>
          <w:rFonts w:hint="eastAsia" w:ascii="宋体" w:hAnsi="宋体" w:cs="宋体"/>
          <w:b/>
          <w:color w:val="auto"/>
          <w:szCs w:val="21"/>
          <w:highlight w:val="none"/>
        </w:rPr>
        <w:t>（如有，须提供）</w:t>
      </w:r>
    </w:p>
    <w:p w14:paraId="1101F86E">
      <w:pPr>
        <w:snapToGrid w:val="0"/>
        <w:spacing w:before="50" w:after="120" w:afterLines="50"/>
        <w:jc w:val="left"/>
        <w:rPr>
          <w:rFonts w:hint="eastAsia" w:ascii="宋体" w:hAnsi="宋体" w:cs="宋体"/>
          <w:color w:val="auto"/>
          <w:szCs w:val="21"/>
          <w:highlight w:val="none"/>
        </w:rPr>
      </w:pPr>
      <w:bookmarkStart w:id="130" w:name="_Hlk89190963"/>
      <w:r>
        <w:rPr>
          <w:rFonts w:hint="eastAsia" w:ascii="宋体" w:hAnsi="宋体" w:cs="宋体"/>
          <w:color w:val="auto"/>
          <w:szCs w:val="21"/>
          <w:highlight w:val="none"/>
          <w:lang w:val="en-US" w:eastAsia="zh-CN"/>
        </w:rPr>
        <w:t>8</w:t>
      </w:r>
      <w:r>
        <w:rPr>
          <w:rFonts w:hint="eastAsia" w:ascii="宋体" w:hAnsi="宋体" w:cs="宋体"/>
          <w:color w:val="auto"/>
          <w:szCs w:val="21"/>
          <w:highlight w:val="none"/>
        </w:rPr>
        <w:t>.1建筑材料和设备节能环保要求承诺书</w:t>
      </w:r>
    </w:p>
    <w:p w14:paraId="494BCC60">
      <w:pPr>
        <w:spacing w:line="520" w:lineRule="exact"/>
        <w:ind w:left="-10" w:firstLine="455" w:firstLineChars="217"/>
        <w:jc w:val="left"/>
        <w:rPr>
          <w:rFonts w:hint="eastAsia" w:ascii="宋体" w:hAnsi="宋体" w:cs="宋体"/>
          <w:color w:val="auto"/>
          <w:highlight w:val="none"/>
        </w:rPr>
      </w:pPr>
      <w:r>
        <w:rPr>
          <w:rFonts w:hint="eastAsia" w:ascii="宋体" w:hAnsi="宋体" w:cs="宋体"/>
          <w:color w:val="auto"/>
          <w:highlight w:val="none"/>
        </w:rPr>
        <w:t>我方承诺，一旦中标，我方保证严格执行《财政部 国家发展改革委关于印发《节能产品政府采购实施意见》的通知》（财库〔2004〕185号）、《财政部 发展改革委 生态环境部 市场监管总局关于调整优化节能产品、环境标志产品政府采购执行机制的通知》（财库〔2019〕9号）和《关于印发节能产品政府采购品目清单的通知》（财库〔2019〕19号）的规定，所有工程中涉及的建筑材料和设备如属于财库〔2019〕19号文中《节能产品政府采购品目清单》内标注“★”的产品，都使用政府强制采购的节能产品。如我方在该项目的承包中出现未按规定执行的情形，我方愿意按照相关规定接受建设单位及有关主管部门的处罚。</w:t>
      </w:r>
    </w:p>
    <w:p w14:paraId="5AD4BD85">
      <w:pPr>
        <w:spacing w:line="520" w:lineRule="exact"/>
        <w:ind w:left="-10" w:firstLine="455" w:firstLineChars="217"/>
        <w:jc w:val="left"/>
        <w:rPr>
          <w:rFonts w:hint="eastAsia" w:ascii="宋体" w:hAnsi="宋体" w:cs="宋体"/>
          <w:color w:val="auto"/>
          <w:highlight w:val="none"/>
        </w:rPr>
      </w:pPr>
    </w:p>
    <w:p w14:paraId="419373DA">
      <w:pPr>
        <w:tabs>
          <w:tab w:val="left" w:pos="4860"/>
        </w:tabs>
        <w:spacing w:line="360" w:lineRule="auto"/>
        <w:ind w:right="1560" w:firstLine="444" w:firstLineChars="200"/>
        <w:contextualSpacing/>
        <w:jc w:val="right"/>
        <w:rPr>
          <w:rFonts w:hint="eastAsia" w:ascii="宋体" w:hAnsi="宋体" w:cs="宋体"/>
          <w:color w:val="auto"/>
          <w:spacing w:val="6"/>
          <w:highlight w:val="none"/>
        </w:rPr>
      </w:pPr>
      <w:r>
        <w:rPr>
          <w:rFonts w:hint="eastAsia" w:ascii="宋体" w:hAnsi="宋体" w:cs="宋体"/>
          <w:color w:val="auto"/>
          <w:spacing w:val="6"/>
          <w:highlight w:val="none"/>
        </w:rPr>
        <w:t xml:space="preserve">                        单位名称（盖法人单位电子印章）：</w:t>
      </w:r>
    </w:p>
    <w:p w14:paraId="0E14E105">
      <w:pPr>
        <w:wordWrap w:val="0"/>
        <w:ind w:firstLine="444" w:firstLineChars="200"/>
        <w:jc w:val="right"/>
        <w:rPr>
          <w:rFonts w:hint="eastAsia" w:ascii="宋体" w:hAnsi="宋体" w:cs="宋体"/>
          <w:color w:val="auto"/>
          <w:spacing w:val="6"/>
          <w:highlight w:val="none"/>
        </w:rPr>
      </w:pPr>
      <w:r>
        <w:rPr>
          <w:rFonts w:hint="eastAsia" w:ascii="宋体" w:hAnsi="宋体" w:cs="宋体"/>
          <w:color w:val="auto"/>
          <w:spacing w:val="6"/>
          <w:highlight w:val="none"/>
        </w:rPr>
        <w:t xml:space="preserve">                                     日  期：             </w:t>
      </w:r>
    </w:p>
    <w:p w14:paraId="561EC4BE">
      <w:pPr>
        <w:snapToGrid w:val="0"/>
        <w:spacing w:before="50" w:after="120" w:afterLines="50"/>
        <w:jc w:val="left"/>
        <w:rPr>
          <w:rFonts w:hint="eastAsia" w:ascii="宋体" w:hAnsi="宋体" w:cs="宋体"/>
          <w:color w:val="auto"/>
          <w:szCs w:val="21"/>
          <w:highlight w:val="none"/>
        </w:rPr>
      </w:pPr>
    </w:p>
    <w:p w14:paraId="22F12295">
      <w:pPr>
        <w:snapToGrid w:val="0"/>
        <w:spacing w:before="50" w:after="120" w:afterLines="50"/>
        <w:jc w:val="left"/>
        <w:rPr>
          <w:rFonts w:hint="eastAsia" w:ascii="宋体" w:hAnsi="宋体" w:cs="宋体"/>
          <w:color w:val="auto"/>
          <w:szCs w:val="21"/>
          <w:highlight w:val="none"/>
        </w:rPr>
      </w:pPr>
      <w:r>
        <w:rPr>
          <w:rFonts w:hint="eastAsia" w:ascii="宋体" w:hAnsi="宋体" w:cs="宋体"/>
          <w:color w:val="auto"/>
          <w:szCs w:val="21"/>
          <w:highlight w:val="none"/>
          <w:lang w:val="en-US" w:eastAsia="zh-CN"/>
        </w:rPr>
        <w:t>8</w:t>
      </w:r>
      <w:r>
        <w:rPr>
          <w:rFonts w:hint="eastAsia" w:ascii="宋体" w:hAnsi="宋体" w:cs="宋体"/>
          <w:color w:val="auto"/>
          <w:szCs w:val="21"/>
          <w:highlight w:val="none"/>
        </w:rPr>
        <w:t>.2响应产品中如有列入节能产品政府采购品目清单及环境标志产品政府采购品目清单的货物，应按下表提供清单。</w:t>
      </w:r>
    </w:p>
    <w:p w14:paraId="2AB76BEC">
      <w:pPr>
        <w:spacing w:line="360" w:lineRule="auto"/>
        <w:jc w:val="center"/>
        <w:rPr>
          <w:rFonts w:hint="eastAsia" w:ascii="宋体" w:hAnsi="宋体" w:cs="宋体"/>
          <w:color w:val="auto"/>
          <w:szCs w:val="21"/>
          <w:highlight w:val="none"/>
        </w:rPr>
      </w:pPr>
      <w:r>
        <w:rPr>
          <w:rFonts w:hint="eastAsia" w:ascii="宋体" w:hAnsi="宋体" w:cs="宋体"/>
          <w:b/>
          <w:color w:val="auto"/>
          <w:szCs w:val="21"/>
          <w:highlight w:val="none"/>
        </w:rPr>
        <w:t>节能产品及环境标志产品清单</w:t>
      </w:r>
    </w:p>
    <w:tbl>
      <w:tblPr>
        <w:tblStyle w:val="55"/>
        <w:tblW w:w="9328" w:type="dxa"/>
        <w:jc w:val="center"/>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0" w:type="dxa"/>
          <w:left w:w="0" w:type="dxa"/>
          <w:bottom w:w="0" w:type="dxa"/>
          <w:right w:w="0" w:type="dxa"/>
        </w:tblCellMar>
      </w:tblPr>
      <w:tblGrid>
        <w:gridCol w:w="767"/>
        <w:gridCol w:w="1134"/>
        <w:gridCol w:w="897"/>
        <w:gridCol w:w="1088"/>
        <w:gridCol w:w="1409"/>
        <w:gridCol w:w="1851"/>
        <w:gridCol w:w="1412"/>
        <w:gridCol w:w="770"/>
      </w:tblGrid>
      <w:tr w14:paraId="1149E82C">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454" w:hRule="atLeast"/>
          <w:jc w:val="center"/>
        </w:trPr>
        <w:tc>
          <w:tcPr>
            <w:tcW w:w="767" w:type="dxa"/>
            <w:tcBorders>
              <w:top w:val="single" w:color="auto" w:sz="12" w:space="0"/>
              <w:left w:val="single" w:color="auto" w:sz="12" w:space="0"/>
              <w:bottom w:val="single" w:color="auto" w:sz="8" w:space="0"/>
              <w:right w:val="single" w:color="auto" w:sz="8" w:space="0"/>
            </w:tcBorders>
            <w:noWrap w:val="0"/>
            <w:tcMar>
              <w:top w:w="0" w:type="dxa"/>
              <w:left w:w="57" w:type="dxa"/>
              <w:bottom w:w="0" w:type="dxa"/>
              <w:right w:w="57" w:type="dxa"/>
            </w:tcMar>
            <w:vAlign w:val="center"/>
          </w:tcPr>
          <w:p w14:paraId="2E2B31E9">
            <w:pPr>
              <w:widowControl/>
              <w:spacing w:before="100" w:beforeAutospacing="1" w:after="100" w:afterAutospacing="1" w:line="376" w:lineRule="atLeas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序号</w:t>
            </w:r>
          </w:p>
        </w:tc>
        <w:tc>
          <w:tcPr>
            <w:tcW w:w="1134" w:type="dxa"/>
            <w:tcBorders>
              <w:top w:val="single" w:color="auto" w:sz="12" w:space="0"/>
              <w:left w:val="nil"/>
              <w:bottom w:val="single" w:color="auto" w:sz="8" w:space="0"/>
              <w:right w:val="single" w:color="auto" w:sz="4" w:space="0"/>
            </w:tcBorders>
            <w:noWrap w:val="0"/>
            <w:tcMar>
              <w:top w:w="0" w:type="dxa"/>
              <w:left w:w="57" w:type="dxa"/>
              <w:bottom w:w="0" w:type="dxa"/>
              <w:right w:w="57" w:type="dxa"/>
            </w:tcMar>
            <w:vAlign w:val="center"/>
          </w:tcPr>
          <w:p w14:paraId="14212962">
            <w:pPr>
              <w:widowControl/>
              <w:spacing w:before="100" w:beforeAutospacing="1" w:after="100" w:afterAutospacing="1" w:line="376" w:lineRule="atLeas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类别</w:t>
            </w:r>
          </w:p>
        </w:tc>
        <w:tc>
          <w:tcPr>
            <w:tcW w:w="897" w:type="dxa"/>
            <w:tcBorders>
              <w:top w:val="single" w:color="auto" w:sz="12" w:space="0"/>
              <w:left w:val="single" w:color="auto" w:sz="4" w:space="0"/>
              <w:bottom w:val="single" w:color="auto" w:sz="8" w:space="0"/>
              <w:right w:val="single" w:color="auto" w:sz="8" w:space="0"/>
            </w:tcBorders>
            <w:noWrap w:val="0"/>
            <w:vAlign w:val="center"/>
          </w:tcPr>
          <w:p w14:paraId="3DF3392B">
            <w:pPr>
              <w:widowControl/>
              <w:spacing w:before="100" w:beforeAutospacing="1" w:after="100" w:afterAutospacing="1" w:line="376" w:lineRule="atLeas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品目</w:t>
            </w:r>
          </w:p>
        </w:tc>
        <w:tc>
          <w:tcPr>
            <w:tcW w:w="1088" w:type="dxa"/>
            <w:tcBorders>
              <w:top w:val="single" w:color="auto" w:sz="12" w:space="0"/>
              <w:left w:val="nil"/>
              <w:bottom w:val="single" w:color="auto" w:sz="8" w:space="0"/>
              <w:right w:val="single" w:color="auto" w:sz="4" w:space="0"/>
            </w:tcBorders>
            <w:noWrap w:val="0"/>
            <w:tcMar>
              <w:top w:w="0" w:type="dxa"/>
              <w:left w:w="57" w:type="dxa"/>
              <w:bottom w:w="0" w:type="dxa"/>
              <w:right w:w="57" w:type="dxa"/>
            </w:tcMar>
            <w:vAlign w:val="center"/>
          </w:tcPr>
          <w:p w14:paraId="2C585A33">
            <w:pPr>
              <w:widowControl/>
              <w:spacing w:before="100" w:beforeAutospacing="1" w:after="100" w:afterAutospacing="1" w:line="376" w:lineRule="atLeas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品牌</w:t>
            </w:r>
          </w:p>
        </w:tc>
        <w:tc>
          <w:tcPr>
            <w:tcW w:w="1409" w:type="dxa"/>
            <w:tcBorders>
              <w:top w:val="single" w:color="auto" w:sz="12" w:space="0"/>
              <w:left w:val="single" w:color="auto" w:sz="4" w:space="0"/>
              <w:bottom w:val="single" w:color="auto" w:sz="8" w:space="0"/>
              <w:right w:val="single" w:color="auto" w:sz="8" w:space="0"/>
            </w:tcBorders>
            <w:noWrap w:val="0"/>
            <w:vAlign w:val="center"/>
          </w:tcPr>
          <w:p w14:paraId="40A334CF">
            <w:pPr>
              <w:widowControl/>
              <w:spacing w:before="100" w:beforeAutospacing="1" w:after="100" w:afterAutospacing="1" w:line="376" w:lineRule="atLeas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规格型号</w:t>
            </w:r>
          </w:p>
        </w:tc>
        <w:tc>
          <w:tcPr>
            <w:tcW w:w="1851" w:type="dxa"/>
            <w:tcBorders>
              <w:top w:val="single" w:color="auto" w:sz="12" w:space="0"/>
              <w:left w:val="nil"/>
              <w:bottom w:val="single" w:color="auto" w:sz="8" w:space="0"/>
              <w:right w:val="single" w:color="auto" w:sz="8" w:space="0"/>
            </w:tcBorders>
            <w:noWrap w:val="0"/>
            <w:tcMar>
              <w:top w:w="0" w:type="dxa"/>
              <w:left w:w="57" w:type="dxa"/>
              <w:bottom w:w="0" w:type="dxa"/>
              <w:right w:w="57" w:type="dxa"/>
            </w:tcMar>
            <w:vAlign w:val="center"/>
          </w:tcPr>
          <w:p w14:paraId="6C6D70BA">
            <w:pPr>
              <w:widowControl/>
              <w:spacing w:before="100" w:beforeAutospacing="1" w:after="100" w:afterAutospacing="1" w:line="376" w:lineRule="atLeast"/>
              <w:jc w:val="center"/>
              <w:rPr>
                <w:rFonts w:hint="eastAsia" w:ascii="宋体" w:hAnsi="宋体" w:cs="宋体"/>
                <w:color w:val="auto"/>
                <w:kern w:val="0"/>
                <w:szCs w:val="21"/>
                <w:highlight w:val="none"/>
              </w:rPr>
            </w:pPr>
            <w:r>
              <w:rPr>
                <w:rFonts w:hint="eastAsia" w:ascii="宋体" w:hAnsi="宋体" w:cs="宋体"/>
                <w:color w:val="auto"/>
                <w:szCs w:val="21"/>
                <w:highlight w:val="none"/>
                <w:shd w:val="clear" w:color="auto" w:fill="FFFFFF"/>
              </w:rPr>
              <w:t>生产者（制造商）</w:t>
            </w:r>
          </w:p>
        </w:tc>
        <w:tc>
          <w:tcPr>
            <w:tcW w:w="1412" w:type="dxa"/>
            <w:tcBorders>
              <w:top w:val="single" w:color="auto" w:sz="12" w:space="0"/>
              <w:left w:val="nil"/>
              <w:bottom w:val="single" w:color="auto" w:sz="8" w:space="0"/>
              <w:right w:val="single" w:color="auto" w:sz="8" w:space="0"/>
            </w:tcBorders>
            <w:noWrap w:val="0"/>
            <w:tcMar>
              <w:top w:w="0" w:type="dxa"/>
              <w:left w:w="57" w:type="dxa"/>
              <w:bottom w:w="0" w:type="dxa"/>
              <w:right w:w="57" w:type="dxa"/>
            </w:tcMar>
            <w:vAlign w:val="center"/>
          </w:tcPr>
          <w:p w14:paraId="50834A2E">
            <w:pPr>
              <w:widowControl/>
              <w:spacing w:before="100" w:beforeAutospacing="1" w:after="100" w:afterAutospacing="1" w:line="376" w:lineRule="atLeas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证书编号及证书到期日期</w:t>
            </w:r>
          </w:p>
        </w:tc>
        <w:tc>
          <w:tcPr>
            <w:tcW w:w="770" w:type="dxa"/>
            <w:tcBorders>
              <w:top w:val="single" w:color="auto" w:sz="12" w:space="0"/>
              <w:left w:val="nil"/>
              <w:bottom w:val="single" w:color="auto" w:sz="8" w:space="0"/>
              <w:right w:val="single" w:color="auto" w:sz="12" w:space="0"/>
            </w:tcBorders>
            <w:noWrap w:val="0"/>
            <w:tcMar>
              <w:top w:w="0" w:type="dxa"/>
              <w:left w:w="57" w:type="dxa"/>
              <w:bottom w:w="0" w:type="dxa"/>
              <w:right w:w="57" w:type="dxa"/>
            </w:tcMar>
            <w:vAlign w:val="center"/>
          </w:tcPr>
          <w:p w14:paraId="56002261">
            <w:pPr>
              <w:widowControl/>
              <w:spacing w:before="100" w:beforeAutospacing="1" w:after="100" w:afterAutospacing="1" w:line="376" w:lineRule="atLeas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备注</w:t>
            </w:r>
          </w:p>
        </w:tc>
      </w:tr>
      <w:tr w14:paraId="25B201C8">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233" w:hRule="atLeast"/>
          <w:jc w:val="center"/>
        </w:trPr>
        <w:tc>
          <w:tcPr>
            <w:tcW w:w="767" w:type="dxa"/>
            <w:tcBorders>
              <w:top w:val="nil"/>
              <w:left w:val="single" w:color="auto" w:sz="12" w:space="0"/>
              <w:bottom w:val="single" w:color="auto" w:sz="8" w:space="0"/>
              <w:right w:val="single" w:color="auto" w:sz="8" w:space="0"/>
            </w:tcBorders>
            <w:noWrap w:val="0"/>
            <w:tcMar>
              <w:top w:w="0" w:type="dxa"/>
              <w:left w:w="57" w:type="dxa"/>
              <w:bottom w:w="0" w:type="dxa"/>
              <w:right w:w="57" w:type="dxa"/>
            </w:tcMar>
            <w:vAlign w:val="center"/>
          </w:tcPr>
          <w:p w14:paraId="6EDFB2DB">
            <w:pPr>
              <w:widowControl/>
              <w:spacing w:before="100" w:beforeAutospacing="1" w:after="100" w:afterAutospacing="1" w:line="376" w:lineRule="atLeas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1</w:t>
            </w:r>
          </w:p>
        </w:tc>
        <w:tc>
          <w:tcPr>
            <w:tcW w:w="1134" w:type="dxa"/>
            <w:tcBorders>
              <w:top w:val="nil"/>
              <w:left w:val="nil"/>
              <w:bottom w:val="single" w:color="auto" w:sz="8" w:space="0"/>
              <w:right w:val="single" w:color="auto" w:sz="4" w:space="0"/>
            </w:tcBorders>
            <w:noWrap w:val="0"/>
            <w:tcMar>
              <w:top w:w="0" w:type="dxa"/>
              <w:left w:w="57" w:type="dxa"/>
              <w:bottom w:w="0" w:type="dxa"/>
              <w:right w:w="57" w:type="dxa"/>
            </w:tcMar>
            <w:vAlign w:val="center"/>
          </w:tcPr>
          <w:p w14:paraId="0C0C434C">
            <w:pPr>
              <w:widowControl/>
              <w:spacing w:before="100" w:beforeAutospacing="1" w:after="100" w:afterAutospacing="1" w:line="376" w:lineRule="atLeast"/>
              <w:jc w:val="center"/>
              <w:rPr>
                <w:rFonts w:hint="eastAsia" w:ascii="宋体" w:hAnsi="宋体" w:cs="宋体"/>
                <w:color w:val="auto"/>
                <w:kern w:val="0"/>
                <w:szCs w:val="21"/>
                <w:highlight w:val="none"/>
              </w:rPr>
            </w:pPr>
          </w:p>
        </w:tc>
        <w:tc>
          <w:tcPr>
            <w:tcW w:w="897" w:type="dxa"/>
            <w:tcBorders>
              <w:top w:val="nil"/>
              <w:left w:val="single" w:color="auto" w:sz="4" w:space="0"/>
              <w:bottom w:val="single" w:color="auto" w:sz="8" w:space="0"/>
              <w:right w:val="single" w:color="auto" w:sz="8" w:space="0"/>
            </w:tcBorders>
            <w:noWrap w:val="0"/>
            <w:vAlign w:val="center"/>
          </w:tcPr>
          <w:p w14:paraId="70C68CFE">
            <w:pPr>
              <w:widowControl/>
              <w:spacing w:before="100" w:beforeAutospacing="1" w:after="100" w:afterAutospacing="1" w:line="376" w:lineRule="atLeast"/>
              <w:jc w:val="center"/>
              <w:rPr>
                <w:rFonts w:hint="eastAsia" w:ascii="宋体" w:hAnsi="宋体" w:cs="宋体"/>
                <w:color w:val="auto"/>
                <w:kern w:val="0"/>
                <w:szCs w:val="21"/>
                <w:highlight w:val="none"/>
              </w:rPr>
            </w:pPr>
          </w:p>
        </w:tc>
        <w:tc>
          <w:tcPr>
            <w:tcW w:w="1088" w:type="dxa"/>
            <w:tcBorders>
              <w:top w:val="nil"/>
              <w:left w:val="nil"/>
              <w:bottom w:val="single" w:color="auto" w:sz="8" w:space="0"/>
              <w:right w:val="single" w:color="auto" w:sz="4" w:space="0"/>
            </w:tcBorders>
            <w:noWrap w:val="0"/>
            <w:tcMar>
              <w:top w:w="0" w:type="dxa"/>
              <w:left w:w="57" w:type="dxa"/>
              <w:bottom w:w="0" w:type="dxa"/>
              <w:right w:w="57" w:type="dxa"/>
            </w:tcMar>
            <w:vAlign w:val="center"/>
          </w:tcPr>
          <w:p w14:paraId="20073FBE">
            <w:pPr>
              <w:widowControl/>
              <w:spacing w:before="100" w:beforeAutospacing="1" w:after="100" w:afterAutospacing="1" w:line="376" w:lineRule="atLeast"/>
              <w:jc w:val="center"/>
              <w:rPr>
                <w:rFonts w:hint="eastAsia" w:ascii="宋体" w:hAnsi="宋体" w:cs="宋体"/>
                <w:color w:val="auto"/>
                <w:kern w:val="0"/>
                <w:szCs w:val="21"/>
                <w:highlight w:val="none"/>
              </w:rPr>
            </w:pPr>
          </w:p>
        </w:tc>
        <w:tc>
          <w:tcPr>
            <w:tcW w:w="1409" w:type="dxa"/>
            <w:tcBorders>
              <w:top w:val="nil"/>
              <w:left w:val="single" w:color="auto" w:sz="4" w:space="0"/>
              <w:bottom w:val="single" w:color="auto" w:sz="8" w:space="0"/>
              <w:right w:val="single" w:color="auto" w:sz="8" w:space="0"/>
            </w:tcBorders>
            <w:noWrap w:val="0"/>
            <w:vAlign w:val="center"/>
          </w:tcPr>
          <w:p w14:paraId="36DAE70B">
            <w:pPr>
              <w:widowControl/>
              <w:spacing w:before="100" w:beforeAutospacing="1" w:after="100" w:afterAutospacing="1" w:line="376" w:lineRule="atLeast"/>
              <w:jc w:val="center"/>
              <w:rPr>
                <w:rFonts w:hint="eastAsia" w:ascii="宋体" w:hAnsi="宋体" w:cs="宋体"/>
                <w:color w:val="auto"/>
                <w:kern w:val="0"/>
                <w:szCs w:val="21"/>
                <w:highlight w:val="none"/>
              </w:rPr>
            </w:pPr>
          </w:p>
        </w:tc>
        <w:tc>
          <w:tcPr>
            <w:tcW w:w="1851"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3C841F84">
            <w:pPr>
              <w:widowControl/>
              <w:spacing w:before="100" w:beforeAutospacing="1" w:after="100" w:afterAutospacing="1" w:line="376" w:lineRule="atLeast"/>
              <w:jc w:val="center"/>
              <w:rPr>
                <w:rFonts w:hint="eastAsia" w:ascii="宋体" w:hAnsi="宋体" w:cs="宋体"/>
                <w:color w:val="auto"/>
                <w:kern w:val="0"/>
                <w:szCs w:val="21"/>
                <w:highlight w:val="none"/>
              </w:rPr>
            </w:pPr>
          </w:p>
        </w:tc>
        <w:tc>
          <w:tcPr>
            <w:tcW w:w="1412"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2EC2E09C">
            <w:pPr>
              <w:widowControl/>
              <w:spacing w:before="100" w:beforeAutospacing="1" w:after="100" w:afterAutospacing="1" w:line="376" w:lineRule="atLeast"/>
              <w:jc w:val="center"/>
              <w:rPr>
                <w:rFonts w:hint="eastAsia" w:ascii="宋体" w:hAnsi="宋体" w:cs="宋体"/>
                <w:color w:val="auto"/>
                <w:kern w:val="0"/>
                <w:szCs w:val="21"/>
                <w:highlight w:val="none"/>
              </w:rPr>
            </w:pPr>
          </w:p>
        </w:tc>
        <w:tc>
          <w:tcPr>
            <w:tcW w:w="770" w:type="dxa"/>
            <w:tcBorders>
              <w:top w:val="nil"/>
              <w:left w:val="nil"/>
              <w:bottom w:val="single" w:color="auto" w:sz="8" w:space="0"/>
              <w:right w:val="single" w:color="auto" w:sz="12" w:space="0"/>
            </w:tcBorders>
            <w:noWrap w:val="0"/>
            <w:tcMar>
              <w:top w:w="0" w:type="dxa"/>
              <w:left w:w="57" w:type="dxa"/>
              <w:bottom w:w="0" w:type="dxa"/>
              <w:right w:w="57" w:type="dxa"/>
            </w:tcMar>
            <w:vAlign w:val="center"/>
          </w:tcPr>
          <w:p w14:paraId="64A68478">
            <w:pPr>
              <w:widowControl/>
              <w:spacing w:before="100" w:beforeAutospacing="1" w:after="100" w:afterAutospacing="1" w:line="376" w:lineRule="atLeast"/>
              <w:jc w:val="center"/>
              <w:rPr>
                <w:rFonts w:hint="eastAsia" w:ascii="宋体" w:hAnsi="宋体" w:cs="宋体"/>
                <w:color w:val="auto"/>
                <w:kern w:val="0"/>
                <w:szCs w:val="21"/>
                <w:highlight w:val="none"/>
              </w:rPr>
            </w:pPr>
          </w:p>
        </w:tc>
      </w:tr>
      <w:tr w14:paraId="2C64CAEE">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281" w:hRule="atLeast"/>
          <w:jc w:val="center"/>
        </w:trPr>
        <w:tc>
          <w:tcPr>
            <w:tcW w:w="767" w:type="dxa"/>
            <w:tcBorders>
              <w:top w:val="nil"/>
              <w:left w:val="single" w:color="auto" w:sz="12" w:space="0"/>
              <w:bottom w:val="single" w:color="auto" w:sz="8" w:space="0"/>
              <w:right w:val="single" w:color="auto" w:sz="8" w:space="0"/>
            </w:tcBorders>
            <w:noWrap w:val="0"/>
            <w:tcMar>
              <w:top w:w="0" w:type="dxa"/>
              <w:left w:w="57" w:type="dxa"/>
              <w:bottom w:w="0" w:type="dxa"/>
              <w:right w:w="57" w:type="dxa"/>
            </w:tcMar>
            <w:vAlign w:val="center"/>
          </w:tcPr>
          <w:p w14:paraId="604C884B">
            <w:pPr>
              <w:widowControl/>
              <w:spacing w:before="100" w:beforeAutospacing="1" w:after="100" w:afterAutospacing="1" w:line="376" w:lineRule="atLeas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2</w:t>
            </w:r>
          </w:p>
        </w:tc>
        <w:tc>
          <w:tcPr>
            <w:tcW w:w="1134" w:type="dxa"/>
            <w:tcBorders>
              <w:top w:val="nil"/>
              <w:left w:val="nil"/>
              <w:bottom w:val="single" w:color="auto" w:sz="8" w:space="0"/>
              <w:right w:val="single" w:color="auto" w:sz="4" w:space="0"/>
            </w:tcBorders>
            <w:noWrap w:val="0"/>
            <w:tcMar>
              <w:top w:w="0" w:type="dxa"/>
              <w:left w:w="57" w:type="dxa"/>
              <w:bottom w:w="0" w:type="dxa"/>
              <w:right w:w="57" w:type="dxa"/>
            </w:tcMar>
            <w:vAlign w:val="center"/>
          </w:tcPr>
          <w:p w14:paraId="5F6F8951">
            <w:pPr>
              <w:widowControl/>
              <w:spacing w:before="100" w:beforeAutospacing="1" w:after="100" w:afterAutospacing="1" w:line="376" w:lineRule="atLeast"/>
              <w:jc w:val="center"/>
              <w:rPr>
                <w:rFonts w:hint="eastAsia" w:ascii="宋体" w:hAnsi="宋体" w:cs="宋体"/>
                <w:color w:val="auto"/>
                <w:kern w:val="0"/>
                <w:szCs w:val="21"/>
                <w:highlight w:val="none"/>
              </w:rPr>
            </w:pPr>
          </w:p>
        </w:tc>
        <w:tc>
          <w:tcPr>
            <w:tcW w:w="897" w:type="dxa"/>
            <w:tcBorders>
              <w:top w:val="nil"/>
              <w:left w:val="single" w:color="auto" w:sz="4" w:space="0"/>
              <w:bottom w:val="single" w:color="auto" w:sz="8" w:space="0"/>
              <w:right w:val="single" w:color="auto" w:sz="8" w:space="0"/>
            </w:tcBorders>
            <w:noWrap w:val="0"/>
            <w:vAlign w:val="center"/>
          </w:tcPr>
          <w:p w14:paraId="5EFFB039">
            <w:pPr>
              <w:widowControl/>
              <w:spacing w:before="100" w:beforeAutospacing="1" w:after="100" w:afterAutospacing="1" w:line="376" w:lineRule="atLeast"/>
              <w:jc w:val="center"/>
              <w:rPr>
                <w:rFonts w:hint="eastAsia" w:ascii="宋体" w:hAnsi="宋体" w:cs="宋体"/>
                <w:color w:val="auto"/>
                <w:kern w:val="0"/>
                <w:szCs w:val="21"/>
                <w:highlight w:val="none"/>
              </w:rPr>
            </w:pPr>
          </w:p>
        </w:tc>
        <w:tc>
          <w:tcPr>
            <w:tcW w:w="1088" w:type="dxa"/>
            <w:tcBorders>
              <w:top w:val="nil"/>
              <w:left w:val="nil"/>
              <w:bottom w:val="single" w:color="auto" w:sz="8" w:space="0"/>
              <w:right w:val="single" w:color="auto" w:sz="4" w:space="0"/>
            </w:tcBorders>
            <w:noWrap w:val="0"/>
            <w:tcMar>
              <w:top w:w="0" w:type="dxa"/>
              <w:left w:w="57" w:type="dxa"/>
              <w:bottom w:w="0" w:type="dxa"/>
              <w:right w:w="57" w:type="dxa"/>
            </w:tcMar>
            <w:vAlign w:val="center"/>
          </w:tcPr>
          <w:p w14:paraId="456A82BC">
            <w:pPr>
              <w:widowControl/>
              <w:spacing w:before="100" w:beforeAutospacing="1" w:after="100" w:afterAutospacing="1" w:line="376" w:lineRule="atLeast"/>
              <w:jc w:val="center"/>
              <w:rPr>
                <w:rFonts w:hint="eastAsia" w:ascii="宋体" w:hAnsi="宋体" w:cs="宋体"/>
                <w:color w:val="auto"/>
                <w:kern w:val="0"/>
                <w:szCs w:val="21"/>
                <w:highlight w:val="none"/>
              </w:rPr>
            </w:pPr>
          </w:p>
        </w:tc>
        <w:tc>
          <w:tcPr>
            <w:tcW w:w="1409" w:type="dxa"/>
            <w:tcBorders>
              <w:top w:val="nil"/>
              <w:left w:val="single" w:color="auto" w:sz="4" w:space="0"/>
              <w:bottom w:val="single" w:color="auto" w:sz="8" w:space="0"/>
              <w:right w:val="single" w:color="auto" w:sz="8" w:space="0"/>
            </w:tcBorders>
            <w:noWrap w:val="0"/>
            <w:vAlign w:val="center"/>
          </w:tcPr>
          <w:p w14:paraId="576F4EC1">
            <w:pPr>
              <w:widowControl/>
              <w:spacing w:before="100" w:beforeAutospacing="1" w:after="100" w:afterAutospacing="1" w:line="376" w:lineRule="atLeast"/>
              <w:jc w:val="center"/>
              <w:rPr>
                <w:rFonts w:hint="eastAsia" w:ascii="宋体" w:hAnsi="宋体" w:cs="宋体"/>
                <w:color w:val="auto"/>
                <w:kern w:val="0"/>
                <w:szCs w:val="21"/>
                <w:highlight w:val="none"/>
              </w:rPr>
            </w:pPr>
          </w:p>
        </w:tc>
        <w:tc>
          <w:tcPr>
            <w:tcW w:w="1851"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12904741">
            <w:pPr>
              <w:widowControl/>
              <w:spacing w:before="100" w:beforeAutospacing="1" w:after="100" w:afterAutospacing="1" w:line="376" w:lineRule="atLeast"/>
              <w:jc w:val="center"/>
              <w:rPr>
                <w:rFonts w:hint="eastAsia" w:ascii="宋体" w:hAnsi="宋体" w:cs="宋体"/>
                <w:color w:val="auto"/>
                <w:kern w:val="0"/>
                <w:szCs w:val="21"/>
                <w:highlight w:val="none"/>
              </w:rPr>
            </w:pPr>
          </w:p>
        </w:tc>
        <w:tc>
          <w:tcPr>
            <w:tcW w:w="1412"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048A27F0">
            <w:pPr>
              <w:widowControl/>
              <w:spacing w:before="100" w:beforeAutospacing="1" w:after="100" w:afterAutospacing="1" w:line="376" w:lineRule="atLeast"/>
              <w:jc w:val="center"/>
              <w:rPr>
                <w:rFonts w:hint="eastAsia" w:ascii="宋体" w:hAnsi="宋体" w:cs="宋体"/>
                <w:color w:val="auto"/>
                <w:kern w:val="0"/>
                <w:szCs w:val="21"/>
                <w:highlight w:val="none"/>
              </w:rPr>
            </w:pPr>
          </w:p>
        </w:tc>
        <w:tc>
          <w:tcPr>
            <w:tcW w:w="770" w:type="dxa"/>
            <w:tcBorders>
              <w:top w:val="nil"/>
              <w:left w:val="nil"/>
              <w:bottom w:val="single" w:color="auto" w:sz="8" w:space="0"/>
              <w:right w:val="single" w:color="auto" w:sz="12" w:space="0"/>
            </w:tcBorders>
            <w:noWrap w:val="0"/>
            <w:tcMar>
              <w:top w:w="0" w:type="dxa"/>
              <w:left w:w="57" w:type="dxa"/>
              <w:bottom w:w="0" w:type="dxa"/>
              <w:right w:w="57" w:type="dxa"/>
            </w:tcMar>
            <w:vAlign w:val="center"/>
          </w:tcPr>
          <w:p w14:paraId="54376EB0">
            <w:pPr>
              <w:widowControl/>
              <w:spacing w:before="100" w:beforeAutospacing="1" w:after="100" w:afterAutospacing="1" w:line="376" w:lineRule="atLeast"/>
              <w:jc w:val="center"/>
              <w:rPr>
                <w:rFonts w:hint="eastAsia" w:ascii="宋体" w:hAnsi="宋体" w:cs="宋体"/>
                <w:color w:val="auto"/>
                <w:kern w:val="0"/>
                <w:szCs w:val="21"/>
                <w:highlight w:val="none"/>
              </w:rPr>
            </w:pPr>
          </w:p>
        </w:tc>
      </w:tr>
      <w:tr w14:paraId="2127E96E">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00" w:hRule="atLeast"/>
          <w:jc w:val="center"/>
        </w:trPr>
        <w:tc>
          <w:tcPr>
            <w:tcW w:w="767" w:type="dxa"/>
            <w:tcBorders>
              <w:top w:val="nil"/>
              <w:left w:val="single" w:color="auto" w:sz="12" w:space="0"/>
              <w:bottom w:val="single" w:color="auto" w:sz="8" w:space="0"/>
              <w:right w:val="single" w:color="auto" w:sz="8" w:space="0"/>
            </w:tcBorders>
            <w:noWrap w:val="0"/>
            <w:tcMar>
              <w:top w:w="0" w:type="dxa"/>
              <w:left w:w="57" w:type="dxa"/>
              <w:bottom w:w="0" w:type="dxa"/>
              <w:right w:w="57" w:type="dxa"/>
            </w:tcMar>
            <w:vAlign w:val="center"/>
          </w:tcPr>
          <w:p w14:paraId="2A7F05A6">
            <w:pPr>
              <w:widowControl/>
              <w:spacing w:before="100" w:beforeAutospacing="1" w:after="100" w:afterAutospacing="1" w:line="376" w:lineRule="atLeas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w:t>
            </w:r>
          </w:p>
        </w:tc>
        <w:tc>
          <w:tcPr>
            <w:tcW w:w="1134" w:type="dxa"/>
            <w:tcBorders>
              <w:top w:val="nil"/>
              <w:left w:val="nil"/>
              <w:bottom w:val="single" w:color="auto" w:sz="8" w:space="0"/>
              <w:right w:val="single" w:color="auto" w:sz="4" w:space="0"/>
            </w:tcBorders>
            <w:noWrap w:val="0"/>
            <w:tcMar>
              <w:top w:w="0" w:type="dxa"/>
              <w:left w:w="57" w:type="dxa"/>
              <w:bottom w:w="0" w:type="dxa"/>
              <w:right w:w="57" w:type="dxa"/>
            </w:tcMar>
            <w:vAlign w:val="center"/>
          </w:tcPr>
          <w:p w14:paraId="07AD8A9A">
            <w:pPr>
              <w:widowControl/>
              <w:spacing w:before="100" w:beforeAutospacing="1" w:after="100" w:afterAutospacing="1" w:line="376" w:lineRule="atLeast"/>
              <w:jc w:val="center"/>
              <w:rPr>
                <w:rFonts w:hint="eastAsia" w:ascii="宋体" w:hAnsi="宋体" w:cs="宋体"/>
                <w:color w:val="auto"/>
                <w:kern w:val="0"/>
                <w:szCs w:val="21"/>
                <w:highlight w:val="none"/>
              </w:rPr>
            </w:pPr>
          </w:p>
        </w:tc>
        <w:tc>
          <w:tcPr>
            <w:tcW w:w="897" w:type="dxa"/>
            <w:tcBorders>
              <w:top w:val="nil"/>
              <w:left w:val="single" w:color="auto" w:sz="4" w:space="0"/>
              <w:bottom w:val="single" w:color="auto" w:sz="8" w:space="0"/>
              <w:right w:val="single" w:color="auto" w:sz="8" w:space="0"/>
            </w:tcBorders>
            <w:noWrap w:val="0"/>
            <w:vAlign w:val="center"/>
          </w:tcPr>
          <w:p w14:paraId="16AFE6EA">
            <w:pPr>
              <w:widowControl/>
              <w:spacing w:before="100" w:beforeAutospacing="1" w:after="100" w:afterAutospacing="1" w:line="376" w:lineRule="atLeast"/>
              <w:jc w:val="center"/>
              <w:rPr>
                <w:rFonts w:hint="eastAsia" w:ascii="宋体" w:hAnsi="宋体" w:cs="宋体"/>
                <w:color w:val="auto"/>
                <w:kern w:val="0"/>
                <w:szCs w:val="21"/>
                <w:highlight w:val="none"/>
              </w:rPr>
            </w:pPr>
          </w:p>
        </w:tc>
        <w:tc>
          <w:tcPr>
            <w:tcW w:w="1088" w:type="dxa"/>
            <w:tcBorders>
              <w:top w:val="nil"/>
              <w:left w:val="nil"/>
              <w:bottom w:val="single" w:color="auto" w:sz="8" w:space="0"/>
              <w:right w:val="single" w:color="auto" w:sz="4" w:space="0"/>
            </w:tcBorders>
            <w:noWrap w:val="0"/>
            <w:tcMar>
              <w:top w:w="0" w:type="dxa"/>
              <w:left w:w="57" w:type="dxa"/>
              <w:bottom w:w="0" w:type="dxa"/>
              <w:right w:w="57" w:type="dxa"/>
            </w:tcMar>
            <w:vAlign w:val="center"/>
          </w:tcPr>
          <w:p w14:paraId="75236C3B">
            <w:pPr>
              <w:widowControl/>
              <w:spacing w:before="100" w:beforeAutospacing="1" w:after="100" w:afterAutospacing="1" w:line="376" w:lineRule="atLeast"/>
              <w:jc w:val="center"/>
              <w:rPr>
                <w:rFonts w:hint="eastAsia" w:ascii="宋体" w:hAnsi="宋体" w:cs="宋体"/>
                <w:color w:val="auto"/>
                <w:kern w:val="0"/>
                <w:szCs w:val="21"/>
                <w:highlight w:val="none"/>
              </w:rPr>
            </w:pPr>
          </w:p>
        </w:tc>
        <w:tc>
          <w:tcPr>
            <w:tcW w:w="1409" w:type="dxa"/>
            <w:tcBorders>
              <w:top w:val="nil"/>
              <w:left w:val="single" w:color="auto" w:sz="4" w:space="0"/>
              <w:bottom w:val="single" w:color="auto" w:sz="8" w:space="0"/>
              <w:right w:val="single" w:color="auto" w:sz="8" w:space="0"/>
            </w:tcBorders>
            <w:noWrap w:val="0"/>
            <w:vAlign w:val="center"/>
          </w:tcPr>
          <w:p w14:paraId="6DDCC3C0">
            <w:pPr>
              <w:widowControl/>
              <w:spacing w:before="100" w:beforeAutospacing="1" w:after="100" w:afterAutospacing="1" w:line="376" w:lineRule="atLeast"/>
              <w:jc w:val="center"/>
              <w:rPr>
                <w:rFonts w:hint="eastAsia" w:ascii="宋体" w:hAnsi="宋体" w:cs="宋体"/>
                <w:color w:val="auto"/>
                <w:kern w:val="0"/>
                <w:szCs w:val="21"/>
                <w:highlight w:val="none"/>
              </w:rPr>
            </w:pPr>
          </w:p>
        </w:tc>
        <w:tc>
          <w:tcPr>
            <w:tcW w:w="1851"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6E31A580">
            <w:pPr>
              <w:widowControl/>
              <w:spacing w:before="100" w:beforeAutospacing="1" w:after="100" w:afterAutospacing="1" w:line="376" w:lineRule="atLeast"/>
              <w:jc w:val="center"/>
              <w:rPr>
                <w:rFonts w:hint="eastAsia" w:ascii="宋体" w:hAnsi="宋体" w:cs="宋体"/>
                <w:color w:val="auto"/>
                <w:kern w:val="0"/>
                <w:szCs w:val="21"/>
                <w:highlight w:val="none"/>
              </w:rPr>
            </w:pPr>
          </w:p>
        </w:tc>
        <w:tc>
          <w:tcPr>
            <w:tcW w:w="1412"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48D533F2">
            <w:pPr>
              <w:widowControl/>
              <w:spacing w:before="100" w:beforeAutospacing="1" w:after="100" w:afterAutospacing="1" w:line="376" w:lineRule="atLeast"/>
              <w:jc w:val="center"/>
              <w:rPr>
                <w:rFonts w:hint="eastAsia" w:ascii="宋体" w:hAnsi="宋体" w:cs="宋体"/>
                <w:color w:val="auto"/>
                <w:kern w:val="0"/>
                <w:szCs w:val="21"/>
                <w:highlight w:val="none"/>
              </w:rPr>
            </w:pPr>
          </w:p>
        </w:tc>
        <w:tc>
          <w:tcPr>
            <w:tcW w:w="770" w:type="dxa"/>
            <w:tcBorders>
              <w:top w:val="nil"/>
              <w:left w:val="nil"/>
              <w:bottom w:val="single" w:color="auto" w:sz="8" w:space="0"/>
              <w:right w:val="single" w:color="auto" w:sz="12" w:space="0"/>
            </w:tcBorders>
            <w:noWrap w:val="0"/>
            <w:tcMar>
              <w:top w:w="0" w:type="dxa"/>
              <w:left w:w="57" w:type="dxa"/>
              <w:bottom w:w="0" w:type="dxa"/>
              <w:right w:w="57" w:type="dxa"/>
            </w:tcMar>
            <w:vAlign w:val="center"/>
          </w:tcPr>
          <w:p w14:paraId="0FAA0C5B">
            <w:pPr>
              <w:widowControl/>
              <w:spacing w:before="100" w:beforeAutospacing="1" w:after="100" w:afterAutospacing="1" w:line="376" w:lineRule="atLeast"/>
              <w:jc w:val="center"/>
              <w:rPr>
                <w:rFonts w:hint="eastAsia" w:ascii="宋体" w:hAnsi="宋体" w:cs="宋体"/>
                <w:color w:val="auto"/>
                <w:kern w:val="0"/>
                <w:szCs w:val="21"/>
                <w:highlight w:val="none"/>
              </w:rPr>
            </w:pPr>
          </w:p>
        </w:tc>
      </w:tr>
    </w:tbl>
    <w:p w14:paraId="6A333CC1">
      <w:pPr>
        <w:snapToGrid w:val="0"/>
        <w:spacing w:before="50" w:after="120" w:afterLines="50"/>
        <w:jc w:val="left"/>
        <w:rPr>
          <w:rFonts w:hint="eastAsia" w:ascii="宋体" w:hAnsi="宋体" w:cs="宋体"/>
          <w:color w:val="auto"/>
          <w:szCs w:val="21"/>
          <w:highlight w:val="none"/>
        </w:rPr>
      </w:pPr>
      <w:r>
        <w:rPr>
          <w:rFonts w:hint="eastAsia" w:ascii="宋体" w:hAnsi="宋体" w:cs="宋体"/>
          <w:color w:val="auto"/>
          <w:szCs w:val="21"/>
          <w:highlight w:val="none"/>
        </w:rPr>
        <w:t>注：类别填写节能或环境标志，品目填写编号及产品名称如A02010104台式计算机。</w:t>
      </w:r>
    </w:p>
    <w:bookmarkEnd w:id="130"/>
    <w:p w14:paraId="599537D0">
      <w:pPr>
        <w:snapToGrid w:val="0"/>
        <w:spacing w:before="50" w:after="120" w:afterLines="50"/>
        <w:jc w:val="left"/>
        <w:rPr>
          <w:rFonts w:hint="eastAsia" w:ascii="宋体" w:hAnsi="宋体" w:cs="宋体"/>
          <w:color w:val="auto"/>
          <w:szCs w:val="21"/>
          <w:highlight w:val="none"/>
        </w:rPr>
      </w:pPr>
    </w:p>
    <w:p w14:paraId="3ED7D7DD">
      <w:pPr>
        <w:snapToGrid w:val="0"/>
        <w:spacing w:before="50" w:after="120" w:afterLines="50"/>
        <w:jc w:val="left"/>
        <w:rPr>
          <w:rFonts w:hint="eastAsia" w:ascii="宋体" w:hAnsi="宋体" w:cs="宋体"/>
          <w:color w:val="auto"/>
          <w:szCs w:val="21"/>
          <w:highlight w:val="none"/>
        </w:rPr>
      </w:pPr>
    </w:p>
    <w:p w14:paraId="58596E22">
      <w:pPr>
        <w:snapToGrid w:val="0"/>
        <w:spacing w:before="50" w:after="120" w:afterLines="50"/>
        <w:jc w:val="left"/>
        <w:rPr>
          <w:rFonts w:hint="eastAsia" w:ascii="宋体" w:hAnsi="宋体" w:cs="宋体"/>
          <w:color w:val="auto"/>
          <w:szCs w:val="21"/>
          <w:highlight w:val="none"/>
        </w:rPr>
      </w:pPr>
    </w:p>
    <w:p w14:paraId="07EE9D9E">
      <w:pPr>
        <w:snapToGrid w:val="0"/>
        <w:spacing w:before="50" w:after="120" w:afterLines="50" w:line="440" w:lineRule="exact"/>
        <w:jc w:val="left"/>
        <w:rPr>
          <w:rFonts w:hint="eastAsia" w:ascii="宋体" w:hAnsi="宋体" w:cs="宋体"/>
          <w:b/>
          <w:color w:val="auto"/>
          <w:highlight w:val="none"/>
        </w:rPr>
      </w:pPr>
      <w:r>
        <w:rPr>
          <w:rFonts w:hint="eastAsia" w:ascii="宋体" w:hAnsi="宋体" w:cs="宋体"/>
          <w:color w:val="auto"/>
          <w:highlight w:val="none"/>
          <w:lang w:val="en-US" w:eastAsia="zh-CN"/>
        </w:rPr>
        <w:t>9</w:t>
      </w:r>
      <w:r>
        <w:rPr>
          <w:rFonts w:hint="eastAsia" w:ascii="宋体" w:hAnsi="宋体" w:cs="宋体"/>
          <w:color w:val="auto"/>
          <w:highlight w:val="none"/>
        </w:rPr>
        <w:t>．</w:t>
      </w:r>
      <w:r>
        <w:rPr>
          <w:rFonts w:hint="eastAsia" w:ascii="宋体" w:hAnsi="宋体" w:cs="宋体"/>
          <w:color w:val="auto"/>
          <w:szCs w:val="21"/>
          <w:highlight w:val="none"/>
        </w:rPr>
        <w:t>磋商保证金缴纳证明。</w:t>
      </w:r>
      <w:r>
        <w:rPr>
          <w:rFonts w:hint="eastAsia" w:ascii="宋体" w:hAnsi="宋体" w:cs="宋体"/>
          <w:b/>
          <w:color w:val="auto"/>
          <w:highlight w:val="none"/>
        </w:rPr>
        <w:t>（如采购文件有要求时提供）</w:t>
      </w:r>
    </w:p>
    <w:p w14:paraId="158662CD">
      <w:pPr>
        <w:snapToGrid w:val="0"/>
        <w:spacing w:before="50" w:after="120" w:afterLines="50" w:line="440" w:lineRule="exact"/>
        <w:jc w:val="left"/>
        <w:rPr>
          <w:rFonts w:hint="eastAsia" w:ascii="宋体" w:hAnsi="宋体" w:cs="宋体"/>
          <w:color w:val="auto"/>
          <w:highlight w:val="none"/>
        </w:rPr>
      </w:pPr>
      <w:r>
        <w:rPr>
          <w:rFonts w:hint="eastAsia" w:ascii="宋体" w:hAnsi="宋体" w:cs="宋体"/>
          <w:color w:val="auto"/>
          <w:highlight w:val="none"/>
        </w:rPr>
        <w:t>以转账、电汇形式缴纳的，提供转账、电汇凭证</w:t>
      </w:r>
      <w:r>
        <w:rPr>
          <w:rFonts w:hint="eastAsia" w:ascii="宋体" w:hAnsi="宋体" w:cs="宋体"/>
          <w:color w:val="auto"/>
          <w:szCs w:val="21"/>
          <w:highlight w:val="none"/>
        </w:rPr>
        <w:t>扫描件</w:t>
      </w:r>
      <w:r>
        <w:rPr>
          <w:rFonts w:hint="eastAsia" w:ascii="宋体" w:hAnsi="宋体" w:cs="宋体"/>
          <w:color w:val="auto"/>
          <w:highlight w:val="none"/>
        </w:rPr>
        <w:t>（网银可提供截图）加盖供应商电子签章；</w:t>
      </w:r>
    </w:p>
    <w:p w14:paraId="2ED88595">
      <w:pPr>
        <w:snapToGrid w:val="0"/>
        <w:spacing w:before="50" w:after="120" w:afterLines="50" w:line="440" w:lineRule="exact"/>
        <w:jc w:val="left"/>
        <w:rPr>
          <w:rFonts w:hint="eastAsia" w:ascii="宋体" w:hAnsi="宋体" w:cs="宋体"/>
          <w:color w:val="auto"/>
          <w:highlight w:val="none"/>
        </w:rPr>
      </w:pPr>
      <w:r>
        <w:rPr>
          <w:rFonts w:hint="eastAsia" w:ascii="宋体" w:hAnsi="宋体" w:cs="宋体"/>
          <w:color w:val="auto"/>
          <w:highlight w:val="none"/>
        </w:rPr>
        <w:t>以其他非现金形式缴纳的，提供原件</w:t>
      </w:r>
      <w:r>
        <w:rPr>
          <w:rFonts w:hint="eastAsia" w:ascii="宋体" w:hAnsi="宋体" w:cs="宋体"/>
          <w:color w:val="auto"/>
          <w:szCs w:val="21"/>
          <w:highlight w:val="none"/>
        </w:rPr>
        <w:t>扫描件</w:t>
      </w:r>
      <w:r>
        <w:rPr>
          <w:rFonts w:hint="eastAsia" w:ascii="宋体" w:hAnsi="宋体" w:cs="宋体"/>
          <w:color w:val="auto"/>
          <w:highlight w:val="none"/>
        </w:rPr>
        <w:t>加盖供应商电子签章。</w:t>
      </w:r>
    </w:p>
    <w:p w14:paraId="5DDF541D">
      <w:pPr>
        <w:snapToGrid w:val="0"/>
        <w:spacing w:before="50" w:after="120" w:afterLines="50"/>
        <w:jc w:val="left"/>
        <w:rPr>
          <w:rFonts w:hint="eastAsia" w:ascii="宋体" w:hAnsi="宋体" w:cs="宋体"/>
          <w:color w:val="auto"/>
          <w:szCs w:val="21"/>
          <w:highlight w:val="none"/>
        </w:rPr>
      </w:pPr>
    </w:p>
    <w:p w14:paraId="05A7FBB0">
      <w:pPr>
        <w:snapToGrid w:val="0"/>
        <w:spacing w:before="50" w:after="120" w:afterLines="50" w:line="400" w:lineRule="exact"/>
        <w:jc w:val="left"/>
        <w:rPr>
          <w:rFonts w:hint="eastAsia" w:ascii="宋体" w:hAnsi="宋体" w:cs="宋体"/>
          <w:bCs/>
          <w:color w:val="auto"/>
          <w:sz w:val="24"/>
          <w:highlight w:val="none"/>
        </w:rPr>
      </w:pPr>
      <w:r>
        <w:rPr>
          <w:rFonts w:hint="eastAsia" w:ascii="宋体" w:hAnsi="宋体" w:cs="宋体"/>
          <w:color w:val="auto"/>
          <w:szCs w:val="21"/>
          <w:highlight w:val="none"/>
          <w:lang w:val="en-US" w:eastAsia="zh-CN"/>
        </w:rPr>
        <w:t>10</w:t>
      </w:r>
      <w:r>
        <w:rPr>
          <w:rFonts w:hint="eastAsia" w:ascii="宋体" w:hAnsi="宋体" w:cs="宋体"/>
          <w:color w:val="auto"/>
          <w:szCs w:val="21"/>
          <w:highlight w:val="none"/>
        </w:rPr>
        <w:t>．供应商认为应当要提交的其他资格证明材料。</w:t>
      </w:r>
      <w:r>
        <w:rPr>
          <w:rFonts w:hint="eastAsia" w:ascii="宋体" w:hAnsi="宋体" w:cs="宋体"/>
          <w:bCs/>
          <w:color w:val="auto"/>
          <w:sz w:val="24"/>
          <w:highlight w:val="none"/>
        </w:rPr>
        <w:t xml:space="preserve"> </w:t>
      </w:r>
    </w:p>
    <w:p w14:paraId="18CE2FD4">
      <w:pPr>
        <w:snapToGrid w:val="0"/>
        <w:spacing w:before="120" w:beforeLines="50" w:after="50" w:line="440" w:lineRule="exact"/>
        <w:jc w:val="center"/>
        <w:outlineLvl w:val="1"/>
        <w:rPr>
          <w:rFonts w:hint="eastAsia" w:ascii="宋体" w:hAnsi="宋体" w:cs="宋体"/>
          <w:bCs/>
          <w:color w:val="auto"/>
          <w:sz w:val="24"/>
          <w:highlight w:val="none"/>
        </w:rPr>
      </w:pPr>
      <w:r>
        <w:rPr>
          <w:rFonts w:hint="eastAsia" w:ascii="宋体" w:hAnsi="宋体" w:cs="宋体"/>
          <w:color w:val="auto"/>
          <w:szCs w:val="21"/>
          <w:highlight w:val="none"/>
        </w:rPr>
        <w:br w:type="page"/>
      </w:r>
      <w:r>
        <w:rPr>
          <w:rFonts w:hint="eastAsia" w:ascii="宋体" w:hAnsi="宋体" w:cs="宋体"/>
          <w:bCs/>
          <w:color w:val="auto"/>
          <w:sz w:val="24"/>
          <w:highlight w:val="none"/>
        </w:rPr>
        <w:t>第二部分 商务技术文件</w:t>
      </w:r>
    </w:p>
    <w:p w14:paraId="7E86B661">
      <w:pPr>
        <w:snapToGrid w:val="0"/>
        <w:spacing w:before="50" w:after="120" w:afterLines="50"/>
        <w:jc w:val="left"/>
        <w:rPr>
          <w:rFonts w:hint="eastAsia" w:ascii="宋体" w:hAnsi="宋体" w:cs="宋体"/>
          <w:color w:val="auto"/>
          <w:szCs w:val="21"/>
          <w:highlight w:val="none"/>
        </w:rPr>
      </w:pPr>
      <w:r>
        <w:rPr>
          <w:rFonts w:hint="eastAsia" w:ascii="宋体" w:hAnsi="宋体" w:cs="宋体"/>
          <w:color w:val="auto"/>
          <w:szCs w:val="21"/>
          <w:highlight w:val="none"/>
        </w:rPr>
        <w:t>1.供应商可根据采购文件、图纸及对现场的勘察情况，编制施工组织设计，可参考以下提纲，也可自行编制</w:t>
      </w:r>
    </w:p>
    <w:p w14:paraId="5F3733BB">
      <w:pPr>
        <w:snapToGrid w:val="0"/>
        <w:spacing w:before="50" w:after="120" w:afterLines="50"/>
        <w:jc w:val="left"/>
        <w:rPr>
          <w:rFonts w:hint="eastAsia" w:ascii="宋体" w:hAnsi="宋体" w:cs="宋体"/>
          <w:color w:val="auto"/>
          <w:szCs w:val="21"/>
          <w:highlight w:val="none"/>
        </w:rPr>
      </w:pPr>
      <w:r>
        <w:rPr>
          <w:rFonts w:hint="eastAsia" w:ascii="宋体" w:hAnsi="宋体" w:cs="宋体"/>
          <w:color w:val="auto"/>
          <w:szCs w:val="21"/>
          <w:highlight w:val="none"/>
        </w:rPr>
        <w:t>施工组织设计编制大纲：</w:t>
      </w:r>
    </w:p>
    <w:p w14:paraId="046CA6AE">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（1）概述</w:t>
      </w:r>
    </w:p>
    <w:p w14:paraId="57968CF2">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（2）主要施工方法；</w:t>
      </w:r>
    </w:p>
    <w:p w14:paraId="21BD5497">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（3）拟投入的主要物资计划</w:t>
      </w:r>
    </w:p>
    <w:p w14:paraId="4CF36FCA">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（4）</w:t>
      </w:r>
      <w:r>
        <w:rPr>
          <w:rFonts w:hint="eastAsia" w:ascii="宋体" w:hAnsi="宋体" w:cs="宋体"/>
          <w:color w:val="auto"/>
          <w:kern w:val="0"/>
          <w:highlight w:val="none"/>
        </w:rPr>
        <w:t>拟投入的主要施工机械、设备计划</w:t>
      </w:r>
    </w:p>
    <w:p w14:paraId="67C2B903">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（5）劳动力安排计划；</w:t>
      </w:r>
    </w:p>
    <w:p w14:paraId="68B6A150">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（6）确保工程质量的技术组织措施；</w:t>
      </w:r>
    </w:p>
    <w:p w14:paraId="2846084C">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（7）确保安全生产的技术组织措施；</w:t>
      </w:r>
    </w:p>
    <w:p w14:paraId="30E338E5">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（8）确保工期的技术组织措施；</w:t>
      </w:r>
    </w:p>
    <w:p w14:paraId="1EFC32AF">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（9）确保文明施工的技术组织措施；</w:t>
      </w:r>
    </w:p>
    <w:p w14:paraId="4A2849F8">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（10）工程施工的重点和难点及保证措施；</w:t>
      </w:r>
    </w:p>
    <w:p w14:paraId="37844164">
      <w:pPr>
        <w:snapToGrid w:val="0"/>
        <w:spacing w:before="50" w:after="120" w:afterLines="50"/>
        <w:ind w:firstLine="420" w:firstLineChars="200"/>
        <w:jc w:val="left"/>
        <w:rPr>
          <w:rFonts w:hint="eastAsia" w:ascii="宋体" w:hAnsi="宋体" w:cs="宋体"/>
          <w:color w:val="auto"/>
          <w:szCs w:val="21"/>
          <w:highlight w:val="none"/>
        </w:rPr>
      </w:pPr>
      <w:r>
        <w:rPr>
          <w:rFonts w:hint="eastAsia" w:ascii="宋体" w:hAnsi="宋体" w:cs="宋体"/>
          <w:color w:val="auto"/>
          <w:highlight w:val="none"/>
        </w:rPr>
        <w:t>（11）其他（如有）</w:t>
      </w:r>
    </w:p>
    <w:p w14:paraId="6C6F961E">
      <w:pPr>
        <w:snapToGrid w:val="0"/>
        <w:spacing w:before="50" w:after="120" w:afterLines="50"/>
        <w:jc w:val="left"/>
        <w:rPr>
          <w:rFonts w:hint="eastAsia" w:ascii="宋体" w:hAnsi="宋体" w:cs="宋体"/>
          <w:color w:val="auto"/>
          <w:szCs w:val="21"/>
          <w:highlight w:val="none"/>
        </w:rPr>
      </w:pPr>
      <w:r>
        <w:rPr>
          <w:rFonts w:hint="eastAsia" w:ascii="宋体" w:hAnsi="宋体" w:cs="宋体"/>
          <w:color w:val="auto"/>
          <w:szCs w:val="21"/>
          <w:highlight w:val="none"/>
        </w:rPr>
        <w:t>1.1供应商编制施工组织设计的要求：编制时应采用文字并结合图表形式说明施工方法；拟投入本工程的主要施工设备情况、拟配备本工程的试验和检测仪器设备情况、劳动力计划等；结合工程特点提出切实可行的工程质量、安全生产、文明施工、工程进度、技术组织措施，同时应对关键工序、复杂环节重点提出相应技术措施，如冬雨季施工技术、减少噪音、降低环境污染、地下管线及其他地上地下设施的保护加固措施等。</w:t>
      </w:r>
    </w:p>
    <w:p w14:paraId="7A2D3F12">
      <w:pPr>
        <w:snapToGrid w:val="0"/>
        <w:spacing w:before="50" w:after="120" w:afterLines="50"/>
        <w:jc w:val="left"/>
        <w:rPr>
          <w:rFonts w:hint="eastAsia" w:ascii="宋体" w:hAnsi="宋体" w:cs="宋体"/>
          <w:color w:val="auto"/>
          <w:szCs w:val="21"/>
          <w:highlight w:val="none"/>
        </w:rPr>
      </w:pPr>
    </w:p>
    <w:p w14:paraId="5E8DB21F">
      <w:pPr>
        <w:snapToGrid w:val="0"/>
        <w:spacing w:before="50" w:after="120" w:afterLines="50"/>
        <w:jc w:val="left"/>
        <w:rPr>
          <w:rFonts w:hint="eastAsia" w:ascii="宋体" w:hAnsi="宋体" w:cs="宋体"/>
          <w:color w:val="auto"/>
          <w:szCs w:val="21"/>
          <w:highlight w:val="none"/>
        </w:rPr>
      </w:pPr>
      <w:r>
        <w:rPr>
          <w:rFonts w:hint="eastAsia" w:ascii="宋体" w:hAnsi="宋体" w:cs="宋体"/>
          <w:color w:val="auto"/>
          <w:szCs w:val="21"/>
          <w:highlight w:val="none"/>
        </w:rPr>
        <w:t>1.2施工组织设计除采用文字表述外可附下列图表，图表及格式要求附后。</w:t>
      </w:r>
    </w:p>
    <w:p w14:paraId="7F981684">
      <w:pPr>
        <w:snapToGrid w:val="0"/>
        <w:spacing w:before="50" w:after="120" w:afterLines="50"/>
        <w:jc w:val="left"/>
        <w:rPr>
          <w:rFonts w:hint="eastAsia" w:ascii="宋体" w:hAnsi="宋体" w:cs="宋体"/>
          <w:color w:val="auto"/>
          <w:szCs w:val="21"/>
          <w:highlight w:val="none"/>
        </w:rPr>
      </w:pPr>
      <w:r>
        <w:rPr>
          <w:rFonts w:hint="eastAsia" w:ascii="宋体" w:hAnsi="宋体" w:cs="宋体"/>
          <w:color w:val="auto"/>
          <w:szCs w:val="21"/>
          <w:highlight w:val="none"/>
        </w:rPr>
        <w:t>附表一  拟投入本工程的主要施工设备表</w:t>
      </w:r>
    </w:p>
    <w:p w14:paraId="45B980BC">
      <w:pPr>
        <w:snapToGrid w:val="0"/>
        <w:spacing w:before="50" w:after="120" w:afterLines="50"/>
        <w:jc w:val="left"/>
        <w:rPr>
          <w:rFonts w:hint="eastAsia" w:ascii="宋体" w:hAnsi="宋体" w:cs="宋体"/>
          <w:color w:val="auto"/>
          <w:szCs w:val="21"/>
          <w:highlight w:val="none"/>
        </w:rPr>
      </w:pPr>
      <w:r>
        <w:rPr>
          <w:rFonts w:hint="eastAsia" w:ascii="宋体" w:hAnsi="宋体" w:cs="宋体"/>
          <w:color w:val="auto"/>
          <w:szCs w:val="21"/>
          <w:highlight w:val="none"/>
        </w:rPr>
        <w:t>附表二  拟配备本工程的试验和检测仪器设备表</w:t>
      </w:r>
    </w:p>
    <w:p w14:paraId="02050651">
      <w:pPr>
        <w:snapToGrid w:val="0"/>
        <w:spacing w:before="50" w:after="120" w:afterLines="50"/>
        <w:jc w:val="left"/>
        <w:rPr>
          <w:rFonts w:hint="eastAsia" w:ascii="宋体" w:hAnsi="宋体" w:cs="宋体"/>
          <w:color w:val="auto"/>
          <w:szCs w:val="21"/>
          <w:highlight w:val="none"/>
        </w:rPr>
      </w:pPr>
      <w:r>
        <w:rPr>
          <w:rFonts w:hint="eastAsia" w:ascii="宋体" w:hAnsi="宋体" w:cs="宋体"/>
          <w:color w:val="auto"/>
          <w:szCs w:val="21"/>
          <w:highlight w:val="none"/>
        </w:rPr>
        <w:t>附表三  劳动力计划表</w:t>
      </w:r>
    </w:p>
    <w:p w14:paraId="6361C6F1">
      <w:pPr>
        <w:snapToGrid w:val="0"/>
        <w:spacing w:before="50" w:after="120" w:afterLines="50"/>
        <w:jc w:val="left"/>
        <w:rPr>
          <w:rFonts w:hint="eastAsia" w:ascii="宋体" w:hAnsi="宋体" w:cs="宋体"/>
          <w:color w:val="auto"/>
          <w:szCs w:val="21"/>
          <w:highlight w:val="none"/>
        </w:rPr>
      </w:pPr>
      <w:r>
        <w:rPr>
          <w:rFonts w:hint="eastAsia" w:ascii="宋体" w:hAnsi="宋体" w:cs="宋体"/>
          <w:color w:val="auto"/>
          <w:szCs w:val="21"/>
          <w:highlight w:val="none"/>
        </w:rPr>
        <w:t>附件四  计划开、竣工日期和施工进度计划（网络图或横道图）</w:t>
      </w:r>
    </w:p>
    <w:p w14:paraId="6D843BAE">
      <w:pPr>
        <w:snapToGrid w:val="0"/>
        <w:spacing w:before="50" w:after="120" w:afterLines="50"/>
        <w:jc w:val="left"/>
        <w:rPr>
          <w:rFonts w:hint="eastAsia" w:ascii="宋体" w:hAnsi="宋体" w:cs="宋体"/>
          <w:color w:val="auto"/>
          <w:szCs w:val="21"/>
          <w:highlight w:val="none"/>
        </w:rPr>
      </w:pPr>
      <w:r>
        <w:rPr>
          <w:rFonts w:hint="eastAsia" w:ascii="宋体" w:hAnsi="宋体" w:cs="宋体"/>
          <w:color w:val="auto"/>
          <w:szCs w:val="21"/>
          <w:highlight w:val="none"/>
        </w:rPr>
        <w:t>附表五  施工总平面图</w:t>
      </w:r>
    </w:p>
    <w:p w14:paraId="5C019740">
      <w:pPr>
        <w:snapToGrid w:val="0"/>
        <w:spacing w:before="50" w:after="120" w:afterLines="50"/>
        <w:jc w:val="left"/>
        <w:rPr>
          <w:rFonts w:hint="eastAsia" w:ascii="宋体" w:hAnsi="宋体" w:cs="宋体"/>
          <w:color w:val="auto"/>
          <w:szCs w:val="21"/>
          <w:highlight w:val="none"/>
        </w:rPr>
      </w:pPr>
      <w:r>
        <w:rPr>
          <w:rFonts w:hint="eastAsia" w:ascii="宋体" w:hAnsi="宋体" w:cs="宋体"/>
          <w:color w:val="auto"/>
          <w:szCs w:val="21"/>
          <w:highlight w:val="none"/>
        </w:rPr>
        <w:t>附表六  临时用地表</w:t>
      </w:r>
    </w:p>
    <w:p w14:paraId="7C7E6103">
      <w:pPr>
        <w:spacing w:line="460" w:lineRule="exact"/>
        <w:ind w:firstLine="420" w:firstLineChars="200"/>
        <w:rPr>
          <w:rFonts w:hint="eastAsia" w:ascii="宋体" w:hAnsi="宋体" w:cs="宋体"/>
          <w:color w:val="auto"/>
          <w:szCs w:val="21"/>
          <w:highlight w:val="none"/>
        </w:rPr>
      </w:pPr>
    </w:p>
    <w:p w14:paraId="0D2D44C8">
      <w:pPr>
        <w:rPr>
          <w:rFonts w:hint="eastAsia" w:ascii="宋体" w:hAnsi="宋体" w:cs="宋体"/>
          <w:color w:val="auto"/>
          <w:szCs w:val="21"/>
          <w:highlight w:val="none"/>
        </w:rPr>
      </w:pPr>
      <w:r>
        <w:rPr>
          <w:rFonts w:hint="eastAsia" w:ascii="宋体" w:hAnsi="宋体" w:cs="宋体"/>
          <w:color w:val="auto"/>
          <w:highlight w:val="none"/>
        </w:rPr>
        <w:t>附表一：拟投入本</w:t>
      </w:r>
      <w:r>
        <w:rPr>
          <w:rFonts w:hint="eastAsia" w:ascii="宋体" w:hAnsi="宋体" w:cs="宋体"/>
          <w:color w:val="auto"/>
          <w:szCs w:val="21"/>
          <w:highlight w:val="none"/>
        </w:rPr>
        <w:t>工程</w:t>
      </w:r>
      <w:r>
        <w:rPr>
          <w:rFonts w:hint="eastAsia" w:ascii="宋体" w:hAnsi="宋体" w:cs="宋体"/>
          <w:color w:val="auto"/>
          <w:highlight w:val="none"/>
        </w:rPr>
        <w:t>的主要施工设备表</w:t>
      </w:r>
    </w:p>
    <w:tbl>
      <w:tblPr>
        <w:tblStyle w:val="5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8"/>
        <w:gridCol w:w="1226"/>
        <w:gridCol w:w="851"/>
        <w:gridCol w:w="708"/>
        <w:gridCol w:w="709"/>
        <w:gridCol w:w="851"/>
        <w:gridCol w:w="1134"/>
        <w:gridCol w:w="992"/>
        <w:gridCol w:w="1134"/>
        <w:gridCol w:w="992"/>
      </w:tblGrid>
      <w:tr w14:paraId="69CE3D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7" w:hRule="atLeast"/>
          <w:jc w:val="center"/>
        </w:trPr>
        <w:tc>
          <w:tcPr>
            <w:tcW w:w="758" w:type="dxa"/>
            <w:noWrap w:val="0"/>
            <w:vAlign w:val="center"/>
          </w:tcPr>
          <w:p w14:paraId="447D3122">
            <w:pPr>
              <w:jc w:val="center"/>
              <w:rPr>
                <w:rFonts w:hint="eastAsia" w:ascii="宋体" w:hAnsi="宋体" w:cs="宋体"/>
                <w:color w:val="auto"/>
                <w:szCs w:val="21"/>
                <w:highlight w:val="none"/>
              </w:rPr>
            </w:pPr>
            <w:r>
              <w:rPr>
                <w:rFonts w:hint="eastAsia" w:ascii="宋体" w:hAnsi="宋体" w:cs="宋体"/>
                <w:color w:val="auto"/>
                <w:szCs w:val="21"/>
                <w:highlight w:val="none"/>
              </w:rPr>
              <w:t>序号</w:t>
            </w:r>
          </w:p>
        </w:tc>
        <w:tc>
          <w:tcPr>
            <w:tcW w:w="1226" w:type="dxa"/>
            <w:noWrap w:val="0"/>
            <w:vAlign w:val="center"/>
          </w:tcPr>
          <w:p w14:paraId="6CC853CB">
            <w:pPr>
              <w:jc w:val="center"/>
              <w:rPr>
                <w:rFonts w:hint="eastAsia" w:ascii="宋体" w:hAnsi="宋体" w:cs="宋体"/>
                <w:color w:val="auto"/>
                <w:szCs w:val="21"/>
                <w:highlight w:val="none"/>
              </w:rPr>
            </w:pPr>
            <w:r>
              <w:rPr>
                <w:rFonts w:hint="eastAsia" w:ascii="宋体" w:hAnsi="宋体" w:cs="宋体"/>
                <w:color w:val="auto"/>
                <w:szCs w:val="21"/>
                <w:highlight w:val="none"/>
              </w:rPr>
              <w:t>设备名称</w:t>
            </w:r>
          </w:p>
        </w:tc>
        <w:tc>
          <w:tcPr>
            <w:tcW w:w="851" w:type="dxa"/>
            <w:noWrap w:val="0"/>
            <w:vAlign w:val="center"/>
          </w:tcPr>
          <w:p w14:paraId="1348EDB5">
            <w:pPr>
              <w:jc w:val="center"/>
              <w:rPr>
                <w:rFonts w:hint="eastAsia" w:ascii="宋体" w:hAnsi="宋体" w:cs="宋体"/>
                <w:color w:val="auto"/>
                <w:szCs w:val="21"/>
                <w:highlight w:val="none"/>
              </w:rPr>
            </w:pPr>
            <w:r>
              <w:rPr>
                <w:rFonts w:hint="eastAsia" w:ascii="宋体" w:hAnsi="宋体" w:cs="宋体"/>
                <w:color w:val="auto"/>
                <w:szCs w:val="21"/>
                <w:highlight w:val="none"/>
              </w:rPr>
              <w:t>型号</w:t>
            </w:r>
          </w:p>
          <w:p w14:paraId="63C2230B">
            <w:pPr>
              <w:jc w:val="center"/>
              <w:rPr>
                <w:rFonts w:hint="eastAsia" w:ascii="宋体" w:hAnsi="宋体" w:cs="宋体"/>
                <w:color w:val="auto"/>
                <w:szCs w:val="21"/>
                <w:highlight w:val="none"/>
              </w:rPr>
            </w:pPr>
            <w:r>
              <w:rPr>
                <w:rFonts w:hint="eastAsia" w:ascii="宋体" w:hAnsi="宋体" w:cs="宋体"/>
                <w:color w:val="auto"/>
                <w:szCs w:val="21"/>
                <w:highlight w:val="none"/>
              </w:rPr>
              <w:t>规格</w:t>
            </w:r>
          </w:p>
        </w:tc>
        <w:tc>
          <w:tcPr>
            <w:tcW w:w="708" w:type="dxa"/>
            <w:noWrap w:val="0"/>
            <w:vAlign w:val="center"/>
          </w:tcPr>
          <w:p w14:paraId="78846E72">
            <w:pPr>
              <w:jc w:val="center"/>
              <w:rPr>
                <w:rFonts w:hint="eastAsia" w:ascii="宋体" w:hAnsi="宋体" w:cs="宋体"/>
                <w:color w:val="auto"/>
                <w:szCs w:val="21"/>
                <w:highlight w:val="none"/>
              </w:rPr>
            </w:pPr>
            <w:r>
              <w:rPr>
                <w:rFonts w:hint="eastAsia" w:ascii="宋体" w:hAnsi="宋体" w:cs="宋体"/>
                <w:color w:val="auto"/>
                <w:szCs w:val="21"/>
                <w:highlight w:val="none"/>
              </w:rPr>
              <w:t>数量</w:t>
            </w:r>
          </w:p>
        </w:tc>
        <w:tc>
          <w:tcPr>
            <w:tcW w:w="709" w:type="dxa"/>
            <w:noWrap w:val="0"/>
            <w:vAlign w:val="center"/>
          </w:tcPr>
          <w:p w14:paraId="4B09D0E6">
            <w:pPr>
              <w:jc w:val="center"/>
              <w:rPr>
                <w:rFonts w:hint="eastAsia" w:ascii="宋体" w:hAnsi="宋体" w:cs="宋体"/>
                <w:color w:val="auto"/>
                <w:szCs w:val="21"/>
                <w:highlight w:val="none"/>
              </w:rPr>
            </w:pPr>
            <w:r>
              <w:rPr>
                <w:rFonts w:hint="eastAsia" w:ascii="宋体" w:hAnsi="宋体" w:cs="宋体"/>
                <w:color w:val="auto"/>
                <w:szCs w:val="21"/>
                <w:highlight w:val="none"/>
              </w:rPr>
              <w:t>国别</w:t>
            </w:r>
          </w:p>
          <w:p w14:paraId="0334E5A0">
            <w:pPr>
              <w:jc w:val="center"/>
              <w:rPr>
                <w:rFonts w:hint="eastAsia" w:ascii="宋体" w:hAnsi="宋体" w:cs="宋体"/>
                <w:color w:val="auto"/>
                <w:szCs w:val="21"/>
                <w:highlight w:val="none"/>
              </w:rPr>
            </w:pPr>
            <w:r>
              <w:rPr>
                <w:rFonts w:hint="eastAsia" w:ascii="宋体" w:hAnsi="宋体" w:cs="宋体"/>
                <w:color w:val="auto"/>
                <w:szCs w:val="21"/>
                <w:highlight w:val="none"/>
              </w:rPr>
              <w:t>产地</w:t>
            </w:r>
          </w:p>
        </w:tc>
        <w:tc>
          <w:tcPr>
            <w:tcW w:w="851" w:type="dxa"/>
            <w:noWrap w:val="0"/>
            <w:vAlign w:val="center"/>
          </w:tcPr>
          <w:p w14:paraId="0154BC1D">
            <w:pPr>
              <w:jc w:val="center"/>
              <w:rPr>
                <w:rFonts w:hint="eastAsia" w:ascii="宋体" w:hAnsi="宋体" w:cs="宋体"/>
                <w:color w:val="auto"/>
                <w:szCs w:val="21"/>
                <w:highlight w:val="none"/>
              </w:rPr>
            </w:pPr>
            <w:r>
              <w:rPr>
                <w:rFonts w:hint="eastAsia" w:ascii="宋体" w:hAnsi="宋体" w:cs="宋体"/>
                <w:color w:val="auto"/>
                <w:szCs w:val="21"/>
                <w:highlight w:val="none"/>
              </w:rPr>
              <w:t>制造</w:t>
            </w:r>
          </w:p>
          <w:p w14:paraId="7C9E4113">
            <w:pPr>
              <w:jc w:val="center"/>
              <w:rPr>
                <w:rFonts w:hint="eastAsia" w:ascii="宋体" w:hAnsi="宋体" w:cs="宋体"/>
                <w:color w:val="auto"/>
                <w:szCs w:val="21"/>
                <w:highlight w:val="none"/>
              </w:rPr>
            </w:pPr>
            <w:r>
              <w:rPr>
                <w:rFonts w:hint="eastAsia" w:ascii="宋体" w:hAnsi="宋体" w:cs="宋体"/>
                <w:color w:val="auto"/>
                <w:szCs w:val="21"/>
                <w:highlight w:val="none"/>
              </w:rPr>
              <w:t>年份</w:t>
            </w:r>
          </w:p>
        </w:tc>
        <w:tc>
          <w:tcPr>
            <w:tcW w:w="1134" w:type="dxa"/>
            <w:noWrap w:val="0"/>
            <w:vAlign w:val="center"/>
          </w:tcPr>
          <w:p w14:paraId="4109D4D0">
            <w:pPr>
              <w:jc w:val="center"/>
              <w:rPr>
                <w:rFonts w:hint="eastAsia" w:ascii="宋体" w:hAnsi="宋体" w:cs="宋体"/>
                <w:color w:val="auto"/>
                <w:szCs w:val="21"/>
                <w:highlight w:val="none"/>
              </w:rPr>
            </w:pPr>
            <w:r>
              <w:rPr>
                <w:rFonts w:hint="eastAsia" w:ascii="宋体" w:hAnsi="宋体" w:cs="宋体"/>
                <w:color w:val="auto"/>
                <w:szCs w:val="21"/>
                <w:highlight w:val="none"/>
              </w:rPr>
              <w:t>额定功率</w:t>
            </w:r>
          </w:p>
          <w:p w14:paraId="027F7DF2">
            <w:pPr>
              <w:jc w:val="center"/>
              <w:rPr>
                <w:rFonts w:hint="eastAsia" w:ascii="宋体" w:hAnsi="宋体" w:cs="宋体"/>
                <w:color w:val="auto"/>
                <w:szCs w:val="21"/>
                <w:highlight w:val="none"/>
              </w:rPr>
            </w:pPr>
            <w:r>
              <w:rPr>
                <w:rFonts w:hint="eastAsia" w:ascii="宋体" w:hAnsi="宋体" w:cs="宋体"/>
                <w:color w:val="auto"/>
                <w:szCs w:val="21"/>
                <w:highlight w:val="none"/>
              </w:rPr>
              <w:t>（kW）</w:t>
            </w:r>
          </w:p>
        </w:tc>
        <w:tc>
          <w:tcPr>
            <w:tcW w:w="992" w:type="dxa"/>
            <w:noWrap w:val="0"/>
            <w:vAlign w:val="center"/>
          </w:tcPr>
          <w:p w14:paraId="6173ED4F">
            <w:pPr>
              <w:jc w:val="center"/>
              <w:rPr>
                <w:rFonts w:hint="eastAsia" w:ascii="宋体" w:hAnsi="宋体" w:cs="宋体"/>
                <w:color w:val="auto"/>
                <w:szCs w:val="21"/>
                <w:highlight w:val="none"/>
              </w:rPr>
            </w:pPr>
            <w:r>
              <w:rPr>
                <w:rFonts w:hint="eastAsia" w:ascii="宋体" w:hAnsi="宋体" w:cs="宋体"/>
                <w:color w:val="auto"/>
                <w:szCs w:val="21"/>
                <w:highlight w:val="none"/>
              </w:rPr>
              <w:t>生产</w:t>
            </w:r>
          </w:p>
          <w:p w14:paraId="1FBBBCF0">
            <w:pPr>
              <w:jc w:val="center"/>
              <w:rPr>
                <w:rFonts w:hint="eastAsia" w:ascii="宋体" w:hAnsi="宋体" w:cs="宋体"/>
                <w:color w:val="auto"/>
                <w:szCs w:val="21"/>
                <w:highlight w:val="none"/>
              </w:rPr>
            </w:pPr>
            <w:r>
              <w:rPr>
                <w:rFonts w:hint="eastAsia" w:ascii="宋体" w:hAnsi="宋体" w:cs="宋体"/>
                <w:color w:val="auto"/>
                <w:szCs w:val="21"/>
                <w:highlight w:val="none"/>
              </w:rPr>
              <w:t>能力</w:t>
            </w:r>
          </w:p>
        </w:tc>
        <w:tc>
          <w:tcPr>
            <w:tcW w:w="1134" w:type="dxa"/>
            <w:noWrap w:val="0"/>
            <w:vAlign w:val="center"/>
          </w:tcPr>
          <w:p w14:paraId="6564AF48">
            <w:pPr>
              <w:jc w:val="center"/>
              <w:rPr>
                <w:rFonts w:hint="eastAsia" w:ascii="宋体" w:hAnsi="宋体" w:cs="宋体"/>
                <w:color w:val="auto"/>
                <w:szCs w:val="21"/>
                <w:highlight w:val="none"/>
              </w:rPr>
            </w:pPr>
            <w:r>
              <w:rPr>
                <w:rFonts w:hint="eastAsia" w:ascii="宋体" w:hAnsi="宋体" w:cs="宋体"/>
                <w:color w:val="auto"/>
                <w:szCs w:val="21"/>
                <w:highlight w:val="none"/>
              </w:rPr>
              <w:t>用于施</w:t>
            </w:r>
          </w:p>
          <w:p w14:paraId="350F7B9B">
            <w:pPr>
              <w:jc w:val="center"/>
              <w:rPr>
                <w:rFonts w:hint="eastAsia" w:ascii="宋体" w:hAnsi="宋体" w:cs="宋体"/>
                <w:color w:val="auto"/>
                <w:szCs w:val="21"/>
                <w:highlight w:val="none"/>
              </w:rPr>
            </w:pPr>
            <w:r>
              <w:rPr>
                <w:rFonts w:hint="eastAsia" w:ascii="宋体" w:hAnsi="宋体" w:cs="宋体"/>
                <w:color w:val="auto"/>
                <w:szCs w:val="21"/>
                <w:highlight w:val="none"/>
              </w:rPr>
              <w:t>工部位</w:t>
            </w:r>
          </w:p>
        </w:tc>
        <w:tc>
          <w:tcPr>
            <w:tcW w:w="992" w:type="dxa"/>
            <w:noWrap w:val="0"/>
            <w:vAlign w:val="center"/>
          </w:tcPr>
          <w:p w14:paraId="2E4C9FF5">
            <w:pPr>
              <w:jc w:val="center"/>
              <w:rPr>
                <w:rFonts w:hint="eastAsia" w:ascii="宋体" w:hAnsi="宋体" w:cs="宋体"/>
                <w:color w:val="auto"/>
                <w:szCs w:val="21"/>
                <w:highlight w:val="none"/>
              </w:rPr>
            </w:pPr>
            <w:r>
              <w:rPr>
                <w:rFonts w:hint="eastAsia" w:ascii="宋体" w:hAnsi="宋体" w:cs="宋体"/>
                <w:color w:val="auto"/>
                <w:szCs w:val="21"/>
                <w:highlight w:val="none"/>
              </w:rPr>
              <w:t>备注</w:t>
            </w:r>
          </w:p>
        </w:tc>
      </w:tr>
      <w:tr w14:paraId="1051C2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58" w:type="dxa"/>
            <w:noWrap w:val="0"/>
            <w:vAlign w:val="top"/>
          </w:tcPr>
          <w:p w14:paraId="5B33A2A5">
            <w:pPr>
              <w:spacing w:line="360" w:lineRule="auto"/>
              <w:rPr>
                <w:rFonts w:hint="eastAsia" w:ascii="宋体" w:hAnsi="宋体" w:cs="宋体"/>
                <w:color w:val="auto"/>
                <w:szCs w:val="21"/>
                <w:highlight w:val="none"/>
              </w:rPr>
            </w:pPr>
          </w:p>
        </w:tc>
        <w:tc>
          <w:tcPr>
            <w:tcW w:w="1226" w:type="dxa"/>
            <w:noWrap w:val="0"/>
            <w:vAlign w:val="top"/>
          </w:tcPr>
          <w:p w14:paraId="401972E8">
            <w:pPr>
              <w:spacing w:line="360" w:lineRule="auto"/>
              <w:ind w:firstLine="420" w:firstLineChars="200"/>
              <w:rPr>
                <w:rFonts w:hint="eastAsia" w:ascii="宋体" w:hAnsi="宋体" w:cs="宋体"/>
                <w:color w:val="auto"/>
                <w:szCs w:val="21"/>
                <w:highlight w:val="none"/>
              </w:rPr>
            </w:pPr>
          </w:p>
        </w:tc>
        <w:tc>
          <w:tcPr>
            <w:tcW w:w="851" w:type="dxa"/>
            <w:noWrap w:val="0"/>
            <w:vAlign w:val="top"/>
          </w:tcPr>
          <w:p w14:paraId="00E68E8C">
            <w:pPr>
              <w:spacing w:line="360" w:lineRule="auto"/>
              <w:rPr>
                <w:rFonts w:hint="eastAsia" w:ascii="宋体" w:hAnsi="宋体" w:cs="宋体"/>
                <w:color w:val="auto"/>
                <w:szCs w:val="21"/>
                <w:highlight w:val="none"/>
              </w:rPr>
            </w:pPr>
          </w:p>
        </w:tc>
        <w:tc>
          <w:tcPr>
            <w:tcW w:w="708" w:type="dxa"/>
            <w:noWrap w:val="0"/>
            <w:vAlign w:val="top"/>
          </w:tcPr>
          <w:p w14:paraId="1BD21209">
            <w:pPr>
              <w:spacing w:line="360" w:lineRule="auto"/>
              <w:rPr>
                <w:rFonts w:hint="eastAsia" w:ascii="宋体" w:hAnsi="宋体" w:cs="宋体"/>
                <w:color w:val="auto"/>
                <w:szCs w:val="21"/>
                <w:highlight w:val="none"/>
              </w:rPr>
            </w:pPr>
          </w:p>
        </w:tc>
        <w:tc>
          <w:tcPr>
            <w:tcW w:w="709" w:type="dxa"/>
            <w:noWrap w:val="0"/>
            <w:vAlign w:val="top"/>
          </w:tcPr>
          <w:p w14:paraId="718A6997">
            <w:pPr>
              <w:spacing w:line="360" w:lineRule="auto"/>
              <w:rPr>
                <w:rFonts w:hint="eastAsia" w:ascii="宋体" w:hAnsi="宋体" w:cs="宋体"/>
                <w:color w:val="auto"/>
                <w:szCs w:val="21"/>
                <w:highlight w:val="none"/>
              </w:rPr>
            </w:pPr>
          </w:p>
        </w:tc>
        <w:tc>
          <w:tcPr>
            <w:tcW w:w="851" w:type="dxa"/>
            <w:noWrap w:val="0"/>
            <w:vAlign w:val="top"/>
          </w:tcPr>
          <w:p w14:paraId="0668A612">
            <w:pPr>
              <w:spacing w:line="360" w:lineRule="auto"/>
              <w:rPr>
                <w:rFonts w:hint="eastAsia" w:ascii="宋体" w:hAnsi="宋体" w:cs="宋体"/>
                <w:color w:val="auto"/>
                <w:szCs w:val="21"/>
                <w:highlight w:val="none"/>
              </w:rPr>
            </w:pPr>
          </w:p>
        </w:tc>
        <w:tc>
          <w:tcPr>
            <w:tcW w:w="1134" w:type="dxa"/>
            <w:noWrap w:val="0"/>
            <w:vAlign w:val="top"/>
          </w:tcPr>
          <w:p w14:paraId="05B77D52">
            <w:pPr>
              <w:spacing w:line="360" w:lineRule="auto"/>
              <w:rPr>
                <w:rFonts w:hint="eastAsia" w:ascii="宋体" w:hAnsi="宋体" w:cs="宋体"/>
                <w:color w:val="auto"/>
                <w:szCs w:val="21"/>
                <w:highlight w:val="none"/>
              </w:rPr>
            </w:pPr>
          </w:p>
        </w:tc>
        <w:tc>
          <w:tcPr>
            <w:tcW w:w="992" w:type="dxa"/>
            <w:noWrap w:val="0"/>
            <w:vAlign w:val="top"/>
          </w:tcPr>
          <w:p w14:paraId="6D210912">
            <w:pPr>
              <w:spacing w:line="360" w:lineRule="auto"/>
              <w:rPr>
                <w:rFonts w:hint="eastAsia" w:ascii="宋体" w:hAnsi="宋体" w:cs="宋体"/>
                <w:color w:val="auto"/>
                <w:szCs w:val="21"/>
                <w:highlight w:val="none"/>
              </w:rPr>
            </w:pPr>
          </w:p>
        </w:tc>
        <w:tc>
          <w:tcPr>
            <w:tcW w:w="1134" w:type="dxa"/>
            <w:noWrap w:val="0"/>
            <w:vAlign w:val="top"/>
          </w:tcPr>
          <w:p w14:paraId="081EE6C2">
            <w:pPr>
              <w:spacing w:line="360" w:lineRule="auto"/>
              <w:rPr>
                <w:rFonts w:hint="eastAsia" w:ascii="宋体" w:hAnsi="宋体" w:cs="宋体"/>
                <w:color w:val="auto"/>
                <w:szCs w:val="21"/>
                <w:highlight w:val="none"/>
              </w:rPr>
            </w:pPr>
          </w:p>
        </w:tc>
        <w:tc>
          <w:tcPr>
            <w:tcW w:w="992" w:type="dxa"/>
            <w:noWrap w:val="0"/>
            <w:vAlign w:val="top"/>
          </w:tcPr>
          <w:p w14:paraId="4142660C">
            <w:pPr>
              <w:spacing w:line="360" w:lineRule="auto"/>
              <w:rPr>
                <w:rFonts w:hint="eastAsia" w:ascii="宋体" w:hAnsi="宋体" w:cs="宋体"/>
                <w:color w:val="auto"/>
                <w:szCs w:val="21"/>
                <w:highlight w:val="none"/>
              </w:rPr>
            </w:pPr>
          </w:p>
        </w:tc>
      </w:tr>
      <w:tr w14:paraId="3E6519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58" w:type="dxa"/>
            <w:noWrap w:val="0"/>
            <w:vAlign w:val="top"/>
          </w:tcPr>
          <w:p w14:paraId="326A6E62">
            <w:pPr>
              <w:spacing w:line="360" w:lineRule="auto"/>
              <w:rPr>
                <w:rFonts w:hint="eastAsia" w:ascii="宋体" w:hAnsi="宋体" w:cs="宋体"/>
                <w:color w:val="auto"/>
                <w:szCs w:val="21"/>
                <w:highlight w:val="none"/>
              </w:rPr>
            </w:pPr>
          </w:p>
        </w:tc>
        <w:tc>
          <w:tcPr>
            <w:tcW w:w="1226" w:type="dxa"/>
            <w:noWrap w:val="0"/>
            <w:vAlign w:val="top"/>
          </w:tcPr>
          <w:p w14:paraId="2430BA72">
            <w:pPr>
              <w:spacing w:line="360" w:lineRule="auto"/>
              <w:rPr>
                <w:rFonts w:hint="eastAsia" w:ascii="宋体" w:hAnsi="宋体" w:cs="宋体"/>
                <w:color w:val="auto"/>
                <w:szCs w:val="21"/>
                <w:highlight w:val="none"/>
              </w:rPr>
            </w:pPr>
          </w:p>
        </w:tc>
        <w:tc>
          <w:tcPr>
            <w:tcW w:w="851" w:type="dxa"/>
            <w:noWrap w:val="0"/>
            <w:vAlign w:val="top"/>
          </w:tcPr>
          <w:p w14:paraId="09CE3432">
            <w:pPr>
              <w:spacing w:line="360" w:lineRule="auto"/>
              <w:rPr>
                <w:rFonts w:hint="eastAsia" w:ascii="宋体" w:hAnsi="宋体" w:cs="宋体"/>
                <w:color w:val="auto"/>
                <w:szCs w:val="21"/>
                <w:highlight w:val="none"/>
              </w:rPr>
            </w:pPr>
          </w:p>
        </w:tc>
        <w:tc>
          <w:tcPr>
            <w:tcW w:w="708" w:type="dxa"/>
            <w:noWrap w:val="0"/>
            <w:vAlign w:val="top"/>
          </w:tcPr>
          <w:p w14:paraId="796D8C7A">
            <w:pPr>
              <w:spacing w:line="360" w:lineRule="auto"/>
              <w:rPr>
                <w:rFonts w:hint="eastAsia" w:ascii="宋体" w:hAnsi="宋体" w:cs="宋体"/>
                <w:color w:val="auto"/>
                <w:szCs w:val="21"/>
                <w:highlight w:val="none"/>
              </w:rPr>
            </w:pPr>
          </w:p>
        </w:tc>
        <w:tc>
          <w:tcPr>
            <w:tcW w:w="709" w:type="dxa"/>
            <w:noWrap w:val="0"/>
            <w:vAlign w:val="top"/>
          </w:tcPr>
          <w:p w14:paraId="3309E893">
            <w:pPr>
              <w:spacing w:line="360" w:lineRule="auto"/>
              <w:rPr>
                <w:rFonts w:hint="eastAsia" w:ascii="宋体" w:hAnsi="宋体" w:cs="宋体"/>
                <w:color w:val="auto"/>
                <w:szCs w:val="21"/>
                <w:highlight w:val="none"/>
              </w:rPr>
            </w:pPr>
          </w:p>
        </w:tc>
        <w:tc>
          <w:tcPr>
            <w:tcW w:w="851" w:type="dxa"/>
            <w:noWrap w:val="0"/>
            <w:vAlign w:val="top"/>
          </w:tcPr>
          <w:p w14:paraId="6B0E7B98">
            <w:pPr>
              <w:spacing w:line="360" w:lineRule="auto"/>
              <w:rPr>
                <w:rFonts w:hint="eastAsia" w:ascii="宋体" w:hAnsi="宋体" w:cs="宋体"/>
                <w:color w:val="auto"/>
                <w:szCs w:val="21"/>
                <w:highlight w:val="none"/>
              </w:rPr>
            </w:pPr>
          </w:p>
        </w:tc>
        <w:tc>
          <w:tcPr>
            <w:tcW w:w="1134" w:type="dxa"/>
            <w:noWrap w:val="0"/>
            <w:vAlign w:val="top"/>
          </w:tcPr>
          <w:p w14:paraId="25E79AD3">
            <w:pPr>
              <w:spacing w:line="360" w:lineRule="auto"/>
              <w:rPr>
                <w:rFonts w:hint="eastAsia" w:ascii="宋体" w:hAnsi="宋体" w:cs="宋体"/>
                <w:color w:val="auto"/>
                <w:szCs w:val="21"/>
                <w:highlight w:val="none"/>
              </w:rPr>
            </w:pPr>
          </w:p>
        </w:tc>
        <w:tc>
          <w:tcPr>
            <w:tcW w:w="992" w:type="dxa"/>
            <w:noWrap w:val="0"/>
            <w:vAlign w:val="top"/>
          </w:tcPr>
          <w:p w14:paraId="1174D17E">
            <w:pPr>
              <w:spacing w:line="360" w:lineRule="auto"/>
              <w:rPr>
                <w:rFonts w:hint="eastAsia" w:ascii="宋体" w:hAnsi="宋体" w:cs="宋体"/>
                <w:color w:val="auto"/>
                <w:szCs w:val="21"/>
                <w:highlight w:val="none"/>
              </w:rPr>
            </w:pPr>
          </w:p>
        </w:tc>
        <w:tc>
          <w:tcPr>
            <w:tcW w:w="1134" w:type="dxa"/>
            <w:noWrap w:val="0"/>
            <w:vAlign w:val="top"/>
          </w:tcPr>
          <w:p w14:paraId="7DA1A503">
            <w:pPr>
              <w:spacing w:line="360" w:lineRule="auto"/>
              <w:rPr>
                <w:rFonts w:hint="eastAsia" w:ascii="宋体" w:hAnsi="宋体" w:cs="宋体"/>
                <w:color w:val="auto"/>
                <w:szCs w:val="21"/>
                <w:highlight w:val="none"/>
              </w:rPr>
            </w:pPr>
          </w:p>
        </w:tc>
        <w:tc>
          <w:tcPr>
            <w:tcW w:w="992" w:type="dxa"/>
            <w:noWrap w:val="0"/>
            <w:vAlign w:val="top"/>
          </w:tcPr>
          <w:p w14:paraId="43D7FA8A">
            <w:pPr>
              <w:spacing w:line="360" w:lineRule="auto"/>
              <w:rPr>
                <w:rFonts w:hint="eastAsia" w:ascii="宋体" w:hAnsi="宋体" w:cs="宋体"/>
                <w:color w:val="auto"/>
                <w:szCs w:val="21"/>
                <w:highlight w:val="none"/>
              </w:rPr>
            </w:pPr>
          </w:p>
        </w:tc>
      </w:tr>
      <w:tr w14:paraId="5BE8A7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58" w:type="dxa"/>
            <w:noWrap w:val="0"/>
            <w:vAlign w:val="top"/>
          </w:tcPr>
          <w:p w14:paraId="439A5F4D">
            <w:pPr>
              <w:spacing w:line="360" w:lineRule="auto"/>
              <w:rPr>
                <w:rFonts w:hint="eastAsia" w:ascii="宋体" w:hAnsi="宋体" w:cs="宋体"/>
                <w:color w:val="auto"/>
                <w:szCs w:val="21"/>
                <w:highlight w:val="none"/>
              </w:rPr>
            </w:pPr>
          </w:p>
        </w:tc>
        <w:tc>
          <w:tcPr>
            <w:tcW w:w="1226" w:type="dxa"/>
            <w:noWrap w:val="0"/>
            <w:vAlign w:val="top"/>
          </w:tcPr>
          <w:p w14:paraId="09FD7E11">
            <w:pPr>
              <w:spacing w:line="360" w:lineRule="auto"/>
              <w:rPr>
                <w:rFonts w:hint="eastAsia" w:ascii="宋体" w:hAnsi="宋体" w:cs="宋体"/>
                <w:color w:val="auto"/>
                <w:szCs w:val="21"/>
                <w:highlight w:val="none"/>
              </w:rPr>
            </w:pPr>
          </w:p>
        </w:tc>
        <w:tc>
          <w:tcPr>
            <w:tcW w:w="851" w:type="dxa"/>
            <w:noWrap w:val="0"/>
            <w:vAlign w:val="top"/>
          </w:tcPr>
          <w:p w14:paraId="234BAB31">
            <w:pPr>
              <w:spacing w:line="360" w:lineRule="auto"/>
              <w:rPr>
                <w:rFonts w:hint="eastAsia" w:ascii="宋体" w:hAnsi="宋体" w:cs="宋体"/>
                <w:color w:val="auto"/>
                <w:szCs w:val="21"/>
                <w:highlight w:val="none"/>
              </w:rPr>
            </w:pPr>
          </w:p>
        </w:tc>
        <w:tc>
          <w:tcPr>
            <w:tcW w:w="708" w:type="dxa"/>
            <w:noWrap w:val="0"/>
            <w:vAlign w:val="top"/>
          </w:tcPr>
          <w:p w14:paraId="55A3A4AC">
            <w:pPr>
              <w:spacing w:line="360" w:lineRule="auto"/>
              <w:rPr>
                <w:rFonts w:hint="eastAsia" w:ascii="宋体" w:hAnsi="宋体" w:cs="宋体"/>
                <w:color w:val="auto"/>
                <w:szCs w:val="21"/>
                <w:highlight w:val="none"/>
              </w:rPr>
            </w:pPr>
          </w:p>
        </w:tc>
        <w:tc>
          <w:tcPr>
            <w:tcW w:w="709" w:type="dxa"/>
            <w:noWrap w:val="0"/>
            <w:vAlign w:val="top"/>
          </w:tcPr>
          <w:p w14:paraId="38DE2062">
            <w:pPr>
              <w:spacing w:line="360" w:lineRule="auto"/>
              <w:rPr>
                <w:rFonts w:hint="eastAsia" w:ascii="宋体" w:hAnsi="宋体" w:cs="宋体"/>
                <w:color w:val="auto"/>
                <w:szCs w:val="21"/>
                <w:highlight w:val="none"/>
              </w:rPr>
            </w:pPr>
          </w:p>
        </w:tc>
        <w:tc>
          <w:tcPr>
            <w:tcW w:w="851" w:type="dxa"/>
            <w:noWrap w:val="0"/>
            <w:vAlign w:val="top"/>
          </w:tcPr>
          <w:p w14:paraId="2858CA96">
            <w:pPr>
              <w:spacing w:line="360" w:lineRule="auto"/>
              <w:rPr>
                <w:rFonts w:hint="eastAsia" w:ascii="宋体" w:hAnsi="宋体" w:cs="宋体"/>
                <w:color w:val="auto"/>
                <w:szCs w:val="21"/>
                <w:highlight w:val="none"/>
              </w:rPr>
            </w:pPr>
          </w:p>
        </w:tc>
        <w:tc>
          <w:tcPr>
            <w:tcW w:w="1134" w:type="dxa"/>
            <w:noWrap w:val="0"/>
            <w:vAlign w:val="top"/>
          </w:tcPr>
          <w:p w14:paraId="7C200C9F">
            <w:pPr>
              <w:spacing w:line="360" w:lineRule="auto"/>
              <w:rPr>
                <w:rFonts w:hint="eastAsia" w:ascii="宋体" w:hAnsi="宋体" w:cs="宋体"/>
                <w:color w:val="auto"/>
                <w:szCs w:val="21"/>
                <w:highlight w:val="none"/>
              </w:rPr>
            </w:pPr>
          </w:p>
        </w:tc>
        <w:tc>
          <w:tcPr>
            <w:tcW w:w="992" w:type="dxa"/>
            <w:noWrap w:val="0"/>
            <w:vAlign w:val="top"/>
          </w:tcPr>
          <w:p w14:paraId="55C25F44">
            <w:pPr>
              <w:spacing w:line="360" w:lineRule="auto"/>
              <w:rPr>
                <w:rFonts w:hint="eastAsia" w:ascii="宋体" w:hAnsi="宋体" w:cs="宋体"/>
                <w:color w:val="auto"/>
                <w:szCs w:val="21"/>
                <w:highlight w:val="none"/>
              </w:rPr>
            </w:pPr>
          </w:p>
        </w:tc>
        <w:tc>
          <w:tcPr>
            <w:tcW w:w="1134" w:type="dxa"/>
            <w:noWrap w:val="0"/>
            <w:vAlign w:val="top"/>
          </w:tcPr>
          <w:p w14:paraId="1ECAD68B">
            <w:pPr>
              <w:spacing w:line="360" w:lineRule="auto"/>
              <w:rPr>
                <w:rFonts w:hint="eastAsia" w:ascii="宋体" w:hAnsi="宋体" w:cs="宋体"/>
                <w:color w:val="auto"/>
                <w:szCs w:val="21"/>
                <w:highlight w:val="none"/>
              </w:rPr>
            </w:pPr>
          </w:p>
        </w:tc>
        <w:tc>
          <w:tcPr>
            <w:tcW w:w="992" w:type="dxa"/>
            <w:noWrap w:val="0"/>
            <w:vAlign w:val="top"/>
          </w:tcPr>
          <w:p w14:paraId="53F85891">
            <w:pPr>
              <w:spacing w:line="360" w:lineRule="auto"/>
              <w:rPr>
                <w:rFonts w:hint="eastAsia" w:ascii="宋体" w:hAnsi="宋体" w:cs="宋体"/>
                <w:color w:val="auto"/>
                <w:szCs w:val="21"/>
                <w:highlight w:val="none"/>
              </w:rPr>
            </w:pPr>
          </w:p>
        </w:tc>
      </w:tr>
      <w:tr w14:paraId="47D433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58" w:type="dxa"/>
            <w:noWrap w:val="0"/>
            <w:vAlign w:val="top"/>
          </w:tcPr>
          <w:p w14:paraId="327DE40D">
            <w:pPr>
              <w:spacing w:line="360" w:lineRule="auto"/>
              <w:rPr>
                <w:rFonts w:hint="eastAsia" w:ascii="宋体" w:hAnsi="宋体" w:cs="宋体"/>
                <w:color w:val="auto"/>
                <w:szCs w:val="21"/>
                <w:highlight w:val="none"/>
              </w:rPr>
            </w:pPr>
          </w:p>
        </w:tc>
        <w:tc>
          <w:tcPr>
            <w:tcW w:w="1226" w:type="dxa"/>
            <w:noWrap w:val="0"/>
            <w:vAlign w:val="top"/>
          </w:tcPr>
          <w:p w14:paraId="03250496">
            <w:pPr>
              <w:spacing w:line="360" w:lineRule="auto"/>
              <w:rPr>
                <w:rFonts w:hint="eastAsia" w:ascii="宋体" w:hAnsi="宋体" w:cs="宋体"/>
                <w:color w:val="auto"/>
                <w:szCs w:val="21"/>
                <w:highlight w:val="none"/>
              </w:rPr>
            </w:pPr>
          </w:p>
        </w:tc>
        <w:tc>
          <w:tcPr>
            <w:tcW w:w="851" w:type="dxa"/>
            <w:noWrap w:val="0"/>
            <w:vAlign w:val="top"/>
          </w:tcPr>
          <w:p w14:paraId="059DE105">
            <w:pPr>
              <w:spacing w:line="360" w:lineRule="auto"/>
              <w:rPr>
                <w:rFonts w:hint="eastAsia" w:ascii="宋体" w:hAnsi="宋体" w:cs="宋体"/>
                <w:color w:val="auto"/>
                <w:szCs w:val="21"/>
                <w:highlight w:val="none"/>
              </w:rPr>
            </w:pPr>
          </w:p>
        </w:tc>
        <w:tc>
          <w:tcPr>
            <w:tcW w:w="708" w:type="dxa"/>
            <w:noWrap w:val="0"/>
            <w:vAlign w:val="top"/>
          </w:tcPr>
          <w:p w14:paraId="146687CA">
            <w:pPr>
              <w:spacing w:line="360" w:lineRule="auto"/>
              <w:rPr>
                <w:rFonts w:hint="eastAsia" w:ascii="宋体" w:hAnsi="宋体" w:cs="宋体"/>
                <w:color w:val="auto"/>
                <w:szCs w:val="21"/>
                <w:highlight w:val="none"/>
              </w:rPr>
            </w:pPr>
          </w:p>
        </w:tc>
        <w:tc>
          <w:tcPr>
            <w:tcW w:w="709" w:type="dxa"/>
            <w:noWrap w:val="0"/>
            <w:vAlign w:val="top"/>
          </w:tcPr>
          <w:p w14:paraId="5B00C299">
            <w:pPr>
              <w:spacing w:line="360" w:lineRule="auto"/>
              <w:rPr>
                <w:rFonts w:hint="eastAsia" w:ascii="宋体" w:hAnsi="宋体" w:cs="宋体"/>
                <w:color w:val="auto"/>
                <w:szCs w:val="21"/>
                <w:highlight w:val="none"/>
              </w:rPr>
            </w:pPr>
          </w:p>
        </w:tc>
        <w:tc>
          <w:tcPr>
            <w:tcW w:w="851" w:type="dxa"/>
            <w:noWrap w:val="0"/>
            <w:vAlign w:val="top"/>
          </w:tcPr>
          <w:p w14:paraId="1D77E99C">
            <w:pPr>
              <w:spacing w:line="360" w:lineRule="auto"/>
              <w:rPr>
                <w:rFonts w:hint="eastAsia" w:ascii="宋体" w:hAnsi="宋体" w:cs="宋体"/>
                <w:color w:val="auto"/>
                <w:szCs w:val="21"/>
                <w:highlight w:val="none"/>
              </w:rPr>
            </w:pPr>
          </w:p>
        </w:tc>
        <w:tc>
          <w:tcPr>
            <w:tcW w:w="1134" w:type="dxa"/>
            <w:noWrap w:val="0"/>
            <w:vAlign w:val="top"/>
          </w:tcPr>
          <w:p w14:paraId="5B4CC064">
            <w:pPr>
              <w:spacing w:line="360" w:lineRule="auto"/>
              <w:rPr>
                <w:rFonts w:hint="eastAsia" w:ascii="宋体" w:hAnsi="宋体" w:cs="宋体"/>
                <w:color w:val="auto"/>
                <w:szCs w:val="21"/>
                <w:highlight w:val="none"/>
              </w:rPr>
            </w:pPr>
          </w:p>
        </w:tc>
        <w:tc>
          <w:tcPr>
            <w:tcW w:w="992" w:type="dxa"/>
            <w:noWrap w:val="0"/>
            <w:vAlign w:val="top"/>
          </w:tcPr>
          <w:p w14:paraId="230E37B1">
            <w:pPr>
              <w:spacing w:line="360" w:lineRule="auto"/>
              <w:rPr>
                <w:rFonts w:hint="eastAsia" w:ascii="宋体" w:hAnsi="宋体" w:cs="宋体"/>
                <w:color w:val="auto"/>
                <w:szCs w:val="21"/>
                <w:highlight w:val="none"/>
              </w:rPr>
            </w:pPr>
          </w:p>
        </w:tc>
        <w:tc>
          <w:tcPr>
            <w:tcW w:w="1134" w:type="dxa"/>
            <w:noWrap w:val="0"/>
            <w:vAlign w:val="top"/>
          </w:tcPr>
          <w:p w14:paraId="4BBCF197">
            <w:pPr>
              <w:spacing w:line="360" w:lineRule="auto"/>
              <w:rPr>
                <w:rFonts w:hint="eastAsia" w:ascii="宋体" w:hAnsi="宋体" w:cs="宋体"/>
                <w:color w:val="auto"/>
                <w:szCs w:val="21"/>
                <w:highlight w:val="none"/>
              </w:rPr>
            </w:pPr>
          </w:p>
        </w:tc>
        <w:tc>
          <w:tcPr>
            <w:tcW w:w="992" w:type="dxa"/>
            <w:noWrap w:val="0"/>
            <w:vAlign w:val="top"/>
          </w:tcPr>
          <w:p w14:paraId="1FCB1F52">
            <w:pPr>
              <w:spacing w:line="360" w:lineRule="auto"/>
              <w:rPr>
                <w:rFonts w:hint="eastAsia" w:ascii="宋体" w:hAnsi="宋体" w:cs="宋体"/>
                <w:color w:val="auto"/>
                <w:szCs w:val="21"/>
                <w:highlight w:val="none"/>
              </w:rPr>
            </w:pPr>
          </w:p>
        </w:tc>
      </w:tr>
      <w:tr w14:paraId="039D73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58" w:type="dxa"/>
            <w:noWrap w:val="0"/>
            <w:vAlign w:val="top"/>
          </w:tcPr>
          <w:p w14:paraId="624AA726">
            <w:pPr>
              <w:spacing w:line="360" w:lineRule="auto"/>
              <w:rPr>
                <w:rFonts w:hint="eastAsia" w:ascii="宋体" w:hAnsi="宋体" w:cs="宋体"/>
                <w:color w:val="auto"/>
                <w:szCs w:val="21"/>
                <w:highlight w:val="none"/>
              </w:rPr>
            </w:pPr>
          </w:p>
        </w:tc>
        <w:tc>
          <w:tcPr>
            <w:tcW w:w="1226" w:type="dxa"/>
            <w:noWrap w:val="0"/>
            <w:vAlign w:val="top"/>
          </w:tcPr>
          <w:p w14:paraId="0A21C61B">
            <w:pPr>
              <w:spacing w:line="360" w:lineRule="auto"/>
              <w:rPr>
                <w:rFonts w:hint="eastAsia" w:ascii="宋体" w:hAnsi="宋体" w:cs="宋体"/>
                <w:color w:val="auto"/>
                <w:szCs w:val="21"/>
                <w:highlight w:val="none"/>
              </w:rPr>
            </w:pPr>
          </w:p>
        </w:tc>
        <w:tc>
          <w:tcPr>
            <w:tcW w:w="851" w:type="dxa"/>
            <w:noWrap w:val="0"/>
            <w:vAlign w:val="top"/>
          </w:tcPr>
          <w:p w14:paraId="7CA6E0D9">
            <w:pPr>
              <w:spacing w:line="360" w:lineRule="auto"/>
              <w:rPr>
                <w:rFonts w:hint="eastAsia" w:ascii="宋体" w:hAnsi="宋体" w:cs="宋体"/>
                <w:color w:val="auto"/>
                <w:szCs w:val="21"/>
                <w:highlight w:val="none"/>
              </w:rPr>
            </w:pPr>
          </w:p>
        </w:tc>
        <w:tc>
          <w:tcPr>
            <w:tcW w:w="708" w:type="dxa"/>
            <w:noWrap w:val="0"/>
            <w:vAlign w:val="top"/>
          </w:tcPr>
          <w:p w14:paraId="686ED30F">
            <w:pPr>
              <w:spacing w:line="360" w:lineRule="auto"/>
              <w:rPr>
                <w:rFonts w:hint="eastAsia" w:ascii="宋体" w:hAnsi="宋体" w:cs="宋体"/>
                <w:color w:val="auto"/>
                <w:szCs w:val="21"/>
                <w:highlight w:val="none"/>
              </w:rPr>
            </w:pPr>
          </w:p>
        </w:tc>
        <w:tc>
          <w:tcPr>
            <w:tcW w:w="709" w:type="dxa"/>
            <w:noWrap w:val="0"/>
            <w:vAlign w:val="top"/>
          </w:tcPr>
          <w:p w14:paraId="197363E6">
            <w:pPr>
              <w:spacing w:line="360" w:lineRule="auto"/>
              <w:rPr>
                <w:rFonts w:hint="eastAsia" w:ascii="宋体" w:hAnsi="宋体" w:cs="宋体"/>
                <w:color w:val="auto"/>
                <w:szCs w:val="21"/>
                <w:highlight w:val="none"/>
              </w:rPr>
            </w:pPr>
          </w:p>
        </w:tc>
        <w:tc>
          <w:tcPr>
            <w:tcW w:w="851" w:type="dxa"/>
            <w:noWrap w:val="0"/>
            <w:vAlign w:val="top"/>
          </w:tcPr>
          <w:p w14:paraId="5C2A1130">
            <w:pPr>
              <w:spacing w:line="360" w:lineRule="auto"/>
              <w:rPr>
                <w:rFonts w:hint="eastAsia" w:ascii="宋体" w:hAnsi="宋体" w:cs="宋体"/>
                <w:color w:val="auto"/>
                <w:szCs w:val="21"/>
                <w:highlight w:val="none"/>
              </w:rPr>
            </w:pPr>
          </w:p>
        </w:tc>
        <w:tc>
          <w:tcPr>
            <w:tcW w:w="1134" w:type="dxa"/>
            <w:noWrap w:val="0"/>
            <w:vAlign w:val="top"/>
          </w:tcPr>
          <w:p w14:paraId="3CF6D6B3">
            <w:pPr>
              <w:spacing w:line="360" w:lineRule="auto"/>
              <w:rPr>
                <w:rFonts w:hint="eastAsia" w:ascii="宋体" w:hAnsi="宋体" w:cs="宋体"/>
                <w:color w:val="auto"/>
                <w:szCs w:val="21"/>
                <w:highlight w:val="none"/>
              </w:rPr>
            </w:pPr>
          </w:p>
        </w:tc>
        <w:tc>
          <w:tcPr>
            <w:tcW w:w="992" w:type="dxa"/>
            <w:noWrap w:val="0"/>
            <w:vAlign w:val="top"/>
          </w:tcPr>
          <w:p w14:paraId="12F3FF8D">
            <w:pPr>
              <w:spacing w:line="360" w:lineRule="auto"/>
              <w:rPr>
                <w:rFonts w:hint="eastAsia" w:ascii="宋体" w:hAnsi="宋体" w:cs="宋体"/>
                <w:color w:val="auto"/>
                <w:szCs w:val="21"/>
                <w:highlight w:val="none"/>
              </w:rPr>
            </w:pPr>
          </w:p>
        </w:tc>
        <w:tc>
          <w:tcPr>
            <w:tcW w:w="1134" w:type="dxa"/>
            <w:noWrap w:val="0"/>
            <w:vAlign w:val="top"/>
          </w:tcPr>
          <w:p w14:paraId="04A662B7">
            <w:pPr>
              <w:spacing w:line="360" w:lineRule="auto"/>
              <w:rPr>
                <w:rFonts w:hint="eastAsia" w:ascii="宋体" w:hAnsi="宋体" w:cs="宋体"/>
                <w:color w:val="auto"/>
                <w:szCs w:val="21"/>
                <w:highlight w:val="none"/>
              </w:rPr>
            </w:pPr>
          </w:p>
        </w:tc>
        <w:tc>
          <w:tcPr>
            <w:tcW w:w="992" w:type="dxa"/>
            <w:noWrap w:val="0"/>
            <w:vAlign w:val="top"/>
          </w:tcPr>
          <w:p w14:paraId="4F6D936B">
            <w:pPr>
              <w:spacing w:line="360" w:lineRule="auto"/>
              <w:rPr>
                <w:rFonts w:hint="eastAsia" w:ascii="宋体" w:hAnsi="宋体" w:cs="宋体"/>
                <w:color w:val="auto"/>
                <w:szCs w:val="21"/>
                <w:highlight w:val="none"/>
              </w:rPr>
            </w:pPr>
          </w:p>
        </w:tc>
      </w:tr>
    </w:tbl>
    <w:p w14:paraId="7F02C1D8">
      <w:pPr>
        <w:rPr>
          <w:rFonts w:hint="eastAsia" w:ascii="宋体" w:hAnsi="宋体" w:cs="宋体"/>
          <w:color w:val="auto"/>
          <w:highlight w:val="none"/>
        </w:rPr>
      </w:pPr>
    </w:p>
    <w:p w14:paraId="68186E59">
      <w:pPr>
        <w:rPr>
          <w:rFonts w:hint="eastAsia" w:ascii="宋体" w:hAnsi="宋体" w:cs="宋体"/>
          <w:color w:val="auto"/>
          <w:highlight w:val="none"/>
        </w:rPr>
      </w:pPr>
    </w:p>
    <w:p w14:paraId="1E366214">
      <w:pPr>
        <w:rPr>
          <w:rFonts w:hint="eastAsia" w:ascii="宋体" w:hAnsi="宋体" w:cs="宋体"/>
          <w:color w:val="auto"/>
          <w:highlight w:val="none"/>
        </w:rPr>
      </w:pPr>
      <w:r>
        <w:rPr>
          <w:rFonts w:hint="eastAsia" w:ascii="宋体" w:hAnsi="宋体" w:cs="宋体"/>
          <w:color w:val="auto"/>
          <w:highlight w:val="none"/>
        </w:rPr>
        <w:t>附表二：拟配备本工程的试验和检测仪器设备表</w:t>
      </w:r>
    </w:p>
    <w:tbl>
      <w:tblPr>
        <w:tblStyle w:val="5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8"/>
        <w:gridCol w:w="1226"/>
        <w:gridCol w:w="851"/>
        <w:gridCol w:w="708"/>
        <w:gridCol w:w="709"/>
        <w:gridCol w:w="1134"/>
        <w:gridCol w:w="1276"/>
        <w:gridCol w:w="1134"/>
        <w:gridCol w:w="1559"/>
      </w:tblGrid>
      <w:tr w14:paraId="4E71AD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8" w:type="dxa"/>
            <w:noWrap w:val="0"/>
            <w:vAlign w:val="center"/>
          </w:tcPr>
          <w:p w14:paraId="52C3420A">
            <w:pPr>
              <w:jc w:val="center"/>
              <w:rPr>
                <w:rFonts w:hint="eastAsia" w:ascii="宋体" w:hAnsi="宋体" w:cs="宋体"/>
                <w:color w:val="auto"/>
                <w:szCs w:val="21"/>
                <w:highlight w:val="none"/>
              </w:rPr>
            </w:pPr>
            <w:r>
              <w:rPr>
                <w:rFonts w:hint="eastAsia" w:ascii="宋体" w:hAnsi="宋体" w:cs="宋体"/>
                <w:color w:val="auto"/>
                <w:szCs w:val="21"/>
                <w:highlight w:val="none"/>
              </w:rPr>
              <w:t>序号</w:t>
            </w:r>
          </w:p>
        </w:tc>
        <w:tc>
          <w:tcPr>
            <w:tcW w:w="1226" w:type="dxa"/>
            <w:noWrap w:val="0"/>
            <w:vAlign w:val="center"/>
          </w:tcPr>
          <w:p w14:paraId="09D0B25E">
            <w:pPr>
              <w:jc w:val="center"/>
              <w:rPr>
                <w:rFonts w:hint="eastAsia" w:ascii="宋体" w:hAnsi="宋体" w:cs="宋体"/>
                <w:color w:val="auto"/>
                <w:szCs w:val="21"/>
                <w:highlight w:val="none"/>
              </w:rPr>
            </w:pPr>
            <w:r>
              <w:rPr>
                <w:rFonts w:hint="eastAsia" w:ascii="宋体" w:hAnsi="宋体" w:cs="宋体"/>
                <w:color w:val="auto"/>
                <w:szCs w:val="21"/>
                <w:highlight w:val="none"/>
              </w:rPr>
              <w:t>仪器设备名称</w:t>
            </w:r>
          </w:p>
        </w:tc>
        <w:tc>
          <w:tcPr>
            <w:tcW w:w="851" w:type="dxa"/>
            <w:noWrap w:val="0"/>
            <w:vAlign w:val="center"/>
          </w:tcPr>
          <w:p w14:paraId="6BD9285A">
            <w:pPr>
              <w:jc w:val="center"/>
              <w:rPr>
                <w:rFonts w:hint="eastAsia" w:ascii="宋体" w:hAnsi="宋体" w:cs="宋体"/>
                <w:color w:val="auto"/>
                <w:szCs w:val="21"/>
                <w:highlight w:val="none"/>
              </w:rPr>
            </w:pPr>
            <w:r>
              <w:rPr>
                <w:rFonts w:hint="eastAsia" w:ascii="宋体" w:hAnsi="宋体" w:cs="宋体"/>
                <w:color w:val="auto"/>
                <w:szCs w:val="21"/>
                <w:highlight w:val="none"/>
              </w:rPr>
              <w:t>型号</w:t>
            </w:r>
          </w:p>
          <w:p w14:paraId="68A3F422">
            <w:pPr>
              <w:jc w:val="center"/>
              <w:rPr>
                <w:rFonts w:hint="eastAsia" w:ascii="宋体" w:hAnsi="宋体" w:cs="宋体"/>
                <w:color w:val="auto"/>
                <w:szCs w:val="21"/>
                <w:highlight w:val="none"/>
              </w:rPr>
            </w:pPr>
            <w:r>
              <w:rPr>
                <w:rFonts w:hint="eastAsia" w:ascii="宋体" w:hAnsi="宋体" w:cs="宋体"/>
                <w:color w:val="auto"/>
                <w:szCs w:val="21"/>
                <w:highlight w:val="none"/>
              </w:rPr>
              <w:t>规格</w:t>
            </w:r>
          </w:p>
        </w:tc>
        <w:tc>
          <w:tcPr>
            <w:tcW w:w="708" w:type="dxa"/>
            <w:noWrap w:val="0"/>
            <w:vAlign w:val="center"/>
          </w:tcPr>
          <w:p w14:paraId="169B88B0">
            <w:pPr>
              <w:jc w:val="center"/>
              <w:rPr>
                <w:rFonts w:hint="eastAsia" w:ascii="宋体" w:hAnsi="宋体" w:cs="宋体"/>
                <w:color w:val="auto"/>
                <w:szCs w:val="21"/>
                <w:highlight w:val="none"/>
              </w:rPr>
            </w:pPr>
            <w:r>
              <w:rPr>
                <w:rFonts w:hint="eastAsia" w:ascii="宋体" w:hAnsi="宋体" w:cs="宋体"/>
                <w:color w:val="auto"/>
                <w:szCs w:val="21"/>
                <w:highlight w:val="none"/>
              </w:rPr>
              <w:t>数量</w:t>
            </w:r>
          </w:p>
        </w:tc>
        <w:tc>
          <w:tcPr>
            <w:tcW w:w="709" w:type="dxa"/>
            <w:noWrap w:val="0"/>
            <w:vAlign w:val="center"/>
          </w:tcPr>
          <w:p w14:paraId="1A93684A">
            <w:pPr>
              <w:jc w:val="center"/>
              <w:rPr>
                <w:rFonts w:hint="eastAsia" w:ascii="宋体" w:hAnsi="宋体" w:cs="宋体"/>
                <w:color w:val="auto"/>
                <w:szCs w:val="21"/>
                <w:highlight w:val="none"/>
              </w:rPr>
            </w:pPr>
            <w:r>
              <w:rPr>
                <w:rFonts w:hint="eastAsia" w:ascii="宋体" w:hAnsi="宋体" w:cs="宋体"/>
                <w:color w:val="auto"/>
                <w:szCs w:val="21"/>
                <w:highlight w:val="none"/>
              </w:rPr>
              <w:t>国别</w:t>
            </w:r>
          </w:p>
          <w:p w14:paraId="330F3A42">
            <w:pPr>
              <w:jc w:val="center"/>
              <w:rPr>
                <w:rFonts w:hint="eastAsia" w:ascii="宋体" w:hAnsi="宋体" w:cs="宋体"/>
                <w:color w:val="auto"/>
                <w:szCs w:val="21"/>
                <w:highlight w:val="none"/>
              </w:rPr>
            </w:pPr>
            <w:r>
              <w:rPr>
                <w:rFonts w:hint="eastAsia" w:ascii="宋体" w:hAnsi="宋体" w:cs="宋体"/>
                <w:color w:val="auto"/>
                <w:szCs w:val="21"/>
                <w:highlight w:val="none"/>
              </w:rPr>
              <w:t>产地</w:t>
            </w:r>
          </w:p>
        </w:tc>
        <w:tc>
          <w:tcPr>
            <w:tcW w:w="1134" w:type="dxa"/>
            <w:noWrap w:val="0"/>
            <w:vAlign w:val="center"/>
          </w:tcPr>
          <w:p w14:paraId="079DB1E4">
            <w:pPr>
              <w:jc w:val="center"/>
              <w:rPr>
                <w:rFonts w:hint="eastAsia" w:ascii="宋体" w:hAnsi="宋体" w:cs="宋体"/>
                <w:color w:val="auto"/>
                <w:szCs w:val="21"/>
                <w:highlight w:val="none"/>
              </w:rPr>
            </w:pPr>
            <w:r>
              <w:rPr>
                <w:rFonts w:hint="eastAsia" w:ascii="宋体" w:hAnsi="宋体" w:cs="宋体"/>
                <w:color w:val="auto"/>
                <w:szCs w:val="21"/>
                <w:highlight w:val="none"/>
              </w:rPr>
              <w:t>制造年份</w:t>
            </w:r>
          </w:p>
        </w:tc>
        <w:tc>
          <w:tcPr>
            <w:tcW w:w="1276" w:type="dxa"/>
            <w:noWrap w:val="0"/>
            <w:vAlign w:val="center"/>
          </w:tcPr>
          <w:p w14:paraId="15D94773">
            <w:pPr>
              <w:jc w:val="center"/>
              <w:rPr>
                <w:rFonts w:hint="eastAsia" w:ascii="宋体" w:hAnsi="宋体" w:cs="宋体"/>
                <w:color w:val="auto"/>
                <w:szCs w:val="21"/>
                <w:highlight w:val="none"/>
              </w:rPr>
            </w:pPr>
            <w:r>
              <w:rPr>
                <w:rFonts w:hint="eastAsia" w:ascii="宋体" w:hAnsi="宋体" w:cs="宋体"/>
                <w:color w:val="auto"/>
                <w:szCs w:val="21"/>
                <w:highlight w:val="none"/>
              </w:rPr>
              <w:t>已使用</w:t>
            </w:r>
          </w:p>
          <w:p w14:paraId="3A922689">
            <w:pPr>
              <w:jc w:val="center"/>
              <w:rPr>
                <w:rFonts w:hint="eastAsia" w:ascii="宋体" w:hAnsi="宋体" w:cs="宋体"/>
                <w:color w:val="auto"/>
                <w:szCs w:val="21"/>
                <w:highlight w:val="none"/>
              </w:rPr>
            </w:pPr>
            <w:r>
              <w:rPr>
                <w:rFonts w:hint="eastAsia" w:ascii="宋体" w:hAnsi="宋体" w:cs="宋体"/>
                <w:color w:val="auto"/>
                <w:szCs w:val="21"/>
                <w:highlight w:val="none"/>
              </w:rPr>
              <w:t>台时数</w:t>
            </w:r>
          </w:p>
        </w:tc>
        <w:tc>
          <w:tcPr>
            <w:tcW w:w="1134" w:type="dxa"/>
            <w:noWrap w:val="0"/>
            <w:vAlign w:val="center"/>
          </w:tcPr>
          <w:p w14:paraId="2BDC0944">
            <w:pPr>
              <w:jc w:val="center"/>
              <w:rPr>
                <w:rFonts w:hint="eastAsia" w:ascii="宋体" w:hAnsi="宋体" w:cs="宋体"/>
                <w:color w:val="auto"/>
                <w:szCs w:val="21"/>
                <w:highlight w:val="none"/>
              </w:rPr>
            </w:pPr>
            <w:r>
              <w:rPr>
                <w:rFonts w:hint="eastAsia" w:ascii="宋体" w:hAnsi="宋体" w:cs="宋体"/>
                <w:color w:val="auto"/>
                <w:szCs w:val="21"/>
                <w:highlight w:val="none"/>
              </w:rPr>
              <w:t>用途</w:t>
            </w:r>
          </w:p>
        </w:tc>
        <w:tc>
          <w:tcPr>
            <w:tcW w:w="1559" w:type="dxa"/>
            <w:noWrap w:val="0"/>
            <w:vAlign w:val="center"/>
          </w:tcPr>
          <w:p w14:paraId="1780DDEF">
            <w:pPr>
              <w:jc w:val="center"/>
              <w:rPr>
                <w:rFonts w:hint="eastAsia" w:ascii="宋体" w:hAnsi="宋体" w:cs="宋体"/>
                <w:color w:val="auto"/>
                <w:szCs w:val="21"/>
                <w:highlight w:val="none"/>
              </w:rPr>
            </w:pPr>
            <w:r>
              <w:rPr>
                <w:rFonts w:hint="eastAsia" w:ascii="宋体" w:hAnsi="宋体" w:cs="宋体"/>
                <w:color w:val="auto"/>
                <w:szCs w:val="21"/>
                <w:highlight w:val="none"/>
              </w:rPr>
              <w:t>备注</w:t>
            </w:r>
          </w:p>
        </w:tc>
      </w:tr>
      <w:tr w14:paraId="31F07E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8" w:type="dxa"/>
            <w:noWrap w:val="0"/>
            <w:vAlign w:val="center"/>
          </w:tcPr>
          <w:p w14:paraId="4BA4D541">
            <w:pPr>
              <w:spacing w:line="360" w:lineRule="auto"/>
              <w:ind w:firstLine="420" w:firstLineChars="200"/>
              <w:rPr>
                <w:rFonts w:hint="eastAsia" w:ascii="宋体" w:hAnsi="宋体" w:cs="宋体"/>
                <w:color w:val="auto"/>
                <w:szCs w:val="21"/>
                <w:highlight w:val="none"/>
              </w:rPr>
            </w:pPr>
          </w:p>
        </w:tc>
        <w:tc>
          <w:tcPr>
            <w:tcW w:w="1226" w:type="dxa"/>
            <w:noWrap w:val="0"/>
            <w:vAlign w:val="center"/>
          </w:tcPr>
          <w:p w14:paraId="5B8B97E0">
            <w:pPr>
              <w:spacing w:line="360" w:lineRule="auto"/>
              <w:ind w:firstLine="420" w:firstLineChars="200"/>
              <w:rPr>
                <w:rFonts w:hint="eastAsia" w:ascii="宋体" w:hAnsi="宋体" w:cs="宋体"/>
                <w:color w:val="auto"/>
                <w:szCs w:val="21"/>
                <w:highlight w:val="none"/>
              </w:rPr>
            </w:pPr>
          </w:p>
        </w:tc>
        <w:tc>
          <w:tcPr>
            <w:tcW w:w="851" w:type="dxa"/>
            <w:noWrap w:val="0"/>
            <w:vAlign w:val="center"/>
          </w:tcPr>
          <w:p w14:paraId="228879F8">
            <w:pPr>
              <w:spacing w:line="360" w:lineRule="auto"/>
              <w:ind w:firstLine="420" w:firstLineChars="200"/>
              <w:rPr>
                <w:rFonts w:hint="eastAsia" w:ascii="宋体" w:hAnsi="宋体" w:cs="宋体"/>
                <w:color w:val="auto"/>
                <w:szCs w:val="21"/>
                <w:highlight w:val="none"/>
              </w:rPr>
            </w:pPr>
          </w:p>
        </w:tc>
        <w:tc>
          <w:tcPr>
            <w:tcW w:w="708" w:type="dxa"/>
            <w:noWrap w:val="0"/>
            <w:vAlign w:val="center"/>
          </w:tcPr>
          <w:p w14:paraId="76F19796">
            <w:pPr>
              <w:spacing w:line="360" w:lineRule="auto"/>
              <w:ind w:firstLine="420" w:firstLineChars="200"/>
              <w:rPr>
                <w:rFonts w:hint="eastAsia" w:ascii="宋体" w:hAnsi="宋体" w:cs="宋体"/>
                <w:color w:val="auto"/>
                <w:szCs w:val="21"/>
                <w:highlight w:val="none"/>
              </w:rPr>
            </w:pPr>
          </w:p>
        </w:tc>
        <w:tc>
          <w:tcPr>
            <w:tcW w:w="709" w:type="dxa"/>
            <w:noWrap w:val="0"/>
            <w:vAlign w:val="center"/>
          </w:tcPr>
          <w:p w14:paraId="330E27B5">
            <w:pPr>
              <w:spacing w:line="360" w:lineRule="auto"/>
              <w:ind w:firstLine="420" w:firstLineChars="200"/>
              <w:rPr>
                <w:rFonts w:hint="eastAsia" w:ascii="宋体" w:hAnsi="宋体" w:cs="宋体"/>
                <w:color w:val="auto"/>
                <w:szCs w:val="21"/>
                <w:highlight w:val="none"/>
              </w:rPr>
            </w:pPr>
          </w:p>
        </w:tc>
        <w:tc>
          <w:tcPr>
            <w:tcW w:w="1134" w:type="dxa"/>
            <w:noWrap w:val="0"/>
            <w:vAlign w:val="center"/>
          </w:tcPr>
          <w:p w14:paraId="21EA959C">
            <w:pPr>
              <w:spacing w:line="360" w:lineRule="auto"/>
              <w:ind w:firstLine="420" w:firstLineChars="200"/>
              <w:rPr>
                <w:rFonts w:hint="eastAsia" w:ascii="宋体" w:hAnsi="宋体" w:cs="宋体"/>
                <w:color w:val="auto"/>
                <w:szCs w:val="21"/>
                <w:highlight w:val="none"/>
              </w:rPr>
            </w:pPr>
          </w:p>
        </w:tc>
        <w:tc>
          <w:tcPr>
            <w:tcW w:w="1276" w:type="dxa"/>
            <w:noWrap w:val="0"/>
            <w:vAlign w:val="center"/>
          </w:tcPr>
          <w:p w14:paraId="4A484E8B">
            <w:pPr>
              <w:spacing w:line="360" w:lineRule="auto"/>
              <w:ind w:firstLine="420" w:firstLineChars="200"/>
              <w:rPr>
                <w:rFonts w:hint="eastAsia" w:ascii="宋体" w:hAnsi="宋体" w:cs="宋体"/>
                <w:color w:val="auto"/>
                <w:szCs w:val="21"/>
                <w:highlight w:val="none"/>
              </w:rPr>
            </w:pPr>
          </w:p>
        </w:tc>
        <w:tc>
          <w:tcPr>
            <w:tcW w:w="1134" w:type="dxa"/>
            <w:noWrap w:val="0"/>
            <w:vAlign w:val="center"/>
          </w:tcPr>
          <w:p w14:paraId="1670EFD7">
            <w:pPr>
              <w:spacing w:line="360" w:lineRule="auto"/>
              <w:ind w:firstLine="420" w:firstLineChars="200"/>
              <w:rPr>
                <w:rFonts w:hint="eastAsia" w:ascii="宋体" w:hAnsi="宋体" w:cs="宋体"/>
                <w:color w:val="auto"/>
                <w:szCs w:val="21"/>
                <w:highlight w:val="none"/>
              </w:rPr>
            </w:pPr>
          </w:p>
        </w:tc>
        <w:tc>
          <w:tcPr>
            <w:tcW w:w="1559" w:type="dxa"/>
            <w:noWrap w:val="0"/>
            <w:vAlign w:val="center"/>
          </w:tcPr>
          <w:p w14:paraId="28F705C7">
            <w:pPr>
              <w:spacing w:line="360" w:lineRule="auto"/>
              <w:ind w:firstLine="420" w:firstLineChars="200"/>
              <w:rPr>
                <w:rFonts w:hint="eastAsia" w:ascii="宋体" w:hAnsi="宋体" w:cs="宋体"/>
                <w:color w:val="auto"/>
                <w:szCs w:val="21"/>
                <w:highlight w:val="none"/>
              </w:rPr>
            </w:pPr>
          </w:p>
        </w:tc>
      </w:tr>
      <w:tr w14:paraId="6B7C90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8" w:type="dxa"/>
            <w:noWrap w:val="0"/>
            <w:vAlign w:val="center"/>
          </w:tcPr>
          <w:p w14:paraId="0F9790AC">
            <w:pPr>
              <w:spacing w:line="360" w:lineRule="auto"/>
              <w:ind w:firstLine="420" w:firstLineChars="200"/>
              <w:rPr>
                <w:rFonts w:hint="eastAsia" w:ascii="宋体" w:hAnsi="宋体" w:cs="宋体"/>
                <w:color w:val="auto"/>
                <w:szCs w:val="21"/>
                <w:highlight w:val="none"/>
              </w:rPr>
            </w:pPr>
          </w:p>
        </w:tc>
        <w:tc>
          <w:tcPr>
            <w:tcW w:w="1226" w:type="dxa"/>
            <w:noWrap w:val="0"/>
            <w:vAlign w:val="center"/>
          </w:tcPr>
          <w:p w14:paraId="28739C3D">
            <w:pPr>
              <w:spacing w:line="360" w:lineRule="auto"/>
              <w:ind w:firstLine="420" w:firstLineChars="200"/>
              <w:rPr>
                <w:rFonts w:hint="eastAsia" w:ascii="宋体" w:hAnsi="宋体" w:cs="宋体"/>
                <w:color w:val="auto"/>
                <w:szCs w:val="21"/>
                <w:highlight w:val="none"/>
              </w:rPr>
            </w:pPr>
          </w:p>
        </w:tc>
        <w:tc>
          <w:tcPr>
            <w:tcW w:w="851" w:type="dxa"/>
            <w:noWrap w:val="0"/>
            <w:vAlign w:val="center"/>
          </w:tcPr>
          <w:p w14:paraId="02311FDF">
            <w:pPr>
              <w:spacing w:line="360" w:lineRule="auto"/>
              <w:ind w:firstLine="420" w:firstLineChars="200"/>
              <w:rPr>
                <w:rFonts w:hint="eastAsia" w:ascii="宋体" w:hAnsi="宋体" w:cs="宋体"/>
                <w:color w:val="auto"/>
                <w:szCs w:val="21"/>
                <w:highlight w:val="none"/>
              </w:rPr>
            </w:pPr>
          </w:p>
        </w:tc>
        <w:tc>
          <w:tcPr>
            <w:tcW w:w="708" w:type="dxa"/>
            <w:noWrap w:val="0"/>
            <w:vAlign w:val="center"/>
          </w:tcPr>
          <w:p w14:paraId="0172716E">
            <w:pPr>
              <w:spacing w:line="360" w:lineRule="auto"/>
              <w:ind w:firstLine="420" w:firstLineChars="200"/>
              <w:rPr>
                <w:rFonts w:hint="eastAsia" w:ascii="宋体" w:hAnsi="宋体" w:cs="宋体"/>
                <w:color w:val="auto"/>
                <w:szCs w:val="21"/>
                <w:highlight w:val="none"/>
              </w:rPr>
            </w:pPr>
          </w:p>
        </w:tc>
        <w:tc>
          <w:tcPr>
            <w:tcW w:w="709" w:type="dxa"/>
            <w:noWrap w:val="0"/>
            <w:vAlign w:val="center"/>
          </w:tcPr>
          <w:p w14:paraId="27A9F3D6">
            <w:pPr>
              <w:spacing w:line="360" w:lineRule="auto"/>
              <w:ind w:firstLine="420" w:firstLineChars="200"/>
              <w:rPr>
                <w:rFonts w:hint="eastAsia" w:ascii="宋体" w:hAnsi="宋体" w:cs="宋体"/>
                <w:color w:val="auto"/>
                <w:szCs w:val="21"/>
                <w:highlight w:val="none"/>
              </w:rPr>
            </w:pPr>
          </w:p>
        </w:tc>
        <w:tc>
          <w:tcPr>
            <w:tcW w:w="1134" w:type="dxa"/>
            <w:noWrap w:val="0"/>
            <w:vAlign w:val="center"/>
          </w:tcPr>
          <w:p w14:paraId="120DF2A5">
            <w:pPr>
              <w:spacing w:line="360" w:lineRule="auto"/>
              <w:ind w:firstLine="420" w:firstLineChars="200"/>
              <w:rPr>
                <w:rFonts w:hint="eastAsia" w:ascii="宋体" w:hAnsi="宋体" w:cs="宋体"/>
                <w:color w:val="auto"/>
                <w:szCs w:val="21"/>
                <w:highlight w:val="none"/>
              </w:rPr>
            </w:pPr>
          </w:p>
        </w:tc>
        <w:tc>
          <w:tcPr>
            <w:tcW w:w="1276" w:type="dxa"/>
            <w:noWrap w:val="0"/>
            <w:vAlign w:val="center"/>
          </w:tcPr>
          <w:p w14:paraId="48D89E50">
            <w:pPr>
              <w:spacing w:line="360" w:lineRule="auto"/>
              <w:ind w:firstLine="420" w:firstLineChars="200"/>
              <w:rPr>
                <w:rFonts w:hint="eastAsia" w:ascii="宋体" w:hAnsi="宋体" w:cs="宋体"/>
                <w:color w:val="auto"/>
                <w:szCs w:val="21"/>
                <w:highlight w:val="none"/>
              </w:rPr>
            </w:pPr>
          </w:p>
        </w:tc>
        <w:tc>
          <w:tcPr>
            <w:tcW w:w="1134" w:type="dxa"/>
            <w:noWrap w:val="0"/>
            <w:vAlign w:val="center"/>
          </w:tcPr>
          <w:p w14:paraId="43DC04D2">
            <w:pPr>
              <w:spacing w:line="360" w:lineRule="auto"/>
              <w:ind w:firstLine="420" w:firstLineChars="200"/>
              <w:rPr>
                <w:rFonts w:hint="eastAsia" w:ascii="宋体" w:hAnsi="宋体" w:cs="宋体"/>
                <w:color w:val="auto"/>
                <w:szCs w:val="21"/>
                <w:highlight w:val="none"/>
              </w:rPr>
            </w:pPr>
          </w:p>
        </w:tc>
        <w:tc>
          <w:tcPr>
            <w:tcW w:w="1559" w:type="dxa"/>
            <w:noWrap w:val="0"/>
            <w:vAlign w:val="center"/>
          </w:tcPr>
          <w:p w14:paraId="047C5C84">
            <w:pPr>
              <w:spacing w:line="360" w:lineRule="auto"/>
              <w:ind w:firstLine="420" w:firstLineChars="200"/>
              <w:rPr>
                <w:rFonts w:hint="eastAsia" w:ascii="宋体" w:hAnsi="宋体" w:cs="宋体"/>
                <w:color w:val="auto"/>
                <w:szCs w:val="21"/>
                <w:highlight w:val="none"/>
              </w:rPr>
            </w:pPr>
          </w:p>
        </w:tc>
      </w:tr>
      <w:tr w14:paraId="0D9780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8" w:type="dxa"/>
            <w:noWrap w:val="0"/>
            <w:vAlign w:val="center"/>
          </w:tcPr>
          <w:p w14:paraId="2D0CAA6D">
            <w:pPr>
              <w:spacing w:line="360" w:lineRule="auto"/>
              <w:ind w:firstLine="420" w:firstLineChars="200"/>
              <w:rPr>
                <w:rFonts w:hint="eastAsia" w:ascii="宋体" w:hAnsi="宋体" w:cs="宋体"/>
                <w:color w:val="auto"/>
                <w:szCs w:val="21"/>
                <w:highlight w:val="none"/>
              </w:rPr>
            </w:pPr>
          </w:p>
        </w:tc>
        <w:tc>
          <w:tcPr>
            <w:tcW w:w="1226" w:type="dxa"/>
            <w:noWrap w:val="0"/>
            <w:vAlign w:val="center"/>
          </w:tcPr>
          <w:p w14:paraId="79FE1ADC">
            <w:pPr>
              <w:spacing w:line="360" w:lineRule="auto"/>
              <w:ind w:firstLine="420" w:firstLineChars="200"/>
              <w:rPr>
                <w:rFonts w:hint="eastAsia" w:ascii="宋体" w:hAnsi="宋体" w:cs="宋体"/>
                <w:color w:val="auto"/>
                <w:szCs w:val="21"/>
                <w:highlight w:val="none"/>
              </w:rPr>
            </w:pPr>
          </w:p>
        </w:tc>
        <w:tc>
          <w:tcPr>
            <w:tcW w:w="851" w:type="dxa"/>
            <w:noWrap w:val="0"/>
            <w:vAlign w:val="center"/>
          </w:tcPr>
          <w:p w14:paraId="7DF4FFE1">
            <w:pPr>
              <w:spacing w:line="360" w:lineRule="auto"/>
              <w:ind w:firstLine="420" w:firstLineChars="200"/>
              <w:rPr>
                <w:rFonts w:hint="eastAsia" w:ascii="宋体" w:hAnsi="宋体" w:cs="宋体"/>
                <w:color w:val="auto"/>
                <w:szCs w:val="21"/>
                <w:highlight w:val="none"/>
              </w:rPr>
            </w:pPr>
          </w:p>
        </w:tc>
        <w:tc>
          <w:tcPr>
            <w:tcW w:w="708" w:type="dxa"/>
            <w:noWrap w:val="0"/>
            <w:vAlign w:val="center"/>
          </w:tcPr>
          <w:p w14:paraId="2789B4CE">
            <w:pPr>
              <w:spacing w:line="360" w:lineRule="auto"/>
              <w:ind w:firstLine="420" w:firstLineChars="200"/>
              <w:rPr>
                <w:rFonts w:hint="eastAsia" w:ascii="宋体" w:hAnsi="宋体" w:cs="宋体"/>
                <w:color w:val="auto"/>
                <w:szCs w:val="21"/>
                <w:highlight w:val="none"/>
              </w:rPr>
            </w:pPr>
          </w:p>
        </w:tc>
        <w:tc>
          <w:tcPr>
            <w:tcW w:w="709" w:type="dxa"/>
            <w:noWrap w:val="0"/>
            <w:vAlign w:val="center"/>
          </w:tcPr>
          <w:p w14:paraId="6719916A">
            <w:pPr>
              <w:spacing w:line="360" w:lineRule="auto"/>
              <w:ind w:firstLine="420" w:firstLineChars="200"/>
              <w:rPr>
                <w:rFonts w:hint="eastAsia" w:ascii="宋体" w:hAnsi="宋体" w:cs="宋体"/>
                <w:color w:val="auto"/>
                <w:szCs w:val="21"/>
                <w:highlight w:val="none"/>
              </w:rPr>
            </w:pPr>
          </w:p>
        </w:tc>
        <w:tc>
          <w:tcPr>
            <w:tcW w:w="1134" w:type="dxa"/>
            <w:noWrap w:val="0"/>
            <w:vAlign w:val="center"/>
          </w:tcPr>
          <w:p w14:paraId="19D9FBB8">
            <w:pPr>
              <w:spacing w:line="360" w:lineRule="auto"/>
              <w:ind w:firstLine="420" w:firstLineChars="200"/>
              <w:rPr>
                <w:rFonts w:hint="eastAsia" w:ascii="宋体" w:hAnsi="宋体" w:cs="宋体"/>
                <w:color w:val="auto"/>
                <w:szCs w:val="21"/>
                <w:highlight w:val="none"/>
              </w:rPr>
            </w:pPr>
          </w:p>
        </w:tc>
        <w:tc>
          <w:tcPr>
            <w:tcW w:w="1276" w:type="dxa"/>
            <w:noWrap w:val="0"/>
            <w:vAlign w:val="center"/>
          </w:tcPr>
          <w:p w14:paraId="754565C2">
            <w:pPr>
              <w:spacing w:line="360" w:lineRule="auto"/>
              <w:ind w:firstLine="420" w:firstLineChars="200"/>
              <w:rPr>
                <w:rFonts w:hint="eastAsia" w:ascii="宋体" w:hAnsi="宋体" w:cs="宋体"/>
                <w:color w:val="auto"/>
                <w:szCs w:val="21"/>
                <w:highlight w:val="none"/>
              </w:rPr>
            </w:pPr>
          </w:p>
        </w:tc>
        <w:tc>
          <w:tcPr>
            <w:tcW w:w="1134" w:type="dxa"/>
            <w:noWrap w:val="0"/>
            <w:vAlign w:val="center"/>
          </w:tcPr>
          <w:p w14:paraId="0D1D0B7B">
            <w:pPr>
              <w:spacing w:line="360" w:lineRule="auto"/>
              <w:ind w:firstLine="420" w:firstLineChars="200"/>
              <w:rPr>
                <w:rFonts w:hint="eastAsia" w:ascii="宋体" w:hAnsi="宋体" w:cs="宋体"/>
                <w:color w:val="auto"/>
                <w:szCs w:val="21"/>
                <w:highlight w:val="none"/>
              </w:rPr>
            </w:pPr>
          </w:p>
        </w:tc>
        <w:tc>
          <w:tcPr>
            <w:tcW w:w="1559" w:type="dxa"/>
            <w:noWrap w:val="0"/>
            <w:vAlign w:val="center"/>
          </w:tcPr>
          <w:p w14:paraId="10D4E158">
            <w:pPr>
              <w:spacing w:line="360" w:lineRule="auto"/>
              <w:ind w:firstLine="420" w:firstLineChars="200"/>
              <w:rPr>
                <w:rFonts w:hint="eastAsia" w:ascii="宋体" w:hAnsi="宋体" w:cs="宋体"/>
                <w:color w:val="auto"/>
                <w:szCs w:val="21"/>
                <w:highlight w:val="none"/>
              </w:rPr>
            </w:pPr>
          </w:p>
        </w:tc>
      </w:tr>
      <w:tr w14:paraId="1749FE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8" w:type="dxa"/>
            <w:noWrap w:val="0"/>
            <w:vAlign w:val="center"/>
          </w:tcPr>
          <w:p w14:paraId="1CBB47D6">
            <w:pPr>
              <w:spacing w:line="360" w:lineRule="auto"/>
              <w:ind w:firstLine="420" w:firstLineChars="200"/>
              <w:rPr>
                <w:rFonts w:hint="eastAsia" w:ascii="宋体" w:hAnsi="宋体" w:cs="宋体"/>
                <w:color w:val="auto"/>
                <w:szCs w:val="21"/>
                <w:highlight w:val="none"/>
              </w:rPr>
            </w:pPr>
          </w:p>
        </w:tc>
        <w:tc>
          <w:tcPr>
            <w:tcW w:w="1226" w:type="dxa"/>
            <w:noWrap w:val="0"/>
            <w:vAlign w:val="center"/>
          </w:tcPr>
          <w:p w14:paraId="2A23866D">
            <w:pPr>
              <w:spacing w:line="360" w:lineRule="auto"/>
              <w:ind w:firstLine="420" w:firstLineChars="200"/>
              <w:rPr>
                <w:rFonts w:hint="eastAsia" w:ascii="宋体" w:hAnsi="宋体" w:cs="宋体"/>
                <w:color w:val="auto"/>
                <w:szCs w:val="21"/>
                <w:highlight w:val="none"/>
              </w:rPr>
            </w:pPr>
          </w:p>
        </w:tc>
        <w:tc>
          <w:tcPr>
            <w:tcW w:w="851" w:type="dxa"/>
            <w:noWrap w:val="0"/>
            <w:vAlign w:val="center"/>
          </w:tcPr>
          <w:p w14:paraId="536CD665">
            <w:pPr>
              <w:spacing w:line="360" w:lineRule="auto"/>
              <w:ind w:firstLine="420" w:firstLineChars="200"/>
              <w:rPr>
                <w:rFonts w:hint="eastAsia" w:ascii="宋体" w:hAnsi="宋体" w:cs="宋体"/>
                <w:color w:val="auto"/>
                <w:szCs w:val="21"/>
                <w:highlight w:val="none"/>
              </w:rPr>
            </w:pPr>
          </w:p>
        </w:tc>
        <w:tc>
          <w:tcPr>
            <w:tcW w:w="708" w:type="dxa"/>
            <w:noWrap w:val="0"/>
            <w:vAlign w:val="center"/>
          </w:tcPr>
          <w:p w14:paraId="4FA8FF47">
            <w:pPr>
              <w:spacing w:line="360" w:lineRule="auto"/>
              <w:ind w:firstLine="420" w:firstLineChars="200"/>
              <w:rPr>
                <w:rFonts w:hint="eastAsia" w:ascii="宋体" w:hAnsi="宋体" w:cs="宋体"/>
                <w:color w:val="auto"/>
                <w:szCs w:val="21"/>
                <w:highlight w:val="none"/>
              </w:rPr>
            </w:pPr>
          </w:p>
        </w:tc>
        <w:tc>
          <w:tcPr>
            <w:tcW w:w="709" w:type="dxa"/>
            <w:noWrap w:val="0"/>
            <w:vAlign w:val="center"/>
          </w:tcPr>
          <w:p w14:paraId="268DF3BD">
            <w:pPr>
              <w:spacing w:line="360" w:lineRule="auto"/>
              <w:ind w:firstLine="420" w:firstLineChars="200"/>
              <w:rPr>
                <w:rFonts w:hint="eastAsia" w:ascii="宋体" w:hAnsi="宋体" w:cs="宋体"/>
                <w:color w:val="auto"/>
                <w:szCs w:val="21"/>
                <w:highlight w:val="none"/>
              </w:rPr>
            </w:pPr>
          </w:p>
        </w:tc>
        <w:tc>
          <w:tcPr>
            <w:tcW w:w="1134" w:type="dxa"/>
            <w:noWrap w:val="0"/>
            <w:vAlign w:val="center"/>
          </w:tcPr>
          <w:p w14:paraId="719E3A34">
            <w:pPr>
              <w:spacing w:line="360" w:lineRule="auto"/>
              <w:ind w:firstLine="420" w:firstLineChars="200"/>
              <w:rPr>
                <w:rFonts w:hint="eastAsia" w:ascii="宋体" w:hAnsi="宋体" w:cs="宋体"/>
                <w:color w:val="auto"/>
                <w:szCs w:val="21"/>
                <w:highlight w:val="none"/>
              </w:rPr>
            </w:pPr>
          </w:p>
        </w:tc>
        <w:tc>
          <w:tcPr>
            <w:tcW w:w="1276" w:type="dxa"/>
            <w:noWrap w:val="0"/>
            <w:vAlign w:val="center"/>
          </w:tcPr>
          <w:p w14:paraId="0D620B48">
            <w:pPr>
              <w:spacing w:line="360" w:lineRule="auto"/>
              <w:ind w:firstLine="420" w:firstLineChars="200"/>
              <w:rPr>
                <w:rFonts w:hint="eastAsia" w:ascii="宋体" w:hAnsi="宋体" w:cs="宋体"/>
                <w:color w:val="auto"/>
                <w:szCs w:val="21"/>
                <w:highlight w:val="none"/>
              </w:rPr>
            </w:pPr>
          </w:p>
        </w:tc>
        <w:tc>
          <w:tcPr>
            <w:tcW w:w="1134" w:type="dxa"/>
            <w:noWrap w:val="0"/>
            <w:vAlign w:val="center"/>
          </w:tcPr>
          <w:p w14:paraId="681C923D">
            <w:pPr>
              <w:spacing w:line="360" w:lineRule="auto"/>
              <w:ind w:firstLine="420" w:firstLineChars="200"/>
              <w:rPr>
                <w:rFonts w:hint="eastAsia" w:ascii="宋体" w:hAnsi="宋体" w:cs="宋体"/>
                <w:color w:val="auto"/>
                <w:szCs w:val="21"/>
                <w:highlight w:val="none"/>
              </w:rPr>
            </w:pPr>
          </w:p>
        </w:tc>
        <w:tc>
          <w:tcPr>
            <w:tcW w:w="1559" w:type="dxa"/>
            <w:noWrap w:val="0"/>
            <w:vAlign w:val="center"/>
          </w:tcPr>
          <w:p w14:paraId="70B4A82F">
            <w:pPr>
              <w:spacing w:line="360" w:lineRule="auto"/>
              <w:ind w:firstLine="420" w:firstLineChars="200"/>
              <w:rPr>
                <w:rFonts w:hint="eastAsia" w:ascii="宋体" w:hAnsi="宋体" w:cs="宋体"/>
                <w:color w:val="auto"/>
                <w:szCs w:val="21"/>
                <w:highlight w:val="none"/>
              </w:rPr>
            </w:pPr>
          </w:p>
        </w:tc>
      </w:tr>
      <w:tr w14:paraId="7D5B84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8" w:type="dxa"/>
            <w:noWrap w:val="0"/>
            <w:vAlign w:val="center"/>
          </w:tcPr>
          <w:p w14:paraId="38EB9540">
            <w:pPr>
              <w:spacing w:line="360" w:lineRule="auto"/>
              <w:ind w:firstLine="420" w:firstLineChars="200"/>
              <w:rPr>
                <w:rFonts w:hint="eastAsia" w:ascii="宋体" w:hAnsi="宋体" w:cs="宋体"/>
                <w:color w:val="auto"/>
                <w:szCs w:val="21"/>
                <w:highlight w:val="none"/>
              </w:rPr>
            </w:pPr>
          </w:p>
        </w:tc>
        <w:tc>
          <w:tcPr>
            <w:tcW w:w="1226" w:type="dxa"/>
            <w:noWrap w:val="0"/>
            <w:vAlign w:val="center"/>
          </w:tcPr>
          <w:p w14:paraId="3AFEFB28">
            <w:pPr>
              <w:spacing w:line="360" w:lineRule="auto"/>
              <w:ind w:firstLine="420" w:firstLineChars="200"/>
              <w:rPr>
                <w:rFonts w:hint="eastAsia" w:ascii="宋体" w:hAnsi="宋体" w:cs="宋体"/>
                <w:color w:val="auto"/>
                <w:szCs w:val="21"/>
                <w:highlight w:val="none"/>
              </w:rPr>
            </w:pPr>
          </w:p>
        </w:tc>
        <w:tc>
          <w:tcPr>
            <w:tcW w:w="851" w:type="dxa"/>
            <w:noWrap w:val="0"/>
            <w:vAlign w:val="center"/>
          </w:tcPr>
          <w:p w14:paraId="3F7E6004">
            <w:pPr>
              <w:spacing w:line="360" w:lineRule="auto"/>
              <w:ind w:firstLine="420" w:firstLineChars="200"/>
              <w:rPr>
                <w:rFonts w:hint="eastAsia" w:ascii="宋体" w:hAnsi="宋体" w:cs="宋体"/>
                <w:color w:val="auto"/>
                <w:szCs w:val="21"/>
                <w:highlight w:val="none"/>
              </w:rPr>
            </w:pPr>
          </w:p>
        </w:tc>
        <w:tc>
          <w:tcPr>
            <w:tcW w:w="708" w:type="dxa"/>
            <w:noWrap w:val="0"/>
            <w:vAlign w:val="center"/>
          </w:tcPr>
          <w:p w14:paraId="5F0A91B7">
            <w:pPr>
              <w:spacing w:line="360" w:lineRule="auto"/>
              <w:ind w:firstLine="420" w:firstLineChars="200"/>
              <w:rPr>
                <w:rFonts w:hint="eastAsia" w:ascii="宋体" w:hAnsi="宋体" w:cs="宋体"/>
                <w:color w:val="auto"/>
                <w:szCs w:val="21"/>
                <w:highlight w:val="none"/>
              </w:rPr>
            </w:pPr>
          </w:p>
        </w:tc>
        <w:tc>
          <w:tcPr>
            <w:tcW w:w="709" w:type="dxa"/>
            <w:noWrap w:val="0"/>
            <w:vAlign w:val="center"/>
          </w:tcPr>
          <w:p w14:paraId="3347215B">
            <w:pPr>
              <w:spacing w:line="360" w:lineRule="auto"/>
              <w:ind w:firstLine="420" w:firstLineChars="200"/>
              <w:rPr>
                <w:rFonts w:hint="eastAsia" w:ascii="宋体" w:hAnsi="宋体" w:cs="宋体"/>
                <w:color w:val="auto"/>
                <w:szCs w:val="21"/>
                <w:highlight w:val="none"/>
              </w:rPr>
            </w:pPr>
          </w:p>
        </w:tc>
        <w:tc>
          <w:tcPr>
            <w:tcW w:w="1134" w:type="dxa"/>
            <w:noWrap w:val="0"/>
            <w:vAlign w:val="center"/>
          </w:tcPr>
          <w:p w14:paraId="071E6B86">
            <w:pPr>
              <w:spacing w:line="360" w:lineRule="auto"/>
              <w:ind w:firstLine="420" w:firstLineChars="200"/>
              <w:rPr>
                <w:rFonts w:hint="eastAsia" w:ascii="宋体" w:hAnsi="宋体" w:cs="宋体"/>
                <w:color w:val="auto"/>
                <w:szCs w:val="21"/>
                <w:highlight w:val="none"/>
              </w:rPr>
            </w:pPr>
          </w:p>
        </w:tc>
        <w:tc>
          <w:tcPr>
            <w:tcW w:w="1276" w:type="dxa"/>
            <w:noWrap w:val="0"/>
            <w:vAlign w:val="center"/>
          </w:tcPr>
          <w:p w14:paraId="18A47C25">
            <w:pPr>
              <w:spacing w:line="360" w:lineRule="auto"/>
              <w:ind w:firstLine="420" w:firstLineChars="200"/>
              <w:rPr>
                <w:rFonts w:hint="eastAsia" w:ascii="宋体" w:hAnsi="宋体" w:cs="宋体"/>
                <w:color w:val="auto"/>
                <w:szCs w:val="21"/>
                <w:highlight w:val="none"/>
              </w:rPr>
            </w:pPr>
          </w:p>
        </w:tc>
        <w:tc>
          <w:tcPr>
            <w:tcW w:w="1134" w:type="dxa"/>
            <w:noWrap w:val="0"/>
            <w:vAlign w:val="center"/>
          </w:tcPr>
          <w:p w14:paraId="39C0E151">
            <w:pPr>
              <w:spacing w:line="360" w:lineRule="auto"/>
              <w:ind w:firstLine="420" w:firstLineChars="200"/>
              <w:rPr>
                <w:rFonts w:hint="eastAsia" w:ascii="宋体" w:hAnsi="宋体" w:cs="宋体"/>
                <w:color w:val="auto"/>
                <w:szCs w:val="21"/>
                <w:highlight w:val="none"/>
              </w:rPr>
            </w:pPr>
          </w:p>
        </w:tc>
        <w:tc>
          <w:tcPr>
            <w:tcW w:w="1559" w:type="dxa"/>
            <w:noWrap w:val="0"/>
            <w:vAlign w:val="center"/>
          </w:tcPr>
          <w:p w14:paraId="16870F42">
            <w:pPr>
              <w:spacing w:line="360" w:lineRule="auto"/>
              <w:ind w:firstLine="420" w:firstLineChars="200"/>
              <w:rPr>
                <w:rFonts w:hint="eastAsia" w:ascii="宋体" w:hAnsi="宋体" w:cs="宋体"/>
                <w:color w:val="auto"/>
                <w:szCs w:val="21"/>
                <w:highlight w:val="none"/>
              </w:rPr>
            </w:pPr>
          </w:p>
        </w:tc>
      </w:tr>
    </w:tbl>
    <w:p w14:paraId="3181F1F1">
      <w:pPr>
        <w:rPr>
          <w:rFonts w:hint="eastAsia" w:ascii="宋体" w:hAnsi="宋体" w:cs="宋体"/>
          <w:color w:val="auto"/>
          <w:highlight w:val="none"/>
        </w:rPr>
      </w:pPr>
    </w:p>
    <w:p w14:paraId="54EF0CF9">
      <w:pPr>
        <w:rPr>
          <w:rFonts w:hint="eastAsia" w:ascii="宋体" w:hAnsi="宋体" w:cs="宋体"/>
          <w:color w:val="auto"/>
          <w:highlight w:val="none"/>
        </w:rPr>
      </w:pPr>
    </w:p>
    <w:p w14:paraId="5110F4AE">
      <w:pPr>
        <w:rPr>
          <w:rFonts w:hint="eastAsia" w:ascii="宋体" w:hAnsi="宋体" w:cs="宋体"/>
          <w:color w:val="auto"/>
          <w:highlight w:val="none"/>
        </w:rPr>
      </w:pPr>
      <w:r>
        <w:rPr>
          <w:rFonts w:hint="eastAsia" w:ascii="宋体" w:hAnsi="宋体" w:cs="宋体"/>
          <w:color w:val="auto"/>
          <w:highlight w:val="none"/>
        </w:rPr>
        <w:t>附表三：劳动力计划表</w:t>
      </w:r>
    </w:p>
    <w:p w14:paraId="2EE1120A">
      <w:pPr>
        <w:ind w:firstLine="7245" w:firstLineChars="3450"/>
        <w:rPr>
          <w:rFonts w:hint="eastAsia" w:ascii="宋体" w:hAnsi="宋体" w:cs="宋体"/>
          <w:color w:val="auto"/>
          <w:szCs w:val="21"/>
          <w:highlight w:val="none"/>
        </w:rPr>
      </w:pPr>
      <w:r>
        <w:rPr>
          <w:rFonts w:hint="eastAsia" w:ascii="宋体" w:hAnsi="宋体" w:cs="宋体"/>
          <w:color w:val="auto"/>
          <w:szCs w:val="21"/>
          <w:highlight w:val="none"/>
        </w:rPr>
        <w:t xml:space="preserve">    单位：人</w:t>
      </w:r>
    </w:p>
    <w:tbl>
      <w:tblPr>
        <w:tblStyle w:val="5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3"/>
        <w:gridCol w:w="961"/>
        <w:gridCol w:w="1257"/>
        <w:gridCol w:w="1258"/>
        <w:gridCol w:w="1257"/>
        <w:gridCol w:w="1258"/>
        <w:gridCol w:w="1257"/>
        <w:gridCol w:w="1258"/>
      </w:tblGrid>
      <w:tr w14:paraId="086223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3" w:type="dxa"/>
            <w:noWrap w:val="0"/>
            <w:vAlign w:val="center"/>
          </w:tcPr>
          <w:p w14:paraId="7698F568">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工种</w:t>
            </w:r>
          </w:p>
        </w:tc>
        <w:tc>
          <w:tcPr>
            <w:tcW w:w="8506" w:type="dxa"/>
            <w:gridSpan w:val="7"/>
            <w:noWrap w:val="0"/>
            <w:vAlign w:val="center"/>
          </w:tcPr>
          <w:p w14:paraId="45636F0C">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按工程施工阶段投入劳动力情况</w:t>
            </w:r>
          </w:p>
        </w:tc>
      </w:tr>
      <w:tr w14:paraId="23517E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3" w:type="dxa"/>
            <w:noWrap w:val="0"/>
            <w:vAlign w:val="center"/>
          </w:tcPr>
          <w:p w14:paraId="21D5D20F">
            <w:pPr>
              <w:spacing w:line="360" w:lineRule="auto"/>
              <w:jc w:val="center"/>
              <w:rPr>
                <w:rFonts w:hint="eastAsia" w:ascii="宋体" w:hAnsi="宋体" w:cs="宋体"/>
                <w:color w:val="auto"/>
                <w:szCs w:val="21"/>
                <w:highlight w:val="none"/>
              </w:rPr>
            </w:pPr>
          </w:p>
        </w:tc>
        <w:tc>
          <w:tcPr>
            <w:tcW w:w="961" w:type="dxa"/>
            <w:noWrap w:val="0"/>
            <w:vAlign w:val="center"/>
          </w:tcPr>
          <w:p w14:paraId="2F7E433E">
            <w:pPr>
              <w:spacing w:line="360" w:lineRule="auto"/>
              <w:jc w:val="center"/>
              <w:rPr>
                <w:rFonts w:hint="eastAsia" w:ascii="宋体" w:hAnsi="宋体" w:cs="宋体"/>
                <w:color w:val="auto"/>
                <w:szCs w:val="21"/>
                <w:highlight w:val="none"/>
              </w:rPr>
            </w:pPr>
          </w:p>
        </w:tc>
        <w:tc>
          <w:tcPr>
            <w:tcW w:w="1257" w:type="dxa"/>
            <w:noWrap w:val="0"/>
            <w:vAlign w:val="center"/>
          </w:tcPr>
          <w:p w14:paraId="2B42A761">
            <w:pPr>
              <w:spacing w:line="360" w:lineRule="auto"/>
              <w:jc w:val="center"/>
              <w:rPr>
                <w:rFonts w:hint="eastAsia" w:ascii="宋体" w:hAnsi="宋体" w:cs="宋体"/>
                <w:color w:val="auto"/>
                <w:szCs w:val="21"/>
                <w:highlight w:val="none"/>
              </w:rPr>
            </w:pPr>
          </w:p>
        </w:tc>
        <w:tc>
          <w:tcPr>
            <w:tcW w:w="1258" w:type="dxa"/>
            <w:noWrap w:val="0"/>
            <w:vAlign w:val="center"/>
          </w:tcPr>
          <w:p w14:paraId="5C9FEED6">
            <w:pPr>
              <w:spacing w:line="360" w:lineRule="auto"/>
              <w:jc w:val="center"/>
              <w:rPr>
                <w:rFonts w:hint="eastAsia" w:ascii="宋体" w:hAnsi="宋体" w:cs="宋体"/>
                <w:color w:val="auto"/>
                <w:szCs w:val="21"/>
                <w:highlight w:val="none"/>
              </w:rPr>
            </w:pPr>
          </w:p>
        </w:tc>
        <w:tc>
          <w:tcPr>
            <w:tcW w:w="1257" w:type="dxa"/>
            <w:noWrap w:val="0"/>
            <w:vAlign w:val="center"/>
          </w:tcPr>
          <w:p w14:paraId="2A4B1678">
            <w:pPr>
              <w:spacing w:line="360" w:lineRule="auto"/>
              <w:jc w:val="center"/>
              <w:rPr>
                <w:rFonts w:hint="eastAsia" w:ascii="宋体" w:hAnsi="宋体" w:cs="宋体"/>
                <w:color w:val="auto"/>
                <w:szCs w:val="21"/>
                <w:highlight w:val="none"/>
              </w:rPr>
            </w:pPr>
          </w:p>
        </w:tc>
        <w:tc>
          <w:tcPr>
            <w:tcW w:w="1258" w:type="dxa"/>
            <w:noWrap w:val="0"/>
            <w:vAlign w:val="center"/>
          </w:tcPr>
          <w:p w14:paraId="161A79E5">
            <w:pPr>
              <w:spacing w:line="360" w:lineRule="auto"/>
              <w:jc w:val="center"/>
              <w:rPr>
                <w:rFonts w:hint="eastAsia" w:ascii="宋体" w:hAnsi="宋体" w:cs="宋体"/>
                <w:color w:val="auto"/>
                <w:szCs w:val="21"/>
                <w:highlight w:val="none"/>
              </w:rPr>
            </w:pPr>
          </w:p>
        </w:tc>
        <w:tc>
          <w:tcPr>
            <w:tcW w:w="1257" w:type="dxa"/>
            <w:noWrap w:val="0"/>
            <w:vAlign w:val="center"/>
          </w:tcPr>
          <w:p w14:paraId="5F5AC721">
            <w:pPr>
              <w:spacing w:line="360" w:lineRule="auto"/>
              <w:jc w:val="center"/>
              <w:rPr>
                <w:rFonts w:hint="eastAsia" w:ascii="宋体" w:hAnsi="宋体" w:cs="宋体"/>
                <w:color w:val="auto"/>
                <w:szCs w:val="21"/>
                <w:highlight w:val="none"/>
              </w:rPr>
            </w:pPr>
          </w:p>
        </w:tc>
        <w:tc>
          <w:tcPr>
            <w:tcW w:w="1258" w:type="dxa"/>
            <w:noWrap w:val="0"/>
            <w:vAlign w:val="center"/>
          </w:tcPr>
          <w:p w14:paraId="53CBD9D7">
            <w:pPr>
              <w:spacing w:line="360" w:lineRule="auto"/>
              <w:jc w:val="center"/>
              <w:rPr>
                <w:rFonts w:hint="eastAsia" w:ascii="宋体" w:hAnsi="宋体" w:cs="宋体"/>
                <w:color w:val="auto"/>
                <w:szCs w:val="21"/>
                <w:highlight w:val="none"/>
              </w:rPr>
            </w:pPr>
          </w:p>
        </w:tc>
      </w:tr>
      <w:tr w14:paraId="68BC9E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3" w:type="dxa"/>
            <w:noWrap w:val="0"/>
            <w:vAlign w:val="center"/>
          </w:tcPr>
          <w:p w14:paraId="5C9C707A">
            <w:pPr>
              <w:spacing w:line="360" w:lineRule="auto"/>
              <w:jc w:val="center"/>
              <w:rPr>
                <w:rFonts w:hint="eastAsia" w:ascii="宋体" w:hAnsi="宋体" w:cs="宋体"/>
                <w:color w:val="auto"/>
                <w:szCs w:val="21"/>
                <w:highlight w:val="none"/>
              </w:rPr>
            </w:pPr>
          </w:p>
        </w:tc>
        <w:tc>
          <w:tcPr>
            <w:tcW w:w="961" w:type="dxa"/>
            <w:noWrap w:val="0"/>
            <w:vAlign w:val="center"/>
          </w:tcPr>
          <w:p w14:paraId="2012F813">
            <w:pPr>
              <w:spacing w:line="360" w:lineRule="auto"/>
              <w:jc w:val="center"/>
              <w:rPr>
                <w:rFonts w:hint="eastAsia" w:ascii="宋体" w:hAnsi="宋体" w:cs="宋体"/>
                <w:color w:val="auto"/>
                <w:szCs w:val="21"/>
                <w:highlight w:val="none"/>
              </w:rPr>
            </w:pPr>
          </w:p>
        </w:tc>
        <w:tc>
          <w:tcPr>
            <w:tcW w:w="1257" w:type="dxa"/>
            <w:noWrap w:val="0"/>
            <w:vAlign w:val="center"/>
          </w:tcPr>
          <w:p w14:paraId="3B38CC96">
            <w:pPr>
              <w:spacing w:line="360" w:lineRule="auto"/>
              <w:jc w:val="center"/>
              <w:rPr>
                <w:rFonts w:hint="eastAsia" w:ascii="宋体" w:hAnsi="宋体" w:cs="宋体"/>
                <w:color w:val="auto"/>
                <w:szCs w:val="21"/>
                <w:highlight w:val="none"/>
              </w:rPr>
            </w:pPr>
          </w:p>
        </w:tc>
        <w:tc>
          <w:tcPr>
            <w:tcW w:w="1258" w:type="dxa"/>
            <w:noWrap w:val="0"/>
            <w:vAlign w:val="center"/>
          </w:tcPr>
          <w:p w14:paraId="77392964">
            <w:pPr>
              <w:spacing w:line="360" w:lineRule="auto"/>
              <w:jc w:val="center"/>
              <w:rPr>
                <w:rFonts w:hint="eastAsia" w:ascii="宋体" w:hAnsi="宋体" w:cs="宋体"/>
                <w:color w:val="auto"/>
                <w:szCs w:val="21"/>
                <w:highlight w:val="none"/>
              </w:rPr>
            </w:pPr>
          </w:p>
        </w:tc>
        <w:tc>
          <w:tcPr>
            <w:tcW w:w="1257" w:type="dxa"/>
            <w:noWrap w:val="0"/>
            <w:vAlign w:val="center"/>
          </w:tcPr>
          <w:p w14:paraId="0A3AB977">
            <w:pPr>
              <w:spacing w:line="360" w:lineRule="auto"/>
              <w:jc w:val="center"/>
              <w:rPr>
                <w:rFonts w:hint="eastAsia" w:ascii="宋体" w:hAnsi="宋体" w:cs="宋体"/>
                <w:color w:val="auto"/>
                <w:szCs w:val="21"/>
                <w:highlight w:val="none"/>
              </w:rPr>
            </w:pPr>
          </w:p>
        </w:tc>
        <w:tc>
          <w:tcPr>
            <w:tcW w:w="1258" w:type="dxa"/>
            <w:noWrap w:val="0"/>
            <w:vAlign w:val="center"/>
          </w:tcPr>
          <w:p w14:paraId="5FA99839">
            <w:pPr>
              <w:spacing w:line="360" w:lineRule="auto"/>
              <w:jc w:val="center"/>
              <w:rPr>
                <w:rFonts w:hint="eastAsia" w:ascii="宋体" w:hAnsi="宋体" w:cs="宋体"/>
                <w:color w:val="auto"/>
                <w:szCs w:val="21"/>
                <w:highlight w:val="none"/>
              </w:rPr>
            </w:pPr>
          </w:p>
        </w:tc>
        <w:tc>
          <w:tcPr>
            <w:tcW w:w="1257" w:type="dxa"/>
            <w:noWrap w:val="0"/>
            <w:vAlign w:val="center"/>
          </w:tcPr>
          <w:p w14:paraId="6D7B940C">
            <w:pPr>
              <w:spacing w:line="360" w:lineRule="auto"/>
              <w:jc w:val="center"/>
              <w:rPr>
                <w:rFonts w:hint="eastAsia" w:ascii="宋体" w:hAnsi="宋体" w:cs="宋体"/>
                <w:color w:val="auto"/>
                <w:szCs w:val="21"/>
                <w:highlight w:val="none"/>
              </w:rPr>
            </w:pPr>
          </w:p>
        </w:tc>
        <w:tc>
          <w:tcPr>
            <w:tcW w:w="1258" w:type="dxa"/>
            <w:noWrap w:val="0"/>
            <w:vAlign w:val="center"/>
          </w:tcPr>
          <w:p w14:paraId="1D91348F">
            <w:pPr>
              <w:spacing w:line="360" w:lineRule="auto"/>
              <w:jc w:val="center"/>
              <w:rPr>
                <w:rFonts w:hint="eastAsia" w:ascii="宋体" w:hAnsi="宋体" w:cs="宋体"/>
                <w:color w:val="auto"/>
                <w:szCs w:val="21"/>
                <w:highlight w:val="none"/>
              </w:rPr>
            </w:pPr>
          </w:p>
        </w:tc>
      </w:tr>
      <w:tr w14:paraId="2E9DDA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3" w:type="dxa"/>
            <w:noWrap w:val="0"/>
            <w:vAlign w:val="center"/>
          </w:tcPr>
          <w:p w14:paraId="602735BC">
            <w:pPr>
              <w:spacing w:line="360" w:lineRule="auto"/>
              <w:jc w:val="center"/>
              <w:rPr>
                <w:rFonts w:hint="eastAsia" w:ascii="宋体" w:hAnsi="宋体" w:cs="宋体"/>
                <w:color w:val="auto"/>
                <w:szCs w:val="21"/>
                <w:highlight w:val="none"/>
              </w:rPr>
            </w:pPr>
          </w:p>
        </w:tc>
        <w:tc>
          <w:tcPr>
            <w:tcW w:w="961" w:type="dxa"/>
            <w:noWrap w:val="0"/>
            <w:vAlign w:val="center"/>
          </w:tcPr>
          <w:p w14:paraId="021C750B">
            <w:pPr>
              <w:spacing w:line="360" w:lineRule="auto"/>
              <w:jc w:val="center"/>
              <w:rPr>
                <w:rFonts w:hint="eastAsia" w:ascii="宋体" w:hAnsi="宋体" w:cs="宋体"/>
                <w:color w:val="auto"/>
                <w:szCs w:val="21"/>
                <w:highlight w:val="none"/>
              </w:rPr>
            </w:pPr>
          </w:p>
        </w:tc>
        <w:tc>
          <w:tcPr>
            <w:tcW w:w="1257" w:type="dxa"/>
            <w:noWrap w:val="0"/>
            <w:vAlign w:val="center"/>
          </w:tcPr>
          <w:p w14:paraId="4C0EFAD8">
            <w:pPr>
              <w:spacing w:line="360" w:lineRule="auto"/>
              <w:jc w:val="center"/>
              <w:rPr>
                <w:rFonts w:hint="eastAsia" w:ascii="宋体" w:hAnsi="宋体" w:cs="宋体"/>
                <w:color w:val="auto"/>
                <w:szCs w:val="21"/>
                <w:highlight w:val="none"/>
              </w:rPr>
            </w:pPr>
          </w:p>
        </w:tc>
        <w:tc>
          <w:tcPr>
            <w:tcW w:w="1258" w:type="dxa"/>
            <w:noWrap w:val="0"/>
            <w:vAlign w:val="center"/>
          </w:tcPr>
          <w:p w14:paraId="766F364C">
            <w:pPr>
              <w:spacing w:line="360" w:lineRule="auto"/>
              <w:jc w:val="center"/>
              <w:rPr>
                <w:rFonts w:hint="eastAsia" w:ascii="宋体" w:hAnsi="宋体" w:cs="宋体"/>
                <w:color w:val="auto"/>
                <w:szCs w:val="21"/>
                <w:highlight w:val="none"/>
              </w:rPr>
            </w:pPr>
          </w:p>
        </w:tc>
        <w:tc>
          <w:tcPr>
            <w:tcW w:w="1257" w:type="dxa"/>
            <w:noWrap w:val="0"/>
            <w:vAlign w:val="center"/>
          </w:tcPr>
          <w:p w14:paraId="1023B22A">
            <w:pPr>
              <w:spacing w:line="360" w:lineRule="auto"/>
              <w:jc w:val="center"/>
              <w:rPr>
                <w:rFonts w:hint="eastAsia" w:ascii="宋体" w:hAnsi="宋体" w:cs="宋体"/>
                <w:color w:val="auto"/>
                <w:szCs w:val="21"/>
                <w:highlight w:val="none"/>
              </w:rPr>
            </w:pPr>
          </w:p>
        </w:tc>
        <w:tc>
          <w:tcPr>
            <w:tcW w:w="1258" w:type="dxa"/>
            <w:noWrap w:val="0"/>
            <w:vAlign w:val="center"/>
          </w:tcPr>
          <w:p w14:paraId="57719C83">
            <w:pPr>
              <w:spacing w:line="360" w:lineRule="auto"/>
              <w:jc w:val="center"/>
              <w:rPr>
                <w:rFonts w:hint="eastAsia" w:ascii="宋体" w:hAnsi="宋体" w:cs="宋体"/>
                <w:color w:val="auto"/>
                <w:szCs w:val="21"/>
                <w:highlight w:val="none"/>
              </w:rPr>
            </w:pPr>
          </w:p>
        </w:tc>
        <w:tc>
          <w:tcPr>
            <w:tcW w:w="1257" w:type="dxa"/>
            <w:noWrap w:val="0"/>
            <w:vAlign w:val="center"/>
          </w:tcPr>
          <w:p w14:paraId="104E9AA7">
            <w:pPr>
              <w:spacing w:line="360" w:lineRule="auto"/>
              <w:jc w:val="center"/>
              <w:rPr>
                <w:rFonts w:hint="eastAsia" w:ascii="宋体" w:hAnsi="宋体" w:cs="宋体"/>
                <w:color w:val="auto"/>
                <w:szCs w:val="21"/>
                <w:highlight w:val="none"/>
              </w:rPr>
            </w:pPr>
          </w:p>
        </w:tc>
        <w:tc>
          <w:tcPr>
            <w:tcW w:w="1258" w:type="dxa"/>
            <w:noWrap w:val="0"/>
            <w:vAlign w:val="center"/>
          </w:tcPr>
          <w:p w14:paraId="68173B39">
            <w:pPr>
              <w:spacing w:line="360" w:lineRule="auto"/>
              <w:jc w:val="center"/>
              <w:rPr>
                <w:rFonts w:hint="eastAsia" w:ascii="宋体" w:hAnsi="宋体" w:cs="宋体"/>
                <w:color w:val="auto"/>
                <w:szCs w:val="21"/>
                <w:highlight w:val="none"/>
              </w:rPr>
            </w:pPr>
          </w:p>
        </w:tc>
      </w:tr>
      <w:tr w14:paraId="786E02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3" w:type="dxa"/>
            <w:noWrap w:val="0"/>
            <w:vAlign w:val="center"/>
          </w:tcPr>
          <w:p w14:paraId="2D885B9B">
            <w:pPr>
              <w:spacing w:line="360" w:lineRule="auto"/>
              <w:jc w:val="center"/>
              <w:rPr>
                <w:rFonts w:hint="eastAsia" w:ascii="宋体" w:hAnsi="宋体" w:cs="宋体"/>
                <w:color w:val="auto"/>
                <w:szCs w:val="21"/>
                <w:highlight w:val="none"/>
              </w:rPr>
            </w:pPr>
          </w:p>
        </w:tc>
        <w:tc>
          <w:tcPr>
            <w:tcW w:w="961" w:type="dxa"/>
            <w:noWrap w:val="0"/>
            <w:vAlign w:val="center"/>
          </w:tcPr>
          <w:p w14:paraId="4C618C8E">
            <w:pPr>
              <w:spacing w:line="360" w:lineRule="auto"/>
              <w:jc w:val="center"/>
              <w:rPr>
                <w:rFonts w:hint="eastAsia" w:ascii="宋体" w:hAnsi="宋体" w:cs="宋体"/>
                <w:color w:val="auto"/>
                <w:szCs w:val="21"/>
                <w:highlight w:val="none"/>
              </w:rPr>
            </w:pPr>
          </w:p>
        </w:tc>
        <w:tc>
          <w:tcPr>
            <w:tcW w:w="1257" w:type="dxa"/>
            <w:noWrap w:val="0"/>
            <w:vAlign w:val="center"/>
          </w:tcPr>
          <w:p w14:paraId="6900DD58">
            <w:pPr>
              <w:spacing w:line="360" w:lineRule="auto"/>
              <w:jc w:val="center"/>
              <w:rPr>
                <w:rFonts w:hint="eastAsia" w:ascii="宋体" w:hAnsi="宋体" w:cs="宋体"/>
                <w:color w:val="auto"/>
                <w:szCs w:val="21"/>
                <w:highlight w:val="none"/>
              </w:rPr>
            </w:pPr>
          </w:p>
        </w:tc>
        <w:tc>
          <w:tcPr>
            <w:tcW w:w="1258" w:type="dxa"/>
            <w:noWrap w:val="0"/>
            <w:vAlign w:val="center"/>
          </w:tcPr>
          <w:p w14:paraId="2FEDB390">
            <w:pPr>
              <w:spacing w:line="360" w:lineRule="auto"/>
              <w:jc w:val="center"/>
              <w:rPr>
                <w:rFonts w:hint="eastAsia" w:ascii="宋体" w:hAnsi="宋体" w:cs="宋体"/>
                <w:color w:val="auto"/>
                <w:szCs w:val="21"/>
                <w:highlight w:val="none"/>
              </w:rPr>
            </w:pPr>
          </w:p>
        </w:tc>
        <w:tc>
          <w:tcPr>
            <w:tcW w:w="1257" w:type="dxa"/>
            <w:noWrap w:val="0"/>
            <w:vAlign w:val="center"/>
          </w:tcPr>
          <w:p w14:paraId="50ECF6F0">
            <w:pPr>
              <w:spacing w:line="360" w:lineRule="auto"/>
              <w:jc w:val="center"/>
              <w:rPr>
                <w:rFonts w:hint="eastAsia" w:ascii="宋体" w:hAnsi="宋体" w:cs="宋体"/>
                <w:color w:val="auto"/>
                <w:szCs w:val="21"/>
                <w:highlight w:val="none"/>
              </w:rPr>
            </w:pPr>
          </w:p>
        </w:tc>
        <w:tc>
          <w:tcPr>
            <w:tcW w:w="1258" w:type="dxa"/>
            <w:noWrap w:val="0"/>
            <w:vAlign w:val="center"/>
          </w:tcPr>
          <w:p w14:paraId="1AB37E06">
            <w:pPr>
              <w:spacing w:line="360" w:lineRule="auto"/>
              <w:jc w:val="center"/>
              <w:rPr>
                <w:rFonts w:hint="eastAsia" w:ascii="宋体" w:hAnsi="宋体" w:cs="宋体"/>
                <w:color w:val="auto"/>
                <w:szCs w:val="21"/>
                <w:highlight w:val="none"/>
              </w:rPr>
            </w:pPr>
          </w:p>
        </w:tc>
        <w:tc>
          <w:tcPr>
            <w:tcW w:w="1257" w:type="dxa"/>
            <w:noWrap w:val="0"/>
            <w:vAlign w:val="center"/>
          </w:tcPr>
          <w:p w14:paraId="0147604D">
            <w:pPr>
              <w:spacing w:line="360" w:lineRule="auto"/>
              <w:jc w:val="center"/>
              <w:rPr>
                <w:rFonts w:hint="eastAsia" w:ascii="宋体" w:hAnsi="宋体" w:cs="宋体"/>
                <w:color w:val="auto"/>
                <w:szCs w:val="21"/>
                <w:highlight w:val="none"/>
              </w:rPr>
            </w:pPr>
          </w:p>
        </w:tc>
        <w:tc>
          <w:tcPr>
            <w:tcW w:w="1258" w:type="dxa"/>
            <w:noWrap w:val="0"/>
            <w:vAlign w:val="center"/>
          </w:tcPr>
          <w:p w14:paraId="4F17F72D">
            <w:pPr>
              <w:spacing w:line="360" w:lineRule="auto"/>
              <w:jc w:val="center"/>
              <w:rPr>
                <w:rFonts w:hint="eastAsia" w:ascii="宋体" w:hAnsi="宋体" w:cs="宋体"/>
                <w:color w:val="auto"/>
                <w:szCs w:val="21"/>
                <w:highlight w:val="none"/>
              </w:rPr>
            </w:pPr>
          </w:p>
        </w:tc>
      </w:tr>
      <w:tr w14:paraId="278A30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3" w:type="dxa"/>
            <w:noWrap w:val="0"/>
            <w:vAlign w:val="center"/>
          </w:tcPr>
          <w:p w14:paraId="3D46FA13">
            <w:pPr>
              <w:spacing w:line="360" w:lineRule="auto"/>
              <w:jc w:val="center"/>
              <w:rPr>
                <w:rFonts w:hint="eastAsia" w:ascii="宋体" w:hAnsi="宋体" w:cs="宋体"/>
                <w:color w:val="auto"/>
                <w:szCs w:val="21"/>
                <w:highlight w:val="none"/>
              </w:rPr>
            </w:pPr>
          </w:p>
        </w:tc>
        <w:tc>
          <w:tcPr>
            <w:tcW w:w="961" w:type="dxa"/>
            <w:noWrap w:val="0"/>
            <w:vAlign w:val="center"/>
          </w:tcPr>
          <w:p w14:paraId="12654CFD">
            <w:pPr>
              <w:spacing w:line="360" w:lineRule="auto"/>
              <w:jc w:val="center"/>
              <w:rPr>
                <w:rFonts w:hint="eastAsia" w:ascii="宋体" w:hAnsi="宋体" w:cs="宋体"/>
                <w:color w:val="auto"/>
                <w:szCs w:val="21"/>
                <w:highlight w:val="none"/>
              </w:rPr>
            </w:pPr>
          </w:p>
        </w:tc>
        <w:tc>
          <w:tcPr>
            <w:tcW w:w="1257" w:type="dxa"/>
            <w:noWrap w:val="0"/>
            <w:vAlign w:val="center"/>
          </w:tcPr>
          <w:p w14:paraId="3C2A0343">
            <w:pPr>
              <w:spacing w:line="360" w:lineRule="auto"/>
              <w:jc w:val="center"/>
              <w:rPr>
                <w:rFonts w:hint="eastAsia" w:ascii="宋体" w:hAnsi="宋体" w:cs="宋体"/>
                <w:color w:val="auto"/>
                <w:szCs w:val="21"/>
                <w:highlight w:val="none"/>
              </w:rPr>
            </w:pPr>
          </w:p>
        </w:tc>
        <w:tc>
          <w:tcPr>
            <w:tcW w:w="1258" w:type="dxa"/>
            <w:noWrap w:val="0"/>
            <w:vAlign w:val="center"/>
          </w:tcPr>
          <w:p w14:paraId="61328FDB">
            <w:pPr>
              <w:spacing w:line="360" w:lineRule="auto"/>
              <w:jc w:val="center"/>
              <w:rPr>
                <w:rFonts w:hint="eastAsia" w:ascii="宋体" w:hAnsi="宋体" w:cs="宋体"/>
                <w:color w:val="auto"/>
                <w:szCs w:val="21"/>
                <w:highlight w:val="none"/>
              </w:rPr>
            </w:pPr>
          </w:p>
        </w:tc>
        <w:tc>
          <w:tcPr>
            <w:tcW w:w="1257" w:type="dxa"/>
            <w:noWrap w:val="0"/>
            <w:vAlign w:val="center"/>
          </w:tcPr>
          <w:p w14:paraId="5C66DD0E">
            <w:pPr>
              <w:spacing w:line="360" w:lineRule="auto"/>
              <w:jc w:val="center"/>
              <w:rPr>
                <w:rFonts w:hint="eastAsia" w:ascii="宋体" w:hAnsi="宋体" w:cs="宋体"/>
                <w:color w:val="auto"/>
                <w:szCs w:val="21"/>
                <w:highlight w:val="none"/>
              </w:rPr>
            </w:pPr>
          </w:p>
        </w:tc>
        <w:tc>
          <w:tcPr>
            <w:tcW w:w="1258" w:type="dxa"/>
            <w:noWrap w:val="0"/>
            <w:vAlign w:val="center"/>
          </w:tcPr>
          <w:p w14:paraId="37DC05B2">
            <w:pPr>
              <w:spacing w:line="360" w:lineRule="auto"/>
              <w:jc w:val="center"/>
              <w:rPr>
                <w:rFonts w:hint="eastAsia" w:ascii="宋体" w:hAnsi="宋体" w:cs="宋体"/>
                <w:color w:val="auto"/>
                <w:szCs w:val="21"/>
                <w:highlight w:val="none"/>
              </w:rPr>
            </w:pPr>
          </w:p>
        </w:tc>
        <w:tc>
          <w:tcPr>
            <w:tcW w:w="1257" w:type="dxa"/>
            <w:noWrap w:val="0"/>
            <w:vAlign w:val="center"/>
          </w:tcPr>
          <w:p w14:paraId="0C394BC0">
            <w:pPr>
              <w:spacing w:line="360" w:lineRule="auto"/>
              <w:jc w:val="center"/>
              <w:rPr>
                <w:rFonts w:hint="eastAsia" w:ascii="宋体" w:hAnsi="宋体" w:cs="宋体"/>
                <w:color w:val="auto"/>
                <w:szCs w:val="21"/>
                <w:highlight w:val="none"/>
              </w:rPr>
            </w:pPr>
          </w:p>
        </w:tc>
        <w:tc>
          <w:tcPr>
            <w:tcW w:w="1258" w:type="dxa"/>
            <w:noWrap w:val="0"/>
            <w:vAlign w:val="center"/>
          </w:tcPr>
          <w:p w14:paraId="42F5FAC1">
            <w:pPr>
              <w:spacing w:line="360" w:lineRule="auto"/>
              <w:jc w:val="center"/>
              <w:rPr>
                <w:rFonts w:hint="eastAsia" w:ascii="宋体" w:hAnsi="宋体" w:cs="宋体"/>
                <w:color w:val="auto"/>
                <w:szCs w:val="21"/>
                <w:highlight w:val="none"/>
              </w:rPr>
            </w:pPr>
          </w:p>
        </w:tc>
      </w:tr>
      <w:tr w14:paraId="1438FB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3" w:type="dxa"/>
            <w:noWrap w:val="0"/>
            <w:vAlign w:val="center"/>
          </w:tcPr>
          <w:p w14:paraId="57FAA8A4">
            <w:pPr>
              <w:spacing w:line="360" w:lineRule="auto"/>
              <w:jc w:val="center"/>
              <w:rPr>
                <w:rFonts w:hint="eastAsia" w:ascii="宋体" w:hAnsi="宋体" w:cs="宋体"/>
                <w:color w:val="auto"/>
                <w:szCs w:val="21"/>
                <w:highlight w:val="none"/>
              </w:rPr>
            </w:pPr>
          </w:p>
        </w:tc>
        <w:tc>
          <w:tcPr>
            <w:tcW w:w="961" w:type="dxa"/>
            <w:noWrap w:val="0"/>
            <w:vAlign w:val="center"/>
          </w:tcPr>
          <w:p w14:paraId="64419587">
            <w:pPr>
              <w:spacing w:line="360" w:lineRule="auto"/>
              <w:jc w:val="center"/>
              <w:rPr>
                <w:rFonts w:hint="eastAsia" w:ascii="宋体" w:hAnsi="宋体" w:cs="宋体"/>
                <w:color w:val="auto"/>
                <w:szCs w:val="21"/>
                <w:highlight w:val="none"/>
              </w:rPr>
            </w:pPr>
          </w:p>
        </w:tc>
        <w:tc>
          <w:tcPr>
            <w:tcW w:w="1257" w:type="dxa"/>
            <w:noWrap w:val="0"/>
            <w:vAlign w:val="center"/>
          </w:tcPr>
          <w:p w14:paraId="56E9A2A6">
            <w:pPr>
              <w:spacing w:line="360" w:lineRule="auto"/>
              <w:jc w:val="center"/>
              <w:rPr>
                <w:rFonts w:hint="eastAsia" w:ascii="宋体" w:hAnsi="宋体" w:cs="宋体"/>
                <w:color w:val="auto"/>
                <w:szCs w:val="21"/>
                <w:highlight w:val="none"/>
              </w:rPr>
            </w:pPr>
          </w:p>
        </w:tc>
        <w:tc>
          <w:tcPr>
            <w:tcW w:w="1258" w:type="dxa"/>
            <w:noWrap w:val="0"/>
            <w:vAlign w:val="center"/>
          </w:tcPr>
          <w:p w14:paraId="5319BE29">
            <w:pPr>
              <w:spacing w:line="360" w:lineRule="auto"/>
              <w:jc w:val="center"/>
              <w:rPr>
                <w:rFonts w:hint="eastAsia" w:ascii="宋体" w:hAnsi="宋体" w:cs="宋体"/>
                <w:color w:val="auto"/>
                <w:szCs w:val="21"/>
                <w:highlight w:val="none"/>
              </w:rPr>
            </w:pPr>
          </w:p>
        </w:tc>
        <w:tc>
          <w:tcPr>
            <w:tcW w:w="1257" w:type="dxa"/>
            <w:noWrap w:val="0"/>
            <w:vAlign w:val="center"/>
          </w:tcPr>
          <w:p w14:paraId="10E492FA">
            <w:pPr>
              <w:spacing w:line="360" w:lineRule="auto"/>
              <w:jc w:val="center"/>
              <w:rPr>
                <w:rFonts w:hint="eastAsia" w:ascii="宋体" w:hAnsi="宋体" w:cs="宋体"/>
                <w:color w:val="auto"/>
                <w:szCs w:val="21"/>
                <w:highlight w:val="none"/>
              </w:rPr>
            </w:pPr>
          </w:p>
        </w:tc>
        <w:tc>
          <w:tcPr>
            <w:tcW w:w="1258" w:type="dxa"/>
            <w:noWrap w:val="0"/>
            <w:vAlign w:val="center"/>
          </w:tcPr>
          <w:p w14:paraId="08CDCDF3">
            <w:pPr>
              <w:spacing w:line="360" w:lineRule="auto"/>
              <w:jc w:val="center"/>
              <w:rPr>
                <w:rFonts w:hint="eastAsia" w:ascii="宋体" w:hAnsi="宋体" w:cs="宋体"/>
                <w:color w:val="auto"/>
                <w:szCs w:val="21"/>
                <w:highlight w:val="none"/>
              </w:rPr>
            </w:pPr>
          </w:p>
        </w:tc>
        <w:tc>
          <w:tcPr>
            <w:tcW w:w="1257" w:type="dxa"/>
            <w:noWrap w:val="0"/>
            <w:vAlign w:val="center"/>
          </w:tcPr>
          <w:p w14:paraId="584AA21C">
            <w:pPr>
              <w:spacing w:line="360" w:lineRule="auto"/>
              <w:jc w:val="center"/>
              <w:rPr>
                <w:rFonts w:hint="eastAsia" w:ascii="宋体" w:hAnsi="宋体" w:cs="宋体"/>
                <w:color w:val="auto"/>
                <w:szCs w:val="21"/>
                <w:highlight w:val="none"/>
              </w:rPr>
            </w:pPr>
          </w:p>
        </w:tc>
        <w:tc>
          <w:tcPr>
            <w:tcW w:w="1258" w:type="dxa"/>
            <w:noWrap w:val="0"/>
            <w:vAlign w:val="center"/>
          </w:tcPr>
          <w:p w14:paraId="73443EB9">
            <w:pPr>
              <w:spacing w:line="360" w:lineRule="auto"/>
              <w:jc w:val="center"/>
              <w:rPr>
                <w:rFonts w:hint="eastAsia" w:ascii="宋体" w:hAnsi="宋体" w:cs="宋体"/>
                <w:color w:val="auto"/>
                <w:szCs w:val="21"/>
                <w:highlight w:val="none"/>
              </w:rPr>
            </w:pPr>
          </w:p>
        </w:tc>
      </w:tr>
      <w:tr w14:paraId="78EE6F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3" w:type="dxa"/>
            <w:noWrap w:val="0"/>
            <w:vAlign w:val="center"/>
          </w:tcPr>
          <w:p w14:paraId="0C6F88D3">
            <w:pPr>
              <w:spacing w:line="360" w:lineRule="auto"/>
              <w:jc w:val="center"/>
              <w:rPr>
                <w:rFonts w:hint="eastAsia" w:ascii="宋体" w:hAnsi="宋体" w:cs="宋体"/>
                <w:color w:val="auto"/>
                <w:szCs w:val="21"/>
                <w:highlight w:val="none"/>
              </w:rPr>
            </w:pPr>
          </w:p>
        </w:tc>
        <w:tc>
          <w:tcPr>
            <w:tcW w:w="961" w:type="dxa"/>
            <w:noWrap w:val="0"/>
            <w:vAlign w:val="center"/>
          </w:tcPr>
          <w:p w14:paraId="62F90A3E">
            <w:pPr>
              <w:spacing w:line="360" w:lineRule="auto"/>
              <w:jc w:val="center"/>
              <w:rPr>
                <w:rFonts w:hint="eastAsia" w:ascii="宋体" w:hAnsi="宋体" w:cs="宋体"/>
                <w:color w:val="auto"/>
                <w:szCs w:val="21"/>
                <w:highlight w:val="none"/>
              </w:rPr>
            </w:pPr>
          </w:p>
        </w:tc>
        <w:tc>
          <w:tcPr>
            <w:tcW w:w="1257" w:type="dxa"/>
            <w:noWrap w:val="0"/>
            <w:vAlign w:val="center"/>
          </w:tcPr>
          <w:p w14:paraId="4060CC71">
            <w:pPr>
              <w:spacing w:line="360" w:lineRule="auto"/>
              <w:jc w:val="center"/>
              <w:rPr>
                <w:rFonts w:hint="eastAsia" w:ascii="宋体" w:hAnsi="宋体" w:cs="宋体"/>
                <w:color w:val="auto"/>
                <w:szCs w:val="21"/>
                <w:highlight w:val="none"/>
              </w:rPr>
            </w:pPr>
          </w:p>
        </w:tc>
        <w:tc>
          <w:tcPr>
            <w:tcW w:w="1258" w:type="dxa"/>
            <w:noWrap w:val="0"/>
            <w:vAlign w:val="center"/>
          </w:tcPr>
          <w:p w14:paraId="76E699C3">
            <w:pPr>
              <w:spacing w:line="360" w:lineRule="auto"/>
              <w:jc w:val="center"/>
              <w:rPr>
                <w:rFonts w:hint="eastAsia" w:ascii="宋体" w:hAnsi="宋体" w:cs="宋体"/>
                <w:color w:val="auto"/>
                <w:szCs w:val="21"/>
                <w:highlight w:val="none"/>
              </w:rPr>
            </w:pPr>
          </w:p>
        </w:tc>
        <w:tc>
          <w:tcPr>
            <w:tcW w:w="1257" w:type="dxa"/>
            <w:noWrap w:val="0"/>
            <w:vAlign w:val="center"/>
          </w:tcPr>
          <w:p w14:paraId="5272B346">
            <w:pPr>
              <w:spacing w:line="360" w:lineRule="auto"/>
              <w:jc w:val="center"/>
              <w:rPr>
                <w:rFonts w:hint="eastAsia" w:ascii="宋体" w:hAnsi="宋体" w:cs="宋体"/>
                <w:color w:val="auto"/>
                <w:szCs w:val="21"/>
                <w:highlight w:val="none"/>
              </w:rPr>
            </w:pPr>
          </w:p>
        </w:tc>
        <w:tc>
          <w:tcPr>
            <w:tcW w:w="1258" w:type="dxa"/>
            <w:noWrap w:val="0"/>
            <w:vAlign w:val="center"/>
          </w:tcPr>
          <w:p w14:paraId="32786082">
            <w:pPr>
              <w:spacing w:line="360" w:lineRule="auto"/>
              <w:jc w:val="center"/>
              <w:rPr>
                <w:rFonts w:hint="eastAsia" w:ascii="宋体" w:hAnsi="宋体" w:cs="宋体"/>
                <w:color w:val="auto"/>
                <w:szCs w:val="21"/>
                <w:highlight w:val="none"/>
              </w:rPr>
            </w:pPr>
          </w:p>
        </w:tc>
        <w:tc>
          <w:tcPr>
            <w:tcW w:w="1257" w:type="dxa"/>
            <w:noWrap w:val="0"/>
            <w:vAlign w:val="center"/>
          </w:tcPr>
          <w:p w14:paraId="200F2BB3">
            <w:pPr>
              <w:spacing w:line="360" w:lineRule="auto"/>
              <w:jc w:val="center"/>
              <w:rPr>
                <w:rFonts w:hint="eastAsia" w:ascii="宋体" w:hAnsi="宋体" w:cs="宋体"/>
                <w:color w:val="auto"/>
                <w:szCs w:val="21"/>
                <w:highlight w:val="none"/>
              </w:rPr>
            </w:pPr>
          </w:p>
        </w:tc>
        <w:tc>
          <w:tcPr>
            <w:tcW w:w="1258" w:type="dxa"/>
            <w:noWrap w:val="0"/>
            <w:vAlign w:val="center"/>
          </w:tcPr>
          <w:p w14:paraId="2676FC51">
            <w:pPr>
              <w:spacing w:line="360" w:lineRule="auto"/>
              <w:jc w:val="center"/>
              <w:rPr>
                <w:rFonts w:hint="eastAsia" w:ascii="宋体" w:hAnsi="宋体" w:cs="宋体"/>
                <w:color w:val="auto"/>
                <w:szCs w:val="21"/>
                <w:highlight w:val="none"/>
              </w:rPr>
            </w:pPr>
          </w:p>
        </w:tc>
      </w:tr>
    </w:tbl>
    <w:p w14:paraId="1CD52B20">
      <w:pPr>
        <w:rPr>
          <w:rFonts w:hint="eastAsia" w:ascii="宋体" w:hAnsi="宋体" w:cs="宋体"/>
          <w:color w:val="auto"/>
          <w:highlight w:val="none"/>
        </w:rPr>
      </w:pPr>
    </w:p>
    <w:p w14:paraId="75FD3E04">
      <w:pPr>
        <w:rPr>
          <w:rFonts w:hint="eastAsia" w:ascii="宋体" w:hAnsi="宋体" w:cs="宋体"/>
          <w:b/>
          <w:color w:val="auto"/>
          <w:highlight w:val="none"/>
        </w:rPr>
      </w:pPr>
    </w:p>
    <w:p w14:paraId="7B7D5774">
      <w:pPr>
        <w:rPr>
          <w:rFonts w:hint="eastAsia" w:ascii="宋体" w:hAnsi="宋体" w:cs="宋体"/>
          <w:color w:val="auto"/>
          <w:highlight w:val="none"/>
        </w:rPr>
      </w:pPr>
      <w:r>
        <w:rPr>
          <w:rFonts w:hint="eastAsia" w:ascii="宋体" w:hAnsi="宋体" w:cs="宋体"/>
          <w:color w:val="auto"/>
          <w:highlight w:val="none"/>
        </w:rPr>
        <w:t>附表四：计划开、竣工日期和施工进度计划（网络图或横道图）</w:t>
      </w:r>
    </w:p>
    <w:p w14:paraId="64F2F788">
      <w:pPr>
        <w:spacing w:line="460" w:lineRule="exact"/>
        <w:ind w:left="-6" w:firstLine="420"/>
        <w:rPr>
          <w:rFonts w:hint="eastAsia" w:ascii="宋体" w:hAnsi="宋体" w:cs="宋体"/>
          <w:color w:val="auto"/>
          <w:highlight w:val="none"/>
        </w:rPr>
      </w:pPr>
      <w:r>
        <w:rPr>
          <w:rFonts w:hint="eastAsia" w:ascii="宋体" w:hAnsi="宋体" w:cs="宋体"/>
          <w:color w:val="auto"/>
          <w:highlight w:val="none"/>
        </w:rPr>
        <w:t>（1）供应商应提交施工进度计划，说明按采购文件要求的工期进行施工的各个关键日期。成交的供应商还应按合同条件有关条款的要求提交详细的施工进度计划。</w:t>
      </w:r>
    </w:p>
    <w:p w14:paraId="4F47E364">
      <w:pPr>
        <w:spacing w:line="460" w:lineRule="exact"/>
        <w:ind w:left="-6" w:firstLine="420"/>
        <w:rPr>
          <w:rFonts w:hint="eastAsia" w:ascii="宋体" w:hAnsi="宋体" w:cs="宋体"/>
          <w:color w:val="auto"/>
          <w:highlight w:val="none"/>
        </w:rPr>
      </w:pPr>
      <w:r>
        <w:rPr>
          <w:rFonts w:hint="eastAsia" w:ascii="宋体" w:hAnsi="宋体" w:cs="宋体"/>
          <w:color w:val="auto"/>
          <w:highlight w:val="none"/>
        </w:rPr>
        <w:t>（2）施工进度计划可采用网络图（或横道图）表示，说明计划开工日期和各分项工程各阶段的完工日期和分包合同签订的日期。</w:t>
      </w:r>
    </w:p>
    <w:p w14:paraId="3CE4863E">
      <w:pPr>
        <w:spacing w:line="460" w:lineRule="exact"/>
        <w:ind w:left="-6" w:firstLine="420"/>
        <w:rPr>
          <w:rFonts w:hint="eastAsia" w:ascii="宋体" w:hAnsi="宋体" w:cs="宋体"/>
          <w:color w:val="auto"/>
          <w:highlight w:val="none"/>
        </w:rPr>
      </w:pPr>
      <w:r>
        <w:rPr>
          <w:rFonts w:hint="eastAsia" w:ascii="宋体" w:hAnsi="宋体" w:cs="宋体"/>
          <w:color w:val="auto"/>
          <w:highlight w:val="none"/>
        </w:rPr>
        <w:t>（3）施工进度计划应与施工组织设计相适应。</w:t>
      </w:r>
    </w:p>
    <w:p w14:paraId="5DF481E0">
      <w:pPr>
        <w:rPr>
          <w:rFonts w:hint="eastAsia" w:ascii="宋体" w:hAnsi="宋体" w:cs="宋体"/>
          <w:color w:val="auto"/>
          <w:highlight w:val="none"/>
        </w:rPr>
      </w:pPr>
    </w:p>
    <w:p w14:paraId="061206AE">
      <w:pPr>
        <w:rPr>
          <w:rFonts w:hint="eastAsia" w:ascii="宋体" w:hAnsi="宋体" w:cs="宋体"/>
          <w:color w:val="auto"/>
          <w:highlight w:val="none"/>
        </w:rPr>
      </w:pPr>
      <w:r>
        <w:rPr>
          <w:rFonts w:hint="eastAsia" w:ascii="宋体" w:hAnsi="宋体" w:cs="宋体"/>
          <w:color w:val="auto"/>
          <w:highlight w:val="none"/>
        </w:rPr>
        <w:t>附表五：施工总平面图</w:t>
      </w:r>
    </w:p>
    <w:p w14:paraId="0FF395CA">
      <w:pPr>
        <w:spacing w:line="4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供应商应递交一份施工总平面图，绘出现场临时设施布置图表并附文字说明，说明临时设施、加工车间、现场办公、设备及仓储、供电、供水、卫生、生活、道路、消防等设施的情况和布置。</w:t>
      </w:r>
    </w:p>
    <w:p w14:paraId="5577C264">
      <w:pPr>
        <w:rPr>
          <w:rFonts w:hint="eastAsia" w:ascii="宋体" w:hAnsi="宋体" w:cs="宋体"/>
          <w:color w:val="auto"/>
          <w:highlight w:val="none"/>
        </w:rPr>
      </w:pPr>
    </w:p>
    <w:p w14:paraId="46BB74F1">
      <w:pPr>
        <w:rPr>
          <w:rFonts w:hint="eastAsia" w:ascii="宋体" w:hAnsi="宋体" w:cs="宋体"/>
          <w:color w:val="auto"/>
          <w:highlight w:val="none"/>
        </w:rPr>
      </w:pPr>
    </w:p>
    <w:p w14:paraId="5A31AE4D">
      <w:pPr>
        <w:rPr>
          <w:rFonts w:hint="eastAsia" w:ascii="宋体" w:hAnsi="宋体" w:cs="宋体"/>
          <w:color w:val="auto"/>
          <w:highlight w:val="none"/>
        </w:rPr>
      </w:pPr>
      <w:r>
        <w:rPr>
          <w:rFonts w:hint="eastAsia" w:ascii="宋体" w:hAnsi="宋体" w:cs="宋体"/>
          <w:color w:val="auto"/>
          <w:highlight w:val="none"/>
        </w:rPr>
        <w:t>附表六：临时用地表</w:t>
      </w:r>
    </w:p>
    <w:p w14:paraId="5D85E14A">
      <w:pPr>
        <w:rPr>
          <w:rFonts w:hint="eastAsia" w:ascii="宋体" w:hAnsi="宋体" w:cs="宋体"/>
          <w:color w:val="auto"/>
          <w:highlight w:val="none"/>
        </w:rPr>
      </w:pPr>
    </w:p>
    <w:tbl>
      <w:tblPr>
        <w:tblStyle w:val="5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90"/>
        <w:gridCol w:w="2091"/>
        <w:gridCol w:w="2090"/>
        <w:gridCol w:w="2091"/>
      </w:tblGrid>
      <w:tr w14:paraId="37A6DF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jc w:val="center"/>
        </w:trPr>
        <w:tc>
          <w:tcPr>
            <w:tcW w:w="2090" w:type="dxa"/>
            <w:noWrap w:val="0"/>
            <w:vAlign w:val="center"/>
          </w:tcPr>
          <w:p w14:paraId="6DC0CC8D">
            <w:pPr>
              <w:jc w:val="center"/>
              <w:rPr>
                <w:rFonts w:hint="eastAsia" w:ascii="宋体" w:hAnsi="宋体" w:cs="宋体"/>
                <w:color w:val="auto"/>
                <w:highlight w:val="none"/>
              </w:rPr>
            </w:pPr>
            <w:r>
              <w:rPr>
                <w:rFonts w:hint="eastAsia" w:ascii="宋体" w:hAnsi="宋体" w:cs="宋体"/>
                <w:color w:val="auto"/>
                <w:szCs w:val="21"/>
                <w:highlight w:val="none"/>
              </w:rPr>
              <w:t>用途</w:t>
            </w:r>
          </w:p>
        </w:tc>
        <w:tc>
          <w:tcPr>
            <w:tcW w:w="2091" w:type="dxa"/>
            <w:noWrap w:val="0"/>
            <w:vAlign w:val="center"/>
          </w:tcPr>
          <w:p w14:paraId="575B109C">
            <w:pPr>
              <w:jc w:val="center"/>
              <w:rPr>
                <w:rFonts w:hint="eastAsia" w:ascii="宋体" w:hAnsi="宋体" w:cs="宋体"/>
                <w:color w:val="auto"/>
                <w:highlight w:val="none"/>
              </w:rPr>
            </w:pPr>
            <w:r>
              <w:rPr>
                <w:rFonts w:hint="eastAsia" w:ascii="宋体" w:hAnsi="宋体" w:cs="宋体"/>
                <w:color w:val="auto"/>
                <w:szCs w:val="21"/>
                <w:highlight w:val="none"/>
              </w:rPr>
              <w:t>面积（平方米）</w:t>
            </w:r>
          </w:p>
        </w:tc>
        <w:tc>
          <w:tcPr>
            <w:tcW w:w="2090" w:type="dxa"/>
            <w:noWrap w:val="0"/>
            <w:vAlign w:val="center"/>
          </w:tcPr>
          <w:p w14:paraId="38B6F5AE">
            <w:pPr>
              <w:jc w:val="center"/>
              <w:rPr>
                <w:rFonts w:hint="eastAsia" w:ascii="宋体" w:hAnsi="宋体" w:cs="宋体"/>
                <w:color w:val="auto"/>
                <w:highlight w:val="none"/>
              </w:rPr>
            </w:pPr>
            <w:r>
              <w:rPr>
                <w:rFonts w:hint="eastAsia" w:ascii="宋体" w:hAnsi="宋体" w:cs="宋体"/>
                <w:color w:val="auto"/>
                <w:szCs w:val="21"/>
                <w:highlight w:val="none"/>
              </w:rPr>
              <w:t>位置</w:t>
            </w:r>
          </w:p>
        </w:tc>
        <w:tc>
          <w:tcPr>
            <w:tcW w:w="2091" w:type="dxa"/>
            <w:noWrap w:val="0"/>
            <w:vAlign w:val="center"/>
          </w:tcPr>
          <w:p w14:paraId="7CA511D7">
            <w:pPr>
              <w:jc w:val="center"/>
              <w:rPr>
                <w:rFonts w:hint="eastAsia" w:ascii="宋体" w:hAnsi="宋体" w:cs="宋体"/>
                <w:color w:val="auto"/>
                <w:highlight w:val="none"/>
              </w:rPr>
            </w:pPr>
            <w:r>
              <w:rPr>
                <w:rFonts w:hint="eastAsia" w:ascii="宋体" w:hAnsi="宋体" w:cs="宋体"/>
                <w:color w:val="auto"/>
                <w:szCs w:val="21"/>
                <w:highlight w:val="none"/>
              </w:rPr>
              <w:t>需用时间</w:t>
            </w:r>
          </w:p>
        </w:tc>
      </w:tr>
      <w:tr w14:paraId="141C49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 w:hRule="atLeast"/>
          <w:jc w:val="center"/>
        </w:trPr>
        <w:tc>
          <w:tcPr>
            <w:tcW w:w="2090" w:type="dxa"/>
            <w:noWrap w:val="0"/>
            <w:vAlign w:val="top"/>
          </w:tcPr>
          <w:p w14:paraId="58F5E8D1">
            <w:pPr>
              <w:rPr>
                <w:rFonts w:hint="eastAsia" w:ascii="宋体" w:hAnsi="宋体" w:cs="宋体"/>
                <w:color w:val="auto"/>
                <w:highlight w:val="none"/>
              </w:rPr>
            </w:pPr>
          </w:p>
        </w:tc>
        <w:tc>
          <w:tcPr>
            <w:tcW w:w="2091" w:type="dxa"/>
            <w:noWrap w:val="0"/>
            <w:vAlign w:val="top"/>
          </w:tcPr>
          <w:p w14:paraId="584F5EAD">
            <w:pPr>
              <w:rPr>
                <w:rFonts w:hint="eastAsia" w:ascii="宋体" w:hAnsi="宋体" w:cs="宋体"/>
                <w:color w:val="auto"/>
                <w:highlight w:val="none"/>
              </w:rPr>
            </w:pPr>
          </w:p>
        </w:tc>
        <w:tc>
          <w:tcPr>
            <w:tcW w:w="2090" w:type="dxa"/>
            <w:noWrap w:val="0"/>
            <w:vAlign w:val="top"/>
          </w:tcPr>
          <w:p w14:paraId="18B5C0FC">
            <w:pPr>
              <w:rPr>
                <w:rFonts w:hint="eastAsia" w:ascii="宋体" w:hAnsi="宋体" w:cs="宋体"/>
                <w:color w:val="auto"/>
                <w:highlight w:val="none"/>
              </w:rPr>
            </w:pPr>
          </w:p>
        </w:tc>
        <w:tc>
          <w:tcPr>
            <w:tcW w:w="2091" w:type="dxa"/>
            <w:noWrap w:val="0"/>
            <w:vAlign w:val="top"/>
          </w:tcPr>
          <w:p w14:paraId="4CE009A7">
            <w:pPr>
              <w:rPr>
                <w:rFonts w:hint="eastAsia" w:ascii="宋体" w:hAnsi="宋体" w:cs="宋体"/>
                <w:color w:val="auto"/>
                <w:highlight w:val="none"/>
              </w:rPr>
            </w:pPr>
          </w:p>
        </w:tc>
      </w:tr>
      <w:tr w14:paraId="32C729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 w:hRule="atLeast"/>
          <w:jc w:val="center"/>
        </w:trPr>
        <w:tc>
          <w:tcPr>
            <w:tcW w:w="2090" w:type="dxa"/>
            <w:noWrap w:val="0"/>
            <w:vAlign w:val="top"/>
          </w:tcPr>
          <w:p w14:paraId="24133EA9">
            <w:pPr>
              <w:rPr>
                <w:rFonts w:hint="eastAsia" w:ascii="宋体" w:hAnsi="宋体" w:cs="宋体"/>
                <w:color w:val="auto"/>
                <w:highlight w:val="none"/>
              </w:rPr>
            </w:pPr>
          </w:p>
        </w:tc>
        <w:tc>
          <w:tcPr>
            <w:tcW w:w="2091" w:type="dxa"/>
            <w:noWrap w:val="0"/>
            <w:vAlign w:val="top"/>
          </w:tcPr>
          <w:p w14:paraId="3DDCFAAF">
            <w:pPr>
              <w:rPr>
                <w:rFonts w:hint="eastAsia" w:ascii="宋体" w:hAnsi="宋体" w:cs="宋体"/>
                <w:color w:val="auto"/>
                <w:highlight w:val="none"/>
              </w:rPr>
            </w:pPr>
          </w:p>
        </w:tc>
        <w:tc>
          <w:tcPr>
            <w:tcW w:w="2090" w:type="dxa"/>
            <w:noWrap w:val="0"/>
            <w:vAlign w:val="top"/>
          </w:tcPr>
          <w:p w14:paraId="0BA56615">
            <w:pPr>
              <w:rPr>
                <w:rFonts w:hint="eastAsia" w:ascii="宋体" w:hAnsi="宋体" w:cs="宋体"/>
                <w:color w:val="auto"/>
                <w:highlight w:val="none"/>
              </w:rPr>
            </w:pPr>
          </w:p>
        </w:tc>
        <w:tc>
          <w:tcPr>
            <w:tcW w:w="2091" w:type="dxa"/>
            <w:noWrap w:val="0"/>
            <w:vAlign w:val="top"/>
          </w:tcPr>
          <w:p w14:paraId="4B86B53C">
            <w:pPr>
              <w:rPr>
                <w:rFonts w:hint="eastAsia" w:ascii="宋体" w:hAnsi="宋体" w:cs="宋体"/>
                <w:color w:val="auto"/>
                <w:highlight w:val="none"/>
              </w:rPr>
            </w:pPr>
          </w:p>
        </w:tc>
      </w:tr>
      <w:tr w14:paraId="618026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4" w:hRule="atLeast"/>
          <w:jc w:val="center"/>
        </w:trPr>
        <w:tc>
          <w:tcPr>
            <w:tcW w:w="2090" w:type="dxa"/>
            <w:noWrap w:val="0"/>
            <w:vAlign w:val="top"/>
          </w:tcPr>
          <w:p w14:paraId="662E9809">
            <w:pPr>
              <w:rPr>
                <w:rFonts w:hint="eastAsia" w:ascii="宋体" w:hAnsi="宋体" w:cs="宋体"/>
                <w:color w:val="auto"/>
                <w:highlight w:val="none"/>
              </w:rPr>
            </w:pPr>
          </w:p>
        </w:tc>
        <w:tc>
          <w:tcPr>
            <w:tcW w:w="2091" w:type="dxa"/>
            <w:noWrap w:val="0"/>
            <w:vAlign w:val="top"/>
          </w:tcPr>
          <w:p w14:paraId="51423F3F">
            <w:pPr>
              <w:rPr>
                <w:rFonts w:hint="eastAsia" w:ascii="宋体" w:hAnsi="宋体" w:cs="宋体"/>
                <w:color w:val="auto"/>
                <w:highlight w:val="none"/>
              </w:rPr>
            </w:pPr>
          </w:p>
        </w:tc>
        <w:tc>
          <w:tcPr>
            <w:tcW w:w="2090" w:type="dxa"/>
            <w:noWrap w:val="0"/>
            <w:vAlign w:val="top"/>
          </w:tcPr>
          <w:p w14:paraId="2D7858F7">
            <w:pPr>
              <w:rPr>
                <w:rFonts w:hint="eastAsia" w:ascii="宋体" w:hAnsi="宋体" w:cs="宋体"/>
                <w:color w:val="auto"/>
                <w:highlight w:val="none"/>
              </w:rPr>
            </w:pPr>
          </w:p>
        </w:tc>
        <w:tc>
          <w:tcPr>
            <w:tcW w:w="2091" w:type="dxa"/>
            <w:noWrap w:val="0"/>
            <w:vAlign w:val="top"/>
          </w:tcPr>
          <w:p w14:paraId="775FADAD">
            <w:pPr>
              <w:rPr>
                <w:rFonts w:hint="eastAsia" w:ascii="宋体" w:hAnsi="宋体" w:cs="宋体"/>
                <w:color w:val="auto"/>
                <w:highlight w:val="none"/>
              </w:rPr>
            </w:pPr>
          </w:p>
        </w:tc>
      </w:tr>
      <w:tr w14:paraId="691215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 w:hRule="atLeast"/>
          <w:jc w:val="center"/>
        </w:trPr>
        <w:tc>
          <w:tcPr>
            <w:tcW w:w="2090" w:type="dxa"/>
            <w:noWrap w:val="0"/>
            <w:vAlign w:val="top"/>
          </w:tcPr>
          <w:p w14:paraId="56ADC469">
            <w:pPr>
              <w:rPr>
                <w:rFonts w:hint="eastAsia" w:ascii="宋体" w:hAnsi="宋体" w:cs="宋体"/>
                <w:color w:val="auto"/>
                <w:highlight w:val="none"/>
              </w:rPr>
            </w:pPr>
          </w:p>
        </w:tc>
        <w:tc>
          <w:tcPr>
            <w:tcW w:w="2091" w:type="dxa"/>
            <w:noWrap w:val="0"/>
            <w:vAlign w:val="top"/>
          </w:tcPr>
          <w:p w14:paraId="7C6B76FC">
            <w:pPr>
              <w:rPr>
                <w:rFonts w:hint="eastAsia" w:ascii="宋体" w:hAnsi="宋体" w:cs="宋体"/>
                <w:color w:val="auto"/>
                <w:highlight w:val="none"/>
              </w:rPr>
            </w:pPr>
          </w:p>
        </w:tc>
        <w:tc>
          <w:tcPr>
            <w:tcW w:w="2090" w:type="dxa"/>
            <w:noWrap w:val="0"/>
            <w:vAlign w:val="top"/>
          </w:tcPr>
          <w:p w14:paraId="3B95D705">
            <w:pPr>
              <w:rPr>
                <w:rFonts w:hint="eastAsia" w:ascii="宋体" w:hAnsi="宋体" w:cs="宋体"/>
                <w:color w:val="auto"/>
                <w:highlight w:val="none"/>
              </w:rPr>
            </w:pPr>
          </w:p>
        </w:tc>
        <w:tc>
          <w:tcPr>
            <w:tcW w:w="2091" w:type="dxa"/>
            <w:noWrap w:val="0"/>
            <w:vAlign w:val="top"/>
          </w:tcPr>
          <w:p w14:paraId="26E4066E">
            <w:pPr>
              <w:rPr>
                <w:rFonts w:hint="eastAsia" w:ascii="宋体" w:hAnsi="宋体" w:cs="宋体"/>
                <w:color w:val="auto"/>
                <w:highlight w:val="none"/>
              </w:rPr>
            </w:pPr>
          </w:p>
        </w:tc>
      </w:tr>
      <w:tr w14:paraId="3C4331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 w:hRule="atLeast"/>
          <w:jc w:val="center"/>
        </w:trPr>
        <w:tc>
          <w:tcPr>
            <w:tcW w:w="2090" w:type="dxa"/>
            <w:noWrap w:val="0"/>
            <w:vAlign w:val="top"/>
          </w:tcPr>
          <w:p w14:paraId="7DBFFD01">
            <w:pPr>
              <w:rPr>
                <w:rFonts w:hint="eastAsia" w:ascii="宋体" w:hAnsi="宋体" w:cs="宋体"/>
                <w:color w:val="auto"/>
                <w:highlight w:val="none"/>
              </w:rPr>
            </w:pPr>
          </w:p>
        </w:tc>
        <w:tc>
          <w:tcPr>
            <w:tcW w:w="2091" w:type="dxa"/>
            <w:noWrap w:val="0"/>
            <w:vAlign w:val="top"/>
          </w:tcPr>
          <w:p w14:paraId="3A82AB41">
            <w:pPr>
              <w:rPr>
                <w:rFonts w:hint="eastAsia" w:ascii="宋体" w:hAnsi="宋体" w:cs="宋体"/>
                <w:color w:val="auto"/>
                <w:highlight w:val="none"/>
              </w:rPr>
            </w:pPr>
          </w:p>
        </w:tc>
        <w:tc>
          <w:tcPr>
            <w:tcW w:w="2090" w:type="dxa"/>
            <w:noWrap w:val="0"/>
            <w:vAlign w:val="top"/>
          </w:tcPr>
          <w:p w14:paraId="7027B2EE">
            <w:pPr>
              <w:rPr>
                <w:rFonts w:hint="eastAsia" w:ascii="宋体" w:hAnsi="宋体" w:cs="宋体"/>
                <w:color w:val="auto"/>
                <w:highlight w:val="none"/>
              </w:rPr>
            </w:pPr>
          </w:p>
        </w:tc>
        <w:tc>
          <w:tcPr>
            <w:tcW w:w="2091" w:type="dxa"/>
            <w:noWrap w:val="0"/>
            <w:vAlign w:val="top"/>
          </w:tcPr>
          <w:p w14:paraId="32CCAA65">
            <w:pPr>
              <w:rPr>
                <w:rFonts w:hint="eastAsia" w:ascii="宋体" w:hAnsi="宋体" w:cs="宋体"/>
                <w:color w:val="auto"/>
                <w:highlight w:val="none"/>
              </w:rPr>
            </w:pPr>
          </w:p>
        </w:tc>
      </w:tr>
    </w:tbl>
    <w:p w14:paraId="095BF7CE">
      <w:pPr>
        <w:rPr>
          <w:rFonts w:hint="eastAsia" w:ascii="宋体" w:hAnsi="宋体" w:cs="宋体"/>
          <w:color w:val="auto"/>
          <w:highlight w:val="none"/>
        </w:rPr>
      </w:pPr>
    </w:p>
    <w:p w14:paraId="58037355">
      <w:pPr>
        <w:rPr>
          <w:rFonts w:hint="eastAsia" w:ascii="宋体" w:hAnsi="宋体" w:cs="宋体"/>
          <w:color w:val="auto"/>
          <w:highlight w:val="none"/>
        </w:rPr>
      </w:pPr>
    </w:p>
    <w:p w14:paraId="6F49D48C">
      <w:pPr>
        <w:pStyle w:val="28"/>
        <w:tabs>
          <w:tab w:val="left" w:pos="2127"/>
        </w:tabs>
        <w:spacing w:line="340" w:lineRule="exact"/>
        <w:rPr>
          <w:rFonts w:hint="eastAsia" w:hAnsi="宋体" w:cs="宋体"/>
          <w:color w:val="auto"/>
          <w:highlight w:val="none"/>
        </w:rPr>
      </w:pPr>
      <w:r>
        <w:rPr>
          <w:rFonts w:hint="eastAsia" w:hAnsi="宋体" w:cs="宋体"/>
          <w:color w:val="auto"/>
          <w:highlight w:val="none"/>
        </w:rPr>
        <w:br w:type="page"/>
      </w:r>
      <w:r>
        <w:rPr>
          <w:rFonts w:hint="eastAsia" w:hAnsi="宋体" w:cs="宋体"/>
          <w:color w:val="auto"/>
          <w:highlight w:val="none"/>
        </w:rPr>
        <w:t>2.近年已完成</w:t>
      </w:r>
      <w:r>
        <w:rPr>
          <w:rFonts w:hint="eastAsia" w:hAnsi="宋体" w:cs="宋体"/>
          <w:color w:val="auto"/>
          <w:highlight w:val="none"/>
          <w:lang w:val="en-US" w:eastAsia="zh-CN"/>
        </w:rPr>
        <w:t>或</w:t>
      </w:r>
      <w:r>
        <w:rPr>
          <w:rFonts w:hint="eastAsia"/>
          <w:color w:val="auto"/>
          <w:highlight w:val="none"/>
        </w:rPr>
        <w:t>承担过</w:t>
      </w:r>
      <w:r>
        <w:rPr>
          <w:rFonts w:hint="eastAsia" w:hAnsi="宋体" w:cs="宋体"/>
          <w:color w:val="auto"/>
          <w:highlight w:val="none"/>
        </w:rPr>
        <w:t>类似工程一览表</w:t>
      </w:r>
    </w:p>
    <w:tbl>
      <w:tblPr>
        <w:tblStyle w:val="55"/>
        <w:tblW w:w="935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1"/>
        <w:gridCol w:w="1701"/>
        <w:gridCol w:w="1417"/>
        <w:gridCol w:w="851"/>
        <w:gridCol w:w="992"/>
        <w:gridCol w:w="1134"/>
        <w:gridCol w:w="1276"/>
        <w:gridCol w:w="1134"/>
      </w:tblGrid>
      <w:tr w14:paraId="291AD1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jc w:val="center"/>
        </w:trPr>
        <w:tc>
          <w:tcPr>
            <w:tcW w:w="851" w:type="dxa"/>
            <w:noWrap w:val="0"/>
            <w:vAlign w:val="center"/>
          </w:tcPr>
          <w:p w14:paraId="23DA342A">
            <w:pPr>
              <w:jc w:val="center"/>
              <w:rPr>
                <w:rFonts w:hint="eastAsia" w:ascii="宋体" w:hAnsi="宋体" w:cs="宋体"/>
                <w:color w:val="auto"/>
                <w:highlight w:val="none"/>
              </w:rPr>
            </w:pPr>
            <w:r>
              <w:rPr>
                <w:rFonts w:hint="eastAsia" w:ascii="宋体" w:hAnsi="宋体" w:cs="宋体"/>
                <w:color w:val="auto"/>
                <w:highlight w:val="none"/>
              </w:rPr>
              <w:t>序号</w:t>
            </w:r>
          </w:p>
        </w:tc>
        <w:tc>
          <w:tcPr>
            <w:tcW w:w="1701" w:type="dxa"/>
            <w:noWrap w:val="0"/>
            <w:vAlign w:val="center"/>
          </w:tcPr>
          <w:p w14:paraId="4AE0D88E">
            <w:pPr>
              <w:jc w:val="center"/>
              <w:rPr>
                <w:rFonts w:hint="eastAsia" w:ascii="宋体" w:hAnsi="宋体" w:cs="宋体"/>
                <w:color w:val="auto"/>
                <w:highlight w:val="none"/>
              </w:rPr>
            </w:pPr>
            <w:r>
              <w:rPr>
                <w:rFonts w:hint="eastAsia" w:ascii="宋体" w:hAnsi="宋体" w:cs="宋体"/>
                <w:color w:val="auto"/>
                <w:highlight w:val="none"/>
              </w:rPr>
              <w:t>发包人名称</w:t>
            </w:r>
          </w:p>
        </w:tc>
        <w:tc>
          <w:tcPr>
            <w:tcW w:w="1417" w:type="dxa"/>
            <w:noWrap w:val="0"/>
            <w:vAlign w:val="center"/>
          </w:tcPr>
          <w:p w14:paraId="0F1D1041">
            <w:pPr>
              <w:jc w:val="center"/>
              <w:rPr>
                <w:rFonts w:hint="eastAsia" w:ascii="宋体" w:hAnsi="宋体" w:cs="宋体"/>
                <w:color w:val="auto"/>
                <w:highlight w:val="none"/>
              </w:rPr>
            </w:pPr>
            <w:r>
              <w:rPr>
                <w:rFonts w:hint="eastAsia" w:ascii="宋体" w:hAnsi="宋体" w:cs="宋体"/>
                <w:color w:val="auto"/>
                <w:highlight w:val="none"/>
              </w:rPr>
              <w:t>工程名称</w:t>
            </w:r>
          </w:p>
          <w:p w14:paraId="08491DA2">
            <w:pPr>
              <w:jc w:val="center"/>
              <w:rPr>
                <w:rFonts w:hint="eastAsia" w:ascii="宋体" w:hAnsi="宋体" w:cs="宋体"/>
                <w:color w:val="auto"/>
                <w:highlight w:val="none"/>
              </w:rPr>
            </w:pPr>
            <w:r>
              <w:rPr>
                <w:rFonts w:hint="eastAsia" w:ascii="宋体" w:hAnsi="宋体" w:cs="宋体"/>
                <w:color w:val="auto"/>
                <w:highlight w:val="none"/>
              </w:rPr>
              <w:t>及建设地点</w:t>
            </w:r>
          </w:p>
        </w:tc>
        <w:tc>
          <w:tcPr>
            <w:tcW w:w="851" w:type="dxa"/>
            <w:noWrap w:val="0"/>
            <w:vAlign w:val="center"/>
          </w:tcPr>
          <w:p w14:paraId="4178FAE9">
            <w:pPr>
              <w:jc w:val="center"/>
              <w:rPr>
                <w:rFonts w:hint="eastAsia" w:ascii="宋体" w:hAnsi="宋体" w:cs="宋体"/>
                <w:color w:val="auto"/>
                <w:highlight w:val="none"/>
              </w:rPr>
            </w:pPr>
            <w:r>
              <w:rPr>
                <w:rFonts w:hint="eastAsia" w:ascii="宋体" w:hAnsi="宋体" w:cs="宋体"/>
                <w:color w:val="auto"/>
                <w:highlight w:val="none"/>
              </w:rPr>
              <w:t>结构</w:t>
            </w:r>
          </w:p>
          <w:p w14:paraId="3F52B817">
            <w:pPr>
              <w:jc w:val="center"/>
              <w:rPr>
                <w:rFonts w:hint="eastAsia" w:ascii="宋体" w:hAnsi="宋体" w:cs="宋体"/>
                <w:color w:val="auto"/>
                <w:highlight w:val="none"/>
              </w:rPr>
            </w:pPr>
            <w:r>
              <w:rPr>
                <w:rFonts w:hint="eastAsia" w:ascii="宋体" w:hAnsi="宋体" w:cs="宋体"/>
                <w:color w:val="auto"/>
                <w:highlight w:val="none"/>
              </w:rPr>
              <w:t>类型</w:t>
            </w:r>
          </w:p>
        </w:tc>
        <w:tc>
          <w:tcPr>
            <w:tcW w:w="992" w:type="dxa"/>
            <w:noWrap w:val="0"/>
            <w:vAlign w:val="center"/>
          </w:tcPr>
          <w:p w14:paraId="5966F768">
            <w:pPr>
              <w:jc w:val="center"/>
              <w:rPr>
                <w:rFonts w:hint="eastAsia" w:ascii="宋体" w:hAnsi="宋体" w:cs="宋体"/>
                <w:color w:val="auto"/>
                <w:highlight w:val="none"/>
              </w:rPr>
            </w:pPr>
            <w:r>
              <w:rPr>
                <w:rFonts w:hint="eastAsia" w:ascii="宋体" w:hAnsi="宋体" w:cs="宋体"/>
                <w:color w:val="auto"/>
                <w:highlight w:val="none"/>
              </w:rPr>
              <w:t>建设</w:t>
            </w:r>
          </w:p>
          <w:p w14:paraId="12B57AD5">
            <w:pPr>
              <w:jc w:val="center"/>
              <w:rPr>
                <w:rFonts w:hint="eastAsia" w:ascii="宋体" w:hAnsi="宋体" w:cs="宋体"/>
                <w:color w:val="auto"/>
                <w:highlight w:val="none"/>
              </w:rPr>
            </w:pPr>
            <w:r>
              <w:rPr>
                <w:rFonts w:hint="eastAsia" w:ascii="宋体" w:hAnsi="宋体" w:cs="宋体"/>
                <w:color w:val="auto"/>
                <w:highlight w:val="none"/>
              </w:rPr>
              <w:t>规模</w:t>
            </w:r>
          </w:p>
        </w:tc>
        <w:tc>
          <w:tcPr>
            <w:tcW w:w="1134" w:type="dxa"/>
            <w:noWrap w:val="0"/>
            <w:vAlign w:val="center"/>
          </w:tcPr>
          <w:p w14:paraId="7544B482">
            <w:pPr>
              <w:jc w:val="center"/>
              <w:rPr>
                <w:rFonts w:hint="eastAsia" w:ascii="宋体" w:hAnsi="宋体" w:cs="宋体"/>
                <w:color w:val="auto"/>
                <w:highlight w:val="none"/>
              </w:rPr>
            </w:pPr>
            <w:r>
              <w:rPr>
                <w:rFonts w:hint="eastAsia" w:ascii="宋体" w:hAnsi="宋体" w:cs="宋体"/>
                <w:color w:val="auto"/>
                <w:highlight w:val="none"/>
              </w:rPr>
              <w:t>合同金额</w:t>
            </w:r>
          </w:p>
          <w:p w14:paraId="119192C4">
            <w:pPr>
              <w:jc w:val="center"/>
              <w:rPr>
                <w:rFonts w:hint="eastAsia" w:ascii="宋体" w:hAnsi="宋体" w:cs="宋体"/>
                <w:color w:val="auto"/>
                <w:highlight w:val="none"/>
              </w:rPr>
            </w:pPr>
            <w:r>
              <w:rPr>
                <w:rFonts w:hint="eastAsia" w:ascii="宋体" w:hAnsi="宋体" w:cs="宋体"/>
                <w:color w:val="auto"/>
                <w:highlight w:val="none"/>
              </w:rPr>
              <w:t>（万元）</w:t>
            </w:r>
          </w:p>
        </w:tc>
        <w:tc>
          <w:tcPr>
            <w:tcW w:w="1276" w:type="dxa"/>
            <w:noWrap w:val="0"/>
            <w:vAlign w:val="center"/>
          </w:tcPr>
          <w:p w14:paraId="7E3DF993">
            <w:pPr>
              <w:jc w:val="center"/>
              <w:rPr>
                <w:rFonts w:hint="eastAsia" w:ascii="宋体" w:hAnsi="宋体" w:cs="宋体"/>
                <w:color w:val="auto"/>
                <w:highlight w:val="none"/>
              </w:rPr>
            </w:pPr>
            <w:r>
              <w:rPr>
                <w:rFonts w:hint="eastAsia" w:ascii="宋体" w:hAnsi="宋体" w:cs="宋体"/>
                <w:color w:val="auto"/>
                <w:highlight w:val="none"/>
              </w:rPr>
              <w:t>竣工达到</w:t>
            </w:r>
          </w:p>
          <w:p w14:paraId="4AD7F042">
            <w:pPr>
              <w:jc w:val="center"/>
              <w:rPr>
                <w:rFonts w:hint="eastAsia" w:ascii="宋体" w:hAnsi="宋体" w:cs="宋体"/>
                <w:color w:val="auto"/>
                <w:highlight w:val="none"/>
              </w:rPr>
            </w:pPr>
            <w:r>
              <w:rPr>
                <w:rFonts w:hint="eastAsia" w:ascii="宋体" w:hAnsi="宋体" w:cs="宋体"/>
                <w:color w:val="auto"/>
                <w:highlight w:val="none"/>
              </w:rPr>
              <w:t>质量标准</w:t>
            </w:r>
          </w:p>
        </w:tc>
        <w:tc>
          <w:tcPr>
            <w:tcW w:w="1134" w:type="dxa"/>
            <w:noWrap w:val="0"/>
            <w:vAlign w:val="center"/>
          </w:tcPr>
          <w:p w14:paraId="623FEF9B">
            <w:pPr>
              <w:jc w:val="center"/>
              <w:rPr>
                <w:rFonts w:hint="eastAsia" w:ascii="宋体" w:hAnsi="宋体" w:cs="宋体"/>
                <w:color w:val="auto"/>
                <w:highlight w:val="none"/>
              </w:rPr>
            </w:pPr>
            <w:r>
              <w:rPr>
                <w:rFonts w:hint="eastAsia" w:ascii="宋体" w:hAnsi="宋体" w:cs="宋体"/>
                <w:color w:val="auto"/>
                <w:highlight w:val="none"/>
              </w:rPr>
              <w:t>开竣工</w:t>
            </w:r>
          </w:p>
          <w:p w14:paraId="2236B937">
            <w:pPr>
              <w:jc w:val="center"/>
              <w:rPr>
                <w:rFonts w:hint="eastAsia" w:ascii="宋体" w:hAnsi="宋体" w:cs="宋体"/>
                <w:color w:val="auto"/>
                <w:highlight w:val="none"/>
              </w:rPr>
            </w:pPr>
            <w:r>
              <w:rPr>
                <w:rFonts w:hint="eastAsia" w:ascii="宋体" w:hAnsi="宋体" w:cs="宋体"/>
                <w:color w:val="auto"/>
                <w:highlight w:val="none"/>
              </w:rPr>
              <w:t>日  期</w:t>
            </w:r>
          </w:p>
        </w:tc>
      </w:tr>
      <w:tr w14:paraId="353072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jc w:val="center"/>
        </w:trPr>
        <w:tc>
          <w:tcPr>
            <w:tcW w:w="851" w:type="dxa"/>
            <w:noWrap w:val="0"/>
            <w:vAlign w:val="center"/>
          </w:tcPr>
          <w:p w14:paraId="1BE2AFAD">
            <w:pPr>
              <w:jc w:val="center"/>
              <w:rPr>
                <w:rFonts w:hint="eastAsia" w:ascii="宋体" w:hAnsi="宋体" w:cs="宋体"/>
                <w:color w:val="auto"/>
                <w:highlight w:val="none"/>
              </w:rPr>
            </w:pPr>
            <w:r>
              <w:rPr>
                <w:rFonts w:hint="eastAsia" w:ascii="宋体" w:hAnsi="宋体" w:cs="宋体"/>
                <w:color w:val="auto"/>
                <w:highlight w:val="none"/>
              </w:rPr>
              <w:t>1</w:t>
            </w:r>
          </w:p>
        </w:tc>
        <w:tc>
          <w:tcPr>
            <w:tcW w:w="1701" w:type="dxa"/>
            <w:noWrap w:val="0"/>
            <w:vAlign w:val="center"/>
          </w:tcPr>
          <w:p w14:paraId="146CD345">
            <w:pPr>
              <w:jc w:val="center"/>
              <w:rPr>
                <w:rFonts w:hint="eastAsia" w:ascii="宋体" w:hAnsi="宋体" w:cs="宋体"/>
                <w:color w:val="auto"/>
                <w:highlight w:val="none"/>
              </w:rPr>
            </w:pPr>
          </w:p>
        </w:tc>
        <w:tc>
          <w:tcPr>
            <w:tcW w:w="1417" w:type="dxa"/>
            <w:noWrap w:val="0"/>
            <w:vAlign w:val="center"/>
          </w:tcPr>
          <w:p w14:paraId="05FC40C5">
            <w:pPr>
              <w:jc w:val="center"/>
              <w:rPr>
                <w:rFonts w:hint="eastAsia" w:ascii="宋体" w:hAnsi="宋体" w:cs="宋体"/>
                <w:color w:val="auto"/>
                <w:highlight w:val="none"/>
              </w:rPr>
            </w:pPr>
          </w:p>
        </w:tc>
        <w:tc>
          <w:tcPr>
            <w:tcW w:w="851" w:type="dxa"/>
            <w:noWrap w:val="0"/>
            <w:vAlign w:val="center"/>
          </w:tcPr>
          <w:p w14:paraId="661BF8C5">
            <w:pPr>
              <w:jc w:val="center"/>
              <w:rPr>
                <w:rFonts w:hint="eastAsia" w:ascii="宋体" w:hAnsi="宋体" w:cs="宋体"/>
                <w:color w:val="auto"/>
                <w:highlight w:val="none"/>
              </w:rPr>
            </w:pPr>
          </w:p>
        </w:tc>
        <w:tc>
          <w:tcPr>
            <w:tcW w:w="992" w:type="dxa"/>
            <w:noWrap w:val="0"/>
            <w:vAlign w:val="center"/>
          </w:tcPr>
          <w:p w14:paraId="00A0318B">
            <w:pPr>
              <w:jc w:val="center"/>
              <w:rPr>
                <w:rFonts w:hint="eastAsia" w:ascii="宋体" w:hAnsi="宋体" w:cs="宋体"/>
                <w:color w:val="auto"/>
                <w:highlight w:val="none"/>
              </w:rPr>
            </w:pPr>
          </w:p>
        </w:tc>
        <w:tc>
          <w:tcPr>
            <w:tcW w:w="1134" w:type="dxa"/>
            <w:noWrap w:val="0"/>
            <w:vAlign w:val="center"/>
          </w:tcPr>
          <w:p w14:paraId="08A432F6">
            <w:pPr>
              <w:jc w:val="center"/>
              <w:rPr>
                <w:rFonts w:hint="eastAsia" w:ascii="宋体" w:hAnsi="宋体" w:cs="宋体"/>
                <w:color w:val="auto"/>
                <w:highlight w:val="none"/>
              </w:rPr>
            </w:pPr>
          </w:p>
        </w:tc>
        <w:tc>
          <w:tcPr>
            <w:tcW w:w="1276" w:type="dxa"/>
            <w:noWrap w:val="0"/>
            <w:vAlign w:val="center"/>
          </w:tcPr>
          <w:p w14:paraId="54744E2B">
            <w:pPr>
              <w:jc w:val="center"/>
              <w:rPr>
                <w:rFonts w:hint="eastAsia" w:ascii="宋体" w:hAnsi="宋体" w:cs="宋体"/>
                <w:color w:val="auto"/>
                <w:highlight w:val="none"/>
              </w:rPr>
            </w:pPr>
          </w:p>
        </w:tc>
        <w:tc>
          <w:tcPr>
            <w:tcW w:w="1134" w:type="dxa"/>
            <w:noWrap w:val="0"/>
            <w:vAlign w:val="center"/>
          </w:tcPr>
          <w:p w14:paraId="2A5694DF">
            <w:pPr>
              <w:jc w:val="center"/>
              <w:rPr>
                <w:rFonts w:hint="eastAsia" w:ascii="宋体" w:hAnsi="宋体" w:cs="宋体"/>
                <w:color w:val="auto"/>
                <w:highlight w:val="none"/>
              </w:rPr>
            </w:pPr>
          </w:p>
        </w:tc>
      </w:tr>
      <w:tr w14:paraId="7F8644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jc w:val="center"/>
        </w:trPr>
        <w:tc>
          <w:tcPr>
            <w:tcW w:w="851" w:type="dxa"/>
            <w:noWrap w:val="0"/>
            <w:vAlign w:val="center"/>
          </w:tcPr>
          <w:p w14:paraId="3C87CF6E">
            <w:pPr>
              <w:jc w:val="center"/>
              <w:rPr>
                <w:rFonts w:hint="eastAsia" w:ascii="宋体" w:hAnsi="宋体" w:cs="宋体"/>
                <w:color w:val="auto"/>
                <w:highlight w:val="none"/>
              </w:rPr>
            </w:pPr>
            <w:r>
              <w:rPr>
                <w:rFonts w:hint="eastAsia" w:ascii="宋体" w:hAnsi="宋体" w:cs="宋体"/>
                <w:color w:val="auto"/>
                <w:highlight w:val="none"/>
              </w:rPr>
              <w:t>2</w:t>
            </w:r>
          </w:p>
        </w:tc>
        <w:tc>
          <w:tcPr>
            <w:tcW w:w="1701" w:type="dxa"/>
            <w:noWrap w:val="0"/>
            <w:vAlign w:val="center"/>
          </w:tcPr>
          <w:p w14:paraId="26AA53F1">
            <w:pPr>
              <w:jc w:val="center"/>
              <w:rPr>
                <w:rFonts w:hint="eastAsia" w:ascii="宋体" w:hAnsi="宋体" w:cs="宋体"/>
                <w:color w:val="auto"/>
                <w:highlight w:val="none"/>
              </w:rPr>
            </w:pPr>
          </w:p>
        </w:tc>
        <w:tc>
          <w:tcPr>
            <w:tcW w:w="1417" w:type="dxa"/>
            <w:noWrap w:val="0"/>
            <w:vAlign w:val="center"/>
          </w:tcPr>
          <w:p w14:paraId="59BEC782">
            <w:pPr>
              <w:jc w:val="center"/>
              <w:rPr>
                <w:rFonts w:hint="eastAsia" w:ascii="宋体" w:hAnsi="宋体" w:cs="宋体"/>
                <w:color w:val="auto"/>
                <w:highlight w:val="none"/>
              </w:rPr>
            </w:pPr>
          </w:p>
        </w:tc>
        <w:tc>
          <w:tcPr>
            <w:tcW w:w="851" w:type="dxa"/>
            <w:noWrap w:val="0"/>
            <w:vAlign w:val="center"/>
          </w:tcPr>
          <w:p w14:paraId="683089B2">
            <w:pPr>
              <w:jc w:val="center"/>
              <w:rPr>
                <w:rFonts w:hint="eastAsia" w:ascii="宋体" w:hAnsi="宋体" w:cs="宋体"/>
                <w:color w:val="auto"/>
                <w:highlight w:val="none"/>
              </w:rPr>
            </w:pPr>
          </w:p>
        </w:tc>
        <w:tc>
          <w:tcPr>
            <w:tcW w:w="992" w:type="dxa"/>
            <w:noWrap w:val="0"/>
            <w:vAlign w:val="center"/>
          </w:tcPr>
          <w:p w14:paraId="3B95BB2C">
            <w:pPr>
              <w:jc w:val="center"/>
              <w:rPr>
                <w:rFonts w:hint="eastAsia" w:ascii="宋体" w:hAnsi="宋体" w:cs="宋体"/>
                <w:color w:val="auto"/>
                <w:highlight w:val="none"/>
              </w:rPr>
            </w:pPr>
          </w:p>
        </w:tc>
        <w:tc>
          <w:tcPr>
            <w:tcW w:w="1134" w:type="dxa"/>
            <w:noWrap w:val="0"/>
            <w:vAlign w:val="center"/>
          </w:tcPr>
          <w:p w14:paraId="1C163D12">
            <w:pPr>
              <w:jc w:val="center"/>
              <w:rPr>
                <w:rFonts w:hint="eastAsia" w:ascii="宋体" w:hAnsi="宋体" w:cs="宋体"/>
                <w:color w:val="auto"/>
                <w:highlight w:val="none"/>
              </w:rPr>
            </w:pPr>
          </w:p>
        </w:tc>
        <w:tc>
          <w:tcPr>
            <w:tcW w:w="1276" w:type="dxa"/>
            <w:noWrap w:val="0"/>
            <w:vAlign w:val="center"/>
          </w:tcPr>
          <w:p w14:paraId="2939C818">
            <w:pPr>
              <w:jc w:val="center"/>
              <w:rPr>
                <w:rFonts w:hint="eastAsia" w:ascii="宋体" w:hAnsi="宋体" w:cs="宋体"/>
                <w:color w:val="auto"/>
                <w:highlight w:val="none"/>
              </w:rPr>
            </w:pPr>
          </w:p>
        </w:tc>
        <w:tc>
          <w:tcPr>
            <w:tcW w:w="1134" w:type="dxa"/>
            <w:noWrap w:val="0"/>
            <w:vAlign w:val="center"/>
          </w:tcPr>
          <w:p w14:paraId="5FAD8EB6">
            <w:pPr>
              <w:jc w:val="center"/>
              <w:rPr>
                <w:rFonts w:hint="eastAsia" w:ascii="宋体" w:hAnsi="宋体" w:cs="宋体"/>
                <w:color w:val="auto"/>
                <w:highlight w:val="none"/>
              </w:rPr>
            </w:pPr>
          </w:p>
        </w:tc>
      </w:tr>
      <w:tr w14:paraId="32AF91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jc w:val="center"/>
        </w:trPr>
        <w:tc>
          <w:tcPr>
            <w:tcW w:w="851" w:type="dxa"/>
            <w:noWrap w:val="0"/>
            <w:vAlign w:val="center"/>
          </w:tcPr>
          <w:p w14:paraId="077872F1">
            <w:pPr>
              <w:jc w:val="center"/>
              <w:rPr>
                <w:rFonts w:hint="eastAsia" w:ascii="宋体" w:hAnsi="宋体" w:cs="宋体"/>
                <w:color w:val="auto"/>
                <w:highlight w:val="none"/>
              </w:rPr>
            </w:pPr>
            <w:r>
              <w:rPr>
                <w:rFonts w:hint="eastAsia" w:ascii="宋体" w:hAnsi="宋体" w:cs="宋体"/>
                <w:color w:val="auto"/>
                <w:highlight w:val="none"/>
              </w:rPr>
              <w:t>3</w:t>
            </w:r>
          </w:p>
        </w:tc>
        <w:tc>
          <w:tcPr>
            <w:tcW w:w="1701" w:type="dxa"/>
            <w:noWrap w:val="0"/>
            <w:vAlign w:val="center"/>
          </w:tcPr>
          <w:p w14:paraId="65D7B916">
            <w:pPr>
              <w:jc w:val="center"/>
              <w:rPr>
                <w:rFonts w:hint="eastAsia" w:ascii="宋体" w:hAnsi="宋体" w:cs="宋体"/>
                <w:color w:val="auto"/>
                <w:highlight w:val="none"/>
              </w:rPr>
            </w:pPr>
          </w:p>
        </w:tc>
        <w:tc>
          <w:tcPr>
            <w:tcW w:w="1417" w:type="dxa"/>
            <w:noWrap w:val="0"/>
            <w:vAlign w:val="center"/>
          </w:tcPr>
          <w:p w14:paraId="4D547D68">
            <w:pPr>
              <w:jc w:val="center"/>
              <w:rPr>
                <w:rFonts w:hint="eastAsia" w:ascii="宋体" w:hAnsi="宋体" w:cs="宋体"/>
                <w:color w:val="auto"/>
                <w:highlight w:val="none"/>
              </w:rPr>
            </w:pPr>
          </w:p>
        </w:tc>
        <w:tc>
          <w:tcPr>
            <w:tcW w:w="851" w:type="dxa"/>
            <w:noWrap w:val="0"/>
            <w:vAlign w:val="center"/>
          </w:tcPr>
          <w:p w14:paraId="17D01E27">
            <w:pPr>
              <w:jc w:val="center"/>
              <w:rPr>
                <w:rFonts w:hint="eastAsia" w:ascii="宋体" w:hAnsi="宋体" w:cs="宋体"/>
                <w:color w:val="auto"/>
                <w:highlight w:val="none"/>
              </w:rPr>
            </w:pPr>
          </w:p>
        </w:tc>
        <w:tc>
          <w:tcPr>
            <w:tcW w:w="992" w:type="dxa"/>
            <w:noWrap w:val="0"/>
            <w:vAlign w:val="center"/>
          </w:tcPr>
          <w:p w14:paraId="77C01BED">
            <w:pPr>
              <w:jc w:val="center"/>
              <w:rPr>
                <w:rFonts w:hint="eastAsia" w:ascii="宋体" w:hAnsi="宋体" w:cs="宋体"/>
                <w:color w:val="auto"/>
                <w:highlight w:val="none"/>
              </w:rPr>
            </w:pPr>
          </w:p>
        </w:tc>
        <w:tc>
          <w:tcPr>
            <w:tcW w:w="1134" w:type="dxa"/>
            <w:noWrap w:val="0"/>
            <w:vAlign w:val="center"/>
          </w:tcPr>
          <w:p w14:paraId="61F50FBA">
            <w:pPr>
              <w:jc w:val="center"/>
              <w:rPr>
                <w:rFonts w:hint="eastAsia" w:ascii="宋体" w:hAnsi="宋体" w:cs="宋体"/>
                <w:color w:val="auto"/>
                <w:highlight w:val="none"/>
              </w:rPr>
            </w:pPr>
          </w:p>
        </w:tc>
        <w:tc>
          <w:tcPr>
            <w:tcW w:w="1276" w:type="dxa"/>
            <w:noWrap w:val="0"/>
            <w:vAlign w:val="center"/>
          </w:tcPr>
          <w:p w14:paraId="099CD0A1">
            <w:pPr>
              <w:jc w:val="center"/>
              <w:rPr>
                <w:rFonts w:hint="eastAsia" w:ascii="宋体" w:hAnsi="宋体" w:cs="宋体"/>
                <w:color w:val="auto"/>
                <w:highlight w:val="none"/>
              </w:rPr>
            </w:pPr>
          </w:p>
        </w:tc>
        <w:tc>
          <w:tcPr>
            <w:tcW w:w="1134" w:type="dxa"/>
            <w:noWrap w:val="0"/>
            <w:vAlign w:val="center"/>
          </w:tcPr>
          <w:p w14:paraId="6C269541">
            <w:pPr>
              <w:jc w:val="center"/>
              <w:rPr>
                <w:rFonts w:hint="eastAsia" w:ascii="宋体" w:hAnsi="宋体" w:cs="宋体"/>
                <w:color w:val="auto"/>
                <w:highlight w:val="none"/>
              </w:rPr>
            </w:pPr>
          </w:p>
        </w:tc>
      </w:tr>
      <w:tr w14:paraId="6290F0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jc w:val="center"/>
        </w:trPr>
        <w:tc>
          <w:tcPr>
            <w:tcW w:w="851" w:type="dxa"/>
            <w:noWrap w:val="0"/>
            <w:vAlign w:val="center"/>
          </w:tcPr>
          <w:p w14:paraId="37189B48">
            <w:pPr>
              <w:jc w:val="center"/>
              <w:rPr>
                <w:rFonts w:hint="eastAsia" w:ascii="宋体" w:hAnsi="宋体" w:cs="宋体"/>
                <w:color w:val="auto"/>
                <w:highlight w:val="none"/>
              </w:rPr>
            </w:pPr>
            <w:r>
              <w:rPr>
                <w:rFonts w:hint="eastAsia" w:ascii="宋体" w:hAnsi="宋体" w:cs="宋体"/>
                <w:color w:val="auto"/>
                <w:highlight w:val="none"/>
              </w:rPr>
              <w:t>…</w:t>
            </w:r>
          </w:p>
        </w:tc>
        <w:tc>
          <w:tcPr>
            <w:tcW w:w="1701" w:type="dxa"/>
            <w:noWrap w:val="0"/>
            <w:vAlign w:val="center"/>
          </w:tcPr>
          <w:p w14:paraId="51F72521">
            <w:pPr>
              <w:jc w:val="center"/>
              <w:rPr>
                <w:rFonts w:hint="eastAsia" w:ascii="宋体" w:hAnsi="宋体" w:cs="宋体"/>
                <w:color w:val="auto"/>
                <w:highlight w:val="none"/>
              </w:rPr>
            </w:pPr>
          </w:p>
        </w:tc>
        <w:tc>
          <w:tcPr>
            <w:tcW w:w="1417" w:type="dxa"/>
            <w:noWrap w:val="0"/>
            <w:vAlign w:val="center"/>
          </w:tcPr>
          <w:p w14:paraId="5A3CC967">
            <w:pPr>
              <w:jc w:val="center"/>
              <w:rPr>
                <w:rFonts w:hint="eastAsia" w:ascii="宋体" w:hAnsi="宋体" w:cs="宋体"/>
                <w:color w:val="auto"/>
                <w:highlight w:val="none"/>
              </w:rPr>
            </w:pPr>
          </w:p>
        </w:tc>
        <w:tc>
          <w:tcPr>
            <w:tcW w:w="851" w:type="dxa"/>
            <w:noWrap w:val="0"/>
            <w:vAlign w:val="center"/>
          </w:tcPr>
          <w:p w14:paraId="2B68FAD9">
            <w:pPr>
              <w:jc w:val="center"/>
              <w:rPr>
                <w:rFonts w:hint="eastAsia" w:ascii="宋体" w:hAnsi="宋体" w:cs="宋体"/>
                <w:color w:val="auto"/>
                <w:highlight w:val="none"/>
              </w:rPr>
            </w:pPr>
          </w:p>
        </w:tc>
        <w:tc>
          <w:tcPr>
            <w:tcW w:w="992" w:type="dxa"/>
            <w:noWrap w:val="0"/>
            <w:vAlign w:val="center"/>
          </w:tcPr>
          <w:p w14:paraId="1C3AB49A">
            <w:pPr>
              <w:jc w:val="center"/>
              <w:rPr>
                <w:rFonts w:hint="eastAsia" w:ascii="宋体" w:hAnsi="宋体" w:cs="宋体"/>
                <w:color w:val="auto"/>
                <w:highlight w:val="none"/>
              </w:rPr>
            </w:pPr>
          </w:p>
        </w:tc>
        <w:tc>
          <w:tcPr>
            <w:tcW w:w="1134" w:type="dxa"/>
            <w:noWrap w:val="0"/>
            <w:vAlign w:val="center"/>
          </w:tcPr>
          <w:p w14:paraId="512DE289">
            <w:pPr>
              <w:jc w:val="center"/>
              <w:rPr>
                <w:rFonts w:hint="eastAsia" w:ascii="宋体" w:hAnsi="宋体" w:cs="宋体"/>
                <w:color w:val="auto"/>
                <w:highlight w:val="none"/>
              </w:rPr>
            </w:pPr>
          </w:p>
        </w:tc>
        <w:tc>
          <w:tcPr>
            <w:tcW w:w="1276" w:type="dxa"/>
            <w:noWrap w:val="0"/>
            <w:vAlign w:val="center"/>
          </w:tcPr>
          <w:p w14:paraId="0808BC72">
            <w:pPr>
              <w:jc w:val="center"/>
              <w:rPr>
                <w:rFonts w:hint="eastAsia" w:ascii="宋体" w:hAnsi="宋体" w:cs="宋体"/>
                <w:color w:val="auto"/>
                <w:highlight w:val="none"/>
              </w:rPr>
            </w:pPr>
          </w:p>
        </w:tc>
        <w:tc>
          <w:tcPr>
            <w:tcW w:w="1134" w:type="dxa"/>
            <w:noWrap w:val="0"/>
            <w:vAlign w:val="center"/>
          </w:tcPr>
          <w:p w14:paraId="76507B8A">
            <w:pPr>
              <w:jc w:val="center"/>
              <w:rPr>
                <w:rFonts w:hint="eastAsia" w:ascii="宋体" w:hAnsi="宋体" w:cs="宋体"/>
                <w:color w:val="auto"/>
                <w:highlight w:val="none"/>
              </w:rPr>
            </w:pPr>
          </w:p>
        </w:tc>
      </w:tr>
    </w:tbl>
    <w:p w14:paraId="17D82C31">
      <w:pPr>
        <w:pStyle w:val="28"/>
        <w:tabs>
          <w:tab w:val="left" w:pos="2127"/>
        </w:tabs>
        <w:spacing w:line="340" w:lineRule="exact"/>
        <w:rPr>
          <w:rFonts w:hint="eastAsia" w:hAnsi="宋体" w:cs="宋体"/>
          <w:color w:val="auto"/>
          <w:highlight w:val="none"/>
        </w:rPr>
      </w:pPr>
      <w:r>
        <w:rPr>
          <w:rFonts w:hint="eastAsia" w:hAnsi="宋体" w:cs="宋体"/>
          <w:color w:val="auto"/>
          <w:highlight w:val="none"/>
        </w:rPr>
        <w:t>备注：</w:t>
      </w:r>
      <w:bookmarkStart w:id="131" w:name="OLE_LINK26"/>
      <w:r>
        <w:rPr>
          <w:rFonts w:hint="eastAsia" w:hAnsi="宋体" w:cs="宋体"/>
          <w:color w:val="auto"/>
          <w:highlight w:val="none"/>
        </w:rPr>
        <w:t>附以上类似工程的中标（成交）通知书</w:t>
      </w:r>
      <w:r>
        <w:rPr>
          <w:rFonts w:hint="eastAsia" w:hAnsi="宋体" w:cs="宋体"/>
          <w:color w:val="auto"/>
          <w:highlight w:val="none"/>
          <w:lang w:val="en-US" w:eastAsia="zh-CN"/>
        </w:rPr>
        <w:t>或</w:t>
      </w:r>
      <w:r>
        <w:rPr>
          <w:rFonts w:hint="eastAsia" w:hAnsi="宋体" w:cs="宋体"/>
          <w:color w:val="auto"/>
          <w:highlight w:val="none"/>
        </w:rPr>
        <w:t>工程合同协议书</w:t>
      </w:r>
      <w:r>
        <w:rPr>
          <w:rFonts w:hint="eastAsia" w:hAnsi="宋体" w:cs="宋体"/>
          <w:color w:val="auto"/>
          <w:highlight w:val="none"/>
          <w:lang w:val="en-US" w:eastAsia="zh-CN"/>
        </w:rPr>
        <w:t>或</w:t>
      </w:r>
      <w:r>
        <w:rPr>
          <w:rFonts w:hint="eastAsia" w:hAnsi="宋体" w:cs="宋体"/>
          <w:color w:val="auto"/>
          <w:highlight w:val="none"/>
        </w:rPr>
        <w:t>工程竣工验收证明材料，</w:t>
      </w:r>
      <w:bookmarkStart w:id="132" w:name="OLE_LINK22"/>
      <w:r>
        <w:rPr>
          <w:rFonts w:hint="eastAsia" w:hAnsi="宋体" w:cs="宋体"/>
          <w:color w:val="auto"/>
          <w:highlight w:val="none"/>
        </w:rPr>
        <w:t>以及供应商认为需要增加的其他证明材料扫描件，以上扫描件均须加盖</w:t>
      </w:r>
      <w:bookmarkEnd w:id="132"/>
      <w:r>
        <w:rPr>
          <w:rFonts w:hint="eastAsia" w:hAnsi="宋体" w:cs="宋体"/>
          <w:color w:val="auto"/>
          <w:highlight w:val="none"/>
        </w:rPr>
        <w:t>供应商电子签章。</w:t>
      </w:r>
      <w:bookmarkEnd w:id="131"/>
    </w:p>
    <w:p w14:paraId="2933D016">
      <w:pPr>
        <w:spacing w:line="360" w:lineRule="exact"/>
        <w:rPr>
          <w:rFonts w:hint="eastAsia" w:ascii="宋体" w:hAnsi="宋体" w:cs="宋体"/>
          <w:b/>
          <w:bCs/>
          <w:color w:val="auto"/>
          <w:szCs w:val="21"/>
          <w:highlight w:val="none"/>
        </w:rPr>
      </w:pPr>
      <w:r>
        <w:rPr>
          <w:rFonts w:hint="eastAsia" w:ascii="宋体" w:hAnsi="宋体" w:cs="宋体"/>
          <w:color w:val="auto"/>
          <w:szCs w:val="21"/>
          <w:highlight w:val="none"/>
        </w:rPr>
        <w:br w:type="page"/>
      </w:r>
      <w:r>
        <w:rPr>
          <w:rFonts w:hint="eastAsia" w:ascii="宋体" w:hAnsi="宋体" w:cs="宋体"/>
          <w:color w:val="auto"/>
          <w:szCs w:val="21"/>
          <w:highlight w:val="none"/>
        </w:rPr>
        <w:t>4.</w:t>
      </w:r>
      <w:r>
        <w:rPr>
          <w:rFonts w:hint="eastAsia" w:ascii="宋体" w:hAnsi="宋体" w:cs="宋体"/>
          <w:b/>
          <w:bCs/>
          <w:color w:val="auto"/>
          <w:szCs w:val="21"/>
          <w:highlight w:val="none"/>
        </w:rPr>
        <w:t>无串标行为承诺函</w:t>
      </w:r>
    </w:p>
    <w:p w14:paraId="047D9DC4">
      <w:pPr>
        <w:snapToGrid w:val="0"/>
        <w:spacing w:before="50" w:after="120" w:afterLines="50"/>
        <w:jc w:val="center"/>
        <w:rPr>
          <w:rFonts w:hint="eastAsia" w:ascii="宋体" w:hAnsi="宋体" w:cs="宋体"/>
          <w:color w:val="auto"/>
          <w:szCs w:val="21"/>
          <w:highlight w:val="none"/>
        </w:rPr>
      </w:pPr>
    </w:p>
    <w:p w14:paraId="73482149">
      <w:pPr>
        <w:snapToGrid w:val="0"/>
        <w:spacing w:before="50" w:after="120" w:afterLines="50"/>
        <w:jc w:val="center"/>
        <w:rPr>
          <w:rFonts w:hint="eastAsia" w:ascii="宋体" w:hAnsi="宋体" w:cs="宋体"/>
          <w:color w:val="auto"/>
          <w:szCs w:val="21"/>
          <w:highlight w:val="none"/>
        </w:rPr>
      </w:pPr>
      <w:r>
        <w:rPr>
          <w:rFonts w:hint="eastAsia" w:ascii="宋体" w:hAnsi="宋体" w:cs="宋体"/>
          <w:color w:val="auto"/>
          <w:szCs w:val="21"/>
          <w:highlight w:val="none"/>
        </w:rPr>
        <w:t>供应商参加本项目无围标串标行为的承诺函</w:t>
      </w:r>
    </w:p>
    <w:p w14:paraId="28A6CD1B">
      <w:pPr>
        <w:snapToGrid w:val="0"/>
        <w:spacing w:before="50" w:after="120" w:afterLines="50"/>
        <w:jc w:val="left"/>
        <w:rPr>
          <w:rFonts w:hint="eastAsia" w:ascii="宋体" w:hAnsi="宋体" w:cs="宋体"/>
          <w:color w:val="auto"/>
          <w:szCs w:val="21"/>
          <w:highlight w:val="none"/>
        </w:rPr>
      </w:pPr>
    </w:p>
    <w:p w14:paraId="295AB4DF">
      <w:pPr>
        <w:snapToGrid w:val="0"/>
        <w:spacing w:before="50" w:after="120" w:afterLines="50"/>
        <w:jc w:val="left"/>
        <w:rPr>
          <w:rFonts w:hint="eastAsia" w:ascii="宋体" w:hAnsi="宋体" w:cs="宋体"/>
          <w:color w:val="auto"/>
          <w:szCs w:val="21"/>
          <w:highlight w:val="none"/>
        </w:rPr>
      </w:pPr>
      <w:r>
        <w:rPr>
          <w:rFonts w:hint="eastAsia" w:ascii="宋体" w:hAnsi="宋体" w:cs="宋体"/>
          <w:color w:val="auto"/>
          <w:szCs w:val="21"/>
          <w:highlight w:val="none"/>
        </w:rPr>
        <w:t>一、我方承诺无下列相互串通投标的情形：</w:t>
      </w:r>
    </w:p>
    <w:p w14:paraId="23740A1D">
      <w:pPr>
        <w:snapToGrid w:val="0"/>
        <w:spacing w:before="50" w:after="120" w:afterLines="50"/>
        <w:jc w:val="left"/>
        <w:rPr>
          <w:rFonts w:hint="eastAsia" w:ascii="宋体" w:hAnsi="宋体" w:cs="宋体"/>
          <w:color w:val="auto"/>
          <w:szCs w:val="21"/>
          <w:highlight w:val="none"/>
        </w:rPr>
      </w:pPr>
      <w:r>
        <w:rPr>
          <w:rFonts w:hint="eastAsia" w:ascii="宋体" w:hAnsi="宋体" w:cs="宋体"/>
          <w:color w:val="auto"/>
          <w:szCs w:val="21"/>
          <w:highlight w:val="none"/>
        </w:rPr>
        <w:t>1.不同供应商的响应文件由同一单位或者个人编制；或者不同供应商报名的IP地址一致的；</w:t>
      </w:r>
    </w:p>
    <w:p w14:paraId="2B72D82D">
      <w:pPr>
        <w:snapToGrid w:val="0"/>
        <w:spacing w:before="50" w:after="120" w:afterLines="50"/>
        <w:jc w:val="left"/>
        <w:rPr>
          <w:rFonts w:hint="eastAsia" w:ascii="宋体" w:hAnsi="宋体" w:cs="宋体"/>
          <w:color w:val="auto"/>
          <w:szCs w:val="21"/>
          <w:highlight w:val="none"/>
        </w:rPr>
      </w:pPr>
      <w:r>
        <w:rPr>
          <w:rFonts w:hint="eastAsia" w:ascii="宋体" w:hAnsi="宋体" w:cs="宋体"/>
          <w:color w:val="auto"/>
          <w:szCs w:val="21"/>
          <w:highlight w:val="none"/>
        </w:rPr>
        <w:t>2.不同供应商委托同一单位或者个人办理投标事宜；</w:t>
      </w:r>
    </w:p>
    <w:p w14:paraId="0AFE5CE5">
      <w:pPr>
        <w:snapToGrid w:val="0"/>
        <w:spacing w:before="50" w:after="120" w:afterLines="50"/>
        <w:jc w:val="left"/>
        <w:rPr>
          <w:rFonts w:hint="eastAsia" w:ascii="宋体" w:hAnsi="宋体" w:cs="宋体"/>
          <w:color w:val="auto"/>
          <w:szCs w:val="21"/>
          <w:highlight w:val="none"/>
        </w:rPr>
      </w:pPr>
      <w:r>
        <w:rPr>
          <w:rFonts w:hint="eastAsia" w:ascii="宋体" w:hAnsi="宋体" w:cs="宋体"/>
          <w:color w:val="auto"/>
          <w:szCs w:val="21"/>
          <w:highlight w:val="none"/>
        </w:rPr>
        <w:t>3.不同的供应商的响应文件载明的项目管理员为同一个人；</w:t>
      </w:r>
    </w:p>
    <w:p w14:paraId="46AB4B7D">
      <w:pPr>
        <w:snapToGrid w:val="0"/>
        <w:spacing w:before="50" w:after="120" w:afterLines="50"/>
        <w:jc w:val="left"/>
        <w:rPr>
          <w:rFonts w:hint="eastAsia" w:ascii="宋体" w:hAnsi="宋体" w:cs="宋体"/>
          <w:color w:val="auto"/>
          <w:szCs w:val="21"/>
          <w:highlight w:val="none"/>
        </w:rPr>
      </w:pPr>
      <w:r>
        <w:rPr>
          <w:rFonts w:hint="eastAsia" w:ascii="宋体" w:hAnsi="宋体" w:cs="宋体"/>
          <w:color w:val="auto"/>
          <w:szCs w:val="21"/>
          <w:highlight w:val="none"/>
        </w:rPr>
        <w:t>4.不同供应商的响应文件异常一致或者投标报价呈规律性差异；</w:t>
      </w:r>
    </w:p>
    <w:p w14:paraId="5418A756">
      <w:pPr>
        <w:snapToGrid w:val="0"/>
        <w:spacing w:before="50" w:after="120" w:afterLines="50"/>
        <w:jc w:val="left"/>
        <w:rPr>
          <w:rFonts w:hint="eastAsia" w:ascii="宋体" w:hAnsi="宋体" w:cs="宋体"/>
          <w:color w:val="auto"/>
          <w:szCs w:val="21"/>
          <w:highlight w:val="none"/>
        </w:rPr>
      </w:pPr>
      <w:r>
        <w:rPr>
          <w:rFonts w:hint="eastAsia" w:ascii="宋体" w:hAnsi="宋体" w:cs="宋体"/>
          <w:color w:val="auto"/>
          <w:szCs w:val="21"/>
          <w:highlight w:val="none"/>
        </w:rPr>
        <w:t>5.不同供应商的响应文件相互混装；</w:t>
      </w:r>
    </w:p>
    <w:p w14:paraId="47F60054">
      <w:pPr>
        <w:snapToGrid w:val="0"/>
        <w:spacing w:before="50" w:after="120" w:afterLines="50"/>
        <w:jc w:val="left"/>
        <w:rPr>
          <w:rFonts w:hint="eastAsia" w:ascii="宋体" w:hAnsi="宋体" w:cs="宋体"/>
          <w:color w:val="auto"/>
          <w:szCs w:val="21"/>
          <w:highlight w:val="none"/>
        </w:rPr>
      </w:pPr>
      <w:r>
        <w:rPr>
          <w:rFonts w:hint="eastAsia" w:ascii="宋体" w:hAnsi="宋体" w:cs="宋体"/>
          <w:color w:val="auto"/>
          <w:szCs w:val="21"/>
          <w:highlight w:val="none"/>
        </w:rPr>
        <w:t>6.不同供应商的磋商保证金从同一单位或者个人账户转出。</w:t>
      </w:r>
    </w:p>
    <w:p w14:paraId="72D1D7E1">
      <w:pPr>
        <w:snapToGrid w:val="0"/>
        <w:spacing w:before="50" w:after="120" w:afterLines="50"/>
        <w:jc w:val="left"/>
        <w:rPr>
          <w:rFonts w:hint="eastAsia" w:ascii="宋体" w:hAnsi="宋体" w:cs="宋体"/>
          <w:color w:val="auto"/>
          <w:szCs w:val="21"/>
          <w:highlight w:val="none"/>
        </w:rPr>
      </w:pPr>
      <w:r>
        <w:rPr>
          <w:rFonts w:hint="eastAsia" w:ascii="宋体" w:hAnsi="宋体" w:cs="宋体"/>
          <w:color w:val="auto"/>
          <w:szCs w:val="21"/>
          <w:highlight w:val="none"/>
        </w:rPr>
        <w:t>二、我方承诺无下列恶意串通的情形：</w:t>
      </w:r>
    </w:p>
    <w:p w14:paraId="4F34392F">
      <w:pPr>
        <w:snapToGrid w:val="0"/>
        <w:spacing w:before="50" w:after="120" w:afterLines="50"/>
        <w:jc w:val="left"/>
        <w:rPr>
          <w:rFonts w:hint="eastAsia" w:ascii="宋体" w:hAnsi="宋体" w:cs="宋体"/>
          <w:color w:val="auto"/>
          <w:szCs w:val="21"/>
          <w:highlight w:val="none"/>
        </w:rPr>
      </w:pPr>
      <w:r>
        <w:rPr>
          <w:rFonts w:hint="eastAsia" w:ascii="宋体" w:hAnsi="宋体" w:cs="宋体"/>
          <w:color w:val="auto"/>
          <w:szCs w:val="21"/>
          <w:highlight w:val="none"/>
        </w:rPr>
        <w:t>1.供应商直接或者间接从采购人或者采购代理机构处获得其他供应商的相关信息并修改其响应文件或者响应文件；</w:t>
      </w:r>
    </w:p>
    <w:p w14:paraId="3AF1EA32">
      <w:pPr>
        <w:snapToGrid w:val="0"/>
        <w:spacing w:before="50" w:after="120" w:afterLines="50"/>
        <w:jc w:val="left"/>
        <w:rPr>
          <w:rFonts w:hint="eastAsia" w:ascii="宋体" w:hAnsi="宋体" w:cs="宋体"/>
          <w:color w:val="auto"/>
          <w:szCs w:val="21"/>
          <w:highlight w:val="none"/>
        </w:rPr>
      </w:pPr>
      <w:r>
        <w:rPr>
          <w:rFonts w:hint="eastAsia" w:ascii="宋体" w:hAnsi="宋体" w:cs="宋体"/>
          <w:color w:val="auto"/>
          <w:szCs w:val="21"/>
          <w:highlight w:val="none"/>
        </w:rPr>
        <w:t>2.供应商按照采购人或者采购代理机构的授意撤换、修改响应文件或者响应文件；</w:t>
      </w:r>
    </w:p>
    <w:p w14:paraId="07675CBD">
      <w:pPr>
        <w:snapToGrid w:val="0"/>
        <w:spacing w:before="50" w:after="120" w:afterLines="50"/>
        <w:jc w:val="left"/>
        <w:rPr>
          <w:rFonts w:hint="eastAsia" w:ascii="宋体" w:hAnsi="宋体" w:cs="宋体"/>
          <w:color w:val="auto"/>
          <w:szCs w:val="21"/>
          <w:highlight w:val="none"/>
        </w:rPr>
      </w:pPr>
      <w:r>
        <w:rPr>
          <w:rFonts w:hint="eastAsia" w:ascii="宋体" w:hAnsi="宋体" w:cs="宋体"/>
          <w:color w:val="auto"/>
          <w:szCs w:val="21"/>
          <w:highlight w:val="none"/>
        </w:rPr>
        <w:t>3.供应商之间协商报价、技术方案等响应文件或者响应文件的实质性内容；</w:t>
      </w:r>
    </w:p>
    <w:p w14:paraId="34BFCC72">
      <w:pPr>
        <w:snapToGrid w:val="0"/>
        <w:spacing w:before="50" w:after="120" w:afterLines="50"/>
        <w:jc w:val="left"/>
        <w:rPr>
          <w:rFonts w:hint="eastAsia" w:ascii="宋体" w:hAnsi="宋体" w:cs="宋体"/>
          <w:color w:val="auto"/>
          <w:szCs w:val="21"/>
          <w:highlight w:val="none"/>
        </w:rPr>
      </w:pPr>
      <w:r>
        <w:rPr>
          <w:rFonts w:hint="eastAsia" w:ascii="宋体" w:hAnsi="宋体" w:cs="宋体"/>
          <w:color w:val="auto"/>
          <w:szCs w:val="21"/>
          <w:highlight w:val="none"/>
        </w:rPr>
        <w:t>4.属于同一集团、协会、商会等组织成员的供应商按照该组织要求协同参加政府采购活动；</w:t>
      </w:r>
    </w:p>
    <w:p w14:paraId="79728FF8">
      <w:pPr>
        <w:snapToGrid w:val="0"/>
        <w:spacing w:before="50" w:after="120" w:afterLines="50"/>
        <w:jc w:val="left"/>
        <w:rPr>
          <w:rFonts w:hint="eastAsia" w:ascii="宋体" w:hAnsi="宋体" w:cs="宋体"/>
          <w:color w:val="auto"/>
          <w:szCs w:val="21"/>
          <w:highlight w:val="none"/>
        </w:rPr>
      </w:pPr>
      <w:r>
        <w:rPr>
          <w:rFonts w:hint="eastAsia" w:ascii="宋体" w:hAnsi="宋体" w:cs="宋体"/>
          <w:color w:val="auto"/>
          <w:szCs w:val="21"/>
          <w:highlight w:val="none"/>
        </w:rPr>
        <w:t>5.供应商之间事先约定一致抬高或者压低投标报价，或者在招标项目中事先约定轮流以高价位或者低价位中标，或者事先约定由某一特定供应商中标，然后再参加投标；</w:t>
      </w:r>
    </w:p>
    <w:p w14:paraId="4B6231E6">
      <w:pPr>
        <w:snapToGrid w:val="0"/>
        <w:spacing w:before="50" w:after="120" w:afterLines="50"/>
        <w:jc w:val="left"/>
        <w:rPr>
          <w:rFonts w:hint="eastAsia" w:ascii="宋体" w:hAnsi="宋体" w:cs="宋体"/>
          <w:color w:val="auto"/>
          <w:szCs w:val="21"/>
          <w:highlight w:val="none"/>
        </w:rPr>
      </w:pPr>
      <w:r>
        <w:rPr>
          <w:rFonts w:hint="eastAsia" w:ascii="宋体" w:hAnsi="宋体" w:cs="宋体"/>
          <w:color w:val="auto"/>
          <w:szCs w:val="21"/>
          <w:highlight w:val="none"/>
        </w:rPr>
        <w:t>6.供应商之间商定部分供应商放弃参加政府采购活动或者放弃中标；</w:t>
      </w:r>
    </w:p>
    <w:p w14:paraId="41C07A9D">
      <w:pPr>
        <w:snapToGrid w:val="0"/>
        <w:spacing w:before="50" w:after="120" w:afterLines="50"/>
        <w:jc w:val="left"/>
        <w:rPr>
          <w:rFonts w:hint="eastAsia" w:ascii="宋体" w:hAnsi="宋体" w:cs="宋体"/>
          <w:color w:val="auto"/>
          <w:szCs w:val="21"/>
          <w:highlight w:val="none"/>
        </w:rPr>
      </w:pPr>
      <w:r>
        <w:rPr>
          <w:rFonts w:hint="eastAsia" w:ascii="宋体" w:hAnsi="宋体" w:cs="宋体"/>
          <w:color w:val="auto"/>
          <w:szCs w:val="21"/>
          <w:highlight w:val="none"/>
        </w:rPr>
        <w:t>7.供应商与采购人或者采购代理机构之间、供应商相互之间，为谋求特定供应商中标或者排斥其他供应商的其他串通行为。</w:t>
      </w:r>
    </w:p>
    <w:p w14:paraId="6F8D0459">
      <w:pPr>
        <w:snapToGrid w:val="0"/>
        <w:spacing w:before="50" w:after="120" w:afterLines="50"/>
        <w:jc w:val="left"/>
        <w:rPr>
          <w:rFonts w:hint="eastAsia" w:ascii="宋体" w:hAnsi="宋体" w:cs="宋体"/>
          <w:color w:val="auto"/>
          <w:szCs w:val="21"/>
          <w:highlight w:val="none"/>
        </w:rPr>
      </w:pPr>
      <w:r>
        <w:rPr>
          <w:rFonts w:hint="eastAsia" w:ascii="宋体" w:hAnsi="宋体" w:cs="宋体"/>
          <w:color w:val="auto"/>
          <w:szCs w:val="21"/>
          <w:highlight w:val="none"/>
        </w:rPr>
        <w:t>以上情形一经核查属实，我方愿意承担一切后果，并不再寻求任何旨在减轻或者免除法律责任的辩解。</w:t>
      </w:r>
    </w:p>
    <w:p w14:paraId="349B40BC">
      <w:pPr>
        <w:snapToGrid w:val="0"/>
        <w:spacing w:before="50" w:after="120" w:afterLines="50"/>
        <w:jc w:val="center"/>
        <w:rPr>
          <w:rFonts w:hint="eastAsia" w:ascii="宋体" w:hAnsi="宋体" w:cs="宋体"/>
          <w:color w:val="auto"/>
          <w:szCs w:val="21"/>
          <w:highlight w:val="none"/>
        </w:rPr>
      </w:pPr>
      <w:r>
        <w:rPr>
          <w:rFonts w:hint="eastAsia" w:ascii="宋体" w:hAnsi="宋体" w:cs="宋体"/>
          <w:color w:val="auto"/>
          <w:szCs w:val="21"/>
          <w:highlight w:val="none"/>
        </w:rPr>
        <w:t xml:space="preserve">  </w:t>
      </w:r>
    </w:p>
    <w:p w14:paraId="481722F3">
      <w:pPr>
        <w:snapToGrid w:val="0"/>
        <w:spacing w:before="50" w:after="120" w:afterLines="50"/>
        <w:jc w:val="center"/>
        <w:rPr>
          <w:rFonts w:hint="eastAsia" w:ascii="宋体" w:hAnsi="宋体" w:cs="宋体"/>
          <w:color w:val="auto"/>
          <w:szCs w:val="21"/>
          <w:highlight w:val="none"/>
        </w:rPr>
      </w:pPr>
    </w:p>
    <w:p w14:paraId="0770D9D1">
      <w:pPr>
        <w:snapToGrid w:val="0"/>
        <w:spacing w:before="50" w:after="120" w:afterLines="50"/>
        <w:jc w:val="center"/>
        <w:rPr>
          <w:rFonts w:hint="eastAsia" w:ascii="宋体" w:hAnsi="宋体" w:cs="宋体"/>
          <w:color w:val="auto"/>
          <w:szCs w:val="21"/>
          <w:highlight w:val="none"/>
        </w:rPr>
      </w:pPr>
    </w:p>
    <w:p w14:paraId="5E68556E">
      <w:pPr>
        <w:snapToGrid w:val="0"/>
        <w:spacing w:before="50" w:after="120" w:afterLines="50"/>
        <w:jc w:val="center"/>
        <w:rPr>
          <w:rFonts w:hint="eastAsia" w:ascii="宋体" w:hAnsi="宋体" w:cs="宋体"/>
          <w:color w:val="auto"/>
          <w:szCs w:val="21"/>
          <w:highlight w:val="none"/>
        </w:rPr>
      </w:pPr>
      <w:r>
        <w:rPr>
          <w:rFonts w:hint="eastAsia" w:ascii="宋体" w:hAnsi="宋体" w:cs="宋体"/>
          <w:color w:val="auto"/>
          <w:szCs w:val="21"/>
          <w:highlight w:val="none"/>
        </w:rPr>
        <w:t>供应商名称（电子签章）：</w:t>
      </w:r>
    </w:p>
    <w:p w14:paraId="15CFE072">
      <w:pPr>
        <w:snapToGrid w:val="0"/>
        <w:spacing w:before="50" w:after="120" w:afterLines="50"/>
        <w:jc w:val="center"/>
        <w:rPr>
          <w:rFonts w:hint="eastAsia" w:ascii="宋体" w:hAnsi="宋体" w:cs="宋体"/>
          <w:color w:val="auto"/>
          <w:szCs w:val="21"/>
          <w:highlight w:val="none"/>
        </w:rPr>
      </w:pPr>
      <w:r>
        <w:rPr>
          <w:rFonts w:hint="eastAsia" w:ascii="宋体" w:hAnsi="宋体" w:cs="宋体"/>
          <w:color w:val="auto"/>
          <w:szCs w:val="21"/>
          <w:highlight w:val="none"/>
        </w:rPr>
        <w:t>日期：  年  月   日</w:t>
      </w:r>
    </w:p>
    <w:p w14:paraId="154867D3">
      <w:pPr>
        <w:spacing w:line="360" w:lineRule="exact"/>
        <w:rPr>
          <w:rFonts w:hint="eastAsia" w:ascii="宋体" w:hAnsi="宋体" w:cs="宋体"/>
          <w:color w:val="auto"/>
          <w:szCs w:val="21"/>
          <w:highlight w:val="none"/>
        </w:rPr>
      </w:pPr>
    </w:p>
    <w:p w14:paraId="21605031">
      <w:pPr>
        <w:snapToGrid w:val="0"/>
        <w:spacing w:before="120" w:beforeLines="50" w:after="50" w:line="440" w:lineRule="exact"/>
        <w:jc w:val="center"/>
        <w:outlineLvl w:val="1"/>
        <w:rPr>
          <w:rFonts w:hint="eastAsia" w:ascii="宋体" w:hAnsi="宋体" w:cs="宋体"/>
          <w:bCs/>
          <w:color w:val="auto"/>
          <w:sz w:val="24"/>
          <w:highlight w:val="none"/>
        </w:rPr>
      </w:pPr>
      <w:r>
        <w:rPr>
          <w:rFonts w:hint="eastAsia" w:ascii="宋体" w:hAnsi="宋体" w:cs="宋体"/>
          <w:color w:val="auto"/>
          <w:szCs w:val="21"/>
          <w:highlight w:val="none"/>
        </w:rPr>
        <w:br w:type="page"/>
      </w:r>
      <w:r>
        <w:rPr>
          <w:rFonts w:hint="eastAsia" w:ascii="宋体" w:hAnsi="宋体" w:cs="宋体"/>
          <w:bCs/>
          <w:color w:val="auto"/>
          <w:sz w:val="24"/>
          <w:highlight w:val="none"/>
        </w:rPr>
        <w:t>第三部分 报价文件</w:t>
      </w:r>
    </w:p>
    <w:p w14:paraId="5166865C">
      <w:pPr>
        <w:jc w:val="center"/>
        <w:rPr>
          <w:rFonts w:hint="eastAsia" w:ascii="宋体" w:hAnsi="宋体" w:cs="宋体"/>
          <w:b/>
          <w:bCs/>
          <w:color w:val="auto"/>
          <w:szCs w:val="21"/>
          <w:highlight w:val="none"/>
        </w:rPr>
      </w:pPr>
    </w:p>
    <w:p w14:paraId="0FEEA1FE">
      <w:pPr>
        <w:rPr>
          <w:rFonts w:hint="eastAsia" w:ascii="宋体" w:hAnsi="宋体" w:cs="宋体"/>
          <w:color w:val="auto"/>
          <w:highlight w:val="none"/>
        </w:rPr>
      </w:pPr>
      <w:r>
        <w:rPr>
          <w:rFonts w:hint="eastAsia" w:ascii="宋体" w:hAnsi="宋体" w:cs="宋体"/>
          <w:color w:val="auto"/>
          <w:highlight w:val="none"/>
        </w:rPr>
        <w:t>1．响应函格式：</w:t>
      </w:r>
    </w:p>
    <w:p w14:paraId="7DF08F5F">
      <w:pPr>
        <w:jc w:val="center"/>
        <w:rPr>
          <w:rFonts w:hint="eastAsia" w:ascii="宋体" w:hAnsi="宋体" w:cs="宋体"/>
          <w:b/>
          <w:bCs/>
          <w:color w:val="auto"/>
          <w:szCs w:val="21"/>
          <w:highlight w:val="none"/>
        </w:rPr>
      </w:pPr>
    </w:p>
    <w:p w14:paraId="42A2ECC7">
      <w:pPr>
        <w:jc w:val="center"/>
        <w:rPr>
          <w:rFonts w:hint="eastAsia" w:ascii="宋体" w:hAnsi="宋体" w:cs="宋体"/>
          <w:b/>
          <w:color w:val="auto"/>
          <w:szCs w:val="21"/>
          <w:highlight w:val="none"/>
        </w:rPr>
      </w:pPr>
      <w:r>
        <w:rPr>
          <w:rFonts w:hint="eastAsia" w:ascii="宋体" w:hAnsi="宋体" w:cs="宋体"/>
          <w:b/>
          <w:color w:val="auto"/>
          <w:szCs w:val="21"/>
          <w:highlight w:val="none"/>
        </w:rPr>
        <w:t>响 应 函</w:t>
      </w:r>
    </w:p>
    <w:p w14:paraId="3C109109">
      <w:pPr>
        <w:rPr>
          <w:rFonts w:hint="eastAsia" w:ascii="宋体" w:hAnsi="宋体" w:cs="宋体"/>
          <w:b/>
          <w:color w:val="auto"/>
          <w:szCs w:val="21"/>
          <w:highlight w:val="none"/>
        </w:rPr>
      </w:pPr>
    </w:p>
    <w:p w14:paraId="7837A31C">
      <w:pPr>
        <w:snapToGrid w:val="0"/>
        <w:spacing w:before="120" w:beforeLines="50" w:after="50" w:line="360" w:lineRule="exact"/>
        <w:rPr>
          <w:rFonts w:hint="eastAsia" w:ascii="宋体" w:hAnsi="宋体" w:cs="宋体"/>
          <w:color w:val="auto"/>
          <w:szCs w:val="21"/>
          <w:highlight w:val="none"/>
        </w:rPr>
      </w:pPr>
      <w:r>
        <w:rPr>
          <w:rFonts w:hint="eastAsia" w:ascii="宋体" w:hAnsi="宋体" w:cs="宋体"/>
          <w:color w:val="auto"/>
          <w:szCs w:val="21"/>
          <w:highlight w:val="none"/>
        </w:rPr>
        <w:t>致：</w:t>
      </w:r>
      <w:bookmarkStart w:id="133" w:name="_Hlk19051378"/>
      <w:r>
        <w:rPr>
          <w:rFonts w:hint="eastAsia" w:ascii="宋体" w:hAnsi="宋体" w:cs="宋体"/>
          <w:i/>
          <w:iCs/>
          <w:color w:val="auto"/>
          <w:szCs w:val="21"/>
          <w:highlight w:val="none"/>
          <w:u w:val="single"/>
        </w:rPr>
        <w:t>（采购人名称）</w:t>
      </w:r>
      <w:bookmarkEnd w:id="133"/>
      <w:r>
        <w:rPr>
          <w:rFonts w:hint="eastAsia" w:ascii="宋体" w:hAnsi="宋体" w:cs="宋体"/>
          <w:color w:val="auto"/>
          <w:szCs w:val="21"/>
          <w:highlight w:val="none"/>
        </w:rPr>
        <w:t>：</w:t>
      </w:r>
    </w:p>
    <w:p w14:paraId="4B7B5C00">
      <w:pPr>
        <w:rPr>
          <w:rFonts w:hint="eastAsia" w:ascii="宋体" w:hAnsi="宋体" w:cs="宋体"/>
          <w:b/>
          <w:color w:val="auto"/>
          <w:szCs w:val="21"/>
          <w:highlight w:val="none"/>
        </w:rPr>
      </w:pPr>
    </w:p>
    <w:p w14:paraId="675EC76F">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1.根据你方项目编号为</w:t>
      </w:r>
      <w:r>
        <w:rPr>
          <w:rFonts w:hint="eastAsia" w:ascii="宋体" w:hAnsi="宋体" w:cs="宋体"/>
          <w:color w:val="auto"/>
          <w:szCs w:val="21"/>
          <w:highlight w:val="none"/>
          <w:u w:val="single"/>
        </w:rPr>
        <w:t xml:space="preserve">  </w:t>
      </w:r>
      <w:r>
        <w:rPr>
          <w:rFonts w:hint="eastAsia" w:ascii="宋体" w:hAnsi="宋体" w:cs="宋体"/>
          <w:i/>
          <w:iCs/>
          <w:color w:val="auto"/>
          <w:szCs w:val="21"/>
          <w:highlight w:val="none"/>
          <w:u w:val="single"/>
        </w:rPr>
        <w:t>（项目编号）</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的</w:t>
      </w:r>
      <w:r>
        <w:rPr>
          <w:rFonts w:hint="eastAsia" w:ascii="宋体" w:hAnsi="宋体" w:cs="宋体"/>
          <w:color w:val="auto"/>
          <w:szCs w:val="21"/>
          <w:highlight w:val="none"/>
          <w:u w:val="single"/>
        </w:rPr>
        <w:t xml:space="preserve">  </w:t>
      </w:r>
      <w:r>
        <w:rPr>
          <w:rFonts w:hint="eastAsia" w:ascii="宋体" w:hAnsi="宋体" w:cs="宋体"/>
          <w:i/>
          <w:iCs/>
          <w:color w:val="auto"/>
          <w:szCs w:val="21"/>
          <w:highlight w:val="none"/>
          <w:u w:val="single"/>
        </w:rPr>
        <w:t>（工程项目名称）</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工程采购文件，遵照《中华人民共和国政府采购法》、《中华人民共和国建筑法》等有关规定，经踏勘项目现场和研究上述采购文件的供应商须知、合同条款、图纸、工程建设内容和工程量清单及其他有关文件后，我方愿以人民币</w:t>
      </w:r>
      <w:r>
        <w:rPr>
          <w:rFonts w:hint="eastAsia" w:ascii="宋体" w:hAnsi="宋体" w:cs="宋体"/>
          <w:color w:val="auto"/>
          <w:szCs w:val="21"/>
          <w:highlight w:val="none"/>
          <w:u w:val="single"/>
        </w:rPr>
        <w:t>（大写）    元（RMB￥    元）</w:t>
      </w:r>
      <w:r>
        <w:rPr>
          <w:rFonts w:hint="eastAsia" w:ascii="宋体" w:hAnsi="宋体" w:cs="宋体"/>
          <w:color w:val="auto"/>
          <w:szCs w:val="21"/>
          <w:highlight w:val="none"/>
        </w:rPr>
        <w:t>的磋商报价并按上述图纸、合同条款、工程建设内容和工程量清单的条件要求承包上述工程的施工、竣工，并承担任何质量缺陷保修责任。我方保证工程质量达到</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等级。</w:t>
      </w:r>
    </w:p>
    <w:p w14:paraId="4815D5E0">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2.我方已详细审核全部采购文件，包括修改文件（如有时）及有关附件。</w:t>
      </w:r>
    </w:p>
    <w:p w14:paraId="4D4C9BDA">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3.我方承认响应函附录是我方响应函的组成部分。</w:t>
      </w:r>
    </w:p>
    <w:p w14:paraId="3B735EC6">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4.一旦我方成交，我方保证按合同书中规定的工期</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日历天内完成并移交全部工程，并承诺不分包及转包他人。</w:t>
      </w:r>
    </w:p>
    <w:p w14:paraId="7F22FC39">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5.如果我方成交，我方将按照文件规定提交履约保证金作为履约担保。</w:t>
      </w:r>
    </w:p>
    <w:p w14:paraId="7977306B">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6.我方同意所提交的响应文件在采购文件的“供应商须知”中规定的响应有效期内有效，在此期间内如果成交，我方将受此约束。</w:t>
      </w:r>
    </w:p>
    <w:p w14:paraId="448D0B50">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7.除非另外达成协议并生效，你方的成交通知书和本响应文件将成为约束双方的合同文件的组成部分。</w:t>
      </w:r>
    </w:p>
    <w:p w14:paraId="58DCDB2A">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8.我方将与本响应函一起，提交人民币</w:t>
      </w:r>
      <w:r>
        <w:rPr>
          <w:rFonts w:hint="eastAsia" w:ascii="宋体" w:hAnsi="宋体" w:cs="宋体"/>
          <w:color w:val="auto"/>
          <w:szCs w:val="21"/>
          <w:highlight w:val="none"/>
          <w:u w:val="single"/>
        </w:rPr>
        <w:t>       </w:t>
      </w:r>
      <w:r>
        <w:rPr>
          <w:rFonts w:hint="eastAsia" w:ascii="宋体" w:hAnsi="宋体" w:cs="宋体"/>
          <w:color w:val="auto"/>
          <w:szCs w:val="21"/>
          <w:highlight w:val="none"/>
        </w:rPr>
        <w:t>元作为磋商保证金。</w:t>
      </w:r>
    </w:p>
    <w:p w14:paraId="0C8238B8">
      <w:pPr>
        <w:spacing w:line="360" w:lineRule="auto"/>
        <w:ind w:firstLine="420" w:firstLineChars="200"/>
        <w:rPr>
          <w:rFonts w:hint="eastAsia" w:ascii="宋体" w:hAnsi="宋体" w:cs="宋体"/>
          <w:color w:val="auto"/>
          <w:szCs w:val="21"/>
          <w:highlight w:val="none"/>
        </w:rPr>
      </w:pPr>
      <w:bookmarkStart w:id="134" w:name="_Hlk33002211"/>
      <w:r>
        <w:rPr>
          <w:rFonts w:hint="eastAsia" w:ascii="宋体" w:hAnsi="宋体" w:cs="宋体"/>
          <w:color w:val="auto"/>
          <w:szCs w:val="21"/>
          <w:highlight w:val="none"/>
        </w:rPr>
        <w:t>9.</w:t>
      </w:r>
      <w:r>
        <w:rPr>
          <w:rFonts w:hint="eastAsia" w:ascii="宋体" w:hAnsi="宋体" w:cs="宋体"/>
          <w:color w:val="auto"/>
          <w:highlight w:val="none"/>
        </w:rPr>
        <w:t xml:space="preserve"> </w:t>
      </w:r>
      <w:r>
        <w:rPr>
          <w:rFonts w:hint="eastAsia" w:ascii="宋体" w:hAnsi="宋体" w:cs="宋体"/>
          <w:color w:val="auto"/>
          <w:szCs w:val="21"/>
          <w:highlight w:val="none"/>
        </w:rPr>
        <w:t>与本项目有关的一切正式往来信函请寄：</w:t>
      </w:r>
    </w:p>
    <w:p w14:paraId="5E3D4106">
      <w:pPr>
        <w:spacing w:line="360" w:lineRule="auto"/>
        <w:ind w:firstLine="420" w:firstLineChars="200"/>
        <w:rPr>
          <w:rFonts w:hint="eastAsia" w:ascii="宋体" w:hAnsi="宋体" w:cs="宋体"/>
          <w:color w:val="auto"/>
          <w:szCs w:val="21"/>
          <w:highlight w:val="none"/>
          <w:u w:val="single"/>
        </w:rPr>
      </w:pPr>
      <w:r>
        <w:rPr>
          <w:rFonts w:hint="eastAsia" w:ascii="宋体" w:hAnsi="宋体" w:cs="宋体"/>
          <w:color w:val="auto"/>
          <w:szCs w:val="21"/>
          <w:highlight w:val="none"/>
        </w:rPr>
        <w:t>地址：</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邮编：</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电话：</w:t>
      </w:r>
      <w:r>
        <w:rPr>
          <w:rFonts w:hint="eastAsia" w:ascii="宋体" w:hAnsi="宋体" w:cs="宋体"/>
          <w:color w:val="auto"/>
          <w:szCs w:val="21"/>
          <w:highlight w:val="none"/>
          <w:u w:val="single"/>
        </w:rPr>
        <w:t xml:space="preserve">            </w:t>
      </w:r>
    </w:p>
    <w:p w14:paraId="436D30C3">
      <w:pPr>
        <w:spacing w:line="360" w:lineRule="auto"/>
        <w:ind w:firstLine="420" w:firstLineChars="200"/>
        <w:rPr>
          <w:rFonts w:hint="eastAsia" w:ascii="宋体" w:hAnsi="宋体" w:cs="宋体"/>
          <w:color w:val="auto"/>
          <w:szCs w:val="21"/>
          <w:highlight w:val="none"/>
          <w:u w:val="single"/>
        </w:rPr>
      </w:pPr>
      <w:r>
        <w:rPr>
          <w:rFonts w:hint="eastAsia" w:ascii="宋体" w:hAnsi="宋体" w:cs="宋体"/>
          <w:color w:val="auto"/>
          <w:szCs w:val="21"/>
          <w:highlight w:val="none"/>
        </w:rPr>
        <w:t>传真：</w:t>
      </w:r>
      <w:r>
        <w:rPr>
          <w:rFonts w:hint="eastAsia" w:ascii="宋体" w:hAnsi="宋体" w:cs="宋体"/>
          <w:color w:val="auto"/>
          <w:szCs w:val="21"/>
          <w:highlight w:val="none"/>
          <w:u w:val="single"/>
        </w:rPr>
        <w:t xml:space="preserve">             </w:t>
      </w:r>
    </w:p>
    <w:p w14:paraId="41FBD710">
      <w:pPr>
        <w:spacing w:line="360" w:lineRule="auto"/>
        <w:ind w:firstLine="420" w:firstLineChars="200"/>
        <w:rPr>
          <w:rFonts w:hint="eastAsia" w:ascii="宋体" w:hAnsi="宋体" w:cs="宋体"/>
          <w:color w:val="auto"/>
          <w:szCs w:val="21"/>
          <w:highlight w:val="none"/>
          <w:u w:val="single"/>
        </w:rPr>
      </w:pPr>
      <w:r>
        <w:rPr>
          <w:rFonts w:hint="eastAsia" w:ascii="宋体" w:hAnsi="宋体" w:cs="宋体"/>
          <w:color w:val="auto"/>
          <w:szCs w:val="21"/>
          <w:highlight w:val="none"/>
        </w:rPr>
        <w:t>供应商代表姓名</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职务：</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邮箱：</w:t>
      </w:r>
      <w:r>
        <w:rPr>
          <w:rFonts w:hint="eastAsia" w:ascii="宋体" w:hAnsi="宋体" w:cs="宋体"/>
          <w:color w:val="auto"/>
          <w:szCs w:val="21"/>
          <w:highlight w:val="none"/>
          <w:u w:val="single"/>
        </w:rPr>
        <w:t xml:space="preserve">              </w:t>
      </w:r>
    </w:p>
    <w:bookmarkEnd w:id="134"/>
    <w:p w14:paraId="1B51422A">
      <w:pPr>
        <w:spacing w:line="360" w:lineRule="auto"/>
        <w:ind w:firstLine="420" w:firstLineChars="200"/>
        <w:rPr>
          <w:rFonts w:hint="eastAsia" w:ascii="宋体" w:hAnsi="宋体" w:cs="宋体"/>
          <w:color w:val="auto"/>
          <w:szCs w:val="21"/>
          <w:highlight w:val="none"/>
        </w:rPr>
      </w:pPr>
    </w:p>
    <w:p w14:paraId="1F5314E2">
      <w:pPr>
        <w:spacing w:line="360" w:lineRule="auto"/>
        <w:rPr>
          <w:rFonts w:hint="eastAsia" w:ascii="宋体" w:hAnsi="宋体" w:cs="宋体"/>
          <w:color w:val="auto"/>
          <w:szCs w:val="21"/>
          <w:highlight w:val="none"/>
        </w:rPr>
      </w:pPr>
    </w:p>
    <w:p w14:paraId="60AFCBFA">
      <w:pPr>
        <w:spacing w:line="360" w:lineRule="auto"/>
        <w:rPr>
          <w:rFonts w:hint="eastAsia" w:ascii="宋体" w:hAnsi="宋体" w:cs="宋体"/>
          <w:color w:val="auto"/>
          <w:szCs w:val="21"/>
          <w:highlight w:val="none"/>
        </w:rPr>
      </w:pPr>
      <w:bookmarkStart w:id="135" w:name="_Hlk89191117"/>
      <w:r>
        <w:rPr>
          <w:rFonts w:hint="eastAsia" w:ascii="宋体" w:hAnsi="宋体" w:cs="宋体"/>
          <w:color w:val="auto"/>
          <w:szCs w:val="21"/>
          <w:highlight w:val="none"/>
        </w:rPr>
        <w:t>供应商名称（电子签章）：</w:t>
      </w:r>
      <w:r>
        <w:rPr>
          <w:rFonts w:hint="eastAsia" w:ascii="宋体" w:hAnsi="宋体" w:cs="宋体"/>
          <w:color w:val="auto"/>
          <w:szCs w:val="21"/>
          <w:highlight w:val="none"/>
          <w:u w:val="single"/>
        </w:rPr>
        <w:t xml:space="preserve">                  </w:t>
      </w:r>
    </w:p>
    <w:bookmarkEnd w:id="135"/>
    <w:p w14:paraId="53161955">
      <w:pPr>
        <w:spacing w:line="360" w:lineRule="auto"/>
        <w:rPr>
          <w:rFonts w:hint="eastAsia" w:ascii="宋体" w:hAnsi="宋体" w:cs="宋体"/>
          <w:color w:val="auto"/>
          <w:szCs w:val="21"/>
          <w:highlight w:val="none"/>
        </w:rPr>
      </w:pPr>
    </w:p>
    <w:p w14:paraId="2C0840BE">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日期：</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年</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月</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日</w:t>
      </w:r>
    </w:p>
    <w:p w14:paraId="6BF51590">
      <w:pPr>
        <w:jc w:val="left"/>
        <w:rPr>
          <w:rFonts w:hint="eastAsia" w:ascii="宋体" w:hAnsi="宋体" w:cs="宋体"/>
          <w:b/>
          <w:color w:val="auto"/>
          <w:szCs w:val="21"/>
          <w:highlight w:val="none"/>
        </w:rPr>
      </w:pPr>
      <w:r>
        <w:rPr>
          <w:rFonts w:hint="eastAsia" w:ascii="宋体" w:hAnsi="宋体" w:cs="宋体"/>
          <w:b/>
          <w:color w:val="auto"/>
          <w:szCs w:val="21"/>
          <w:highlight w:val="none"/>
        </w:rPr>
        <w:br w:type="page"/>
      </w:r>
      <w:r>
        <w:rPr>
          <w:rFonts w:hint="eastAsia" w:ascii="宋体" w:hAnsi="宋体" w:cs="宋体"/>
          <w:color w:val="auto"/>
          <w:highlight w:val="none"/>
        </w:rPr>
        <w:t>2．响应函附录格式：</w:t>
      </w:r>
    </w:p>
    <w:p w14:paraId="2E286E06">
      <w:pPr>
        <w:jc w:val="center"/>
        <w:rPr>
          <w:rFonts w:hint="eastAsia" w:ascii="宋体" w:hAnsi="宋体" w:cs="宋体"/>
          <w:b/>
          <w:color w:val="auto"/>
          <w:szCs w:val="21"/>
          <w:highlight w:val="none"/>
        </w:rPr>
      </w:pPr>
      <w:r>
        <w:rPr>
          <w:rFonts w:hint="eastAsia" w:ascii="宋体" w:hAnsi="宋体" w:cs="宋体"/>
          <w:b/>
          <w:color w:val="auto"/>
          <w:szCs w:val="21"/>
          <w:highlight w:val="none"/>
        </w:rPr>
        <w:t>响应函附录</w:t>
      </w:r>
    </w:p>
    <w:p w14:paraId="285169ED">
      <w:pPr>
        <w:rPr>
          <w:rFonts w:hint="eastAsia" w:ascii="宋体" w:hAnsi="宋体" w:cs="宋体"/>
          <w:b/>
          <w:color w:val="auto"/>
          <w:szCs w:val="21"/>
          <w:highlight w:val="none"/>
        </w:rPr>
      </w:pPr>
    </w:p>
    <w:p w14:paraId="7B3342FB">
      <w:pPr>
        <w:ind w:firstLine="514" w:firstLineChars="245"/>
        <w:rPr>
          <w:rFonts w:hint="eastAsia" w:ascii="宋体" w:hAnsi="宋体" w:cs="宋体"/>
          <w:color w:val="auto"/>
          <w:szCs w:val="21"/>
          <w:highlight w:val="none"/>
        </w:rPr>
      </w:pPr>
      <w:r>
        <w:rPr>
          <w:rFonts w:hint="eastAsia" w:ascii="宋体" w:hAnsi="宋体" w:cs="宋体"/>
          <w:color w:val="auto"/>
          <w:szCs w:val="21"/>
          <w:highlight w:val="none"/>
        </w:rPr>
        <w:t>项目名称：</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项目编号：</w:t>
      </w:r>
      <w:r>
        <w:rPr>
          <w:rFonts w:hint="eastAsia" w:ascii="宋体" w:hAnsi="宋体" w:cs="宋体"/>
          <w:color w:val="auto"/>
          <w:szCs w:val="21"/>
          <w:highlight w:val="none"/>
          <w:u w:val="single"/>
        </w:rPr>
        <w:t xml:space="preserve">            </w:t>
      </w:r>
    </w:p>
    <w:tbl>
      <w:tblPr>
        <w:tblStyle w:val="5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92"/>
        <w:gridCol w:w="1985"/>
        <w:gridCol w:w="2126"/>
        <w:gridCol w:w="1984"/>
        <w:gridCol w:w="1843"/>
      </w:tblGrid>
      <w:tr w14:paraId="5BD6B7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92" w:type="dxa"/>
            <w:noWrap w:val="0"/>
            <w:vAlign w:val="center"/>
          </w:tcPr>
          <w:p w14:paraId="60F9D581">
            <w:pPr>
              <w:jc w:val="center"/>
              <w:rPr>
                <w:rFonts w:hint="eastAsia" w:ascii="宋体" w:hAnsi="宋体" w:cs="宋体"/>
                <w:color w:val="auto"/>
                <w:szCs w:val="21"/>
                <w:highlight w:val="none"/>
              </w:rPr>
            </w:pPr>
            <w:r>
              <w:rPr>
                <w:rFonts w:hint="eastAsia" w:ascii="宋体" w:hAnsi="宋体" w:cs="宋体"/>
                <w:color w:val="auto"/>
                <w:szCs w:val="21"/>
                <w:highlight w:val="none"/>
              </w:rPr>
              <w:t>序 号</w:t>
            </w:r>
          </w:p>
        </w:tc>
        <w:tc>
          <w:tcPr>
            <w:tcW w:w="1985" w:type="dxa"/>
            <w:noWrap w:val="0"/>
            <w:vAlign w:val="center"/>
          </w:tcPr>
          <w:p w14:paraId="231BF246">
            <w:pPr>
              <w:jc w:val="center"/>
              <w:rPr>
                <w:rFonts w:hint="eastAsia" w:ascii="宋体" w:hAnsi="宋体" w:cs="宋体"/>
                <w:color w:val="auto"/>
                <w:szCs w:val="21"/>
                <w:highlight w:val="none"/>
              </w:rPr>
            </w:pPr>
            <w:r>
              <w:rPr>
                <w:rFonts w:hint="eastAsia" w:ascii="宋体" w:hAnsi="宋体" w:cs="宋体"/>
                <w:color w:val="auto"/>
                <w:szCs w:val="21"/>
                <w:highlight w:val="none"/>
              </w:rPr>
              <w:t>条款内容</w:t>
            </w:r>
          </w:p>
        </w:tc>
        <w:tc>
          <w:tcPr>
            <w:tcW w:w="2126" w:type="dxa"/>
            <w:noWrap w:val="0"/>
            <w:vAlign w:val="center"/>
          </w:tcPr>
          <w:p w14:paraId="1C9CD2FE">
            <w:pPr>
              <w:jc w:val="center"/>
              <w:rPr>
                <w:rFonts w:hint="eastAsia" w:ascii="宋体" w:hAnsi="宋体" w:cs="宋体"/>
                <w:color w:val="auto"/>
                <w:szCs w:val="21"/>
                <w:highlight w:val="none"/>
              </w:rPr>
            </w:pPr>
            <w:r>
              <w:rPr>
                <w:rFonts w:hint="eastAsia" w:ascii="宋体" w:hAnsi="宋体" w:cs="宋体"/>
                <w:color w:val="auto"/>
                <w:szCs w:val="21"/>
                <w:highlight w:val="none"/>
              </w:rPr>
              <w:t>合同条款号</w:t>
            </w:r>
          </w:p>
        </w:tc>
        <w:tc>
          <w:tcPr>
            <w:tcW w:w="1984" w:type="dxa"/>
            <w:noWrap w:val="0"/>
            <w:vAlign w:val="center"/>
          </w:tcPr>
          <w:p w14:paraId="7A77F7DF">
            <w:pPr>
              <w:jc w:val="center"/>
              <w:rPr>
                <w:rFonts w:hint="eastAsia" w:ascii="宋体" w:hAnsi="宋体" w:cs="宋体"/>
                <w:color w:val="auto"/>
                <w:szCs w:val="21"/>
                <w:highlight w:val="none"/>
              </w:rPr>
            </w:pPr>
            <w:r>
              <w:rPr>
                <w:rFonts w:hint="eastAsia" w:ascii="宋体" w:hAnsi="宋体" w:cs="宋体"/>
                <w:color w:val="auto"/>
                <w:szCs w:val="21"/>
                <w:highlight w:val="none"/>
              </w:rPr>
              <w:t>约定内容</w:t>
            </w:r>
          </w:p>
        </w:tc>
        <w:tc>
          <w:tcPr>
            <w:tcW w:w="1843" w:type="dxa"/>
            <w:noWrap w:val="0"/>
            <w:vAlign w:val="center"/>
          </w:tcPr>
          <w:p w14:paraId="7714DD8A">
            <w:pPr>
              <w:jc w:val="center"/>
              <w:rPr>
                <w:rFonts w:hint="eastAsia" w:ascii="宋体" w:hAnsi="宋体" w:cs="宋体"/>
                <w:color w:val="auto"/>
                <w:szCs w:val="21"/>
                <w:highlight w:val="none"/>
              </w:rPr>
            </w:pPr>
            <w:r>
              <w:rPr>
                <w:rFonts w:hint="eastAsia" w:ascii="宋体" w:hAnsi="宋体" w:cs="宋体"/>
                <w:color w:val="auto"/>
                <w:szCs w:val="21"/>
                <w:highlight w:val="none"/>
              </w:rPr>
              <w:t>备注</w:t>
            </w:r>
          </w:p>
        </w:tc>
      </w:tr>
      <w:tr w14:paraId="6000A7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92" w:type="dxa"/>
            <w:noWrap w:val="0"/>
            <w:vAlign w:val="center"/>
          </w:tcPr>
          <w:p w14:paraId="11EE5B9A">
            <w:pPr>
              <w:jc w:val="center"/>
              <w:rPr>
                <w:rFonts w:hint="eastAsia" w:ascii="宋体" w:hAnsi="宋体" w:cs="宋体"/>
                <w:color w:val="auto"/>
                <w:szCs w:val="21"/>
                <w:highlight w:val="none"/>
              </w:rPr>
            </w:pPr>
            <w:r>
              <w:rPr>
                <w:rFonts w:hint="eastAsia" w:ascii="宋体" w:hAnsi="宋体" w:cs="宋体"/>
                <w:color w:val="auto"/>
                <w:szCs w:val="21"/>
                <w:highlight w:val="none"/>
              </w:rPr>
              <w:t>1</w:t>
            </w:r>
          </w:p>
        </w:tc>
        <w:tc>
          <w:tcPr>
            <w:tcW w:w="1985" w:type="dxa"/>
            <w:noWrap w:val="0"/>
            <w:vAlign w:val="center"/>
          </w:tcPr>
          <w:p w14:paraId="74BBED2E">
            <w:pPr>
              <w:rPr>
                <w:rFonts w:hint="eastAsia" w:ascii="宋体" w:hAnsi="宋体" w:cs="宋体"/>
                <w:color w:val="auto"/>
                <w:szCs w:val="21"/>
                <w:highlight w:val="none"/>
              </w:rPr>
            </w:pPr>
            <w:r>
              <w:rPr>
                <w:rFonts w:hint="eastAsia" w:ascii="宋体" w:hAnsi="宋体" w:cs="宋体"/>
                <w:color w:val="auto"/>
                <w:szCs w:val="21"/>
                <w:highlight w:val="none"/>
              </w:rPr>
              <w:t>项目经理</w:t>
            </w:r>
          </w:p>
        </w:tc>
        <w:tc>
          <w:tcPr>
            <w:tcW w:w="2126" w:type="dxa"/>
            <w:noWrap w:val="0"/>
            <w:tcMar>
              <w:left w:w="170" w:type="dxa"/>
            </w:tcMar>
            <w:vAlign w:val="center"/>
          </w:tcPr>
          <w:p w14:paraId="4D12DFFF">
            <w:pPr>
              <w:jc w:val="center"/>
              <w:rPr>
                <w:rFonts w:hint="eastAsia" w:ascii="宋体" w:hAnsi="宋体" w:cs="宋体"/>
                <w:color w:val="auto"/>
                <w:szCs w:val="21"/>
                <w:highlight w:val="none"/>
              </w:rPr>
            </w:pPr>
            <w:r>
              <w:rPr>
                <w:rFonts w:hint="eastAsia" w:ascii="宋体" w:hAnsi="宋体" w:cs="宋体"/>
                <w:color w:val="auto"/>
                <w:szCs w:val="21"/>
                <w:highlight w:val="none"/>
              </w:rPr>
              <w:t>专用条款</w:t>
            </w:r>
          </w:p>
        </w:tc>
        <w:tc>
          <w:tcPr>
            <w:tcW w:w="1984" w:type="dxa"/>
            <w:noWrap w:val="0"/>
            <w:vAlign w:val="center"/>
          </w:tcPr>
          <w:p w14:paraId="427ED990">
            <w:pPr>
              <w:rPr>
                <w:rFonts w:hint="eastAsia" w:ascii="宋体" w:hAnsi="宋体" w:cs="宋体"/>
                <w:color w:val="auto"/>
                <w:szCs w:val="21"/>
                <w:highlight w:val="none"/>
              </w:rPr>
            </w:pPr>
            <w:r>
              <w:rPr>
                <w:rFonts w:hint="eastAsia" w:ascii="宋体" w:hAnsi="宋体" w:cs="宋体"/>
                <w:color w:val="auto"/>
                <w:szCs w:val="21"/>
                <w:highlight w:val="none"/>
              </w:rPr>
              <w:t>姓名：</w:t>
            </w:r>
            <w:r>
              <w:rPr>
                <w:rFonts w:hint="eastAsia" w:ascii="宋体" w:hAnsi="宋体" w:cs="宋体"/>
                <w:color w:val="auto"/>
                <w:szCs w:val="21"/>
                <w:highlight w:val="none"/>
                <w:u w:val="single"/>
              </w:rPr>
              <w:t xml:space="preserve">          </w:t>
            </w:r>
          </w:p>
        </w:tc>
        <w:tc>
          <w:tcPr>
            <w:tcW w:w="1843" w:type="dxa"/>
            <w:noWrap w:val="0"/>
            <w:vAlign w:val="center"/>
          </w:tcPr>
          <w:p w14:paraId="1082B87B">
            <w:pPr>
              <w:jc w:val="center"/>
              <w:rPr>
                <w:rFonts w:hint="eastAsia" w:ascii="宋体" w:hAnsi="宋体" w:cs="宋体"/>
                <w:color w:val="auto"/>
                <w:szCs w:val="21"/>
                <w:highlight w:val="none"/>
              </w:rPr>
            </w:pPr>
          </w:p>
        </w:tc>
      </w:tr>
      <w:tr w14:paraId="7F4B93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92" w:type="dxa"/>
            <w:noWrap w:val="0"/>
            <w:vAlign w:val="center"/>
          </w:tcPr>
          <w:p w14:paraId="56D06564">
            <w:pPr>
              <w:jc w:val="center"/>
              <w:rPr>
                <w:rFonts w:hint="eastAsia" w:ascii="宋体" w:hAnsi="宋体" w:cs="宋体"/>
                <w:color w:val="auto"/>
                <w:szCs w:val="21"/>
                <w:highlight w:val="none"/>
              </w:rPr>
            </w:pPr>
            <w:r>
              <w:rPr>
                <w:rFonts w:hint="eastAsia" w:ascii="宋体" w:hAnsi="宋体" w:cs="宋体"/>
                <w:color w:val="auto"/>
                <w:szCs w:val="21"/>
                <w:highlight w:val="none"/>
              </w:rPr>
              <w:t>2</w:t>
            </w:r>
          </w:p>
        </w:tc>
        <w:tc>
          <w:tcPr>
            <w:tcW w:w="1985" w:type="dxa"/>
            <w:noWrap w:val="0"/>
            <w:vAlign w:val="center"/>
          </w:tcPr>
          <w:p w14:paraId="1E89688A">
            <w:pPr>
              <w:rPr>
                <w:rFonts w:hint="eastAsia" w:ascii="宋体" w:hAnsi="宋体" w:cs="宋体"/>
                <w:color w:val="auto"/>
                <w:szCs w:val="21"/>
                <w:highlight w:val="none"/>
              </w:rPr>
            </w:pPr>
            <w:r>
              <w:rPr>
                <w:rFonts w:hint="eastAsia" w:ascii="宋体" w:hAnsi="宋体" w:cs="宋体"/>
                <w:color w:val="auto"/>
                <w:szCs w:val="21"/>
                <w:highlight w:val="none"/>
              </w:rPr>
              <w:t>响应有效期</w:t>
            </w:r>
          </w:p>
        </w:tc>
        <w:tc>
          <w:tcPr>
            <w:tcW w:w="2126" w:type="dxa"/>
            <w:noWrap w:val="0"/>
            <w:tcMar>
              <w:left w:w="170" w:type="dxa"/>
            </w:tcMar>
            <w:vAlign w:val="center"/>
          </w:tcPr>
          <w:p w14:paraId="482AED1F">
            <w:pPr>
              <w:rPr>
                <w:rFonts w:hint="eastAsia" w:ascii="宋体" w:hAnsi="宋体" w:cs="宋体"/>
                <w:color w:val="auto"/>
                <w:szCs w:val="21"/>
                <w:highlight w:val="none"/>
              </w:rPr>
            </w:pPr>
          </w:p>
        </w:tc>
        <w:tc>
          <w:tcPr>
            <w:tcW w:w="1984" w:type="dxa"/>
            <w:noWrap w:val="0"/>
            <w:vAlign w:val="center"/>
          </w:tcPr>
          <w:p w14:paraId="657D9944">
            <w:pPr>
              <w:jc w:val="center"/>
              <w:rPr>
                <w:rFonts w:hint="eastAsia" w:ascii="宋体" w:hAnsi="宋体" w:cs="宋体"/>
                <w:color w:val="auto"/>
                <w:szCs w:val="21"/>
                <w:highlight w:val="none"/>
                <w:u w:val="single"/>
              </w:rPr>
            </w:pP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日历天</w:t>
            </w:r>
          </w:p>
        </w:tc>
        <w:tc>
          <w:tcPr>
            <w:tcW w:w="1843" w:type="dxa"/>
            <w:noWrap w:val="0"/>
            <w:vAlign w:val="center"/>
          </w:tcPr>
          <w:p w14:paraId="0D8F6E87">
            <w:pPr>
              <w:jc w:val="center"/>
              <w:rPr>
                <w:rFonts w:hint="eastAsia" w:ascii="宋体" w:hAnsi="宋体" w:cs="宋体"/>
                <w:color w:val="auto"/>
                <w:szCs w:val="21"/>
                <w:highlight w:val="none"/>
              </w:rPr>
            </w:pPr>
          </w:p>
        </w:tc>
      </w:tr>
      <w:tr w14:paraId="7D9F03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92" w:type="dxa"/>
            <w:noWrap w:val="0"/>
            <w:vAlign w:val="center"/>
          </w:tcPr>
          <w:p w14:paraId="17AB3FA3">
            <w:pPr>
              <w:jc w:val="center"/>
              <w:rPr>
                <w:rFonts w:hint="eastAsia" w:ascii="宋体" w:hAnsi="宋体" w:cs="宋体"/>
                <w:color w:val="auto"/>
                <w:szCs w:val="21"/>
                <w:highlight w:val="none"/>
              </w:rPr>
            </w:pPr>
            <w:r>
              <w:rPr>
                <w:rFonts w:hint="eastAsia" w:ascii="宋体" w:hAnsi="宋体" w:cs="宋体"/>
                <w:color w:val="auto"/>
                <w:szCs w:val="21"/>
                <w:highlight w:val="none"/>
              </w:rPr>
              <w:t>3</w:t>
            </w:r>
          </w:p>
        </w:tc>
        <w:tc>
          <w:tcPr>
            <w:tcW w:w="1985" w:type="dxa"/>
            <w:noWrap w:val="0"/>
            <w:vAlign w:val="center"/>
          </w:tcPr>
          <w:p w14:paraId="461CC5D2">
            <w:pPr>
              <w:rPr>
                <w:rFonts w:hint="eastAsia" w:ascii="宋体" w:hAnsi="宋体" w:cs="宋体"/>
                <w:color w:val="auto"/>
                <w:szCs w:val="21"/>
                <w:highlight w:val="none"/>
              </w:rPr>
            </w:pPr>
            <w:r>
              <w:rPr>
                <w:rFonts w:hint="eastAsia" w:ascii="宋体" w:hAnsi="宋体" w:cs="宋体"/>
                <w:color w:val="auto"/>
                <w:szCs w:val="21"/>
                <w:highlight w:val="none"/>
              </w:rPr>
              <w:t>工期</w:t>
            </w:r>
          </w:p>
        </w:tc>
        <w:tc>
          <w:tcPr>
            <w:tcW w:w="2126" w:type="dxa"/>
            <w:noWrap w:val="0"/>
            <w:tcMar>
              <w:left w:w="170" w:type="dxa"/>
            </w:tcMar>
            <w:vAlign w:val="center"/>
          </w:tcPr>
          <w:p w14:paraId="3C044314">
            <w:pPr>
              <w:jc w:val="center"/>
              <w:rPr>
                <w:rFonts w:hint="eastAsia" w:ascii="宋体" w:hAnsi="宋体" w:cs="宋体"/>
                <w:color w:val="auto"/>
                <w:highlight w:val="none"/>
              </w:rPr>
            </w:pPr>
            <w:r>
              <w:rPr>
                <w:rFonts w:hint="eastAsia" w:ascii="宋体" w:hAnsi="宋体" w:cs="宋体"/>
                <w:color w:val="auto"/>
                <w:szCs w:val="21"/>
                <w:highlight w:val="none"/>
              </w:rPr>
              <w:t>专用条款</w:t>
            </w:r>
          </w:p>
        </w:tc>
        <w:tc>
          <w:tcPr>
            <w:tcW w:w="1984" w:type="dxa"/>
            <w:noWrap w:val="0"/>
            <w:vAlign w:val="center"/>
          </w:tcPr>
          <w:p w14:paraId="5945FA8C">
            <w:pPr>
              <w:jc w:val="center"/>
              <w:rPr>
                <w:rFonts w:hint="eastAsia" w:ascii="宋体" w:hAnsi="宋体" w:cs="宋体"/>
                <w:color w:val="auto"/>
                <w:szCs w:val="21"/>
                <w:highlight w:val="none"/>
              </w:rPr>
            </w:pP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日历天</w:t>
            </w:r>
          </w:p>
        </w:tc>
        <w:tc>
          <w:tcPr>
            <w:tcW w:w="1843" w:type="dxa"/>
            <w:noWrap w:val="0"/>
            <w:vAlign w:val="center"/>
          </w:tcPr>
          <w:p w14:paraId="7FCC55EE">
            <w:pPr>
              <w:jc w:val="center"/>
              <w:rPr>
                <w:rFonts w:hint="eastAsia" w:ascii="宋体" w:hAnsi="宋体" w:cs="宋体"/>
                <w:color w:val="auto"/>
                <w:szCs w:val="21"/>
                <w:highlight w:val="none"/>
              </w:rPr>
            </w:pPr>
          </w:p>
        </w:tc>
      </w:tr>
      <w:tr w14:paraId="2D0B40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92" w:type="dxa"/>
            <w:noWrap w:val="0"/>
            <w:vAlign w:val="center"/>
          </w:tcPr>
          <w:p w14:paraId="742D91B4">
            <w:pPr>
              <w:jc w:val="center"/>
              <w:rPr>
                <w:rFonts w:hint="eastAsia" w:ascii="宋体" w:hAnsi="宋体" w:cs="宋体"/>
                <w:color w:val="auto"/>
                <w:szCs w:val="21"/>
                <w:highlight w:val="none"/>
              </w:rPr>
            </w:pPr>
            <w:r>
              <w:rPr>
                <w:rFonts w:hint="eastAsia" w:ascii="宋体" w:hAnsi="宋体" w:cs="宋体"/>
                <w:color w:val="auto"/>
                <w:szCs w:val="21"/>
                <w:highlight w:val="none"/>
              </w:rPr>
              <w:t>4</w:t>
            </w:r>
          </w:p>
        </w:tc>
        <w:tc>
          <w:tcPr>
            <w:tcW w:w="1985" w:type="dxa"/>
            <w:noWrap w:val="0"/>
            <w:vAlign w:val="center"/>
          </w:tcPr>
          <w:p w14:paraId="379DA9CD">
            <w:pPr>
              <w:rPr>
                <w:rFonts w:hint="eastAsia" w:ascii="宋体" w:hAnsi="宋体" w:cs="宋体"/>
                <w:color w:val="auto"/>
                <w:szCs w:val="21"/>
                <w:highlight w:val="none"/>
              </w:rPr>
            </w:pPr>
            <w:r>
              <w:rPr>
                <w:rFonts w:hint="eastAsia" w:ascii="宋体" w:hAnsi="宋体" w:cs="宋体"/>
                <w:color w:val="auto"/>
                <w:szCs w:val="21"/>
                <w:highlight w:val="none"/>
              </w:rPr>
              <w:t>缺陷责任期</w:t>
            </w:r>
          </w:p>
        </w:tc>
        <w:tc>
          <w:tcPr>
            <w:tcW w:w="2126" w:type="dxa"/>
            <w:noWrap w:val="0"/>
            <w:tcMar>
              <w:left w:w="170" w:type="dxa"/>
            </w:tcMar>
            <w:vAlign w:val="center"/>
          </w:tcPr>
          <w:p w14:paraId="79B1C019">
            <w:pPr>
              <w:jc w:val="center"/>
              <w:rPr>
                <w:rFonts w:hint="eastAsia" w:ascii="宋体" w:hAnsi="宋体" w:cs="宋体"/>
                <w:color w:val="auto"/>
                <w:highlight w:val="none"/>
              </w:rPr>
            </w:pPr>
            <w:r>
              <w:rPr>
                <w:rFonts w:hint="eastAsia" w:ascii="宋体" w:hAnsi="宋体" w:cs="宋体"/>
                <w:color w:val="auto"/>
                <w:szCs w:val="21"/>
                <w:highlight w:val="none"/>
              </w:rPr>
              <w:t>专用条款</w:t>
            </w:r>
          </w:p>
        </w:tc>
        <w:tc>
          <w:tcPr>
            <w:tcW w:w="1984" w:type="dxa"/>
            <w:noWrap w:val="0"/>
            <w:vAlign w:val="center"/>
          </w:tcPr>
          <w:p w14:paraId="4362B4BC">
            <w:pPr>
              <w:jc w:val="center"/>
              <w:rPr>
                <w:rFonts w:hint="eastAsia" w:ascii="宋体" w:hAnsi="宋体" w:cs="宋体"/>
                <w:color w:val="auto"/>
                <w:szCs w:val="21"/>
                <w:highlight w:val="none"/>
              </w:rPr>
            </w:pPr>
          </w:p>
        </w:tc>
        <w:tc>
          <w:tcPr>
            <w:tcW w:w="1843" w:type="dxa"/>
            <w:noWrap w:val="0"/>
            <w:vAlign w:val="center"/>
          </w:tcPr>
          <w:p w14:paraId="15160A2A">
            <w:pPr>
              <w:jc w:val="center"/>
              <w:rPr>
                <w:rFonts w:hint="eastAsia" w:ascii="宋体" w:hAnsi="宋体" w:cs="宋体"/>
                <w:color w:val="auto"/>
                <w:szCs w:val="21"/>
                <w:highlight w:val="none"/>
              </w:rPr>
            </w:pPr>
          </w:p>
        </w:tc>
      </w:tr>
      <w:tr w14:paraId="177885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92" w:type="dxa"/>
            <w:noWrap w:val="0"/>
            <w:vAlign w:val="center"/>
          </w:tcPr>
          <w:p w14:paraId="5657968D">
            <w:pPr>
              <w:jc w:val="center"/>
              <w:rPr>
                <w:rFonts w:hint="eastAsia" w:ascii="宋体" w:hAnsi="宋体" w:cs="宋体"/>
                <w:color w:val="auto"/>
                <w:szCs w:val="21"/>
                <w:highlight w:val="none"/>
              </w:rPr>
            </w:pPr>
            <w:r>
              <w:rPr>
                <w:rFonts w:hint="eastAsia" w:ascii="宋体" w:hAnsi="宋体" w:cs="宋体"/>
                <w:color w:val="auto"/>
                <w:szCs w:val="21"/>
                <w:highlight w:val="none"/>
              </w:rPr>
              <w:t>5</w:t>
            </w:r>
          </w:p>
        </w:tc>
        <w:tc>
          <w:tcPr>
            <w:tcW w:w="1985" w:type="dxa"/>
            <w:noWrap w:val="0"/>
            <w:vAlign w:val="center"/>
          </w:tcPr>
          <w:p w14:paraId="5AB3B762">
            <w:pPr>
              <w:rPr>
                <w:rFonts w:hint="eastAsia" w:ascii="宋体" w:hAnsi="宋体" w:cs="宋体"/>
                <w:color w:val="auto"/>
                <w:szCs w:val="21"/>
                <w:highlight w:val="none"/>
              </w:rPr>
            </w:pPr>
            <w:r>
              <w:rPr>
                <w:rFonts w:hint="eastAsia" w:ascii="宋体" w:hAnsi="宋体" w:cs="宋体"/>
                <w:color w:val="auto"/>
                <w:szCs w:val="21"/>
                <w:highlight w:val="none"/>
              </w:rPr>
              <w:t>发包人支付担保</w:t>
            </w:r>
          </w:p>
        </w:tc>
        <w:tc>
          <w:tcPr>
            <w:tcW w:w="2126" w:type="dxa"/>
            <w:noWrap w:val="0"/>
            <w:tcMar>
              <w:left w:w="170" w:type="dxa"/>
            </w:tcMar>
            <w:vAlign w:val="center"/>
          </w:tcPr>
          <w:p w14:paraId="493B93D0">
            <w:pPr>
              <w:jc w:val="center"/>
              <w:rPr>
                <w:rFonts w:hint="eastAsia" w:ascii="宋体" w:hAnsi="宋体" w:cs="宋体"/>
                <w:color w:val="auto"/>
                <w:highlight w:val="none"/>
              </w:rPr>
            </w:pPr>
            <w:r>
              <w:rPr>
                <w:rFonts w:hint="eastAsia" w:ascii="宋体" w:hAnsi="宋体" w:cs="宋体"/>
                <w:color w:val="auto"/>
                <w:szCs w:val="21"/>
                <w:highlight w:val="none"/>
              </w:rPr>
              <w:t>专用条款</w:t>
            </w:r>
          </w:p>
        </w:tc>
        <w:tc>
          <w:tcPr>
            <w:tcW w:w="1984" w:type="dxa"/>
            <w:noWrap w:val="0"/>
            <w:vAlign w:val="center"/>
          </w:tcPr>
          <w:p w14:paraId="2620143A">
            <w:pPr>
              <w:jc w:val="center"/>
              <w:rPr>
                <w:rFonts w:hint="eastAsia" w:ascii="宋体" w:hAnsi="宋体" w:cs="宋体"/>
                <w:color w:val="auto"/>
                <w:szCs w:val="21"/>
                <w:highlight w:val="none"/>
              </w:rPr>
            </w:pPr>
          </w:p>
        </w:tc>
        <w:tc>
          <w:tcPr>
            <w:tcW w:w="1843" w:type="dxa"/>
            <w:noWrap w:val="0"/>
            <w:vAlign w:val="center"/>
          </w:tcPr>
          <w:p w14:paraId="3E65F454">
            <w:pPr>
              <w:jc w:val="center"/>
              <w:rPr>
                <w:rFonts w:hint="eastAsia" w:ascii="宋体" w:hAnsi="宋体" w:cs="宋体"/>
                <w:color w:val="auto"/>
                <w:szCs w:val="21"/>
                <w:highlight w:val="none"/>
              </w:rPr>
            </w:pPr>
          </w:p>
        </w:tc>
      </w:tr>
      <w:tr w14:paraId="38BC34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92" w:type="dxa"/>
            <w:noWrap w:val="0"/>
            <w:vAlign w:val="center"/>
          </w:tcPr>
          <w:p w14:paraId="77786B0C">
            <w:pPr>
              <w:jc w:val="center"/>
              <w:rPr>
                <w:rFonts w:hint="eastAsia" w:ascii="宋体" w:hAnsi="宋体" w:cs="宋体"/>
                <w:color w:val="auto"/>
                <w:szCs w:val="21"/>
                <w:highlight w:val="none"/>
              </w:rPr>
            </w:pPr>
            <w:r>
              <w:rPr>
                <w:rFonts w:hint="eastAsia" w:ascii="宋体" w:hAnsi="宋体" w:cs="宋体"/>
                <w:color w:val="auto"/>
                <w:szCs w:val="21"/>
                <w:highlight w:val="none"/>
              </w:rPr>
              <w:t>6</w:t>
            </w:r>
          </w:p>
        </w:tc>
        <w:tc>
          <w:tcPr>
            <w:tcW w:w="1985" w:type="dxa"/>
            <w:noWrap w:val="0"/>
            <w:vAlign w:val="center"/>
          </w:tcPr>
          <w:p w14:paraId="39045B35">
            <w:pPr>
              <w:rPr>
                <w:rFonts w:hint="eastAsia" w:ascii="宋体" w:hAnsi="宋体" w:cs="宋体"/>
                <w:color w:val="auto"/>
                <w:szCs w:val="21"/>
                <w:highlight w:val="none"/>
              </w:rPr>
            </w:pPr>
            <w:r>
              <w:rPr>
                <w:rFonts w:hint="eastAsia" w:ascii="宋体" w:hAnsi="宋体" w:cs="宋体"/>
                <w:color w:val="auto"/>
                <w:szCs w:val="21"/>
                <w:highlight w:val="none"/>
              </w:rPr>
              <w:t>承包人履约担保金额</w:t>
            </w:r>
          </w:p>
        </w:tc>
        <w:tc>
          <w:tcPr>
            <w:tcW w:w="2126" w:type="dxa"/>
            <w:noWrap w:val="0"/>
            <w:tcMar>
              <w:left w:w="170" w:type="dxa"/>
            </w:tcMar>
            <w:vAlign w:val="center"/>
          </w:tcPr>
          <w:p w14:paraId="69ED5A57">
            <w:pPr>
              <w:jc w:val="center"/>
              <w:rPr>
                <w:rFonts w:hint="eastAsia" w:ascii="宋体" w:hAnsi="宋体" w:cs="宋体"/>
                <w:color w:val="auto"/>
                <w:highlight w:val="none"/>
              </w:rPr>
            </w:pPr>
            <w:r>
              <w:rPr>
                <w:rFonts w:hint="eastAsia" w:ascii="宋体" w:hAnsi="宋体" w:cs="宋体"/>
                <w:color w:val="auto"/>
                <w:szCs w:val="21"/>
                <w:highlight w:val="none"/>
              </w:rPr>
              <w:t>专用条款</w:t>
            </w:r>
          </w:p>
        </w:tc>
        <w:tc>
          <w:tcPr>
            <w:tcW w:w="1984" w:type="dxa"/>
            <w:noWrap w:val="0"/>
            <w:vAlign w:val="center"/>
          </w:tcPr>
          <w:p w14:paraId="35EF7C07">
            <w:pPr>
              <w:jc w:val="center"/>
              <w:rPr>
                <w:rFonts w:hint="eastAsia" w:ascii="宋体" w:hAnsi="宋体" w:cs="宋体"/>
                <w:color w:val="auto"/>
                <w:szCs w:val="21"/>
                <w:highlight w:val="none"/>
              </w:rPr>
            </w:pPr>
          </w:p>
        </w:tc>
        <w:tc>
          <w:tcPr>
            <w:tcW w:w="1843" w:type="dxa"/>
            <w:noWrap w:val="0"/>
            <w:vAlign w:val="center"/>
          </w:tcPr>
          <w:p w14:paraId="66857BDC">
            <w:pPr>
              <w:jc w:val="center"/>
              <w:rPr>
                <w:rFonts w:hint="eastAsia" w:ascii="宋体" w:hAnsi="宋体" w:cs="宋体"/>
                <w:color w:val="auto"/>
                <w:szCs w:val="21"/>
                <w:highlight w:val="none"/>
              </w:rPr>
            </w:pPr>
          </w:p>
        </w:tc>
      </w:tr>
      <w:tr w14:paraId="3DD0ED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92" w:type="dxa"/>
            <w:noWrap w:val="0"/>
            <w:vAlign w:val="center"/>
          </w:tcPr>
          <w:p w14:paraId="66765777">
            <w:pPr>
              <w:jc w:val="center"/>
              <w:rPr>
                <w:rFonts w:hint="eastAsia" w:ascii="宋体" w:hAnsi="宋体" w:cs="宋体"/>
                <w:color w:val="auto"/>
                <w:szCs w:val="21"/>
                <w:highlight w:val="none"/>
              </w:rPr>
            </w:pPr>
            <w:r>
              <w:rPr>
                <w:rFonts w:hint="eastAsia" w:ascii="宋体" w:hAnsi="宋体" w:cs="宋体"/>
                <w:color w:val="auto"/>
                <w:szCs w:val="21"/>
                <w:highlight w:val="none"/>
              </w:rPr>
              <w:t>7</w:t>
            </w:r>
          </w:p>
        </w:tc>
        <w:tc>
          <w:tcPr>
            <w:tcW w:w="1985" w:type="dxa"/>
            <w:noWrap w:val="0"/>
            <w:vAlign w:val="center"/>
          </w:tcPr>
          <w:p w14:paraId="420838DA">
            <w:pPr>
              <w:rPr>
                <w:rFonts w:hint="eastAsia" w:ascii="宋体" w:hAnsi="宋体" w:cs="宋体"/>
                <w:color w:val="auto"/>
                <w:szCs w:val="21"/>
                <w:highlight w:val="none"/>
              </w:rPr>
            </w:pPr>
            <w:r>
              <w:rPr>
                <w:rFonts w:hint="eastAsia" w:ascii="宋体" w:hAnsi="宋体" w:cs="宋体"/>
                <w:color w:val="auto"/>
                <w:szCs w:val="21"/>
                <w:highlight w:val="none"/>
              </w:rPr>
              <w:t>逾期竣工违约金</w:t>
            </w:r>
          </w:p>
        </w:tc>
        <w:tc>
          <w:tcPr>
            <w:tcW w:w="2126" w:type="dxa"/>
            <w:noWrap w:val="0"/>
            <w:tcMar>
              <w:left w:w="170" w:type="dxa"/>
            </w:tcMar>
            <w:vAlign w:val="center"/>
          </w:tcPr>
          <w:p w14:paraId="5328829C">
            <w:pPr>
              <w:jc w:val="center"/>
              <w:rPr>
                <w:rFonts w:hint="eastAsia" w:ascii="宋体" w:hAnsi="宋体" w:cs="宋体"/>
                <w:color w:val="auto"/>
                <w:highlight w:val="none"/>
              </w:rPr>
            </w:pPr>
            <w:r>
              <w:rPr>
                <w:rFonts w:hint="eastAsia" w:ascii="宋体" w:hAnsi="宋体" w:cs="宋体"/>
                <w:color w:val="auto"/>
                <w:szCs w:val="21"/>
                <w:highlight w:val="none"/>
              </w:rPr>
              <w:t>专用条款</w:t>
            </w:r>
          </w:p>
        </w:tc>
        <w:tc>
          <w:tcPr>
            <w:tcW w:w="1984" w:type="dxa"/>
            <w:noWrap w:val="0"/>
            <w:vAlign w:val="center"/>
          </w:tcPr>
          <w:p w14:paraId="67DB7529">
            <w:pPr>
              <w:rPr>
                <w:rFonts w:hint="eastAsia" w:ascii="宋体" w:hAnsi="宋体" w:cs="宋体"/>
                <w:color w:val="auto"/>
                <w:szCs w:val="21"/>
                <w:highlight w:val="none"/>
              </w:rPr>
            </w:pPr>
          </w:p>
        </w:tc>
        <w:tc>
          <w:tcPr>
            <w:tcW w:w="1843" w:type="dxa"/>
            <w:noWrap w:val="0"/>
            <w:vAlign w:val="center"/>
          </w:tcPr>
          <w:p w14:paraId="742B7C3B">
            <w:pPr>
              <w:jc w:val="center"/>
              <w:rPr>
                <w:rFonts w:hint="eastAsia" w:ascii="宋体" w:hAnsi="宋体" w:cs="宋体"/>
                <w:color w:val="auto"/>
                <w:szCs w:val="21"/>
                <w:highlight w:val="none"/>
              </w:rPr>
            </w:pPr>
          </w:p>
        </w:tc>
      </w:tr>
      <w:tr w14:paraId="33A814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92" w:type="dxa"/>
            <w:noWrap w:val="0"/>
            <w:vAlign w:val="center"/>
          </w:tcPr>
          <w:p w14:paraId="41E19279">
            <w:pPr>
              <w:jc w:val="center"/>
              <w:rPr>
                <w:rFonts w:hint="eastAsia" w:ascii="宋体" w:hAnsi="宋体" w:cs="宋体"/>
                <w:color w:val="auto"/>
                <w:szCs w:val="21"/>
                <w:highlight w:val="none"/>
              </w:rPr>
            </w:pPr>
            <w:r>
              <w:rPr>
                <w:rFonts w:hint="eastAsia" w:ascii="宋体" w:hAnsi="宋体" w:cs="宋体"/>
                <w:color w:val="auto"/>
                <w:szCs w:val="21"/>
                <w:highlight w:val="none"/>
              </w:rPr>
              <w:t>8</w:t>
            </w:r>
          </w:p>
        </w:tc>
        <w:tc>
          <w:tcPr>
            <w:tcW w:w="1985" w:type="dxa"/>
            <w:noWrap w:val="0"/>
            <w:vAlign w:val="center"/>
          </w:tcPr>
          <w:p w14:paraId="54A26379">
            <w:pPr>
              <w:rPr>
                <w:rFonts w:hint="eastAsia" w:ascii="宋体" w:hAnsi="宋体" w:cs="宋体"/>
                <w:color w:val="auto"/>
                <w:szCs w:val="21"/>
                <w:highlight w:val="none"/>
              </w:rPr>
            </w:pPr>
            <w:r>
              <w:rPr>
                <w:rFonts w:hint="eastAsia" w:ascii="宋体" w:hAnsi="宋体" w:cs="宋体"/>
                <w:color w:val="auto"/>
                <w:szCs w:val="21"/>
                <w:highlight w:val="none"/>
              </w:rPr>
              <w:t>逾期竣工违约金最高限额</w:t>
            </w:r>
          </w:p>
        </w:tc>
        <w:tc>
          <w:tcPr>
            <w:tcW w:w="2126" w:type="dxa"/>
            <w:noWrap w:val="0"/>
            <w:tcMar>
              <w:left w:w="170" w:type="dxa"/>
            </w:tcMar>
            <w:vAlign w:val="center"/>
          </w:tcPr>
          <w:p w14:paraId="2D47B817">
            <w:pPr>
              <w:jc w:val="center"/>
              <w:rPr>
                <w:rFonts w:hint="eastAsia" w:ascii="宋体" w:hAnsi="宋体" w:cs="宋体"/>
                <w:color w:val="auto"/>
                <w:highlight w:val="none"/>
              </w:rPr>
            </w:pPr>
            <w:r>
              <w:rPr>
                <w:rFonts w:hint="eastAsia" w:ascii="宋体" w:hAnsi="宋体" w:cs="宋体"/>
                <w:color w:val="auto"/>
                <w:szCs w:val="21"/>
                <w:highlight w:val="none"/>
              </w:rPr>
              <w:t>专用条款</w:t>
            </w:r>
          </w:p>
        </w:tc>
        <w:tc>
          <w:tcPr>
            <w:tcW w:w="1984" w:type="dxa"/>
            <w:noWrap w:val="0"/>
            <w:vAlign w:val="center"/>
          </w:tcPr>
          <w:p w14:paraId="018F56C4">
            <w:pPr>
              <w:rPr>
                <w:rFonts w:hint="eastAsia" w:ascii="宋体" w:hAnsi="宋体" w:cs="宋体"/>
                <w:color w:val="auto"/>
                <w:szCs w:val="21"/>
                <w:highlight w:val="none"/>
              </w:rPr>
            </w:pPr>
          </w:p>
        </w:tc>
        <w:tc>
          <w:tcPr>
            <w:tcW w:w="1843" w:type="dxa"/>
            <w:noWrap w:val="0"/>
            <w:vAlign w:val="center"/>
          </w:tcPr>
          <w:p w14:paraId="77AA60ED">
            <w:pPr>
              <w:jc w:val="center"/>
              <w:rPr>
                <w:rFonts w:hint="eastAsia" w:ascii="宋体" w:hAnsi="宋体" w:cs="宋体"/>
                <w:color w:val="auto"/>
                <w:szCs w:val="21"/>
                <w:highlight w:val="none"/>
              </w:rPr>
            </w:pPr>
          </w:p>
        </w:tc>
      </w:tr>
      <w:tr w14:paraId="567FFB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92" w:type="dxa"/>
            <w:noWrap w:val="0"/>
            <w:vAlign w:val="center"/>
          </w:tcPr>
          <w:p w14:paraId="6A2E8A8A">
            <w:pPr>
              <w:jc w:val="center"/>
              <w:rPr>
                <w:rFonts w:hint="eastAsia" w:ascii="宋体" w:hAnsi="宋体" w:cs="宋体"/>
                <w:color w:val="auto"/>
                <w:szCs w:val="21"/>
                <w:highlight w:val="none"/>
              </w:rPr>
            </w:pPr>
            <w:r>
              <w:rPr>
                <w:rFonts w:hint="eastAsia" w:ascii="宋体" w:hAnsi="宋体" w:cs="宋体"/>
                <w:color w:val="auto"/>
                <w:szCs w:val="21"/>
                <w:highlight w:val="none"/>
              </w:rPr>
              <w:t>9</w:t>
            </w:r>
          </w:p>
        </w:tc>
        <w:tc>
          <w:tcPr>
            <w:tcW w:w="1985" w:type="dxa"/>
            <w:noWrap w:val="0"/>
            <w:vAlign w:val="center"/>
          </w:tcPr>
          <w:p w14:paraId="3466A567">
            <w:pPr>
              <w:rPr>
                <w:rFonts w:hint="eastAsia" w:ascii="宋体" w:hAnsi="宋体" w:cs="宋体"/>
                <w:color w:val="auto"/>
                <w:szCs w:val="21"/>
                <w:highlight w:val="none"/>
              </w:rPr>
            </w:pPr>
            <w:r>
              <w:rPr>
                <w:rFonts w:hint="eastAsia" w:ascii="宋体" w:hAnsi="宋体" w:cs="宋体"/>
                <w:color w:val="auto"/>
                <w:szCs w:val="21"/>
                <w:highlight w:val="none"/>
              </w:rPr>
              <w:t>质量标准</w:t>
            </w:r>
          </w:p>
        </w:tc>
        <w:tc>
          <w:tcPr>
            <w:tcW w:w="2126" w:type="dxa"/>
            <w:noWrap w:val="0"/>
            <w:tcMar>
              <w:left w:w="170" w:type="dxa"/>
            </w:tcMar>
            <w:vAlign w:val="center"/>
          </w:tcPr>
          <w:p w14:paraId="45F521F7">
            <w:pPr>
              <w:jc w:val="center"/>
              <w:rPr>
                <w:rFonts w:hint="eastAsia" w:ascii="宋体" w:hAnsi="宋体" w:cs="宋体"/>
                <w:color w:val="auto"/>
                <w:highlight w:val="none"/>
              </w:rPr>
            </w:pPr>
            <w:r>
              <w:rPr>
                <w:rFonts w:hint="eastAsia" w:ascii="宋体" w:hAnsi="宋体" w:cs="宋体"/>
                <w:color w:val="auto"/>
                <w:szCs w:val="21"/>
                <w:highlight w:val="none"/>
              </w:rPr>
              <w:t>专用条款</w:t>
            </w:r>
          </w:p>
        </w:tc>
        <w:tc>
          <w:tcPr>
            <w:tcW w:w="1984" w:type="dxa"/>
            <w:noWrap w:val="0"/>
            <w:vAlign w:val="center"/>
          </w:tcPr>
          <w:p w14:paraId="4129E2E3">
            <w:pPr>
              <w:jc w:val="center"/>
              <w:rPr>
                <w:rFonts w:hint="eastAsia" w:ascii="宋体" w:hAnsi="宋体" w:cs="宋体"/>
                <w:color w:val="auto"/>
                <w:szCs w:val="21"/>
                <w:highlight w:val="none"/>
              </w:rPr>
            </w:pPr>
            <w:r>
              <w:rPr>
                <w:rFonts w:hint="eastAsia" w:ascii="宋体" w:hAnsi="宋体" w:cs="宋体"/>
                <w:color w:val="auto"/>
                <w:szCs w:val="21"/>
                <w:highlight w:val="none"/>
                <w:u w:val="single"/>
              </w:rPr>
              <w:t xml:space="preserve">       </w:t>
            </w:r>
          </w:p>
        </w:tc>
        <w:tc>
          <w:tcPr>
            <w:tcW w:w="1843" w:type="dxa"/>
            <w:noWrap w:val="0"/>
            <w:vAlign w:val="center"/>
          </w:tcPr>
          <w:p w14:paraId="17B4F8DA">
            <w:pPr>
              <w:jc w:val="center"/>
              <w:rPr>
                <w:rFonts w:hint="eastAsia" w:ascii="宋体" w:hAnsi="宋体" w:cs="宋体"/>
                <w:color w:val="auto"/>
                <w:szCs w:val="21"/>
                <w:highlight w:val="none"/>
              </w:rPr>
            </w:pPr>
          </w:p>
        </w:tc>
      </w:tr>
      <w:tr w14:paraId="37CA82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92" w:type="dxa"/>
            <w:noWrap w:val="0"/>
            <w:vAlign w:val="center"/>
          </w:tcPr>
          <w:p w14:paraId="56E4A8DD">
            <w:pPr>
              <w:jc w:val="center"/>
              <w:rPr>
                <w:rFonts w:hint="eastAsia" w:ascii="宋体" w:hAnsi="宋体" w:cs="宋体"/>
                <w:color w:val="auto"/>
                <w:szCs w:val="21"/>
                <w:highlight w:val="none"/>
              </w:rPr>
            </w:pPr>
            <w:r>
              <w:rPr>
                <w:rFonts w:hint="eastAsia" w:ascii="宋体" w:hAnsi="宋体" w:cs="宋体"/>
                <w:color w:val="auto"/>
                <w:szCs w:val="21"/>
                <w:highlight w:val="none"/>
              </w:rPr>
              <w:t>10</w:t>
            </w:r>
          </w:p>
        </w:tc>
        <w:tc>
          <w:tcPr>
            <w:tcW w:w="1985" w:type="dxa"/>
            <w:noWrap w:val="0"/>
            <w:vAlign w:val="center"/>
          </w:tcPr>
          <w:p w14:paraId="16346842">
            <w:pPr>
              <w:rPr>
                <w:rFonts w:hint="eastAsia" w:ascii="宋体" w:hAnsi="宋体" w:cs="宋体"/>
                <w:color w:val="auto"/>
                <w:szCs w:val="21"/>
                <w:highlight w:val="none"/>
              </w:rPr>
            </w:pPr>
            <w:r>
              <w:rPr>
                <w:rFonts w:hint="eastAsia" w:ascii="宋体" w:hAnsi="宋体" w:cs="宋体"/>
                <w:color w:val="auto"/>
                <w:szCs w:val="21"/>
                <w:highlight w:val="none"/>
              </w:rPr>
              <w:t>预付款额度</w:t>
            </w:r>
          </w:p>
        </w:tc>
        <w:tc>
          <w:tcPr>
            <w:tcW w:w="2126" w:type="dxa"/>
            <w:noWrap w:val="0"/>
            <w:tcMar>
              <w:left w:w="170" w:type="dxa"/>
            </w:tcMar>
            <w:vAlign w:val="center"/>
          </w:tcPr>
          <w:p w14:paraId="79FC9FB0">
            <w:pPr>
              <w:jc w:val="center"/>
              <w:rPr>
                <w:rFonts w:hint="eastAsia" w:ascii="宋体" w:hAnsi="宋体" w:cs="宋体"/>
                <w:color w:val="auto"/>
                <w:highlight w:val="none"/>
              </w:rPr>
            </w:pPr>
            <w:r>
              <w:rPr>
                <w:rFonts w:hint="eastAsia" w:ascii="宋体" w:hAnsi="宋体" w:cs="宋体"/>
                <w:color w:val="auto"/>
                <w:szCs w:val="21"/>
                <w:highlight w:val="none"/>
              </w:rPr>
              <w:t>专用条款</w:t>
            </w:r>
          </w:p>
        </w:tc>
        <w:tc>
          <w:tcPr>
            <w:tcW w:w="1984" w:type="dxa"/>
            <w:noWrap w:val="0"/>
            <w:vAlign w:val="center"/>
          </w:tcPr>
          <w:p w14:paraId="2C1F41F2">
            <w:pPr>
              <w:jc w:val="center"/>
              <w:rPr>
                <w:rFonts w:hint="eastAsia" w:ascii="宋体" w:hAnsi="宋体" w:cs="宋体"/>
                <w:color w:val="auto"/>
                <w:szCs w:val="21"/>
                <w:highlight w:val="none"/>
              </w:rPr>
            </w:pPr>
            <w:r>
              <w:rPr>
                <w:rFonts w:hint="eastAsia" w:ascii="宋体" w:hAnsi="宋体" w:cs="宋体"/>
                <w:color w:val="auto"/>
                <w:szCs w:val="21"/>
                <w:highlight w:val="none"/>
                <w:u w:val="single"/>
              </w:rPr>
              <w:t xml:space="preserve">       </w:t>
            </w:r>
          </w:p>
        </w:tc>
        <w:tc>
          <w:tcPr>
            <w:tcW w:w="1843" w:type="dxa"/>
            <w:noWrap w:val="0"/>
            <w:vAlign w:val="center"/>
          </w:tcPr>
          <w:p w14:paraId="26976E50">
            <w:pPr>
              <w:jc w:val="center"/>
              <w:rPr>
                <w:rFonts w:hint="eastAsia" w:ascii="宋体" w:hAnsi="宋体" w:cs="宋体"/>
                <w:color w:val="auto"/>
                <w:szCs w:val="21"/>
                <w:highlight w:val="none"/>
              </w:rPr>
            </w:pPr>
          </w:p>
        </w:tc>
      </w:tr>
      <w:tr w14:paraId="41C3FD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92" w:type="dxa"/>
            <w:noWrap w:val="0"/>
            <w:vAlign w:val="center"/>
          </w:tcPr>
          <w:p w14:paraId="2A89DBE7">
            <w:pPr>
              <w:jc w:val="center"/>
              <w:rPr>
                <w:rFonts w:hint="eastAsia" w:ascii="宋体" w:hAnsi="宋体" w:cs="宋体"/>
                <w:color w:val="auto"/>
                <w:szCs w:val="21"/>
                <w:highlight w:val="none"/>
              </w:rPr>
            </w:pPr>
            <w:r>
              <w:rPr>
                <w:rFonts w:hint="eastAsia" w:ascii="宋体" w:hAnsi="宋体" w:cs="宋体"/>
                <w:color w:val="auto"/>
                <w:szCs w:val="21"/>
                <w:highlight w:val="none"/>
              </w:rPr>
              <w:t>11</w:t>
            </w:r>
          </w:p>
        </w:tc>
        <w:tc>
          <w:tcPr>
            <w:tcW w:w="1985" w:type="dxa"/>
            <w:noWrap w:val="0"/>
            <w:vAlign w:val="center"/>
          </w:tcPr>
          <w:p w14:paraId="1B87B363">
            <w:pPr>
              <w:rPr>
                <w:rFonts w:hint="eastAsia" w:ascii="宋体" w:hAnsi="宋体" w:cs="宋体"/>
                <w:color w:val="auto"/>
                <w:szCs w:val="21"/>
                <w:highlight w:val="none"/>
              </w:rPr>
            </w:pPr>
            <w:r>
              <w:rPr>
                <w:rFonts w:hint="eastAsia" w:ascii="宋体" w:hAnsi="宋体" w:cs="宋体"/>
                <w:color w:val="auto"/>
                <w:szCs w:val="21"/>
                <w:highlight w:val="none"/>
              </w:rPr>
              <w:t>预付款保函金额</w:t>
            </w:r>
          </w:p>
        </w:tc>
        <w:tc>
          <w:tcPr>
            <w:tcW w:w="2126" w:type="dxa"/>
            <w:noWrap w:val="0"/>
            <w:tcMar>
              <w:left w:w="170" w:type="dxa"/>
            </w:tcMar>
            <w:vAlign w:val="center"/>
          </w:tcPr>
          <w:p w14:paraId="09D06812">
            <w:pPr>
              <w:jc w:val="center"/>
              <w:rPr>
                <w:rFonts w:hint="eastAsia" w:ascii="宋体" w:hAnsi="宋体" w:cs="宋体"/>
                <w:color w:val="auto"/>
                <w:highlight w:val="none"/>
              </w:rPr>
            </w:pPr>
            <w:r>
              <w:rPr>
                <w:rFonts w:hint="eastAsia" w:ascii="宋体" w:hAnsi="宋体" w:cs="宋体"/>
                <w:color w:val="auto"/>
                <w:szCs w:val="21"/>
                <w:highlight w:val="none"/>
              </w:rPr>
              <w:t>专用条款</w:t>
            </w:r>
          </w:p>
        </w:tc>
        <w:tc>
          <w:tcPr>
            <w:tcW w:w="1984" w:type="dxa"/>
            <w:noWrap w:val="0"/>
            <w:vAlign w:val="center"/>
          </w:tcPr>
          <w:p w14:paraId="58ED1362">
            <w:pPr>
              <w:jc w:val="center"/>
              <w:rPr>
                <w:rFonts w:hint="eastAsia" w:ascii="宋体" w:hAnsi="宋体" w:cs="宋体"/>
                <w:color w:val="auto"/>
                <w:szCs w:val="21"/>
                <w:highlight w:val="none"/>
              </w:rPr>
            </w:pPr>
            <w:r>
              <w:rPr>
                <w:rFonts w:hint="eastAsia" w:ascii="宋体" w:hAnsi="宋体" w:cs="宋体"/>
                <w:color w:val="auto"/>
                <w:szCs w:val="21"/>
                <w:highlight w:val="none"/>
                <w:u w:val="single"/>
              </w:rPr>
              <w:t xml:space="preserve">       </w:t>
            </w:r>
          </w:p>
        </w:tc>
        <w:tc>
          <w:tcPr>
            <w:tcW w:w="1843" w:type="dxa"/>
            <w:noWrap w:val="0"/>
            <w:vAlign w:val="center"/>
          </w:tcPr>
          <w:p w14:paraId="20A73403">
            <w:pPr>
              <w:jc w:val="center"/>
              <w:rPr>
                <w:rFonts w:hint="eastAsia" w:ascii="宋体" w:hAnsi="宋体" w:cs="宋体"/>
                <w:color w:val="auto"/>
                <w:szCs w:val="21"/>
                <w:highlight w:val="none"/>
              </w:rPr>
            </w:pPr>
          </w:p>
        </w:tc>
      </w:tr>
      <w:tr w14:paraId="3B5194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92" w:type="dxa"/>
            <w:noWrap w:val="0"/>
            <w:vAlign w:val="center"/>
          </w:tcPr>
          <w:p w14:paraId="1DDA5E4F">
            <w:pPr>
              <w:jc w:val="center"/>
              <w:rPr>
                <w:rFonts w:hint="eastAsia" w:ascii="宋体" w:hAnsi="宋体" w:cs="宋体"/>
                <w:color w:val="auto"/>
                <w:szCs w:val="21"/>
                <w:highlight w:val="none"/>
              </w:rPr>
            </w:pPr>
            <w:r>
              <w:rPr>
                <w:rFonts w:hint="eastAsia" w:ascii="宋体" w:hAnsi="宋体" w:cs="宋体"/>
                <w:color w:val="auto"/>
                <w:szCs w:val="21"/>
                <w:highlight w:val="none"/>
              </w:rPr>
              <w:t>12</w:t>
            </w:r>
          </w:p>
        </w:tc>
        <w:tc>
          <w:tcPr>
            <w:tcW w:w="1985" w:type="dxa"/>
            <w:noWrap w:val="0"/>
            <w:vAlign w:val="center"/>
          </w:tcPr>
          <w:p w14:paraId="333F6084">
            <w:pPr>
              <w:rPr>
                <w:rFonts w:hint="eastAsia" w:ascii="宋体" w:hAnsi="宋体" w:cs="宋体"/>
                <w:color w:val="auto"/>
                <w:szCs w:val="21"/>
                <w:highlight w:val="none"/>
              </w:rPr>
            </w:pPr>
            <w:r>
              <w:rPr>
                <w:rFonts w:hint="eastAsia" w:ascii="宋体" w:hAnsi="宋体" w:cs="宋体"/>
                <w:color w:val="auto"/>
                <w:szCs w:val="21"/>
                <w:highlight w:val="none"/>
              </w:rPr>
              <w:t>质量保证金额度</w:t>
            </w:r>
          </w:p>
        </w:tc>
        <w:tc>
          <w:tcPr>
            <w:tcW w:w="2126" w:type="dxa"/>
            <w:noWrap w:val="0"/>
            <w:tcMar>
              <w:left w:w="170" w:type="dxa"/>
            </w:tcMar>
            <w:vAlign w:val="center"/>
          </w:tcPr>
          <w:p w14:paraId="57D8B611">
            <w:pPr>
              <w:jc w:val="center"/>
              <w:rPr>
                <w:rFonts w:hint="eastAsia" w:ascii="宋体" w:hAnsi="宋体" w:cs="宋体"/>
                <w:color w:val="auto"/>
                <w:highlight w:val="none"/>
              </w:rPr>
            </w:pPr>
            <w:r>
              <w:rPr>
                <w:rFonts w:hint="eastAsia" w:ascii="宋体" w:hAnsi="宋体" w:cs="宋体"/>
                <w:color w:val="auto"/>
                <w:szCs w:val="21"/>
                <w:highlight w:val="none"/>
              </w:rPr>
              <w:t>专用条款</w:t>
            </w:r>
          </w:p>
        </w:tc>
        <w:tc>
          <w:tcPr>
            <w:tcW w:w="1984" w:type="dxa"/>
            <w:noWrap w:val="0"/>
            <w:vAlign w:val="center"/>
          </w:tcPr>
          <w:p w14:paraId="7F20B5A7">
            <w:pPr>
              <w:jc w:val="center"/>
              <w:rPr>
                <w:rFonts w:hint="eastAsia" w:ascii="宋体" w:hAnsi="宋体" w:cs="宋体"/>
                <w:color w:val="auto"/>
                <w:szCs w:val="21"/>
                <w:highlight w:val="none"/>
              </w:rPr>
            </w:pPr>
            <w:r>
              <w:rPr>
                <w:rFonts w:hint="eastAsia" w:ascii="宋体" w:hAnsi="宋体" w:cs="宋体"/>
                <w:color w:val="auto"/>
                <w:szCs w:val="21"/>
                <w:highlight w:val="none"/>
              </w:rPr>
              <w:t>结算价的</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w:t>
            </w:r>
            <w:r>
              <w:rPr>
                <w:rFonts w:hint="eastAsia" w:ascii="宋体" w:hAnsi="宋体" w:cs="宋体"/>
                <w:color w:val="auto"/>
                <w:szCs w:val="21"/>
                <w:highlight w:val="none"/>
                <w:u w:val="single"/>
              </w:rPr>
              <w:t xml:space="preserve"> </w:t>
            </w:r>
          </w:p>
        </w:tc>
        <w:tc>
          <w:tcPr>
            <w:tcW w:w="1843" w:type="dxa"/>
            <w:noWrap w:val="0"/>
            <w:vAlign w:val="center"/>
          </w:tcPr>
          <w:p w14:paraId="0D927575">
            <w:pPr>
              <w:jc w:val="center"/>
              <w:rPr>
                <w:rFonts w:hint="eastAsia" w:ascii="宋体" w:hAnsi="宋体" w:cs="宋体"/>
                <w:color w:val="auto"/>
                <w:szCs w:val="21"/>
                <w:highlight w:val="none"/>
              </w:rPr>
            </w:pPr>
          </w:p>
        </w:tc>
      </w:tr>
      <w:tr w14:paraId="38BCA1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92" w:type="dxa"/>
            <w:noWrap w:val="0"/>
            <w:vAlign w:val="center"/>
          </w:tcPr>
          <w:p w14:paraId="49091426">
            <w:pPr>
              <w:jc w:val="center"/>
              <w:rPr>
                <w:rFonts w:hint="eastAsia" w:ascii="宋体" w:hAnsi="宋体" w:cs="宋体"/>
                <w:color w:val="auto"/>
                <w:szCs w:val="21"/>
                <w:highlight w:val="none"/>
              </w:rPr>
            </w:pPr>
            <w:r>
              <w:rPr>
                <w:rFonts w:hint="eastAsia" w:ascii="宋体" w:hAnsi="宋体" w:cs="宋体"/>
                <w:color w:val="auto"/>
                <w:szCs w:val="21"/>
                <w:highlight w:val="none"/>
              </w:rPr>
              <w:t>…</w:t>
            </w:r>
          </w:p>
        </w:tc>
        <w:tc>
          <w:tcPr>
            <w:tcW w:w="1985" w:type="dxa"/>
            <w:noWrap w:val="0"/>
            <w:vAlign w:val="center"/>
          </w:tcPr>
          <w:p w14:paraId="49E62A02">
            <w:pPr>
              <w:jc w:val="center"/>
              <w:rPr>
                <w:rFonts w:hint="eastAsia" w:ascii="宋体" w:hAnsi="宋体" w:cs="宋体"/>
                <w:color w:val="auto"/>
                <w:szCs w:val="21"/>
                <w:highlight w:val="none"/>
              </w:rPr>
            </w:pPr>
            <w:r>
              <w:rPr>
                <w:rFonts w:hint="eastAsia" w:ascii="宋体" w:hAnsi="宋体" w:cs="宋体"/>
                <w:color w:val="auto"/>
                <w:szCs w:val="21"/>
                <w:highlight w:val="none"/>
              </w:rPr>
              <w:t>…</w:t>
            </w:r>
          </w:p>
        </w:tc>
        <w:tc>
          <w:tcPr>
            <w:tcW w:w="2126" w:type="dxa"/>
            <w:noWrap w:val="0"/>
            <w:tcMar>
              <w:left w:w="170" w:type="dxa"/>
            </w:tcMar>
            <w:vAlign w:val="center"/>
          </w:tcPr>
          <w:p w14:paraId="475B0CD3">
            <w:pPr>
              <w:jc w:val="center"/>
              <w:rPr>
                <w:rFonts w:hint="eastAsia" w:ascii="宋体" w:hAnsi="宋体" w:cs="宋体"/>
                <w:color w:val="auto"/>
                <w:szCs w:val="21"/>
                <w:highlight w:val="none"/>
              </w:rPr>
            </w:pPr>
          </w:p>
        </w:tc>
        <w:tc>
          <w:tcPr>
            <w:tcW w:w="1984" w:type="dxa"/>
            <w:noWrap w:val="0"/>
            <w:vAlign w:val="center"/>
          </w:tcPr>
          <w:p w14:paraId="363DBD9B">
            <w:pPr>
              <w:jc w:val="center"/>
              <w:rPr>
                <w:rFonts w:hint="eastAsia" w:ascii="宋体" w:hAnsi="宋体" w:cs="宋体"/>
                <w:color w:val="auto"/>
                <w:szCs w:val="21"/>
                <w:highlight w:val="none"/>
              </w:rPr>
            </w:pPr>
          </w:p>
        </w:tc>
        <w:tc>
          <w:tcPr>
            <w:tcW w:w="1843" w:type="dxa"/>
            <w:noWrap w:val="0"/>
            <w:vAlign w:val="center"/>
          </w:tcPr>
          <w:p w14:paraId="17B9DF0C">
            <w:pPr>
              <w:jc w:val="center"/>
              <w:rPr>
                <w:rFonts w:hint="eastAsia" w:ascii="宋体" w:hAnsi="宋体" w:cs="宋体"/>
                <w:color w:val="auto"/>
                <w:szCs w:val="21"/>
                <w:highlight w:val="none"/>
              </w:rPr>
            </w:pPr>
          </w:p>
        </w:tc>
      </w:tr>
      <w:tr w14:paraId="0E724D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6" w:hRule="atLeast"/>
          <w:jc w:val="center"/>
        </w:trPr>
        <w:tc>
          <w:tcPr>
            <w:tcW w:w="8930" w:type="dxa"/>
            <w:gridSpan w:val="5"/>
            <w:noWrap w:val="0"/>
            <w:vAlign w:val="center"/>
          </w:tcPr>
          <w:p w14:paraId="4D3163FB">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备注：供应商在响应采购文件中规定的实质性要求和条件的基础上，可做出其他有利于采购单位的承诺。此类承诺可在本表中予以补充填写。</w:t>
            </w:r>
          </w:p>
        </w:tc>
      </w:tr>
    </w:tbl>
    <w:p w14:paraId="6CDDA9C1">
      <w:pPr>
        <w:rPr>
          <w:rFonts w:hint="eastAsia" w:ascii="宋体" w:hAnsi="宋体" w:cs="宋体"/>
          <w:color w:val="auto"/>
          <w:spacing w:val="20"/>
          <w:szCs w:val="21"/>
          <w:highlight w:val="none"/>
          <w:u w:val="single"/>
        </w:rPr>
      </w:pPr>
    </w:p>
    <w:p w14:paraId="4EA0DCD5">
      <w:pPr>
        <w:spacing w:line="360" w:lineRule="auto"/>
        <w:rPr>
          <w:rFonts w:hint="eastAsia" w:ascii="宋体" w:hAnsi="宋体" w:cs="宋体"/>
          <w:color w:val="auto"/>
          <w:spacing w:val="20"/>
          <w:szCs w:val="21"/>
          <w:highlight w:val="none"/>
        </w:rPr>
      </w:pPr>
    </w:p>
    <w:p w14:paraId="405422D5">
      <w:pPr>
        <w:jc w:val="left"/>
        <w:rPr>
          <w:rFonts w:hint="eastAsia" w:ascii="宋体" w:hAnsi="宋体" w:cs="宋体"/>
          <w:color w:val="auto"/>
          <w:szCs w:val="21"/>
          <w:highlight w:val="none"/>
        </w:rPr>
      </w:pPr>
    </w:p>
    <w:p w14:paraId="6F9C5856">
      <w:pPr>
        <w:spacing w:line="360" w:lineRule="auto"/>
        <w:rPr>
          <w:rFonts w:hint="eastAsia" w:ascii="宋体" w:hAnsi="宋体" w:cs="宋体"/>
          <w:color w:val="auto"/>
          <w:spacing w:val="20"/>
          <w:szCs w:val="21"/>
          <w:highlight w:val="none"/>
        </w:rPr>
      </w:pPr>
    </w:p>
    <w:p w14:paraId="6814662D">
      <w:pPr>
        <w:spacing w:line="360" w:lineRule="auto"/>
        <w:rPr>
          <w:rFonts w:hint="eastAsia" w:ascii="宋体" w:hAnsi="宋体" w:cs="宋体"/>
          <w:color w:val="auto"/>
          <w:szCs w:val="21"/>
          <w:highlight w:val="none"/>
        </w:rPr>
      </w:pPr>
      <w:bookmarkStart w:id="136" w:name="_Hlk89191140"/>
      <w:r>
        <w:rPr>
          <w:rFonts w:hint="eastAsia" w:ascii="宋体" w:hAnsi="宋体" w:cs="宋体"/>
          <w:color w:val="auto"/>
          <w:szCs w:val="21"/>
          <w:highlight w:val="none"/>
        </w:rPr>
        <w:t>供应商名称（电子签章）</w:t>
      </w:r>
      <w:bookmarkEnd w:id="136"/>
      <w:r>
        <w:rPr>
          <w:rFonts w:hint="eastAsia" w:ascii="宋体" w:hAnsi="宋体" w:cs="宋体"/>
          <w:color w:val="auto"/>
          <w:szCs w:val="21"/>
          <w:highlight w:val="none"/>
        </w:rPr>
        <w:t>：</w:t>
      </w:r>
      <w:r>
        <w:rPr>
          <w:rFonts w:hint="eastAsia" w:ascii="宋体" w:hAnsi="宋体" w:cs="宋体"/>
          <w:color w:val="auto"/>
          <w:szCs w:val="21"/>
          <w:highlight w:val="none"/>
          <w:u w:val="single"/>
        </w:rPr>
        <w:t xml:space="preserve">                          </w:t>
      </w:r>
    </w:p>
    <w:p w14:paraId="658C2771">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日  期</w:t>
      </w:r>
      <w:r>
        <w:rPr>
          <w:rFonts w:hint="eastAsia" w:ascii="宋体" w:hAnsi="宋体" w:cs="宋体"/>
          <w:color w:val="auto"/>
          <w:szCs w:val="21"/>
          <w:highlight w:val="none"/>
          <w:lang w:eastAsia="zh-CN"/>
        </w:rPr>
        <w:t>：</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年</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月</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日 </w:t>
      </w:r>
    </w:p>
    <w:p w14:paraId="26C6FA9C">
      <w:pPr>
        <w:rPr>
          <w:rFonts w:hint="eastAsia" w:ascii="宋体" w:hAnsi="宋体" w:cs="宋体"/>
          <w:b/>
          <w:color w:val="auto"/>
          <w:szCs w:val="21"/>
          <w:highlight w:val="none"/>
        </w:rPr>
      </w:pPr>
      <w:r>
        <w:rPr>
          <w:rFonts w:hint="eastAsia" w:ascii="宋体" w:hAnsi="宋体" w:cs="宋体"/>
          <w:color w:val="auto"/>
          <w:szCs w:val="21"/>
          <w:highlight w:val="none"/>
        </w:rPr>
        <w:br w:type="page"/>
      </w:r>
      <w:r>
        <w:rPr>
          <w:rFonts w:hint="eastAsia" w:ascii="宋体" w:hAnsi="宋体" w:cs="宋体"/>
          <w:color w:val="auto"/>
          <w:highlight w:val="none"/>
        </w:rPr>
        <w:t>3．响应报价表格式：</w:t>
      </w:r>
    </w:p>
    <w:p w14:paraId="04082202">
      <w:pPr>
        <w:jc w:val="center"/>
        <w:rPr>
          <w:rFonts w:hint="eastAsia" w:ascii="宋体" w:hAnsi="宋体" w:cs="宋体"/>
          <w:color w:val="auto"/>
          <w:spacing w:val="20"/>
          <w:szCs w:val="21"/>
          <w:highlight w:val="none"/>
          <w:u w:val="single"/>
        </w:rPr>
      </w:pPr>
      <w:r>
        <w:rPr>
          <w:rFonts w:hint="eastAsia" w:ascii="宋体" w:hAnsi="宋体" w:cs="宋体"/>
          <w:b/>
          <w:color w:val="auto"/>
          <w:szCs w:val="21"/>
          <w:highlight w:val="none"/>
        </w:rPr>
        <w:t>磋商报价表</w:t>
      </w:r>
    </w:p>
    <w:p w14:paraId="07450253">
      <w:pPr>
        <w:rPr>
          <w:rFonts w:hint="eastAsia" w:ascii="宋体" w:hAnsi="宋体" w:cs="宋体"/>
          <w:color w:val="auto"/>
          <w:szCs w:val="21"/>
          <w:highlight w:val="none"/>
        </w:rPr>
      </w:pPr>
    </w:p>
    <w:p w14:paraId="7299FF07">
      <w:pPr>
        <w:ind w:left="-178" w:leftChars="-85" w:right="-512" w:rightChars="-244" w:firstLine="840" w:firstLineChars="400"/>
        <w:jc w:val="left"/>
        <w:rPr>
          <w:rFonts w:hint="eastAsia" w:ascii="宋体" w:hAnsi="宋体" w:cs="宋体"/>
          <w:color w:val="auto"/>
          <w:highlight w:val="none"/>
        </w:rPr>
      </w:pPr>
      <w:r>
        <w:rPr>
          <w:rFonts w:hint="eastAsia" w:ascii="宋体" w:hAnsi="宋体" w:cs="宋体"/>
          <w:color w:val="auto"/>
          <w:highlight w:val="none"/>
        </w:rPr>
        <w:t>工程名称：                                                  币种：人民币</w:t>
      </w:r>
    </w:p>
    <w:tbl>
      <w:tblPr>
        <w:tblStyle w:val="5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1"/>
        <w:gridCol w:w="2931"/>
        <w:gridCol w:w="2527"/>
        <w:gridCol w:w="3025"/>
      </w:tblGrid>
      <w:tr w14:paraId="022078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4" w:hRule="atLeast"/>
          <w:jc w:val="center"/>
        </w:trPr>
        <w:tc>
          <w:tcPr>
            <w:tcW w:w="3642" w:type="dxa"/>
            <w:gridSpan w:val="2"/>
            <w:noWrap w:val="0"/>
            <w:vAlign w:val="center"/>
          </w:tcPr>
          <w:p w14:paraId="139F7516">
            <w:pPr>
              <w:keepNext w:val="0"/>
              <w:keepLines w:val="0"/>
              <w:pageBreakBefore w:val="0"/>
              <w:widowControl/>
              <w:kinsoku/>
              <w:wordWrap/>
              <w:overflowPunct/>
              <w:topLinePunct w:val="0"/>
              <w:autoSpaceDE/>
              <w:autoSpaceDN/>
              <w:bidi w:val="0"/>
              <w:adjustRightInd/>
              <w:snapToGrid/>
              <w:ind w:right="0" w:firstLine="0" w:firstLineChars="0"/>
              <w:jc w:val="center"/>
              <w:textAlignment w:val="auto"/>
              <w:rPr>
                <w:rFonts w:hint="eastAsia" w:ascii="宋体" w:hAnsi="宋体" w:cs="宋体"/>
                <w:color w:val="auto"/>
                <w:highlight w:val="none"/>
              </w:rPr>
            </w:pPr>
            <w:r>
              <w:rPr>
                <w:rFonts w:hint="eastAsia" w:ascii="宋体" w:hAnsi="宋体" w:cs="宋体"/>
                <w:color w:val="auto"/>
                <w:highlight w:val="none"/>
              </w:rPr>
              <w:t>响应总价</w:t>
            </w:r>
          </w:p>
        </w:tc>
        <w:tc>
          <w:tcPr>
            <w:tcW w:w="2527" w:type="dxa"/>
            <w:noWrap w:val="0"/>
            <w:vAlign w:val="center"/>
          </w:tcPr>
          <w:p w14:paraId="49271A61">
            <w:pPr>
              <w:keepNext w:val="0"/>
              <w:keepLines w:val="0"/>
              <w:pageBreakBefore w:val="0"/>
              <w:widowControl/>
              <w:kinsoku/>
              <w:wordWrap/>
              <w:overflowPunct/>
              <w:topLinePunct w:val="0"/>
              <w:autoSpaceDE/>
              <w:autoSpaceDN/>
              <w:bidi w:val="0"/>
              <w:adjustRightInd/>
              <w:snapToGrid/>
              <w:ind w:right="0" w:firstLine="0" w:firstLineChars="0"/>
              <w:jc w:val="right"/>
              <w:textAlignment w:val="auto"/>
              <w:rPr>
                <w:rFonts w:hint="eastAsia" w:ascii="宋体" w:hAnsi="宋体" w:cs="宋体"/>
                <w:color w:val="auto"/>
                <w:highlight w:val="none"/>
              </w:rPr>
            </w:pPr>
            <w:r>
              <w:rPr>
                <w:rFonts w:hint="eastAsia" w:ascii="宋体" w:hAnsi="宋体" w:cs="宋体"/>
                <w:color w:val="auto"/>
                <w:highlight w:val="none"/>
              </w:rPr>
              <w:t>万元</w:t>
            </w:r>
          </w:p>
        </w:tc>
        <w:tc>
          <w:tcPr>
            <w:tcW w:w="3025" w:type="dxa"/>
            <w:noWrap w:val="0"/>
            <w:vAlign w:val="center"/>
          </w:tcPr>
          <w:p w14:paraId="10EA76E5">
            <w:pPr>
              <w:keepNext w:val="0"/>
              <w:keepLines w:val="0"/>
              <w:pageBreakBefore w:val="0"/>
              <w:widowControl/>
              <w:kinsoku/>
              <w:wordWrap/>
              <w:overflowPunct/>
              <w:topLinePunct w:val="0"/>
              <w:autoSpaceDE/>
              <w:autoSpaceDN/>
              <w:bidi w:val="0"/>
              <w:adjustRightInd/>
              <w:snapToGrid/>
              <w:ind w:right="0" w:firstLine="0" w:firstLineChars="0"/>
              <w:jc w:val="center"/>
              <w:textAlignment w:val="auto"/>
              <w:rPr>
                <w:rFonts w:hint="eastAsia" w:ascii="宋体" w:hAnsi="宋体" w:cs="宋体"/>
                <w:color w:val="auto"/>
                <w:highlight w:val="none"/>
              </w:rPr>
            </w:pPr>
            <w:r>
              <w:rPr>
                <w:rFonts w:hint="eastAsia" w:ascii="宋体" w:hAnsi="宋体" w:cs="宋体"/>
                <w:color w:val="auto"/>
                <w:highlight w:val="none"/>
              </w:rPr>
              <w:t>备注</w:t>
            </w:r>
          </w:p>
        </w:tc>
      </w:tr>
      <w:tr w14:paraId="0904F5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711" w:type="dxa"/>
            <w:vMerge w:val="restart"/>
            <w:noWrap w:val="0"/>
            <w:vAlign w:val="center"/>
          </w:tcPr>
          <w:p w14:paraId="31F1D494">
            <w:pPr>
              <w:keepNext w:val="0"/>
              <w:keepLines w:val="0"/>
              <w:pageBreakBefore w:val="0"/>
              <w:kinsoku/>
              <w:wordWrap/>
              <w:overflowPunct/>
              <w:topLinePunct w:val="0"/>
              <w:autoSpaceDE/>
              <w:autoSpaceDN/>
              <w:bidi w:val="0"/>
              <w:adjustRightInd/>
              <w:snapToGrid/>
              <w:ind w:right="0" w:firstLine="0" w:firstLineChars="0"/>
              <w:jc w:val="center"/>
              <w:textAlignment w:val="auto"/>
              <w:rPr>
                <w:rFonts w:hint="eastAsia" w:ascii="宋体" w:hAnsi="宋体" w:cs="宋体"/>
                <w:color w:val="auto"/>
                <w:highlight w:val="none"/>
              </w:rPr>
            </w:pPr>
            <w:r>
              <w:rPr>
                <w:rFonts w:hint="eastAsia" w:ascii="宋体" w:hAnsi="宋体" w:cs="宋体"/>
                <w:color w:val="auto"/>
                <w:highlight w:val="none"/>
              </w:rPr>
              <w:t>其中</w:t>
            </w:r>
          </w:p>
        </w:tc>
        <w:tc>
          <w:tcPr>
            <w:tcW w:w="2931" w:type="dxa"/>
            <w:noWrap w:val="0"/>
            <w:vAlign w:val="center"/>
          </w:tcPr>
          <w:p w14:paraId="0B4D9D39">
            <w:pPr>
              <w:keepNext w:val="0"/>
              <w:keepLines w:val="0"/>
              <w:pageBreakBefore w:val="0"/>
              <w:kinsoku/>
              <w:wordWrap/>
              <w:overflowPunct/>
              <w:topLinePunct w:val="0"/>
              <w:autoSpaceDE/>
              <w:autoSpaceDN/>
              <w:bidi w:val="0"/>
              <w:adjustRightInd/>
              <w:snapToGrid/>
              <w:ind w:right="0" w:firstLine="0" w:firstLineChars="0"/>
              <w:jc w:val="center"/>
              <w:textAlignment w:val="auto"/>
              <w:rPr>
                <w:rFonts w:hint="eastAsia" w:ascii="宋体" w:hAnsi="宋体" w:cs="宋体"/>
                <w:color w:val="auto"/>
                <w:highlight w:val="none"/>
              </w:rPr>
            </w:pPr>
            <w:r>
              <w:rPr>
                <w:rFonts w:hint="eastAsia" w:ascii="宋体" w:hAnsi="宋体" w:cs="宋体"/>
                <w:color w:val="auto"/>
                <w:highlight w:val="none"/>
              </w:rPr>
              <w:t>安全文明施工费</w:t>
            </w:r>
          </w:p>
        </w:tc>
        <w:tc>
          <w:tcPr>
            <w:tcW w:w="2527" w:type="dxa"/>
            <w:noWrap w:val="0"/>
            <w:vAlign w:val="center"/>
          </w:tcPr>
          <w:p w14:paraId="27DF4496">
            <w:pPr>
              <w:keepNext w:val="0"/>
              <w:keepLines w:val="0"/>
              <w:pageBreakBefore w:val="0"/>
              <w:kinsoku/>
              <w:wordWrap/>
              <w:overflowPunct/>
              <w:topLinePunct w:val="0"/>
              <w:autoSpaceDE/>
              <w:autoSpaceDN/>
              <w:bidi w:val="0"/>
              <w:adjustRightInd/>
              <w:snapToGrid/>
              <w:ind w:right="0" w:firstLine="0" w:firstLineChars="0"/>
              <w:jc w:val="right"/>
              <w:textAlignment w:val="auto"/>
              <w:rPr>
                <w:rFonts w:hint="eastAsia" w:ascii="宋体" w:hAnsi="宋体" w:cs="宋体"/>
                <w:color w:val="auto"/>
                <w:highlight w:val="none"/>
              </w:rPr>
            </w:pPr>
            <w:r>
              <w:rPr>
                <w:rFonts w:hint="eastAsia" w:ascii="宋体" w:hAnsi="宋体" w:cs="宋体"/>
                <w:color w:val="auto"/>
                <w:highlight w:val="none"/>
              </w:rPr>
              <w:t>万元</w:t>
            </w:r>
          </w:p>
        </w:tc>
        <w:tc>
          <w:tcPr>
            <w:tcW w:w="3025" w:type="dxa"/>
            <w:noWrap w:val="0"/>
            <w:vAlign w:val="center"/>
          </w:tcPr>
          <w:p w14:paraId="22673B1F">
            <w:pPr>
              <w:keepNext w:val="0"/>
              <w:keepLines w:val="0"/>
              <w:pageBreakBefore w:val="0"/>
              <w:kinsoku/>
              <w:wordWrap/>
              <w:overflowPunct/>
              <w:topLinePunct w:val="0"/>
              <w:autoSpaceDE/>
              <w:autoSpaceDN/>
              <w:bidi w:val="0"/>
              <w:adjustRightInd/>
              <w:snapToGrid/>
              <w:ind w:right="0" w:firstLine="0" w:firstLineChars="0"/>
              <w:jc w:val="center"/>
              <w:textAlignment w:val="auto"/>
              <w:rPr>
                <w:rFonts w:hint="eastAsia" w:ascii="宋体" w:hAnsi="宋体" w:cs="宋体"/>
                <w:color w:val="auto"/>
                <w:highlight w:val="none"/>
              </w:rPr>
            </w:pPr>
          </w:p>
        </w:tc>
      </w:tr>
      <w:tr w14:paraId="304205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711" w:type="dxa"/>
            <w:vMerge w:val="continue"/>
            <w:noWrap w:val="0"/>
            <w:vAlign w:val="center"/>
          </w:tcPr>
          <w:p w14:paraId="2DA793C2">
            <w:pPr>
              <w:keepNext w:val="0"/>
              <w:keepLines w:val="0"/>
              <w:pageBreakBefore w:val="0"/>
              <w:kinsoku/>
              <w:wordWrap/>
              <w:overflowPunct/>
              <w:topLinePunct w:val="0"/>
              <w:autoSpaceDE/>
              <w:autoSpaceDN/>
              <w:bidi w:val="0"/>
              <w:adjustRightInd/>
              <w:snapToGrid/>
              <w:ind w:right="0" w:firstLine="0" w:firstLineChars="0"/>
              <w:jc w:val="center"/>
              <w:textAlignment w:val="auto"/>
              <w:rPr>
                <w:rFonts w:hint="eastAsia" w:ascii="宋体" w:hAnsi="宋体" w:cs="宋体"/>
                <w:color w:val="auto"/>
                <w:highlight w:val="none"/>
              </w:rPr>
            </w:pPr>
          </w:p>
        </w:tc>
        <w:tc>
          <w:tcPr>
            <w:tcW w:w="2931" w:type="dxa"/>
            <w:noWrap w:val="0"/>
            <w:vAlign w:val="center"/>
          </w:tcPr>
          <w:p w14:paraId="0995FF68">
            <w:pPr>
              <w:keepNext w:val="0"/>
              <w:keepLines w:val="0"/>
              <w:pageBreakBefore w:val="0"/>
              <w:kinsoku/>
              <w:wordWrap/>
              <w:overflowPunct/>
              <w:topLinePunct w:val="0"/>
              <w:autoSpaceDE/>
              <w:autoSpaceDN/>
              <w:bidi w:val="0"/>
              <w:adjustRightInd/>
              <w:snapToGrid/>
              <w:ind w:right="0" w:firstLine="0" w:firstLineChars="0"/>
              <w:jc w:val="center"/>
              <w:textAlignment w:val="auto"/>
              <w:rPr>
                <w:rFonts w:hint="eastAsia" w:ascii="宋体" w:hAnsi="宋体" w:cs="宋体"/>
                <w:color w:val="auto"/>
                <w:highlight w:val="none"/>
              </w:rPr>
            </w:pPr>
            <w:r>
              <w:rPr>
                <w:rFonts w:hint="eastAsia" w:ascii="宋体" w:hAnsi="宋体" w:cs="宋体"/>
                <w:color w:val="auto"/>
                <w:highlight w:val="none"/>
              </w:rPr>
              <w:t>安责险暂估价（如有）</w:t>
            </w:r>
          </w:p>
        </w:tc>
        <w:tc>
          <w:tcPr>
            <w:tcW w:w="2527" w:type="dxa"/>
            <w:noWrap w:val="0"/>
            <w:vAlign w:val="center"/>
          </w:tcPr>
          <w:p w14:paraId="201FF33A">
            <w:pPr>
              <w:keepNext w:val="0"/>
              <w:keepLines w:val="0"/>
              <w:pageBreakBefore w:val="0"/>
              <w:kinsoku/>
              <w:wordWrap/>
              <w:overflowPunct/>
              <w:topLinePunct w:val="0"/>
              <w:autoSpaceDE/>
              <w:autoSpaceDN/>
              <w:bidi w:val="0"/>
              <w:adjustRightInd/>
              <w:snapToGrid/>
              <w:ind w:right="0" w:firstLine="0" w:firstLineChars="0"/>
              <w:jc w:val="right"/>
              <w:textAlignment w:val="auto"/>
              <w:rPr>
                <w:rFonts w:hint="eastAsia" w:ascii="宋体" w:hAnsi="宋体" w:cs="宋体"/>
                <w:color w:val="auto"/>
                <w:highlight w:val="none"/>
              </w:rPr>
            </w:pPr>
            <w:r>
              <w:rPr>
                <w:rFonts w:hint="eastAsia" w:ascii="宋体" w:hAnsi="宋体" w:cs="宋体"/>
                <w:color w:val="auto"/>
                <w:highlight w:val="none"/>
              </w:rPr>
              <w:t>万元</w:t>
            </w:r>
          </w:p>
        </w:tc>
        <w:tc>
          <w:tcPr>
            <w:tcW w:w="3025" w:type="dxa"/>
            <w:noWrap w:val="0"/>
            <w:vAlign w:val="center"/>
          </w:tcPr>
          <w:p w14:paraId="7C7881B8">
            <w:pPr>
              <w:keepNext w:val="0"/>
              <w:keepLines w:val="0"/>
              <w:pageBreakBefore w:val="0"/>
              <w:kinsoku/>
              <w:wordWrap/>
              <w:overflowPunct/>
              <w:topLinePunct w:val="0"/>
              <w:autoSpaceDE/>
              <w:autoSpaceDN/>
              <w:bidi w:val="0"/>
              <w:adjustRightInd/>
              <w:snapToGrid/>
              <w:ind w:right="0" w:firstLine="0" w:firstLineChars="0"/>
              <w:jc w:val="center"/>
              <w:textAlignment w:val="auto"/>
              <w:rPr>
                <w:rFonts w:hint="eastAsia" w:ascii="宋体" w:hAnsi="宋体" w:cs="宋体"/>
                <w:color w:val="auto"/>
                <w:highlight w:val="none"/>
              </w:rPr>
            </w:pPr>
            <w:r>
              <w:rPr>
                <w:rFonts w:hint="eastAsia" w:ascii="宋体" w:hAnsi="宋体" w:cs="宋体"/>
                <w:color w:val="auto"/>
                <w:highlight w:val="none"/>
              </w:rPr>
              <w:t>安责险应按招标工程量清单中给出的安责险暂估价的具体金额填写，不得调整。</w:t>
            </w:r>
          </w:p>
        </w:tc>
      </w:tr>
      <w:tr w14:paraId="09C5E1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jc w:val="center"/>
        </w:trPr>
        <w:tc>
          <w:tcPr>
            <w:tcW w:w="711" w:type="dxa"/>
            <w:vMerge w:val="continue"/>
            <w:noWrap w:val="0"/>
            <w:vAlign w:val="center"/>
          </w:tcPr>
          <w:p w14:paraId="52ACD582">
            <w:pPr>
              <w:keepNext w:val="0"/>
              <w:keepLines w:val="0"/>
              <w:pageBreakBefore w:val="0"/>
              <w:widowControl/>
              <w:kinsoku/>
              <w:wordWrap/>
              <w:overflowPunct/>
              <w:topLinePunct w:val="0"/>
              <w:autoSpaceDE/>
              <w:autoSpaceDN/>
              <w:bidi w:val="0"/>
              <w:adjustRightInd/>
              <w:snapToGrid/>
              <w:ind w:right="0" w:firstLine="0" w:firstLineChars="0"/>
              <w:jc w:val="center"/>
              <w:textAlignment w:val="auto"/>
              <w:rPr>
                <w:rFonts w:hint="eastAsia" w:ascii="宋体" w:hAnsi="宋体" w:cs="宋体"/>
                <w:color w:val="auto"/>
                <w:highlight w:val="none"/>
              </w:rPr>
            </w:pPr>
          </w:p>
        </w:tc>
        <w:tc>
          <w:tcPr>
            <w:tcW w:w="2931" w:type="dxa"/>
            <w:noWrap w:val="0"/>
            <w:vAlign w:val="center"/>
          </w:tcPr>
          <w:p w14:paraId="47DB7FAC">
            <w:pPr>
              <w:keepNext w:val="0"/>
              <w:keepLines w:val="0"/>
              <w:pageBreakBefore w:val="0"/>
              <w:kinsoku/>
              <w:wordWrap/>
              <w:overflowPunct/>
              <w:topLinePunct w:val="0"/>
              <w:autoSpaceDE/>
              <w:autoSpaceDN/>
              <w:bidi w:val="0"/>
              <w:adjustRightInd/>
              <w:snapToGrid/>
              <w:ind w:right="0" w:firstLine="0" w:firstLineChars="0"/>
              <w:jc w:val="center"/>
              <w:textAlignment w:val="auto"/>
              <w:rPr>
                <w:rFonts w:hint="eastAsia" w:ascii="宋体" w:hAnsi="宋体" w:cs="宋体"/>
                <w:color w:val="auto"/>
                <w:highlight w:val="none"/>
              </w:rPr>
            </w:pPr>
            <w:r>
              <w:rPr>
                <w:rFonts w:hint="eastAsia" w:ascii="宋体" w:hAnsi="宋体" w:cs="宋体"/>
                <w:color w:val="auto"/>
                <w:highlight w:val="none"/>
              </w:rPr>
              <w:t>发包人提供材料（设备）暂估价（如有）</w:t>
            </w:r>
          </w:p>
        </w:tc>
        <w:tc>
          <w:tcPr>
            <w:tcW w:w="2527" w:type="dxa"/>
            <w:noWrap w:val="0"/>
            <w:vAlign w:val="center"/>
          </w:tcPr>
          <w:p w14:paraId="69C3B8D4">
            <w:pPr>
              <w:keepNext w:val="0"/>
              <w:keepLines w:val="0"/>
              <w:pageBreakBefore w:val="0"/>
              <w:widowControl/>
              <w:kinsoku/>
              <w:wordWrap/>
              <w:overflowPunct/>
              <w:topLinePunct w:val="0"/>
              <w:autoSpaceDE/>
              <w:autoSpaceDN/>
              <w:bidi w:val="0"/>
              <w:adjustRightInd/>
              <w:snapToGrid/>
              <w:ind w:right="0" w:firstLine="0" w:firstLineChars="0"/>
              <w:jc w:val="right"/>
              <w:textAlignment w:val="auto"/>
              <w:rPr>
                <w:rFonts w:hint="eastAsia" w:ascii="宋体" w:hAnsi="宋体" w:cs="宋体"/>
                <w:color w:val="auto"/>
                <w:highlight w:val="none"/>
              </w:rPr>
            </w:pPr>
            <w:r>
              <w:rPr>
                <w:rFonts w:hint="eastAsia" w:ascii="宋体" w:hAnsi="宋体" w:cs="宋体"/>
                <w:color w:val="auto"/>
                <w:highlight w:val="none"/>
              </w:rPr>
              <w:t>万元</w:t>
            </w:r>
          </w:p>
        </w:tc>
        <w:tc>
          <w:tcPr>
            <w:tcW w:w="3025" w:type="dxa"/>
            <w:noWrap w:val="0"/>
            <w:vAlign w:val="top"/>
          </w:tcPr>
          <w:p w14:paraId="4496C338">
            <w:pPr>
              <w:keepNext w:val="0"/>
              <w:keepLines w:val="0"/>
              <w:pageBreakBefore w:val="0"/>
              <w:widowControl/>
              <w:kinsoku/>
              <w:wordWrap/>
              <w:overflowPunct/>
              <w:topLinePunct w:val="0"/>
              <w:autoSpaceDE/>
              <w:autoSpaceDN/>
              <w:bidi w:val="0"/>
              <w:adjustRightInd/>
              <w:snapToGrid/>
              <w:ind w:right="0" w:firstLine="0" w:firstLineChars="0"/>
              <w:textAlignment w:val="auto"/>
              <w:rPr>
                <w:rFonts w:hint="eastAsia" w:ascii="宋体" w:hAnsi="宋体" w:cs="宋体"/>
                <w:color w:val="auto"/>
                <w:highlight w:val="none"/>
              </w:rPr>
            </w:pPr>
          </w:p>
        </w:tc>
      </w:tr>
      <w:tr w14:paraId="60556F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jc w:val="center"/>
        </w:trPr>
        <w:tc>
          <w:tcPr>
            <w:tcW w:w="711" w:type="dxa"/>
            <w:vMerge w:val="continue"/>
            <w:noWrap w:val="0"/>
            <w:vAlign w:val="center"/>
          </w:tcPr>
          <w:p w14:paraId="7B12614D">
            <w:pPr>
              <w:keepNext w:val="0"/>
              <w:keepLines w:val="0"/>
              <w:pageBreakBefore w:val="0"/>
              <w:widowControl/>
              <w:kinsoku/>
              <w:wordWrap/>
              <w:overflowPunct/>
              <w:topLinePunct w:val="0"/>
              <w:autoSpaceDE/>
              <w:autoSpaceDN/>
              <w:bidi w:val="0"/>
              <w:adjustRightInd/>
              <w:snapToGrid/>
              <w:ind w:right="0" w:firstLine="0" w:firstLineChars="0"/>
              <w:jc w:val="center"/>
              <w:textAlignment w:val="auto"/>
              <w:rPr>
                <w:rFonts w:hint="eastAsia" w:ascii="宋体" w:hAnsi="宋体" w:cs="宋体"/>
                <w:color w:val="auto"/>
                <w:highlight w:val="none"/>
              </w:rPr>
            </w:pPr>
          </w:p>
        </w:tc>
        <w:tc>
          <w:tcPr>
            <w:tcW w:w="2931" w:type="dxa"/>
            <w:noWrap w:val="0"/>
            <w:vAlign w:val="center"/>
          </w:tcPr>
          <w:p w14:paraId="2750645C">
            <w:pPr>
              <w:keepNext w:val="0"/>
              <w:keepLines w:val="0"/>
              <w:pageBreakBefore w:val="0"/>
              <w:widowControl/>
              <w:kinsoku/>
              <w:wordWrap/>
              <w:overflowPunct/>
              <w:topLinePunct w:val="0"/>
              <w:autoSpaceDE/>
              <w:autoSpaceDN/>
              <w:bidi w:val="0"/>
              <w:adjustRightInd/>
              <w:snapToGrid/>
              <w:ind w:right="0" w:firstLine="0" w:firstLineChars="0"/>
              <w:jc w:val="center"/>
              <w:textAlignment w:val="auto"/>
              <w:rPr>
                <w:rFonts w:hint="eastAsia" w:ascii="宋体" w:hAnsi="宋体" w:cs="宋体"/>
                <w:color w:val="auto"/>
                <w:highlight w:val="none"/>
              </w:rPr>
            </w:pPr>
            <w:r>
              <w:rPr>
                <w:rFonts w:hint="eastAsia" w:ascii="宋体" w:hAnsi="宋体" w:cs="宋体"/>
                <w:color w:val="auto"/>
                <w:highlight w:val="none"/>
              </w:rPr>
              <w:t>专业工程暂估价（如有）</w:t>
            </w:r>
          </w:p>
        </w:tc>
        <w:tc>
          <w:tcPr>
            <w:tcW w:w="2527" w:type="dxa"/>
            <w:noWrap w:val="0"/>
            <w:vAlign w:val="center"/>
          </w:tcPr>
          <w:p w14:paraId="45B18444">
            <w:pPr>
              <w:keepNext w:val="0"/>
              <w:keepLines w:val="0"/>
              <w:pageBreakBefore w:val="0"/>
              <w:widowControl/>
              <w:kinsoku/>
              <w:wordWrap/>
              <w:overflowPunct/>
              <w:topLinePunct w:val="0"/>
              <w:autoSpaceDE/>
              <w:autoSpaceDN/>
              <w:bidi w:val="0"/>
              <w:adjustRightInd/>
              <w:snapToGrid/>
              <w:ind w:right="0" w:firstLine="0" w:firstLineChars="0"/>
              <w:jc w:val="right"/>
              <w:textAlignment w:val="auto"/>
              <w:rPr>
                <w:rFonts w:hint="eastAsia" w:ascii="宋体" w:hAnsi="宋体" w:cs="宋体"/>
                <w:color w:val="auto"/>
                <w:highlight w:val="none"/>
              </w:rPr>
            </w:pPr>
            <w:r>
              <w:rPr>
                <w:rFonts w:hint="eastAsia" w:ascii="宋体" w:hAnsi="宋体" w:cs="宋体"/>
                <w:color w:val="auto"/>
                <w:highlight w:val="none"/>
              </w:rPr>
              <w:t>万元</w:t>
            </w:r>
          </w:p>
        </w:tc>
        <w:tc>
          <w:tcPr>
            <w:tcW w:w="3025" w:type="dxa"/>
            <w:noWrap w:val="0"/>
            <w:vAlign w:val="top"/>
          </w:tcPr>
          <w:p w14:paraId="7FAC9077">
            <w:pPr>
              <w:keepNext w:val="0"/>
              <w:keepLines w:val="0"/>
              <w:pageBreakBefore w:val="0"/>
              <w:widowControl/>
              <w:kinsoku/>
              <w:wordWrap/>
              <w:overflowPunct/>
              <w:topLinePunct w:val="0"/>
              <w:autoSpaceDE/>
              <w:autoSpaceDN/>
              <w:bidi w:val="0"/>
              <w:adjustRightInd/>
              <w:snapToGrid/>
              <w:ind w:right="0" w:firstLine="0" w:firstLineChars="0"/>
              <w:textAlignment w:val="auto"/>
              <w:rPr>
                <w:rFonts w:hint="eastAsia" w:ascii="宋体" w:hAnsi="宋体" w:cs="宋体"/>
                <w:color w:val="auto"/>
                <w:highlight w:val="none"/>
              </w:rPr>
            </w:pPr>
          </w:p>
        </w:tc>
      </w:tr>
      <w:tr w14:paraId="078061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jc w:val="center"/>
        </w:trPr>
        <w:tc>
          <w:tcPr>
            <w:tcW w:w="711" w:type="dxa"/>
            <w:vMerge w:val="continue"/>
            <w:noWrap w:val="0"/>
            <w:vAlign w:val="center"/>
          </w:tcPr>
          <w:p w14:paraId="7E319776">
            <w:pPr>
              <w:keepNext w:val="0"/>
              <w:keepLines w:val="0"/>
              <w:pageBreakBefore w:val="0"/>
              <w:widowControl/>
              <w:kinsoku/>
              <w:wordWrap/>
              <w:overflowPunct/>
              <w:topLinePunct w:val="0"/>
              <w:autoSpaceDE/>
              <w:autoSpaceDN/>
              <w:bidi w:val="0"/>
              <w:adjustRightInd/>
              <w:snapToGrid/>
              <w:ind w:right="0" w:firstLine="0" w:firstLineChars="0"/>
              <w:jc w:val="center"/>
              <w:textAlignment w:val="auto"/>
              <w:rPr>
                <w:rFonts w:hint="eastAsia" w:ascii="宋体" w:hAnsi="宋体" w:cs="宋体"/>
                <w:color w:val="auto"/>
                <w:highlight w:val="none"/>
              </w:rPr>
            </w:pPr>
          </w:p>
        </w:tc>
        <w:tc>
          <w:tcPr>
            <w:tcW w:w="2931" w:type="dxa"/>
            <w:noWrap w:val="0"/>
            <w:vAlign w:val="center"/>
          </w:tcPr>
          <w:p w14:paraId="022B4B50">
            <w:pPr>
              <w:keepNext w:val="0"/>
              <w:keepLines w:val="0"/>
              <w:pageBreakBefore w:val="0"/>
              <w:widowControl/>
              <w:kinsoku/>
              <w:wordWrap/>
              <w:overflowPunct/>
              <w:topLinePunct w:val="0"/>
              <w:autoSpaceDE/>
              <w:autoSpaceDN/>
              <w:bidi w:val="0"/>
              <w:adjustRightInd/>
              <w:snapToGrid/>
              <w:ind w:right="0" w:firstLine="0" w:firstLineChars="0"/>
              <w:jc w:val="center"/>
              <w:textAlignment w:val="auto"/>
              <w:rPr>
                <w:rFonts w:hint="eastAsia" w:ascii="宋体" w:hAnsi="宋体" w:cs="宋体"/>
                <w:color w:val="auto"/>
                <w:highlight w:val="none"/>
              </w:rPr>
            </w:pPr>
            <w:r>
              <w:rPr>
                <w:rFonts w:hint="eastAsia" w:ascii="宋体" w:hAnsi="宋体" w:cs="宋体"/>
                <w:color w:val="auto"/>
                <w:highlight w:val="none"/>
              </w:rPr>
              <w:t>暂列金额（如有）</w:t>
            </w:r>
          </w:p>
        </w:tc>
        <w:tc>
          <w:tcPr>
            <w:tcW w:w="2527" w:type="dxa"/>
            <w:noWrap w:val="0"/>
            <w:vAlign w:val="center"/>
          </w:tcPr>
          <w:p w14:paraId="65B69D7B">
            <w:pPr>
              <w:keepNext w:val="0"/>
              <w:keepLines w:val="0"/>
              <w:pageBreakBefore w:val="0"/>
              <w:widowControl/>
              <w:kinsoku/>
              <w:wordWrap/>
              <w:overflowPunct/>
              <w:topLinePunct w:val="0"/>
              <w:autoSpaceDE/>
              <w:autoSpaceDN/>
              <w:bidi w:val="0"/>
              <w:adjustRightInd/>
              <w:snapToGrid/>
              <w:ind w:right="0" w:firstLine="0" w:firstLineChars="0"/>
              <w:jc w:val="right"/>
              <w:textAlignment w:val="auto"/>
              <w:rPr>
                <w:rFonts w:hint="eastAsia" w:ascii="宋体" w:hAnsi="宋体" w:cs="宋体"/>
                <w:color w:val="auto"/>
                <w:highlight w:val="none"/>
              </w:rPr>
            </w:pPr>
            <w:r>
              <w:rPr>
                <w:rFonts w:hint="eastAsia" w:ascii="宋体" w:hAnsi="宋体" w:cs="宋体"/>
                <w:color w:val="auto"/>
                <w:highlight w:val="none"/>
              </w:rPr>
              <w:t>万元</w:t>
            </w:r>
          </w:p>
        </w:tc>
        <w:tc>
          <w:tcPr>
            <w:tcW w:w="3025" w:type="dxa"/>
            <w:noWrap w:val="0"/>
            <w:vAlign w:val="top"/>
          </w:tcPr>
          <w:p w14:paraId="4601A62F">
            <w:pPr>
              <w:keepNext w:val="0"/>
              <w:keepLines w:val="0"/>
              <w:pageBreakBefore w:val="0"/>
              <w:widowControl/>
              <w:kinsoku/>
              <w:wordWrap/>
              <w:overflowPunct/>
              <w:topLinePunct w:val="0"/>
              <w:autoSpaceDE/>
              <w:autoSpaceDN/>
              <w:bidi w:val="0"/>
              <w:adjustRightInd/>
              <w:snapToGrid/>
              <w:ind w:right="0" w:firstLine="0" w:firstLineChars="0"/>
              <w:textAlignment w:val="auto"/>
              <w:rPr>
                <w:rFonts w:hint="eastAsia" w:ascii="宋体" w:hAnsi="宋体" w:cs="宋体"/>
                <w:color w:val="auto"/>
                <w:highlight w:val="none"/>
              </w:rPr>
            </w:pPr>
          </w:p>
        </w:tc>
      </w:tr>
      <w:tr w14:paraId="51363F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6" w:hRule="atLeast"/>
          <w:jc w:val="center"/>
        </w:trPr>
        <w:tc>
          <w:tcPr>
            <w:tcW w:w="711" w:type="dxa"/>
            <w:vMerge w:val="restart"/>
            <w:noWrap w:val="0"/>
            <w:vAlign w:val="center"/>
          </w:tcPr>
          <w:p w14:paraId="06AA16D1">
            <w:pPr>
              <w:keepNext w:val="0"/>
              <w:keepLines w:val="0"/>
              <w:pageBreakBefore w:val="0"/>
              <w:widowControl/>
              <w:kinsoku/>
              <w:wordWrap/>
              <w:overflowPunct/>
              <w:topLinePunct w:val="0"/>
              <w:autoSpaceDE/>
              <w:autoSpaceDN/>
              <w:bidi w:val="0"/>
              <w:adjustRightInd/>
              <w:snapToGrid/>
              <w:ind w:right="0" w:firstLine="0" w:firstLineChars="0"/>
              <w:jc w:val="center"/>
              <w:textAlignment w:val="auto"/>
              <w:rPr>
                <w:rFonts w:hint="eastAsia" w:ascii="宋体" w:hAnsi="宋体" w:cs="宋体"/>
                <w:color w:val="auto"/>
                <w:highlight w:val="none"/>
              </w:rPr>
            </w:pPr>
            <w:r>
              <w:rPr>
                <w:rFonts w:hint="eastAsia" w:ascii="宋体" w:hAnsi="宋体" w:cs="宋体"/>
                <w:color w:val="auto"/>
                <w:highlight w:val="none"/>
              </w:rPr>
              <w:t>主要材料</w:t>
            </w:r>
          </w:p>
        </w:tc>
        <w:tc>
          <w:tcPr>
            <w:tcW w:w="2931" w:type="dxa"/>
            <w:noWrap w:val="0"/>
            <w:vAlign w:val="center"/>
          </w:tcPr>
          <w:p w14:paraId="11AF5042">
            <w:pPr>
              <w:keepNext w:val="0"/>
              <w:keepLines w:val="0"/>
              <w:pageBreakBefore w:val="0"/>
              <w:widowControl/>
              <w:kinsoku/>
              <w:wordWrap/>
              <w:overflowPunct/>
              <w:topLinePunct w:val="0"/>
              <w:autoSpaceDE/>
              <w:autoSpaceDN/>
              <w:bidi w:val="0"/>
              <w:adjustRightInd/>
              <w:snapToGrid/>
              <w:ind w:right="0" w:firstLine="0" w:firstLineChars="0"/>
              <w:jc w:val="center"/>
              <w:textAlignment w:val="auto"/>
              <w:rPr>
                <w:rFonts w:hint="eastAsia" w:ascii="宋体" w:hAnsi="宋体" w:cs="宋体"/>
                <w:color w:val="auto"/>
                <w:highlight w:val="none"/>
              </w:rPr>
            </w:pPr>
            <w:r>
              <w:rPr>
                <w:rFonts w:hint="eastAsia" w:ascii="宋体" w:hAnsi="宋体" w:cs="宋体"/>
                <w:color w:val="auto"/>
                <w:highlight w:val="none"/>
              </w:rPr>
              <w:t>钢筋</w:t>
            </w:r>
          </w:p>
        </w:tc>
        <w:tc>
          <w:tcPr>
            <w:tcW w:w="2527" w:type="dxa"/>
            <w:noWrap w:val="0"/>
            <w:vAlign w:val="center"/>
          </w:tcPr>
          <w:p w14:paraId="120CC25A">
            <w:pPr>
              <w:keepNext w:val="0"/>
              <w:keepLines w:val="0"/>
              <w:pageBreakBefore w:val="0"/>
              <w:widowControl/>
              <w:kinsoku/>
              <w:wordWrap/>
              <w:overflowPunct/>
              <w:topLinePunct w:val="0"/>
              <w:autoSpaceDE/>
              <w:autoSpaceDN/>
              <w:bidi w:val="0"/>
              <w:adjustRightInd/>
              <w:snapToGrid/>
              <w:ind w:right="0" w:firstLine="0" w:firstLineChars="0"/>
              <w:jc w:val="right"/>
              <w:textAlignment w:val="auto"/>
              <w:rPr>
                <w:rFonts w:hint="eastAsia" w:ascii="宋体" w:hAnsi="宋体" w:cs="宋体"/>
                <w:color w:val="auto"/>
                <w:highlight w:val="none"/>
              </w:rPr>
            </w:pPr>
            <w:r>
              <w:rPr>
                <w:rFonts w:hint="eastAsia" w:ascii="宋体" w:hAnsi="宋体" w:cs="宋体"/>
                <w:color w:val="auto"/>
                <w:highlight w:val="none"/>
              </w:rPr>
              <w:t>吨</w:t>
            </w:r>
          </w:p>
        </w:tc>
        <w:tc>
          <w:tcPr>
            <w:tcW w:w="3025" w:type="dxa"/>
            <w:noWrap w:val="0"/>
            <w:vAlign w:val="top"/>
          </w:tcPr>
          <w:p w14:paraId="5F2A5F15">
            <w:pPr>
              <w:keepNext w:val="0"/>
              <w:keepLines w:val="0"/>
              <w:pageBreakBefore w:val="0"/>
              <w:widowControl/>
              <w:kinsoku/>
              <w:wordWrap/>
              <w:overflowPunct/>
              <w:topLinePunct w:val="0"/>
              <w:autoSpaceDE/>
              <w:autoSpaceDN/>
              <w:bidi w:val="0"/>
              <w:adjustRightInd/>
              <w:snapToGrid/>
              <w:ind w:right="0" w:firstLine="0" w:firstLineChars="0"/>
              <w:jc w:val="right"/>
              <w:textAlignment w:val="auto"/>
              <w:rPr>
                <w:rFonts w:hint="eastAsia" w:ascii="宋体" w:hAnsi="宋体" w:cs="宋体"/>
                <w:color w:val="auto"/>
                <w:highlight w:val="none"/>
              </w:rPr>
            </w:pPr>
          </w:p>
        </w:tc>
      </w:tr>
      <w:tr w14:paraId="008C74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jc w:val="center"/>
        </w:trPr>
        <w:tc>
          <w:tcPr>
            <w:tcW w:w="711" w:type="dxa"/>
            <w:vMerge w:val="continue"/>
            <w:noWrap w:val="0"/>
            <w:vAlign w:val="center"/>
          </w:tcPr>
          <w:p w14:paraId="7C6F30D8">
            <w:pPr>
              <w:keepNext w:val="0"/>
              <w:keepLines w:val="0"/>
              <w:pageBreakBefore w:val="0"/>
              <w:widowControl/>
              <w:kinsoku/>
              <w:wordWrap/>
              <w:overflowPunct/>
              <w:topLinePunct w:val="0"/>
              <w:autoSpaceDE/>
              <w:autoSpaceDN/>
              <w:bidi w:val="0"/>
              <w:adjustRightInd/>
              <w:snapToGrid/>
              <w:ind w:right="0" w:firstLine="0" w:firstLineChars="0"/>
              <w:jc w:val="center"/>
              <w:textAlignment w:val="auto"/>
              <w:rPr>
                <w:rFonts w:hint="eastAsia" w:ascii="宋体" w:hAnsi="宋体" w:cs="宋体"/>
                <w:color w:val="auto"/>
                <w:highlight w:val="none"/>
              </w:rPr>
            </w:pPr>
          </w:p>
        </w:tc>
        <w:tc>
          <w:tcPr>
            <w:tcW w:w="2931" w:type="dxa"/>
            <w:noWrap w:val="0"/>
            <w:vAlign w:val="center"/>
          </w:tcPr>
          <w:p w14:paraId="03D82502">
            <w:pPr>
              <w:keepNext w:val="0"/>
              <w:keepLines w:val="0"/>
              <w:pageBreakBefore w:val="0"/>
              <w:widowControl/>
              <w:kinsoku/>
              <w:wordWrap/>
              <w:overflowPunct/>
              <w:topLinePunct w:val="0"/>
              <w:autoSpaceDE/>
              <w:autoSpaceDN/>
              <w:bidi w:val="0"/>
              <w:adjustRightInd/>
              <w:snapToGrid/>
              <w:ind w:right="0" w:firstLine="0" w:firstLineChars="0"/>
              <w:jc w:val="center"/>
              <w:textAlignment w:val="auto"/>
              <w:rPr>
                <w:rFonts w:hint="eastAsia" w:ascii="宋体" w:hAnsi="宋体" w:cs="宋体"/>
                <w:color w:val="auto"/>
                <w:highlight w:val="none"/>
              </w:rPr>
            </w:pPr>
            <w:r>
              <w:rPr>
                <w:rFonts w:hint="eastAsia" w:ascii="宋体" w:hAnsi="宋体" w:cs="宋体"/>
                <w:color w:val="auto"/>
                <w:highlight w:val="none"/>
              </w:rPr>
              <w:t>水泥（不含商品混凝土用量）</w:t>
            </w:r>
          </w:p>
        </w:tc>
        <w:tc>
          <w:tcPr>
            <w:tcW w:w="2527" w:type="dxa"/>
            <w:noWrap w:val="0"/>
            <w:vAlign w:val="center"/>
          </w:tcPr>
          <w:p w14:paraId="424E7FFC">
            <w:pPr>
              <w:keepNext w:val="0"/>
              <w:keepLines w:val="0"/>
              <w:pageBreakBefore w:val="0"/>
              <w:widowControl/>
              <w:tabs>
                <w:tab w:val="left" w:pos="2398"/>
              </w:tabs>
              <w:kinsoku/>
              <w:wordWrap/>
              <w:overflowPunct/>
              <w:topLinePunct w:val="0"/>
              <w:autoSpaceDE/>
              <w:autoSpaceDN/>
              <w:bidi w:val="0"/>
              <w:adjustRightInd/>
              <w:snapToGrid/>
              <w:ind w:right="0" w:firstLine="0" w:firstLineChars="0"/>
              <w:jc w:val="right"/>
              <w:textAlignment w:val="auto"/>
              <w:rPr>
                <w:rFonts w:hint="eastAsia" w:ascii="宋体" w:hAnsi="宋体" w:cs="宋体"/>
                <w:color w:val="auto"/>
                <w:highlight w:val="none"/>
              </w:rPr>
            </w:pPr>
            <w:r>
              <w:rPr>
                <w:rFonts w:hint="eastAsia" w:ascii="宋体" w:hAnsi="宋体" w:cs="宋体"/>
                <w:color w:val="auto"/>
                <w:highlight w:val="none"/>
              </w:rPr>
              <w:t>吨</w:t>
            </w:r>
          </w:p>
        </w:tc>
        <w:tc>
          <w:tcPr>
            <w:tcW w:w="3025" w:type="dxa"/>
            <w:noWrap w:val="0"/>
            <w:vAlign w:val="top"/>
          </w:tcPr>
          <w:p w14:paraId="4644BD56">
            <w:pPr>
              <w:keepNext w:val="0"/>
              <w:keepLines w:val="0"/>
              <w:pageBreakBefore w:val="0"/>
              <w:widowControl/>
              <w:kinsoku/>
              <w:wordWrap/>
              <w:overflowPunct/>
              <w:topLinePunct w:val="0"/>
              <w:autoSpaceDE/>
              <w:autoSpaceDN/>
              <w:bidi w:val="0"/>
              <w:adjustRightInd/>
              <w:snapToGrid/>
              <w:ind w:right="0" w:firstLine="0" w:firstLineChars="0"/>
              <w:jc w:val="right"/>
              <w:textAlignment w:val="auto"/>
              <w:rPr>
                <w:rFonts w:hint="eastAsia" w:ascii="宋体" w:hAnsi="宋体" w:cs="宋体"/>
                <w:color w:val="auto"/>
                <w:highlight w:val="none"/>
              </w:rPr>
            </w:pPr>
          </w:p>
        </w:tc>
      </w:tr>
      <w:tr w14:paraId="1329B4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 w:hRule="atLeast"/>
          <w:jc w:val="center"/>
        </w:trPr>
        <w:tc>
          <w:tcPr>
            <w:tcW w:w="711" w:type="dxa"/>
            <w:vMerge w:val="continue"/>
            <w:noWrap w:val="0"/>
            <w:vAlign w:val="center"/>
          </w:tcPr>
          <w:p w14:paraId="06537A81">
            <w:pPr>
              <w:keepNext w:val="0"/>
              <w:keepLines w:val="0"/>
              <w:pageBreakBefore w:val="0"/>
              <w:widowControl/>
              <w:kinsoku/>
              <w:wordWrap/>
              <w:overflowPunct/>
              <w:topLinePunct w:val="0"/>
              <w:autoSpaceDE/>
              <w:autoSpaceDN/>
              <w:bidi w:val="0"/>
              <w:adjustRightInd/>
              <w:snapToGrid/>
              <w:ind w:right="0" w:firstLine="0" w:firstLineChars="0"/>
              <w:jc w:val="center"/>
              <w:textAlignment w:val="auto"/>
              <w:rPr>
                <w:rFonts w:hint="eastAsia" w:ascii="宋体" w:hAnsi="宋体" w:cs="宋体"/>
                <w:color w:val="auto"/>
                <w:highlight w:val="none"/>
              </w:rPr>
            </w:pPr>
          </w:p>
        </w:tc>
        <w:tc>
          <w:tcPr>
            <w:tcW w:w="2931" w:type="dxa"/>
            <w:noWrap w:val="0"/>
            <w:vAlign w:val="center"/>
          </w:tcPr>
          <w:p w14:paraId="1FA976B3">
            <w:pPr>
              <w:keepNext w:val="0"/>
              <w:keepLines w:val="0"/>
              <w:pageBreakBefore w:val="0"/>
              <w:widowControl/>
              <w:kinsoku/>
              <w:wordWrap/>
              <w:overflowPunct/>
              <w:topLinePunct w:val="0"/>
              <w:autoSpaceDE/>
              <w:autoSpaceDN/>
              <w:bidi w:val="0"/>
              <w:adjustRightInd/>
              <w:snapToGrid/>
              <w:ind w:right="0" w:firstLine="0" w:firstLineChars="0"/>
              <w:jc w:val="center"/>
              <w:textAlignment w:val="auto"/>
              <w:rPr>
                <w:rFonts w:hint="eastAsia" w:ascii="宋体" w:hAnsi="宋体" w:cs="宋体"/>
                <w:color w:val="auto"/>
                <w:highlight w:val="none"/>
              </w:rPr>
            </w:pPr>
            <w:r>
              <w:rPr>
                <w:rFonts w:hint="eastAsia" w:ascii="宋体" w:hAnsi="宋体" w:cs="宋体"/>
                <w:color w:val="auto"/>
                <w:highlight w:val="none"/>
              </w:rPr>
              <w:t>商品混凝土</w:t>
            </w:r>
          </w:p>
        </w:tc>
        <w:tc>
          <w:tcPr>
            <w:tcW w:w="2527" w:type="dxa"/>
            <w:noWrap w:val="0"/>
            <w:vAlign w:val="center"/>
          </w:tcPr>
          <w:p w14:paraId="224F1F1E">
            <w:pPr>
              <w:keepNext w:val="0"/>
              <w:keepLines w:val="0"/>
              <w:pageBreakBefore w:val="0"/>
              <w:widowControl/>
              <w:kinsoku/>
              <w:wordWrap/>
              <w:overflowPunct/>
              <w:topLinePunct w:val="0"/>
              <w:autoSpaceDE/>
              <w:autoSpaceDN/>
              <w:bidi w:val="0"/>
              <w:adjustRightInd/>
              <w:snapToGrid/>
              <w:ind w:right="0" w:firstLine="0" w:firstLineChars="0"/>
              <w:jc w:val="right"/>
              <w:textAlignment w:val="auto"/>
              <w:rPr>
                <w:rFonts w:hint="eastAsia" w:ascii="宋体" w:hAnsi="宋体" w:cs="宋体"/>
                <w:color w:val="auto"/>
                <w:highlight w:val="none"/>
              </w:rPr>
            </w:pPr>
            <w:r>
              <w:rPr>
                <w:rFonts w:hint="eastAsia" w:ascii="宋体" w:hAnsi="宋体" w:cs="宋体"/>
                <w:color w:val="auto"/>
                <w:highlight w:val="none"/>
              </w:rPr>
              <w:t>m</w:t>
            </w:r>
            <w:r>
              <w:rPr>
                <w:rFonts w:hint="eastAsia" w:ascii="宋体" w:hAnsi="宋体" w:cs="宋体"/>
                <w:color w:val="auto"/>
                <w:highlight w:val="none"/>
                <w:vertAlign w:val="superscript"/>
              </w:rPr>
              <w:t>3</w:t>
            </w:r>
          </w:p>
        </w:tc>
        <w:tc>
          <w:tcPr>
            <w:tcW w:w="3025" w:type="dxa"/>
            <w:noWrap w:val="0"/>
            <w:vAlign w:val="top"/>
          </w:tcPr>
          <w:p w14:paraId="6213C964">
            <w:pPr>
              <w:keepNext w:val="0"/>
              <w:keepLines w:val="0"/>
              <w:pageBreakBefore w:val="0"/>
              <w:widowControl/>
              <w:kinsoku/>
              <w:wordWrap/>
              <w:overflowPunct/>
              <w:topLinePunct w:val="0"/>
              <w:autoSpaceDE/>
              <w:autoSpaceDN/>
              <w:bidi w:val="0"/>
              <w:adjustRightInd/>
              <w:snapToGrid/>
              <w:ind w:right="0" w:firstLine="0" w:firstLineChars="0"/>
              <w:jc w:val="right"/>
              <w:textAlignment w:val="auto"/>
              <w:rPr>
                <w:rFonts w:hint="eastAsia" w:ascii="宋体" w:hAnsi="宋体" w:cs="宋体"/>
                <w:color w:val="auto"/>
                <w:highlight w:val="none"/>
              </w:rPr>
            </w:pPr>
          </w:p>
        </w:tc>
      </w:tr>
    </w:tbl>
    <w:p w14:paraId="7F6CCEC2">
      <w:pPr>
        <w:ind w:left="-178" w:leftChars="-85" w:firstLine="177" w:firstLineChars="74"/>
        <w:rPr>
          <w:rFonts w:hint="eastAsia" w:ascii="宋体" w:hAnsi="宋体" w:cs="宋体"/>
          <w:color w:val="auto"/>
          <w:sz w:val="24"/>
          <w:highlight w:val="none"/>
        </w:rPr>
      </w:pPr>
    </w:p>
    <w:p w14:paraId="2F4EBA36">
      <w:pPr>
        <w:pStyle w:val="17"/>
        <w:rPr>
          <w:rFonts w:hint="eastAsia" w:ascii="宋体" w:hAnsi="宋体" w:cs="宋体"/>
          <w:color w:val="auto"/>
          <w:highlight w:val="none"/>
        </w:rPr>
      </w:pPr>
      <w:bookmarkStart w:id="137" w:name="_Hlk89191148"/>
      <w:r>
        <w:rPr>
          <w:rFonts w:hint="eastAsia" w:ascii="宋体" w:hAnsi="宋体" w:cs="宋体"/>
          <w:color w:val="auto"/>
          <w:szCs w:val="21"/>
          <w:highlight w:val="none"/>
        </w:rPr>
        <w:t>注：本表如</w:t>
      </w:r>
      <w:r>
        <w:rPr>
          <w:rFonts w:hint="eastAsia" w:ascii="宋体" w:hAnsi="宋体" w:cs="宋体"/>
          <w:color w:val="auto"/>
          <w:highlight w:val="none"/>
        </w:rPr>
        <w:t>与</w:t>
      </w:r>
      <w:r>
        <w:rPr>
          <w:rFonts w:hint="eastAsia" w:ascii="宋体" w:hAnsi="宋体" w:cs="宋体"/>
          <w:color w:val="auto"/>
          <w:szCs w:val="21"/>
          <w:highlight w:val="none"/>
        </w:rPr>
        <w:t>广西政府采购云平台</w:t>
      </w:r>
      <w:r>
        <w:rPr>
          <w:rFonts w:hint="eastAsia" w:ascii="宋体" w:hAnsi="宋体" w:cs="宋体"/>
          <w:color w:val="auto"/>
          <w:highlight w:val="none"/>
        </w:rPr>
        <w:t>不一致的，以</w:t>
      </w:r>
      <w:r>
        <w:rPr>
          <w:rFonts w:hint="eastAsia" w:ascii="宋体" w:hAnsi="宋体" w:cs="宋体"/>
          <w:color w:val="auto"/>
          <w:szCs w:val="21"/>
          <w:highlight w:val="none"/>
        </w:rPr>
        <w:t>广西政府采购云平台</w:t>
      </w:r>
      <w:r>
        <w:rPr>
          <w:rFonts w:hint="eastAsia" w:ascii="宋体" w:hAnsi="宋体" w:cs="宋体"/>
          <w:color w:val="auto"/>
          <w:highlight w:val="none"/>
        </w:rPr>
        <w:t>为准。</w:t>
      </w:r>
    </w:p>
    <w:bookmarkEnd w:id="137"/>
    <w:p w14:paraId="0185DA82">
      <w:pPr>
        <w:jc w:val="left"/>
        <w:rPr>
          <w:rFonts w:hint="eastAsia" w:ascii="宋体" w:hAnsi="宋体" w:cs="宋体"/>
          <w:color w:val="auto"/>
          <w:szCs w:val="21"/>
          <w:highlight w:val="none"/>
        </w:rPr>
      </w:pPr>
    </w:p>
    <w:p w14:paraId="3A9E95BA">
      <w:pPr>
        <w:jc w:val="left"/>
        <w:rPr>
          <w:rFonts w:hint="eastAsia" w:ascii="宋体" w:hAnsi="宋体" w:cs="宋体"/>
          <w:color w:val="auto"/>
          <w:szCs w:val="21"/>
          <w:highlight w:val="none"/>
        </w:rPr>
      </w:pPr>
    </w:p>
    <w:p w14:paraId="4C530024">
      <w:pPr>
        <w:spacing w:line="360" w:lineRule="auto"/>
        <w:rPr>
          <w:rFonts w:hint="eastAsia" w:ascii="宋体" w:hAnsi="宋体" w:cs="宋体"/>
          <w:color w:val="auto"/>
          <w:szCs w:val="21"/>
          <w:highlight w:val="none"/>
        </w:rPr>
      </w:pPr>
      <w:bookmarkStart w:id="138" w:name="_Hlk89191156"/>
      <w:r>
        <w:rPr>
          <w:rFonts w:hint="eastAsia" w:ascii="宋体" w:hAnsi="宋体" w:cs="宋体"/>
          <w:color w:val="auto"/>
          <w:szCs w:val="21"/>
          <w:highlight w:val="none"/>
        </w:rPr>
        <w:t>供应商名称（电子签章）</w:t>
      </w:r>
      <w:bookmarkEnd w:id="138"/>
      <w:r>
        <w:rPr>
          <w:rFonts w:hint="eastAsia" w:ascii="宋体" w:hAnsi="宋体" w:cs="宋体"/>
          <w:color w:val="auto"/>
          <w:szCs w:val="21"/>
          <w:highlight w:val="none"/>
        </w:rPr>
        <w:t>：</w:t>
      </w:r>
      <w:r>
        <w:rPr>
          <w:rFonts w:hint="eastAsia" w:ascii="宋体" w:hAnsi="宋体" w:cs="宋体"/>
          <w:color w:val="auto"/>
          <w:szCs w:val="21"/>
          <w:highlight w:val="none"/>
          <w:u w:val="single"/>
        </w:rPr>
        <w:t xml:space="preserve">                          </w:t>
      </w:r>
    </w:p>
    <w:p w14:paraId="14D693A3">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日  期</w:t>
      </w:r>
      <w:r>
        <w:rPr>
          <w:rFonts w:hint="eastAsia" w:ascii="宋体" w:hAnsi="宋体" w:cs="宋体"/>
          <w:color w:val="auto"/>
          <w:szCs w:val="21"/>
          <w:highlight w:val="none"/>
          <w:lang w:eastAsia="zh-CN"/>
        </w:rPr>
        <w:t>：</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年</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月</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日 </w:t>
      </w:r>
    </w:p>
    <w:p w14:paraId="2E7107FD">
      <w:pPr>
        <w:jc w:val="left"/>
        <w:rPr>
          <w:rFonts w:hint="eastAsia" w:ascii="宋体" w:hAnsi="宋体" w:cs="宋体"/>
          <w:color w:val="auto"/>
          <w:szCs w:val="21"/>
          <w:highlight w:val="none"/>
        </w:rPr>
      </w:pPr>
      <w:r>
        <w:rPr>
          <w:rFonts w:hint="eastAsia" w:ascii="宋体" w:hAnsi="宋体" w:cs="宋体"/>
          <w:color w:val="auto"/>
          <w:szCs w:val="21"/>
          <w:highlight w:val="none"/>
        </w:rPr>
        <w:br w:type="page"/>
      </w:r>
      <w:r>
        <w:rPr>
          <w:rFonts w:hint="eastAsia" w:ascii="宋体" w:hAnsi="宋体" w:cs="宋体"/>
          <w:color w:val="auto"/>
          <w:szCs w:val="21"/>
          <w:highlight w:val="none"/>
        </w:rPr>
        <w:t>4．已标价工程量清单：</w:t>
      </w:r>
    </w:p>
    <w:p w14:paraId="269A10D0">
      <w:p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（1）已标价工程量清单应按</w:t>
      </w:r>
      <w:bookmarkStart w:id="139" w:name="_Hlk89191177"/>
      <w:r>
        <w:rPr>
          <w:rFonts w:hint="eastAsia" w:ascii="宋体" w:hAnsi="宋体" w:cs="宋体"/>
          <w:color w:val="auto"/>
          <w:szCs w:val="21"/>
          <w:highlight w:val="none"/>
        </w:rPr>
        <w:t>第二章</w:t>
      </w:r>
      <w:bookmarkEnd w:id="139"/>
      <w:r>
        <w:rPr>
          <w:rFonts w:hint="eastAsia" w:ascii="宋体" w:hAnsi="宋体" w:cs="宋体"/>
          <w:color w:val="auto"/>
          <w:szCs w:val="21"/>
          <w:highlight w:val="none"/>
        </w:rPr>
        <w:t>“工程量清单”中的相关表格及报价说明填写。构成合同文件的已标价工程量清单包括第二章“工程量清单”有关工程量清单、报价以及其他说明的内容。</w:t>
      </w:r>
    </w:p>
    <w:p w14:paraId="1107E78B">
      <w:p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w:t>
      </w:r>
      <w:r>
        <w:rPr>
          <w:rFonts w:hint="eastAsia" w:ascii="宋体" w:hAnsi="宋体" w:cs="宋体"/>
          <w:color w:val="auto"/>
          <w:highlight w:val="none"/>
        </w:rPr>
        <w:t>一般计税法建设工程已标价工程量清单表格按</w:t>
      </w:r>
      <w:r>
        <w:rPr>
          <w:rFonts w:hint="eastAsia" w:ascii="宋体" w:hAnsi="宋体" w:cs="宋体"/>
          <w:color w:val="auto"/>
          <w:kern w:val="0"/>
          <w:highlight w:val="none"/>
        </w:rPr>
        <w:t>《关于建筑业实施营业税改征增值税后广西壮族自治区建设工程计价依据调整的通知》（桂建标〔2016〕17号）</w:t>
      </w:r>
      <w:r>
        <w:rPr>
          <w:rFonts w:hint="eastAsia" w:ascii="宋体" w:hAnsi="宋体" w:cs="宋体"/>
          <w:color w:val="auto"/>
          <w:highlight w:val="none"/>
        </w:rPr>
        <w:t>附件“增值税一般计税方法工程计价表”要求提供，简易计税法表格按《&lt;建设工程工程量清单计价规范&gt;（GB5050-2013）广西壮族自治区实施细则》要求的表格提供，但规费和税费按照</w:t>
      </w:r>
      <w:r>
        <w:rPr>
          <w:rFonts w:hint="eastAsia" w:ascii="宋体" w:hAnsi="宋体" w:cs="宋体"/>
          <w:color w:val="auto"/>
          <w:kern w:val="0"/>
          <w:highlight w:val="none"/>
        </w:rPr>
        <w:t>《关于建筑业实施营业税改征增值税后广西壮族自治区建设工程计价依据调整的通知》（桂建标〔2016〕17号）、《自治区住房城乡建设厅关于调整建设工程计价增值税税率的通知》（桂建标〔2018〕14号）、《自治区住房城乡建设厅关于调整建设工程计价增值税税率的通知》（桂建标〔2019〕12号）</w:t>
      </w:r>
      <w:r>
        <w:rPr>
          <w:rFonts w:hint="eastAsia" w:ascii="宋体" w:hAnsi="宋体" w:cs="宋体"/>
          <w:color w:val="auto"/>
          <w:highlight w:val="none"/>
        </w:rPr>
        <w:t>调整</w:t>
      </w:r>
      <w:r>
        <w:rPr>
          <w:rFonts w:hint="eastAsia" w:ascii="宋体" w:hAnsi="宋体" w:cs="宋体"/>
          <w:color w:val="auto"/>
          <w:szCs w:val="21"/>
          <w:highlight w:val="none"/>
        </w:rPr>
        <w:t>。</w:t>
      </w:r>
    </w:p>
    <w:p w14:paraId="6F4FB1F4">
      <w:pPr>
        <w:spacing w:line="360" w:lineRule="exact"/>
        <w:ind w:firstLine="420" w:firstLineChars="200"/>
        <w:rPr>
          <w:rFonts w:hint="eastAsia" w:ascii="宋体" w:hAnsi="宋体" w:cs="宋体"/>
          <w:color w:val="auto"/>
          <w:szCs w:val="21"/>
          <w:highlight w:val="none"/>
        </w:rPr>
      </w:pPr>
    </w:p>
    <w:p w14:paraId="2C3617C2">
      <w:pPr>
        <w:snapToGrid w:val="0"/>
        <w:spacing w:before="50" w:after="120" w:afterLines="50"/>
        <w:jc w:val="left"/>
        <w:rPr>
          <w:rFonts w:hint="eastAsia" w:ascii="宋体" w:hAnsi="宋体" w:cs="宋体"/>
          <w:color w:val="auto"/>
          <w:szCs w:val="21"/>
          <w:highlight w:val="none"/>
        </w:rPr>
      </w:pPr>
      <w:bookmarkStart w:id="140" w:name="_Hlk60822154"/>
    </w:p>
    <w:bookmarkEnd w:id="140"/>
    <w:p w14:paraId="28278172">
      <w:pPr>
        <w:snapToGrid w:val="0"/>
        <w:spacing w:before="50" w:after="120" w:afterLines="50"/>
        <w:jc w:val="left"/>
        <w:rPr>
          <w:rFonts w:hint="eastAsia" w:ascii="宋体" w:hAnsi="宋体" w:cs="宋体"/>
          <w:color w:val="auto"/>
          <w:szCs w:val="21"/>
          <w:highlight w:val="none"/>
        </w:rPr>
      </w:pPr>
      <w:r>
        <w:rPr>
          <w:rFonts w:hint="eastAsia" w:ascii="宋体" w:hAnsi="宋体" w:cs="宋体"/>
          <w:color w:val="auto"/>
          <w:szCs w:val="21"/>
          <w:highlight w:val="none"/>
        </w:rPr>
        <w:br w:type="page"/>
      </w:r>
    </w:p>
    <w:p w14:paraId="6F6434FB">
      <w:pPr>
        <w:rPr>
          <w:rFonts w:hint="eastAsia" w:ascii="宋体" w:hAnsi="宋体" w:cs="宋体"/>
          <w:color w:val="auto"/>
          <w:szCs w:val="21"/>
          <w:highlight w:val="none"/>
        </w:rPr>
      </w:pPr>
    </w:p>
    <w:p w14:paraId="49E88C3A">
      <w:pPr>
        <w:rPr>
          <w:rFonts w:hint="eastAsia" w:ascii="宋体" w:hAnsi="宋体" w:cs="宋体"/>
          <w:color w:val="auto"/>
          <w:szCs w:val="21"/>
          <w:highlight w:val="none"/>
        </w:rPr>
      </w:pPr>
      <w:bookmarkStart w:id="141" w:name="_Hlk89191232"/>
    </w:p>
    <w:p w14:paraId="7D869032">
      <w:pPr>
        <w:widowControl/>
        <w:jc w:val="left"/>
        <w:outlineLvl w:val="1"/>
        <w:rPr>
          <w:rFonts w:hint="eastAsia" w:ascii="宋体" w:hAnsi="宋体" w:cs="宋体"/>
          <w:color w:val="auto"/>
          <w:szCs w:val="21"/>
          <w:highlight w:val="none"/>
        </w:rPr>
      </w:pPr>
      <w:r>
        <w:rPr>
          <w:rFonts w:hint="eastAsia" w:ascii="宋体" w:hAnsi="宋体" w:cs="宋体"/>
          <w:color w:val="auto"/>
          <w:szCs w:val="21"/>
          <w:highlight w:val="none"/>
        </w:rPr>
        <w:t>3.开标一览表</w:t>
      </w:r>
    </w:p>
    <w:p w14:paraId="49C00F18">
      <w:pPr>
        <w:widowControl/>
        <w:jc w:val="left"/>
        <w:rPr>
          <w:rFonts w:hint="eastAsia" w:ascii="宋体" w:hAnsi="宋体" w:cs="宋体"/>
          <w:color w:val="auto"/>
          <w:szCs w:val="21"/>
          <w:highlight w:val="none"/>
        </w:rPr>
      </w:pPr>
    </w:p>
    <w:p w14:paraId="3D729138">
      <w:pPr>
        <w:widowControl/>
        <w:jc w:val="left"/>
        <w:rPr>
          <w:rFonts w:hint="eastAsia" w:ascii="宋体" w:hAnsi="宋体" w:cs="宋体"/>
          <w:color w:val="auto"/>
          <w:szCs w:val="21"/>
          <w:highlight w:val="none"/>
        </w:rPr>
      </w:pPr>
    </w:p>
    <w:p w14:paraId="6E3208A6">
      <w:pPr>
        <w:widowControl/>
        <w:jc w:val="left"/>
        <w:rPr>
          <w:rFonts w:hint="eastAsia" w:ascii="宋体" w:hAnsi="宋体" w:cs="宋体"/>
          <w:color w:val="auto"/>
          <w:szCs w:val="21"/>
          <w:highlight w:val="none"/>
        </w:rPr>
      </w:pPr>
    </w:p>
    <w:p w14:paraId="24CA0F00">
      <w:pPr>
        <w:rPr>
          <w:rFonts w:hint="eastAsia" w:ascii="宋体" w:hAnsi="宋体" w:cs="宋体"/>
          <w:b/>
          <w:color w:val="auto"/>
          <w:szCs w:val="21"/>
          <w:highlight w:val="none"/>
        </w:rPr>
      </w:pPr>
    </w:p>
    <w:p w14:paraId="41546E93">
      <w:pPr>
        <w:rPr>
          <w:rFonts w:hint="eastAsia" w:ascii="宋体" w:hAnsi="宋体" w:cs="宋体"/>
          <w:b/>
          <w:color w:val="auto"/>
          <w:szCs w:val="21"/>
          <w:highlight w:val="none"/>
        </w:rPr>
      </w:pPr>
    </w:p>
    <w:p w14:paraId="5B7D0D57">
      <w:pPr>
        <w:rPr>
          <w:rFonts w:hint="eastAsia" w:ascii="宋体" w:hAnsi="宋体" w:cs="宋体"/>
          <w:b/>
          <w:color w:val="auto"/>
          <w:szCs w:val="21"/>
          <w:highlight w:val="none"/>
        </w:rPr>
      </w:pPr>
      <w:r>
        <w:rPr>
          <w:rFonts w:hint="eastAsia" w:ascii="宋体" w:hAnsi="宋体" w:cs="宋体"/>
          <w:b/>
          <w:color w:val="auto"/>
          <w:szCs w:val="21"/>
          <w:highlight w:val="none"/>
        </w:rPr>
        <w:t>格式详见广西政府采购云平台，且仅在广西政府采购云平台填写即可。</w:t>
      </w:r>
    </w:p>
    <w:bookmarkEnd w:id="141"/>
    <w:p w14:paraId="63059D9B">
      <w:pPr>
        <w:rPr>
          <w:rFonts w:hint="eastAsia" w:ascii="宋体" w:hAnsi="宋体" w:cs="宋体"/>
          <w:color w:val="auto"/>
          <w:szCs w:val="21"/>
          <w:highlight w:val="none"/>
        </w:rPr>
        <w:sectPr>
          <w:pgSz w:w="11906" w:h="16838"/>
          <w:pgMar w:top="1418" w:right="1274" w:bottom="1418" w:left="1418" w:header="851" w:footer="992" w:gutter="0"/>
          <w:cols w:space="720" w:num="1"/>
          <w:docGrid w:linePitch="312" w:charSpace="0"/>
        </w:sectPr>
      </w:pPr>
    </w:p>
    <w:p w14:paraId="097BBB2C">
      <w:pPr>
        <w:widowControl/>
        <w:spacing w:line="720" w:lineRule="exact"/>
        <w:jc w:val="left"/>
        <w:rPr>
          <w:rFonts w:hint="eastAsia" w:ascii="黑体" w:hAnsi="黑体" w:eastAsia="黑体" w:cs="黑体"/>
          <w:color w:val="auto"/>
          <w:sz w:val="32"/>
          <w:szCs w:val="32"/>
          <w:highlight w:val="none"/>
        </w:rPr>
      </w:pPr>
      <w:r>
        <w:rPr>
          <w:rFonts w:hint="eastAsia" w:ascii="黑体" w:hAnsi="黑体" w:eastAsia="黑体" w:cs="黑体"/>
          <w:color w:val="auto"/>
          <w:sz w:val="32"/>
          <w:szCs w:val="32"/>
          <w:highlight w:val="none"/>
          <w:lang w:val="zh-CN"/>
        </w:rPr>
        <w:t>附件</w:t>
      </w:r>
      <w:r>
        <w:rPr>
          <w:rFonts w:hint="eastAsia" w:ascii="黑体" w:hAnsi="黑体" w:eastAsia="黑体" w:cs="黑体"/>
          <w:color w:val="auto"/>
          <w:sz w:val="32"/>
          <w:szCs w:val="32"/>
          <w:highlight w:val="none"/>
        </w:rPr>
        <w:t>1</w:t>
      </w:r>
    </w:p>
    <w:p w14:paraId="06BF85EA">
      <w:pPr>
        <w:suppressAutoHyphens/>
        <w:rPr>
          <w:rFonts w:ascii="Calibri" w:hAnsi="Calibri"/>
          <w:color w:val="auto"/>
          <w:highlight w:val="none"/>
        </w:rPr>
      </w:pPr>
    </w:p>
    <w:p w14:paraId="5F4304FE">
      <w:pPr>
        <w:spacing w:line="580" w:lineRule="exact"/>
        <w:jc w:val="center"/>
        <w:rPr>
          <w:rFonts w:hint="eastAsia" w:ascii="方正小标宋_GBK" w:hAnsi="宋体" w:eastAsia="方正小标宋_GBK"/>
          <w:color w:val="auto"/>
          <w:sz w:val="44"/>
          <w:szCs w:val="44"/>
          <w:highlight w:val="none"/>
        </w:rPr>
      </w:pPr>
      <w:r>
        <w:rPr>
          <w:rFonts w:hint="eastAsia" w:ascii="方正小标宋_GBK" w:hAnsi="宋体" w:eastAsia="方正小标宋_GBK"/>
          <w:color w:val="auto"/>
          <w:sz w:val="44"/>
          <w:szCs w:val="44"/>
          <w:highlight w:val="none"/>
        </w:rPr>
        <w:t>崇左市线上“政采贷”政策告知函</w:t>
      </w:r>
    </w:p>
    <w:p w14:paraId="36C13E6C">
      <w:pPr>
        <w:spacing w:line="580" w:lineRule="exact"/>
        <w:ind w:firstLine="640" w:firstLineChars="200"/>
        <w:rPr>
          <w:rFonts w:hint="eastAsia" w:ascii="宋体" w:hAnsi="宋体" w:eastAsia="华文仿宋"/>
          <w:color w:val="auto"/>
          <w:sz w:val="32"/>
          <w:szCs w:val="32"/>
          <w:highlight w:val="none"/>
        </w:rPr>
      </w:pPr>
    </w:p>
    <w:p w14:paraId="741A7CED">
      <w:pPr>
        <w:spacing w:line="580" w:lineRule="exac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各供应商：</w:t>
      </w:r>
    </w:p>
    <w:p w14:paraId="4F7F0888">
      <w:pPr>
        <w:spacing w:line="580" w:lineRule="exact"/>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欢迎贵公司参与崇左市政府采购活动！</w:t>
      </w:r>
    </w:p>
    <w:p w14:paraId="076543E3">
      <w:pPr>
        <w:spacing w:line="580" w:lineRule="exact"/>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线上“政采贷”是人民银行南宁中心支行和自治区财政厅共同支持企业发展，针对参与政府采购活动的企业融资难、融资贵、融资慢、融资繁问题推出的一项融资政策。贵公司若成为本次政府采购项目的中标（成交）供应商，可持政府采购合同在线向银行业金融机构申请贷款，融资机构将根据《中国人民银行南宁中心支行 广西壮族自治区财政厅关于推广线上“政采贷”融资模式的通知》（南宁银发〔2021〕258号），按照双方自愿的原则提供便捷、优惠的贷款服务。</w:t>
      </w:r>
    </w:p>
    <w:p w14:paraId="108C02A3">
      <w:pPr>
        <w:spacing w:line="580" w:lineRule="exact"/>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相关金融产品和银行业金融机构联系方式，可在中征应收账款融资服务平台查询（网址：</w:t>
      </w:r>
      <w:r>
        <w:rPr>
          <w:color w:val="auto"/>
          <w:highlight w:val="none"/>
        </w:rPr>
        <w:fldChar w:fldCharType="begin"/>
      </w:r>
      <w:r>
        <w:rPr>
          <w:color w:val="auto"/>
          <w:highlight w:val="none"/>
        </w:rPr>
        <w:instrText xml:space="preserve"> HYPERLINK "https://www.crcrfsp.com/" </w:instrText>
      </w:r>
      <w:r>
        <w:rPr>
          <w:color w:val="auto"/>
          <w:highlight w:val="none"/>
        </w:rPr>
        <w:fldChar w:fldCharType="separate"/>
      </w:r>
      <w:r>
        <w:rPr>
          <w:rStyle w:val="62"/>
          <w:rFonts w:hint="eastAsia" w:ascii="仿宋_GB2312" w:hAnsi="仿宋_GB2312" w:eastAsia="仿宋_GB2312" w:cs="仿宋_GB2312"/>
          <w:color w:val="auto"/>
          <w:sz w:val="32"/>
          <w:szCs w:val="32"/>
          <w:highlight w:val="none"/>
        </w:rPr>
        <w:t>https://www.crcrfsp.com/</w:t>
      </w:r>
      <w:r>
        <w:rPr>
          <w:rStyle w:val="62"/>
          <w:rFonts w:hint="eastAsia" w:ascii="仿宋_GB2312" w:hAnsi="仿宋_GB2312" w:eastAsia="仿宋_GB2312" w:cs="仿宋_GB2312"/>
          <w:color w:val="auto"/>
          <w:sz w:val="32"/>
          <w:szCs w:val="32"/>
          <w:highlight w:val="none"/>
        </w:rPr>
        <w:fldChar w:fldCharType="end"/>
      </w:r>
      <w:r>
        <w:rPr>
          <w:rFonts w:hint="eastAsia" w:ascii="仿宋_GB2312" w:hAnsi="仿宋_GB2312" w:eastAsia="仿宋_GB2312" w:cs="仿宋_GB2312"/>
          <w:color w:val="auto"/>
          <w:sz w:val="32"/>
          <w:szCs w:val="32"/>
          <w:highlight w:val="none"/>
        </w:rPr>
        <w:t>，客服电话：400-009-0001）。</w:t>
      </w:r>
    </w:p>
    <w:p w14:paraId="3A156681">
      <w:pPr>
        <w:suppressAutoHyphens/>
        <w:rPr>
          <w:rFonts w:hint="eastAsia" w:ascii="仿宋_GB2312" w:hAnsi="仿宋_GB2312" w:eastAsia="仿宋_GB2312" w:cs="仿宋_GB2312"/>
          <w:color w:val="auto"/>
          <w:szCs w:val="32"/>
          <w:highlight w:val="none"/>
        </w:rPr>
      </w:pPr>
    </w:p>
    <w:p w14:paraId="198CB68F">
      <w:pPr>
        <w:rPr>
          <w:rFonts w:hint="eastAsia" w:ascii="仿宋_GB2312" w:hAnsi="仿宋_GB2312" w:eastAsia="华文仿宋" w:cs="仿宋_GB2312"/>
          <w:color w:val="auto"/>
          <w:sz w:val="32"/>
          <w:szCs w:val="32"/>
          <w:highlight w:val="none"/>
        </w:rPr>
      </w:pPr>
    </w:p>
    <w:p w14:paraId="17CB979C">
      <w:pPr>
        <w:suppressAutoHyphens/>
        <w:rPr>
          <w:rFonts w:hint="eastAsia" w:ascii="仿宋_GB2312" w:hAnsi="仿宋_GB2312" w:cs="仿宋_GB2312"/>
          <w:color w:val="auto"/>
          <w:szCs w:val="32"/>
          <w:highlight w:val="none"/>
        </w:rPr>
      </w:pPr>
    </w:p>
    <w:p w14:paraId="4A18B83F">
      <w:pPr>
        <w:rPr>
          <w:rFonts w:hint="eastAsia" w:ascii="仿宋_GB2312" w:hAnsi="仿宋_GB2312" w:eastAsia="华文仿宋" w:cs="仿宋_GB2312"/>
          <w:color w:val="auto"/>
          <w:sz w:val="32"/>
          <w:szCs w:val="32"/>
          <w:highlight w:val="none"/>
        </w:rPr>
      </w:pPr>
    </w:p>
    <w:p w14:paraId="12E36038">
      <w:pPr>
        <w:rPr>
          <w:rFonts w:hint="eastAsia" w:ascii="仿宋_GB2312" w:hAnsi="仿宋_GB2312" w:eastAsia="华文仿宋" w:cs="仿宋_GB2312"/>
          <w:color w:val="auto"/>
          <w:sz w:val="32"/>
          <w:szCs w:val="32"/>
          <w:highlight w:val="none"/>
        </w:rPr>
      </w:pPr>
    </w:p>
    <w:p w14:paraId="15792363">
      <w:pPr>
        <w:suppressAutoHyphens/>
        <w:rPr>
          <w:rFonts w:hint="eastAsia" w:ascii="仿宋_GB2312" w:hAnsi="仿宋_GB2312" w:cs="仿宋_GB2312"/>
          <w:color w:val="auto"/>
          <w:szCs w:val="32"/>
          <w:highlight w:val="none"/>
        </w:rPr>
      </w:pPr>
    </w:p>
    <w:p w14:paraId="59A442B5">
      <w:pPr>
        <w:spacing w:line="540" w:lineRule="exact"/>
        <w:rPr>
          <w:rFonts w:hint="eastAsia" w:ascii="黑体" w:hAnsi="黑体" w:eastAsia="黑体" w:cs="黑体"/>
          <w:color w:val="auto"/>
          <w:sz w:val="32"/>
          <w:szCs w:val="32"/>
          <w:highlight w:val="none"/>
        </w:rPr>
      </w:pPr>
    </w:p>
    <w:p w14:paraId="4417154C">
      <w:pPr>
        <w:spacing w:line="540" w:lineRule="exact"/>
        <w:rPr>
          <w:rFonts w:hint="eastAsia" w:ascii="黑体" w:hAnsi="黑体" w:eastAsia="黑体" w:cs="黑体"/>
          <w:color w:val="auto"/>
          <w:sz w:val="32"/>
          <w:szCs w:val="32"/>
          <w:highlight w:val="none"/>
        </w:rPr>
      </w:pPr>
      <w:r>
        <w:rPr>
          <w:rFonts w:hint="eastAsia" w:ascii="黑体" w:hAnsi="黑体" w:eastAsia="黑体" w:cs="黑体"/>
          <w:color w:val="auto"/>
          <w:sz w:val="32"/>
          <w:szCs w:val="32"/>
          <w:highlight w:val="none"/>
        </w:rPr>
        <w:br w:type="page"/>
      </w:r>
      <w:r>
        <w:rPr>
          <w:rFonts w:hint="eastAsia" w:ascii="黑体" w:hAnsi="黑体" w:eastAsia="黑体" w:cs="黑体"/>
          <w:color w:val="auto"/>
          <w:sz w:val="32"/>
          <w:szCs w:val="32"/>
          <w:highlight w:val="none"/>
        </w:rPr>
        <w:t>附件2</w:t>
      </w:r>
    </w:p>
    <w:p w14:paraId="2F2C5271">
      <w:pPr>
        <w:suppressAutoHyphens/>
        <w:rPr>
          <w:rFonts w:ascii="Calibri" w:hAnsi="Calibri"/>
          <w:color w:val="auto"/>
          <w:highlight w:val="none"/>
        </w:rPr>
      </w:pPr>
    </w:p>
    <w:p w14:paraId="439678FE">
      <w:pPr>
        <w:spacing w:line="600" w:lineRule="exact"/>
        <w:jc w:val="center"/>
        <w:rPr>
          <w:rFonts w:hint="eastAsia" w:ascii="黑体" w:hAnsi="黑体" w:eastAsia="黑体" w:cs="黑体"/>
          <w:color w:val="auto"/>
          <w:sz w:val="44"/>
          <w:szCs w:val="44"/>
          <w:highlight w:val="none"/>
        </w:rPr>
      </w:pPr>
      <w:r>
        <w:rPr>
          <w:rFonts w:hint="eastAsia" w:ascii="方正小标宋_GBK" w:hAnsi="宋体" w:eastAsia="方正小标宋_GBK"/>
          <w:color w:val="auto"/>
          <w:sz w:val="44"/>
          <w:szCs w:val="44"/>
          <w:highlight w:val="none"/>
        </w:rPr>
        <w:t>崇左市线上“政采贷”业务流程图</w:t>
      </w:r>
    </w:p>
    <w:p w14:paraId="0A7F3BD5">
      <w:pPr>
        <w:rPr>
          <w:rFonts w:hint="eastAsia" w:ascii="宋体" w:hAnsi="宋体" w:eastAsia="华文仿宋"/>
          <w:color w:val="auto"/>
          <w:sz w:val="32"/>
          <w:szCs w:val="32"/>
          <w:highlight w:val="none"/>
        </w:rPr>
      </w:pPr>
      <w:r>
        <w:rPr>
          <w:rFonts w:ascii="宋体" w:hAnsi="宋体" w:eastAsia="仿宋_GB2312"/>
          <w:color w:val="auto"/>
          <w:sz w:val="32"/>
          <w:szCs w:val="32"/>
          <w:highlight w:val="none"/>
        </w:rPr>
        <w:drawing>
          <wp:inline distT="0" distB="0" distL="114300" distR="114300">
            <wp:extent cx="4924425" cy="7000875"/>
            <wp:effectExtent l="0" t="0" r="9525" b="9525"/>
            <wp:docPr id="2" name="图片 1" descr="流程图1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流程图1011"/>
                    <pic:cNvPicPr>
                      <a:picLocks noChangeAspect="1"/>
                    </pic:cNvPicPr>
                  </pic:nvPicPr>
                  <pic:blipFill>
                    <a:blip r:embed="rId21"/>
                    <a:stretch>
                      <a:fillRect/>
                    </a:stretch>
                  </pic:blipFill>
                  <pic:spPr>
                    <a:xfrm>
                      <a:off x="0" y="0"/>
                      <a:ext cx="4924425" cy="7000875"/>
                    </a:xfrm>
                    <a:prstGeom prst="rect">
                      <a:avLst/>
                    </a:prstGeom>
                    <a:noFill/>
                    <a:ln>
                      <a:noFill/>
                    </a:ln>
                  </pic:spPr>
                </pic:pic>
              </a:graphicData>
            </a:graphic>
          </wp:inline>
        </w:drawing>
      </w:r>
    </w:p>
    <w:p w14:paraId="0E89D21E">
      <w:pPr>
        <w:widowControl/>
        <w:ind w:firstLine="640" w:firstLineChars="200"/>
        <w:rPr>
          <w:rFonts w:hint="eastAsia" w:ascii="宋体" w:hAnsi="宋体" w:eastAsia="华文仿宋"/>
          <w:color w:val="auto"/>
          <w:sz w:val="32"/>
          <w:szCs w:val="32"/>
          <w:highlight w:val="none"/>
        </w:rPr>
      </w:pPr>
    </w:p>
    <w:p w14:paraId="244E740E">
      <w:pPr>
        <w:widowControl/>
        <w:spacing w:line="720" w:lineRule="exact"/>
        <w:jc w:val="left"/>
        <w:rPr>
          <w:rFonts w:hint="eastAsia" w:ascii="黑体" w:hAnsi="黑体" w:eastAsia="黑体" w:cs="黑体"/>
          <w:color w:val="auto"/>
          <w:sz w:val="32"/>
          <w:szCs w:val="32"/>
          <w:highlight w:val="none"/>
        </w:rPr>
      </w:pPr>
      <w:r>
        <w:rPr>
          <w:rFonts w:hint="eastAsia" w:ascii="黑体" w:hAnsi="黑体" w:eastAsia="黑体" w:cs="黑体"/>
          <w:color w:val="auto"/>
          <w:sz w:val="32"/>
          <w:szCs w:val="32"/>
          <w:highlight w:val="none"/>
          <w:lang w:val="zh-CN"/>
        </w:rPr>
        <w:br w:type="page"/>
      </w:r>
      <w:r>
        <w:rPr>
          <w:rFonts w:hint="eastAsia" w:ascii="黑体" w:hAnsi="黑体" w:eastAsia="黑体" w:cs="黑体"/>
          <w:color w:val="auto"/>
          <w:sz w:val="32"/>
          <w:szCs w:val="32"/>
          <w:highlight w:val="none"/>
          <w:lang w:val="zh-CN"/>
        </w:rPr>
        <w:t>附件</w:t>
      </w:r>
      <w:r>
        <w:rPr>
          <w:rFonts w:hint="eastAsia" w:ascii="黑体" w:hAnsi="黑体" w:eastAsia="黑体" w:cs="黑体"/>
          <w:color w:val="auto"/>
          <w:sz w:val="32"/>
          <w:szCs w:val="32"/>
          <w:highlight w:val="none"/>
        </w:rPr>
        <w:t>3</w:t>
      </w:r>
    </w:p>
    <w:p w14:paraId="3FFB8CF2">
      <w:pPr>
        <w:suppressAutoHyphens/>
        <w:rPr>
          <w:rFonts w:ascii="Calibri" w:hAnsi="Calibri"/>
          <w:color w:val="auto"/>
          <w:highlight w:val="none"/>
        </w:rPr>
      </w:pPr>
    </w:p>
    <w:p w14:paraId="44C2CDBD">
      <w:pPr>
        <w:suppressAutoHyphens/>
        <w:jc w:val="center"/>
        <w:rPr>
          <w:rFonts w:hint="eastAsia" w:ascii="方正小标宋_GBK" w:hAnsi="方正小标宋_GBK" w:eastAsia="方正小标宋_GBK" w:cs="方正小标宋_GBK"/>
          <w:color w:val="auto"/>
          <w:sz w:val="36"/>
          <w:szCs w:val="36"/>
          <w:highlight w:val="none"/>
        </w:rPr>
      </w:pPr>
      <w:r>
        <w:rPr>
          <w:rFonts w:hint="eastAsia" w:ascii="方正小标宋_GBK" w:hAnsi="方正小标宋_GBK" w:eastAsia="方正小标宋_GBK" w:cs="方正小标宋_GBK"/>
          <w:color w:val="auto"/>
          <w:sz w:val="36"/>
          <w:szCs w:val="36"/>
          <w:highlight w:val="none"/>
        </w:rPr>
        <w:t>崇左市金融机构线上“政采贷”业务办理联络表</w:t>
      </w:r>
    </w:p>
    <w:tbl>
      <w:tblPr>
        <w:tblStyle w:val="55"/>
        <w:tblW w:w="8310" w:type="dxa"/>
        <w:tblInd w:w="96" w:type="dxa"/>
        <w:tblLayout w:type="fixed"/>
        <w:tblCellMar>
          <w:top w:w="0" w:type="dxa"/>
          <w:left w:w="108" w:type="dxa"/>
          <w:bottom w:w="0" w:type="dxa"/>
          <w:right w:w="108" w:type="dxa"/>
        </w:tblCellMar>
      </w:tblPr>
      <w:tblGrid>
        <w:gridCol w:w="2673"/>
        <w:gridCol w:w="3513"/>
        <w:gridCol w:w="2124"/>
      </w:tblGrid>
      <w:tr w14:paraId="4583C690">
        <w:tblPrEx>
          <w:tblCellMar>
            <w:top w:w="0" w:type="dxa"/>
            <w:left w:w="108" w:type="dxa"/>
            <w:bottom w:w="0" w:type="dxa"/>
            <w:right w:w="108" w:type="dxa"/>
          </w:tblCellMar>
        </w:tblPrEx>
        <w:trPr>
          <w:trHeight w:val="90" w:hRule="atLeast"/>
        </w:trPr>
        <w:tc>
          <w:tcPr>
            <w:tcW w:w="2674" w:type="dxa"/>
            <w:tcBorders>
              <w:top w:val="single" w:color="000000" w:sz="4" w:space="0"/>
              <w:left w:val="single" w:color="000000" w:sz="4" w:space="0"/>
              <w:bottom w:val="single" w:color="000000" w:sz="4" w:space="0"/>
              <w:right w:val="single" w:color="000000" w:sz="4" w:space="0"/>
            </w:tcBorders>
            <w:vAlign w:val="center"/>
          </w:tcPr>
          <w:p w14:paraId="5FE012F4">
            <w:pPr>
              <w:widowControl/>
              <w:spacing w:line="400" w:lineRule="exact"/>
              <w:jc w:val="center"/>
              <w:textAlignment w:val="center"/>
              <w:rPr>
                <w:rFonts w:hint="eastAsia" w:ascii="宋体" w:hAnsi="宋体" w:cs="宋体"/>
                <w:b/>
                <w:bCs/>
                <w:color w:val="auto"/>
                <w:sz w:val="28"/>
                <w:szCs w:val="28"/>
                <w:highlight w:val="none"/>
              </w:rPr>
            </w:pPr>
            <w:r>
              <w:rPr>
                <w:rFonts w:hint="eastAsia" w:ascii="宋体" w:hAnsi="宋体" w:cs="宋体"/>
                <w:b/>
                <w:bCs/>
                <w:color w:val="auto"/>
                <w:kern w:val="0"/>
                <w:sz w:val="28"/>
                <w:szCs w:val="28"/>
                <w:highlight w:val="none"/>
                <w:lang w:bidi="ar"/>
              </w:rPr>
              <w:t>金融机构名称</w:t>
            </w:r>
          </w:p>
        </w:tc>
        <w:tc>
          <w:tcPr>
            <w:tcW w:w="3515" w:type="dxa"/>
            <w:tcBorders>
              <w:top w:val="single" w:color="000000" w:sz="4" w:space="0"/>
              <w:left w:val="single" w:color="000000" w:sz="4" w:space="0"/>
              <w:bottom w:val="single" w:color="000000" w:sz="4" w:space="0"/>
              <w:right w:val="single" w:color="000000" w:sz="4" w:space="0"/>
            </w:tcBorders>
            <w:vAlign w:val="center"/>
          </w:tcPr>
          <w:p w14:paraId="19541256">
            <w:pPr>
              <w:widowControl/>
              <w:spacing w:line="400" w:lineRule="exact"/>
              <w:jc w:val="center"/>
              <w:textAlignment w:val="center"/>
              <w:rPr>
                <w:rFonts w:hint="eastAsia" w:ascii="宋体" w:hAnsi="宋体" w:cs="宋体"/>
                <w:b/>
                <w:bCs/>
                <w:color w:val="auto"/>
                <w:sz w:val="28"/>
                <w:szCs w:val="28"/>
                <w:highlight w:val="none"/>
              </w:rPr>
            </w:pPr>
            <w:r>
              <w:rPr>
                <w:rFonts w:hint="eastAsia" w:ascii="宋体" w:hAnsi="宋体" w:cs="宋体"/>
                <w:b/>
                <w:bCs/>
                <w:color w:val="auto"/>
                <w:kern w:val="0"/>
                <w:sz w:val="28"/>
                <w:szCs w:val="28"/>
                <w:highlight w:val="none"/>
                <w:lang w:bidi="ar"/>
              </w:rPr>
              <w:t>地址</w:t>
            </w:r>
          </w:p>
        </w:tc>
        <w:tc>
          <w:tcPr>
            <w:tcW w:w="2125" w:type="dxa"/>
            <w:tcBorders>
              <w:top w:val="single" w:color="000000" w:sz="4" w:space="0"/>
              <w:left w:val="single" w:color="000000" w:sz="4" w:space="0"/>
              <w:bottom w:val="single" w:color="000000" w:sz="4" w:space="0"/>
              <w:right w:val="single" w:color="000000" w:sz="4" w:space="0"/>
            </w:tcBorders>
            <w:vAlign w:val="center"/>
          </w:tcPr>
          <w:p w14:paraId="730F1DFA">
            <w:pPr>
              <w:widowControl/>
              <w:spacing w:line="400" w:lineRule="exact"/>
              <w:jc w:val="center"/>
              <w:textAlignment w:val="center"/>
              <w:rPr>
                <w:rFonts w:hint="eastAsia" w:ascii="宋体" w:hAnsi="宋体" w:cs="宋体"/>
                <w:b/>
                <w:bCs/>
                <w:color w:val="auto"/>
                <w:sz w:val="28"/>
                <w:szCs w:val="28"/>
                <w:highlight w:val="none"/>
              </w:rPr>
            </w:pPr>
            <w:r>
              <w:rPr>
                <w:rFonts w:hint="eastAsia" w:ascii="宋体" w:hAnsi="宋体" w:cs="宋体"/>
                <w:b/>
                <w:bCs/>
                <w:color w:val="auto"/>
                <w:kern w:val="0"/>
                <w:sz w:val="28"/>
                <w:szCs w:val="28"/>
                <w:highlight w:val="none"/>
                <w:lang w:bidi="ar"/>
              </w:rPr>
              <w:t>业务咨询电话</w:t>
            </w:r>
          </w:p>
        </w:tc>
      </w:tr>
      <w:tr w14:paraId="0F6D7B53">
        <w:tblPrEx>
          <w:tblCellMar>
            <w:top w:w="0" w:type="dxa"/>
            <w:left w:w="108" w:type="dxa"/>
            <w:bottom w:w="0" w:type="dxa"/>
            <w:right w:w="108" w:type="dxa"/>
          </w:tblCellMar>
        </w:tblPrEx>
        <w:trPr>
          <w:trHeight w:val="365" w:hRule="atLeast"/>
        </w:trPr>
        <w:tc>
          <w:tcPr>
            <w:tcW w:w="8314" w:type="dxa"/>
            <w:gridSpan w:val="3"/>
            <w:tcBorders>
              <w:top w:val="single" w:color="000000" w:sz="4" w:space="0"/>
              <w:left w:val="single" w:color="000000" w:sz="4" w:space="0"/>
              <w:bottom w:val="single" w:color="000000" w:sz="4" w:space="0"/>
              <w:right w:val="single" w:color="000000" w:sz="4" w:space="0"/>
            </w:tcBorders>
            <w:noWrap/>
            <w:vAlign w:val="center"/>
          </w:tcPr>
          <w:p w14:paraId="2D8FF6DA">
            <w:pPr>
              <w:widowControl/>
              <w:jc w:val="left"/>
              <w:textAlignment w:val="center"/>
              <w:rPr>
                <w:rFonts w:hint="eastAsia" w:ascii="宋体" w:hAnsi="宋体" w:cs="宋体"/>
                <w:color w:val="auto"/>
                <w:szCs w:val="21"/>
                <w:highlight w:val="none"/>
              </w:rPr>
            </w:pPr>
            <w:r>
              <w:rPr>
                <w:rFonts w:hint="eastAsia" w:ascii="宋体" w:hAnsi="宋体" w:cs="宋体"/>
                <w:b/>
                <w:bCs/>
                <w:color w:val="auto"/>
                <w:szCs w:val="21"/>
                <w:highlight w:val="none"/>
              </w:rPr>
              <w:t>崇左市本级及江州区</w:t>
            </w:r>
          </w:p>
        </w:tc>
      </w:tr>
      <w:tr w14:paraId="203861DD">
        <w:tblPrEx>
          <w:tblCellMar>
            <w:top w:w="0" w:type="dxa"/>
            <w:left w:w="108" w:type="dxa"/>
            <w:bottom w:w="0" w:type="dxa"/>
            <w:right w:w="108" w:type="dxa"/>
          </w:tblCellMar>
        </w:tblPrEx>
        <w:trPr>
          <w:trHeight w:val="350"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1AE0CDAB">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工商银行崇左分行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64E39C7A">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崇左市骆越大道6号（东盟国际城）裙楼2号楼</w:t>
            </w:r>
          </w:p>
        </w:tc>
        <w:tc>
          <w:tcPr>
            <w:tcW w:w="2125" w:type="dxa"/>
            <w:tcBorders>
              <w:top w:val="single" w:color="000000" w:sz="4" w:space="0"/>
              <w:left w:val="single" w:color="000000" w:sz="4" w:space="0"/>
              <w:bottom w:val="single" w:color="000000" w:sz="4" w:space="0"/>
              <w:right w:val="single" w:color="000000" w:sz="4" w:space="0"/>
            </w:tcBorders>
            <w:vAlign w:val="center"/>
          </w:tcPr>
          <w:p w14:paraId="4BCA0952">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0771-7820436 0771-7820439</w:t>
            </w:r>
          </w:p>
        </w:tc>
      </w:tr>
      <w:tr w14:paraId="24B168AB">
        <w:tblPrEx>
          <w:tblCellMar>
            <w:top w:w="0" w:type="dxa"/>
            <w:left w:w="108" w:type="dxa"/>
            <w:bottom w:w="0" w:type="dxa"/>
            <w:right w:w="108" w:type="dxa"/>
          </w:tblCellMar>
        </w:tblPrEx>
        <w:trPr>
          <w:trHeight w:val="90"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35A095D0">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农业银行崇左分行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08A08647">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江州区友谊大道26号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40666A85">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0771-7917212</w:t>
            </w:r>
          </w:p>
        </w:tc>
      </w:tr>
      <w:tr w14:paraId="381837A9">
        <w:tblPrEx>
          <w:tblCellMar>
            <w:top w:w="0" w:type="dxa"/>
            <w:left w:w="108" w:type="dxa"/>
            <w:bottom w:w="0" w:type="dxa"/>
            <w:right w:w="108" w:type="dxa"/>
          </w:tblCellMar>
        </w:tblPrEx>
        <w:trPr>
          <w:trHeight w:val="27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6C61BCFF">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农业银行江州支行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2D85480B">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江州区江南路48号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03B58959">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0771-7917054</w:t>
            </w:r>
          </w:p>
        </w:tc>
      </w:tr>
      <w:tr w14:paraId="552796F5">
        <w:tblPrEx>
          <w:tblCellMar>
            <w:top w:w="0" w:type="dxa"/>
            <w:left w:w="108" w:type="dxa"/>
            <w:bottom w:w="0" w:type="dxa"/>
            <w:right w:w="108" w:type="dxa"/>
          </w:tblCellMar>
        </w:tblPrEx>
        <w:trPr>
          <w:trHeight w:val="27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0242A7D1">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建行崇左分行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3FC9019E">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崇左市江州区江南路73号建行大厦</w:t>
            </w:r>
          </w:p>
        </w:tc>
        <w:tc>
          <w:tcPr>
            <w:tcW w:w="2125" w:type="dxa"/>
            <w:tcBorders>
              <w:top w:val="single" w:color="000000" w:sz="4" w:space="0"/>
              <w:left w:val="single" w:color="000000" w:sz="4" w:space="0"/>
              <w:bottom w:val="single" w:color="000000" w:sz="4" w:space="0"/>
              <w:right w:val="single" w:color="000000" w:sz="4" w:space="0"/>
            </w:tcBorders>
            <w:vAlign w:val="center"/>
          </w:tcPr>
          <w:p w14:paraId="3306466C">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0771-7831103</w:t>
            </w:r>
          </w:p>
        </w:tc>
      </w:tr>
      <w:tr w14:paraId="4F0E5498">
        <w:tblPrEx>
          <w:tblCellMar>
            <w:top w:w="0" w:type="dxa"/>
            <w:left w:w="108" w:type="dxa"/>
            <w:bottom w:w="0" w:type="dxa"/>
            <w:right w:w="108" w:type="dxa"/>
          </w:tblCellMar>
        </w:tblPrEx>
        <w:trPr>
          <w:trHeight w:val="27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592581AD">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中国银行崇左分行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710BAB58">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崇左市江州区龙胤大厦五楼</w:t>
            </w:r>
          </w:p>
        </w:tc>
        <w:tc>
          <w:tcPr>
            <w:tcW w:w="2125" w:type="dxa"/>
            <w:tcBorders>
              <w:top w:val="single" w:color="000000" w:sz="4" w:space="0"/>
              <w:left w:val="single" w:color="000000" w:sz="4" w:space="0"/>
              <w:bottom w:val="single" w:color="000000" w:sz="4" w:space="0"/>
              <w:right w:val="single" w:color="000000" w:sz="4" w:space="0"/>
            </w:tcBorders>
            <w:vAlign w:val="center"/>
          </w:tcPr>
          <w:p w14:paraId="372AE2C3">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0771-7928650 0771-7920613</w:t>
            </w:r>
          </w:p>
        </w:tc>
      </w:tr>
      <w:tr w14:paraId="3700AE86">
        <w:tblPrEx>
          <w:tblCellMar>
            <w:top w:w="0" w:type="dxa"/>
            <w:left w:w="108" w:type="dxa"/>
            <w:bottom w:w="0" w:type="dxa"/>
            <w:right w:w="108" w:type="dxa"/>
          </w:tblCellMar>
        </w:tblPrEx>
        <w:trPr>
          <w:trHeight w:val="27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30B13B08">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崇左农商行授信审批部</w:t>
            </w:r>
          </w:p>
        </w:tc>
        <w:tc>
          <w:tcPr>
            <w:tcW w:w="3515" w:type="dxa"/>
            <w:tcBorders>
              <w:top w:val="single" w:color="000000" w:sz="4" w:space="0"/>
              <w:left w:val="single" w:color="000000" w:sz="4" w:space="0"/>
              <w:bottom w:val="single" w:color="000000" w:sz="4" w:space="0"/>
              <w:right w:val="single" w:color="000000" w:sz="4" w:space="0"/>
            </w:tcBorders>
            <w:vAlign w:val="center"/>
          </w:tcPr>
          <w:p w14:paraId="2EAC1BE8">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崇左市城西路109号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50E9A6D6">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0771-7925660</w:t>
            </w:r>
          </w:p>
        </w:tc>
      </w:tr>
      <w:tr w14:paraId="20598467">
        <w:tblPrEx>
          <w:tblCellMar>
            <w:top w:w="0" w:type="dxa"/>
            <w:left w:w="108" w:type="dxa"/>
            <w:bottom w:w="0" w:type="dxa"/>
            <w:right w:w="108" w:type="dxa"/>
          </w:tblCellMar>
        </w:tblPrEx>
        <w:trPr>
          <w:trHeight w:val="90"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5CE2ECE7">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中国邮政储蓄银行崇左市分行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4A43D86B">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崇左市江州区骆越大道2号中国邮政储蓄银行崇左市分行</w:t>
            </w:r>
          </w:p>
        </w:tc>
        <w:tc>
          <w:tcPr>
            <w:tcW w:w="2125" w:type="dxa"/>
            <w:tcBorders>
              <w:top w:val="single" w:color="000000" w:sz="4" w:space="0"/>
              <w:left w:val="single" w:color="000000" w:sz="4" w:space="0"/>
              <w:bottom w:val="single" w:color="000000" w:sz="4" w:space="0"/>
              <w:right w:val="single" w:color="000000" w:sz="4" w:space="0"/>
            </w:tcBorders>
            <w:vAlign w:val="center"/>
          </w:tcPr>
          <w:p w14:paraId="030845F8">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0771-7968699</w:t>
            </w:r>
          </w:p>
        </w:tc>
      </w:tr>
      <w:tr w14:paraId="1D3562D2">
        <w:tblPrEx>
          <w:tblCellMar>
            <w:top w:w="0" w:type="dxa"/>
            <w:left w:w="108" w:type="dxa"/>
            <w:bottom w:w="0" w:type="dxa"/>
            <w:right w:w="108" w:type="dxa"/>
          </w:tblCellMar>
        </w:tblPrEx>
        <w:trPr>
          <w:trHeight w:val="27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66522230">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桂林银行崇左分行营业部</w:t>
            </w:r>
          </w:p>
        </w:tc>
        <w:tc>
          <w:tcPr>
            <w:tcW w:w="3515" w:type="dxa"/>
            <w:tcBorders>
              <w:top w:val="single" w:color="000000" w:sz="4" w:space="0"/>
              <w:left w:val="single" w:color="000000" w:sz="4" w:space="0"/>
              <w:bottom w:val="single" w:color="000000" w:sz="4" w:space="0"/>
              <w:right w:val="single" w:color="000000" w:sz="4" w:space="0"/>
            </w:tcBorders>
            <w:vAlign w:val="center"/>
          </w:tcPr>
          <w:p w14:paraId="04548291">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广西壮族自治区崇左市江州区友谊大道中段龙胤·财富广场101商铺（龙胤大厦六楼营业部）</w:t>
            </w:r>
          </w:p>
        </w:tc>
        <w:tc>
          <w:tcPr>
            <w:tcW w:w="2125" w:type="dxa"/>
            <w:tcBorders>
              <w:top w:val="single" w:color="000000" w:sz="4" w:space="0"/>
              <w:left w:val="single" w:color="000000" w:sz="4" w:space="0"/>
              <w:bottom w:val="single" w:color="000000" w:sz="4" w:space="0"/>
              <w:right w:val="single" w:color="000000" w:sz="4" w:space="0"/>
            </w:tcBorders>
            <w:vAlign w:val="center"/>
          </w:tcPr>
          <w:p w14:paraId="44BEAF94">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0771-7916636</w:t>
            </w:r>
          </w:p>
        </w:tc>
      </w:tr>
      <w:tr w14:paraId="2AFCBC6A">
        <w:tblPrEx>
          <w:tblCellMar>
            <w:top w:w="0" w:type="dxa"/>
            <w:left w:w="108" w:type="dxa"/>
            <w:bottom w:w="0" w:type="dxa"/>
            <w:right w:w="108" w:type="dxa"/>
          </w:tblCellMar>
        </w:tblPrEx>
        <w:trPr>
          <w:trHeight w:val="27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1FA09E7E">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桂林银行江州支行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3CAF84BD">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崇左市江州区建设路41号桂林银行</w:t>
            </w:r>
          </w:p>
        </w:tc>
        <w:tc>
          <w:tcPr>
            <w:tcW w:w="2125" w:type="dxa"/>
            <w:tcBorders>
              <w:top w:val="single" w:color="000000" w:sz="4" w:space="0"/>
              <w:left w:val="single" w:color="000000" w:sz="4" w:space="0"/>
              <w:bottom w:val="single" w:color="000000" w:sz="4" w:space="0"/>
              <w:right w:val="single" w:color="000000" w:sz="4" w:space="0"/>
            </w:tcBorders>
            <w:vAlign w:val="center"/>
          </w:tcPr>
          <w:p w14:paraId="626F4205">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0771-7988895</w:t>
            </w:r>
          </w:p>
        </w:tc>
      </w:tr>
      <w:tr w14:paraId="5E302430">
        <w:tblPrEx>
          <w:tblCellMar>
            <w:top w:w="0" w:type="dxa"/>
            <w:left w:w="108" w:type="dxa"/>
            <w:bottom w:w="0" w:type="dxa"/>
            <w:right w:w="108" w:type="dxa"/>
          </w:tblCellMar>
        </w:tblPrEx>
        <w:trPr>
          <w:trHeight w:val="27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4BDF67BC">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广西北部湾银行崇左分行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09A5E27E">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崇左市友谊大道中段西侧龙胤财富广场三期财富中心122号商铺</w:t>
            </w:r>
          </w:p>
        </w:tc>
        <w:tc>
          <w:tcPr>
            <w:tcW w:w="2125" w:type="dxa"/>
            <w:tcBorders>
              <w:top w:val="single" w:color="000000" w:sz="4" w:space="0"/>
              <w:left w:val="single" w:color="000000" w:sz="4" w:space="0"/>
              <w:bottom w:val="single" w:color="000000" w:sz="4" w:space="0"/>
              <w:right w:val="single" w:color="000000" w:sz="4" w:space="0"/>
            </w:tcBorders>
            <w:vAlign w:val="center"/>
          </w:tcPr>
          <w:p w14:paraId="6703A2DC">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0771-7960855</w:t>
            </w:r>
          </w:p>
        </w:tc>
      </w:tr>
      <w:tr w14:paraId="5859F3A2">
        <w:tblPrEx>
          <w:tblCellMar>
            <w:top w:w="0" w:type="dxa"/>
            <w:left w:w="108" w:type="dxa"/>
            <w:bottom w:w="0" w:type="dxa"/>
            <w:right w:w="108" w:type="dxa"/>
          </w:tblCellMar>
        </w:tblPrEx>
        <w:trPr>
          <w:trHeight w:val="27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07BF096E">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广西北部湾银行崇左市中泰产业园支行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19076733">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广西壮族自治区崇左市江州区中泰产业园企业总部基地企业服务中心一楼</w:t>
            </w:r>
          </w:p>
        </w:tc>
        <w:tc>
          <w:tcPr>
            <w:tcW w:w="2125" w:type="dxa"/>
            <w:tcBorders>
              <w:top w:val="single" w:color="000000" w:sz="4" w:space="0"/>
              <w:left w:val="single" w:color="000000" w:sz="4" w:space="0"/>
              <w:bottom w:val="single" w:color="000000" w:sz="4" w:space="0"/>
              <w:right w:val="single" w:color="000000" w:sz="4" w:space="0"/>
            </w:tcBorders>
            <w:vAlign w:val="center"/>
          </w:tcPr>
          <w:p w14:paraId="04346176">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0771-7821126</w:t>
            </w:r>
          </w:p>
        </w:tc>
      </w:tr>
      <w:tr w14:paraId="0DE49513">
        <w:tblPrEx>
          <w:tblCellMar>
            <w:top w:w="0" w:type="dxa"/>
            <w:left w:w="108" w:type="dxa"/>
            <w:bottom w:w="0" w:type="dxa"/>
            <w:right w:w="108" w:type="dxa"/>
          </w:tblCellMar>
        </w:tblPrEx>
        <w:trPr>
          <w:trHeight w:val="27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55D82996">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广西北部湾银行崇左市丽江支行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61EECD3B">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崇左市江州区丽江路丽江明珠滨江花苑三期106-109号商铺</w:t>
            </w:r>
          </w:p>
        </w:tc>
        <w:tc>
          <w:tcPr>
            <w:tcW w:w="2125" w:type="dxa"/>
            <w:tcBorders>
              <w:top w:val="single" w:color="000000" w:sz="4" w:space="0"/>
              <w:left w:val="single" w:color="000000" w:sz="4" w:space="0"/>
              <w:bottom w:val="single" w:color="000000" w:sz="4" w:space="0"/>
              <w:right w:val="single" w:color="000000" w:sz="4" w:space="0"/>
            </w:tcBorders>
            <w:vAlign w:val="center"/>
          </w:tcPr>
          <w:p w14:paraId="1BF7F88D">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0771-7831866</w:t>
            </w:r>
          </w:p>
        </w:tc>
      </w:tr>
      <w:tr w14:paraId="24A1475E">
        <w:tblPrEx>
          <w:tblCellMar>
            <w:top w:w="0" w:type="dxa"/>
            <w:left w:w="108" w:type="dxa"/>
            <w:bottom w:w="0" w:type="dxa"/>
            <w:right w:w="108" w:type="dxa"/>
          </w:tblCellMar>
        </w:tblPrEx>
        <w:trPr>
          <w:trHeight w:val="350" w:hRule="atLeast"/>
        </w:trPr>
        <w:tc>
          <w:tcPr>
            <w:tcW w:w="8314" w:type="dxa"/>
            <w:gridSpan w:val="3"/>
            <w:tcBorders>
              <w:top w:val="single" w:color="000000" w:sz="4" w:space="0"/>
              <w:left w:val="single" w:color="000000" w:sz="4" w:space="0"/>
              <w:bottom w:val="single" w:color="000000" w:sz="4" w:space="0"/>
              <w:right w:val="single" w:color="000000" w:sz="4" w:space="0"/>
            </w:tcBorders>
            <w:noWrap/>
            <w:vAlign w:val="center"/>
          </w:tcPr>
          <w:p w14:paraId="11266329">
            <w:pPr>
              <w:widowControl/>
              <w:jc w:val="left"/>
              <w:textAlignment w:val="center"/>
              <w:rPr>
                <w:rFonts w:hint="eastAsia" w:ascii="宋体" w:hAnsi="宋体" w:cs="宋体"/>
                <w:color w:val="auto"/>
                <w:szCs w:val="21"/>
                <w:highlight w:val="none"/>
              </w:rPr>
            </w:pPr>
            <w:r>
              <w:rPr>
                <w:rFonts w:hint="eastAsia" w:ascii="宋体" w:hAnsi="宋体" w:cs="宋体"/>
                <w:b/>
                <w:bCs/>
                <w:color w:val="auto"/>
                <w:szCs w:val="21"/>
                <w:highlight w:val="none"/>
              </w:rPr>
              <w:t>扶绥县</w:t>
            </w:r>
          </w:p>
        </w:tc>
      </w:tr>
      <w:tr w14:paraId="0B422E2B">
        <w:tblPrEx>
          <w:tblCellMar>
            <w:top w:w="0" w:type="dxa"/>
            <w:left w:w="108" w:type="dxa"/>
            <w:bottom w:w="0" w:type="dxa"/>
            <w:right w:w="108" w:type="dxa"/>
          </w:tblCellMar>
        </w:tblPrEx>
        <w:trPr>
          <w:trHeight w:val="380"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490C2BFF">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工商银行扶绥县支行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07459D84">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扶绥县新宁镇同正大道94号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52D083C6">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0771-7535612</w:t>
            </w:r>
          </w:p>
        </w:tc>
      </w:tr>
      <w:tr w14:paraId="4DD701C2">
        <w:tblPrEx>
          <w:tblCellMar>
            <w:top w:w="0" w:type="dxa"/>
            <w:left w:w="108" w:type="dxa"/>
            <w:bottom w:w="0" w:type="dxa"/>
            <w:right w:w="108" w:type="dxa"/>
          </w:tblCellMar>
        </w:tblPrEx>
        <w:trPr>
          <w:trHeight w:val="44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4B17E0F6">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农业银行扶绥县支行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53C356A4">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扶绥县新宁镇新华路126号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104DFF1D">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0771-7917330</w:t>
            </w:r>
          </w:p>
        </w:tc>
      </w:tr>
      <w:tr w14:paraId="0B703040">
        <w:tblPrEx>
          <w:tblCellMar>
            <w:top w:w="0" w:type="dxa"/>
            <w:left w:w="108" w:type="dxa"/>
            <w:bottom w:w="0" w:type="dxa"/>
            <w:right w:w="108" w:type="dxa"/>
          </w:tblCellMar>
        </w:tblPrEx>
        <w:trPr>
          <w:trHeight w:val="749"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280591BA">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建行扶绥支行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6C2691FF">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扶绥县南密路6号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3844784B">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0771-7516511 0771-7531157</w:t>
            </w:r>
          </w:p>
        </w:tc>
      </w:tr>
      <w:tr w14:paraId="3E5DF4CC">
        <w:tblPrEx>
          <w:tblCellMar>
            <w:top w:w="0" w:type="dxa"/>
            <w:left w:w="108" w:type="dxa"/>
            <w:bottom w:w="0" w:type="dxa"/>
            <w:right w:w="108" w:type="dxa"/>
          </w:tblCellMar>
        </w:tblPrEx>
        <w:trPr>
          <w:trHeight w:val="33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273E9D8E">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建行扶绥空港支行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01F1B67F">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扶绥县双拥路3号东信华府18号楼一层</w:t>
            </w:r>
          </w:p>
        </w:tc>
        <w:tc>
          <w:tcPr>
            <w:tcW w:w="2125" w:type="dxa"/>
            <w:tcBorders>
              <w:top w:val="single" w:color="000000" w:sz="4" w:space="0"/>
              <w:left w:val="single" w:color="000000" w:sz="4" w:space="0"/>
              <w:bottom w:val="single" w:color="000000" w:sz="4" w:space="0"/>
              <w:right w:val="single" w:color="000000" w:sz="4" w:space="0"/>
            </w:tcBorders>
            <w:vAlign w:val="center"/>
          </w:tcPr>
          <w:p w14:paraId="43E394C4">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0771-7525822</w:t>
            </w:r>
          </w:p>
        </w:tc>
      </w:tr>
      <w:tr w14:paraId="4CF23097">
        <w:tblPrEx>
          <w:tblCellMar>
            <w:top w:w="0" w:type="dxa"/>
            <w:left w:w="108" w:type="dxa"/>
            <w:bottom w:w="0" w:type="dxa"/>
            <w:right w:w="108" w:type="dxa"/>
          </w:tblCellMar>
        </w:tblPrEx>
        <w:trPr>
          <w:trHeight w:val="33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5E70FB01">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中国银行扶绥支行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57B9DE2D">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扶绥县-扶绥大道16号山水城市广场一层商铺</w:t>
            </w:r>
          </w:p>
        </w:tc>
        <w:tc>
          <w:tcPr>
            <w:tcW w:w="2125" w:type="dxa"/>
            <w:tcBorders>
              <w:top w:val="single" w:color="000000" w:sz="4" w:space="0"/>
              <w:left w:val="single" w:color="000000" w:sz="4" w:space="0"/>
              <w:bottom w:val="single" w:color="000000" w:sz="4" w:space="0"/>
              <w:right w:val="single" w:color="000000" w:sz="4" w:space="0"/>
            </w:tcBorders>
            <w:vAlign w:val="center"/>
          </w:tcPr>
          <w:p w14:paraId="35CA9D51">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0771-5025887</w:t>
            </w:r>
          </w:p>
        </w:tc>
      </w:tr>
      <w:tr w14:paraId="1E17CF61">
        <w:tblPrEx>
          <w:tblCellMar>
            <w:top w:w="0" w:type="dxa"/>
            <w:left w:w="108" w:type="dxa"/>
            <w:bottom w:w="0" w:type="dxa"/>
            <w:right w:w="108" w:type="dxa"/>
          </w:tblCellMar>
        </w:tblPrEx>
        <w:trPr>
          <w:trHeight w:val="33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08BA069C">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扶绥农商行三农零售与乡村振兴金融部</w:t>
            </w:r>
          </w:p>
        </w:tc>
        <w:tc>
          <w:tcPr>
            <w:tcW w:w="3515" w:type="dxa"/>
            <w:tcBorders>
              <w:top w:val="single" w:color="000000" w:sz="4" w:space="0"/>
              <w:left w:val="single" w:color="000000" w:sz="4" w:space="0"/>
              <w:bottom w:val="single" w:color="000000" w:sz="4" w:space="0"/>
              <w:right w:val="single" w:color="000000" w:sz="4" w:space="0"/>
            </w:tcBorders>
            <w:vAlign w:val="center"/>
          </w:tcPr>
          <w:p w14:paraId="017CD6E4">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扶绥县新宁镇永宁路2-1号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3AD16326">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0771-7533041</w:t>
            </w:r>
          </w:p>
        </w:tc>
      </w:tr>
      <w:tr w14:paraId="6E62AA53">
        <w:tblPrEx>
          <w:tblCellMar>
            <w:top w:w="0" w:type="dxa"/>
            <w:left w:w="108" w:type="dxa"/>
            <w:bottom w:w="0" w:type="dxa"/>
            <w:right w:w="108" w:type="dxa"/>
          </w:tblCellMar>
        </w:tblPrEx>
        <w:trPr>
          <w:trHeight w:val="33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63502BC6">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中国邮政储蓄银行扶绥县支行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25692E08">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扶绥县松江路138号中国邮政储蓄银行扶绥县支行</w:t>
            </w:r>
          </w:p>
        </w:tc>
        <w:tc>
          <w:tcPr>
            <w:tcW w:w="2125" w:type="dxa"/>
            <w:tcBorders>
              <w:top w:val="single" w:color="000000" w:sz="4" w:space="0"/>
              <w:left w:val="single" w:color="000000" w:sz="4" w:space="0"/>
              <w:bottom w:val="single" w:color="000000" w:sz="4" w:space="0"/>
              <w:right w:val="single" w:color="000000" w:sz="4" w:space="0"/>
            </w:tcBorders>
            <w:vAlign w:val="center"/>
          </w:tcPr>
          <w:p w14:paraId="30DB622B">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0771-7536178 0771-7536177</w:t>
            </w:r>
          </w:p>
        </w:tc>
      </w:tr>
      <w:tr w14:paraId="6F40B9FC">
        <w:tblPrEx>
          <w:tblCellMar>
            <w:top w:w="0" w:type="dxa"/>
            <w:left w:w="108" w:type="dxa"/>
            <w:bottom w:w="0" w:type="dxa"/>
            <w:right w:w="108" w:type="dxa"/>
          </w:tblCellMar>
        </w:tblPrEx>
        <w:trPr>
          <w:trHeight w:val="33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4C3A7C18">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桂林银行崇左扶绥支行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77B95CA5">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广西崇左市扶绥县新宁镇松江路20号（桂林银行崇左扶绥支行）</w:t>
            </w:r>
          </w:p>
        </w:tc>
        <w:tc>
          <w:tcPr>
            <w:tcW w:w="2125" w:type="dxa"/>
            <w:tcBorders>
              <w:top w:val="single" w:color="000000" w:sz="4" w:space="0"/>
              <w:left w:val="single" w:color="000000" w:sz="4" w:space="0"/>
              <w:bottom w:val="single" w:color="000000" w:sz="4" w:space="0"/>
              <w:right w:val="single" w:color="000000" w:sz="4" w:space="0"/>
            </w:tcBorders>
            <w:vAlign w:val="center"/>
          </w:tcPr>
          <w:p w14:paraId="11850DD4">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0771-7661101</w:t>
            </w:r>
          </w:p>
        </w:tc>
      </w:tr>
      <w:tr w14:paraId="55BE211D">
        <w:tblPrEx>
          <w:tblCellMar>
            <w:top w:w="0" w:type="dxa"/>
            <w:left w:w="108" w:type="dxa"/>
            <w:bottom w:w="0" w:type="dxa"/>
            <w:right w:w="108" w:type="dxa"/>
          </w:tblCellMar>
        </w:tblPrEx>
        <w:trPr>
          <w:trHeight w:val="33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3CF4CE77">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广西北部湾银行扶绥县支行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74033F0E">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崇左市扶绥县新宁镇同正大道333号碧园·未来城商业综合体13号楼一楼1050、1051号商铺</w:t>
            </w:r>
          </w:p>
        </w:tc>
        <w:tc>
          <w:tcPr>
            <w:tcW w:w="2125" w:type="dxa"/>
            <w:tcBorders>
              <w:top w:val="single" w:color="000000" w:sz="4" w:space="0"/>
              <w:left w:val="single" w:color="000000" w:sz="4" w:space="0"/>
              <w:bottom w:val="single" w:color="000000" w:sz="4" w:space="0"/>
              <w:right w:val="single" w:color="000000" w:sz="4" w:space="0"/>
            </w:tcBorders>
            <w:vAlign w:val="center"/>
          </w:tcPr>
          <w:p w14:paraId="78A93DEB">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0771-7500768</w:t>
            </w:r>
          </w:p>
        </w:tc>
      </w:tr>
      <w:tr w14:paraId="2727DAA7">
        <w:tblPrEx>
          <w:tblCellMar>
            <w:top w:w="0" w:type="dxa"/>
            <w:left w:w="108" w:type="dxa"/>
            <w:bottom w:w="0" w:type="dxa"/>
            <w:right w:w="108" w:type="dxa"/>
          </w:tblCellMar>
        </w:tblPrEx>
        <w:trPr>
          <w:trHeight w:val="33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494EA67D">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扶绥深通村镇银行业发部</w:t>
            </w:r>
          </w:p>
        </w:tc>
        <w:tc>
          <w:tcPr>
            <w:tcW w:w="3515" w:type="dxa"/>
            <w:tcBorders>
              <w:top w:val="single" w:color="000000" w:sz="4" w:space="0"/>
              <w:left w:val="single" w:color="000000" w:sz="4" w:space="0"/>
              <w:bottom w:val="single" w:color="000000" w:sz="4" w:space="0"/>
              <w:right w:val="single" w:color="000000" w:sz="4" w:space="0"/>
            </w:tcBorders>
            <w:vAlign w:val="center"/>
          </w:tcPr>
          <w:p w14:paraId="46E6816D">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扶绥县大景城1号楼正门旁</w:t>
            </w:r>
          </w:p>
        </w:tc>
        <w:tc>
          <w:tcPr>
            <w:tcW w:w="2125" w:type="dxa"/>
            <w:tcBorders>
              <w:top w:val="single" w:color="000000" w:sz="4" w:space="0"/>
              <w:left w:val="single" w:color="000000" w:sz="4" w:space="0"/>
              <w:bottom w:val="single" w:color="000000" w:sz="4" w:space="0"/>
              <w:right w:val="single" w:color="000000" w:sz="4" w:space="0"/>
            </w:tcBorders>
            <w:vAlign w:val="center"/>
          </w:tcPr>
          <w:p w14:paraId="0FDEE1BE">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0771-7525678</w:t>
            </w:r>
          </w:p>
        </w:tc>
      </w:tr>
      <w:tr w14:paraId="5AA23C60">
        <w:tblPrEx>
          <w:tblCellMar>
            <w:top w:w="0" w:type="dxa"/>
            <w:left w:w="108" w:type="dxa"/>
            <w:bottom w:w="0" w:type="dxa"/>
            <w:right w:w="108" w:type="dxa"/>
          </w:tblCellMar>
        </w:tblPrEx>
        <w:trPr>
          <w:trHeight w:val="470"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625DCAE2">
            <w:pPr>
              <w:widowControl/>
              <w:jc w:val="left"/>
              <w:textAlignment w:val="center"/>
              <w:rPr>
                <w:rFonts w:hint="eastAsia" w:ascii="宋体" w:hAnsi="宋体" w:cs="宋体"/>
                <w:color w:val="auto"/>
                <w:szCs w:val="21"/>
                <w:highlight w:val="none"/>
              </w:rPr>
            </w:pPr>
            <w:r>
              <w:rPr>
                <w:rFonts w:hint="eastAsia" w:ascii="宋体" w:hAnsi="宋体" w:cs="宋体"/>
                <w:b/>
                <w:bCs/>
                <w:color w:val="auto"/>
                <w:szCs w:val="21"/>
                <w:highlight w:val="none"/>
              </w:rPr>
              <w:t>宁明县</w:t>
            </w:r>
          </w:p>
        </w:tc>
        <w:tc>
          <w:tcPr>
            <w:tcW w:w="3515" w:type="dxa"/>
            <w:tcBorders>
              <w:top w:val="single" w:color="000000" w:sz="4" w:space="0"/>
              <w:left w:val="single" w:color="000000" w:sz="4" w:space="0"/>
              <w:bottom w:val="single" w:color="000000" w:sz="4" w:space="0"/>
              <w:right w:val="single" w:color="000000" w:sz="4" w:space="0"/>
            </w:tcBorders>
            <w:vAlign w:val="center"/>
          </w:tcPr>
          <w:p w14:paraId="1E4DAAAF">
            <w:pPr>
              <w:widowControl/>
              <w:jc w:val="left"/>
              <w:textAlignment w:val="center"/>
              <w:rPr>
                <w:rFonts w:hint="eastAsia" w:ascii="宋体" w:hAnsi="宋体" w:cs="宋体"/>
                <w:color w:val="auto"/>
                <w:szCs w:val="21"/>
                <w:highlight w:val="none"/>
              </w:rPr>
            </w:pPr>
          </w:p>
        </w:tc>
        <w:tc>
          <w:tcPr>
            <w:tcW w:w="2125" w:type="dxa"/>
            <w:tcBorders>
              <w:top w:val="single" w:color="000000" w:sz="4" w:space="0"/>
              <w:left w:val="single" w:color="000000" w:sz="4" w:space="0"/>
              <w:bottom w:val="single" w:color="000000" w:sz="4" w:space="0"/>
              <w:right w:val="single" w:color="000000" w:sz="4" w:space="0"/>
            </w:tcBorders>
            <w:vAlign w:val="center"/>
          </w:tcPr>
          <w:p w14:paraId="297151B4">
            <w:pPr>
              <w:widowControl/>
              <w:jc w:val="center"/>
              <w:textAlignment w:val="center"/>
              <w:rPr>
                <w:rFonts w:hint="eastAsia" w:ascii="宋体" w:hAnsi="宋体" w:cs="宋体"/>
                <w:color w:val="auto"/>
                <w:szCs w:val="21"/>
                <w:highlight w:val="none"/>
              </w:rPr>
            </w:pPr>
          </w:p>
        </w:tc>
      </w:tr>
      <w:tr w14:paraId="37C46330">
        <w:tblPrEx>
          <w:tblCellMar>
            <w:top w:w="0" w:type="dxa"/>
            <w:left w:w="108" w:type="dxa"/>
            <w:bottom w:w="0" w:type="dxa"/>
            <w:right w:w="108" w:type="dxa"/>
          </w:tblCellMar>
        </w:tblPrEx>
        <w:trPr>
          <w:trHeight w:val="36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29DF5A51">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工商银行宁明县支行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68BF5A13">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宁明县城中镇兴远街70号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5AF05116">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0771-8620729</w:t>
            </w:r>
          </w:p>
        </w:tc>
      </w:tr>
      <w:tr w14:paraId="0EEE45EA">
        <w:tblPrEx>
          <w:tblCellMar>
            <w:top w:w="0" w:type="dxa"/>
            <w:left w:w="108" w:type="dxa"/>
            <w:bottom w:w="0" w:type="dxa"/>
            <w:right w:w="108" w:type="dxa"/>
          </w:tblCellMar>
        </w:tblPrEx>
        <w:trPr>
          <w:trHeight w:val="320"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3B84D53E">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农业银行宁明县支行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5E05C0CE">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宁明县城中镇明阳街11号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27B0D1AC">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0771-7917093</w:t>
            </w:r>
          </w:p>
        </w:tc>
      </w:tr>
      <w:tr w14:paraId="478A13E8">
        <w:tblPrEx>
          <w:tblCellMar>
            <w:top w:w="0" w:type="dxa"/>
            <w:left w:w="108" w:type="dxa"/>
            <w:bottom w:w="0" w:type="dxa"/>
            <w:right w:w="108" w:type="dxa"/>
          </w:tblCellMar>
        </w:tblPrEx>
        <w:trPr>
          <w:trHeight w:val="320"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6D072899">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建行宁明支行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71C483DF">
            <w:pPr>
              <w:widowControl/>
              <w:spacing w:after="90" w:line="23" w:lineRule="atLeast"/>
              <w:jc w:val="left"/>
              <w:rPr>
                <w:rFonts w:hint="eastAsia" w:ascii="宋体" w:hAnsi="宋体" w:cs="宋体"/>
                <w:color w:val="auto"/>
                <w:szCs w:val="21"/>
                <w:highlight w:val="none"/>
              </w:rPr>
            </w:pPr>
            <w:r>
              <w:rPr>
                <w:rFonts w:hint="eastAsia" w:ascii="宋体" w:hAnsi="宋体" w:cs="宋体"/>
                <w:color w:val="auto"/>
                <w:kern w:val="0"/>
                <w:szCs w:val="21"/>
                <w:highlight w:val="none"/>
                <w:lang w:bidi="ar"/>
              </w:rPr>
              <w:t>宁明县城中镇兴宁大道77号明江财富广场一层1-13号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708F7B71">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0771-8629006</w:t>
            </w:r>
          </w:p>
        </w:tc>
      </w:tr>
      <w:tr w14:paraId="2A040921">
        <w:tblPrEx>
          <w:tblCellMar>
            <w:top w:w="0" w:type="dxa"/>
            <w:left w:w="108" w:type="dxa"/>
            <w:bottom w:w="0" w:type="dxa"/>
            <w:right w:w="108" w:type="dxa"/>
          </w:tblCellMar>
        </w:tblPrEx>
        <w:trPr>
          <w:trHeight w:val="320"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6D3B3175">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宁明农商行三农零售与乡村振兴金融部</w:t>
            </w:r>
          </w:p>
        </w:tc>
        <w:tc>
          <w:tcPr>
            <w:tcW w:w="3515" w:type="dxa"/>
            <w:tcBorders>
              <w:top w:val="single" w:color="000000" w:sz="4" w:space="0"/>
              <w:left w:val="single" w:color="000000" w:sz="4" w:space="0"/>
              <w:bottom w:val="single" w:color="000000" w:sz="4" w:space="0"/>
              <w:right w:val="single" w:color="000000" w:sz="4" w:space="0"/>
            </w:tcBorders>
            <w:vAlign w:val="center"/>
          </w:tcPr>
          <w:p w14:paraId="2E33BF48">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宁明县城中镇明阳街3号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50FBEEDF">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0771-8628166</w:t>
            </w:r>
          </w:p>
        </w:tc>
      </w:tr>
      <w:tr w14:paraId="6E4FB9BE">
        <w:tblPrEx>
          <w:tblCellMar>
            <w:top w:w="0" w:type="dxa"/>
            <w:left w:w="108" w:type="dxa"/>
            <w:bottom w:w="0" w:type="dxa"/>
            <w:right w:w="108" w:type="dxa"/>
          </w:tblCellMar>
        </w:tblPrEx>
        <w:trPr>
          <w:trHeight w:val="439"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7F23C75E">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桂林银行崇左宁明支行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4DCF0D33">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宁明县城中镇兴宁大道中70号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69F67937">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0771-8630787</w:t>
            </w:r>
          </w:p>
        </w:tc>
      </w:tr>
      <w:tr w14:paraId="55AC664B">
        <w:tblPrEx>
          <w:tblCellMar>
            <w:top w:w="0" w:type="dxa"/>
            <w:left w:w="108" w:type="dxa"/>
            <w:bottom w:w="0" w:type="dxa"/>
            <w:right w:w="108" w:type="dxa"/>
          </w:tblCellMar>
        </w:tblPrEx>
        <w:trPr>
          <w:trHeight w:val="320"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026F9D39">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广西北部湾银行宁明支行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4876E7A9">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崇左市宁明县城中镇兴宁大道中79号（明都大酒店）A幢楼1楼铺面</w:t>
            </w:r>
          </w:p>
        </w:tc>
        <w:tc>
          <w:tcPr>
            <w:tcW w:w="2125" w:type="dxa"/>
            <w:tcBorders>
              <w:top w:val="single" w:color="000000" w:sz="4" w:space="0"/>
              <w:left w:val="single" w:color="000000" w:sz="4" w:space="0"/>
              <w:bottom w:val="single" w:color="000000" w:sz="4" w:space="0"/>
              <w:right w:val="single" w:color="000000" w:sz="4" w:space="0"/>
            </w:tcBorders>
            <w:vAlign w:val="center"/>
          </w:tcPr>
          <w:p w14:paraId="4DE74E78">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0771-8622237</w:t>
            </w:r>
          </w:p>
        </w:tc>
      </w:tr>
      <w:tr w14:paraId="276316E7">
        <w:tblPrEx>
          <w:tblCellMar>
            <w:top w:w="0" w:type="dxa"/>
            <w:left w:w="108" w:type="dxa"/>
            <w:bottom w:w="0" w:type="dxa"/>
            <w:right w:w="108" w:type="dxa"/>
          </w:tblCellMar>
        </w:tblPrEx>
        <w:trPr>
          <w:trHeight w:val="377" w:hRule="atLeast"/>
        </w:trPr>
        <w:tc>
          <w:tcPr>
            <w:tcW w:w="8314" w:type="dxa"/>
            <w:gridSpan w:val="3"/>
            <w:tcBorders>
              <w:top w:val="single" w:color="000000" w:sz="4" w:space="0"/>
              <w:left w:val="single" w:color="000000" w:sz="4" w:space="0"/>
              <w:bottom w:val="single" w:color="000000" w:sz="4" w:space="0"/>
              <w:right w:val="single" w:color="000000" w:sz="4" w:space="0"/>
            </w:tcBorders>
            <w:noWrap/>
            <w:vAlign w:val="center"/>
          </w:tcPr>
          <w:p w14:paraId="0D90968C">
            <w:pPr>
              <w:widowControl/>
              <w:jc w:val="left"/>
              <w:textAlignment w:val="center"/>
              <w:rPr>
                <w:rFonts w:hint="eastAsia" w:ascii="宋体" w:hAnsi="宋体" w:cs="宋体"/>
                <w:color w:val="auto"/>
                <w:szCs w:val="21"/>
                <w:highlight w:val="none"/>
              </w:rPr>
            </w:pPr>
            <w:r>
              <w:rPr>
                <w:rFonts w:hint="eastAsia" w:ascii="宋体" w:hAnsi="宋体" w:cs="宋体"/>
                <w:b/>
                <w:bCs/>
                <w:color w:val="auto"/>
                <w:szCs w:val="21"/>
                <w:highlight w:val="none"/>
              </w:rPr>
              <w:t>大新县</w:t>
            </w:r>
          </w:p>
        </w:tc>
      </w:tr>
      <w:tr w14:paraId="795BD46A">
        <w:tblPrEx>
          <w:tblCellMar>
            <w:top w:w="0" w:type="dxa"/>
            <w:left w:w="108" w:type="dxa"/>
            <w:bottom w:w="0" w:type="dxa"/>
            <w:right w:w="108" w:type="dxa"/>
          </w:tblCellMar>
        </w:tblPrEx>
        <w:trPr>
          <w:trHeight w:val="391"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017F268C">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szCs w:val="21"/>
                <w:highlight w:val="none"/>
              </w:rPr>
              <w:t>工商银行大新县支行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48123023">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大新县桃城镇民生街98号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63FA3A7F">
            <w:pPr>
              <w:widowControl/>
              <w:jc w:val="center"/>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0771-3628078</w:t>
            </w:r>
          </w:p>
        </w:tc>
      </w:tr>
      <w:tr w14:paraId="789597D7">
        <w:tblPrEx>
          <w:tblCellMar>
            <w:top w:w="0" w:type="dxa"/>
            <w:left w:w="108" w:type="dxa"/>
            <w:bottom w:w="0" w:type="dxa"/>
            <w:right w:w="108" w:type="dxa"/>
          </w:tblCellMar>
        </w:tblPrEx>
        <w:trPr>
          <w:trHeight w:val="458"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036D13C2">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szCs w:val="21"/>
                <w:highlight w:val="none"/>
              </w:rPr>
              <w:t>农业银行大新县支行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5D90F3C0">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szCs w:val="21"/>
                <w:highlight w:val="none"/>
              </w:rPr>
              <w:t>大新县桃城镇伦理路223号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68F5E0CF">
            <w:pPr>
              <w:widowControl/>
              <w:jc w:val="center"/>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0771-</w:t>
            </w:r>
            <w:r>
              <w:rPr>
                <w:rFonts w:hint="eastAsia" w:ascii="宋体" w:hAnsi="宋体" w:cs="宋体"/>
                <w:color w:val="auto"/>
                <w:szCs w:val="21"/>
                <w:highlight w:val="none"/>
              </w:rPr>
              <w:t>7917015</w:t>
            </w:r>
          </w:p>
        </w:tc>
      </w:tr>
      <w:tr w14:paraId="445804CC">
        <w:tblPrEx>
          <w:tblCellMar>
            <w:top w:w="0" w:type="dxa"/>
            <w:left w:w="108" w:type="dxa"/>
            <w:bottom w:w="0" w:type="dxa"/>
            <w:right w:w="108" w:type="dxa"/>
          </w:tblCellMar>
        </w:tblPrEx>
        <w:trPr>
          <w:trHeight w:val="42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4704A2FE">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建行大新支行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14AD57D4">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大新县民生街7号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6316C3AC">
            <w:pPr>
              <w:widowControl/>
              <w:jc w:val="center"/>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0771-3689766</w:t>
            </w:r>
          </w:p>
        </w:tc>
      </w:tr>
      <w:tr w14:paraId="29823720">
        <w:tblPrEx>
          <w:tblCellMar>
            <w:top w:w="0" w:type="dxa"/>
            <w:left w:w="108" w:type="dxa"/>
            <w:bottom w:w="0" w:type="dxa"/>
            <w:right w:w="108" w:type="dxa"/>
          </w:tblCellMar>
        </w:tblPrEx>
        <w:trPr>
          <w:trHeight w:val="42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324C8DA2">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大新农商行三农零售与乡村振兴金融部</w:t>
            </w:r>
          </w:p>
        </w:tc>
        <w:tc>
          <w:tcPr>
            <w:tcW w:w="3515" w:type="dxa"/>
            <w:tcBorders>
              <w:top w:val="single" w:color="000000" w:sz="4" w:space="0"/>
              <w:left w:val="single" w:color="000000" w:sz="4" w:space="0"/>
              <w:bottom w:val="single" w:color="000000" w:sz="4" w:space="0"/>
              <w:right w:val="single" w:color="000000" w:sz="4" w:space="0"/>
            </w:tcBorders>
            <w:vAlign w:val="center"/>
          </w:tcPr>
          <w:p w14:paraId="3FFA3B73">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大新县城养利路131号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1BFA26E1">
            <w:pPr>
              <w:widowControl/>
              <w:jc w:val="center"/>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0771-3623887</w:t>
            </w:r>
          </w:p>
        </w:tc>
      </w:tr>
      <w:tr w14:paraId="4F99FF63">
        <w:tblPrEx>
          <w:tblCellMar>
            <w:top w:w="0" w:type="dxa"/>
            <w:left w:w="108" w:type="dxa"/>
            <w:bottom w:w="0" w:type="dxa"/>
            <w:right w:w="108" w:type="dxa"/>
          </w:tblCellMar>
        </w:tblPrEx>
        <w:trPr>
          <w:trHeight w:val="62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6A1C5892">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szCs w:val="21"/>
                <w:highlight w:val="none"/>
              </w:rPr>
              <w:t>桂林银行崇左大新支行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09CEAFF1">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崇左市大新县桃城镇民生街7号东盟商业广场1楼桂林银行</w:t>
            </w:r>
          </w:p>
        </w:tc>
        <w:tc>
          <w:tcPr>
            <w:tcW w:w="2125" w:type="dxa"/>
            <w:tcBorders>
              <w:top w:val="single" w:color="000000" w:sz="4" w:space="0"/>
              <w:left w:val="single" w:color="000000" w:sz="4" w:space="0"/>
              <w:bottom w:val="single" w:color="000000" w:sz="4" w:space="0"/>
              <w:right w:val="single" w:color="000000" w:sz="4" w:space="0"/>
            </w:tcBorders>
            <w:vAlign w:val="center"/>
          </w:tcPr>
          <w:p w14:paraId="0875B84B">
            <w:pPr>
              <w:widowControl/>
              <w:jc w:val="center"/>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0771-3621996</w:t>
            </w:r>
          </w:p>
        </w:tc>
      </w:tr>
      <w:tr w14:paraId="7BFF9FFB">
        <w:tblPrEx>
          <w:tblCellMar>
            <w:top w:w="0" w:type="dxa"/>
            <w:left w:w="108" w:type="dxa"/>
            <w:bottom w:w="0" w:type="dxa"/>
            <w:right w:w="108" w:type="dxa"/>
          </w:tblCellMar>
        </w:tblPrEx>
        <w:trPr>
          <w:trHeight w:val="42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71646393">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szCs w:val="21"/>
                <w:highlight w:val="none"/>
              </w:rPr>
              <w:t>广西北部湾银行大新支行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41E9DD80">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崇左市大新县桃城镇伦理路230号1楼铺面</w:t>
            </w:r>
          </w:p>
        </w:tc>
        <w:tc>
          <w:tcPr>
            <w:tcW w:w="2125" w:type="dxa"/>
            <w:tcBorders>
              <w:top w:val="single" w:color="000000" w:sz="4" w:space="0"/>
              <w:left w:val="single" w:color="000000" w:sz="4" w:space="0"/>
              <w:bottom w:val="single" w:color="000000" w:sz="4" w:space="0"/>
              <w:right w:val="single" w:color="000000" w:sz="4" w:space="0"/>
            </w:tcBorders>
            <w:vAlign w:val="center"/>
          </w:tcPr>
          <w:p w14:paraId="2DDB1AF8">
            <w:pPr>
              <w:widowControl/>
              <w:jc w:val="center"/>
              <w:textAlignment w:val="center"/>
              <w:rPr>
                <w:rFonts w:hint="eastAsia" w:ascii="宋体" w:hAnsi="宋体" w:cs="宋体"/>
                <w:color w:val="auto"/>
                <w:kern w:val="0"/>
                <w:szCs w:val="21"/>
                <w:highlight w:val="none"/>
                <w:lang w:bidi="ar"/>
              </w:rPr>
            </w:pPr>
            <w:r>
              <w:rPr>
                <w:rFonts w:hint="eastAsia" w:ascii="宋体" w:hAnsi="宋体" w:cs="宋体"/>
                <w:color w:val="auto"/>
                <w:szCs w:val="21"/>
                <w:highlight w:val="none"/>
              </w:rPr>
              <w:t>0771-3628366</w:t>
            </w:r>
          </w:p>
        </w:tc>
      </w:tr>
      <w:tr w14:paraId="6CAF77E3">
        <w:tblPrEx>
          <w:tblCellMar>
            <w:top w:w="0" w:type="dxa"/>
            <w:left w:w="108" w:type="dxa"/>
            <w:bottom w:w="0" w:type="dxa"/>
            <w:right w:w="108" w:type="dxa"/>
          </w:tblCellMar>
        </w:tblPrEx>
        <w:trPr>
          <w:trHeight w:val="42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1F7CB08E">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崇左大新长江村镇银行营业部</w:t>
            </w:r>
          </w:p>
        </w:tc>
        <w:tc>
          <w:tcPr>
            <w:tcW w:w="3515" w:type="dxa"/>
            <w:tcBorders>
              <w:top w:val="single" w:color="000000" w:sz="4" w:space="0"/>
              <w:left w:val="single" w:color="000000" w:sz="4" w:space="0"/>
              <w:bottom w:val="single" w:color="000000" w:sz="4" w:space="0"/>
              <w:right w:val="single" w:color="000000" w:sz="4" w:space="0"/>
            </w:tcBorders>
            <w:vAlign w:val="center"/>
          </w:tcPr>
          <w:p w14:paraId="0D3B330B">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大新县桃城镇德天大道74-1号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043A780E">
            <w:pPr>
              <w:widowControl/>
              <w:jc w:val="center"/>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0771-3698002</w:t>
            </w:r>
          </w:p>
        </w:tc>
      </w:tr>
      <w:tr w14:paraId="2B2CC31B">
        <w:tblPrEx>
          <w:tblCellMar>
            <w:top w:w="0" w:type="dxa"/>
            <w:left w:w="108" w:type="dxa"/>
            <w:bottom w:w="0" w:type="dxa"/>
            <w:right w:w="108" w:type="dxa"/>
          </w:tblCellMar>
        </w:tblPrEx>
        <w:trPr>
          <w:trHeight w:val="42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4BBDB1CB">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崇左大新长江村镇银行百汇支行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1AEF8EAE">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大新县桃城镇伦那路8号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7A619CA9">
            <w:pPr>
              <w:widowControl/>
              <w:jc w:val="center"/>
              <w:textAlignment w:val="center"/>
              <w:rPr>
                <w:rFonts w:hint="eastAsia" w:ascii="宋体" w:hAnsi="宋体" w:cs="宋体"/>
                <w:color w:val="auto"/>
                <w:szCs w:val="21"/>
                <w:highlight w:val="none"/>
              </w:rPr>
            </w:pPr>
            <w:r>
              <w:rPr>
                <w:rFonts w:hint="eastAsia" w:ascii="宋体" w:hAnsi="宋体" w:cs="宋体"/>
                <w:color w:val="auto"/>
                <w:kern w:val="0"/>
                <w:szCs w:val="21"/>
                <w:highlight w:val="none"/>
                <w:lang w:bidi="ar"/>
              </w:rPr>
              <w:t>0771-3626199</w:t>
            </w:r>
          </w:p>
        </w:tc>
      </w:tr>
      <w:tr w14:paraId="66FCD79B">
        <w:tblPrEx>
          <w:tblCellMar>
            <w:top w:w="0" w:type="dxa"/>
            <w:left w:w="108" w:type="dxa"/>
            <w:bottom w:w="0" w:type="dxa"/>
            <w:right w:w="108" w:type="dxa"/>
          </w:tblCellMar>
        </w:tblPrEx>
        <w:trPr>
          <w:trHeight w:val="350"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30317103">
            <w:pPr>
              <w:widowControl/>
              <w:jc w:val="left"/>
              <w:textAlignment w:val="center"/>
              <w:rPr>
                <w:rFonts w:hint="eastAsia" w:ascii="宋体" w:hAnsi="宋体" w:cs="宋体"/>
                <w:color w:val="auto"/>
                <w:szCs w:val="21"/>
                <w:highlight w:val="none"/>
              </w:rPr>
            </w:pPr>
            <w:r>
              <w:rPr>
                <w:rFonts w:hint="eastAsia" w:ascii="宋体" w:hAnsi="宋体" w:cs="宋体"/>
                <w:b/>
                <w:bCs/>
                <w:color w:val="auto"/>
                <w:szCs w:val="21"/>
                <w:highlight w:val="none"/>
              </w:rPr>
              <w:t>龙州县</w:t>
            </w:r>
          </w:p>
        </w:tc>
        <w:tc>
          <w:tcPr>
            <w:tcW w:w="3515" w:type="dxa"/>
            <w:tcBorders>
              <w:top w:val="single" w:color="000000" w:sz="4" w:space="0"/>
              <w:left w:val="single" w:color="000000" w:sz="4" w:space="0"/>
              <w:bottom w:val="single" w:color="000000" w:sz="4" w:space="0"/>
              <w:right w:val="single" w:color="000000" w:sz="4" w:space="0"/>
            </w:tcBorders>
            <w:vAlign w:val="center"/>
          </w:tcPr>
          <w:p w14:paraId="74EA86FB">
            <w:pPr>
              <w:widowControl/>
              <w:jc w:val="left"/>
              <w:textAlignment w:val="center"/>
              <w:rPr>
                <w:rFonts w:hint="eastAsia" w:ascii="宋体" w:hAnsi="宋体" w:cs="宋体"/>
                <w:color w:val="auto"/>
                <w:szCs w:val="21"/>
                <w:highlight w:val="none"/>
              </w:rPr>
            </w:pPr>
          </w:p>
        </w:tc>
        <w:tc>
          <w:tcPr>
            <w:tcW w:w="2125" w:type="dxa"/>
            <w:tcBorders>
              <w:top w:val="single" w:color="000000" w:sz="4" w:space="0"/>
              <w:left w:val="single" w:color="000000" w:sz="4" w:space="0"/>
              <w:bottom w:val="single" w:color="000000" w:sz="4" w:space="0"/>
              <w:right w:val="single" w:color="000000" w:sz="4" w:space="0"/>
            </w:tcBorders>
            <w:vAlign w:val="center"/>
          </w:tcPr>
          <w:p w14:paraId="5A0A7B6A">
            <w:pPr>
              <w:widowControl/>
              <w:jc w:val="center"/>
              <w:textAlignment w:val="center"/>
              <w:rPr>
                <w:rFonts w:hint="eastAsia" w:ascii="宋体" w:hAnsi="宋体" w:cs="宋体"/>
                <w:color w:val="auto"/>
                <w:szCs w:val="21"/>
                <w:highlight w:val="none"/>
              </w:rPr>
            </w:pPr>
          </w:p>
        </w:tc>
      </w:tr>
      <w:tr w14:paraId="0E1037C7">
        <w:tblPrEx>
          <w:tblCellMar>
            <w:top w:w="0" w:type="dxa"/>
            <w:left w:w="108" w:type="dxa"/>
            <w:bottom w:w="0" w:type="dxa"/>
            <w:right w:w="108" w:type="dxa"/>
          </w:tblCellMar>
        </w:tblPrEx>
        <w:trPr>
          <w:trHeight w:val="428"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65D059BE">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工商银行龙州县支行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0D68BA83">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龙州县龙江街60号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7686A912">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0771-8868619</w:t>
            </w:r>
          </w:p>
        </w:tc>
      </w:tr>
      <w:tr w14:paraId="31F44DBE">
        <w:tblPrEx>
          <w:tblCellMar>
            <w:top w:w="0" w:type="dxa"/>
            <w:left w:w="108" w:type="dxa"/>
            <w:bottom w:w="0" w:type="dxa"/>
            <w:right w:w="108" w:type="dxa"/>
          </w:tblCellMar>
        </w:tblPrEx>
        <w:trPr>
          <w:trHeight w:val="544"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62FB31DB">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农业银行龙州县支行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7EA35991">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龙州县龙州镇康平街26号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3836F2E6">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0771-8812504</w:t>
            </w:r>
          </w:p>
        </w:tc>
      </w:tr>
      <w:tr w14:paraId="12F17AE3">
        <w:tblPrEx>
          <w:tblCellMar>
            <w:top w:w="0" w:type="dxa"/>
            <w:left w:w="108" w:type="dxa"/>
            <w:bottom w:w="0" w:type="dxa"/>
            <w:right w:w="108" w:type="dxa"/>
          </w:tblCellMar>
        </w:tblPrEx>
        <w:trPr>
          <w:trHeight w:val="33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55166C4A">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建行龙州支行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7BB7C9DB">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龙州县龙夏路2号龙州商业广场D栋1号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69BED3B6">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0771-8820525</w:t>
            </w:r>
          </w:p>
        </w:tc>
      </w:tr>
      <w:tr w14:paraId="26F67379">
        <w:tblPrEx>
          <w:tblCellMar>
            <w:top w:w="0" w:type="dxa"/>
            <w:left w:w="108" w:type="dxa"/>
            <w:bottom w:w="0" w:type="dxa"/>
            <w:right w:w="108" w:type="dxa"/>
          </w:tblCellMar>
        </w:tblPrEx>
        <w:trPr>
          <w:trHeight w:val="410"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6B0EADB7">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龙州农商行公司机构金融部</w:t>
            </w:r>
          </w:p>
        </w:tc>
        <w:tc>
          <w:tcPr>
            <w:tcW w:w="3515" w:type="dxa"/>
            <w:tcBorders>
              <w:top w:val="single" w:color="000000" w:sz="4" w:space="0"/>
              <w:left w:val="single" w:color="000000" w:sz="4" w:space="0"/>
              <w:bottom w:val="single" w:color="000000" w:sz="4" w:space="0"/>
              <w:right w:val="single" w:color="000000" w:sz="4" w:space="0"/>
            </w:tcBorders>
            <w:vAlign w:val="center"/>
          </w:tcPr>
          <w:p w14:paraId="0665AB28">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龙州县龙州镇独山路172号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204E56A0">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0771-8813013</w:t>
            </w:r>
          </w:p>
        </w:tc>
      </w:tr>
      <w:tr w14:paraId="0D43DB90">
        <w:tblPrEx>
          <w:tblCellMar>
            <w:top w:w="0" w:type="dxa"/>
            <w:left w:w="108" w:type="dxa"/>
            <w:bottom w:w="0" w:type="dxa"/>
            <w:right w:w="108" w:type="dxa"/>
          </w:tblCellMar>
        </w:tblPrEx>
        <w:trPr>
          <w:trHeight w:val="33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029CAEDA">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桂林银行崇左龙州支行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2D5F07AC">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龙州县龙州镇同顾大道1号同顾·中央公园20栋10号—13号房</w:t>
            </w:r>
          </w:p>
        </w:tc>
        <w:tc>
          <w:tcPr>
            <w:tcW w:w="2125" w:type="dxa"/>
            <w:tcBorders>
              <w:top w:val="single" w:color="000000" w:sz="4" w:space="0"/>
              <w:left w:val="single" w:color="000000" w:sz="4" w:space="0"/>
              <w:bottom w:val="single" w:color="000000" w:sz="4" w:space="0"/>
              <w:right w:val="single" w:color="000000" w:sz="4" w:space="0"/>
            </w:tcBorders>
            <w:vAlign w:val="center"/>
          </w:tcPr>
          <w:p w14:paraId="3E858843">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0771-8871021</w:t>
            </w:r>
          </w:p>
        </w:tc>
      </w:tr>
      <w:tr w14:paraId="5EE16C1B">
        <w:tblPrEx>
          <w:tblCellMar>
            <w:top w:w="0" w:type="dxa"/>
            <w:left w:w="108" w:type="dxa"/>
            <w:bottom w:w="0" w:type="dxa"/>
            <w:right w:w="108" w:type="dxa"/>
          </w:tblCellMar>
        </w:tblPrEx>
        <w:trPr>
          <w:trHeight w:val="33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7BC68732">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广西北部湾银行龙州支行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506E8E46">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崇左市龙州县龙州镇龙夏路1号、3号、5号（南湖商务酒店）一楼铺面</w:t>
            </w:r>
          </w:p>
        </w:tc>
        <w:tc>
          <w:tcPr>
            <w:tcW w:w="2125" w:type="dxa"/>
            <w:tcBorders>
              <w:top w:val="single" w:color="000000" w:sz="4" w:space="0"/>
              <w:left w:val="single" w:color="000000" w:sz="4" w:space="0"/>
              <w:bottom w:val="single" w:color="000000" w:sz="4" w:space="0"/>
              <w:right w:val="single" w:color="000000" w:sz="4" w:space="0"/>
            </w:tcBorders>
            <w:vAlign w:val="center"/>
          </w:tcPr>
          <w:p w14:paraId="4C87896C">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0771-8811533</w:t>
            </w:r>
          </w:p>
        </w:tc>
      </w:tr>
      <w:tr w14:paraId="6B8E00C1">
        <w:tblPrEx>
          <w:tblCellMar>
            <w:top w:w="0" w:type="dxa"/>
            <w:left w:w="108" w:type="dxa"/>
            <w:bottom w:w="0" w:type="dxa"/>
            <w:right w:w="108" w:type="dxa"/>
          </w:tblCellMar>
        </w:tblPrEx>
        <w:trPr>
          <w:trHeight w:val="48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3DFC06A8">
            <w:pPr>
              <w:widowControl/>
              <w:textAlignment w:val="center"/>
              <w:rPr>
                <w:rFonts w:hint="eastAsia" w:ascii="宋体" w:hAnsi="宋体" w:cs="宋体"/>
                <w:color w:val="auto"/>
                <w:szCs w:val="21"/>
                <w:highlight w:val="none"/>
              </w:rPr>
            </w:pPr>
            <w:r>
              <w:rPr>
                <w:rFonts w:hint="eastAsia" w:ascii="宋体" w:hAnsi="宋体" w:cs="宋体"/>
                <w:b/>
                <w:bCs/>
                <w:color w:val="auto"/>
                <w:szCs w:val="21"/>
                <w:highlight w:val="none"/>
              </w:rPr>
              <w:t>天等县</w:t>
            </w:r>
          </w:p>
        </w:tc>
        <w:tc>
          <w:tcPr>
            <w:tcW w:w="3515" w:type="dxa"/>
            <w:tcBorders>
              <w:top w:val="single" w:color="000000" w:sz="4" w:space="0"/>
              <w:left w:val="single" w:color="000000" w:sz="4" w:space="0"/>
              <w:bottom w:val="single" w:color="000000" w:sz="4" w:space="0"/>
              <w:right w:val="single" w:color="000000" w:sz="4" w:space="0"/>
            </w:tcBorders>
            <w:vAlign w:val="center"/>
          </w:tcPr>
          <w:p w14:paraId="696D5208">
            <w:pPr>
              <w:widowControl/>
              <w:jc w:val="left"/>
              <w:textAlignment w:val="center"/>
              <w:rPr>
                <w:rFonts w:hint="eastAsia" w:ascii="宋体" w:hAnsi="宋体" w:cs="宋体"/>
                <w:color w:val="auto"/>
                <w:szCs w:val="21"/>
                <w:highlight w:val="none"/>
              </w:rPr>
            </w:pPr>
          </w:p>
        </w:tc>
        <w:tc>
          <w:tcPr>
            <w:tcW w:w="2125" w:type="dxa"/>
            <w:tcBorders>
              <w:top w:val="single" w:color="000000" w:sz="4" w:space="0"/>
              <w:left w:val="single" w:color="000000" w:sz="4" w:space="0"/>
              <w:bottom w:val="single" w:color="000000" w:sz="4" w:space="0"/>
              <w:right w:val="single" w:color="000000" w:sz="4" w:space="0"/>
            </w:tcBorders>
            <w:vAlign w:val="center"/>
          </w:tcPr>
          <w:p w14:paraId="0496367D">
            <w:pPr>
              <w:widowControl/>
              <w:jc w:val="center"/>
              <w:textAlignment w:val="center"/>
              <w:rPr>
                <w:rFonts w:hint="eastAsia" w:ascii="宋体" w:hAnsi="宋体" w:cs="宋体"/>
                <w:color w:val="auto"/>
                <w:szCs w:val="21"/>
                <w:highlight w:val="none"/>
              </w:rPr>
            </w:pPr>
          </w:p>
        </w:tc>
      </w:tr>
      <w:tr w14:paraId="79546E92">
        <w:tblPrEx>
          <w:tblCellMar>
            <w:top w:w="0" w:type="dxa"/>
            <w:left w:w="108" w:type="dxa"/>
            <w:bottom w:w="0" w:type="dxa"/>
            <w:right w:w="108" w:type="dxa"/>
          </w:tblCellMar>
        </w:tblPrEx>
        <w:trPr>
          <w:trHeight w:val="27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27516A3B">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工商银行天等县支行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25CBF9CE">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天等县天等镇朝阳东路054号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5184E42E">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0771-3532211</w:t>
            </w:r>
          </w:p>
        </w:tc>
      </w:tr>
      <w:tr w14:paraId="7C5DF4FF">
        <w:tblPrEx>
          <w:tblCellMar>
            <w:top w:w="0" w:type="dxa"/>
            <w:left w:w="108" w:type="dxa"/>
            <w:bottom w:w="0" w:type="dxa"/>
            <w:right w:w="108" w:type="dxa"/>
          </w:tblCellMar>
        </w:tblPrEx>
        <w:trPr>
          <w:trHeight w:val="39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18FEDC16">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农业银行天等县支行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0DCBB14E">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 xml:space="preserve"> 天等县天等镇天宝北路007号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619C26B5">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0771-7917046</w:t>
            </w:r>
          </w:p>
        </w:tc>
      </w:tr>
      <w:tr w14:paraId="06DEB02F">
        <w:tblPrEx>
          <w:tblCellMar>
            <w:top w:w="0" w:type="dxa"/>
            <w:left w:w="108" w:type="dxa"/>
            <w:bottom w:w="0" w:type="dxa"/>
            <w:right w:w="108" w:type="dxa"/>
          </w:tblCellMar>
        </w:tblPrEx>
        <w:trPr>
          <w:trHeight w:val="39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39B70672">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天等农商行公司机构金融部</w:t>
            </w:r>
          </w:p>
        </w:tc>
        <w:tc>
          <w:tcPr>
            <w:tcW w:w="3515" w:type="dxa"/>
            <w:tcBorders>
              <w:top w:val="single" w:color="000000" w:sz="4" w:space="0"/>
              <w:left w:val="single" w:color="000000" w:sz="4" w:space="0"/>
              <w:bottom w:val="single" w:color="000000" w:sz="4" w:space="0"/>
              <w:right w:val="single" w:color="000000" w:sz="4" w:space="0"/>
            </w:tcBorders>
            <w:vAlign w:val="center"/>
          </w:tcPr>
          <w:p w14:paraId="61B2C20D">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天等县天等镇仕民路48号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7E503C79">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0771-3521361</w:t>
            </w:r>
          </w:p>
        </w:tc>
      </w:tr>
      <w:tr w14:paraId="2CEAF284">
        <w:tblPrEx>
          <w:tblCellMar>
            <w:top w:w="0" w:type="dxa"/>
            <w:left w:w="108" w:type="dxa"/>
            <w:bottom w:w="0" w:type="dxa"/>
            <w:right w:w="108" w:type="dxa"/>
          </w:tblCellMar>
        </w:tblPrEx>
        <w:trPr>
          <w:trHeight w:val="39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41545F36">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桂林银行崇左天等支行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02A058FF">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广西崇左市天等县天等镇天宝北路天府中央城5号楼115号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5B4168DD">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0771-3522157</w:t>
            </w:r>
          </w:p>
        </w:tc>
      </w:tr>
      <w:tr w14:paraId="5FCA0F24">
        <w:tblPrEx>
          <w:tblCellMar>
            <w:top w:w="0" w:type="dxa"/>
            <w:left w:w="108" w:type="dxa"/>
            <w:bottom w:w="0" w:type="dxa"/>
            <w:right w:w="108" w:type="dxa"/>
          </w:tblCellMar>
        </w:tblPrEx>
        <w:trPr>
          <w:trHeight w:val="39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0600C5C8">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广西北部湾银行天等支行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492EBD55">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崇左市天等县天宝南路002号天富商业广场28栋一层商铺6-17号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2A7A2F67">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0771-3528688</w:t>
            </w:r>
          </w:p>
        </w:tc>
      </w:tr>
      <w:tr w14:paraId="2EC629AB">
        <w:tblPrEx>
          <w:tblCellMar>
            <w:top w:w="0" w:type="dxa"/>
            <w:left w:w="108" w:type="dxa"/>
            <w:bottom w:w="0" w:type="dxa"/>
            <w:right w:w="108" w:type="dxa"/>
          </w:tblCellMar>
        </w:tblPrEx>
        <w:trPr>
          <w:trHeight w:val="335" w:hRule="atLeast"/>
        </w:trPr>
        <w:tc>
          <w:tcPr>
            <w:tcW w:w="8314" w:type="dxa"/>
            <w:gridSpan w:val="3"/>
            <w:tcBorders>
              <w:top w:val="single" w:color="000000" w:sz="4" w:space="0"/>
              <w:left w:val="single" w:color="000000" w:sz="4" w:space="0"/>
              <w:bottom w:val="single" w:color="000000" w:sz="4" w:space="0"/>
              <w:right w:val="single" w:color="000000" w:sz="4" w:space="0"/>
            </w:tcBorders>
            <w:noWrap/>
            <w:vAlign w:val="center"/>
          </w:tcPr>
          <w:p w14:paraId="0B2B7353">
            <w:pPr>
              <w:widowControl/>
              <w:jc w:val="left"/>
              <w:textAlignment w:val="center"/>
              <w:rPr>
                <w:rFonts w:hint="eastAsia" w:ascii="宋体" w:hAnsi="宋体" w:cs="宋体"/>
                <w:color w:val="auto"/>
                <w:szCs w:val="21"/>
                <w:highlight w:val="none"/>
              </w:rPr>
            </w:pPr>
            <w:r>
              <w:rPr>
                <w:rFonts w:hint="eastAsia" w:ascii="宋体" w:hAnsi="宋体" w:cs="宋体"/>
                <w:b/>
                <w:bCs/>
                <w:color w:val="auto"/>
                <w:szCs w:val="21"/>
                <w:highlight w:val="none"/>
              </w:rPr>
              <w:t>凭祥市</w:t>
            </w:r>
          </w:p>
        </w:tc>
      </w:tr>
      <w:tr w14:paraId="5B058D67">
        <w:tblPrEx>
          <w:tblCellMar>
            <w:top w:w="0" w:type="dxa"/>
            <w:left w:w="108" w:type="dxa"/>
            <w:bottom w:w="0" w:type="dxa"/>
            <w:right w:w="108" w:type="dxa"/>
          </w:tblCellMar>
        </w:tblPrEx>
        <w:trPr>
          <w:trHeight w:val="440"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5E0A1737">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工商银行凭祥分行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4F05BFED">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凭祥市新华路5号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7C8D9DA9">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0771-8529259</w:t>
            </w:r>
          </w:p>
        </w:tc>
      </w:tr>
      <w:tr w14:paraId="7D1E8D29">
        <w:tblPrEx>
          <w:tblCellMar>
            <w:top w:w="0" w:type="dxa"/>
            <w:left w:w="108" w:type="dxa"/>
            <w:bottom w:w="0" w:type="dxa"/>
            <w:right w:w="108" w:type="dxa"/>
          </w:tblCellMar>
        </w:tblPrEx>
        <w:trPr>
          <w:trHeight w:val="21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504CB574">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农业银行凭祥支行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6DC66B50">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凭祥市北大路216号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0C9F180E">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0771-7917258</w:t>
            </w:r>
          </w:p>
        </w:tc>
      </w:tr>
      <w:tr w14:paraId="31938A27">
        <w:tblPrEx>
          <w:tblCellMar>
            <w:top w:w="0" w:type="dxa"/>
            <w:left w:w="108" w:type="dxa"/>
            <w:bottom w:w="0" w:type="dxa"/>
            <w:right w:w="108" w:type="dxa"/>
          </w:tblCellMar>
        </w:tblPrEx>
        <w:trPr>
          <w:trHeight w:val="21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0973AC3F">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建行凭祥支行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2E1338CC">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凭祥市屏山路138号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33C3FEB9">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0771-8525068 0771-8536852</w:t>
            </w:r>
          </w:p>
        </w:tc>
      </w:tr>
      <w:tr w14:paraId="17C2436F">
        <w:tblPrEx>
          <w:tblCellMar>
            <w:top w:w="0" w:type="dxa"/>
            <w:left w:w="108" w:type="dxa"/>
            <w:bottom w:w="0" w:type="dxa"/>
            <w:right w:w="108" w:type="dxa"/>
          </w:tblCellMar>
        </w:tblPrEx>
        <w:trPr>
          <w:trHeight w:val="21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70D8778A">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建行凭祥中区支行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1B4FFE0F">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凭祥市金象大道香格里拉3幢3-01至3-03号商铺</w:t>
            </w:r>
          </w:p>
        </w:tc>
        <w:tc>
          <w:tcPr>
            <w:tcW w:w="2125" w:type="dxa"/>
            <w:tcBorders>
              <w:top w:val="single" w:color="000000" w:sz="4" w:space="0"/>
              <w:left w:val="single" w:color="000000" w:sz="4" w:space="0"/>
              <w:bottom w:val="single" w:color="000000" w:sz="4" w:space="0"/>
              <w:right w:val="single" w:color="000000" w:sz="4" w:space="0"/>
            </w:tcBorders>
            <w:vAlign w:val="center"/>
          </w:tcPr>
          <w:p w14:paraId="62A39632">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0771-8551161</w:t>
            </w:r>
          </w:p>
        </w:tc>
      </w:tr>
      <w:tr w14:paraId="61458DDE">
        <w:tblPrEx>
          <w:tblCellMar>
            <w:top w:w="0" w:type="dxa"/>
            <w:left w:w="108" w:type="dxa"/>
            <w:bottom w:w="0" w:type="dxa"/>
            <w:right w:w="108" w:type="dxa"/>
          </w:tblCellMar>
        </w:tblPrEx>
        <w:trPr>
          <w:trHeight w:val="21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02400FF3">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建行凭祥浦寨支行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54B54C4E">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凭祥市浦寨商业城万泰一楼8-9号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0A224261">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0771-8561665</w:t>
            </w:r>
          </w:p>
        </w:tc>
      </w:tr>
      <w:tr w14:paraId="04BADAEA">
        <w:tblPrEx>
          <w:tblCellMar>
            <w:top w:w="0" w:type="dxa"/>
            <w:left w:w="108" w:type="dxa"/>
            <w:bottom w:w="0" w:type="dxa"/>
            <w:right w:w="108" w:type="dxa"/>
          </w:tblCellMar>
        </w:tblPrEx>
        <w:trPr>
          <w:trHeight w:val="21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71299B18">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中国银行凭祥支行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5310B39A">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凭祥市-北环路112号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7E1ACAF9">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0771-8520356</w:t>
            </w:r>
          </w:p>
        </w:tc>
      </w:tr>
      <w:tr w14:paraId="60A534EF">
        <w:tblPrEx>
          <w:tblCellMar>
            <w:top w:w="0" w:type="dxa"/>
            <w:left w:w="108" w:type="dxa"/>
            <w:bottom w:w="0" w:type="dxa"/>
            <w:right w:w="108" w:type="dxa"/>
          </w:tblCellMar>
        </w:tblPrEx>
        <w:trPr>
          <w:trHeight w:val="21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43F88AF5">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凭祥农商行业务拓展部</w:t>
            </w:r>
          </w:p>
        </w:tc>
        <w:tc>
          <w:tcPr>
            <w:tcW w:w="3515" w:type="dxa"/>
            <w:tcBorders>
              <w:top w:val="single" w:color="000000" w:sz="4" w:space="0"/>
              <w:left w:val="single" w:color="000000" w:sz="4" w:space="0"/>
              <w:bottom w:val="single" w:color="000000" w:sz="4" w:space="0"/>
              <w:right w:val="single" w:color="000000" w:sz="4" w:space="0"/>
            </w:tcBorders>
            <w:vAlign w:val="center"/>
          </w:tcPr>
          <w:p w14:paraId="2C6207D2">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凭祥市友谊关大道13号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0FB3279D">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0771-8535667</w:t>
            </w:r>
          </w:p>
        </w:tc>
      </w:tr>
      <w:tr w14:paraId="0520D896">
        <w:tblPrEx>
          <w:tblCellMar>
            <w:top w:w="0" w:type="dxa"/>
            <w:left w:w="108" w:type="dxa"/>
            <w:bottom w:w="0" w:type="dxa"/>
            <w:right w:w="108" w:type="dxa"/>
          </w:tblCellMar>
        </w:tblPrEx>
        <w:trPr>
          <w:trHeight w:val="21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25B4EBDC">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桂林银行广西自贸试验区崇左片区凭祥支行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07B0F15C">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凭祥市北大路一支40号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581AC3C6">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0771-8520550</w:t>
            </w:r>
          </w:p>
        </w:tc>
      </w:tr>
      <w:tr w14:paraId="56A60866">
        <w:tblPrEx>
          <w:tblCellMar>
            <w:top w:w="0" w:type="dxa"/>
            <w:left w:w="108" w:type="dxa"/>
            <w:bottom w:w="0" w:type="dxa"/>
            <w:right w:w="108" w:type="dxa"/>
          </w:tblCellMar>
        </w:tblPrEx>
        <w:trPr>
          <w:trHeight w:val="21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1959BB14">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广西北部湾银行广西自贸试验区崇左片区凭祥支行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33FBAC76">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凭祥市北大路一支60-1号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02906EAD">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0771-8556667</w:t>
            </w:r>
          </w:p>
        </w:tc>
      </w:tr>
    </w:tbl>
    <w:p w14:paraId="22BB540C">
      <w:pPr>
        <w:rPr>
          <w:color w:val="auto"/>
          <w:highlight w:val="none"/>
        </w:rPr>
      </w:pPr>
    </w:p>
    <w:p w14:paraId="1A6715C0">
      <w:pPr>
        <w:rPr>
          <w:rFonts w:hint="eastAsia" w:ascii="宋体" w:hAnsi="宋体" w:cs="宋体"/>
          <w:color w:val="auto"/>
          <w:szCs w:val="21"/>
          <w:highlight w:val="none"/>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7F"/>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Cambria">
    <w:panose1 w:val="02040503050406030204"/>
    <w:charset w:val="00"/>
    <w:family w:val="roman"/>
    <w:pitch w:val="default"/>
    <w:sig w:usb0="E00002FF" w:usb1="400004FF" w:usb2="00000000" w:usb3="00000000" w:csb0="2000019F" w:csb1="00000000"/>
  </w:font>
  <w:font w:name="_x000B__x000C_">
    <w:altName w:val="Times New Roman"/>
    <w:panose1 w:val="00000000000000000000"/>
    <w:charset w:val="00"/>
    <w:family w:val="roman"/>
    <w:pitch w:val="default"/>
    <w:sig w:usb0="00000000" w:usb1="00000000" w:usb2="00000000" w:usb3="00000000" w:csb0="00040001" w:csb1="00000000"/>
  </w:font>
  <w:font w:name="Verdana">
    <w:panose1 w:val="020B0604030504040204"/>
    <w:charset w:val="00"/>
    <w:family w:val="swiss"/>
    <w:pitch w:val="default"/>
    <w:sig w:usb0="A10006FF" w:usb1="4000205B" w:usb2="00000010" w:usb3="00000000" w:csb0="2000019F" w:csb1="00000000"/>
  </w:font>
  <w:font w:name="Tahoma">
    <w:panose1 w:val="020B0604030504040204"/>
    <w:charset w:val="00"/>
    <w:family w:val="swiss"/>
    <w:pitch w:val="default"/>
    <w:sig w:usb0="E1002EFF" w:usb1="C000605B" w:usb2="00000029" w:usb3="00000000" w:csb0="200101FF" w:csb1="2028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auto"/>
    <w:pitch w:val="default"/>
    <w:sig w:usb0="80000287" w:usb1="280F3C52" w:usb2="00000016" w:usb3="00000000" w:csb0="0004001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方正小标宋_GBK">
    <w:altName w:val="微软雅黑"/>
    <w:panose1 w:val="00000000000000000000"/>
    <w:charset w:val="86"/>
    <w:family w:val="script"/>
    <w:pitch w:val="default"/>
    <w:sig w:usb0="00000000" w:usb1="00000000" w:usb2="00000000" w:usb3="00000000" w:csb0="00040000" w:csb1="00000000"/>
  </w:font>
  <w:font w:name="华文仿宋">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4C5B2C">
    <w:pPr>
      <w:pStyle w:val="33"/>
      <w:framePr w:wrap="around" w:vAnchor="text" w:hAnchor="margin" w:xAlign="center" w:y="1"/>
      <w:rPr>
        <w:rStyle w:val="59"/>
      </w:rPr>
    </w:pPr>
    <w:r>
      <w:fldChar w:fldCharType="begin"/>
    </w:r>
    <w:r>
      <w:rPr>
        <w:rStyle w:val="59"/>
      </w:rPr>
      <w:instrText xml:space="preserve">PAGE  </w:instrText>
    </w:r>
    <w:r>
      <w:fldChar w:fldCharType="separate"/>
    </w:r>
    <w:r>
      <w:rPr>
        <w:rStyle w:val="59"/>
      </w:rPr>
      <w:t>5</w:t>
    </w:r>
    <w:r>
      <w:fldChar w:fldCharType="end"/>
    </w:r>
  </w:p>
  <w:p w14:paraId="5070BEE7">
    <w:pPr>
      <w:pStyle w:val="33"/>
      <w:jc w:val="righ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39425E">
    <w:pPr>
      <w:pStyle w:val="33"/>
      <w:framePr w:wrap="around" w:vAnchor="text" w:hAnchor="margin" w:xAlign="center" w:y="1"/>
      <w:rPr>
        <w:rStyle w:val="59"/>
      </w:rPr>
    </w:pPr>
    <w:r>
      <w:fldChar w:fldCharType="begin"/>
    </w:r>
    <w:r>
      <w:rPr>
        <w:rStyle w:val="59"/>
      </w:rPr>
      <w:instrText xml:space="preserve">PAGE  </w:instrText>
    </w:r>
    <w:r>
      <w:fldChar w:fldCharType="separate"/>
    </w:r>
    <w:r>
      <w:fldChar w:fldCharType="end"/>
    </w:r>
  </w:p>
  <w:p w14:paraId="4112A420">
    <w:pPr>
      <w:pStyle w:val="3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8411A2">
    <w:pPr>
      <w:pStyle w:val="33"/>
      <w:ind w:right="360"/>
      <w:jc w:val="both"/>
      <w:rPr>
        <w:rFonts w:hint="eastAsia"/>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821BB5">
    <w:pPr>
      <w:pStyle w:val="33"/>
      <w:jc w:val="center"/>
      <w:rPr>
        <w:rFonts w:hint="eastAsia"/>
      </w:rPr>
    </w:pPr>
    <w:r>
      <w:fldChar w:fldCharType="begin"/>
    </w:r>
    <w:r>
      <w:instrText xml:space="preserve">PAGE   \* MERGEFORMAT</w:instrText>
    </w:r>
    <w:r>
      <w:fldChar w:fldCharType="separate"/>
    </w:r>
    <w:r>
      <w:rPr>
        <w:lang w:val="zh-CN"/>
      </w:rPr>
      <w:t>4</w:t>
    </w:r>
    <w: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ED050F">
    <w:pPr>
      <w:pStyle w:val="33"/>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4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736A160B">
                          <w:pPr>
                            <w:pStyle w:val="33"/>
                          </w:pPr>
                          <w:r>
                            <w:fldChar w:fldCharType="begin"/>
                          </w:r>
                          <w:r>
                            <w:instrText xml:space="preserve"> PAGE  \* MERGEFORMAT </w:instrText>
                          </w:r>
                          <w:r>
                            <w:fldChar w:fldCharType="separate"/>
                          </w:r>
                          <w:r>
                            <w:t>4</w:t>
                          </w:r>
                          <w:r>
                            <w:fldChar w:fldCharType="end"/>
                          </w:r>
                        </w:p>
                      </w:txbxContent>
                    </wps:txbx>
                    <wps:bodyPr vert="horz" wrap="none" lIns="0" tIns="0" rIns="0" bIns="0" anchor="t" anchorCtr="0" upright="0">
                      <a:spAutoFit/>
                    </wps:bodyPr>
                  </wps:wsp>
                </a:graphicData>
              </a:graphic>
            </wp:anchor>
          </w:drawing>
        </mc:Choice>
        <mc:Fallback>
          <w:pict>
            <v:shape id="文本框 1043"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GhpgkvTAAAA&#10;BQEAAA8AAAAAAAAAAQAgAAAAIgAAAGRycy9kb3ducmV2LnhtbFBLAQIUABQAAAAIAIdO4kAYSd6S&#10;6QEAAMwDAAAOAAAAAAAAAAEAIAAAACIBAABkcnMvZTJvRG9jLnhtbFBLBQYAAAAABgAGAFkBAAB9&#10;BQAAAAA=&#10;">
              <v:fill on="f" focussize="0,0"/>
              <v:stroke on="f" weight="1.25pt"/>
              <v:imagedata o:title=""/>
              <o:lock v:ext="edit" aspectratio="f"/>
              <v:textbox inset="0mm,0mm,0mm,0mm" style="mso-fit-shape-to-text:t;">
                <w:txbxContent>
                  <w:p w14:paraId="736A160B">
                    <w:pPr>
                      <w:pStyle w:val="33"/>
                    </w:pPr>
                    <w:r>
                      <w:fldChar w:fldCharType="begin"/>
                    </w:r>
                    <w:r>
                      <w:instrText xml:space="preserve"> PAGE  \* MERGEFORMAT </w:instrText>
                    </w:r>
                    <w:r>
                      <w:fldChar w:fldCharType="separate"/>
                    </w:r>
                    <w:r>
                      <w:t>4</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0D8250">
    <w:pPr>
      <w:pStyle w:val="33"/>
      <w:framePr w:wrap="around" w:vAnchor="text" w:hAnchor="margin" w:xAlign="center" w:y="1"/>
      <w:rPr>
        <w:rStyle w:val="59"/>
      </w:rPr>
    </w:pPr>
    <w:r>
      <w:fldChar w:fldCharType="begin"/>
    </w:r>
    <w:r>
      <w:rPr>
        <w:rStyle w:val="59"/>
      </w:rPr>
      <w:instrText xml:space="preserve">PAGE  </w:instrText>
    </w:r>
    <w:r>
      <w:fldChar w:fldCharType="end"/>
    </w:r>
  </w:p>
  <w:p w14:paraId="74FAAD60">
    <w:pPr>
      <w:pStyle w:val="33"/>
      <w:ind w:right="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BCEA59">
    <w:pPr>
      <w:pStyle w:val="33"/>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04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2DD4B136">
                          <w:pPr>
                            <w:pStyle w:val="33"/>
                          </w:pPr>
                          <w:r>
                            <w:fldChar w:fldCharType="begin"/>
                          </w:r>
                          <w:r>
                            <w:instrText xml:space="preserve"> PAGE  \* MERGEFORMAT </w:instrText>
                          </w:r>
                          <w:r>
                            <w:fldChar w:fldCharType="separate"/>
                          </w:r>
                          <w:r>
                            <w:t>3</w:t>
                          </w:r>
                          <w:r>
                            <w:fldChar w:fldCharType="end"/>
                          </w:r>
                        </w:p>
                      </w:txbxContent>
                    </wps:txbx>
                    <wps:bodyPr vert="horz" wrap="none" lIns="0" tIns="0" rIns="0" bIns="0" anchor="t" anchorCtr="0" upright="0">
                      <a:spAutoFit/>
                    </wps:bodyPr>
                  </wps:wsp>
                </a:graphicData>
              </a:graphic>
            </wp:anchor>
          </w:drawing>
        </mc:Choice>
        <mc:Fallback>
          <w:pict>
            <v:shape id="文本框 1044"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GhpgkvTAAAA&#10;BQEAAA8AAAAAAAAAAQAgAAAAIgAAAGRycy9kb3ducmV2LnhtbFBLAQIUABQAAAAIAIdO4kD463mj&#10;6QEAAMwDAAAOAAAAAAAAAAEAIAAAACIBAABkcnMvZTJvRG9jLnhtbFBLBQYAAAAABgAGAFkBAAB9&#10;BQAAAAA=&#10;">
              <v:fill on="f" focussize="0,0"/>
              <v:stroke on="f" weight="1.25pt"/>
              <v:imagedata o:title=""/>
              <o:lock v:ext="edit" aspectratio="f"/>
              <v:textbox inset="0mm,0mm,0mm,0mm" style="mso-fit-shape-to-text:t;">
                <w:txbxContent>
                  <w:p w14:paraId="2DD4B136">
                    <w:pPr>
                      <w:pStyle w:val="33"/>
                    </w:pPr>
                    <w:r>
                      <w:fldChar w:fldCharType="begin"/>
                    </w:r>
                    <w:r>
                      <w:instrText xml:space="preserve"> PAGE  \* MERGEFORMAT </w:instrText>
                    </w:r>
                    <w:r>
                      <w:fldChar w:fldCharType="separate"/>
                    </w:r>
                    <w:r>
                      <w:t>3</w:t>
                    </w:r>
                    <w: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842A2D">
    <w:pPr>
      <w:pStyle w:val="20"/>
      <w:spacing w:line="14" w:lineRule="auto"/>
      <w:rPr>
        <w:sz w:val="20"/>
      </w:rPr>
    </w:pPr>
    <w:r>
      <w:rPr>
        <w:sz w:val="20"/>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6FFB44E">
                          <w:pPr>
                            <w:pStyle w:val="33"/>
                          </w:pPr>
                          <w:r>
                            <w:fldChar w:fldCharType="begin"/>
                          </w:r>
                          <w:r>
                            <w:instrText xml:space="preserve"> PAGE  \* MERGEFORMAT </w:instrText>
                          </w:r>
                          <w:r>
                            <w:fldChar w:fldCharType="separate"/>
                          </w:r>
                          <w:r>
                            <w:t>96</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DSS+knIAQAAmQMAAA4AAAAAAAAAAQAgAAAAHgEAAGRycy9lMm9Eb2Mu&#10;eG1sUEsFBgAAAAAGAAYAWQEAAFgFAAAAAA==&#10;">
              <v:fill on="f" focussize="0,0"/>
              <v:stroke on="f"/>
              <v:imagedata o:title=""/>
              <o:lock v:ext="edit" aspectratio="f"/>
              <v:textbox inset="0mm,0mm,0mm,0mm" style="mso-fit-shape-to-text:t;">
                <w:txbxContent>
                  <w:p w14:paraId="56FFB44E">
                    <w:pPr>
                      <w:pStyle w:val="33"/>
                    </w:pPr>
                    <w:r>
                      <w:fldChar w:fldCharType="begin"/>
                    </w:r>
                    <w:r>
                      <w:instrText xml:space="preserve"> PAGE  \* MERGEFORMAT </w:instrText>
                    </w:r>
                    <w:r>
                      <w:fldChar w:fldCharType="separate"/>
                    </w:r>
                    <w:r>
                      <w:t>96</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12E9C2">
    <w:pPr>
      <w:pStyle w:val="34"/>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4DF499">
    <w:pPr>
      <w:pStyle w:val="34"/>
      <w:jc w:val="left"/>
    </w:pPr>
    <w:r>
      <w:rPr>
        <w:rFonts w:hint="eastAsia"/>
      </w:rPr>
      <w:t xml:space="preserve">广西机电设备招标有限公司采购文件                                                               </w:t>
    </w:r>
  </w:p>
  <w:p w14:paraId="10CE951B">
    <w:pPr>
      <w:pStyle w:val="34"/>
      <w:pBdr>
        <w:bottom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281FAD">
    <w:pPr>
      <w:pStyle w:val="34"/>
      <w:pBdr>
        <w:bottom w:val="single" w:color="auto" w:sz="6" w:space="0"/>
      </w:pBdr>
      <w:jc w:val="left"/>
    </w:pPr>
    <w:r>
      <w:rPr>
        <w:rFonts w:hint="eastAsia"/>
      </w:rPr>
      <w:t xml:space="preserve">广西机电设备招标有限公司采购文件                                                         </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4D6E41">
    <w:pPr>
      <w:pStyle w:val="34"/>
      <w:pBdr>
        <w:bottom w:val="none" w:color="auto" w:sz="0" w:space="0"/>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6C1B59">
    <w:pPr>
      <w:pStyle w:val="34"/>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9394D6">
    <w:pPr>
      <w:pStyle w:val="34"/>
      <w:pBdr>
        <w:bottom w:val="none" w:color="auto" w:sz="0" w:space="1"/>
      </w:pBdr>
      <w:jc w:val="both"/>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943598">
    <w:pPr>
      <w:rPr>
        <w:sz w:val="18"/>
        <w:szCs w:val="18"/>
        <w:u w:val="single"/>
      </w:rPr>
    </w:pPr>
    <w:r>
      <w:rPr>
        <w:rFonts w:hint="eastAsia"/>
        <w:sz w:val="18"/>
        <w:szCs w:val="18"/>
        <w:u w:val="single"/>
      </w:rPr>
      <w:t xml:space="preserve">广西机电设备招标有限公司采购文件                      </w:t>
    </w:r>
    <w:r>
      <w:rPr>
        <w:sz w:val="18"/>
        <w:szCs w:val="18"/>
        <w:u w:val="single"/>
      </w:rPr>
      <w:t xml:space="preserve">             </w:t>
    </w:r>
    <w:r>
      <w:rPr>
        <w:rFonts w:hint="eastAsia"/>
        <w:sz w:val="18"/>
        <w:szCs w:val="18"/>
        <w:u w:val="single"/>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6B57D56"/>
    <w:multiLevelType w:val="multilevel"/>
    <w:tmpl w:val="D6B57D56"/>
    <w:lvl w:ilvl="0" w:tentative="0">
      <w:start w:val="1"/>
      <w:numFmt w:val="decimal"/>
      <w:suff w:val="space"/>
      <w:lvlText w:val="%1."/>
      <w:lvlJc w:val="left"/>
      <w:pPr>
        <w:ind w:left="0" w:leftChars="0" w:firstLine="0" w:firstLineChars="0"/>
      </w:pPr>
      <w:rPr>
        <w:rFonts w:hint="default"/>
      </w:rPr>
    </w:lvl>
    <w:lvl w:ilvl="1" w:tentative="0">
      <w:start w:val="1"/>
      <w:numFmt w:val="decimal"/>
      <w:suff w:val="space"/>
      <w:lvlText w:val="%1.%2."/>
      <w:lvlJc w:val="left"/>
      <w:pPr>
        <w:ind w:left="0" w:leftChars="0" w:firstLine="0" w:firstLineChars="0"/>
      </w:pPr>
      <w:rPr>
        <w:rFonts w:hint="default"/>
      </w:rPr>
    </w:lvl>
    <w:lvl w:ilvl="2" w:tentative="0">
      <w:start w:val="1"/>
      <w:numFmt w:val="decimal"/>
      <w:suff w:val="space"/>
      <w:lvlText w:val="%1.%2.%3."/>
      <w:lvlJc w:val="left"/>
      <w:pPr>
        <w:ind w:left="0" w:leftChars="0" w:firstLine="0" w:firstLineChars="0"/>
      </w:pPr>
      <w:rPr>
        <w:rFonts w:hint="default"/>
      </w:rPr>
    </w:lvl>
    <w:lvl w:ilvl="3" w:tentative="0">
      <w:start w:val="1"/>
      <w:numFmt w:val="decimal"/>
      <w:suff w:val="space"/>
      <w:lvlText w:val="%1.%2.%3.%4."/>
      <w:lvlJc w:val="left"/>
      <w:pPr>
        <w:ind w:left="0" w:leftChars="0" w:firstLine="0" w:firstLineChars="0"/>
      </w:pPr>
      <w:rPr>
        <w:rFonts w:hint="default"/>
      </w:rPr>
    </w:lvl>
    <w:lvl w:ilvl="4" w:tentative="0">
      <w:start w:val="1"/>
      <w:numFmt w:val="decimal"/>
      <w:suff w:val="space"/>
      <w:lvlText w:val="%1.%2.%3.%4.%5."/>
      <w:lvlJc w:val="left"/>
      <w:pPr>
        <w:ind w:left="0" w:leftChars="0" w:firstLine="0" w:firstLineChars="0"/>
      </w:pPr>
      <w:rPr>
        <w:rFonts w:hint="default"/>
      </w:rPr>
    </w:lvl>
    <w:lvl w:ilvl="5" w:tentative="0">
      <w:start w:val="1"/>
      <w:numFmt w:val="decimal"/>
      <w:suff w:val="space"/>
      <w:lvlText w:val="%1.%2.%3.%4.%5.%6."/>
      <w:lvlJc w:val="left"/>
      <w:pPr>
        <w:ind w:left="0" w:leftChars="0" w:firstLine="0" w:firstLineChars="0"/>
      </w:pPr>
      <w:rPr>
        <w:rFonts w:hint="default"/>
      </w:rPr>
    </w:lvl>
    <w:lvl w:ilvl="6" w:tentative="0">
      <w:start w:val="1"/>
      <w:numFmt w:val="decimal"/>
      <w:suff w:val="space"/>
      <w:lvlText w:val="%1.%2.%3.%4.%5.%6.%7."/>
      <w:lvlJc w:val="left"/>
      <w:pPr>
        <w:ind w:left="0" w:leftChars="0" w:firstLine="0" w:firstLineChars="0"/>
      </w:pPr>
      <w:rPr>
        <w:rFonts w:hint="default"/>
      </w:rPr>
    </w:lvl>
    <w:lvl w:ilvl="7" w:tentative="0">
      <w:start w:val="1"/>
      <w:numFmt w:val="decimal"/>
      <w:suff w:val="space"/>
      <w:lvlText w:val="%1.%2.%3.%4.%5.%6.%7.%8."/>
      <w:lvlJc w:val="left"/>
      <w:pPr>
        <w:ind w:left="0" w:leftChars="0" w:firstLine="0" w:firstLineChars="0"/>
      </w:pPr>
      <w:rPr>
        <w:rFonts w:hint="default"/>
      </w:rPr>
    </w:lvl>
    <w:lvl w:ilvl="8" w:tentative="0">
      <w:start w:val="1"/>
      <w:numFmt w:val="decimal"/>
      <w:suff w:val="space"/>
      <w:lvlText w:val="%1.%2.%3.%4.%5.%6.%7.%8.%9."/>
      <w:lvlJc w:val="left"/>
      <w:pPr>
        <w:ind w:left="0" w:leftChars="0" w:firstLine="0" w:firstLineChars="0"/>
      </w:pPr>
      <w:rPr>
        <w:rFonts w:hint="default"/>
      </w:rPr>
    </w:lvl>
  </w:abstractNum>
  <w:abstractNum w:abstractNumId="1">
    <w:nsid w:val="DD285C74"/>
    <w:multiLevelType w:val="multilevel"/>
    <w:tmpl w:val="DD285C74"/>
    <w:lvl w:ilvl="0" w:tentative="0">
      <w:start w:val="1"/>
      <w:numFmt w:val="decimal"/>
      <w:suff w:val="nothing"/>
      <w:lvlText w:val="（%1）"/>
      <w:lvlJc w:val="left"/>
      <w:pPr>
        <w:ind w:left="1140" w:hanging="720"/>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2">
    <w:nsid w:val="1D87440B"/>
    <w:multiLevelType w:val="singleLevel"/>
    <w:tmpl w:val="1D87440B"/>
    <w:lvl w:ilvl="0" w:tentative="0">
      <w:start w:val="1"/>
      <w:numFmt w:val="chineseCounting"/>
      <w:suff w:val="nothing"/>
      <w:lvlText w:val="（%1）"/>
      <w:lvlJc w:val="left"/>
      <w:rPr>
        <w:rFonts w:hint="eastAsia"/>
      </w:rPr>
    </w:lvl>
  </w:abstractNum>
  <w:abstractNum w:abstractNumId="3">
    <w:nsid w:val="6EDD6596"/>
    <w:multiLevelType w:val="singleLevel"/>
    <w:tmpl w:val="6EDD6596"/>
    <w:lvl w:ilvl="0" w:tentative="0">
      <w:start w:val="1"/>
      <w:numFmt w:val="decimal"/>
      <w:suff w:val="space"/>
      <w:lvlText w:val="%1."/>
      <w:lvlJc w:val="left"/>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3"/>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k3NjlhMzJkMWNhYTgzMzUxNGM1YmI0YmEwMDYzMmUifQ=="/>
  </w:docVars>
  <w:rsids>
    <w:rsidRoot w:val="00172A27"/>
    <w:rsid w:val="000003EF"/>
    <w:rsid w:val="0000091B"/>
    <w:rsid w:val="00000D0A"/>
    <w:rsid w:val="00000D19"/>
    <w:rsid w:val="00000D8B"/>
    <w:rsid w:val="00000E1A"/>
    <w:rsid w:val="00001B3E"/>
    <w:rsid w:val="00001B8A"/>
    <w:rsid w:val="00001CD6"/>
    <w:rsid w:val="00002DDA"/>
    <w:rsid w:val="000030E9"/>
    <w:rsid w:val="00003DAE"/>
    <w:rsid w:val="00004D3E"/>
    <w:rsid w:val="000058D7"/>
    <w:rsid w:val="00005E55"/>
    <w:rsid w:val="00006E2C"/>
    <w:rsid w:val="000079FF"/>
    <w:rsid w:val="00007B0D"/>
    <w:rsid w:val="00007D2F"/>
    <w:rsid w:val="000102A9"/>
    <w:rsid w:val="000105E8"/>
    <w:rsid w:val="00011D72"/>
    <w:rsid w:val="00012078"/>
    <w:rsid w:val="00013748"/>
    <w:rsid w:val="00013D41"/>
    <w:rsid w:val="000143A3"/>
    <w:rsid w:val="00014DD6"/>
    <w:rsid w:val="0001598C"/>
    <w:rsid w:val="00015C2A"/>
    <w:rsid w:val="00016C31"/>
    <w:rsid w:val="000178A5"/>
    <w:rsid w:val="00017C54"/>
    <w:rsid w:val="0002040C"/>
    <w:rsid w:val="00020B37"/>
    <w:rsid w:val="00020BB1"/>
    <w:rsid w:val="00020BF0"/>
    <w:rsid w:val="0002150B"/>
    <w:rsid w:val="000215B7"/>
    <w:rsid w:val="000217BF"/>
    <w:rsid w:val="00021C98"/>
    <w:rsid w:val="00021CCD"/>
    <w:rsid w:val="00021EE3"/>
    <w:rsid w:val="00022132"/>
    <w:rsid w:val="000228AB"/>
    <w:rsid w:val="0002330D"/>
    <w:rsid w:val="000233CA"/>
    <w:rsid w:val="00023652"/>
    <w:rsid w:val="000240D4"/>
    <w:rsid w:val="0002424E"/>
    <w:rsid w:val="00024633"/>
    <w:rsid w:val="0002560A"/>
    <w:rsid w:val="00025DA0"/>
    <w:rsid w:val="0002696D"/>
    <w:rsid w:val="0002754D"/>
    <w:rsid w:val="00027666"/>
    <w:rsid w:val="000276B2"/>
    <w:rsid w:val="00027A46"/>
    <w:rsid w:val="00027AF3"/>
    <w:rsid w:val="00030024"/>
    <w:rsid w:val="00030124"/>
    <w:rsid w:val="000305FD"/>
    <w:rsid w:val="000306E8"/>
    <w:rsid w:val="0003084F"/>
    <w:rsid w:val="00030B45"/>
    <w:rsid w:val="00030C2F"/>
    <w:rsid w:val="00030DAA"/>
    <w:rsid w:val="000311F9"/>
    <w:rsid w:val="00031757"/>
    <w:rsid w:val="00032686"/>
    <w:rsid w:val="0003274B"/>
    <w:rsid w:val="00032AD8"/>
    <w:rsid w:val="000331CC"/>
    <w:rsid w:val="0003322E"/>
    <w:rsid w:val="00033927"/>
    <w:rsid w:val="00035840"/>
    <w:rsid w:val="00035844"/>
    <w:rsid w:val="00036BAA"/>
    <w:rsid w:val="000370C6"/>
    <w:rsid w:val="00037C63"/>
    <w:rsid w:val="00037CE4"/>
    <w:rsid w:val="00037E01"/>
    <w:rsid w:val="00040187"/>
    <w:rsid w:val="00040351"/>
    <w:rsid w:val="00040AC1"/>
    <w:rsid w:val="00040D93"/>
    <w:rsid w:val="000418B1"/>
    <w:rsid w:val="00042BF9"/>
    <w:rsid w:val="00043295"/>
    <w:rsid w:val="00043592"/>
    <w:rsid w:val="00043796"/>
    <w:rsid w:val="00044708"/>
    <w:rsid w:val="00045069"/>
    <w:rsid w:val="00045443"/>
    <w:rsid w:val="00045947"/>
    <w:rsid w:val="000462A8"/>
    <w:rsid w:val="00046360"/>
    <w:rsid w:val="00046485"/>
    <w:rsid w:val="0004653D"/>
    <w:rsid w:val="000465AB"/>
    <w:rsid w:val="000467A3"/>
    <w:rsid w:val="00046E59"/>
    <w:rsid w:val="000471CF"/>
    <w:rsid w:val="000472E6"/>
    <w:rsid w:val="000479CD"/>
    <w:rsid w:val="00047FD9"/>
    <w:rsid w:val="000500E6"/>
    <w:rsid w:val="000504FE"/>
    <w:rsid w:val="00050F9F"/>
    <w:rsid w:val="00052A50"/>
    <w:rsid w:val="00052C85"/>
    <w:rsid w:val="00053BFC"/>
    <w:rsid w:val="00053D00"/>
    <w:rsid w:val="0005428F"/>
    <w:rsid w:val="00054870"/>
    <w:rsid w:val="00054ABD"/>
    <w:rsid w:val="00054F7D"/>
    <w:rsid w:val="00055230"/>
    <w:rsid w:val="00055557"/>
    <w:rsid w:val="00055A8A"/>
    <w:rsid w:val="00055E6D"/>
    <w:rsid w:val="0005625F"/>
    <w:rsid w:val="0005649E"/>
    <w:rsid w:val="00056597"/>
    <w:rsid w:val="0005700C"/>
    <w:rsid w:val="00057393"/>
    <w:rsid w:val="00057E45"/>
    <w:rsid w:val="000606B6"/>
    <w:rsid w:val="0006192F"/>
    <w:rsid w:val="00061AB7"/>
    <w:rsid w:val="00061F82"/>
    <w:rsid w:val="00062637"/>
    <w:rsid w:val="000631AC"/>
    <w:rsid w:val="000631B7"/>
    <w:rsid w:val="000639D4"/>
    <w:rsid w:val="00064A48"/>
    <w:rsid w:val="00064C80"/>
    <w:rsid w:val="00065AB7"/>
    <w:rsid w:val="00065D71"/>
    <w:rsid w:val="00066111"/>
    <w:rsid w:val="000673D8"/>
    <w:rsid w:val="00067DD2"/>
    <w:rsid w:val="00067DE7"/>
    <w:rsid w:val="00067ED4"/>
    <w:rsid w:val="00070500"/>
    <w:rsid w:val="000706AC"/>
    <w:rsid w:val="00070950"/>
    <w:rsid w:val="000709D3"/>
    <w:rsid w:val="00070B1F"/>
    <w:rsid w:val="000712F8"/>
    <w:rsid w:val="00071587"/>
    <w:rsid w:val="00071A6A"/>
    <w:rsid w:val="00071C95"/>
    <w:rsid w:val="0007216A"/>
    <w:rsid w:val="00072A95"/>
    <w:rsid w:val="00072C12"/>
    <w:rsid w:val="000737A9"/>
    <w:rsid w:val="00074923"/>
    <w:rsid w:val="000750EA"/>
    <w:rsid w:val="00075DF5"/>
    <w:rsid w:val="00075E3B"/>
    <w:rsid w:val="00077698"/>
    <w:rsid w:val="00077891"/>
    <w:rsid w:val="0007797E"/>
    <w:rsid w:val="00077D86"/>
    <w:rsid w:val="0008017C"/>
    <w:rsid w:val="00080AA6"/>
    <w:rsid w:val="00081751"/>
    <w:rsid w:val="00081C1C"/>
    <w:rsid w:val="00082255"/>
    <w:rsid w:val="000822F0"/>
    <w:rsid w:val="00082611"/>
    <w:rsid w:val="0008264F"/>
    <w:rsid w:val="0008372E"/>
    <w:rsid w:val="00083A64"/>
    <w:rsid w:val="00083B97"/>
    <w:rsid w:val="00084575"/>
    <w:rsid w:val="00084AB1"/>
    <w:rsid w:val="00084F10"/>
    <w:rsid w:val="0008521D"/>
    <w:rsid w:val="00085A04"/>
    <w:rsid w:val="000866A9"/>
    <w:rsid w:val="00086EC2"/>
    <w:rsid w:val="00087358"/>
    <w:rsid w:val="000873F5"/>
    <w:rsid w:val="000900DF"/>
    <w:rsid w:val="00090193"/>
    <w:rsid w:val="0009021F"/>
    <w:rsid w:val="00091D8D"/>
    <w:rsid w:val="00091EDA"/>
    <w:rsid w:val="00092713"/>
    <w:rsid w:val="0009353F"/>
    <w:rsid w:val="00093DF8"/>
    <w:rsid w:val="000941F6"/>
    <w:rsid w:val="000945C5"/>
    <w:rsid w:val="00094ECF"/>
    <w:rsid w:val="0009592E"/>
    <w:rsid w:val="00095FB4"/>
    <w:rsid w:val="00096224"/>
    <w:rsid w:val="0009715C"/>
    <w:rsid w:val="000A10DB"/>
    <w:rsid w:val="000A1429"/>
    <w:rsid w:val="000A2968"/>
    <w:rsid w:val="000A29DC"/>
    <w:rsid w:val="000A3515"/>
    <w:rsid w:val="000A3518"/>
    <w:rsid w:val="000A487D"/>
    <w:rsid w:val="000A6F1D"/>
    <w:rsid w:val="000A70C7"/>
    <w:rsid w:val="000A7238"/>
    <w:rsid w:val="000A791D"/>
    <w:rsid w:val="000B09FE"/>
    <w:rsid w:val="000B15EF"/>
    <w:rsid w:val="000B26D6"/>
    <w:rsid w:val="000B316D"/>
    <w:rsid w:val="000B3194"/>
    <w:rsid w:val="000B33E8"/>
    <w:rsid w:val="000B3CFE"/>
    <w:rsid w:val="000B4164"/>
    <w:rsid w:val="000B4397"/>
    <w:rsid w:val="000B4EF3"/>
    <w:rsid w:val="000B554C"/>
    <w:rsid w:val="000B5D87"/>
    <w:rsid w:val="000B63FE"/>
    <w:rsid w:val="000B642F"/>
    <w:rsid w:val="000B6F18"/>
    <w:rsid w:val="000B7E6D"/>
    <w:rsid w:val="000C1414"/>
    <w:rsid w:val="000C350A"/>
    <w:rsid w:val="000C4988"/>
    <w:rsid w:val="000C591F"/>
    <w:rsid w:val="000C59D1"/>
    <w:rsid w:val="000C5FC6"/>
    <w:rsid w:val="000C60D0"/>
    <w:rsid w:val="000C7045"/>
    <w:rsid w:val="000C757A"/>
    <w:rsid w:val="000C7D9F"/>
    <w:rsid w:val="000C7DC8"/>
    <w:rsid w:val="000D0974"/>
    <w:rsid w:val="000D1B95"/>
    <w:rsid w:val="000D3613"/>
    <w:rsid w:val="000D3E1B"/>
    <w:rsid w:val="000D4061"/>
    <w:rsid w:val="000D471A"/>
    <w:rsid w:val="000D4860"/>
    <w:rsid w:val="000D48FB"/>
    <w:rsid w:val="000D4B4F"/>
    <w:rsid w:val="000D4EC1"/>
    <w:rsid w:val="000D4EF1"/>
    <w:rsid w:val="000D55FD"/>
    <w:rsid w:val="000D5F11"/>
    <w:rsid w:val="000D7588"/>
    <w:rsid w:val="000D7BE7"/>
    <w:rsid w:val="000E0106"/>
    <w:rsid w:val="000E01DF"/>
    <w:rsid w:val="000E14FC"/>
    <w:rsid w:val="000E16B2"/>
    <w:rsid w:val="000E173A"/>
    <w:rsid w:val="000E1C04"/>
    <w:rsid w:val="000E216E"/>
    <w:rsid w:val="000E2AD1"/>
    <w:rsid w:val="000E2D70"/>
    <w:rsid w:val="000E3898"/>
    <w:rsid w:val="000E3C38"/>
    <w:rsid w:val="000E3D2F"/>
    <w:rsid w:val="000E4712"/>
    <w:rsid w:val="000E612C"/>
    <w:rsid w:val="000E6CF4"/>
    <w:rsid w:val="000E6D38"/>
    <w:rsid w:val="000E72E7"/>
    <w:rsid w:val="000E72F6"/>
    <w:rsid w:val="000E75B3"/>
    <w:rsid w:val="000E763C"/>
    <w:rsid w:val="000E7CC8"/>
    <w:rsid w:val="000F03A5"/>
    <w:rsid w:val="000F10D4"/>
    <w:rsid w:val="000F1B78"/>
    <w:rsid w:val="000F1BF5"/>
    <w:rsid w:val="000F1F51"/>
    <w:rsid w:val="000F1FB0"/>
    <w:rsid w:val="000F2181"/>
    <w:rsid w:val="000F24AC"/>
    <w:rsid w:val="000F2F60"/>
    <w:rsid w:val="000F4B3A"/>
    <w:rsid w:val="000F5331"/>
    <w:rsid w:val="000F55C9"/>
    <w:rsid w:val="000F6242"/>
    <w:rsid w:val="000F6F32"/>
    <w:rsid w:val="000F708C"/>
    <w:rsid w:val="000F75A8"/>
    <w:rsid w:val="000F76E0"/>
    <w:rsid w:val="00100331"/>
    <w:rsid w:val="00100DD5"/>
    <w:rsid w:val="00101255"/>
    <w:rsid w:val="001016BB"/>
    <w:rsid w:val="0010251A"/>
    <w:rsid w:val="00102BC3"/>
    <w:rsid w:val="001033BA"/>
    <w:rsid w:val="00103458"/>
    <w:rsid w:val="001047E3"/>
    <w:rsid w:val="00104AFF"/>
    <w:rsid w:val="00105A06"/>
    <w:rsid w:val="001070CD"/>
    <w:rsid w:val="001076E0"/>
    <w:rsid w:val="001078F4"/>
    <w:rsid w:val="00110001"/>
    <w:rsid w:val="00110797"/>
    <w:rsid w:val="00110E81"/>
    <w:rsid w:val="00111ECD"/>
    <w:rsid w:val="001121DD"/>
    <w:rsid w:val="00112592"/>
    <w:rsid w:val="00112DBF"/>
    <w:rsid w:val="00113646"/>
    <w:rsid w:val="0011487E"/>
    <w:rsid w:val="00114BB0"/>
    <w:rsid w:val="00116258"/>
    <w:rsid w:val="0011630D"/>
    <w:rsid w:val="00117559"/>
    <w:rsid w:val="0012077F"/>
    <w:rsid w:val="00120813"/>
    <w:rsid w:val="0012099E"/>
    <w:rsid w:val="00120E60"/>
    <w:rsid w:val="0012130E"/>
    <w:rsid w:val="001213B0"/>
    <w:rsid w:val="00121724"/>
    <w:rsid w:val="00121741"/>
    <w:rsid w:val="00121832"/>
    <w:rsid w:val="0012235C"/>
    <w:rsid w:val="00122A75"/>
    <w:rsid w:val="00122D41"/>
    <w:rsid w:val="001241D1"/>
    <w:rsid w:val="00124985"/>
    <w:rsid w:val="00124A27"/>
    <w:rsid w:val="00125609"/>
    <w:rsid w:val="0012573D"/>
    <w:rsid w:val="0012598F"/>
    <w:rsid w:val="0012611E"/>
    <w:rsid w:val="00126655"/>
    <w:rsid w:val="00126707"/>
    <w:rsid w:val="001269E0"/>
    <w:rsid w:val="00126CE5"/>
    <w:rsid w:val="001303CD"/>
    <w:rsid w:val="00130612"/>
    <w:rsid w:val="00130C61"/>
    <w:rsid w:val="0013190A"/>
    <w:rsid w:val="00131C94"/>
    <w:rsid w:val="00131DE6"/>
    <w:rsid w:val="001326DF"/>
    <w:rsid w:val="00132AD8"/>
    <w:rsid w:val="00132CCE"/>
    <w:rsid w:val="00133884"/>
    <w:rsid w:val="00133D01"/>
    <w:rsid w:val="00133E50"/>
    <w:rsid w:val="001341B0"/>
    <w:rsid w:val="00134510"/>
    <w:rsid w:val="0013590D"/>
    <w:rsid w:val="00136073"/>
    <w:rsid w:val="001361F7"/>
    <w:rsid w:val="00136606"/>
    <w:rsid w:val="00136806"/>
    <w:rsid w:val="001369A6"/>
    <w:rsid w:val="00136BD6"/>
    <w:rsid w:val="00136DBC"/>
    <w:rsid w:val="00136F77"/>
    <w:rsid w:val="00137856"/>
    <w:rsid w:val="00137877"/>
    <w:rsid w:val="00137BD8"/>
    <w:rsid w:val="00140221"/>
    <w:rsid w:val="00140291"/>
    <w:rsid w:val="001404CD"/>
    <w:rsid w:val="001406D8"/>
    <w:rsid w:val="00140823"/>
    <w:rsid w:val="001422D4"/>
    <w:rsid w:val="00142632"/>
    <w:rsid w:val="0014309F"/>
    <w:rsid w:val="001442C2"/>
    <w:rsid w:val="001449E1"/>
    <w:rsid w:val="00144D5F"/>
    <w:rsid w:val="001454DB"/>
    <w:rsid w:val="0014560F"/>
    <w:rsid w:val="00145878"/>
    <w:rsid w:val="0014647C"/>
    <w:rsid w:val="00146D04"/>
    <w:rsid w:val="0014723D"/>
    <w:rsid w:val="00147916"/>
    <w:rsid w:val="0014795D"/>
    <w:rsid w:val="001479AA"/>
    <w:rsid w:val="00147F00"/>
    <w:rsid w:val="00150564"/>
    <w:rsid w:val="001506A7"/>
    <w:rsid w:val="00150882"/>
    <w:rsid w:val="00150A4A"/>
    <w:rsid w:val="001518B5"/>
    <w:rsid w:val="00151BBA"/>
    <w:rsid w:val="0015252D"/>
    <w:rsid w:val="00152656"/>
    <w:rsid w:val="00152C00"/>
    <w:rsid w:val="00152C2B"/>
    <w:rsid w:val="00152E98"/>
    <w:rsid w:val="00153084"/>
    <w:rsid w:val="00153A52"/>
    <w:rsid w:val="00154103"/>
    <w:rsid w:val="00154304"/>
    <w:rsid w:val="0015477A"/>
    <w:rsid w:val="00154F0A"/>
    <w:rsid w:val="0015516F"/>
    <w:rsid w:val="00156891"/>
    <w:rsid w:val="00156BA3"/>
    <w:rsid w:val="00156D2F"/>
    <w:rsid w:val="00157320"/>
    <w:rsid w:val="00157505"/>
    <w:rsid w:val="001579B9"/>
    <w:rsid w:val="001602EB"/>
    <w:rsid w:val="001610EB"/>
    <w:rsid w:val="001619B6"/>
    <w:rsid w:val="00161C1F"/>
    <w:rsid w:val="00161C2F"/>
    <w:rsid w:val="001620B6"/>
    <w:rsid w:val="00162664"/>
    <w:rsid w:val="001627CA"/>
    <w:rsid w:val="00163005"/>
    <w:rsid w:val="00163194"/>
    <w:rsid w:val="00163311"/>
    <w:rsid w:val="00163DB9"/>
    <w:rsid w:val="001642FB"/>
    <w:rsid w:val="00164475"/>
    <w:rsid w:val="00164F8F"/>
    <w:rsid w:val="0016529F"/>
    <w:rsid w:val="001658F5"/>
    <w:rsid w:val="00165F38"/>
    <w:rsid w:val="001661B8"/>
    <w:rsid w:val="00166237"/>
    <w:rsid w:val="0016644D"/>
    <w:rsid w:val="00166EE6"/>
    <w:rsid w:val="001672AF"/>
    <w:rsid w:val="00170A14"/>
    <w:rsid w:val="00170E8E"/>
    <w:rsid w:val="0017112B"/>
    <w:rsid w:val="001726CF"/>
    <w:rsid w:val="00172BAF"/>
    <w:rsid w:val="00172BD9"/>
    <w:rsid w:val="00172C93"/>
    <w:rsid w:val="00172EC0"/>
    <w:rsid w:val="00173191"/>
    <w:rsid w:val="001731C7"/>
    <w:rsid w:val="00173704"/>
    <w:rsid w:val="001737FE"/>
    <w:rsid w:val="0017426E"/>
    <w:rsid w:val="001742BE"/>
    <w:rsid w:val="001758FF"/>
    <w:rsid w:val="00176E50"/>
    <w:rsid w:val="0017723E"/>
    <w:rsid w:val="00177470"/>
    <w:rsid w:val="001775DA"/>
    <w:rsid w:val="00177AD0"/>
    <w:rsid w:val="001810F6"/>
    <w:rsid w:val="00181135"/>
    <w:rsid w:val="00181C0B"/>
    <w:rsid w:val="00182382"/>
    <w:rsid w:val="00182DF8"/>
    <w:rsid w:val="00182FF0"/>
    <w:rsid w:val="00183F76"/>
    <w:rsid w:val="001844C2"/>
    <w:rsid w:val="00185C66"/>
    <w:rsid w:val="00185C84"/>
    <w:rsid w:val="00187892"/>
    <w:rsid w:val="00187DFB"/>
    <w:rsid w:val="00187FF5"/>
    <w:rsid w:val="00190463"/>
    <w:rsid w:val="00191435"/>
    <w:rsid w:val="00192213"/>
    <w:rsid w:val="001927A2"/>
    <w:rsid w:val="001927AF"/>
    <w:rsid w:val="0019335B"/>
    <w:rsid w:val="0019423A"/>
    <w:rsid w:val="00195648"/>
    <w:rsid w:val="001959DC"/>
    <w:rsid w:val="00195F44"/>
    <w:rsid w:val="00196019"/>
    <w:rsid w:val="00196C83"/>
    <w:rsid w:val="00196E92"/>
    <w:rsid w:val="001A0896"/>
    <w:rsid w:val="001A2362"/>
    <w:rsid w:val="001A3116"/>
    <w:rsid w:val="001A315B"/>
    <w:rsid w:val="001A3856"/>
    <w:rsid w:val="001A3C38"/>
    <w:rsid w:val="001A3F6D"/>
    <w:rsid w:val="001A4C94"/>
    <w:rsid w:val="001A4E6D"/>
    <w:rsid w:val="001A5DA1"/>
    <w:rsid w:val="001A6E3F"/>
    <w:rsid w:val="001A6EBA"/>
    <w:rsid w:val="001A70D4"/>
    <w:rsid w:val="001A775C"/>
    <w:rsid w:val="001A7CBA"/>
    <w:rsid w:val="001B02BE"/>
    <w:rsid w:val="001B1736"/>
    <w:rsid w:val="001B1AE6"/>
    <w:rsid w:val="001B32D3"/>
    <w:rsid w:val="001B32E4"/>
    <w:rsid w:val="001B35B1"/>
    <w:rsid w:val="001B3778"/>
    <w:rsid w:val="001B3E30"/>
    <w:rsid w:val="001B4794"/>
    <w:rsid w:val="001B4B55"/>
    <w:rsid w:val="001B4ED3"/>
    <w:rsid w:val="001B50CC"/>
    <w:rsid w:val="001B5355"/>
    <w:rsid w:val="001B6049"/>
    <w:rsid w:val="001B60D4"/>
    <w:rsid w:val="001B6482"/>
    <w:rsid w:val="001B7014"/>
    <w:rsid w:val="001B76D5"/>
    <w:rsid w:val="001B7C32"/>
    <w:rsid w:val="001B7CBF"/>
    <w:rsid w:val="001C0279"/>
    <w:rsid w:val="001C0352"/>
    <w:rsid w:val="001C148A"/>
    <w:rsid w:val="001C15DB"/>
    <w:rsid w:val="001C1814"/>
    <w:rsid w:val="001C1A4B"/>
    <w:rsid w:val="001C3D80"/>
    <w:rsid w:val="001C405C"/>
    <w:rsid w:val="001C4361"/>
    <w:rsid w:val="001C51A3"/>
    <w:rsid w:val="001C5358"/>
    <w:rsid w:val="001C56D1"/>
    <w:rsid w:val="001C6921"/>
    <w:rsid w:val="001C7A8C"/>
    <w:rsid w:val="001C7DB6"/>
    <w:rsid w:val="001D04A2"/>
    <w:rsid w:val="001D15D9"/>
    <w:rsid w:val="001D23EF"/>
    <w:rsid w:val="001D23F7"/>
    <w:rsid w:val="001D3534"/>
    <w:rsid w:val="001D40F4"/>
    <w:rsid w:val="001D537F"/>
    <w:rsid w:val="001D5BDC"/>
    <w:rsid w:val="001D6910"/>
    <w:rsid w:val="001D723E"/>
    <w:rsid w:val="001D746C"/>
    <w:rsid w:val="001D7681"/>
    <w:rsid w:val="001D7693"/>
    <w:rsid w:val="001E131D"/>
    <w:rsid w:val="001E1FA3"/>
    <w:rsid w:val="001E21AC"/>
    <w:rsid w:val="001E24A4"/>
    <w:rsid w:val="001E2754"/>
    <w:rsid w:val="001E28CC"/>
    <w:rsid w:val="001E2EC4"/>
    <w:rsid w:val="001E321D"/>
    <w:rsid w:val="001E3451"/>
    <w:rsid w:val="001E38B1"/>
    <w:rsid w:val="001E3991"/>
    <w:rsid w:val="001E478C"/>
    <w:rsid w:val="001E4C00"/>
    <w:rsid w:val="001E4D12"/>
    <w:rsid w:val="001E4D56"/>
    <w:rsid w:val="001E4DF5"/>
    <w:rsid w:val="001E5E13"/>
    <w:rsid w:val="001E63D0"/>
    <w:rsid w:val="001E72E0"/>
    <w:rsid w:val="001E76D5"/>
    <w:rsid w:val="001F0064"/>
    <w:rsid w:val="001F02AE"/>
    <w:rsid w:val="001F03EF"/>
    <w:rsid w:val="001F0487"/>
    <w:rsid w:val="001F0F38"/>
    <w:rsid w:val="001F16DF"/>
    <w:rsid w:val="001F1960"/>
    <w:rsid w:val="001F1E4A"/>
    <w:rsid w:val="001F3706"/>
    <w:rsid w:val="001F3995"/>
    <w:rsid w:val="001F3BF9"/>
    <w:rsid w:val="001F3DAE"/>
    <w:rsid w:val="001F4685"/>
    <w:rsid w:val="001F47A5"/>
    <w:rsid w:val="001F4A98"/>
    <w:rsid w:val="001F5245"/>
    <w:rsid w:val="001F55F3"/>
    <w:rsid w:val="001F6159"/>
    <w:rsid w:val="001F6680"/>
    <w:rsid w:val="001F6B74"/>
    <w:rsid w:val="001F6FB6"/>
    <w:rsid w:val="001F740D"/>
    <w:rsid w:val="001F792F"/>
    <w:rsid w:val="001F7AC9"/>
    <w:rsid w:val="001F7B9E"/>
    <w:rsid w:val="001F7BE1"/>
    <w:rsid w:val="001F7C97"/>
    <w:rsid w:val="0020095B"/>
    <w:rsid w:val="00200A84"/>
    <w:rsid w:val="002014F7"/>
    <w:rsid w:val="00201CB4"/>
    <w:rsid w:val="00201ED0"/>
    <w:rsid w:val="00201FFC"/>
    <w:rsid w:val="00202576"/>
    <w:rsid w:val="00202B50"/>
    <w:rsid w:val="00202EF9"/>
    <w:rsid w:val="00203041"/>
    <w:rsid w:val="00203204"/>
    <w:rsid w:val="00203236"/>
    <w:rsid w:val="002036E8"/>
    <w:rsid w:val="00203946"/>
    <w:rsid w:val="00203B3F"/>
    <w:rsid w:val="002045CB"/>
    <w:rsid w:val="002048AD"/>
    <w:rsid w:val="0020494A"/>
    <w:rsid w:val="00204AF8"/>
    <w:rsid w:val="002051F7"/>
    <w:rsid w:val="002052C4"/>
    <w:rsid w:val="0020531C"/>
    <w:rsid w:val="00205EF5"/>
    <w:rsid w:val="002062B5"/>
    <w:rsid w:val="002067D2"/>
    <w:rsid w:val="0020708A"/>
    <w:rsid w:val="00207642"/>
    <w:rsid w:val="00207F6A"/>
    <w:rsid w:val="00207F97"/>
    <w:rsid w:val="00210256"/>
    <w:rsid w:val="00210394"/>
    <w:rsid w:val="0021076E"/>
    <w:rsid w:val="00210B83"/>
    <w:rsid w:val="00210E82"/>
    <w:rsid w:val="00212B08"/>
    <w:rsid w:val="00213289"/>
    <w:rsid w:val="00213825"/>
    <w:rsid w:val="00214189"/>
    <w:rsid w:val="00214ADD"/>
    <w:rsid w:val="0021525B"/>
    <w:rsid w:val="0021565D"/>
    <w:rsid w:val="00216998"/>
    <w:rsid w:val="00216B19"/>
    <w:rsid w:val="00216CCC"/>
    <w:rsid w:val="00216E16"/>
    <w:rsid w:val="0021738B"/>
    <w:rsid w:val="002176D8"/>
    <w:rsid w:val="00220082"/>
    <w:rsid w:val="002203BD"/>
    <w:rsid w:val="0022040C"/>
    <w:rsid w:val="0022054A"/>
    <w:rsid w:val="00220771"/>
    <w:rsid w:val="00220776"/>
    <w:rsid w:val="00220C7C"/>
    <w:rsid w:val="002221C3"/>
    <w:rsid w:val="002223BA"/>
    <w:rsid w:val="0022299A"/>
    <w:rsid w:val="00222B91"/>
    <w:rsid w:val="002230FD"/>
    <w:rsid w:val="002232B3"/>
    <w:rsid w:val="002242A5"/>
    <w:rsid w:val="002242DB"/>
    <w:rsid w:val="00224756"/>
    <w:rsid w:val="00224878"/>
    <w:rsid w:val="0022514D"/>
    <w:rsid w:val="00225CEE"/>
    <w:rsid w:val="00226447"/>
    <w:rsid w:val="002266DB"/>
    <w:rsid w:val="002267DA"/>
    <w:rsid w:val="00226894"/>
    <w:rsid w:val="002268B0"/>
    <w:rsid w:val="00227577"/>
    <w:rsid w:val="002277E9"/>
    <w:rsid w:val="00227BB3"/>
    <w:rsid w:val="002303A6"/>
    <w:rsid w:val="0023069A"/>
    <w:rsid w:val="00230894"/>
    <w:rsid w:val="002308E9"/>
    <w:rsid w:val="00231442"/>
    <w:rsid w:val="00231B36"/>
    <w:rsid w:val="00231F9E"/>
    <w:rsid w:val="00232498"/>
    <w:rsid w:val="0023254E"/>
    <w:rsid w:val="00232918"/>
    <w:rsid w:val="00233114"/>
    <w:rsid w:val="0023350C"/>
    <w:rsid w:val="002336EE"/>
    <w:rsid w:val="00233D53"/>
    <w:rsid w:val="00233E70"/>
    <w:rsid w:val="00234281"/>
    <w:rsid w:val="00234A21"/>
    <w:rsid w:val="00234F9A"/>
    <w:rsid w:val="00234FD3"/>
    <w:rsid w:val="0023515B"/>
    <w:rsid w:val="00236B90"/>
    <w:rsid w:val="002371BF"/>
    <w:rsid w:val="00237A87"/>
    <w:rsid w:val="002404C3"/>
    <w:rsid w:val="00241129"/>
    <w:rsid w:val="002417E9"/>
    <w:rsid w:val="00241840"/>
    <w:rsid w:val="00241C36"/>
    <w:rsid w:val="002422D1"/>
    <w:rsid w:val="002427EB"/>
    <w:rsid w:val="002427F0"/>
    <w:rsid w:val="002428BD"/>
    <w:rsid w:val="00242E09"/>
    <w:rsid w:val="002432B7"/>
    <w:rsid w:val="002440B2"/>
    <w:rsid w:val="00244CC2"/>
    <w:rsid w:val="00245019"/>
    <w:rsid w:val="002452D5"/>
    <w:rsid w:val="002458CE"/>
    <w:rsid w:val="0024635A"/>
    <w:rsid w:val="0024638F"/>
    <w:rsid w:val="00246513"/>
    <w:rsid w:val="00246B1D"/>
    <w:rsid w:val="00247BDE"/>
    <w:rsid w:val="002507C4"/>
    <w:rsid w:val="00250B11"/>
    <w:rsid w:val="00251257"/>
    <w:rsid w:val="00251EB3"/>
    <w:rsid w:val="00252159"/>
    <w:rsid w:val="002531E5"/>
    <w:rsid w:val="0025329B"/>
    <w:rsid w:val="002538BA"/>
    <w:rsid w:val="00253EC4"/>
    <w:rsid w:val="0025418A"/>
    <w:rsid w:val="00254240"/>
    <w:rsid w:val="002545D0"/>
    <w:rsid w:val="00255255"/>
    <w:rsid w:val="00255BC2"/>
    <w:rsid w:val="00256113"/>
    <w:rsid w:val="00256539"/>
    <w:rsid w:val="00256DEA"/>
    <w:rsid w:val="00257C49"/>
    <w:rsid w:val="00260271"/>
    <w:rsid w:val="0026072F"/>
    <w:rsid w:val="00260952"/>
    <w:rsid w:val="00261192"/>
    <w:rsid w:val="00261A11"/>
    <w:rsid w:val="00261CB5"/>
    <w:rsid w:val="002625F2"/>
    <w:rsid w:val="00262F10"/>
    <w:rsid w:val="0026323A"/>
    <w:rsid w:val="00263413"/>
    <w:rsid w:val="0026431A"/>
    <w:rsid w:val="002644A4"/>
    <w:rsid w:val="00265066"/>
    <w:rsid w:val="00265238"/>
    <w:rsid w:val="00265C93"/>
    <w:rsid w:val="00265F00"/>
    <w:rsid w:val="00266300"/>
    <w:rsid w:val="00266BD0"/>
    <w:rsid w:val="002675AE"/>
    <w:rsid w:val="00267702"/>
    <w:rsid w:val="002700AA"/>
    <w:rsid w:val="002708B2"/>
    <w:rsid w:val="00270B46"/>
    <w:rsid w:val="00271150"/>
    <w:rsid w:val="00273F48"/>
    <w:rsid w:val="002747CC"/>
    <w:rsid w:val="00274830"/>
    <w:rsid w:val="00274DF9"/>
    <w:rsid w:val="00275170"/>
    <w:rsid w:val="00275A41"/>
    <w:rsid w:val="00275D77"/>
    <w:rsid w:val="0027695D"/>
    <w:rsid w:val="002778F2"/>
    <w:rsid w:val="00277F52"/>
    <w:rsid w:val="002809A3"/>
    <w:rsid w:val="00281979"/>
    <w:rsid w:val="00281E85"/>
    <w:rsid w:val="00282B8A"/>
    <w:rsid w:val="002837F8"/>
    <w:rsid w:val="00283ACF"/>
    <w:rsid w:val="00283C99"/>
    <w:rsid w:val="0028473D"/>
    <w:rsid w:val="00284850"/>
    <w:rsid w:val="00284D22"/>
    <w:rsid w:val="00285326"/>
    <w:rsid w:val="00285587"/>
    <w:rsid w:val="00285A10"/>
    <w:rsid w:val="00285DE8"/>
    <w:rsid w:val="00286213"/>
    <w:rsid w:val="0029007B"/>
    <w:rsid w:val="00290891"/>
    <w:rsid w:val="00291493"/>
    <w:rsid w:val="00291DA9"/>
    <w:rsid w:val="00292608"/>
    <w:rsid w:val="00292773"/>
    <w:rsid w:val="002927AC"/>
    <w:rsid w:val="0029469F"/>
    <w:rsid w:val="00295405"/>
    <w:rsid w:val="002954FB"/>
    <w:rsid w:val="00295DF7"/>
    <w:rsid w:val="0029618D"/>
    <w:rsid w:val="002965BA"/>
    <w:rsid w:val="00296814"/>
    <w:rsid w:val="00296D06"/>
    <w:rsid w:val="002970BE"/>
    <w:rsid w:val="0029716C"/>
    <w:rsid w:val="002A0DD4"/>
    <w:rsid w:val="002A2537"/>
    <w:rsid w:val="002A2AB8"/>
    <w:rsid w:val="002A2B8E"/>
    <w:rsid w:val="002A30E1"/>
    <w:rsid w:val="002A3E01"/>
    <w:rsid w:val="002A50ED"/>
    <w:rsid w:val="002A5126"/>
    <w:rsid w:val="002A5536"/>
    <w:rsid w:val="002A560A"/>
    <w:rsid w:val="002A5774"/>
    <w:rsid w:val="002A5948"/>
    <w:rsid w:val="002A5A54"/>
    <w:rsid w:val="002A5C00"/>
    <w:rsid w:val="002A64F2"/>
    <w:rsid w:val="002A6590"/>
    <w:rsid w:val="002A6F79"/>
    <w:rsid w:val="002A7478"/>
    <w:rsid w:val="002A7B26"/>
    <w:rsid w:val="002B01AD"/>
    <w:rsid w:val="002B047F"/>
    <w:rsid w:val="002B1791"/>
    <w:rsid w:val="002B1FDA"/>
    <w:rsid w:val="002B2B0C"/>
    <w:rsid w:val="002B2D78"/>
    <w:rsid w:val="002B32C9"/>
    <w:rsid w:val="002B3736"/>
    <w:rsid w:val="002B4054"/>
    <w:rsid w:val="002B46FF"/>
    <w:rsid w:val="002B497D"/>
    <w:rsid w:val="002B4A06"/>
    <w:rsid w:val="002B4D0E"/>
    <w:rsid w:val="002B542A"/>
    <w:rsid w:val="002B5495"/>
    <w:rsid w:val="002B54C5"/>
    <w:rsid w:val="002B55E5"/>
    <w:rsid w:val="002B612D"/>
    <w:rsid w:val="002B653E"/>
    <w:rsid w:val="002B6703"/>
    <w:rsid w:val="002B6D69"/>
    <w:rsid w:val="002B6F67"/>
    <w:rsid w:val="002B7411"/>
    <w:rsid w:val="002B7B88"/>
    <w:rsid w:val="002B7F1B"/>
    <w:rsid w:val="002B7F30"/>
    <w:rsid w:val="002B7F5B"/>
    <w:rsid w:val="002C0083"/>
    <w:rsid w:val="002C032E"/>
    <w:rsid w:val="002C081A"/>
    <w:rsid w:val="002C108A"/>
    <w:rsid w:val="002C1553"/>
    <w:rsid w:val="002C2CCD"/>
    <w:rsid w:val="002C2F7F"/>
    <w:rsid w:val="002C2FB4"/>
    <w:rsid w:val="002C2FD3"/>
    <w:rsid w:val="002C3683"/>
    <w:rsid w:val="002C369F"/>
    <w:rsid w:val="002C41BC"/>
    <w:rsid w:val="002C6751"/>
    <w:rsid w:val="002C6DC2"/>
    <w:rsid w:val="002C6DDA"/>
    <w:rsid w:val="002C713E"/>
    <w:rsid w:val="002D053D"/>
    <w:rsid w:val="002D0A97"/>
    <w:rsid w:val="002D0B99"/>
    <w:rsid w:val="002D10FA"/>
    <w:rsid w:val="002D1936"/>
    <w:rsid w:val="002D1CE8"/>
    <w:rsid w:val="002D2FB2"/>
    <w:rsid w:val="002D337C"/>
    <w:rsid w:val="002D3782"/>
    <w:rsid w:val="002D3EBD"/>
    <w:rsid w:val="002D48E6"/>
    <w:rsid w:val="002D5B16"/>
    <w:rsid w:val="002D6AAE"/>
    <w:rsid w:val="002D769A"/>
    <w:rsid w:val="002D7789"/>
    <w:rsid w:val="002D77B7"/>
    <w:rsid w:val="002D7CC4"/>
    <w:rsid w:val="002D7DBC"/>
    <w:rsid w:val="002E0C21"/>
    <w:rsid w:val="002E0FA4"/>
    <w:rsid w:val="002E192A"/>
    <w:rsid w:val="002E1AE0"/>
    <w:rsid w:val="002E2471"/>
    <w:rsid w:val="002E2B84"/>
    <w:rsid w:val="002E2C75"/>
    <w:rsid w:val="002E2DD9"/>
    <w:rsid w:val="002E300A"/>
    <w:rsid w:val="002E3543"/>
    <w:rsid w:val="002E3B50"/>
    <w:rsid w:val="002E3B82"/>
    <w:rsid w:val="002E3C95"/>
    <w:rsid w:val="002E40D7"/>
    <w:rsid w:val="002E4BB3"/>
    <w:rsid w:val="002E56CE"/>
    <w:rsid w:val="002E59BE"/>
    <w:rsid w:val="002E5F0D"/>
    <w:rsid w:val="002E6EE7"/>
    <w:rsid w:val="002E758B"/>
    <w:rsid w:val="002F07FF"/>
    <w:rsid w:val="002F0C6B"/>
    <w:rsid w:val="002F1CD0"/>
    <w:rsid w:val="002F1D5C"/>
    <w:rsid w:val="002F207F"/>
    <w:rsid w:val="002F24AF"/>
    <w:rsid w:val="002F32ED"/>
    <w:rsid w:val="002F34EA"/>
    <w:rsid w:val="002F3799"/>
    <w:rsid w:val="002F43B6"/>
    <w:rsid w:val="002F49F9"/>
    <w:rsid w:val="002F515D"/>
    <w:rsid w:val="002F594A"/>
    <w:rsid w:val="002F6291"/>
    <w:rsid w:val="002F6673"/>
    <w:rsid w:val="002F66DB"/>
    <w:rsid w:val="002F6DBD"/>
    <w:rsid w:val="002F7256"/>
    <w:rsid w:val="002F74B2"/>
    <w:rsid w:val="002F7EB8"/>
    <w:rsid w:val="0030086D"/>
    <w:rsid w:val="00300D86"/>
    <w:rsid w:val="003016E9"/>
    <w:rsid w:val="003017E1"/>
    <w:rsid w:val="00302F6A"/>
    <w:rsid w:val="00303B54"/>
    <w:rsid w:val="003040C0"/>
    <w:rsid w:val="00305CC7"/>
    <w:rsid w:val="00305F62"/>
    <w:rsid w:val="0030688B"/>
    <w:rsid w:val="00306A10"/>
    <w:rsid w:val="003074FD"/>
    <w:rsid w:val="00307A2D"/>
    <w:rsid w:val="00310204"/>
    <w:rsid w:val="00310272"/>
    <w:rsid w:val="00310D86"/>
    <w:rsid w:val="00310F34"/>
    <w:rsid w:val="00311FC0"/>
    <w:rsid w:val="00312321"/>
    <w:rsid w:val="00312AF6"/>
    <w:rsid w:val="00312CB7"/>
    <w:rsid w:val="00312E68"/>
    <w:rsid w:val="0031351A"/>
    <w:rsid w:val="003161E5"/>
    <w:rsid w:val="0031654B"/>
    <w:rsid w:val="00316C18"/>
    <w:rsid w:val="00317071"/>
    <w:rsid w:val="003170F2"/>
    <w:rsid w:val="00320199"/>
    <w:rsid w:val="003204DA"/>
    <w:rsid w:val="00320582"/>
    <w:rsid w:val="003206BE"/>
    <w:rsid w:val="00321282"/>
    <w:rsid w:val="0032130E"/>
    <w:rsid w:val="0032187E"/>
    <w:rsid w:val="003218EA"/>
    <w:rsid w:val="00321F93"/>
    <w:rsid w:val="0032278A"/>
    <w:rsid w:val="0032279E"/>
    <w:rsid w:val="00322A25"/>
    <w:rsid w:val="0032318E"/>
    <w:rsid w:val="00323440"/>
    <w:rsid w:val="00323480"/>
    <w:rsid w:val="00324A14"/>
    <w:rsid w:val="00325085"/>
    <w:rsid w:val="00325665"/>
    <w:rsid w:val="00325668"/>
    <w:rsid w:val="003262AB"/>
    <w:rsid w:val="0032659C"/>
    <w:rsid w:val="00326D8F"/>
    <w:rsid w:val="00327292"/>
    <w:rsid w:val="003272FD"/>
    <w:rsid w:val="0032744E"/>
    <w:rsid w:val="00327480"/>
    <w:rsid w:val="0032757F"/>
    <w:rsid w:val="00330A37"/>
    <w:rsid w:val="00330B81"/>
    <w:rsid w:val="00332C4C"/>
    <w:rsid w:val="003332AB"/>
    <w:rsid w:val="00333A15"/>
    <w:rsid w:val="00333A6D"/>
    <w:rsid w:val="00333EC2"/>
    <w:rsid w:val="00333F1D"/>
    <w:rsid w:val="00335776"/>
    <w:rsid w:val="00336075"/>
    <w:rsid w:val="003374B9"/>
    <w:rsid w:val="003375AB"/>
    <w:rsid w:val="003378B1"/>
    <w:rsid w:val="003408E2"/>
    <w:rsid w:val="003415A2"/>
    <w:rsid w:val="0034312D"/>
    <w:rsid w:val="0034330F"/>
    <w:rsid w:val="00343669"/>
    <w:rsid w:val="00343C67"/>
    <w:rsid w:val="0034413A"/>
    <w:rsid w:val="0034446D"/>
    <w:rsid w:val="00344BA3"/>
    <w:rsid w:val="00344BDC"/>
    <w:rsid w:val="00344D5E"/>
    <w:rsid w:val="00345475"/>
    <w:rsid w:val="00345FC8"/>
    <w:rsid w:val="003467F2"/>
    <w:rsid w:val="00346844"/>
    <w:rsid w:val="00346945"/>
    <w:rsid w:val="00346AE5"/>
    <w:rsid w:val="00346C56"/>
    <w:rsid w:val="00347782"/>
    <w:rsid w:val="00347D51"/>
    <w:rsid w:val="00347E11"/>
    <w:rsid w:val="003500C9"/>
    <w:rsid w:val="00350268"/>
    <w:rsid w:val="00350594"/>
    <w:rsid w:val="003508FB"/>
    <w:rsid w:val="00350C4A"/>
    <w:rsid w:val="003518DC"/>
    <w:rsid w:val="00352542"/>
    <w:rsid w:val="0035269B"/>
    <w:rsid w:val="00352F72"/>
    <w:rsid w:val="00353202"/>
    <w:rsid w:val="0035326A"/>
    <w:rsid w:val="0035327A"/>
    <w:rsid w:val="003534CB"/>
    <w:rsid w:val="00353FC5"/>
    <w:rsid w:val="00354112"/>
    <w:rsid w:val="00354407"/>
    <w:rsid w:val="00354730"/>
    <w:rsid w:val="00354CDA"/>
    <w:rsid w:val="003555CF"/>
    <w:rsid w:val="00355B59"/>
    <w:rsid w:val="0035620E"/>
    <w:rsid w:val="003564B6"/>
    <w:rsid w:val="0035659C"/>
    <w:rsid w:val="0035669E"/>
    <w:rsid w:val="00356C67"/>
    <w:rsid w:val="003574FA"/>
    <w:rsid w:val="00357700"/>
    <w:rsid w:val="00357C05"/>
    <w:rsid w:val="00357DE5"/>
    <w:rsid w:val="00360509"/>
    <w:rsid w:val="0036056F"/>
    <w:rsid w:val="0036071E"/>
    <w:rsid w:val="00360E9D"/>
    <w:rsid w:val="0036171C"/>
    <w:rsid w:val="00362E59"/>
    <w:rsid w:val="00363B12"/>
    <w:rsid w:val="0036402D"/>
    <w:rsid w:val="0036423C"/>
    <w:rsid w:val="003648BB"/>
    <w:rsid w:val="003649CB"/>
    <w:rsid w:val="00364D59"/>
    <w:rsid w:val="003654BE"/>
    <w:rsid w:val="003654DD"/>
    <w:rsid w:val="00365D2E"/>
    <w:rsid w:val="00365DBB"/>
    <w:rsid w:val="00366EE9"/>
    <w:rsid w:val="00367202"/>
    <w:rsid w:val="003673E6"/>
    <w:rsid w:val="003675F0"/>
    <w:rsid w:val="00367A90"/>
    <w:rsid w:val="003703EC"/>
    <w:rsid w:val="00370963"/>
    <w:rsid w:val="00371009"/>
    <w:rsid w:val="00371BC4"/>
    <w:rsid w:val="003722E8"/>
    <w:rsid w:val="00372733"/>
    <w:rsid w:val="0037280D"/>
    <w:rsid w:val="003728E1"/>
    <w:rsid w:val="00372968"/>
    <w:rsid w:val="00372C4C"/>
    <w:rsid w:val="00373496"/>
    <w:rsid w:val="003736A7"/>
    <w:rsid w:val="00373B43"/>
    <w:rsid w:val="00373B9D"/>
    <w:rsid w:val="00373E1B"/>
    <w:rsid w:val="00374508"/>
    <w:rsid w:val="003745D0"/>
    <w:rsid w:val="003748B9"/>
    <w:rsid w:val="00374FD6"/>
    <w:rsid w:val="00375B8A"/>
    <w:rsid w:val="00375E04"/>
    <w:rsid w:val="0037642E"/>
    <w:rsid w:val="003776AD"/>
    <w:rsid w:val="00377D45"/>
    <w:rsid w:val="003801DC"/>
    <w:rsid w:val="00380720"/>
    <w:rsid w:val="00380E15"/>
    <w:rsid w:val="00380F51"/>
    <w:rsid w:val="00381301"/>
    <w:rsid w:val="003817B5"/>
    <w:rsid w:val="00381993"/>
    <w:rsid w:val="00381B3A"/>
    <w:rsid w:val="00381F75"/>
    <w:rsid w:val="0038248C"/>
    <w:rsid w:val="003829A5"/>
    <w:rsid w:val="00383E24"/>
    <w:rsid w:val="00384837"/>
    <w:rsid w:val="00384A4B"/>
    <w:rsid w:val="00384C2C"/>
    <w:rsid w:val="00384CEB"/>
    <w:rsid w:val="003856C6"/>
    <w:rsid w:val="00385E25"/>
    <w:rsid w:val="00385E50"/>
    <w:rsid w:val="0038685F"/>
    <w:rsid w:val="00386B43"/>
    <w:rsid w:val="00386B52"/>
    <w:rsid w:val="00386CBA"/>
    <w:rsid w:val="00386FC4"/>
    <w:rsid w:val="00391901"/>
    <w:rsid w:val="00391AC1"/>
    <w:rsid w:val="00391B2B"/>
    <w:rsid w:val="003923E6"/>
    <w:rsid w:val="003930D6"/>
    <w:rsid w:val="003934D5"/>
    <w:rsid w:val="00393FE9"/>
    <w:rsid w:val="0039476B"/>
    <w:rsid w:val="0039525C"/>
    <w:rsid w:val="00396113"/>
    <w:rsid w:val="00396F26"/>
    <w:rsid w:val="003973FD"/>
    <w:rsid w:val="00397413"/>
    <w:rsid w:val="003976E4"/>
    <w:rsid w:val="00397E21"/>
    <w:rsid w:val="00397FDC"/>
    <w:rsid w:val="003A04AE"/>
    <w:rsid w:val="003A0667"/>
    <w:rsid w:val="003A0696"/>
    <w:rsid w:val="003A19D6"/>
    <w:rsid w:val="003A2D4E"/>
    <w:rsid w:val="003A3999"/>
    <w:rsid w:val="003A4220"/>
    <w:rsid w:val="003A4462"/>
    <w:rsid w:val="003A4663"/>
    <w:rsid w:val="003A4BFF"/>
    <w:rsid w:val="003A4F4E"/>
    <w:rsid w:val="003A5575"/>
    <w:rsid w:val="003A5D90"/>
    <w:rsid w:val="003A62DA"/>
    <w:rsid w:val="003A7B14"/>
    <w:rsid w:val="003A7B7B"/>
    <w:rsid w:val="003A7D2A"/>
    <w:rsid w:val="003A7D38"/>
    <w:rsid w:val="003B08CD"/>
    <w:rsid w:val="003B14FD"/>
    <w:rsid w:val="003B2427"/>
    <w:rsid w:val="003B2D7D"/>
    <w:rsid w:val="003B3C57"/>
    <w:rsid w:val="003B3DC3"/>
    <w:rsid w:val="003B3E12"/>
    <w:rsid w:val="003B3E38"/>
    <w:rsid w:val="003B42B7"/>
    <w:rsid w:val="003B4696"/>
    <w:rsid w:val="003B4E65"/>
    <w:rsid w:val="003B4EB6"/>
    <w:rsid w:val="003B5038"/>
    <w:rsid w:val="003B5EBF"/>
    <w:rsid w:val="003B6031"/>
    <w:rsid w:val="003B6E81"/>
    <w:rsid w:val="003B77E5"/>
    <w:rsid w:val="003B7E05"/>
    <w:rsid w:val="003C0480"/>
    <w:rsid w:val="003C052A"/>
    <w:rsid w:val="003C131E"/>
    <w:rsid w:val="003C14CC"/>
    <w:rsid w:val="003C19A5"/>
    <w:rsid w:val="003C1C85"/>
    <w:rsid w:val="003C1F69"/>
    <w:rsid w:val="003C2D12"/>
    <w:rsid w:val="003C37E3"/>
    <w:rsid w:val="003C3A2A"/>
    <w:rsid w:val="003C3E7F"/>
    <w:rsid w:val="003C4482"/>
    <w:rsid w:val="003C4B8F"/>
    <w:rsid w:val="003C4E73"/>
    <w:rsid w:val="003C4F92"/>
    <w:rsid w:val="003C5260"/>
    <w:rsid w:val="003C612F"/>
    <w:rsid w:val="003C6468"/>
    <w:rsid w:val="003C752B"/>
    <w:rsid w:val="003D0AF6"/>
    <w:rsid w:val="003D0BFD"/>
    <w:rsid w:val="003D114D"/>
    <w:rsid w:val="003D11D9"/>
    <w:rsid w:val="003D1494"/>
    <w:rsid w:val="003D156A"/>
    <w:rsid w:val="003D1938"/>
    <w:rsid w:val="003D1E5A"/>
    <w:rsid w:val="003D2D69"/>
    <w:rsid w:val="003D3990"/>
    <w:rsid w:val="003D42B5"/>
    <w:rsid w:val="003D42CB"/>
    <w:rsid w:val="003D43E2"/>
    <w:rsid w:val="003D4B62"/>
    <w:rsid w:val="003D4E9A"/>
    <w:rsid w:val="003D51F4"/>
    <w:rsid w:val="003D5589"/>
    <w:rsid w:val="003D5811"/>
    <w:rsid w:val="003D58C5"/>
    <w:rsid w:val="003D6638"/>
    <w:rsid w:val="003D7786"/>
    <w:rsid w:val="003D7DB8"/>
    <w:rsid w:val="003D7FC4"/>
    <w:rsid w:val="003E0354"/>
    <w:rsid w:val="003E08DC"/>
    <w:rsid w:val="003E1802"/>
    <w:rsid w:val="003E184A"/>
    <w:rsid w:val="003E1887"/>
    <w:rsid w:val="003E18C9"/>
    <w:rsid w:val="003E19E2"/>
    <w:rsid w:val="003E2538"/>
    <w:rsid w:val="003E278F"/>
    <w:rsid w:val="003E2B0B"/>
    <w:rsid w:val="003E2E55"/>
    <w:rsid w:val="003E2F98"/>
    <w:rsid w:val="003E3327"/>
    <w:rsid w:val="003E3F81"/>
    <w:rsid w:val="003E4296"/>
    <w:rsid w:val="003E43C8"/>
    <w:rsid w:val="003E4B5F"/>
    <w:rsid w:val="003E4BA6"/>
    <w:rsid w:val="003E530F"/>
    <w:rsid w:val="003E5A33"/>
    <w:rsid w:val="003E5FD7"/>
    <w:rsid w:val="003E63B5"/>
    <w:rsid w:val="003E65FD"/>
    <w:rsid w:val="003E680A"/>
    <w:rsid w:val="003E69CF"/>
    <w:rsid w:val="003E6B2B"/>
    <w:rsid w:val="003E6DA0"/>
    <w:rsid w:val="003E72DA"/>
    <w:rsid w:val="003E7915"/>
    <w:rsid w:val="003E7D34"/>
    <w:rsid w:val="003F031C"/>
    <w:rsid w:val="003F132C"/>
    <w:rsid w:val="003F1622"/>
    <w:rsid w:val="003F1AA3"/>
    <w:rsid w:val="003F25EF"/>
    <w:rsid w:val="003F2E1D"/>
    <w:rsid w:val="003F3277"/>
    <w:rsid w:val="003F4C79"/>
    <w:rsid w:val="003F4E06"/>
    <w:rsid w:val="003F5819"/>
    <w:rsid w:val="003F5925"/>
    <w:rsid w:val="003F5E3F"/>
    <w:rsid w:val="003F67CB"/>
    <w:rsid w:val="003F759C"/>
    <w:rsid w:val="003F7E6D"/>
    <w:rsid w:val="00400C0D"/>
    <w:rsid w:val="00401A8B"/>
    <w:rsid w:val="00401CD0"/>
    <w:rsid w:val="00402608"/>
    <w:rsid w:val="0040276A"/>
    <w:rsid w:val="00402A5A"/>
    <w:rsid w:val="00403542"/>
    <w:rsid w:val="00403A15"/>
    <w:rsid w:val="00404115"/>
    <w:rsid w:val="00405461"/>
    <w:rsid w:val="00405477"/>
    <w:rsid w:val="0040566B"/>
    <w:rsid w:val="0040604A"/>
    <w:rsid w:val="004067F1"/>
    <w:rsid w:val="004068A7"/>
    <w:rsid w:val="00406C91"/>
    <w:rsid w:val="004071C3"/>
    <w:rsid w:val="00410441"/>
    <w:rsid w:val="00410650"/>
    <w:rsid w:val="00410747"/>
    <w:rsid w:val="0041078F"/>
    <w:rsid w:val="00410B78"/>
    <w:rsid w:val="00410F4A"/>
    <w:rsid w:val="0041102C"/>
    <w:rsid w:val="00411154"/>
    <w:rsid w:val="00412BDE"/>
    <w:rsid w:val="00413E42"/>
    <w:rsid w:val="004146E5"/>
    <w:rsid w:val="00414DE0"/>
    <w:rsid w:val="004150A6"/>
    <w:rsid w:val="004150FE"/>
    <w:rsid w:val="004157FA"/>
    <w:rsid w:val="004158A0"/>
    <w:rsid w:val="00415D69"/>
    <w:rsid w:val="00415FAD"/>
    <w:rsid w:val="0041619C"/>
    <w:rsid w:val="0041747C"/>
    <w:rsid w:val="00417701"/>
    <w:rsid w:val="00417C68"/>
    <w:rsid w:val="00417D7A"/>
    <w:rsid w:val="004203AA"/>
    <w:rsid w:val="00420BA6"/>
    <w:rsid w:val="0042121D"/>
    <w:rsid w:val="004213E0"/>
    <w:rsid w:val="0042181C"/>
    <w:rsid w:val="00421BAA"/>
    <w:rsid w:val="00422508"/>
    <w:rsid w:val="0042267A"/>
    <w:rsid w:val="00422C59"/>
    <w:rsid w:val="00422CFC"/>
    <w:rsid w:val="0042412E"/>
    <w:rsid w:val="0042472D"/>
    <w:rsid w:val="0042505E"/>
    <w:rsid w:val="004252E0"/>
    <w:rsid w:val="004257A7"/>
    <w:rsid w:val="00425EF9"/>
    <w:rsid w:val="00425F92"/>
    <w:rsid w:val="0042613E"/>
    <w:rsid w:val="0042754D"/>
    <w:rsid w:val="00430459"/>
    <w:rsid w:val="004305C5"/>
    <w:rsid w:val="004318F9"/>
    <w:rsid w:val="00431B6B"/>
    <w:rsid w:val="00432B95"/>
    <w:rsid w:val="00432B9E"/>
    <w:rsid w:val="004330F7"/>
    <w:rsid w:val="00433D08"/>
    <w:rsid w:val="004342CB"/>
    <w:rsid w:val="00434374"/>
    <w:rsid w:val="00435197"/>
    <w:rsid w:val="004360AB"/>
    <w:rsid w:val="004364B8"/>
    <w:rsid w:val="0043678E"/>
    <w:rsid w:val="00437B57"/>
    <w:rsid w:val="00440E6C"/>
    <w:rsid w:val="00440F46"/>
    <w:rsid w:val="004410BC"/>
    <w:rsid w:val="00441164"/>
    <w:rsid w:val="004414D3"/>
    <w:rsid w:val="00441A6C"/>
    <w:rsid w:val="004420F9"/>
    <w:rsid w:val="00442BD0"/>
    <w:rsid w:val="004435D7"/>
    <w:rsid w:val="00444188"/>
    <w:rsid w:val="00444473"/>
    <w:rsid w:val="0044482D"/>
    <w:rsid w:val="00444927"/>
    <w:rsid w:val="00444FEA"/>
    <w:rsid w:val="00445837"/>
    <w:rsid w:val="004458AB"/>
    <w:rsid w:val="00445C9F"/>
    <w:rsid w:val="00446409"/>
    <w:rsid w:val="00446D64"/>
    <w:rsid w:val="00447C52"/>
    <w:rsid w:val="004503A1"/>
    <w:rsid w:val="00450674"/>
    <w:rsid w:val="004516E4"/>
    <w:rsid w:val="0045201A"/>
    <w:rsid w:val="00452210"/>
    <w:rsid w:val="0045241D"/>
    <w:rsid w:val="00453779"/>
    <w:rsid w:val="00453A77"/>
    <w:rsid w:val="00453DB3"/>
    <w:rsid w:val="00454B8F"/>
    <w:rsid w:val="00454C20"/>
    <w:rsid w:val="00454C71"/>
    <w:rsid w:val="0045521F"/>
    <w:rsid w:val="004558FA"/>
    <w:rsid w:val="00455CAE"/>
    <w:rsid w:val="00455E9B"/>
    <w:rsid w:val="00456D15"/>
    <w:rsid w:val="004572D8"/>
    <w:rsid w:val="004578E3"/>
    <w:rsid w:val="00457ADE"/>
    <w:rsid w:val="004602D4"/>
    <w:rsid w:val="00460A4B"/>
    <w:rsid w:val="00461252"/>
    <w:rsid w:val="0046159B"/>
    <w:rsid w:val="00461A84"/>
    <w:rsid w:val="00462286"/>
    <w:rsid w:val="00462F25"/>
    <w:rsid w:val="00462FE8"/>
    <w:rsid w:val="004631A1"/>
    <w:rsid w:val="0046330C"/>
    <w:rsid w:val="00463717"/>
    <w:rsid w:val="00463754"/>
    <w:rsid w:val="004637CD"/>
    <w:rsid w:val="00463F45"/>
    <w:rsid w:val="004644D1"/>
    <w:rsid w:val="004648BA"/>
    <w:rsid w:val="00464F7F"/>
    <w:rsid w:val="004653AD"/>
    <w:rsid w:val="00465498"/>
    <w:rsid w:val="00465A3C"/>
    <w:rsid w:val="00465F55"/>
    <w:rsid w:val="0046615C"/>
    <w:rsid w:val="00466742"/>
    <w:rsid w:val="00466AE4"/>
    <w:rsid w:val="00466D82"/>
    <w:rsid w:val="0046756D"/>
    <w:rsid w:val="00467B68"/>
    <w:rsid w:val="0047045E"/>
    <w:rsid w:val="00471361"/>
    <w:rsid w:val="00472834"/>
    <w:rsid w:val="00472ADA"/>
    <w:rsid w:val="00472AF9"/>
    <w:rsid w:val="00472CD8"/>
    <w:rsid w:val="00472E87"/>
    <w:rsid w:val="004738FD"/>
    <w:rsid w:val="00474322"/>
    <w:rsid w:val="00474620"/>
    <w:rsid w:val="00474E06"/>
    <w:rsid w:val="004753CD"/>
    <w:rsid w:val="0047548C"/>
    <w:rsid w:val="004761F1"/>
    <w:rsid w:val="00476446"/>
    <w:rsid w:val="00476A2F"/>
    <w:rsid w:val="004779AB"/>
    <w:rsid w:val="00477FA2"/>
    <w:rsid w:val="004801BA"/>
    <w:rsid w:val="0048028B"/>
    <w:rsid w:val="00480455"/>
    <w:rsid w:val="00481C87"/>
    <w:rsid w:val="00481F70"/>
    <w:rsid w:val="004827D8"/>
    <w:rsid w:val="004828B4"/>
    <w:rsid w:val="00482CAB"/>
    <w:rsid w:val="00482F94"/>
    <w:rsid w:val="004840B7"/>
    <w:rsid w:val="00485352"/>
    <w:rsid w:val="00485776"/>
    <w:rsid w:val="00485B53"/>
    <w:rsid w:val="0048639E"/>
    <w:rsid w:val="00486E14"/>
    <w:rsid w:val="004876C2"/>
    <w:rsid w:val="004878B6"/>
    <w:rsid w:val="00487EBB"/>
    <w:rsid w:val="00490370"/>
    <w:rsid w:val="00490831"/>
    <w:rsid w:val="00491095"/>
    <w:rsid w:val="004918B1"/>
    <w:rsid w:val="00491A74"/>
    <w:rsid w:val="00492C56"/>
    <w:rsid w:val="00492DA7"/>
    <w:rsid w:val="00492F1A"/>
    <w:rsid w:val="00493782"/>
    <w:rsid w:val="00493CF5"/>
    <w:rsid w:val="00493E2D"/>
    <w:rsid w:val="00494B2E"/>
    <w:rsid w:val="00494C91"/>
    <w:rsid w:val="0049521E"/>
    <w:rsid w:val="004952A2"/>
    <w:rsid w:val="0049590C"/>
    <w:rsid w:val="00495D9A"/>
    <w:rsid w:val="004966E0"/>
    <w:rsid w:val="00496AD7"/>
    <w:rsid w:val="004A0CEF"/>
    <w:rsid w:val="004A0E02"/>
    <w:rsid w:val="004A0ECC"/>
    <w:rsid w:val="004A1246"/>
    <w:rsid w:val="004A17FA"/>
    <w:rsid w:val="004A25D9"/>
    <w:rsid w:val="004A3F18"/>
    <w:rsid w:val="004A4D06"/>
    <w:rsid w:val="004A4FC8"/>
    <w:rsid w:val="004A51CD"/>
    <w:rsid w:val="004A5232"/>
    <w:rsid w:val="004A558B"/>
    <w:rsid w:val="004A59C2"/>
    <w:rsid w:val="004A7125"/>
    <w:rsid w:val="004A76F0"/>
    <w:rsid w:val="004B0727"/>
    <w:rsid w:val="004B0A5F"/>
    <w:rsid w:val="004B11AD"/>
    <w:rsid w:val="004B15CE"/>
    <w:rsid w:val="004B2630"/>
    <w:rsid w:val="004B51A3"/>
    <w:rsid w:val="004B534E"/>
    <w:rsid w:val="004B557C"/>
    <w:rsid w:val="004B586C"/>
    <w:rsid w:val="004B59CB"/>
    <w:rsid w:val="004B5E58"/>
    <w:rsid w:val="004B5FD0"/>
    <w:rsid w:val="004B6901"/>
    <w:rsid w:val="004B6E67"/>
    <w:rsid w:val="004B6F05"/>
    <w:rsid w:val="004B776B"/>
    <w:rsid w:val="004C0712"/>
    <w:rsid w:val="004C0F0D"/>
    <w:rsid w:val="004C1639"/>
    <w:rsid w:val="004C1838"/>
    <w:rsid w:val="004C1CE3"/>
    <w:rsid w:val="004C2605"/>
    <w:rsid w:val="004C3B2D"/>
    <w:rsid w:val="004C3FD7"/>
    <w:rsid w:val="004C4B3E"/>
    <w:rsid w:val="004C5AA1"/>
    <w:rsid w:val="004C600D"/>
    <w:rsid w:val="004C6374"/>
    <w:rsid w:val="004C64D0"/>
    <w:rsid w:val="004C683A"/>
    <w:rsid w:val="004C6B4F"/>
    <w:rsid w:val="004C6D63"/>
    <w:rsid w:val="004C6DF5"/>
    <w:rsid w:val="004C755F"/>
    <w:rsid w:val="004C79D9"/>
    <w:rsid w:val="004D0FA3"/>
    <w:rsid w:val="004D1629"/>
    <w:rsid w:val="004D25E2"/>
    <w:rsid w:val="004D2602"/>
    <w:rsid w:val="004D3A17"/>
    <w:rsid w:val="004D4AC2"/>
    <w:rsid w:val="004D5038"/>
    <w:rsid w:val="004D5710"/>
    <w:rsid w:val="004D5891"/>
    <w:rsid w:val="004D5EBD"/>
    <w:rsid w:val="004D6314"/>
    <w:rsid w:val="004D6A67"/>
    <w:rsid w:val="004D7312"/>
    <w:rsid w:val="004D7420"/>
    <w:rsid w:val="004D757A"/>
    <w:rsid w:val="004E054D"/>
    <w:rsid w:val="004E07DA"/>
    <w:rsid w:val="004E1454"/>
    <w:rsid w:val="004E234B"/>
    <w:rsid w:val="004E2921"/>
    <w:rsid w:val="004E2BC5"/>
    <w:rsid w:val="004E305F"/>
    <w:rsid w:val="004E3C85"/>
    <w:rsid w:val="004E3FB6"/>
    <w:rsid w:val="004E4100"/>
    <w:rsid w:val="004E41AF"/>
    <w:rsid w:val="004E4277"/>
    <w:rsid w:val="004E4F95"/>
    <w:rsid w:val="004E53FC"/>
    <w:rsid w:val="004E578F"/>
    <w:rsid w:val="004E596F"/>
    <w:rsid w:val="004E5A30"/>
    <w:rsid w:val="004E5CF5"/>
    <w:rsid w:val="004E750F"/>
    <w:rsid w:val="004E7540"/>
    <w:rsid w:val="004E7FC0"/>
    <w:rsid w:val="004F042A"/>
    <w:rsid w:val="004F05B8"/>
    <w:rsid w:val="004F1A7E"/>
    <w:rsid w:val="004F2B0B"/>
    <w:rsid w:val="004F2D06"/>
    <w:rsid w:val="004F2F35"/>
    <w:rsid w:val="004F3046"/>
    <w:rsid w:val="004F341C"/>
    <w:rsid w:val="004F3442"/>
    <w:rsid w:val="004F35EB"/>
    <w:rsid w:val="004F3723"/>
    <w:rsid w:val="004F38BC"/>
    <w:rsid w:val="004F3BE6"/>
    <w:rsid w:val="004F3D20"/>
    <w:rsid w:val="004F3F17"/>
    <w:rsid w:val="004F4978"/>
    <w:rsid w:val="004F4F47"/>
    <w:rsid w:val="004F56ED"/>
    <w:rsid w:val="004F5D56"/>
    <w:rsid w:val="004F5FA0"/>
    <w:rsid w:val="004F6045"/>
    <w:rsid w:val="004F6147"/>
    <w:rsid w:val="004F614F"/>
    <w:rsid w:val="004F69FE"/>
    <w:rsid w:val="004F752A"/>
    <w:rsid w:val="004F781C"/>
    <w:rsid w:val="004F7918"/>
    <w:rsid w:val="0050029F"/>
    <w:rsid w:val="0050084B"/>
    <w:rsid w:val="0050098F"/>
    <w:rsid w:val="00500CC6"/>
    <w:rsid w:val="0050145C"/>
    <w:rsid w:val="00501758"/>
    <w:rsid w:val="005020D3"/>
    <w:rsid w:val="005029A6"/>
    <w:rsid w:val="00503797"/>
    <w:rsid w:val="0050398F"/>
    <w:rsid w:val="00503C92"/>
    <w:rsid w:val="00503F6D"/>
    <w:rsid w:val="00504F8A"/>
    <w:rsid w:val="005052C0"/>
    <w:rsid w:val="00505B35"/>
    <w:rsid w:val="005064B5"/>
    <w:rsid w:val="00506536"/>
    <w:rsid w:val="005067EB"/>
    <w:rsid w:val="00506B64"/>
    <w:rsid w:val="005111E1"/>
    <w:rsid w:val="00511F82"/>
    <w:rsid w:val="0051227C"/>
    <w:rsid w:val="0051254F"/>
    <w:rsid w:val="005130A1"/>
    <w:rsid w:val="00513B6A"/>
    <w:rsid w:val="00513E25"/>
    <w:rsid w:val="0051430B"/>
    <w:rsid w:val="005144B5"/>
    <w:rsid w:val="00514710"/>
    <w:rsid w:val="00515B13"/>
    <w:rsid w:val="005162F1"/>
    <w:rsid w:val="00516603"/>
    <w:rsid w:val="00516AD0"/>
    <w:rsid w:val="0051766E"/>
    <w:rsid w:val="0051788F"/>
    <w:rsid w:val="005205CA"/>
    <w:rsid w:val="00520C96"/>
    <w:rsid w:val="00521896"/>
    <w:rsid w:val="005219BF"/>
    <w:rsid w:val="00522928"/>
    <w:rsid w:val="005234BC"/>
    <w:rsid w:val="00523D53"/>
    <w:rsid w:val="00523F12"/>
    <w:rsid w:val="00523FCF"/>
    <w:rsid w:val="00524E22"/>
    <w:rsid w:val="00524E9C"/>
    <w:rsid w:val="00525285"/>
    <w:rsid w:val="0052553B"/>
    <w:rsid w:val="00525BBB"/>
    <w:rsid w:val="00526118"/>
    <w:rsid w:val="00526346"/>
    <w:rsid w:val="005263EB"/>
    <w:rsid w:val="0052699C"/>
    <w:rsid w:val="0052700A"/>
    <w:rsid w:val="00527056"/>
    <w:rsid w:val="00527A5E"/>
    <w:rsid w:val="00527BA9"/>
    <w:rsid w:val="00527D95"/>
    <w:rsid w:val="00530166"/>
    <w:rsid w:val="00530771"/>
    <w:rsid w:val="00530783"/>
    <w:rsid w:val="00530833"/>
    <w:rsid w:val="00530DE9"/>
    <w:rsid w:val="00531C5F"/>
    <w:rsid w:val="005320EA"/>
    <w:rsid w:val="005327B6"/>
    <w:rsid w:val="0053625D"/>
    <w:rsid w:val="00536871"/>
    <w:rsid w:val="00536F59"/>
    <w:rsid w:val="00537507"/>
    <w:rsid w:val="00537A32"/>
    <w:rsid w:val="0054077E"/>
    <w:rsid w:val="00540889"/>
    <w:rsid w:val="00540997"/>
    <w:rsid w:val="005410A4"/>
    <w:rsid w:val="00541214"/>
    <w:rsid w:val="005412F3"/>
    <w:rsid w:val="0054133F"/>
    <w:rsid w:val="00541413"/>
    <w:rsid w:val="00541F64"/>
    <w:rsid w:val="00542F75"/>
    <w:rsid w:val="005431F0"/>
    <w:rsid w:val="005431FC"/>
    <w:rsid w:val="0054327C"/>
    <w:rsid w:val="005442D2"/>
    <w:rsid w:val="00544329"/>
    <w:rsid w:val="00544453"/>
    <w:rsid w:val="005446AA"/>
    <w:rsid w:val="00544DD3"/>
    <w:rsid w:val="00545215"/>
    <w:rsid w:val="00545E44"/>
    <w:rsid w:val="0054766B"/>
    <w:rsid w:val="005507D5"/>
    <w:rsid w:val="00550AA6"/>
    <w:rsid w:val="00550B24"/>
    <w:rsid w:val="005516BD"/>
    <w:rsid w:val="00552E58"/>
    <w:rsid w:val="005530E3"/>
    <w:rsid w:val="00553457"/>
    <w:rsid w:val="00553838"/>
    <w:rsid w:val="00553860"/>
    <w:rsid w:val="005539EC"/>
    <w:rsid w:val="00553A0B"/>
    <w:rsid w:val="00553E32"/>
    <w:rsid w:val="00554607"/>
    <w:rsid w:val="00554627"/>
    <w:rsid w:val="005547FF"/>
    <w:rsid w:val="00555E12"/>
    <w:rsid w:val="005563C9"/>
    <w:rsid w:val="005569F0"/>
    <w:rsid w:val="005572AA"/>
    <w:rsid w:val="0055735D"/>
    <w:rsid w:val="005574F9"/>
    <w:rsid w:val="00560031"/>
    <w:rsid w:val="00560624"/>
    <w:rsid w:val="00560894"/>
    <w:rsid w:val="005608D0"/>
    <w:rsid w:val="00560C38"/>
    <w:rsid w:val="00560DE2"/>
    <w:rsid w:val="00560FAC"/>
    <w:rsid w:val="005612D4"/>
    <w:rsid w:val="005613A3"/>
    <w:rsid w:val="005613A7"/>
    <w:rsid w:val="005619B7"/>
    <w:rsid w:val="00561A59"/>
    <w:rsid w:val="00561C1C"/>
    <w:rsid w:val="00562E3D"/>
    <w:rsid w:val="00563ADB"/>
    <w:rsid w:val="00563F75"/>
    <w:rsid w:val="005640EB"/>
    <w:rsid w:val="00565514"/>
    <w:rsid w:val="00565A6B"/>
    <w:rsid w:val="00565D96"/>
    <w:rsid w:val="00566845"/>
    <w:rsid w:val="00566EC1"/>
    <w:rsid w:val="00570584"/>
    <w:rsid w:val="00570871"/>
    <w:rsid w:val="00570DD9"/>
    <w:rsid w:val="005712D6"/>
    <w:rsid w:val="00571812"/>
    <w:rsid w:val="0057190F"/>
    <w:rsid w:val="00571DCD"/>
    <w:rsid w:val="0057218C"/>
    <w:rsid w:val="00572C81"/>
    <w:rsid w:val="00572E70"/>
    <w:rsid w:val="00572F0A"/>
    <w:rsid w:val="00573369"/>
    <w:rsid w:val="005739FF"/>
    <w:rsid w:val="00573AA7"/>
    <w:rsid w:val="00573C20"/>
    <w:rsid w:val="00574135"/>
    <w:rsid w:val="0057418A"/>
    <w:rsid w:val="0057459F"/>
    <w:rsid w:val="00574923"/>
    <w:rsid w:val="00574D59"/>
    <w:rsid w:val="00575C24"/>
    <w:rsid w:val="00576226"/>
    <w:rsid w:val="005762EA"/>
    <w:rsid w:val="005767AE"/>
    <w:rsid w:val="00580390"/>
    <w:rsid w:val="005817B2"/>
    <w:rsid w:val="005819F7"/>
    <w:rsid w:val="00581C35"/>
    <w:rsid w:val="00582102"/>
    <w:rsid w:val="0058214E"/>
    <w:rsid w:val="005824C6"/>
    <w:rsid w:val="00582674"/>
    <w:rsid w:val="0058271E"/>
    <w:rsid w:val="00582761"/>
    <w:rsid w:val="0058283F"/>
    <w:rsid w:val="00583296"/>
    <w:rsid w:val="00583930"/>
    <w:rsid w:val="00583BFE"/>
    <w:rsid w:val="00583D8A"/>
    <w:rsid w:val="005840EF"/>
    <w:rsid w:val="005845A3"/>
    <w:rsid w:val="005848F8"/>
    <w:rsid w:val="00584E2F"/>
    <w:rsid w:val="00585049"/>
    <w:rsid w:val="00585151"/>
    <w:rsid w:val="0058525B"/>
    <w:rsid w:val="00585C03"/>
    <w:rsid w:val="0058619F"/>
    <w:rsid w:val="00586637"/>
    <w:rsid w:val="00587C46"/>
    <w:rsid w:val="00587F56"/>
    <w:rsid w:val="00587FD9"/>
    <w:rsid w:val="00590065"/>
    <w:rsid w:val="0059008C"/>
    <w:rsid w:val="005908B9"/>
    <w:rsid w:val="00591265"/>
    <w:rsid w:val="00591283"/>
    <w:rsid w:val="005915A4"/>
    <w:rsid w:val="00591C3C"/>
    <w:rsid w:val="005924D3"/>
    <w:rsid w:val="005924F1"/>
    <w:rsid w:val="005925E3"/>
    <w:rsid w:val="00592A7A"/>
    <w:rsid w:val="0059304D"/>
    <w:rsid w:val="005933AE"/>
    <w:rsid w:val="00593554"/>
    <w:rsid w:val="00593F60"/>
    <w:rsid w:val="0059420C"/>
    <w:rsid w:val="00594579"/>
    <w:rsid w:val="00595156"/>
    <w:rsid w:val="00595677"/>
    <w:rsid w:val="00596322"/>
    <w:rsid w:val="00596832"/>
    <w:rsid w:val="00596CCB"/>
    <w:rsid w:val="00596DB6"/>
    <w:rsid w:val="00597753"/>
    <w:rsid w:val="00597BED"/>
    <w:rsid w:val="00597E6F"/>
    <w:rsid w:val="005A0203"/>
    <w:rsid w:val="005A052F"/>
    <w:rsid w:val="005A06BA"/>
    <w:rsid w:val="005A0EFC"/>
    <w:rsid w:val="005A1018"/>
    <w:rsid w:val="005A1099"/>
    <w:rsid w:val="005A12EF"/>
    <w:rsid w:val="005A1980"/>
    <w:rsid w:val="005A1A26"/>
    <w:rsid w:val="005A1C52"/>
    <w:rsid w:val="005A1F74"/>
    <w:rsid w:val="005A2593"/>
    <w:rsid w:val="005A3196"/>
    <w:rsid w:val="005A339E"/>
    <w:rsid w:val="005A408B"/>
    <w:rsid w:val="005A582B"/>
    <w:rsid w:val="005A5AD3"/>
    <w:rsid w:val="005A6F80"/>
    <w:rsid w:val="005A6FBA"/>
    <w:rsid w:val="005A7215"/>
    <w:rsid w:val="005A726F"/>
    <w:rsid w:val="005A7629"/>
    <w:rsid w:val="005A782E"/>
    <w:rsid w:val="005A791B"/>
    <w:rsid w:val="005A793B"/>
    <w:rsid w:val="005A79AE"/>
    <w:rsid w:val="005B0150"/>
    <w:rsid w:val="005B0489"/>
    <w:rsid w:val="005B0566"/>
    <w:rsid w:val="005B2054"/>
    <w:rsid w:val="005B2607"/>
    <w:rsid w:val="005B26FD"/>
    <w:rsid w:val="005B40A1"/>
    <w:rsid w:val="005B429E"/>
    <w:rsid w:val="005B44D0"/>
    <w:rsid w:val="005B4CD8"/>
    <w:rsid w:val="005B5B11"/>
    <w:rsid w:val="005B5DAB"/>
    <w:rsid w:val="005B5E15"/>
    <w:rsid w:val="005B60BD"/>
    <w:rsid w:val="005B6184"/>
    <w:rsid w:val="005B6837"/>
    <w:rsid w:val="005B78D4"/>
    <w:rsid w:val="005C0607"/>
    <w:rsid w:val="005C0A76"/>
    <w:rsid w:val="005C0BE5"/>
    <w:rsid w:val="005C0F51"/>
    <w:rsid w:val="005C11E6"/>
    <w:rsid w:val="005C152C"/>
    <w:rsid w:val="005C1F3B"/>
    <w:rsid w:val="005C208C"/>
    <w:rsid w:val="005C210A"/>
    <w:rsid w:val="005C2E67"/>
    <w:rsid w:val="005C35ED"/>
    <w:rsid w:val="005C35FA"/>
    <w:rsid w:val="005C3CEA"/>
    <w:rsid w:val="005C4122"/>
    <w:rsid w:val="005C4351"/>
    <w:rsid w:val="005C4D24"/>
    <w:rsid w:val="005C4DD7"/>
    <w:rsid w:val="005C539A"/>
    <w:rsid w:val="005C53BB"/>
    <w:rsid w:val="005C5ADF"/>
    <w:rsid w:val="005C5CAB"/>
    <w:rsid w:val="005C6F81"/>
    <w:rsid w:val="005C778A"/>
    <w:rsid w:val="005C794A"/>
    <w:rsid w:val="005C7B1F"/>
    <w:rsid w:val="005D00EF"/>
    <w:rsid w:val="005D05AF"/>
    <w:rsid w:val="005D0923"/>
    <w:rsid w:val="005D1184"/>
    <w:rsid w:val="005D12BF"/>
    <w:rsid w:val="005D14E9"/>
    <w:rsid w:val="005D1B75"/>
    <w:rsid w:val="005D1C71"/>
    <w:rsid w:val="005D1DA4"/>
    <w:rsid w:val="005D21A6"/>
    <w:rsid w:val="005D29D5"/>
    <w:rsid w:val="005D30B1"/>
    <w:rsid w:val="005D32CB"/>
    <w:rsid w:val="005D3E97"/>
    <w:rsid w:val="005D3EF3"/>
    <w:rsid w:val="005D4095"/>
    <w:rsid w:val="005D4641"/>
    <w:rsid w:val="005D49FF"/>
    <w:rsid w:val="005D4D0A"/>
    <w:rsid w:val="005D5695"/>
    <w:rsid w:val="005D63D6"/>
    <w:rsid w:val="005D77A0"/>
    <w:rsid w:val="005D7ED3"/>
    <w:rsid w:val="005E0862"/>
    <w:rsid w:val="005E0F9E"/>
    <w:rsid w:val="005E1375"/>
    <w:rsid w:val="005E147F"/>
    <w:rsid w:val="005E1CEB"/>
    <w:rsid w:val="005E2A30"/>
    <w:rsid w:val="005E2FF1"/>
    <w:rsid w:val="005E3850"/>
    <w:rsid w:val="005E39F3"/>
    <w:rsid w:val="005E3B89"/>
    <w:rsid w:val="005E3DEF"/>
    <w:rsid w:val="005E46C1"/>
    <w:rsid w:val="005E4C8F"/>
    <w:rsid w:val="005E4E97"/>
    <w:rsid w:val="005E4FA2"/>
    <w:rsid w:val="005E51C5"/>
    <w:rsid w:val="005E58D5"/>
    <w:rsid w:val="005E5C65"/>
    <w:rsid w:val="005E5DFA"/>
    <w:rsid w:val="005E682E"/>
    <w:rsid w:val="005E6F86"/>
    <w:rsid w:val="005E7479"/>
    <w:rsid w:val="005E7892"/>
    <w:rsid w:val="005F0245"/>
    <w:rsid w:val="005F0652"/>
    <w:rsid w:val="005F07BE"/>
    <w:rsid w:val="005F1146"/>
    <w:rsid w:val="005F352E"/>
    <w:rsid w:val="005F3CEA"/>
    <w:rsid w:val="005F4A97"/>
    <w:rsid w:val="005F4E85"/>
    <w:rsid w:val="005F546F"/>
    <w:rsid w:val="005F5479"/>
    <w:rsid w:val="005F5B32"/>
    <w:rsid w:val="005F62D7"/>
    <w:rsid w:val="005F66DC"/>
    <w:rsid w:val="005F731B"/>
    <w:rsid w:val="006002D9"/>
    <w:rsid w:val="006006C9"/>
    <w:rsid w:val="006013FB"/>
    <w:rsid w:val="00601BBE"/>
    <w:rsid w:val="00601F1A"/>
    <w:rsid w:val="00601FAB"/>
    <w:rsid w:val="00602746"/>
    <w:rsid w:val="0060294C"/>
    <w:rsid w:val="00603073"/>
    <w:rsid w:val="00603128"/>
    <w:rsid w:val="006031A0"/>
    <w:rsid w:val="0060359E"/>
    <w:rsid w:val="006036E2"/>
    <w:rsid w:val="006037C5"/>
    <w:rsid w:val="00603BCB"/>
    <w:rsid w:val="00603DE5"/>
    <w:rsid w:val="0060471F"/>
    <w:rsid w:val="0060483C"/>
    <w:rsid w:val="00604D4B"/>
    <w:rsid w:val="00604F87"/>
    <w:rsid w:val="006052B9"/>
    <w:rsid w:val="00605607"/>
    <w:rsid w:val="00605E4D"/>
    <w:rsid w:val="00606050"/>
    <w:rsid w:val="00606458"/>
    <w:rsid w:val="00606CC5"/>
    <w:rsid w:val="00606D2A"/>
    <w:rsid w:val="00607141"/>
    <w:rsid w:val="00607B23"/>
    <w:rsid w:val="00611189"/>
    <w:rsid w:val="006114F8"/>
    <w:rsid w:val="006125C5"/>
    <w:rsid w:val="0061276D"/>
    <w:rsid w:val="0061278B"/>
    <w:rsid w:val="00613A41"/>
    <w:rsid w:val="006144BB"/>
    <w:rsid w:val="006145A4"/>
    <w:rsid w:val="00614B54"/>
    <w:rsid w:val="00616900"/>
    <w:rsid w:val="00616ACC"/>
    <w:rsid w:val="00616B2A"/>
    <w:rsid w:val="0061744E"/>
    <w:rsid w:val="0061799E"/>
    <w:rsid w:val="00617CDA"/>
    <w:rsid w:val="006204D9"/>
    <w:rsid w:val="006205AD"/>
    <w:rsid w:val="00620CAC"/>
    <w:rsid w:val="00621934"/>
    <w:rsid w:val="00622007"/>
    <w:rsid w:val="00623C5C"/>
    <w:rsid w:val="00623D94"/>
    <w:rsid w:val="00623F1D"/>
    <w:rsid w:val="006240EA"/>
    <w:rsid w:val="00624B58"/>
    <w:rsid w:val="00624D93"/>
    <w:rsid w:val="006254B1"/>
    <w:rsid w:val="0062711B"/>
    <w:rsid w:val="00630007"/>
    <w:rsid w:val="006305AE"/>
    <w:rsid w:val="00630940"/>
    <w:rsid w:val="00630B6A"/>
    <w:rsid w:val="006312F7"/>
    <w:rsid w:val="00631585"/>
    <w:rsid w:val="006320CB"/>
    <w:rsid w:val="00632656"/>
    <w:rsid w:val="00632F67"/>
    <w:rsid w:val="00633CF5"/>
    <w:rsid w:val="006345ED"/>
    <w:rsid w:val="006345EE"/>
    <w:rsid w:val="00635387"/>
    <w:rsid w:val="00635D9C"/>
    <w:rsid w:val="00636367"/>
    <w:rsid w:val="00636BD8"/>
    <w:rsid w:val="00640005"/>
    <w:rsid w:val="0064043A"/>
    <w:rsid w:val="0064099A"/>
    <w:rsid w:val="00641758"/>
    <w:rsid w:val="00641C1A"/>
    <w:rsid w:val="00641DF1"/>
    <w:rsid w:val="00642B83"/>
    <w:rsid w:val="0064341D"/>
    <w:rsid w:val="006436ED"/>
    <w:rsid w:val="00643ACA"/>
    <w:rsid w:val="00645164"/>
    <w:rsid w:val="00645E35"/>
    <w:rsid w:val="006469A2"/>
    <w:rsid w:val="00646AB8"/>
    <w:rsid w:val="00646D0D"/>
    <w:rsid w:val="006471F9"/>
    <w:rsid w:val="0064782E"/>
    <w:rsid w:val="006507E9"/>
    <w:rsid w:val="00650822"/>
    <w:rsid w:val="00650A98"/>
    <w:rsid w:val="00652863"/>
    <w:rsid w:val="0065290E"/>
    <w:rsid w:val="00652921"/>
    <w:rsid w:val="00653C4B"/>
    <w:rsid w:val="00653D6D"/>
    <w:rsid w:val="00654978"/>
    <w:rsid w:val="006560A2"/>
    <w:rsid w:val="00656401"/>
    <w:rsid w:val="00656989"/>
    <w:rsid w:val="00656A0C"/>
    <w:rsid w:val="006572C7"/>
    <w:rsid w:val="006578FA"/>
    <w:rsid w:val="0066025F"/>
    <w:rsid w:val="0066047B"/>
    <w:rsid w:val="00660E13"/>
    <w:rsid w:val="0066141F"/>
    <w:rsid w:val="00661B9D"/>
    <w:rsid w:val="0066220A"/>
    <w:rsid w:val="00662A45"/>
    <w:rsid w:val="00662E8A"/>
    <w:rsid w:val="00663136"/>
    <w:rsid w:val="00663832"/>
    <w:rsid w:val="00663BB8"/>
    <w:rsid w:val="0066419D"/>
    <w:rsid w:val="0066434A"/>
    <w:rsid w:val="00664A82"/>
    <w:rsid w:val="0066555D"/>
    <w:rsid w:val="006655C3"/>
    <w:rsid w:val="00665844"/>
    <w:rsid w:val="006661AE"/>
    <w:rsid w:val="006661E7"/>
    <w:rsid w:val="006668DC"/>
    <w:rsid w:val="0066711D"/>
    <w:rsid w:val="006674AF"/>
    <w:rsid w:val="00667861"/>
    <w:rsid w:val="00667EF3"/>
    <w:rsid w:val="00667FEE"/>
    <w:rsid w:val="006701A1"/>
    <w:rsid w:val="006707CC"/>
    <w:rsid w:val="00670E7B"/>
    <w:rsid w:val="00670ECD"/>
    <w:rsid w:val="0067129B"/>
    <w:rsid w:val="00671D95"/>
    <w:rsid w:val="0067241E"/>
    <w:rsid w:val="00672AFD"/>
    <w:rsid w:val="00673BEE"/>
    <w:rsid w:val="006740EF"/>
    <w:rsid w:val="006746D0"/>
    <w:rsid w:val="00675115"/>
    <w:rsid w:val="00675FA0"/>
    <w:rsid w:val="00676A07"/>
    <w:rsid w:val="00677B79"/>
    <w:rsid w:val="00677FAC"/>
    <w:rsid w:val="00680B1F"/>
    <w:rsid w:val="00680E20"/>
    <w:rsid w:val="006810EF"/>
    <w:rsid w:val="00681D97"/>
    <w:rsid w:val="00681F24"/>
    <w:rsid w:val="006826D6"/>
    <w:rsid w:val="00682983"/>
    <w:rsid w:val="00682F41"/>
    <w:rsid w:val="00682F49"/>
    <w:rsid w:val="006838FF"/>
    <w:rsid w:val="00683AED"/>
    <w:rsid w:val="006840C7"/>
    <w:rsid w:val="0068441B"/>
    <w:rsid w:val="0068476F"/>
    <w:rsid w:val="00684C89"/>
    <w:rsid w:val="0068553C"/>
    <w:rsid w:val="00685567"/>
    <w:rsid w:val="006860EB"/>
    <w:rsid w:val="00686E4A"/>
    <w:rsid w:val="00686F72"/>
    <w:rsid w:val="0068744E"/>
    <w:rsid w:val="00687644"/>
    <w:rsid w:val="00687A58"/>
    <w:rsid w:val="00687CF6"/>
    <w:rsid w:val="00687D00"/>
    <w:rsid w:val="0069098B"/>
    <w:rsid w:val="006914F0"/>
    <w:rsid w:val="00691E08"/>
    <w:rsid w:val="00692724"/>
    <w:rsid w:val="00692FA9"/>
    <w:rsid w:val="006930F8"/>
    <w:rsid w:val="00693912"/>
    <w:rsid w:val="00693BDB"/>
    <w:rsid w:val="006940D3"/>
    <w:rsid w:val="006940F0"/>
    <w:rsid w:val="00694113"/>
    <w:rsid w:val="006949CD"/>
    <w:rsid w:val="00695C9D"/>
    <w:rsid w:val="006964AC"/>
    <w:rsid w:val="006966DF"/>
    <w:rsid w:val="006968F8"/>
    <w:rsid w:val="00697D39"/>
    <w:rsid w:val="006A0747"/>
    <w:rsid w:val="006A13E2"/>
    <w:rsid w:val="006A178A"/>
    <w:rsid w:val="006A18E6"/>
    <w:rsid w:val="006A1DBF"/>
    <w:rsid w:val="006A1F3C"/>
    <w:rsid w:val="006A2901"/>
    <w:rsid w:val="006A29F8"/>
    <w:rsid w:val="006A2DA4"/>
    <w:rsid w:val="006A31DF"/>
    <w:rsid w:val="006A55B0"/>
    <w:rsid w:val="006A5615"/>
    <w:rsid w:val="006A6C1F"/>
    <w:rsid w:val="006A728C"/>
    <w:rsid w:val="006A77AB"/>
    <w:rsid w:val="006A7D09"/>
    <w:rsid w:val="006B0557"/>
    <w:rsid w:val="006B059E"/>
    <w:rsid w:val="006B0723"/>
    <w:rsid w:val="006B0794"/>
    <w:rsid w:val="006B1043"/>
    <w:rsid w:val="006B14B4"/>
    <w:rsid w:val="006B1692"/>
    <w:rsid w:val="006B230A"/>
    <w:rsid w:val="006B25B8"/>
    <w:rsid w:val="006B37BB"/>
    <w:rsid w:val="006B3E1A"/>
    <w:rsid w:val="006B3F37"/>
    <w:rsid w:val="006B51B9"/>
    <w:rsid w:val="006B679F"/>
    <w:rsid w:val="006B68A7"/>
    <w:rsid w:val="006B6AD5"/>
    <w:rsid w:val="006B75B6"/>
    <w:rsid w:val="006B7772"/>
    <w:rsid w:val="006C0484"/>
    <w:rsid w:val="006C05A9"/>
    <w:rsid w:val="006C179E"/>
    <w:rsid w:val="006C1850"/>
    <w:rsid w:val="006C2DCD"/>
    <w:rsid w:val="006C3AB5"/>
    <w:rsid w:val="006C562C"/>
    <w:rsid w:val="006C57D9"/>
    <w:rsid w:val="006C61A8"/>
    <w:rsid w:val="006C65A0"/>
    <w:rsid w:val="006C68FB"/>
    <w:rsid w:val="006C6E7A"/>
    <w:rsid w:val="006C76C7"/>
    <w:rsid w:val="006C7C2E"/>
    <w:rsid w:val="006C7EC3"/>
    <w:rsid w:val="006D0321"/>
    <w:rsid w:val="006D0793"/>
    <w:rsid w:val="006D0A2D"/>
    <w:rsid w:val="006D0F97"/>
    <w:rsid w:val="006D127D"/>
    <w:rsid w:val="006D1436"/>
    <w:rsid w:val="006D1FF9"/>
    <w:rsid w:val="006D22A2"/>
    <w:rsid w:val="006D348B"/>
    <w:rsid w:val="006D3522"/>
    <w:rsid w:val="006D3530"/>
    <w:rsid w:val="006D3751"/>
    <w:rsid w:val="006D4300"/>
    <w:rsid w:val="006D4415"/>
    <w:rsid w:val="006D47F4"/>
    <w:rsid w:val="006D5425"/>
    <w:rsid w:val="006D5683"/>
    <w:rsid w:val="006D60C9"/>
    <w:rsid w:val="006D7B59"/>
    <w:rsid w:val="006D7EAC"/>
    <w:rsid w:val="006E17E8"/>
    <w:rsid w:val="006E1A47"/>
    <w:rsid w:val="006E202A"/>
    <w:rsid w:val="006E566E"/>
    <w:rsid w:val="006E6232"/>
    <w:rsid w:val="006E6FDA"/>
    <w:rsid w:val="006E7361"/>
    <w:rsid w:val="006E737E"/>
    <w:rsid w:val="006E7CBD"/>
    <w:rsid w:val="006F003B"/>
    <w:rsid w:val="006F007B"/>
    <w:rsid w:val="006F130B"/>
    <w:rsid w:val="006F27E3"/>
    <w:rsid w:val="006F28FB"/>
    <w:rsid w:val="006F2DA1"/>
    <w:rsid w:val="006F316D"/>
    <w:rsid w:val="006F39CD"/>
    <w:rsid w:val="006F3BAC"/>
    <w:rsid w:val="006F3DAA"/>
    <w:rsid w:val="006F53B3"/>
    <w:rsid w:val="006F7DDF"/>
    <w:rsid w:val="00700123"/>
    <w:rsid w:val="007004A0"/>
    <w:rsid w:val="00700692"/>
    <w:rsid w:val="0070109F"/>
    <w:rsid w:val="00701447"/>
    <w:rsid w:val="007016D3"/>
    <w:rsid w:val="00701979"/>
    <w:rsid w:val="00701F65"/>
    <w:rsid w:val="007021DE"/>
    <w:rsid w:val="007023A5"/>
    <w:rsid w:val="007023F8"/>
    <w:rsid w:val="00702F78"/>
    <w:rsid w:val="00702F7F"/>
    <w:rsid w:val="00703C9A"/>
    <w:rsid w:val="00703E2E"/>
    <w:rsid w:val="00703FAC"/>
    <w:rsid w:val="0070489F"/>
    <w:rsid w:val="00704A0E"/>
    <w:rsid w:val="00705495"/>
    <w:rsid w:val="007055DE"/>
    <w:rsid w:val="007056E8"/>
    <w:rsid w:val="0070606F"/>
    <w:rsid w:val="007068CB"/>
    <w:rsid w:val="0070698D"/>
    <w:rsid w:val="00706A6B"/>
    <w:rsid w:val="00706F45"/>
    <w:rsid w:val="00706FCE"/>
    <w:rsid w:val="00707892"/>
    <w:rsid w:val="007104CC"/>
    <w:rsid w:val="007104DD"/>
    <w:rsid w:val="00710C50"/>
    <w:rsid w:val="00711196"/>
    <w:rsid w:val="00711B3F"/>
    <w:rsid w:val="00711C22"/>
    <w:rsid w:val="007121B4"/>
    <w:rsid w:val="00712320"/>
    <w:rsid w:val="00712886"/>
    <w:rsid w:val="0071340D"/>
    <w:rsid w:val="00714306"/>
    <w:rsid w:val="007150D4"/>
    <w:rsid w:val="0071614C"/>
    <w:rsid w:val="00716D7F"/>
    <w:rsid w:val="00717B75"/>
    <w:rsid w:val="00717ECB"/>
    <w:rsid w:val="00717FE8"/>
    <w:rsid w:val="007203E3"/>
    <w:rsid w:val="007203F0"/>
    <w:rsid w:val="00720C72"/>
    <w:rsid w:val="00720E6C"/>
    <w:rsid w:val="007213E4"/>
    <w:rsid w:val="0072163E"/>
    <w:rsid w:val="0072193D"/>
    <w:rsid w:val="00721998"/>
    <w:rsid w:val="00721D82"/>
    <w:rsid w:val="00723CE2"/>
    <w:rsid w:val="00723F70"/>
    <w:rsid w:val="00724E2D"/>
    <w:rsid w:val="0072578A"/>
    <w:rsid w:val="00726518"/>
    <w:rsid w:val="00726599"/>
    <w:rsid w:val="0072662E"/>
    <w:rsid w:val="00726A7E"/>
    <w:rsid w:val="00726CE0"/>
    <w:rsid w:val="007272A9"/>
    <w:rsid w:val="00730355"/>
    <w:rsid w:val="00730888"/>
    <w:rsid w:val="00730BAB"/>
    <w:rsid w:val="0073158E"/>
    <w:rsid w:val="0073172A"/>
    <w:rsid w:val="00732773"/>
    <w:rsid w:val="0073289F"/>
    <w:rsid w:val="00732EBC"/>
    <w:rsid w:val="00733672"/>
    <w:rsid w:val="0073379C"/>
    <w:rsid w:val="00733FFC"/>
    <w:rsid w:val="0073414D"/>
    <w:rsid w:val="00734289"/>
    <w:rsid w:val="007345C7"/>
    <w:rsid w:val="00735101"/>
    <w:rsid w:val="00735263"/>
    <w:rsid w:val="00735626"/>
    <w:rsid w:val="00735C2D"/>
    <w:rsid w:val="00735E52"/>
    <w:rsid w:val="00736733"/>
    <w:rsid w:val="0073687B"/>
    <w:rsid w:val="007371A6"/>
    <w:rsid w:val="00737264"/>
    <w:rsid w:val="00737BA6"/>
    <w:rsid w:val="007402CB"/>
    <w:rsid w:val="007409B2"/>
    <w:rsid w:val="00741510"/>
    <w:rsid w:val="007415A7"/>
    <w:rsid w:val="00743ADC"/>
    <w:rsid w:val="00744416"/>
    <w:rsid w:val="00744493"/>
    <w:rsid w:val="00744C97"/>
    <w:rsid w:val="00745217"/>
    <w:rsid w:val="007462EC"/>
    <w:rsid w:val="007463E6"/>
    <w:rsid w:val="00746589"/>
    <w:rsid w:val="0074663B"/>
    <w:rsid w:val="00747835"/>
    <w:rsid w:val="00747A0B"/>
    <w:rsid w:val="0075090A"/>
    <w:rsid w:val="00750B94"/>
    <w:rsid w:val="00751195"/>
    <w:rsid w:val="00751BBA"/>
    <w:rsid w:val="00751FBE"/>
    <w:rsid w:val="007522AF"/>
    <w:rsid w:val="007524B5"/>
    <w:rsid w:val="00752528"/>
    <w:rsid w:val="007533C9"/>
    <w:rsid w:val="007539CB"/>
    <w:rsid w:val="007544A9"/>
    <w:rsid w:val="0075460F"/>
    <w:rsid w:val="00755D9A"/>
    <w:rsid w:val="007560F8"/>
    <w:rsid w:val="00756B31"/>
    <w:rsid w:val="00756D76"/>
    <w:rsid w:val="00757425"/>
    <w:rsid w:val="007600C9"/>
    <w:rsid w:val="00761AC8"/>
    <w:rsid w:val="0076206F"/>
    <w:rsid w:val="00762606"/>
    <w:rsid w:val="00762CF0"/>
    <w:rsid w:val="00762F5F"/>
    <w:rsid w:val="007632E0"/>
    <w:rsid w:val="007637E0"/>
    <w:rsid w:val="00764453"/>
    <w:rsid w:val="00764801"/>
    <w:rsid w:val="00764C4A"/>
    <w:rsid w:val="0076515D"/>
    <w:rsid w:val="007655FA"/>
    <w:rsid w:val="007658E5"/>
    <w:rsid w:val="00765AA7"/>
    <w:rsid w:val="00766A81"/>
    <w:rsid w:val="00767451"/>
    <w:rsid w:val="007679EB"/>
    <w:rsid w:val="00770488"/>
    <w:rsid w:val="00770D94"/>
    <w:rsid w:val="00771631"/>
    <w:rsid w:val="00771F9B"/>
    <w:rsid w:val="0077261D"/>
    <w:rsid w:val="0077271B"/>
    <w:rsid w:val="00772ADE"/>
    <w:rsid w:val="00775F72"/>
    <w:rsid w:val="0077621A"/>
    <w:rsid w:val="007762CD"/>
    <w:rsid w:val="007768E1"/>
    <w:rsid w:val="0077713B"/>
    <w:rsid w:val="00777290"/>
    <w:rsid w:val="007777C3"/>
    <w:rsid w:val="00777CF3"/>
    <w:rsid w:val="00777F49"/>
    <w:rsid w:val="00780273"/>
    <w:rsid w:val="00780956"/>
    <w:rsid w:val="0078155A"/>
    <w:rsid w:val="0078233F"/>
    <w:rsid w:val="00782D8F"/>
    <w:rsid w:val="00782F00"/>
    <w:rsid w:val="00782FC5"/>
    <w:rsid w:val="0078357E"/>
    <w:rsid w:val="0078385A"/>
    <w:rsid w:val="007839E7"/>
    <w:rsid w:val="007841FF"/>
    <w:rsid w:val="00784828"/>
    <w:rsid w:val="00785009"/>
    <w:rsid w:val="00785E26"/>
    <w:rsid w:val="00785EFF"/>
    <w:rsid w:val="00786556"/>
    <w:rsid w:val="00786824"/>
    <w:rsid w:val="0078724C"/>
    <w:rsid w:val="007872AD"/>
    <w:rsid w:val="007872E4"/>
    <w:rsid w:val="00787C9D"/>
    <w:rsid w:val="007906CA"/>
    <w:rsid w:val="00791503"/>
    <w:rsid w:val="00791FAF"/>
    <w:rsid w:val="00792289"/>
    <w:rsid w:val="00793054"/>
    <w:rsid w:val="0079347A"/>
    <w:rsid w:val="007934D4"/>
    <w:rsid w:val="007939BD"/>
    <w:rsid w:val="00793C16"/>
    <w:rsid w:val="00793FBD"/>
    <w:rsid w:val="00794198"/>
    <w:rsid w:val="00795610"/>
    <w:rsid w:val="00795792"/>
    <w:rsid w:val="00796AC3"/>
    <w:rsid w:val="00796C5E"/>
    <w:rsid w:val="0079775B"/>
    <w:rsid w:val="007977F9"/>
    <w:rsid w:val="007A0253"/>
    <w:rsid w:val="007A0692"/>
    <w:rsid w:val="007A0B62"/>
    <w:rsid w:val="007A11B0"/>
    <w:rsid w:val="007A1236"/>
    <w:rsid w:val="007A1816"/>
    <w:rsid w:val="007A1D32"/>
    <w:rsid w:val="007A1EA0"/>
    <w:rsid w:val="007A21A0"/>
    <w:rsid w:val="007A2A69"/>
    <w:rsid w:val="007A2A6F"/>
    <w:rsid w:val="007A39D3"/>
    <w:rsid w:val="007A3BDD"/>
    <w:rsid w:val="007A3E4D"/>
    <w:rsid w:val="007A4385"/>
    <w:rsid w:val="007A4506"/>
    <w:rsid w:val="007A50EE"/>
    <w:rsid w:val="007A55B9"/>
    <w:rsid w:val="007A57AE"/>
    <w:rsid w:val="007A5B4D"/>
    <w:rsid w:val="007A6285"/>
    <w:rsid w:val="007A6E20"/>
    <w:rsid w:val="007A73DA"/>
    <w:rsid w:val="007A74B2"/>
    <w:rsid w:val="007B07C4"/>
    <w:rsid w:val="007B07E3"/>
    <w:rsid w:val="007B0982"/>
    <w:rsid w:val="007B0B94"/>
    <w:rsid w:val="007B11EC"/>
    <w:rsid w:val="007B1F57"/>
    <w:rsid w:val="007B2F7B"/>
    <w:rsid w:val="007B31E9"/>
    <w:rsid w:val="007B37DB"/>
    <w:rsid w:val="007B3EBC"/>
    <w:rsid w:val="007B43B6"/>
    <w:rsid w:val="007B4597"/>
    <w:rsid w:val="007B47A0"/>
    <w:rsid w:val="007B5174"/>
    <w:rsid w:val="007B5336"/>
    <w:rsid w:val="007B55C5"/>
    <w:rsid w:val="007B57D2"/>
    <w:rsid w:val="007B5E43"/>
    <w:rsid w:val="007B60DF"/>
    <w:rsid w:val="007B70FB"/>
    <w:rsid w:val="007B74DB"/>
    <w:rsid w:val="007B79AC"/>
    <w:rsid w:val="007B7A1A"/>
    <w:rsid w:val="007C0482"/>
    <w:rsid w:val="007C0D56"/>
    <w:rsid w:val="007C123C"/>
    <w:rsid w:val="007C1DC9"/>
    <w:rsid w:val="007C20FE"/>
    <w:rsid w:val="007C2678"/>
    <w:rsid w:val="007C3435"/>
    <w:rsid w:val="007C369F"/>
    <w:rsid w:val="007C376A"/>
    <w:rsid w:val="007C3E04"/>
    <w:rsid w:val="007C4A77"/>
    <w:rsid w:val="007C4D6B"/>
    <w:rsid w:val="007C55BE"/>
    <w:rsid w:val="007C5AB5"/>
    <w:rsid w:val="007C766F"/>
    <w:rsid w:val="007C7AD6"/>
    <w:rsid w:val="007C7C59"/>
    <w:rsid w:val="007C7DC7"/>
    <w:rsid w:val="007D01C5"/>
    <w:rsid w:val="007D0BB9"/>
    <w:rsid w:val="007D0D62"/>
    <w:rsid w:val="007D0E7B"/>
    <w:rsid w:val="007D10C0"/>
    <w:rsid w:val="007D17E9"/>
    <w:rsid w:val="007D2A26"/>
    <w:rsid w:val="007D33F7"/>
    <w:rsid w:val="007D40F5"/>
    <w:rsid w:val="007D41FB"/>
    <w:rsid w:val="007D4385"/>
    <w:rsid w:val="007D46D8"/>
    <w:rsid w:val="007D4892"/>
    <w:rsid w:val="007D48E9"/>
    <w:rsid w:val="007D5207"/>
    <w:rsid w:val="007D53CB"/>
    <w:rsid w:val="007D5857"/>
    <w:rsid w:val="007D5A2E"/>
    <w:rsid w:val="007D6F86"/>
    <w:rsid w:val="007D72EB"/>
    <w:rsid w:val="007D7CD6"/>
    <w:rsid w:val="007E0F37"/>
    <w:rsid w:val="007E0F8F"/>
    <w:rsid w:val="007E1DA1"/>
    <w:rsid w:val="007E317C"/>
    <w:rsid w:val="007E38F5"/>
    <w:rsid w:val="007E3DBA"/>
    <w:rsid w:val="007E3E82"/>
    <w:rsid w:val="007E4225"/>
    <w:rsid w:val="007E44F9"/>
    <w:rsid w:val="007E49AE"/>
    <w:rsid w:val="007E54D0"/>
    <w:rsid w:val="007E5E79"/>
    <w:rsid w:val="007E5ED9"/>
    <w:rsid w:val="007E5EDC"/>
    <w:rsid w:val="007E5F31"/>
    <w:rsid w:val="007E6646"/>
    <w:rsid w:val="007E6C51"/>
    <w:rsid w:val="007E7232"/>
    <w:rsid w:val="007E72AB"/>
    <w:rsid w:val="007F0378"/>
    <w:rsid w:val="007F0684"/>
    <w:rsid w:val="007F06B6"/>
    <w:rsid w:val="007F06E8"/>
    <w:rsid w:val="007F0AF8"/>
    <w:rsid w:val="007F1411"/>
    <w:rsid w:val="007F20F1"/>
    <w:rsid w:val="007F219A"/>
    <w:rsid w:val="007F3F16"/>
    <w:rsid w:val="007F43AE"/>
    <w:rsid w:val="007F4981"/>
    <w:rsid w:val="007F5AA1"/>
    <w:rsid w:val="007F5DA6"/>
    <w:rsid w:val="007F65DB"/>
    <w:rsid w:val="007F6761"/>
    <w:rsid w:val="007F6BC4"/>
    <w:rsid w:val="007F70D4"/>
    <w:rsid w:val="007F76B6"/>
    <w:rsid w:val="0080009A"/>
    <w:rsid w:val="00800120"/>
    <w:rsid w:val="0080073F"/>
    <w:rsid w:val="0080085D"/>
    <w:rsid w:val="00800E5E"/>
    <w:rsid w:val="0080155D"/>
    <w:rsid w:val="00801CB1"/>
    <w:rsid w:val="00802AA7"/>
    <w:rsid w:val="00802B43"/>
    <w:rsid w:val="00802B6F"/>
    <w:rsid w:val="00803A0C"/>
    <w:rsid w:val="00803ACE"/>
    <w:rsid w:val="008051E1"/>
    <w:rsid w:val="00805B99"/>
    <w:rsid w:val="00806A74"/>
    <w:rsid w:val="00806E9B"/>
    <w:rsid w:val="00806F6F"/>
    <w:rsid w:val="00807090"/>
    <w:rsid w:val="008071E0"/>
    <w:rsid w:val="00807926"/>
    <w:rsid w:val="00807A15"/>
    <w:rsid w:val="00807AB5"/>
    <w:rsid w:val="008100A2"/>
    <w:rsid w:val="008101CB"/>
    <w:rsid w:val="008103E2"/>
    <w:rsid w:val="0081040A"/>
    <w:rsid w:val="008107F5"/>
    <w:rsid w:val="00810E30"/>
    <w:rsid w:val="00810ED7"/>
    <w:rsid w:val="00810F19"/>
    <w:rsid w:val="0081355C"/>
    <w:rsid w:val="00813AEB"/>
    <w:rsid w:val="008146E1"/>
    <w:rsid w:val="00814CAD"/>
    <w:rsid w:val="00815D4E"/>
    <w:rsid w:val="00816EFC"/>
    <w:rsid w:val="00817D96"/>
    <w:rsid w:val="00817F9A"/>
    <w:rsid w:val="0082093A"/>
    <w:rsid w:val="00822459"/>
    <w:rsid w:val="008227FA"/>
    <w:rsid w:val="008229A2"/>
    <w:rsid w:val="00822BCB"/>
    <w:rsid w:val="008231C0"/>
    <w:rsid w:val="00823F22"/>
    <w:rsid w:val="0082443D"/>
    <w:rsid w:val="00824A9E"/>
    <w:rsid w:val="008254DF"/>
    <w:rsid w:val="00825EA0"/>
    <w:rsid w:val="00825F58"/>
    <w:rsid w:val="008268CF"/>
    <w:rsid w:val="00826C5B"/>
    <w:rsid w:val="008270EE"/>
    <w:rsid w:val="00827497"/>
    <w:rsid w:val="00827A1F"/>
    <w:rsid w:val="00827C4B"/>
    <w:rsid w:val="0083026B"/>
    <w:rsid w:val="00830BC7"/>
    <w:rsid w:val="00831472"/>
    <w:rsid w:val="00831689"/>
    <w:rsid w:val="008329FF"/>
    <w:rsid w:val="00832ECB"/>
    <w:rsid w:val="0083336A"/>
    <w:rsid w:val="00833526"/>
    <w:rsid w:val="008340EC"/>
    <w:rsid w:val="008347FA"/>
    <w:rsid w:val="00834B47"/>
    <w:rsid w:val="00835459"/>
    <w:rsid w:val="00837C41"/>
    <w:rsid w:val="00837C92"/>
    <w:rsid w:val="00837F0F"/>
    <w:rsid w:val="008416E5"/>
    <w:rsid w:val="0084210C"/>
    <w:rsid w:val="00842BBA"/>
    <w:rsid w:val="00842D41"/>
    <w:rsid w:val="00843029"/>
    <w:rsid w:val="00843420"/>
    <w:rsid w:val="00843B5D"/>
    <w:rsid w:val="008447D4"/>
    <w:rsid w:val="00845029"/>
    <w:rsid w:val="0084506C"/>
    <w:rsid w:val="008454BD"/>
    <w:rsid w:val="00845692"/>
    <w:rsid w:val="008463F3"/>
    <w:rsid w:val="00846D76"/>
    <w:rsid w:val="0085005F"/>
    <w:rsid w:val="0085062F"/>
    <w:rsid w:val="00850CB2"/>
    <w:rsid w:val="00851307"/>
    <w:rsid w:val="008515B1"/>
    <w:rsid w:val="00852508"/>
    <w:rsid w:val="00852E5B"/>
    <w:rsid w:val="00852EAC"/>
    <w:rsid w:val="00853677"/>
    <w:rsid w:val="008536B3"/>
    <w:rsid w:val="00853ACD"/>
    <w:rsid w:val="00853ACF"/>
    <w:rsid w:val="00853F1F"/>
    <w:rsid w:val="008544D3"/>
    <w:rsid w:val="00854659"/>
    <w:rsid w:val="008558A1"/>
    <w:rsid w:val="0085642F"/>
    <w:rsid w:val="008573AF"/>
    <w:rsid w:val="00857645"/>
    <w:rsid w:val="008577C4"/>
    <w:rsid w:val="00857A98"/>
    <w:rsid w:val="00857D80"/>
    <w:rsid w:val="008602FC"/>
    <w:rsid w:val="008607D5"/>
    <w:rsid w:val="00860989"/>
    <w:rsid w:val="00860CF9"/>
    <w:rsid w:val="008617FB"/>
    <w:rsid w:val="008622D3"/>
    <w:rsid w:val="0086257B"/>
    <w:rsid w:val="0086268A"/>
    <w:rsid w:val="008639A2"/>
    <w:rsid w:val="00863BBB"/>
    <w:rsid w:val="00863E4F"/>
    <w:rsid w:val="008640FD"/>
    <w:rsid w:val="0086426C"/>
    <w:rsid w:val="0086564F"/>
    <w:rsid w:val="00865681"/>
    <w:rsid w:val="0086583F"/>
    <w:rsid w:val="00866618"/>
    <w:rsid w:val="00866658"/>
    <w:rsid w:val="008666EF"/>
    <w:rsid w:val="00867B6B"/>
    <w:rsid w:val="0087032E"/>
    <w:rsid w:val="0087057E"/>
    <w:rsid w:val="00870AFC"/>
    <w:rsid w:val="008715CC"/>
    <w:rsid w:val="00872589"/>
    <w:rsid w:val="00872770"/>
    <w:rsid w:val="00873754"/>
    <w:rsid w:val="00873C68"/>
    <w:rsid w:val="00873CFE"/>
    <w:rsid w:val="008752FC"/>
    <w:rsid w:val="00875FA4"/>
    <w:rsid w:val="008763C8"/>
    <w:rsid w:val="00877D6E"/>
    <w:rsid w:val="00877E35"/>
    <w:rsid w:val="0088014E"/>
    <w:rsid w:val="00880BAB"/>
    <w:rsid w:val="00880BC0"/>
    <w:rsid w:val="0088130D"/>
    <w:rsid w:val="008817FF"/>
    <w:rsid w:val="00881D3D"/>
    <w:rsid w:val="00881E98"/>
    <w:rsid w:val="0088239C"/>
    <w:rsid w:val="00882745"/>
    <w:rsid w:val="008828F7"/>
    <w:rsid w:val="00882941"/>
    <w:rsid w:val="00882A65"/>
    <w:rsid w:val="00882E58"/>
    <w:rsid w:val="00882F87"/>
    <w:rsid w:val="008835B1"/>
    <w:rsid w:val="00883B3F"/>
    <w:rsid w:val="00884A5C"/>
    <w:rsid w:val="008851BE"/>
    <w:rsid w:val="00885538"/>
    <w:rsid w:val="00885691"/>
    <w:rsid w:val="0088600C"/>
    <w:rsid w:val="00886188"/>
    <w:rsid w:val="00887063"/>
    <w:rsid w:val="008874AA"/>
    <w:rsid w:val="00887F1B"/>
    <w:rsid w:val="00887FD1"/>
    <w:rsid w:val="008900CF"/>
    <w:rsid w:val="00890CE5"/>
    <w:rsid w:val="008917C0"/>
    <w:rsid w:val="00891CE4"/>
    <w:rsid w:val="008922CF"/>
    <w:rsid w:val="008923D1"/>
    <w:rsid w:val="008925B9"/>
    <w:rsid w:val="00892A4E"/>
    <w:rsid w:val="008937CB"/>
    <w:rsid w:val="0089427B"/>
    <w:rsid w:val="0089483C"/>
    <w:rsid w:val="00894A6B"/>
    <w:rsid w:val="00894A7F"/>
    <w:rsid w:val="00895E5A"/>
    <w:rsid w:val="00896501"/>
    <w:rsid w:val="00896EB4"/>
    <w:rsid w:val="00896F0D"/>
    <w:rsid w:val="00897502"/>
    <w:rsid w:val="008976C8"/>
    <w:rsid w:val="00897813"/>
    <w:rsid w:val="00897855"/>
    <w:rsid w:val="008A06A1"/>
    <w:rsid w:val="008A0E63"/>
    <w:rsid w:val="008A109A"/>
    <w:rsid w:val="008A173F"/>
    <w:rsid w:val="008A1EFD"/>
    <w:rsid w:val="008A2790"/>
    <w:rsid w:val="008A2C5D"/>
    <w:rsid w:val="008A3C32"/>
    <w:rsid w:val="008A3D8A"/>
    <w:rsid w:val="008A40AB"/>
    <w:rsid w:val="008A4EBA"/>
    <w:rsid w:val="008A4F57"/>
    <w:rsid w:val="008A52CE"/>
    <w:rsid w:val="008A574C"/>
    <w:rsid w:val="008A6A25"/>
    <w:rsid w:val="008A7D28"/>
    <w:rsid w:val="008B0BA7"/>
    <w:rsid w:val="008B0C78"/>
    <w:rsid w:val="008B1E06"/>
    <w:rsid w:val="008B1F77"/>
    <w:rsid w:val="008B20A4"/>
    <w:rsid w:val="008B284C"/>
    <w:rsid w:val="008B2EF5"/>
    <w:rsid w:val="008B2F1A"/>
    <w:rsid w:val="008B31AD"/>
    <w:rsid w:val="008B3278"/>
    <w:rsid w:val="008B331F"/>
    <w:rsid w:val="008B3A87"/>
    <w:rsid w:val="008B3C1F"/>
    <w:rsid w:val="008B3FAC"/>
    <w:rsid w:val="008B4243"/>
    <w:rsid w:val="008B4953"/>
    <w:rsid w:val="008B4B1A"/>
    <w:rsid w:val="008B4E19"/>
    <w:rsid w:val="008B4F72"/>
    <w:rsid w:val="008B5F58"/>
    <w:rsid w:val="008B60CB"/>
    <w:rsid w:val="008B6367"/>
    <w:rsid w:val="008B63AD"/>
    <w:rsid w:val="008B7546"/>
    <w:rsid w:val="008C0557"/>
    <w:rsid w:val="008C055E"/>
    <w:rsid w:val="008C0771"/>
    <w:rsid w:val="008C0845"/>
    <w:rsid w:val="008C15A7"/>
    <w:rsid w:val="008C1715"/>
    <w:rsid w:val="008C1779"/>
    <w:rsid w:val="008C1DC1"/>
    <w:rsid w:val="008C28B3"/>
    <w:rsid w:val="008C2B85"/>
    <w:rsid w:val="008C3591"/>
    <w:rsid w:val="008C3A88"/>
    <w:rsid w:val="008C3AC1"/>
    <w:rsid w:val="008C4EB8"/>
    <w:rsid w:val="008C61B0"/>
    <w:rsid w:val="008C6282"/>
    <w:rsid w:val="008C68A8"/>
    <w:rsid w:val="008C6FD3"/>
    <w:rsid w:val="008C70EB"/>
    <w:rsid w:val="008C7FA7"/>
    <w:rsid w:val="008D0065"/>
    <w:rsid w:val="008D0F7D"/>
    <w:rsid w:val="008D155D"/>
    <w:rsid w:val="008D15E6"/>
    <w:rsid w:val="008D19DB"/>
    <w:rsid w:val="008D229E"/>
    <w:rsid w:val="008D24C5"/>
    <w:rsid w:val="008D36D2"/>
    <w:rsid w:val="008D3FE4"/>
    <w:rsid w:val="008D415F"/>
    <w:rsid w:val="008D5506"/>
    <w:rsid w:val="008D56FC"/>
    <w:rsid w:val="008D5DAB"/>
    <w:rsid w:val="008D6641"/>
    <w:rsid w:val="008D6847"/>
    <w:rsid w:val="008D6968"/>
    <w:rsid w:val="008D6B22"/>
    <w:rsid w:val="008D6C68"/>
    <w:rsid w:val="008D71F3"/>
    <w:rsid w:val="008D7AFD"/>
    <w:rsid w:val="008D7E3E"/>
    <w:rsid w:val="008D7EA6"/>
    <w:rsid w:val="008D7FCC"/>
    <w:rsid w:val="008E0029"/>
    <w:rsid w:val="008E01BA"/>
    <w:rsid w:val="008E0219"/>
    <w:rsid w:val="008E0253"/>
    <w:rsid w:val="008E0C73"/>
    <w:rsid w:val="008E0DE2"/>
    <w:rsid w:val="008E1746"/>
    <w:rsid w:val="008E1CA4"/>
    <w:rsid w:val="008E2BCC"/>
    <w:rsid w:val="008E5A4E"/>
    <w:rsid w:val="008E6A58"/>
    <w:rsid w:val="008E6D37"/>
    <w:rsid w:val="008E6F6B"/>
    <w:rsid w:val="008E7155"/>
    <w:rsid w:val="008E71FB"/>
    <w:rsid w:val="008E7365"/>
    <w:rsid w:val="008E7A5B"/>
    <w:rsid w:val="008E7F33"/>
    <w:rsid w:val="008F0248"/>
    <w:rsid w:val="008F07B8"/>
    <w:rsid w:val="008F0932"/>
    <w:rsid w:val="008F0EF5"/>
    <w:rsid w:val="008F0FE8"/>
    <w:rsid w:val="008F1238"/>
    <w:rsid w:val="008F232D"/>
    <w:rsid w:val="008F257A"/>
    <w:rsid w:val="008F35D9"/>
    <w:rsid w:val="008F3793"/>
    <w:rsid w:val="008F438C"/>
    <w:rsid w:val="008F525C"/>
    <w:rsid w:val="008F540C"/>
    <w:rsid w:val="008F6060"/>
    <w:rsid w:val="008F6426"/>
    <w:rsid w:val="008F6B8B"/>
    <w:rsid w:val="008F77B4"/>
    <w:rsid w:val="00900B52"/>
    <w:rsid w:val="00900C3B"/>
    <w:rsid w:val="0090146E"/>
    <w:rsid w:val="00901E4D"/>
    <w:rsid w:val="00901F1F"/>
    <w:rsid w:val="00902957"/>
    <w:rsid w:val="00902C22"/>
    <w:rsid w:val="00903424"/>
    <w:rsid w:val="00903553"/>
    <w:rsid w:val="00903D84"/>
    <w:rsid w:val="00904206"/>
    <w:rsid w:val="009042F1"/>
    <w:rsid w:val="009047F2"/>
    <w:rsid w:val="00905456"/>
    <w:rsid w:val="0090621C"/>
    <w:rsid w:val="00906618"/>
    <w:rsid w:val="00906C4A"/>
    <w:rsid w:val="00907C2A"/>
    <w:rsid w:val="00910866"/>
    <w:rsid w:val="009110AD"/>
    <w:rsid w:val="009111CC"/>
    <w:rsid w:val="009114FF"/>
    <w:rsid w:val="00911888"/>
    <w:rsid w:val="00911A79"/>
    <w:rsid w:val="00911D8B"/>
    <w:rsid w:val="009127CC"/>
    <w:rsid w:val="009130D1"/>
    <w:rsid w:val="009158B9"/>
    <w:rsid w:val="00915FE3"/>
    <w:rsid w:val="0091620A"/>
    <w:rsid w:val="00916863"/>
    <w:rsid w:val="00917458"/>
    <w:rsid w:val="00917BB3"/>
    <w:rsid w:val="0092096D"/>
    <w:rsid w:val="00921B73"/>
    <w:rsid w:val="00921E56"/>
    <w:rsid w:val="009221ED"/>
    <w:rsid w:val="0092259C"/>
    <w:rsid w:val="00923187"/>
    <w:rsid w:val="00926F12"/>
    <w:rsid w:val="00927309"/>
    <w:rsid w:val="00927DE3"/>
    <w:rsid w:val="00930212"/>
    <w:rsid w:val="00930591"/>
    <w:rsid w:val="00930609"/>
    <w:rsid w:val="00930B72"/>
    <w:rsid w:val="0093196E"/>
    <w:rsid w:val="00931A58"/>
    <w:rsid w:val="00931C19"/>
    <w:rsid w:val="0093207F"/>
    <w:rsid w:val="00932113"/>
    <w:rsid w:val="00932239"/>
    <w:rsid w:val="00932AD7"/>
    <w:rsid w:val="00932E71"/>
    <w:rsid w:val="0093456C"/>
    <w:rsid w:val="00934640"/>
    <w:rsid w:val="009352C5"/>
    <w:rsid w:val="00935534"/>
    <w:rsid w:val="0093562F"/>
    <w:rsid w:val="00935F61"/>
    <w:rsid w:val="009360BB"/>
    <w:rsid w:val="00936B1F"/>
    <w:rsid w:val="009379F0"/>
    <w:rsid w:val="00937A14"/>
    <w:rsid w:val="00937A67"/>
    <w:rsid w:val="00940946"/>
    <w:rsid w:val="00942B2E"/>
    <w:rsid w:val="00942D2B"/>
    <w:rsid w:val="009431F7"/>
    <w:rsid w:val="00943238"/>
    <w:rsid w:val="00943CFE"/>
    <w:rsid w:val="00943E5A"/>
    <w:rsid w:val="00943F96"/>
    <w:rsid w:val="00943FA2"/>
    <w:rsid w:val="0094494D"/>
    <w:rsid w:val="00944E59"/>
    <w:rsid w:val="00945225"/>
    <w:rsid w:val="00945401"/>
    <w:rsid w:val="009459F4"/>
    <w:rsid w:val="00945ABE"/>
    <w:rsid w:val="00945E58"/>
    <w:rsid w:val="00946127"/>
    <w:rsid w:val="00946907"/>
    <w:rsid w:val="00950CAE"/>
    <w:rsid w:val="009512EC"/>
    <w:rsid w:val="009519A8"/>
    <w:rsid w:val="00951D65"/>
    <w:rsid w:val="00952499"/>
    <w:rsid w:val="0095315A"/>
    <w:rsid w:val="009534DD"/>
    <w:rsid w:val="0095356B"/>
    <w:rsid w:val="009535C2"/>
    <w:rsid w:val="00953A73"/>
    <w:rsid w:val="00954926"/>
    <w:rsid w:val="00954D5A"/>
    <w:rsid w:val="009551A8"/>
    <w:rsid w:val="00955645"/>
    <w:rsid w:val="00956510"/>
    <w:rsid w:val="00956B6C"/>
    <w:rsid w:val="00957B5B"/>
    <w:rsid w:val="009601CB"/>
    <w:rsid w:val="0096059A"/>
    <w:rsid w:val="0096081E"/>
    <w:rsid w:val="00960D39"/>
    <w:rsid w:val="00960F7E"/>
    <w:rsid w:val="00961022"/>
    <w:rsid w:val="009611A5"/>
    <w:rsid w:val="0096193B"/>
    <w:rsid w:val="00961BC2"/>
    <w:rsid w:val="00963188"/>
    <w:rsid w:val="00963240"/>
    <w:rsid w:val="00963B82"/>
    <w:rsid w:val="00964475"/>
    <w:rsid w:val="0096456D"/>
    <w:rsid w:val="00964A6E"/>
    <w:rsid w:val="00964FB4"/>
    <w:rsid w:val="00965084"/>
    <w:rsid w:val="0096516C"/>
    <w:rsid w:val="009666BD"/>
    <w:rsid w:val="0096670E"/>
    <w:rsid w:val="00966BFB"/>
    <w:rsid w:val="00967CDA"/>
    <w:rsid w:val="00970048"/>
    <w:rsid w:val="009701AF"/>
    <w:rsid w:val="00971366"/>
    <w:rsid w:val="00971831"/>
    <w:rsid w:val="0097216D"/>
    <w:rsid w:val="00972C88"/>
    <w:rsid w:val="00972D8F"/>
    <w:rsid w:val="0097396E"/>
    <w:rsid w:val="00973C2B"/>
    <w:rsid w:val="0097437B"/>
    <w:rsid w:val="0097441E"/>
    <w:rsid w:val="0097529C"/>
    <w:rsid w:val="00975680"/>
    <w:rsid w:val="00975FB0"/>
    <w:rsid w:val="009762C7"/>
    <w:rsid w:val="0097670F"/>
    <w:rsid w:val="00976C61"/>
    <w:rsid w:val="009776B1"/>
    <w:rsid w:val="00977E1E"/>
    <w:rsid w:val="009803E7"/>
    <w:rsid w:val="009803EC"/>
    <w:rsid w:val="00981215"/>
    <w:rsid w:val="009812FC"/>
    <w:rsid w:val="009813BF"/>
    <w:rsid w:val="00981987"/>
    <w:rsid w:val="009819CD"/>
    <w:rsid w:val="00982C0D"/>
    <w:rsid w:val="009832E2"/>
    <w:rsid w:val="00983D98"/>
    <w:rsid w:val="00983F22"/>
    <w:rsid w:val="009844B4"/>
    <w:rsid w:val="0098453B"/>
    <w:rsid w:val="00984D82"/>
    <w:rsid w:val="0098572B"/>
    <w:rsid w:val="00985CDA"/>
    <w:rsid w:val="0098603A"/>
    <w:rsid w:val="00986137"/>
    <w:rsid w:val="009865B1"/>
    <w:rsid w:val="00986B96"/>
    <w:rsid w:val="0098740B"/>
    <w:rsid w:val="00987C6F"/>
    <w:rsid w:val="0099018C"/>
    <w:rsid w:val="00990708"/>
    <w:rsid w:val="00990C3D"/>
    <w:rsid w:val="009915EB"/>
    <w:rsid w:val="0099199D"/>
    <w:rsid w:val="00991B9A"/>
    <w:rsid w:val="00993499"/>
    <w:rsid w:val="009934DB"/>
    <w:rsid w:val="009939CB"/>
    <w:rsid w:val="00993D95"/>
    <w:rsid w:val="009940EA"/>
    <w:rsid w:val="009948FE"/>
    <w:rsid w:val="00995756"/>
    <w:rsid w:val="00997125"/>
    <w:rsid w:val="009A0208"/>
    <w:rsid w:val="009A09C0"/>
    <w:rsid w:val="009A0B05"/>
    <w:rsid w:val="009A17B5"/>
    <w:rsid w:val="009A1B80"/>
    <w:rsid w:val="009A21EE"/>
    <w:rsid w:val="009A253B"/>
    <w:rsid w:val="009A3C6E"/>
    <w:rsid w:val="009A4532"/>
    <w:rsid w:val="009A640C"/>
    <w:rsid w:val="009A6974"/>
    <w:rsid w:val="009A6A04"/>
    <w:rsid w:val="009A6A34"/>
    <w:rsid w:val="009A6FB1"/>
    <w:rsid w:val="009A78A6"/>
    <w:rsid w:val="009B01AE"/>
    <w:rsid w:val="009B0346"/>
    <w:rsid w:val="009B04F2"/>
    <w:rsid w:val="009B0A43"/>
    <w:rsid w:val="009B0DBE"/>
    <w:rsid w:val="009B123D"/>
    <w:rsid w:val="009B1462"/>
    <w:rsid w:val="009B1C1B"/>
    <w:rsid w:val="009B1E55"/>
    <w:rsid w:val="009B1EB7"/>
    <w:rsid w:val="009B21E5"/>
    <w:rsid w:val="009B35BF"/>
    <w:rsid w:val="009B4B37"/>
    <w:rsid w:val="009B4C3E"/>
    <w:rsid w:val="009B4D2F"/>
    <w:rsid w:val="009B5038"/>
    <w:rsid w:val="009B56BE"/>
    <w:rsid w:val="009B573C"/>
    <w:rsid w:val="009B6E0F"/>
    <w:rsid w:val="009B6FC0"/>
    <w:rsid w:val="009B7356"/>
    <w:rsid w:val="009B7A8A"/>
    <w:rsid w:val="009B7E1C"/>
    <w:rsid w:val="009C099B"/>
    <w:rsid w:val="009C0B86"/>
    <w:rsid w:val="009C1604"/>
    <w:rsid w:val="009C1ADB"/>
    <w:rsid w:val="009C3452"/>
    <w:rsid w:val="009C37BF"/>
    <w:rsid w:val="009C398A"/>
    <w:rsid w:val="009C4676"/>
    <w:rsid w:val="009C4DCF"/>
    <w:rsid w:val="009C5C73"/>
    <w:rsid w:val="009C5FC3"/>
    <w:rsid w:val="009C60E9"/>
    <w:rsid w:val="009C65B1"/>
    <w:rsid w:val="009C6629"/>
    <w:rsid w:val="009C6DDC"/>
    <w:rsid w:val="009C6E65"/>
    <w:rsid w:val="009C758C"/>
    <w:rsid w:val="009C7896"/>
    <w:rsid w:val="009D0530"/>
    <w:rsid w:val="009D0C23"/>
    <w:rsid w:val="009D0CF4"/>
    <w:rsid w:val="009D0D52"/>
    <w:rsid w:val="009D0E1C"/>
    <w:rsid w:val="009D140A"/>
    <w:rsid w:val="009D1A74"/>
    <w:rsid w:val="009D2988"/>
    <w:rsid w:val="009D2B87"/>
    <w:rsid w:val="009D3160"/>
    <w:rsid w:val="009D39E1"/>
    <w:rsid w:val="009D3D90"/>
    <w:rsid w:val="009D43C4"/>
    <w:rsid w:val="009D4C5D"/>
    <w:rsid w:val="009D645F"/>
    <w:rsid w:val="009D6D3F"/>
    <w:rsid w:val="009D7206"/>
    <w:rsid w:val="009D7410"/>
    <w:rsid w:val="009D7601"/>
    <w:rsid w:val="009D7622"/>
    <w:rsid w:val="009D7D34"/>
    <w:rsid w:val="009E075E"/>
    <w:rsid w:val="009E1908"/>
    <w:rsid w:val="009E2463"/>
    <w:rsid w:val="009E24F0"/>
    <w:rsid w:val="009E2B4C"/>
    <w:rsid w:val="009E2C55"/>
    <w:rsid w:val="009E2E3F"/>
    <w:rsid w:val="009E2EA8"/>
    <w:rsid w:val="009E2FAC"/>
    <w:rsid w:val="009E3197"/>
    <w:rsid w:val="009E3A1D"/>
    <w:rsid w:val="009E44A4"/>
    <w:rsid w:val="009E4A34"/>
    <w:rsid w:val="009E4D58"/>
    <w:rsid w:val="009E4E3B"/>
    <w:rsid w:val="009E5198"/>
    <w:rsid w:val="009E59F4"/>
    <w:rsid w:val="009E5A45"/>
    <w:rsid w:val="009E6113"/>
    <w:rsid w:val="009E61B0"/>
    <w:rsid w:val="009E63F0"/>
    <w:rsid w:val="009E6B44"/>
    <w:rsid w:val="009E7BCD"/>
    <w:rsid w:val="009F012F"/>
    <w:rsid w:val="009F016E"/>
    <w:rsid w:val="009F056D"/>
    <w:rsid w:val="009F05AC"/>
    <w:rsid w:val="009F086C"/>
    <w:rsid w:val="009F1443"/>
    <w:rsid w:val="009F14F3"/>
    <w:rsid w:val="009F1544"/>
    <w:rsid w:val="009F1778"/>
    <w:rsid w:val="009F1EEE"/>
    <w:rsid w:val="009F239C"/>
    <w:rsid w:val="009F2545"/>
    <w:rsid w:val="009F2E88"/>
    <w:rsid w:val="009F4825"/>
    <w:rsid w:val="009F49FF"/>
    <w:rsid w:val="009F5B77"/>
    <w:rsid w:val="009F5CE6"/>
    <w:rsid w:val="009F60E0"/>
    <w:rsid w:val="009F6125"/>
    <w:rsid w:val="009F68A3"/>
    <w:rsid w:val="009F6B75"/>
    <w:rsid w:val="009F6C90"/>
    <w:rsid w:val="009F73D9"/>
    <w:rsid w:val="009F74DB"/>
    <w:rsid w:val="009F77DF"/>
    <w:rsid w:val="009F7813"/>
    <w:rsid w:val="009F78B6"/>
    <w:rsid w:val="00A00221"/>
    <w:rsid w:val="00A00437"/>
    <w:rsid w:val="00A00AB9"/>
    <w:rsid w:val="00A00DDA"/>
    <w:rsid w:val="00A01057"/>
    <w:rsid w:val="00A01385"/>
    <w:rsid w:val="00A01B4F"/>
    <w:rsid w:val="00A01B9D"/>
    <w:rsid w:val="00A02C0A"/>
    <w:rsid w:val="00A03652"/>
    <w:rsid w:val="00A03A2A"/>
    <w:rsid w:val="00A03B1A"/>
    <w:rsid w:val="00A03D17"/>
    <w:rsid w:val="00A04482"/>
    <w:rsid w:val="00A0480E"/>
    <w:rsid w:val="00A04844"/>
    <w:rsid w:val="00A04B36"/>
    <w:rsid w:val="00A050B2"/>
    <w:rsid w:val="00A05EC4"/>
    <w:rsid w:val="00A064E2"/>
    <w:rsid w:val="00A06ED8"/>
    <w:rsid w:val="00A07570"/>
    <w:rsid w:val="00A07B75"/>
    <w:rsid w:val="00A10103"/>
    <w:rsid w:val="00A104EC"/>
    <w:rsid w:val="00A11137"/>
    <w:rsid w:val="00A111EA"/>
    <w:rsid w:val="00A1135E"/>
    <w:rsid w:val="00A11447"/>
    <w:rsid w:val="00A11B67"/>
    <w:rsid w:val="00A11DEE"/>
    <w:rsid w:val="00A12996"/>
    <w:rsid w:val="00A12B28"/>
    <w:rsid w:val="00A12F3C"/>
    <w:rsid w:val="00A138E4"/>
    <w:rsid w:val="00A13EAB"/>
    <w:rsid w:val="00A143DD"/>
    <w:rsid w:val="00A162DF"/>
    <w:rsid w:val="00A16324"/>
    <w:rsid w:val="00A17013"/>
    <w:rsid w:val="00A175C6"/>
    <w:rsid w:val="00A178DD"/>
    <w:rsid w:val="00A17AF1"/>
    <w:rsid w:val="00A17B4D"/>
    <w:rsid w:val="00A17B91"/>
    <w:rsid w:val="00A17ED1"/>
    <w:rsid w:val="00A20220"/>
    <w:rsid w:val="00A20CAE"/>
    <w:rsid w:val="00A21440"/>
    <w:rsid w:val="00A216BF"/>
    <w:rsid w:val="00A21A99"/>
    <w:rsid w:val="00A21BFD"/>
    <w:rsid w:val="00A21C7C"/>
    <w:rsid w:val="00A22E21"/>
    <w:rsid w:val="00A22FBA"/>
    <w:rsid w:val="00A23269"/>
    <w:rsid w:val="00A23F95"/>
    <w:rsid w:val="00A25E6E"/>
    <w:rsid w:val="00A26462"/>
    <w:rsid w:val="00A265C3"/>
    <w:rsid w:val="00A26700"/>
    <w:rsid w:val="00A26B21"/>
    <w:rsid w:val="00A274E2"/>
    <w:rsid w:val="00A30B97"/>
    <w:rsid w:val="00A30BDB"/>
    <w:rsid w:val="00A31193"/>
    <w:rsid w:val="00A312FC"/>
    <w:rsid w:val="00A31F9A"/>
    <w:rsid w:val="00A3288D"/>
    <w:rsid w:val="00A32CA4"/>
    <w:rsid w:val="00A32D72"/>
    <w:rsid w:val="00A3307A"/>
    <w:rsid w:val="00A33B96"/>
    <w:rsid w:val="00A34BDA"/>
    <w:rsid w:val="00A358DC"/>
    <w:rsid w:val="00A362FE"/>
    <w:rsid w:val="00A37A3E"/>
    <w:rsid w:val="00A4164A"/>
    <w:rsid w:val="00A4189A"/>
    <w:rsid w:val="00A41C3D"/>
    <w:rsid w:val="00A41F2E"/>
    <w:rsid w:val="00A4265F"/>
    <w:rsid w:val="00A432A0"/>
    <w:rsid w:val="00A4354B"/>
    <w:rsid w:val="00A43EDD"/>
    <w:rsid w:val="00A43F0A"/>
    <w:rsid w:val="00A43FF9"/>
    <w:rsid w:val="00A4404B"/>
    <w:rsid w:val="00A44085"/>
    <w:rsid w:val="00A44220"/>
    <w:rsid w:val="00A465E9"/>
    <w:rsid w:val="00A46A4B"/>
    <w:rsid w:val="00A47774"/>
    <w:rsid w:val="00A47BC1"/>
    <w:rsid w:val="00A50899"/>
    <w:rsid w:val="00A508F1"/>
    <w:rsid w:val="00A50B69"/>
    <w:rsid w:val="00A512A2"/>
    <w:rsid w:val="00A5216F"/>
    <w:rsid w:val="00A52254"/>
    <w:rsid w:val="00A52401"/>
    <w:rsid w:val="00A5287D"/>
    <w:rsid w:val="00A539C0"/>
    <w:rsid w:val="00A550F7"/>
    <w:rsid w:val="00A559A4"/>
    <w:rsid w:val="00A55E33"/>
    <w:rsid w:val="00A562BE"/>
    <w:rsid w:val="00A56A4F"/>
    <w:rsid w:val="00A56DDE"/>
    <w:rsid w:val="00A5787F"/>
    <w:rsid w:val="00A57E73"/>
    <w:rsid w:val="00A60436"/>
    <w:rsid w:val="00A607D9"/>
    <w:rsid w:val="00A60C3A"/>
    <w:rsid w:val="00A619C8"/>
    <w:rsid w:val="00A621B7"/>
    <w:rsid w:val="00A63037"/>
    <w:rsid w:val="00A6323E"/>
    <w:rsid w:val="00A637A2"/>
    <w:rsid w:val="00A63AF3"/>
    <w:rsid w:val="00A6419E"/>
    <w:rsid w:val="00A64E8C"/>
    <w:rsid w:val="00A64EF8"/>
    <w:rsid w:val="00A65894"/>
    <w:rsid w:val="00A65E01"/>
    <w:rsid w:val="00A664B6"/>
    <w:rsid w:val="00A6677B"/>
    <w:rsid w:val="00A67643"/>
    <w:rsid w:val="00A6771B"/>
    <w:rsid w:val="00A67D1C"/>
    <w:rsid w:val="00A710AC"/>
    <w:rsid w:val="00A717AD"/>
    <w:rsid w:val="00A7186E"/>
    <w:rsid w:val="00A71FC9"/>
    <w:rsid w:val="00A725DB"/>
    <w:rsid w:val="00A7275A"/>
    <w:rsid w:val="00A73738"/>
    <w:rsid w:val="00A73D7C"/>
    <w:rsid w:val="00A73E8F"/>
    <w:rsid w:val="00A747DC"/>
    <w:rsid w:val="00A74904"/>
    <w:rsid w:val="00A74B57"/>
    <w:rsid w:val="00A74D4E"/>
    <w:rsid w:val="00A74E90"/>
    <w:rsid w:val="00A7511E"/>
    <w:rsid w:val="00A753BD"/>
    <w:rsid w:val="00A761EE"/>
    <w:rsid w:val="00A76B33"/>
    <w:rsid w:val="00A77933"/>
    <w:rsid w:val="00A77F98"/>
    <w:rsid w:val="00A80813"/>
    <w:rsid w:val="00A80EA4"/>
    <w:rsid w:val="00A81446"/>
    <w:rsid w:val="00A819BA"/>
    <w:rsid w:val="00A819DD"/>
    <w:rsid w:val="00A81C95"/>
    <w:rsid w:val="00A83A16"/>
    <w:rsid w:val="00A83CA5"/>
    <w:rsid w:val="00A83FDA"/>
    <w:rsid w:val="00A84336"/>
    <w:rsid w:val="00A84863"/>
    <w:rsid w:val="00A84EBD"/>
    <w:rsid w:val="00A84EDD"/>
    <w:rsid w:val="00A84F34"/>
    <w:rsid w:val="00A850D0"/>
    <w:rsid w:val="00A85382"/>
    <w:rsid w:val="00A85880"/>
    <w:rsid w:val="00A8620E"/>
    <w:rsid w:val="00A864E9"/>
    <w:rsid w:val="00A86CC9"/>
    <w:rsid w:val="00A86EAC"/>
    <w:rsid w:val="00A87906"/>
    <w:rsid w:val="00A87958"/>
    <w:rsid w:val="00A87E9E"/>
    <w:rsid w:val="00A901BE"/>
    <w:rsid w:val="00A904E2"/>
    <w:rsid w:val="00A90D2E"/>
    <w:rsid w:val="00A912E7"/>
    <w:rsid w:val="00A915A0"/>
    <w:rsid w:val="00A91E97"/>
    <w:rsid w:val="00A92BCF"/>
    <w:rsid w:val="00A93095"/>
    <w:rsid w:val="00A93246"/>
    <w:rsid w:val="00A93456"/>
    <w:rsid w:val="00A940BD"/>
    <w:rsid w:val="00A9479E"/>
    <w:rsid w:val="00A9520C"/>
    <w:rsid w:val="00A958FD"/>
    <w:rsid w:val="00A96085"/>
    <w:rsid w:val="00A96424"/>
    <w:rsid w:val="00A97744"/>
    <w:rsid w:val="00AA19A6"/>
    <w:rsid w:val="00AA1AED"/>
    <w:rsid w:val="00AA20B1"/>
    <w:rsid w:val="00AA262E"/>
    <w:rsid w:val="00AA2C89"/>
    <w:rsid w:val="00AA33FB"/>
    <w:rsid w:val="00AA3442"/>
    <w:rsid w:val="00AA3451"/>
    <w:rsid w:val="00AA3915"/>
    <w:rsid w:val="00AA43BD"/>
    <w:rsid w:val="00AA46E6"/>
    <w:rsid w:val="00AA48C1"/>
    <w:rsid w:val="00AA4B21"/>
    <w:rsid w:val="00AA5ADB"/>
    <w:rsid w:val="00AA604E"/>
    <w:rsid w:val="00AA60A4"/>
    <w:rsid w:val="00AA6240"/>
    <w:rsid w:val="00AA6C66"/>
    <w:rsid w:val="00AA73A8"/>
    <w:rsid w:val="00AA7827"/>
    <w:rsid w:val="00AA7DBA"/>
    <w:rsid w:val="00AB006F"/>
    <w:rsid w:val="00AB0AFE"/>
    <w:rsid w:val="00AB0EA2"/>
    <w:rsid w:val="00AB1A9F"/>
    <w:rsid w:val="00AB29BA"/>
    <w:rsid w:val="00AB3037"/>
    <w:rsid w:val="00AB3184"/>
    <w:rsid w:val="00AB33F9"/>
    <w:rsid w:val="00AB362C"/>
    <w:rsid w:val="00AB3661"/>
    <w:rsid w:val="00AB3CEC"/>
    <w:rsid w:val="00AB3E8B"/>
    <w:rsid w:val="00AB4AFF"/>
    <w:rsid w:val="00AB4D98"/>
    <w:rsid w:val="00AB537C"/>
    <w:rsid w:val="00AB5887"/>
    <w:rsid w:val="00AB5B81"/>
    <w:rsid w:val="00AB5C13"/>
    <w:rsid w:val="00AB5D24"/>
    <w:rsid w:val="00AB600F"/>
    <w:rsid w:val="00AB64E5"/>
    <w:rsid w:val="00AB6C31"/>
    <w:rsid w:val="00AB7213"/>
    <w:rsid w:val="00AB7442"/>
    <w:rsid w:val="00AB76D7"/>
    <w:rsid w:val="00AB7900"/>
    <w:rsid w:val="00AB7B70"/>
    <w:rsid w:val="00AC0846"/>
    <w:rsid w:val="00AC1226"/>
    <w:rsid w:val="00AC1686"/>
    <w:rsid w:val="00AC179A"/>
    <w:rsid w:val="00AC24F6"/>
    <w:rsid w:val="00AC2875"/>
    <w:rsid w:val="00AC299E"/>
    <w:rsid w:val="00AC2DD1"/>
    <w:rsid w:val="00AC388B"/>
    <w:rsid w:val="00AC4647"/>
    <w:rsid w:val="00AC4DEB"/>
    <w:rsid w:val="00AC5C6A"/>
    <w:rsid w:val="00AC65AF"/>
    <w:rsid w:val="00AC679D"/>
    <w:rsid w:val="00AC68C9"/>
    <w:rsid w:val="00AC7052"/>
    <w:rsid w:val="00AC7703"/>
    <w:rsid w:val="00AC7721"/>
    <w:rsid w:val="00AC7AB4"/>
    <w:rsid w:val="00AC7E57"/>
    <w:rsid w:val="00AC7E75"/>
    <w:rsid w:val="00AD0558"/>
    <w:rsid w:val="00AD0958"/>
    <w:rsid w:val="00AD10E5"/>
    <w:rsid w:val="00AD1592"/>
    <w:rsid w:val="00AD1FF4"/>
    <w:rsid w:val="00AD23CC"/>
    <w:rsid w:val="00AD2EE8"/>
    <w:rsid w:val="00AD31EC"/>
    <w:rsid w:val="00AD339F"/>
    <w:rsid w:val="00AD35A4"/>
    <w:rsid w:val="00AD37F0"/>
    <w:rsid w:val="00AD3C2A"/>
    <w:rsid w:val="00AD3E6B"/>
    <w:rsid w:val="00AD4379"/>
    <w:rsid w:val="00AD44D9"/>
    <w:rsid w:val="00AD4C0B"/>
    <w:rsid w:val="00AD51BE"/>
    <w:rsid w:val="00AD5D9A"/>
    <w:rsid w:val="00AD5FB3"/>
    <w:rsid w:val="00AD6676"/>
    <w:rsid w:val="00AD6833"/>
    <w:rsid w:val="00AD6861"/>
    <w:rsid w:val="00AD715B"/>
    <w:rsid w:val="00AD77FA"/>
    <w:rsid w:val="00AD7B4D"/>
    <w:rsid w:val="00AD7F39"/>
    <w:rsid w:val="00AE1212"/>
    <w:rsid w:val="00AE1923"/>
    <w:rsid w:val="00AE1D4C"/>
    <w:rsid w:val="00AE252A"/>
    <w:rsid w:val="00AE48A4"/>
    <w:rsid w:val="00AE4F38"/>
    <w:rsid w:val="00AE507F"/>
    <w:rsid w:val="00AE5D92"/>
    <w:rsid w:val="00AE5F47"/>
    <w:rsid w:val="00AE6873"/>
    <w:rsid w:val="00AE6D21"/>
    <w:rsid w:val="00AE7F9B"/>
    <w:rsid w:val="00AF0F0A"/>
    <w:rsid w:val="00AF1434"/>
    <w:rsid w:val="00AF1DE2"/>
    <w:rsid w:val="00AF2806"/>
    <w:rsid w:val="00AF31A2"/>
    <w:rsid w:val="00AF3C6E"/>
    <w:rsid w:val="00AF406C"/>
    <w:rsid w:val="00AF4076"/>
    <w:rsid w:val="00AF428A"/>
    <w:rsid w:val="00AF498E"/>
    <w:rsid w:val="00AF4AF0"/>
    <w:rsid w:val="00AF4BBB"/>
    <w:rsid w:val="00AF4E90"/>
    <w:rsid w:val="00AF5912"/>
    <w:rsid w:val="00AF5D8B"/>
    <w:rsid w:val="00AF63E5"/>
    <w:rsid w:val="00AF7341"/>
    <w:rsid w:val="00B0036F"/>
    <w:rsid w:val="00B0063B"/>
    <w:rsid w:val="00B00F17"/>
    <w:rsid w:val="00B00FC3"/>
    <w:rsid w:val="00B01DB9"/>
    <w:rsid w:val="00B01E36"/>
    <w:rsid w:val="00B01E94"/>
    <w:rsid w:val="00B0234A"/>
    <w:rsid w:val="00B036AC"/>
    <w:rsid w:val="00B04C10"/>
    <w:rsid w:val="00B0575B"/>
    <w:rsid w:val="00B05FCA"/>
    <w:rsid w:val="00B068E4"/>
    <w:rsid w:val="00B068FF"/>
    <w:rsid w:val="00B06960"/>
    <w:rsid w:val="00B06E84"/>
    <w:rsid w:val="00B07609"/>
    <w:rsid w:val="00B07D30"/>
    <w:rsid w:val="00B115ED"/>
    <w:rsid w:val="00B117CB"/>
    <w:rsid w:val="00B117D7"/>
    <w:rsid w:val="00B12121"/>
    <w:rsid w:val="00B1217E"/>
    <w:rsid w:val="00B12732"/>
    <w:rsid w:val="00B13480"/>
    <w:rsid w:val="00B13785"/>
    <w:rsid w:val="00B13B8E"/>
    <w:rsid w:val="00B13DEF"/>
    <w:rsid w:val="00B142E0"/>
    <w:rsid w:val="00B14E3F"/>
    <w:rsid w:val="00B15237"/>
    <w:rsid w:val="00B15293"/>
    <w:rsid w:val="00B16423"/>
    <w:rsid w:val="00B16A9E"/>
    <w:rsid w:val="00B17198"/>
    <w:rsid w:val="00B20FA4"/>
    <w:rsid w:val="00B21EF0"/>
    <w:rsid w:val="00B231BC"/>
    <w:rsid w:val="00B23573"/>
    <w:rsid w:val="00B23ABE"/>
    <w:rsid w:val="00B23B67"/>
    <w:rsid w:val="00B23BE1"/>
    <w:rsid w:val="00B24B78"/>
    <w:rsid w:val="00B24C0D"/>
    <w:rsid w:val="00B24E5B"/>
    <w:rsid w:val="00B253CC"/>
    <w:rsid w:val="00B26797"/>
    <w:rsid w:val="00B26C98"/>
    <w:rsid w:val="00B26E4F"/>
    <w:rsid w:val="00B271E8"/>
    <w:rsid w:val="00B275D8"/>
    <w:rsid w:val="00B27AC3"/>
    <w:rsid w:val="00B27EC5"/>
    <w:rsid w:val="00B3067B"/>
    <w:rsid w:val="00B30BFE"/>
    <w:rsid w:val="00B313F6"/>
    <w:rsid w:val="00B32506"/>
    <w:rsid w:val="00B32CD4"/>
    <w:rsid w:val="00B32F66"/>
    <w:rsid w:val="00B32F7E"/>
    <w:rsid w:val="00B33678"/>
    <w:rsid w:val="00B33DDF"/>
    <w:rsid w:val="00B33E80"/>
    <w:rsid w:val="00B33FD6"/>
    <w:rsid w:val="00B343CF"/>
    <w:rsid w:val="00B34AFD"/>
    <w:rsid w:val="00B3512D"/>
    <w:rsid w:val="00B354E2"/>
    <w:rsid w:val="00B358C1"/>
    <w:rsid w:val="00B35DD5"/>
    <w:rsid w:val="00B36705"/>
    <w:rsid w:val="00B37073"/>
    <w:rsid w:val="00B37F97"/>
    <w:rsid w:val="00B40037"/>
    <w:rsid w:val="00B403F2"/>
    <w:rsid w:val="00B41861"/>
    <w:rsid w:val="00B4194B"/>
    <w:rsid w:val="00B41A1A"/>
    <w:rsid w:val="00B42107"/>
    <w:rsid w:val="00B42370"/>
    <w:rsid w:val="00B42739"/>
    <w:rsid w:val="00B440D1"/>
    <w:rsid w:val="00B44A28"/>
    <w:rsid w:val="00B4527C"/>
    <w:rsid w:val="00B453BC"/>
    <w:rsid w:val="00B457F9"/>
    <w:rsid w:val="00B45BBA"/>
    <w:rsid w:val="00B462D8"/>
    <w:rsid w:val="00B46347"/>
    <w:rsid w:val="00B46444"/>
    <w:rsid w:val="00B47432"/>
    <w:rsid w:val="00B4762E"/>
    <w:rsid w:val="00B4766C"/>
    <w:rsid w:val="00B507E3"/>
    <w:rsid w:val="00B520DE"/>
    <w:rsid w:val="00B52EAD"/>
    <w:rsid w:val="00B52F36"/>
    <w:rsid w:val="00B53343"/>
    <w:rsid w:val="00B5474A"/>
    <w:rsid w:val="00B54B97"/>
    <w:rsid w:val="00B550D4"/>
    <w:rsid w:val="00B55825"/>
    <w:rsid w:val="00B55E9E"/>
    <w:rsid w:val="00B571CA"/>
    <w:rsid w:val="00B57320"/>
    <w:rsid w:val="00B57321"/>
    <w:rsid w:val="00B574FC"/>
    <w:rsid w:val="00B577AE"/>
    <w:rsid w:val="00B600F2"/>
    <w:rsid w:val="00B60E24"/>
    <w:rsid w:val="00B61068"/>
    <w:rsid w:val="00B6118D"/>
    <w:rsid w:val="00B636FD"/>
    <w:rsid w:val="00B6471F"/>
    <w:rsid w:val="00B65759"/>
    <w:rsid w:val="00B65A9D"/>
    <w:rsid w:val="00B674BE"/>
    <w:rsid w:val="00B67A5D"/>
    <w:rsid w:val="00B67BF5"/>
    <w:rsid w:val="00B70240"/>
    <w:rsid w:val="00B706E0"/>
    <w:rsid w:val="00B70E68"/>
    <w:rsid w:val="00B71BEA"/>
    <w:rsid w:val="00B71D0E"/>
    <w:rsid w:val="00B71D2A"/>
    <w:rsid w:val="00B71D57"/>
    <w:rsid w:val="00B72616"/>
    <w:rsid w:val="00B72B0E"/>
    <w:rsid w:val="00B72CAF"/>
    <w:rsid w:val="00B7346A"/>
    <w:rsid w:val="00B7351F"/>
    <w:rsid w:val="00B73E32"/>
    <w:rsid w:val="00B743DF"/>
    <w:rsid w:val="00B744BA"/>
    <w:rsid w:val="00B74B6F"/>
    <w:rsid w:val="00B752A3"/>
    <w:rsid w:val="00B754ED"/>
    <w:rsid w:val="00B75640"/>
    <w:rsid w:val="00B75690"/>
    <w:rsid w:val="00B75B01"/>
    <w:rsid w:val="00B76191"/>
    <w:rsid w:val="00B77355"/>
    <w:rsid w:val="00B77E94"/>
    <w:rsid w:val="00B80265"/>
    <w:rsid w:val="00B80321"/>
    <w:rsid w:val="00B805B9"/>
    <w:rsid w:val="00B80E01"/>
    <w:rsid w:val="00B81361"/>
    <w:rsid w:val="00B8186C"/>
    <w:rsid w:val="00B826B3"/>
    <w:rsid w:val="00B83A02"/>
    <w:rsid w:val="00B85FC8"/>
    <w:rsid w:val="00B863E7"/>
    <w:rsid w:val="00B8778B"/>
    <w:rsid w:val="00B9031C"/>
    <w:rsid w:val="00B90653"/>
    <w:rsid w:val="00B90BB3"/>
    <w:rsid w:val="00B91035"/>
    <w:rsid w:val="00B925DB"/>
    <w:rsid w:val="00B92CAE"/>
    <w:rsid w:val="00B9333B"/>
    <w:rsid w:val="00B938E4"/>
    <w:rsid w:val="00B93E85"/>
    <w:rsid w:val="00B947BF"/>
    <w:rsid w:val="00B94BC1"/>
    <w:rsid w:val="00B94E55"/>
    <w:rsid w:val="00B94F87"/>
    <w:rsid w:val="00B951C1"/>
    <w:rsid w:val="00B9556E"/>
    <w:rsid w:val="00B95B14"/>
    <w:rsid w:val="00B95DC7"/>
    <w:rsid w:val="00B96502"/>
    <w:rsid w:val="00B96BF1"/>
    <w:rsid w:val="00B96C53"/>
    <w:rsid w:val="00B975CF"/>
    <w:rsid w:val="00BA0E91"/>
    <w:rsid w:val="00BA0F89"/>
    <w:rsid w:val="00BA1049"/>
    <w:rsid w:val="00BA15EC"/>
    <w:rsid w:val="00BA179D"/>
    <w:rsid w:val="00BA1A50"/>
    <w:rsid w:val="00BA1AFD"/>
    <w:rsid w:val="00BA1E95"/>
    <w:rsid w:val="00BA217B"/>
    <w:rsid w:val="00BA2A85"/>
    <w:rsid w:val="00BA2EC7"/>
    <w:rsid w:val="00BA3490"/>
    <w:rsid w:val="00BA4525"/>
    <w:rsid w:val="00BA4BFB"/>
    <w:rsid w:val="00BA51F6"/>
    <w:rsid w:val="00BA5B47"/>
    <w:rsid w:val="00BA5ED6"/>
    <w:rsid w:val="00BA648B"/>
    <w:rsid w:val="00BA6818"/>
    <w:rsid w:val="00BA6862"/>
    <w:rsid w:val="00BA77DE"/>
    <w:rsid w:val="00BA782E"/>
    <w:rsid w:val="00BA7A25"/>
    <w:rsid w:val="00BB05F4"/>
    <w:rsid w:val="00BB0630"/>
    <w:rsid w:val="00BB12F6"/>
    <w:rsid w:val="00BB13AC"/>
    <w:rsid w:val="00BB2485"/>
    <w:rsid w:val="00BB3436"/>
    <w:rsid w:val="00BB3A7C"/>
    <w:rsid w:val="00BB3D9E"/>
    <w:rsid w:val="00BB48F9"/>
    <w:rsid w:val="00BB4D20"/>
    <w:rsid w:val="00BB51DC"/>
    <w:rsid w:val="00BB5776"/>
    <w:rsid w:val="00BB5ACB"/>
    <w:rsid w:val="00BB5B56"/>
    <w:rsid w:val="00BB6172"/>
    <w:rsid w:val="00BB62E3"/>
    <w:rsid w:val="00BB6853"/>
    <w:rsid w:val="00BB6B0B"/>
    <w:rsid w:val="00BB6C0B"/>
    <w:rsid w:val="00BB6DEB"/>
    <w:rsid w:val="00BB6F1C"/>
    <w:rsid w:val="00BB7538"/>
    <w:rsid w:val="00BB753B"/>
    <w:rsid w:val="00BB772D"/>
    <w:rsid w:val="00BB7DA0"/>
    <w:rsid w:val="00BB7EAC"/>
    <w:rsid w:val="00BC091B"/>
    <w:rsid w:val="00BC13E1"/>
    <w:rsid w:val="00BC23C0"/>
    <w:rsid w:val="00BC265B"/>
    <w:rsid w:val="00BC265E"/>
    <w:rsid w:val="00BC2978"/>
    <w:rsid w:val="00BC3563"/>
    <w:rsid w:val="00BC3677"/>
    <w:rsid w:val="00BC5C51"/>
    <w:rsid w:val="00BC60E1"/>
    <w:rsid w:val="00BC63AD"/>
    <w:rsid w:val="00BC6794"/>
    <w:rsid w:val="00BC730B"/>
    <w:rsid w:val="00BC7C23"/>
    <w:rsid w:val="00BD0750"/>
    <w:rsid w:val="00BD0DE3"/>
    <w:rsid w:val="00BD0E33"/>
    <w:rsid w:val="00BD1C8B"/>
    <w:rsid w:val="00BD1D83"/>
    <w:rsid w:val="00BD27DF"/>
    <w:rsid w:val="00BD2828"/>
    <w:rsid w:val="00BD35F1"/>
    <w:rsid w:val="00BD37BA"/>
    <w:rsid w:val="00BD383C"/>
    <w:rsid w:val="00BD45DA"/>
    <w:rsid w:val="00BD4720"/>
    <w:rsid w:val="00BD4CCC"/>
    <w:rsid w:val="00BD4EE6"/>
    <w:rsid w:val="00BD5BC3"/>
    <w:rsid w:val="00BD5CA3"/>
    <w:rsid w:val="00BD601C"/>
    <w:rsid w:val="00BD70AE"/>
    <w:rsid w:val="00BE0DCB"/>
    <w:rsid w:val="00BE1859"/>
    <w:rsid w:val="00BE24E9"/>
    <w:rsid w:val="00BE2CF2"/>
    <w:rsid w:val="00BE2D0C"/>
    <w:rsid w:val="00BE538C"/>
    <w:rsid w:val="00BE5CC6"/>
    <w:rsid w:val="00BE5FDD"/>
    <w:rsid w:val="00BE6339"/>
    <w:rsid w:val="00BE6738"/>
    <w:rsid w:val="00BE6981"/>
    <w:rsid w:val="00BE6A48"/>
    <w:rsid w:val="00BE756C"/>
    <w:rsid w:val="00BE7822"/>
    <w:rsid w:val="00BE7934"/>
    <w:rsid w:val="00BE7AC2"/>
    <w:rsid w:val="00BF01F1"/>
    <w:rsid w:val="00BF04AD"/>
    <w:rsid w:val="00BF07D6"/>
    <w:rsid w:val="00BF07EA"/>
    <w:rsid w:val="00BF16B9"/>
    <w:rsid w:val="00BF1740"/>
    <w:rsid w:val="00BF181A"/>
    <w:rsid w:val="00BF1A83"/>
    <w:rsid w:val="00BF1D78"/>
    <w:rsid w:val="00BF1E65"/>
    <w:rsid w:val="00BF2184"/>
    <w:rsid w:val="00BF2338"/>
    <w:rsid w:val="00BF27BB"/>
    <w:rsid w:val="00BF381C"/>
    <w:rsid w:val="00BF3965"/>
    <w:rsid w:val="00BF4733"/>
    <w:rsid w:val="00BF498B"/>
    <w:rsid w:val="00BF4EB8"/>
    <w:rsid w:val="00BF5D42"/>
    <w:rsid w:val="00BF6690"/>
    <w:rsid w:val="00BF7E99"/>
    <w:rsid w:val="00C00032"/>
    <w:rsid w:val="00C00469"/>
    <w:rsid w:val="00C0047B"/>
    <w:rsid w:val="00C010FA"/>
    <w:rsid w:val="00C012AA"/>
    <w:rsid w:val="00C01807"/>
    <w:rsid w:val="00C01BB0"/>
    <w:rsid w:val="00C021A6"/>
    <w:rsid w:val="00C03FC3"/>
    <w:rsid w:val="00C042FB"/>
    <w:rsid w:val="00C05422"/>
    <w:rsid w:val="00C05541"/>
    <w:rsid w:val="00C0591B"/>
    <w:rsid w:val="00C059F2"/>
    <w:rsid w:val="00C0643E"/>
    <w:rsid w:val="00C06AC7"/>
    <w:rsid w:val="00C06FD8"/>
    <w:rsid w:val="00C07AE4"/>
    <w:rsid w:val="00C10414"/>
    <w:rsid w:val="00C10E4A"/>
    <w:rsid w:val="00C10F84"/>
    <w:rsid w:val="00C11958"/>
    <w:rsid w:val="00C11E76"/>
    <w:rsid w:val="00C121E3"/>
    <w:rsid w:val="00C129C1"/>
    <w:rsid w:val="00C13EC6"/>
    <w:rsid w:val="00C14145"/>
    <w:rsid w:val="00C14D49"/>
    <w:rsid w:val="00C15346"/>
    <w:rsid w:val="00C15E18"/>
    <w:rsid w:val="00C16DA8"/>
    <w:rsid w:val="00C1791A"/>
    <w:rsid w:val="00C17D16"/>
    <w:rsid w:val="00C202DC"/>
    <w:rsid w:val="00C20431"/>
    <w:rsid w:val="00C20D32"/>
    <w:rsid w:val="00C20DA8"/>
    <w:rsid w:val="00C20DF3"/>
    <w:rsid w:val="00C21563"/>
    <w:rsid w:val="00C21792"/>
    <w:rsid w:val="00C21910"/>
    <w:rsid w:val="00C2200C"/>
    <w:rsid w:val="00C224D0"/>
    <w:rsid w:val="00C22E4B"/>
    <w:rsid w:val="00C23E65"/>
    <w:rsid w:val="00C240D2"/>
    <w:rsid w:val="00C24886"/>
    <w:rsid w:val="00C24A19"/>
    <w:rsid w:val="00C24A20"/>
    <w:rsid w:val="00C24ADB"/>
    <w:rsid w:val="00C25770"/>
    <w:rsid w:val="00C2620F"/>
    <w:rsid w:val="00C262DD"/>
    <w:rsid w:val="00C2636E"/>
    <w:rsid w:val="00C268C6"/>
    <w:rsid w:val="00C27904"/>
    <w:rsid w:val="00C27F83"/>
    <w:rsid w:val="00C3074B"/>
    <w:rsid w:val="00C30904"/>
    <w:rsid w:val="00C318AF"/>
    <w:rsid w:val="00C321FC"/>
    <w:rsid w:val="00C324F0"/>
    <w:rsid w:val="00C3267E"/>
    <w:rsid w:val="00C327BC"/>
    <w:rsid w:val="00C3385B"/>
    <w:rsid w:val="00C33C75"/>
    <w:rsid w:val="00C33F3D"/>
    <w:rsid w:val="00C34193"/>
    <w:rsid w:val="00C34711"/>
    <w:rsid w:val="00C35323"/>
    <w:rsid w:val="00C35747"/>
    <w:rsid w:val="00C35A2D"/>
    <w:rsid w:val="00C3671C"/>
    <w:rsid w:val="00C368B2"/>
    <w:rsid w:val="00C36FB7"/>
    <w:rsid w:val="00C37102"/>
    <w:rsid w:val="00C37A49"/>
    <w:rsid w:val="00C40850"/>
    <w:rsid w:val="00C4192E"/>
    <w:rsid w:val="00C4227F"/>
    <w:rsid w:val="00C43770"/>
    <w:rsid w:val="00C43DB2"/>
    <w:rsid w:val="00C43F3C"/>
    <w:rsid w:val="00C44B2F"/>
    <w:rsid w:val="00C4508E"/>
    <w:rsid w:val="00C45ADD"/>
    <w:rsid w:val="00C46477"/>
    <w:rsid w:val="00C46905"/>
    <w:rsid w:val="00C4690C"/>
    <w:rsid w:val="00C4786D"/>
    <w:rsid w:val="00C478FD"/>
    <w:rsid w:val="00C47DE2"/>
    <w:rsid w:val="00C50543"/>
    <w:rsid w:val="00C505BA"/>
    <w:rsid w:val="00C5085D"/>
    <w:rsid w:val="00C509B4"/>
    <w:rsid w:val="00C512A2"/>
    <w:rsid w:val="00C51566"/>
    <w:rsid w:val="00C5157D"/>
    <w:rsid w:val="00C51C34"/>
    <w:rsid w:val="00C52281"/>
    <w:rsid w:val="00C52CEE"/>
    <w:rsid w:val="00C530B7"/>
    <w:rsid w:val="00C53203"/>
    <w:rsid w:val="00C53C97"/>
    <w:rsid w:val="00C560CF"/>
    <w:rsid w:val="00C56DA7"/>
    <w:rsid w:val="00C56EA1"/>
    <w:rsid w:val="00C57A60"/>
    <w:rsid w:val="00C57BE5"/>
    <w:rsid w:val="00C57C31"/>
    <w:rsid w:val="00C60D5C"/>
    <w:rsid w:val="00C61102"/>
    <w:rsid w:val="00C61EC0"/>
    <w:rsid w:val="00C620C3"/>
    <w:rsid w:val="00C624A9"/>
    <w:rsid w:val="00C62B22"/>
    <w:rsid w:val="00C63304"/>
    <w:rsid w:val="00C63B94"/>
    <w:rsid w:val="00C63BC0"/>
    <w:rsid w:val="00C63D1F"/>
    <w:rsid w:val="00C63D7F"/>
    <w:rsid w:val="00C64D09"/>
    <w:rsid w:val="00C6582D"/>
    <w:rsid w:val="00C65AE0"/>
    <w:rsid w:val="00C661CD"/>
    <w:rsid w:val="00C663A7"/>
    <w:rsid w:val="00C66614"/>
    <w:rsid w:val="00C66925"/>
    <w:rsid w:val="00C66FFA"/>
    <w:rsid w:val="00C6779C"/>
    <w:rsid w:val="00C67BA4"/>
    <w:rsid w:val="00C709A2"/>
    <w:rsid w:val="00C7112E"/>
    <w:rsid w:val="00C71928"/>
    <w:rsid w:val="00C71A7E"/>
    <w:rsid w:val="00C71C06"/>
    <w:rsid w:val="00C72009"/>
    <w:rsid w:val="00C7346A"/>
    <w:rsid w:val="00C736A6"/>
    <w:rsid w:val="00C73BEB"/>
    <w:rsid w:val="00C73F09"/>
    <w:rsid w:val="00C7524C"/>
    <w:rsid w:val="00C759CB"/>
    <w:rsid w:val="00C762D7"/>
    <w:rsid w:val="00C766FC"/>
    <w:rsid w:val="00C76D6D"/>
    <w:rsid w:val="00C77248"/>
    <w:rsid w:val="00C776FD"/>
    <w:rsid w:val="00C77C40"/>
    <w:rsid w:val="00C8020F"/>
    <w:rsid w:val="00C804E2"/>
    <w:rsid w:val="00C81842"/>
    <w:rsid w:val="00C8225E"/>
    <w:rsid w:val="00C823CB"/>
    <w:rsid w:val="00C826EE"/>
    <w:rsid w:val="00C82B3B"/>
    <w:rsid w:val="00C82CB0"/>
    <w:rsid w:val="00C83948"/>
    <w:rsid w:val="00C83FC0"/>
    <w:rsid w:val="00C84351"/>
    <w:rsid w:val="00C848BA"/>
    <w:rsid w:val="00C84F98"/>
    <w:rsid w:val="00C852CD"/>
    <w:rsid w:val="00C85810"/>
    <w:rsid w:val="00C85898"/>
    <w:rsid w:val="00C85A8A"/>
    <w:rsid w:val="00C86A07"/>
    <w:rsid w:val="00C8799A"/>
    <w:rsid w:val="00C903B9"/>
    <w:rsid w:val="00C9072A"/>
    <w:rsid w:val="00C912F5"/>
    <w:rsid w:val="00C91C46"/>
    <w:rsid w:val="00C92372"/>
    <w:rsid w:val="00C93087"/>
    <w:rsid w:val="00C935C5"/>
    <w:rsid w:val="00C93944"/>
    <w:rsid w:val="00C9424C"/>
    <w:rsid w:val="00C94546"/>
    <w:rsid w:val="00C94660"/>
    <w:rsid w:val="00C94796"/>
    <w:rsid w:val="00C94C8D"/>
    <w:rsid w:val="00C951F5"/>
    <w:rsid w:val="00C955D7"/>
    <w:rsid w:val="00C95736"/>
    <w:rsid w:val="00C95F4E"/>
    <w:rsid w:val="00C96502"/>
    <w:rsid w:val="00C96D8A"/>
    <w:rsid w:val="00C96FF8"/>
    <w:rsid w:val="00C971AB"/>
    <w:rsid w:val="00C97C88"/>
    <w:rsid w:val="00CA043B"/>
    <w:rsid w:val="00CA062B"/>
    <w:rsid w:val="00CA0C6E"/>
    <w:rsid w:val="00CA0CFC"/>
    <w:rsid w:val="00CA1D40"/>
    <w:rsid w:val="00CA2076"/>
    <w:rsid w:val="00CA2AFD"/>
    <w:rsid w:val="00CA2BA3"/>
    <w:rsid w:val="00CA2E6A"/>
    <w:rsid w:val="00CA301A"/>
    <w:rsid w:val="00CA3981"/>
    <w:rsid w:val="00CA4024"/>
    <w:rsid w:val="00CA46A4"/>
    <w:rsid w:val="00CA4B8E"/>
    <w:rsid w:val="00CA4CB1"/>
    <w:rsid w:val="00CA57FE"/>
    <w:rsid w:val="00CA5A78"/>
    <w:rsid w:val="00CA6399"/>
    <w:rsid w:val="00CA64DD"/>
    <w:rsid w:val="00CA68D4"/>
    <w:rsid w:val="00CB0479"/>
    <w:rsid w:val="00CB0A16"/>
    <w:rsid w:val="00CB0CC8"/>
    <w:rsid w:val="00CB1696"/>
    <w:rsid w:val="00CB1DCD"/>
    <w:rsid w:val="00CB2774"/>
    <w:rsid w:val="00CB2A32"/>
    <w:rsid w:val="00CB4562"/>
    <w:rsid w:val="00CB47F9"/>
    <w:rsid w:val="00CB4E03"/>
    <w:rsid w:val="00CB5679"/>
    <w:rsid w:val="00CB5713"/>
    <w:rsid w:val="00CB5F3C"/>
    <w:rsid w:val="00CB68A2"/>
    <w:rsid w:val="00CB731B"/>
    <w:rsid w:val="00CB7F3B"/>
    <w:rsid w:val="00CC01EB"/>
    <w:rsid w:val="00CC03AE"/>
    <w:rsid w:val="00CC0A7F"/>
    <w:rsid w:val="00CC150E"/>
    <w:rsid w:val="00CC250D"/>
    <w:rsid w:val="00CC25FD"/>
    <w:rsid w:val="00CC2CA2"/>
    <w:rsid w:val="00CC31C4"/>
    <w:rsid w:val="00CC327F"/>
    <w:rsid w:val="00CC3697"/>
    <w:rsid w:val="00CC3D07"/>
    <w:rsid w:val="00CC41B7"/>
    <w:rsid w:val="00CC474A"/>
    <w:rsid w:val="00CC4C03"/>
    <w:rsid w:val="00CC52EC"/>
    <w:rsid w:val="00CC57D3"/>
    <w:rsid w:val="00CC5F28"/>
    <w:rsid w:val="00CC61AA"/>
    <w:rsid w:val="00CC6D64"/>
    <w:rsid w:val="00CC71A0"/>
    <w:rsid w:val="00CC75C2"/>
    <w:rsid w:val="00CC778A"/>
    <w:rsid w:val="00CC7F41"/>
    <w:rsid w:val="00CD0246"/>
    <w:rsid w:val="00CD05A3"/>
    <w:rsid w:val="00CD0842"/>
    <w:rsid w:val="00CD134D"/>
    <w:rsid w:val="00CD157B"/>
    <w:rsid w:val="00CD21B3"/>
    <w:rsid w:val="00CD2323"/>
    <w:rsid w:val="00CD23D6"/>
    <w:rsid w:val="00CD2656"/>
    <w:rsid w:val="00CD2ADC"/>
    <w:rsid w:val="00CD365A"/>
    <w:rsid w:val="00CD3F18"/>
    <w:rsid w:val="00CD442A"/>
    <w:rsid w:val="00CD45E3"/>
    <w:rsid w:val="00CD4B8D"/>
    <w:rsid w:val="00CD4F71"/>
    <w:rsid w:val="00CD5857"/>
    <w:rsid w:val="00CD5FFD"/>
    <w:rsid w:val="00CD688F"/>
    <w:rsid w:val="00CE02E6"/>
    <w:rsid w:val="00CE1043"/>
    <w:rsid w:val="00CE151A"/>
    <w:rsid w:val="00CE1EC6"/>
    <w:rsid w:val="00CE1F54"/>
    <w:rsid w:val="00CE24FA"/>
    <w:rsid w:val="00CE31E5"/>
    <w:rsid w:val="00CE3564"/>
    <w:rsid w:val="00CE36BB"/>
    <w:rsid w:val="00CE495D"/>
    <w:rsid w:val="00CE49BA"/>
    <w:rsid w:val="00CE4F45"/>
    <w:rsid w:val="00CE51F8"/>
    <w:rsid w:val="00CE628D"/>
    <w:rsid w:val="00CE6528"/>
    <w:rsid w:val="00CE67DA"/>
    <w:rsid w:val="00CE6804"/>
    <w:rsid w:val="00CE6B16"/>
    <w:rsid w:val="00CE6BB0"/>
    <w:rsid w:val="00CE6C89"/>
    <w:rsid w:val="00CE6F27"/>
    <w:rsid w:val="00CE79FE"/>
    <w:rsid w:val="00CE7E16"/>
    <w:rsid w:val="00CF010F"/>
    <w:rsid w:val="00CF072B"/>
    <w:rsid w:val="00CF0ADD"/>
    <w:rsid w:val="00CF0AFE"/>
    <w:rsid w:val="00CF0D20"/>
    <w:rsid w:val="00CF2363"/>
    <w:rsid w:val="00CF23EE"/>
    <w:rsid w:val="00CF28EE"/>
    <w:rsid w:val="00CF3159"/>
    <w:rsid w:val="00CF402D"/>
    <w:rsid w:val="00CF431B"/>
    <w:rsid w:val="00CF4820"/>
    <w:rsid w:val="00CF5388"/>
    <w:rsid w:val="00CF5577"/>
    <w:rsid w:val="00CF5DAF"/>
    <w:rsid w:val="00CF61B5"/>
    <w:rsid w:val="00CF62A8"/>
    <w:rsid w:val="00CF6DF4"/>
    <w:rsid w:val="00CF6EA7"/>
    <w:rsid w:val="00CF7684"/>
    <w:rsid w:val="00D0212E"/>
    <w:rsid w:val="00D0225B"/>
    <w:rsid w:val="00D02A19"/>
    <w:rsid w:val="00D04F7B"/>
    <w:rsid w:val="00D0512C"/>
    <w:rsid w:val="00D05456"/>
    <w:rsid w:val="00D05E29"/>
    <w:rsid w:val="00D06211"/>
    <w:rsid w:val="00D06DF6"/>
    <w:rsid w:val="00D06E9F"/>
    <w:rsid w:val="00D06FFF"/>
    <w:rsid w:val="00D0757E"/>
    <w:rsid w:val="00D07B7D"/>
    <w:rsid w:val="00D07E7E"/>
    <w:rsid w:val="00D113E7"/>
    <w:rsid w:val="00D116F0"/>
    <w:rsid w:val="00D119B8"/>
    <w:rsid w:val="00D11B26"/>
    <w:rsid w:val="00D122BD"/>
    <w:rsid w:val="00D12A77"/>
    <w:rsid w:val="00D12AB4"/>
    <w:rsid w:val="00D12E24"/>
    <w:rsid w:val="00D13CD4"/>
    <w:rsid w:val="00D13DBC"/>
    <w:rsid w:val="00D14332"/>
    <w:rsid w:val="00D15178"/>
    <w:rsid w:val="00D1522A"/>
    <w:rsid w:val="00D15B0C"/>
    <w:rsid w:val="00D167E6"/>
    <w:rsid w:val="00D16F9B"/>
    <w:rsid w:val="00D17611"/>
    <w:rsid w:val="00D17E36"/>
    <w:rsid w:val="00D200B1"/>
    <w:rsid w:val="00D201F2"/>
    <w:rsid w:val="00D20389"/>
    <w:rsid w:val="00D214CE"/>
    <w:rsid w:val="00D21901"/>
    <w:rsid w:val="00D21A5A"/>
    <w:rsid w:val="00D21DA4"/>
    <w:rsid w:val="00D22863"/>
    <w:rsid w:val="00D22A36"/>
    <w:rsid w:val="00D23502"/>
    <w:rsid w:val="00D24778"/>
    <w:rsid w:val="00D25322"/>
    <w:rsid w:val="00D25ADF"/>
    <w:rsid w:val="00D25BE6"/>
    <w:rsid w:val="00D25C2E"/>
    <w:rsid w:val="00D25FFA"/>
    <w:rsid w:val="00D26186"/>
    <w:rsid w:val="00D264A4"/>
    <w:rsid w:val="00D26DF4"/>
    <w:rsid w:val="00D26E87"/>
    <w:rsid w:val="00D27086"/>
    <w:rsid w:val="00D27715"/>
    <w:rsid w:val="00D27CDB"/>
    <w:rsid w:val="00D301B3"/>
    <w:rsid w:val="00D30458"/>
    <w:rsid w:val="00D30B67"/>
    <w:rsid w:val="00D30D2F"/>
    <w:rsid w:val="00D31529"/>
    <w:rsid w:val="00D3190D"/>
    <w:rsid w:val="00D3255F"/>
    <w:rsid w:val="00D3345B"/>
    <w:rsid w:val="00D334F0"/>
    <w:rsid w:val="00D33974"/>
    <w:rsid w:val="00D33C7E"/>
    <w:rsid w:val="00D34005"/>
    <w:rsid w:val="00D346EB"/>
    <w:rsid w:val="00D35DEF"/>
    <w:rsid w:val="00D35F0E"/>
    <w:rsid w:val="00D362D1"/>
    <w:rsid w:val="00D36FEC"/>
    <w:rsid w:val="00D3723B"/>
    <w:rsid w:val="00D377B1"/>
    <w:rsid w:val="00D37996"/>
    <w:rsid w:val="00D37DF7"/>
    <w:rsid w:val="00D405B2"/>
    <w:rsid w:val="00D40E5F"/>
    <w:rsid w:val="00D4101C"/>
    <w:rsid w:val="00D4115A"/>
    <w:rsid w:val="00D411AB"/>
    <w:rsid w:val="00D41BD7"/>
    <w:rsid w:val="00D41E32"/>
    <w:rsid w:val="00D42078"/>
    <w:rsid w:val="00D421C9"/>
    <w:rsid w:val="00D42CC1"/>
    <w:rsid w:val="00D42F6C"/>
    <w:rsid w:val="00D43A1F"/>
    <w:rsid w:val="00D44755"/>
    <w:rsid w:val="00D44B50"/>
    <w:rsid w:val="00D45EDA"/>
    <w:rsid w:val="00D45F80"/>
    <w:rsid w:val="00D46126"/>
    <w:rsid w:val="00D508A9"/>
    <w:rsid w:val="00D50DFF"/>
    <w:rsid w:val="00D512A4"/>
    <w:rsid w:val="00D5133C"/>
    <w:rsid w:val="00D5138A"/>
    <w:rsid w:val="00D51A7A"/>
    <w:rsid w:val="00D521C2"/>
    <w:rsid w:val="00D53401"/>
    <w:rsid w:val="00D5370C"/>
    <w:rsid w:val="00D53A72"/>
    <w:rsid w:val="00D54213"/>
    <w:rsid w:val="00D54416"/>
    <w:rsid w:val="00D54F96"/>
    <w:rsid w:val="00D5509A"/>
    <w:rsid w:val="00D5545B"/>
    <w:rsid w:val="00D557D8"/>
    <w:rsid w:val="00D56CC0"/>
    <w:rsid w:val="00D57027"/>
    <w:rsid w:val="00D578DF"/>
    <w:rsid w:val="00D60147"/>
    <w:rsid w:val="00D60291"/>
    <w:rsid w:val="00D60DEF"/>
    <w:rsid w:val="00D61D9D"/>
    <w:rsid w:val="00D6217D"/>
    <w:rsid w:val="00D6231B"/>
    <w:rsid w:val="00D625C5"/>
    <w:rsid w:val="00D62DFA"/>
    <w:rsid w:val="00D63ACC"/>
    <w:rsid w:val="00D663F0"/>
    <w:rsid w:val="00D66636"/>
    <w:rsid w:val="00D66949"/>
    <w:rsid w:val="00D672C4"/>
    <w:rsid w:val="00D67658"/>
    <w:rsid w:val="00D67A60"/>
    <w:rsid w:val="00D70016"/>
    <w:rsid w:val="00D70178"/>
    <w:rsid w:val="00D701D4"/>
    <w:rsid w:val="00D7100B"/>
    <w:rsid w:val="00D71336"/>
    <w:rsid w:val="00D71461"/>
    <w:rsid w:val="00D71471"/>
    <w:rsid w:val="00D71590"/>
    <w:rsid w:val="00D71AF4"/>
    <w:rsid w:val="00D71C56"/>
    <w:rsid w:val="00D73963"/>
    <w:rsid w:val="00D73C72"/>
    <w:rsid w:val="00D73DDB"/>
    <w:rsid w:val="00D7519D"/>
    <w:rsid w:val="00D75281"/>
    <w:rsid w:val="00D75B25"/>
    <w:rsid w:val="00D75D19"/>
    <w:rsid w:val="00D7657C"/>
    <w:rsid w:val="00D7676B"/>
    <w:rsid w:val="00D76BAD"/>
    <w:rsid w:val="00D76E8B"/>
    <w:rsid w:val="00D7706C"/>
    <w:rsid w:val="00D77359"/>
    <w:rsid w:val="00D77433"/>
    <w:rsid w:val="00D80F0E"/>
    <w:rsid w:val="00D810BB"/>
    <w:rsid w:val="00D81801"/>
    <w:rsid w:val="00D8205D"/>
    <w:rsid w:val="00D82646"/>
    <w:rsid w:val="00D82A69"/>
    <w:rsid w:val="00D83B93"/>
    <w:rsid w:val="00D844C1"/>
    <w:rsid w:val="00D846FB"/>
    <w:rsid w:val="00D847F9"/>
    <w:rsid w:val="00D84B28"/>
    <w:rsid w:val="00D84E58"/>
    <w:rsid w:val="00D85309"/>
    <w:rsid w:val="00D8567A"/>
    <w:rsid w:val="00D860C6"/>
    <w:rsid w:val="00D86512"/>
    <w:rsid w:val="00D86695"/>
    <w:rsid w:val="00D867A8"/>
    <w:rsid w:val="00D86A06"/>
    <w:rsid w:val="00D86ABB"/>
    <w:rsid w:val="00D86AD8"/>
    <w:rsid w:val="00D87080"/>
    <w:rsid w:val="00D87115"/>
    <w:rsid w:val="00D879C1"/>
    <w:rsid w:val="00D87D24"/>
    <w:rsid w:val="00D90453"/>
    <w:rsid w:val="00D90A07"/>
    <w:rsid w:val="00D90A77"/>
    <w:rsid w:val="00D90BA1"/>
    <w:rsid w:val="00D91911"/>
    <w:rsid w:val="00D919E3"/>
    <w:rsid w:val="00D91B8A"/>
    <w:rsid w:val="00D91D38"/>
    <w:rsid w:val="00D9376B"/>
    <w:rsid w:val="00D937CC"/>
    <w:rsid w:val="00D93E53"/>
    <w:rsid w:val="00D93EA5"/>
    <w:rsid w:val="00D93F56"/>
    <w:rsid w:val="00D9449B"/>
    <w:rsid w:val="00D94A33"/>
    <w:rsid w:val="00D94BC1"/>
    <w:rsid w:val="00D9550F"/>
    <w:rsid w:val="00D9562E"/>
    <w:rsid w:val="00D95B44"/>
    <w:rsid w:val="00D97CB3"/>
    <w:rsid w:val="00DA037D"/>
    <w:rsid w:val="00DA06CD"/>
    <w:rsid w:val="00DA182E"/>
    <w:rsid w:val="00DA18A4"/>
    <w:rsid w:val="00DA1E23"/>
    <w:rsid w:val="00DA30CC"/>
    <w:rsid w:val="00DA32AF"/>
    <w:rsid w:val="00DA33EF"/>
    <w:rsid w:val="00DA35AD"/>
    <w:rsid w:val="00DA3A33"/>
    <w:rsid w:val="00DA3EAD"/>
    <w:rsid w:val="00DA4370"/>
    <w:rsid w:val="00DA44F1"/>
    <w:rsid w:val="00DA477A"/>
    <w:rsid w:val="00DA4973"/>
    <w:rsid w:val="00DA5172"/>
    <w:rsid w:val="00DA5259"/>
    <w:rsid w:val="00DA545B"/>
    <w:rsid w:val="00DA5925"/>
    <w:rsid w:val="00DA67B4"/>
    <w:rsid w:val="00DA6B61"/>
    <w:rsid w:val="00DA6CF4"/>
    <w:rsid w:val="00DA70E8"/>
    <w:rsid w:val="00DA73AF"/>
    <w:rsid w:val="00DA7CFE"/>
    <w:rsid w:val="00DB0056"/>
    <w:rsid w:val="00DB016D"/>
    <w:rsid w:val="00DB0DD9"/>
    <w:rsid w:val="00DB30F4"/>
    <w:rsid w:val="00DB3165"/>
    <w:rsid w:val="00DB34B8"/>
    <w:rsid w:val="00DB38FF"/>
    <w:rsid w:val="00DB3A12"/>
    <w:rsid w:val="00DB3D95"/>
    <w:rsid w:val="00DB49CD"/>
    <w:rsid w:val="00DB59FC"/>
    <w:rsid w:val="00DB6CA0"/>
    <w:rsid w:val="00DB6E07"/>
    <w:rsid w:val="00DB73D7"/>
    <w:rsid w:val="00DB7934"/>
    <w:rsid w:val="00DB7ED2"/>
    <w:rsid w:val="00DC0D2B"/>
    <w:rsid w:val="00DC18B2"/>
    <w:rsid w:val="00DC1926"/>
    <w:rsid w:val="00DC1B1E"/>
    <w:rsid w:val="00DC1C01"/>
    <w:rsid w:val="00DC1E36"/>
    <w:rsid w:val="00DC274D"/>
    <w:rsid w:val="00DC2886"/>
    <w:rsid w:val="00DC2B8D"/>
    <w:rsid w:val="00DC390F"/>
    <w:rsid w:val="00DC3A85"/>
    <w:rsid w:val="00DC5DB6"/>
    <w:rsid w:val="00DC6928"/>
    <w:rsid w:val="00DC747E"/>
    <w:rsid w:val="00DC7C54"/>
    <w:rsid w:val="00DD0B8C"/>
    <w:rsid w:val="00DD1520"/>
    <w:rsid w:val="00DD18B5"/>
    <w:rsid w:val="00DD2301"/>
    <w:rsid w:val="00DD2520"/>
    <w:rsid w:val="00DD28FB"/>
    <w:rsid w:val="00DD30CB"/>
    <w:rsid w:val="00DD3791"/>
    <w:rsid w:val="00DD3820"/>
    <w:rsid w:val="00DD3A1E"/>
    <w:rsid w:val="00DD3D1C"/>
    <w:rsid w:val="00DD3EF2"/>
    <w:rsid w:val="00DD4752"/>
    <w:rsid w:val="00DD488F"/>
    <w:rsid w:val="00DD4D46"/>
    <w:rsid w:val="00DD4DAF"/>
    <w:rsid w:val="00DD521E"/>
    <w:rsid w:val="00DD57FF"/>
    <w:rsid w:val="00DD5948"/>
    <w:rsid w:val="00DD5AEB"/>
    <w:rsid w:val="00DD6294"/>
    <w:rsid w:val="00DD67E5"/>
    <w:rsid w:val="00DD6A57"/>
    <w:rsid w:val="00DD6A5E"/>
    <w:rsid w:val="00DD6A63"/>
    <w:rsid w:val="00DD6DE4"/>
    <w:rsid w:val="00DD7848"/>
    <w:rsid w:val="00DD7EAF"/>
    <w:rsid w:val="00DE0FBE"/>
    <w:rsid w:val="00DE1B18"/>
    <w:rsid w:val="00DE1D5F"/>
    <w:rsid w:val="00DE20F1"/>
    <w:rsid w:val="00DE21F5"/>
    <w:rsid w:val="00DE2445"/>
    <w:rsid w:val="00DE2792"/>
    <w:rsid w:val="00DE2EB4"/>
    <w:rsid w:val="00DE34E7"/>
    <w:rsid w:val="00DE357C"/>
    <w:rsid w:val="00DE38E9"/>
    <w:rsid w:val="00DE3A21"/>
    <w:rsid w:val="00DE3CE5"/>
    <w:rsid w:val="00DE4063"/>
    <w:rsid w:val="00DE4360"/>
    <w:rsid w:val="00DE472C"/>
    <w:rsid w:val="00DE4829"/>
    <w:rsid w:val="00DE6EB9"/>
    <w:rsid w:val="00DE7B6E"/>
    <w:rsid w:val="00DE7F9D"/>
    <w:rsid w:val="00DF074F"/>
    <w:rsid w:val="00DF12B3"/>
    <w:rsid w:val="00DF151A"/>
    <w:rsid w:val="00DF1A16"/>
    <w:rsid w:val="00DF1C08"/>
    <w:rsid w:val="00DF1E44"/>
    <w:rsid w:val="00DF21F4"/>
    <w:rsid w:val="00DF2583"/>
    <w:rsid w:val="00DF26B1"/>
    <w:rsid w:val="00DF2CE5"/>
    <w:rsid w:val="00DF2E7F"/>
    <w:rsid w:val="00DF3158"/>
    <w:rsid w:val="00DF3219"/>
    <w:rsid w:val="00DF3DA5"/>
    <w:rsid w:val="00DF45A1"/>
    <w:rsid w:val="00DF4FB9"/>
    <w:rsid w:val="00DF57F5"/>
    <w:rsid w:val="00DF6037"/>
    <w:rsid w:val="00DF7113"/>
    <w:rsid w:val="00E00775"/>
    <w:rsid w:val="00E0085F"/>
    <w:rsid w:val="00E011E9"/>
    <w:rsid w:val="00E01CA7"/>
    <w:rsid w:val="00E01F7A"/>
    <w:rsid w:val="00E02E95"/>
    <w:rsid w:val="00E033BA"/>
    <w:rsid w:val="00E03692"/>
    <w:rsid w:val="00E0382F"/>
    <w:rsid w:val="00E03980"/>
    <w:rsid w:val="00E041EC"/>
    <w:rsid w:val="00E047AD"/>
    <w:rsid w:val="00E054C6"/>
    <w:rsid w:val="00E058EE"/>
    <w:rsid w:val="00E06676"/>
    <w:rsid w:val="00E06A0D"/>
    <w:rsid w:val="00E06F9C"/>
    <w:rsid w:val="00E075DE"/>
    <w:rsid w:val="00E07AA3"/>
    <w:rsid w:val="00E07AB5"/>
    <w:rsid w:val="00E11DB0"/>
    <w:rsid w:val="00E1213E"/>
    <w:rsid w:val="00E128EB"/>
    <w:rsid w:val="00E12CBB"/>
    <w:rsid w:val="00E12D6C"/>
    <w:rsid w:val="00E12EDF"/>
    <w:rsid w:val="00E13299"/>
    <w:rsid w:val="00E1448C"/>
    <w:rsid w:val="00E147A2"/>
    <w:rsid w:val="00E14B7B"/>
    <w:rsid w:val="00E14D04"/>
    <w:rsid w:val="00E1520B"/>
    <w:rsid w:val="00E15B76"/>
    <w:rsid w:val="00E1663B"/>
    <w:rsid w:val="00E16B28"/>
    <w:rsid w:val="00E16D2F"/>
    <w:rsid w:val="00E17B40"/>
    <w:rsid w:val="00E17D6E"/>
    <w:rsid w:val="00E17F71"/>
    <w:rsid w:val="00E21224"/>
    <w:rsid w:val="00E22E87"/>
    <w:rsid w:val="00E2360B"/>
    <w:rsid w:val="00E23B81"/>
    <w:rsid w:val="00E23C52"/>
    <w:rsid w:val="00E23C67"/>
    <w:rsid w:val="00E23CEF"/>
    <w:rsid w:val="00E25073"/>
    <w:rsid w:val="00E250FA"/>
    <w:rsid w:val="00E25B09"/>
    <w:rsid w:val="00E26231"/>
    <w:rsid w:val="00E2631F"/>
    <w:rsid w:val="00E26729"/>
    <w:rsid w:val="00E26A6B"/>
    <w:rsid w:val="00E27665"/>
    <w:rsid w:val="00E278AC"/>
    <w:rsid w:val="00E27BEE"/>
    <w:rsid w:val="00E303AF"/>
    <w:rsid w:val="00E3052B"/>
    <w:rsid w:val="00E30807"/>
    <w:rsid w:val="00E31710"/>
    <w:rsid w:val="00E31C61"/>
    <w:rsid w:val="00E32188"/>
    <w:rsid w:val="00E323E7"/>
    <w:rsid w:val="00E32490"/>
    <w:rsid w:val="00E32616"/>
    <w:rsid w:val="00E328D8"/>
    <w:rsid w:val="00E32CE2"/>
    <w:rsid w:val="00E32D37"/>
    <w:rsid w:val="00E33C12"/>
    <w:rsid w:val="00E33F65"/>
    <w:rsid w:val="00E34142"/>
    <w:rsid w:val="00E3495E"/>
    <w:rsid w:val="00E34A32"/>
    <w:rsid w:val="00E3591A"/>
    <w:rsid w:val="00E35FEA"/>
    <w:rsid w:val="00E36E69"/>
    <w:rsid w:val="00E37667"/>
    <w:rsid w:val="00E406DA"/>
    <w:rsid w:val="00E40709"/>
    <w:rsid w:val="00E40ADA"/>
    <w:rsid w:val="00E40B89"/>
    <w:rsid w:val="00E415FC"/>
    <w:rsid w:val="00E4170E"/>
    <w:rsid w:val="00E419DD"/>
    <w:rsid w:val="00E41CC9"/>
    <w:rsid w:val="00E41D81"/>
    <w:rsid w:val="00E42F2A"/>
    <w:rsid w:val="00E4307E"/>
    <w:rsid w:val="00E43398"/>
    <w:rsid w:val="00E43559"/>
    <w:rsid w:val="00E43FB8"/>
    <w:rsid w:val="00E44214"/>
    <w:rsid w:val="00E44A83"/>
    <w:rsid w:val="00E44BFF"/>
    <w:rsid w:val="00E44C59"/>
    <w:rsid w:val="00E44E8D"/>
    <w:rsid w:val="00E4549D"/>
    <w:rsid w:val="00E45BF2"/>
    <w:rsid w:val="00E45DEA"/>
    <w:rsid w:val="00E469E5"/>
    <w:rsid w:val="00E47684"/>
    <w:rsid w:val="00E47FA6"/>
    <w:rsid w:val="00E50C4C"/>
    <w:rsid w:val="00E51829"/>
    <w:rsid w:val="00E51A0D"/>
    <w:rsid w:val="00E51E11"/>
    <w:rsid w:val="00E526E2"/>
    <w:rsid w:val="00E53BD5"/>
    <w:rsid w:val="00E54291"/>
    <w:rsid w:val="00E5459C"/>
    <w:rsid w:val="00E549C2"/>
    <w:rsid w:val="00E557B5"/>
    <w:rsid w:val="00E563A7"/>
    <w:rsid w:val="00E56BD8"/>
    <w:rsid w:val="00E56F3C"/>
    <w:rsid w:val="00E57B6A"/>
    <w:rsid w:val="00E57B77"/>
    <w:rsid w:val="00E60733"/>
    <w:rsid w:val="00E60952"/>
    <w:rsid w:val="00E61A4C"/>
    <w:rsid w:val="00E61E23"/>
    <w:rsid w:val="00E620A6"/>
    <w:rsid w:val="00E6210D"/>
    <w:rsid w:val="00E62171"/>
    <w:rsid w:val="00E62768"/>
    <w:rsid w:val="00E62966"/>
    <w:rsid w:val="00E6462C"/>
    <w:rsid w:val="00E649F9"/>
    <w:rsid w:val="00E65BCA"/>
    <w:rsid w:val="00E66365"/>
    <w:rsid w:val="00E672FB"/>
    <w:rsid w:val="00E676F9"/>
    <w:rsid w:val="00E70455"/>
    <w:rsid w:val="00E71702"/>
    <w:rsid w:val="00E719D3"/>
    <w:rsid w:val="00E71E37"/>
    <w:rsid w:val="00E720E5"/>
    <w:rsid w:val="00E720FE"/>
    <w:rsid w:val="00E72A86"/>
    <w:rsid w:val="00E72C29"/>
    <w:rsid w:val="00E730D2"/>
    <w:rsid w:val="00E73583"/>
    <w:rsid w:val="00E73996"/>
    <w:rsid w:val="00E74EE7"/>
    <w:rsid w:val="00E74FD9"/>
    <w:rsid w:val="00E76782"/>
    <w:rsid w:val="00E76956"/>
    <w:rsid w:val="00E77008"/>
    <w:rsid w:val="00E77030"/>
    <w:rsid w:val="00E779CB"/>
    <w:rsid w:val="00E80B80"/>
    <w:rsid w:val="00E814BC"/>
    <w:rsid w:val="00E81603"/>
    <w:rsid w:val="00E81A4E"/>
    <w:rsid w:val="00E82103"/>
    <w:rsid w:val="00E83D1B"/>
    <w:rsid w:val="00E84031"/>
    <w:rsid w:val="00E84AB4"/>
    <w:rsid w:val="00E84B48"/>
    <w:rsid w:val="00E84EBF"/>
    <w:rsid w:val="00E8590A"/>
    <w:rsid w:val="00E85F38"/>
    <w:rsid w:val="00E861A8"/>
    <w:rsid w:val="00E86216"/>
    <w:rsid w:val="00E869C0"/>
    <w:rsid w:val="00E86ED2"/>
    <w:rsid w:val="00E87629"/>
    <w:rsid w:val="00E87846"/>
    <w:rsid w:val="00E87853"/>
    <w:rsid w:val="00E90423"/>
    <w:rsid w:val="00E9047F"/>
    <w:rsid w:val="00E90630"/>
    <w:rsid w:val="00E91621"/>
    <w:rsid w:val="00E91C47"/>
    <w:rsid w:val="00E91D26"/>
    <w:rsid w:val="00E91D47"/>
    <w:rsid w:val="00E92935"/>
    <w:rsid w:val="00E93CE0"/>
    <w:rsid w:val="00E949D3"/>
    <w:rsid w:val="00E94C45"/>
    <w:rsid w:val="00E94C9C"/>
    <w:rsid w:val="00E957E1"/>
    <w:rsid w:val="00E95E9B"/>
    <w:rsid w:val="00E96473"/>
    <w:rsid w:val="00E96648"/>
    <w:rsid w:val="00E9686D"/>
    <w:rsid w:val="00E96BD9"/>
    <w:rsid w:val="00E97928"/>
    <w:rsid w:val="00E97A5E"/>
    <w:rsid w:val="00EA0284"/>
    <w:rsid w:val="00EA046C"/>
    <w:rsid w:val="00EA06E9"/>
    <w:rsid w:val="00EA0D57"/>
    <w:rsid w:val="00EA0E45"/>
    <w:rsid w:val="00EA1EAD"/>
    <w:rsid w:val="00EA1F92"/>
    <w:rsid w:val="00EA205B"/>
    <w:rsid w:val="00EA2486"/>
    <w:rsid w:val="00EA3682"/>
    <w:rsid w:val="00EA4907"/>
    <w:rsid w:val="00EA4974"/>
    <w:rsid w:val="00EA4A2E"/>
    <w:rsid w:val="00EA4C2C"/>
    <w:rsid w:val="00EA5618"/>
    <w:rsid w:val="00EA570D"/>
    <w:rsid w:val="00EA6303"/>
    <w:rsid w:val="00EA66D9"/>
    <w:rsid w:val="00EA67A1"/>
    <w:rsid w:val="00EA6872"/>
    <w:rsid w:val="00EA6B90"/>
    <w:rsid w:val="00EA6EA1"/>
    <w:rsid w:val="00EA7A0F"/>
    <w:rsid w:val="00EA7FDA"/>
    <w:rsid w:val="00EB04B5"/>
    <w:rsid w:val="00EB1073"/>
    <w:rsid w:val="00EB199B"/>
    <w:rsid w:val="00EB1E61"/>
    <w:rsid w:val="00EB210B"/>
    <w:rsid w:val="00EB269D"/>
    <w:rsid w:val="00EB2979"/>
    <w:rsid w:val="00EB2B62"/>
    <w:rsid w:val="00EB39F9"/>
    <w:rsid w:val="00EB3BCE"/>
    <w:rsid w:val="00EB47E5"/>
    <w:rsid w:val="00EB480C"/>
    <w:rsid w:val="00EB498A"/>
    <w:rsid w:val="00EB54B2"/>
    <w:rsid w:val="00EB5877"/>
    <w:rsid w:val="00EB5CAD"/>
    <w:rsid w:val="00EB621E"/>
    <w:rsid w:val="00EB65A1"/>
    <w:rsid w:val="00EB6633"/>
    <w:rsid w:val="00EB684B"/>
    <w:rsid w:val="00EB6D95"/>
    <w:rsid w:val="00EB7939"/>
    <w:rsid w:val="00EB7A37"/>
    <w:rsid w:val="00EB7C89"/>
    <w:rsid w:val="00EB7CD7"/>
    <w:rsid w:val="00EB7CFF"/>
    <w:rsid w:val="00EB7D0A"/>
    <w:rsid w:val="00EC0054"/>
    <w:rsid w:val="00EC0DD2"/>
    <w:rsid w:val="00EC0E73"/>
    <w:rsid w:val="00EC1543"/>
    <w:rsid w:val="00EC23B5"/>
    <w:rsid w:val="00EC2C2F"/>
    <w:rsid w:val="00EC2CF2"/>
    <w:rsid w:val="00EC3159"/>
    <w:rsid w:val="00EC323A"/>
    <w:rsid w:val="00EC34E3"/>
    <w:rsid w:val="00EC3D4A"/>
    <w:rsid w:val="00EC43D9"/>
    <w:rsid w:val="00EC4820"/>
    <w:rsid w:val="00EC52C7"/>
    <w:rsid w:val="00EC55F5"/>
    <w:rsid w:val="00EC5DD1"/>
    <w:rsid w:val="00EC70F7"/>
    <w:rsid w:val="00EC7EB7"/>
    <w:rsid w:val="00ED02EF"/>
    <w:rsid w:val="00ED053F"/>
    <w:rsid w:val="00ED1A2D"/>
    <w:rsid w:val="00ED241C"/>
    <w:rsid w:val="00ED28D4"/>
    <w:rsid w:val="00ED2F2E"/>
    <w:rsid w:val="00ED3A50"/>
    <w:rsid w:val="00ED44D1"/>
    <w:rsid w:val="00ED46D7"/>
    <w:rsid w:val="00ED542F"/>
    <w:rsid w:val="00ED56A7"/>
    <w:rsid w:val="00ED57AB"/>
    <w:rsid w:val="00ED6A8D"/>
    <w:rsid w:val="00ED6B2E"/>
    <w:rsid w:val="00ED710B"/>
    <w:rsid w:val="00ED7133"/>
    <w:rsid w:val="00ED78EF"/>
    <w:rsid w:val="00EE0223"/>
    <w:rsid w:val="00EE11F8"/>
    <w:rsid w:val="00EE1C45"/>
    <w:rsid w:val="00EE27E2"/>
    <w:rsid w:val="00EE2819"/>
    <w:rsid w:val="00EE2EC4"/>
    <w:rsid w:val="00EE33D3"/>
    <w:rsid w:val="00EE38B4"/>
    <w:rsid w:val="00EE392A"/>
    <w:rsid w:val="00EE3F23"/>
    <w:rsid w:val="00EE450F"/>
    <w:rsid w:val="00EE46F6"/>
    <w:rsid w:val="00EE59ED"/>
    <w:rsid w:val="00EE6168"/>
    <w:rsid w:val="00EE64FA"/>
    <w:rsid w:val="00EE6853"/>
    <w:rsid w:val="00EE6C9F"/>
    <w:rsid w:val="00EE7E5F"/>
    <w:rsid w:val="00EF04B9"/>
    <w:rsid w:val="00EF067D"/>
    <w:rsid w:val="00EF105D"/>
    <w:rsid w:val="00EF24F5"/>
    <w:rsid w:val="00EF2565"/>
    <w:rsid w:val="00EF27D0"/>
    <w:rsid w:val="00EF28B1"/>
    <w:rsid w:val="00EF2C41"/>
    <w:rsid w:val="00EF2DE8"/>
    <w:rsid w:val="00EF32F6"/>
    <w:rsid w:val="00EF36E5"/>
    <w:rsid w:val="00EF38E8"/>
    <w:rsid w:val="00EF4580"/>
    <w:rsid w:val="00EF503A"/>
    <w:rsid w:val="00EF539F"/>
    <w:rsid w:val="00EF662C"/>
    <w:rsid w:val="00EF6928"/>
    <w:rsid w:val="00F00C4E"/>
    <w:rsid w:val="00F01326"/>
    <w:rsid w:val="00F016E4"/>
    <w:rsid w:val="00F01B75"/>
    <w:rsid w:val="00F02297"/>
    <w:rsid w:val="00F023D3"/>
    <w:rsid w:val="00F0259B"/>
    <w:rsid w:val="00F03C06"/>
    <w:rsid w:val="00F04097"/>
    <w:rsid w:val="00F045E2"/>
    <w:rsid w:val="00F04B52"/>
    <w:rsid w:val="00F05409"/>
    <w:rsid w:val="00F0689B"/>
    <w:rsid w:val="00F06B5E"/>
    <w:rsid w:val="00F06E52"/>
    <w:rsid w:val="00F06F62"/>
    <w:rsid w:val="00F07EC3"/>
    <w:rsid w:val="00F100E0"/>
    <w:rsid w:val="00F10625"/>
    <w:rsid w:val="00F1079D"/>
    <w:rsid w:val="00F107E8"/>
    <w:rsid w:val="00F11209"/>
    <w:rsid w:val="00F1147E"/>
    <w:rsid w:val="00F11C39"/>
    <w:rsid w:val="00F11CEB"/>
    <w:rsid w:val="00F1248F"/>
    <w:rsid w:val="00F1264C"/>
    <w:rsid w:val="00F13573"/>
    <w:rsid w:val="00F13AB7"/>
    <w:rsid w:val="00F1432C"/>
    <w:rsid w:val="00F14673"/>
    <w:rsid w:val="00F1469A"/>
    <w:rsid w:val="00F1480E"/>
    <w:rsid w:val="00F149A3"/>
    <w:rsid w:val="00F153A2"/>
    <w:rsid w:val="00F15443"/>
    <w:rsid w:val="00F15BD1"/>
    <w:rsid w:val="00F1677E"/>
    <w:rsid w:val="00F16BB0"/>
    <w:rsid w:val="00F1767B"/>
    <w:rsid w:val="00F20D77"/>
    <w:rsid w:val="00F20E6E"/>
    <w:rsid w:val="00F210A3"/>
    <w:rsid w:val="00F211C1"/>
    <w:rsid w:val="00F21309"/>
    <w:rsid w:val="00F21537"/>
    <w:rsid w:val="00F21EEB"/>
    <w:rsid w:val="00F226EF"/>
    <w:rsid w:val="00F23077"/>
    <w:rsid w:val="00F234F2"/>
    <w:rsid w:val="00F23B62"/>
    <w:rsid w:val="00F24313"/>
    <w:rsid w:val="00F24A2F"/>
    <w:rsid w:val="00F252F7"/>
    <w:rsid w:val="00F25AC7"/>
    <w:rsid w:val="00F25F15"/>
    <w:rsid w:val="00F26171"/>
    <w:rsid w:val="00F261FF"/>
    <w:rsid w:val="00F2662F"/>
    <w:rsid w:val="00F26877"/>
    <w:rsid w:val="00F26C20"/>
    <w:rsid w:val="00F30562"/>
    <w:rsid w:val="00F30A69"/>
    <w:rsid w:val="00F30AD8"/>
    <w:rsid w:val="00F30CB3"/>
    <w:rsid w:val="00F315BC"/>
    <w:rsid w:val="00F3163A"/>
    <w:rsid w:val="00F31A97"/>
    <w:rsid w:val="00F31E33"/>
    <w:rsid w:val="00F320EB"/>
    <w:rsid w:val="00F32E30"/>
    <w:rsid w:val="00F3344A"/>
    <w:rsid w:val="00F3372C"/>
    <w:rsid w:val="00F33FEC"/>
    <w:rsid w:val="00F35842"/>
    <w:rsid w:val="00F36501"/>
    <w:rsid w:val="00F36694"/>
    <w:rsid w:val="00F367FB"/>
    <w:rsid w:val="00F36CD4"/>
    <w:rsid w:val="00F3767D"/>
    <w:rsid w:val="00F400F5"/>
    <w:rsid w:val="00F4093E"/>
    <w:rsid w:val="00F4170C"/>
    <w:rsid w:val="00F41879"/>
    <w:rsid w:val="00F41AD6"/>
    <w:rsid w:val="00F41B4F"/>
    <w:rsid w:val="00F41CFF"/>
    <w:rsid w:val="00F4243B"/>
    <w:rsid w:val="00F42646"/>
    <w:rsid w:val="00F42EA6"/>
    <w:rsid w:val="00F43598"/>
    <w:rsid w:val="00F43A0D"/>
    <w:rsid w:val="00F43A22"/>
    <w:rsid w:val="00F43F6D"/>
    <w:rsid w:val="00F4658D"/>
    <w:rsid w:val="00F4667C"/>
    <w:rsid w:val="00F46963"/>
    <w:rsid w:val="00F47047"/>
    <w:rsid w:val="00F50354"/>
    <w:rsid w:val="00F50392"/>
    <w:rsid w:val="00F50828"/>
    <w:rsid w:val="00F50AA7"/>
    <w:rsid w:val="00F50BC0"/>
    <w:rsid w:val="00F516EF"/>
    <w:rsid w:val="00F52F00"/>
    <w:rsid w:val="00F53002"/>
    <w:rsid w:val="00F541FA"/>
    <w:rsid w:val="00F54714"/>
    <w:rsid w:val="00F54BA2"/>
    <w:rsid w:val="00F558D4"/>
    <w:rsid w:val="00F55FFC"/>
    <w:rsid w:val="00F56F60"/>
    <w:rsid w:val="00F574F8"/>
    <w:rsid w:val="00F577C6"/>
    <w:rsid w:val="00F57800"/>
    <w:rsid w:val="00F603F5"/>
    <w:rsid w:val="00F604D4"/>
    <w:rsid w:val="00F60928"/>
    <w:rsid w:val="00F60A35"/>
    <w:rsid w:val="00F6185D"/>
    <w:rsid w:val="00F61F4B"/>
    <w:rsid w:val="00F62238"/>
    <w:rsid w:val="00F62391"/>
    <w:rsid w:val="00F62A2D"/>
    <w:rsid w:val="00F62C03"/>
    <w:rsid w:val="00F62D5E"/>
    <w:rsid w:val="00F63A0E"/>
    <w:rsid w:val="00F63CF0"/>
    <w:rsid w:val="00F642E8"/>
    <w:rsid w:val="00F64B72"/>
    <w:rsid w:val="00F64FC3"/>
    <w:rsid w:val="00F65A96"/>
    <w:rsid w:val="00F65B4B"/>
    <w:rsid w:val="00F66F43"/>
    <w:rsid w:val="00F70DE2"/>
    <w:rsid w:val="00F7113A"/>
    <w:rsid w:val="00F7132A"/>
    <w:rsid w:val="00F71783"/>
    <w:rsid w:val="00F721E8"/>
    <w:rsid w:val="00F721EA"/>
    <w:rsid w:val="00F72B0E"/>
    <w:rsid w:val="00F72BF8"/>
    <w:rsid w:val="00F72D40"/>
    <w:rsid w:val="00F72F42"/>
    <w:rsid w:val="00F731D2"/>
    <w:rsid w:val="00F73A5D"/>
    <w:rsid w:val="00F73C9D"/>
    <w:rsid w:val="00F73E94"/>
    <w:rsid w:val="00F740E5"/>
    <w:rsid w:val="00F743FE"/>
    <w:rsid w:val="00F747EF"/>
    <w:rsid w:val="00F74FA0"/>
    <w:rsid w:val="00F75320"/>
    <w:rsid w:val="00F75451"/>
    <w:rsid w:val="00F75913"/>
    <w:rsid w:val="00F75D82"/>
    <w:rsid w:val="00F76222"/>
    <w:rsid w:val="00F763DC"/>
    <w:rsid w:val="00F767A8"/>
    <w:rsid w:val="00F76D63"/>
    <w:rsid w:val="00F77748"/>
    <w:rsid w:val="00F77DB8"/>
    <w:rsid w:val="00F77E2A"/>
    <w:rsid w:val="00F8050A"/>
    <w:rsid w:val="00F8067F"/>
    <w:rsid w:val="00F80C8A"/>
    <w:rsid w:val="00F81169"/>
    <w:rsid w:val="00F82251"/>
    <w:rsid w:val="00F83339"/>
    <w:rsid w:val="00F83410"/>
    <w:rsid w:val="00F8345E"/>
    <w:rsid w:val="00F83651"/>
    <w:rsid w:val="00F84CA9"/>
    <w:rsid w:val="00F858A2"/>
    <w:rsid w:val="00F85A8A"/>
    <w:rsid w:val="00F85DB9"/>
    <w:rsid w:val="00F85E5F"/>
    <w:rsid w:val="00F8681C"/>
    <w:rsid w:val="00F86C07"/>
    <w:rsid w:val="00F870E1"/>
    <w:rsid w:val="00F87558"/>
    <w:rsid w:val="00F8775E"/>
    <w:rsid w:val="00F87A7C"/>
    <w:rsid w:val="00F9103A"/>
    <w:rsid w:val="00F912FF"/>
    <w:rsid w:val="00F938D7"/>
    <w:rsid w:val="00F9431A"/>
    <w:rsid w:val="00F94466"/>
    <w:rsid w:val="00F9465E"/>
    <w:rsid w:val="00F94CF3"/>
    <w:rsid w:val="00F94E66"/>
    <w:rsid w:val="00F957C9"/>
    <w:rsid w:val="00F96182"/>
    <w:rsid w:val="00F963DA"/>
    <w:rsid w:val="00F9643D"/>
    <w:rsid w:val="00F967F7"/>
    <w:rsid w:val="00F9702D"/>
    <w:rsid w:val="00F97BDC"/>
    <w:rsid w:val="00FA0311"/>
    <w:rsid w:val="00FA106A"/>
    <w:rsid w:val="00FA15C8"/>
    <w:rsid w:val="00FA2240"/>
    <w:rsid w:val="00FA27B3"/>
    <w:rsid w:val="00FA35F0"/>
    <w:rsid w:val="00FA560A"/>
    <w:rsid w:val="00FA5B44"/>
    <w:rsid w:val="00FA68B5"/>
    <w:rsid w:val="00FA7753"/>
    <w:rsid w:val="00FA77BD"/>
    <w:rsid w:val="00FB04B0"/>
    <w:rsid w:val="00FB188E"/>
    <w:rsid w:val="00FB20FB"/>
    <w:rsid w:val="00FB21C9"/>
    <w:rsid w:val="00FB240E"/>
    <w:rsid w:val="00FB280F"/>
    <w:rsid w:val="00FB3415"/>
    <w:rsid w:val="00FB35FD"/>
    <w:rsid w:val="00FB44B4"/>
    <w:rsid w:val="00FB4FC9"/>
    <w:rsid w:val="00FB5814"/>
    <w:rsid w:val="00FB599F"/>
    <w:rsid w:val="00FB6AE0"/>
    <w:rsid w:val="00FB791F"/>
    <w:rsid w:val="00FB7943"/>
    <w:rsid w:val="00FB7C6D"/>
    <w:rsid w:val="00FB7F47"/>
    <w:rsid w:val="00FC0372"/>
    <w:rsid w:val="00FC100B"/>
    <w:rsid w:val="00FC1B2C"/>
    <w:rsid w:val="00FC1F2F"/>
    <w:rsid w:val="00FC2034"/>
    <w:rsid w:val="00FC2109"/>
    <w:rsid w:val="00FC247E"/>
    <w:rsid w:val="00FC2DF9"/>
    <w:rsid w:val="00FC2EDD"/>
    <w:rsid w:val="00FC317E"/>
    <w:rsid w:val="00FC3FA0"/>
    <w:rsid w:val="00FC49E2"/>
    <w:rsid w:val="00FC503A"/>
    <w:rsid w:val="00FC58F4"/>
    <w:rsid w:val="00FC6803"/>
    <w:rsid w:val="00FC6D9B"/>
    <w:rsid w:val="00FC705B"/>
    <w:rsid w:val="00FC7517"/>
    <w:rsid w:val="00FC799F"/>
    <w:rsid w:val="00FC7B18"/>
    <w:rsid w:val="00FD0020"/>
    <w:rsid w:val="00FD007A"/>
    <w:rsid w:val="00FD11D9"/>
    <w:rsid w:val="00FD11F8"/>
    <w:rsid w:val="00FD1613"/>
    <w:rsid w:val="00FD22D4"/>
    <w:rsid w:val="00FD24B0"/>
    <w:rsid w:val="00FD3237"/>
    <w:rsid w:val="00FD36F8"/>
    <w:rsid w:val="00FD3917"/>
    <w:rsid w:val="00FD4326"/>
    <w:rsid w:val="00FD4BC6"/>
    <w:rsid w:val="00FD5554"/>
    <w:rsid w:val="00FD5C7D"/>
    <w:rsid w:val="00FD64EB"/>
    <w:rsid w:val="00FD6A99"/>
    <w:rsid w:val="00FD7A3D"/>
    <w:rsid w:val="00FD7C5E"/>
    <w:rsid w:val="00FE098C"/>
    <w:rsid w:val="00FE0AF5"/>
    <w:rsid w:val="00FE0D21"/>
    <w:rsid w:val="00FE162B"/>
    <w:rsid w:val="00FE21E9"/>
    <w:rsid w:val="00FE29CF"/>
    <w:rsid w:val="00FE2D16"/>
    <w:rsid w:val="00FE31B2"/>
    <w:rsid w:val="00FE3716"/>
    <w:rsid w:val="00FE4D74"/>
    <w:rsid w:val="00FE4F70"/>
    <w:rsid w:val="00FE4FCE"/>
    <w:rsid w:val="00FE559F"/>
    <w:rsid w:val="00FE6C1B"/>
    <w:rsid w:val="00FE712A"/>
    <w:rsid w:val="00FE721A"/>
    <w:rsid w:val="00FE7473"/>
    <w:rsid w:val="00FE77A6"/>
    <w:rsid w:val="00FE7B51"/>
    <w:rsid w:val="00FF0CD1"/>
    <w:rsid w:val="00FF0F4C"/>
    <w:rsid w:val="00FF1197"/>
    <w:rsid w:val="00FF12BE"/>
    <w:rsid w:val="00FF33A9"/>
    <w:rsid w:val="00FF34B4"/>
    <w:rsid w:val="00FF3582"/>
    <w:rsid w:val="00FF36DA"/>
    <w:rsid w:val="00FF3907"/>
    <w:rsid w:val="00FF3BC9"/>
    <w:rsid w:val="00FF4F68"/>
    <w:rsid w:val="00FF5044"/>
    <w:rsid w:val="00FF52DE"/>
    <w:rsid w:val="00FF565C"/>
    <w:rsid w:val="00FF5F0C"/>
    <w:rsid w:val="00FF601C"/>
    <w:rsid w:val="00FF61B2"/>
    <w:rsid w:val="00FF64BE"/>
    <w:rsid w:val="00FF70B5"/>
    <w:rsid w:val="00FF7189"/>
    <w:rsid w:val="00FF74A0"/>
    <w:rsid w:val="00FF7721"/>
    <w:rsid w:val="00FF7B45"/>
    <w:rsid w:val="00FF7F30"/>
    <w:rsid w:val="011A11A4"/>
    <w:rsid w:val="014B5B44"/>
    <w:rsid w:val="018C5F7F"/>
    <w:rsid w:val="01AF7CF7"/>
    <w:rsid w:val="01BE4069"/>
    <w:rsid w:val="01BE5800"/>
    <w:rsid w:val="01E46F65"/>
    <w:rsid w:val="01E94501"/>
    <w:rsid w:val="02E536DD"/>
    <w:rsid w:val="03A32C74"/>
    <w:rsid w:val="03A426EA"/>
    <w:rsid w:val="03F06C42"/>
    <w:rsid w:val="041B3357"/>
    <w:rsid w:val="043A5387"/>
    <w:rsid w:val="04727BC0"/>
    <w:rsid w:val="04C34346"/>
    <w:rsid w:val="04E30437"/>
    <w:rsid w:val="05095185"/>
    <w:rsid w:val="057A074E"/>
    <w:rsid w:val="05AC0375"/>
    <w:rsid w:val="05F41FAA"/>
    <w:rsid w:val="063B78DC"/>
    <w:rsid w:val="076E0F6D"/>
    <w:rsid w:val="07E84F31"/>
    <w:rsid w:val="0839529D"/>
    <w:rsid w:val="085656AF"/>
    <w:rsid w:val="090C3711"/>
    <w:rsid w:val="09974C33"/>
    <w:rsid w:val="09B82947"/>
    <w:rsid w:val="0A0C7721"/>
    <w:rsid w:val="0A1B7A08"/>
    <w:rsid w:val="0A2B74B5"/>
    <w:rsid w:val="0A9D21CB"/>
    <w:rsid w:val="0B052C79"/>
    <w:rsid w:val="0B4260EE"/>
    <w:rsid w:val="0B703A09"/>
    <w:rsid w:val="0BF958C7"/>
    <w:rsid w:val="0C3B71B9"/>
    <w:rsid w:val="0C3F3332"/>
    <w:rsid w:val="0C5863AB"/>
    <w:rsid w:val="0C5A09A9"/>
    <w:rsid w:val="0CDB719E"/>
    <w:rsid w:val="0CF50CF7"/>
    <w:rsid w:val="0DA52D0D"/>
    <w:rsid w:val="0E0812B7"/>
    <w:rsid w:val="0E172E1A"/>
    <w:rsid w:val="0E4F1A2E"/>
    <w:rsid w:val="0EAB6A73"/>
    <w:rsid w:val="0EE026FD"/>
    <w:rsid w:val="0F4139F8"/>
    <w:rsid w:val="0F4D0707"/>
    <w:rsid w:val="0F6027DC"/>
    <w:rsid w:val="0FBA2A45"/>
    <w:rsid w:val="0FC41654"/>
    <w:rsid w:val="0FDE7285"/>
    <w:rsid w:val="100A3A54"/>
    <w:rsid w:val="10AF51B1"/>
    <w:rsid w:val="10D66437"/>
    <w:rsid w:val="11590BE0"/>
    <w:rsid w:val="118C2ED5"/>
    <w:rsid w:val="118D3A7B"/>
    <w:rsid w:val="11B83D31"/>
    <w:rsid w:val="12795B29"/>
    <w:rsid w:val="12886FB3"/>
    <w:rsid w:val="12B5207C"/>
    <w:rsid w:val="12F62B63"/>
    <w:rsid w:val="13394A5B"/>
    <w:rsid w:val="13696837"/>
    <w:rsid w:val="13B31AEC"/>
    <w:rsid w:val="13FE3FBA"/>
    <w:rsid w:val="140E1568"/>
    <w:rsid w:val="14404369"/>
    <w:rsid w:val="145B079F"/>
    <w:rsid w:val="14957809"/>
    <w:rsid w:val="1534197E"/>
    <w:rsid w:val="16AD15F2"/>
    <w:rsid w:val="16DB3947"/>
    <w:rsid w:val="175005C5"/>
    <w:rsid w:val="175D674F"/>
    <w:rsid w:val="17613D93"/>
    <w:rsid w:val="17CD2550"/>
    <w:rsid w:val="17F32228"/>
    <w:rsid w:val="18114189"/>
    <w:rsid w:val="18F06F2D"/>
    <w:rsid w:val="193B1AEC"/>
    <w:rsid w:val="193C7053"/>
    <w:rsid w:val="196C4D6E"/>
    <w:rsid w:val="19AD7F51"/>
    <w:rsid w:val="1A4A7805"/>
    <w:rsid w:val="1A514D80"/>
    <w:rsid w:val="1A9616B5"/>
    <w:rsid w:val="1AB4652B"/>
    <w:rsid w:val="1B1C7466"/>
    <w:rsid w:val="1B2D785E"/>
    <w:rsid w:val="1BA50D14"/>
    <w:rsid w:val="1BA677E7"/>
    <w:rsid w:val="1BCD0437"/>
    <w:rsid w:val="1C3F4120"/>
    <w:rsid w:val="1C625D30"/>
    <w:rsid w:val="1C7671E3"/>
    <w:rsid w:val="1C777601"/>
    <w:rsid w:val="1C8A493E"/>
    <w:rsid w:val="1CCB6998"/>
    <w:rsid w:val="1CD6623F"/>
    <w:rsid w:val="1CF90898"/>
    <w:rsid w:val="1CFA0FE7"/>
    <w:rsid w:val="1D395F17"/>
    <w:rsid w:val="1D543842"/>
    <w:rsid w:val="1D6238FF"/>
    <w:rsid w:val="1D635A2E"/>
    <w:rsid w:val="1D8C69C4"/>
    <w:rsid w:val="1DDD668B"/>
    <w:rsid w:val="1E1C7C6C"/>
    <w:rsid w:val="1E786F00"/>
    <w:rsid w:val="1F1F65F5"/>
    <w:rsid w:val="1F343C02"/>
    <w:rsid w:val="1FAC7E53"/>
    <w:rsid w:val="20137A1F"/>
    <w:rsid w:val="20517FE3"/>
    <w:rsid w:val="20700C20"/>
    <w:rsid w:val="20CE2C18"/>
    <w:rsid w:val="210466A8"/>
    <w:rsid w:val="217C1DAF"/>
    <w:rsid w:val="218220DE"/>
    <w:rsid w:val="21FD424E"/>
    <w:rsid w:val="22026C30"/>
    <w:rsid w:val="222C76C6"/>
    <w:rsid w:val="22466CF3"/>
    <w:rsid w:val="228754E2"/>
    <w:rsid w:val="22A344E7"/>
    <w:rsid w:val="22BE3224"/>
    <w:rsid w:val="22C8753A"/>
    <w:rsid w:val="22DE3197"/>
    <w:rsid w:val="230E0741"/>
    <w:rsid w:val="235C6D5A"/>
    <w:rsid w:val="23F63E16"/>
    <w:rsid w:val="243A32C2"/>
    <w:rsid w:val="25093A3B"/>
    <w:rsid w:val="25236D0D"/>
    <w:rsid w:val="252F645D"/>
    <w:rsid w:val="258858A9"/>
    <w:rsid w:val="25F645D2"/>
    <w:rsid w:val="26757E2C"/>
    <w:rsid w:val="26790701"/>
    <w:rsid w:val="26F420EA"/>
    <w:rsid w:val="26F458EF"/>
    <w:rsid w:val="271D6716"/>
    <w:rsid w:val="273508EE"/>
    <w:rsid w:val="27427F2B"/>
    <w:rsid w:val="27483692"/>
    <w:rsid w:val="276F6E45"/>
    <w:rsid w:val="278066D7"/>
    <w:rsid w:val="27827B0F"/>
    <w:rsid w:val="27886287"/>
    <w:rsid w:val="27B11F16"/>
    <w:rsid w:val="27BD3F06"/>
    <w:rsid w:val="27CE17BE"/>
    <w:rsid w:val="27F53526"/>
    <w:rsid w:val="27FA5E76"/>
    <w:rsid w:val="2838400F"/>
    <w:rsid w:val="28690FE5"/>
    <w:rsid w:val="288E2BD2"/>
    <w:rsid w:val="28DC50AB"/>
    <w:rsid w:val="28E55271"/>
    <w:rsid w:val="28F13EF4"/>
    <w:rsid w:val="2923374B"/>
    <w:rsid w:val="2927127B"/>
    <w:rsid w:val="29BD796F"/>
    <w:rsid w:val="2AAC3644"/>
    <w:rsid w:val="2B4D6E0E"/>
    <w:rsid w:val="2B8946FF"/>
    <w:rsid w:val="2B912DC7"/>
    <w:rsid w:val="2C0A4741"/>
    <w:rsid w:val="2C5B2D19"/>
    <w:rsid w:val="2C6426F1"/>
    <w:rsid w:val="2CC00D82"/>
    <w:rsid w:val="2CF86E08"/>
    <w:rsid w:val="2D5E71B5"/>
    <w:rsid w:val="2D9B15EF"/>
    <w:rsid w:val="2E1134AA"/>
    <w:rsid w:val="2E12144A"/>
    <w:rsid w:val="2E262BCC"/>
    <w:rsid w:val="2E304308"/>
    <w:rsid w:val="2E474078"/>
    <w:rsid w:val="2E575727"/>
    <w:rsid w:val="2E6A7D67"/>
    <w:rsid w:val="2EB26D79"/>
    <w:rsid w:val="2EC14CF2"/>
    <w:rsid w:val="2F56121E"/>
    <w:rsid w:val="2F7145F4"/>
    <w:rsid w:val="300E7DB4"/>
    <w:rsid w:val="30580298"/>
    <w:rsid w:val="30646F90"/>
    <w:rsid w:val="30CB0402"/>
    <w:rsid w:val="31231C2B"/>
    <w:rsid w:val="31D21539"/>
    <w:rsid w:val="324D2681"/>
    <w:rsid w:val="33354DE7"/>
    <w:rsid w:val="337632C6"/>
    <w:rsid w:val="339A574D"/>
    <w:rsid w:val="33C83C71"/>
    <w:rsid w:val="341840BB"/>
    <w:rsid w:val="34457450"/>
    <w:rsid w:val="34BD3967"/>
    <w:rsid w:val="34CE61DD"/>
    <w:rsid w:val="35373F98"/>
    <w:rsid w:val="35610116"/>
    <w:rsid w:val="363B7932"/>
    <w:rsid w:val="367B74AA"/>
    <w:rsid w:val="36D15C2A"/>
    <w:rsid w:val="36FA4BBC"/>
    <w:rsid w:val="371D61FE"/>
    <w:rsid w:val="37296A11"/>
    <w:rsid w:val="374B5AC3"/>
    <w:rsid w:val="377E4FAF"/>
    <w:rsid w:val="38187E4F"/>
    <w:rsid w:val="3820445B"/>
    <w:rsid w:val="38210467"/>
    <w:rsid w:val="38401B73"/>
    <w:rsid w:val="384B1D2A"/>
    <w:rsid w:val="384D2D02"/>
    <w:rsid w:val="385D23CB"/>
    <w:rsid w:val="38735D2A"/>
    <w:rsid w:val="38996A35"/>
    <w:rsid w:val="38A72520"/>
    <w:rsid w:val="39780BBB"/>
    <w:rsid w:val="39A2099B"/>
    <w:rsid w:val="39B043ED"/>
    <w:rsid w:val="39D617F2"/>
    <w:rsid w:val="3A24101F"/>
    <w:rsid w:val="3A5E1C16"/>
    <w:rsid w:val="3B731AB5"/>
    <w:rsid w:val="3B833738"/>
    <w:rsid w:val="3B874762"/>
    <w:rsid w:val="3BCD1AA7"/>
    <w:rsid w:val="3BE07D75"/>
    <w:rsid w:val="3C2527C5"/>
    <w:rsid w:val="3C430E0C"/>
    <w:rsid w:val="3CC817EC"/>
    <w:rsid w:val="3CDE3DFA"/>
    <w:rsid w:val="3D4E0F7F"/>
    <w:rsid w:val="3D6F75C9"/>
    <w:rsid w:val="3DD057EA"/>
    <w:rsid w:val="3DE90F01"/>
    <w:rsid w:val="3E266E35"/>
    <w:rsid w:val="3EE80F60"/>
    <w:rsid w:val="3F110BCB"/>
    <w:rsid w:val="3F1207AC"/>
    <w:rsid w:val="3F2F6B8F"/>
    <w:rsid w:val="3F7F04D5"/>
    <w:rsid w:val="3FF65710"/>
    <w:rsid w:val="405935C2"/>
    <w:rsid w:val="40896772"/>
    <w:rsid w:val="40A005F0"/>
    <w:rsid w:val="40AF4F24"/>
    <w:rsid w:val="40D479EE"/>
    <w:rsid w:val="41513724"/>
    <w:rsid w:val="417E1386"/>
    <w:rsid w:val="422B6BF4"/>
    <w:rsid w:val="42347713"/>
    <w:rsid w:val="42A3638C"/>
    <w:rsid w:val="42E45144"/>
    <w:rsid w:val="43B00A8F"/>
    <w:rsid w:val="43B444B8"/>
    <w:rsid w:val="443E5CE7"/>
    <w:rsid w:val="4454343A"/>
    <w:rsid w:val="45511B47"/>
    <w:rsid w:val="4598499B"/>
    <w:rsid w:val="45A15DDB"/>
    <w:rsid w:val="45A1630C"/>
    <w:rsid w:val="45B22926"/>
    <w:rsid w:val="464A7F39"/>
    <w:rsid w:val="4681712C"/>
    <w:rsid w:val="468B6718"/>
    <w:rsid w:val="469F1261"/>
    <w:rsid w:val="473B23EB"/>
    <w:rsid w:val="47B32EAB"/>
    <w:rsid w:val="47C40E8C"/>
    <w:rsid w:val="481B178E"/>
    <w:rsid w:val="488A2D55"/>
    <w:rsid w:val="48B1218F"/>
    <w:rsid w:val="48B14AB0"/>
    <w:rsid w:val="48D6123C"/>
    <w:rsid w:val="48EE40E4"/>
    <w:rsid w:val="49150F51"/>
    <w:rsid w:val="49480BD4"/>
    <w:rsid w:val="495F4A57"/>
    <w:rsid w:val="499F04DF"/>
    <w:rsid w:val="49CB3BFF"/>
    <w:rsid w:val="49D20E16"/>
    <w:rsid w:val="4A454E93"/>
    <w:rsid w:val="4A7C30D4"/>
    <w:rsid w:val="4AA4619B"/>
    <w:rsid w:val="4B284D77"/>
    <w:rsid w:val="4B92297F"/>
    <w:rsid w:val="4BC92119"/>
    <w:rsid w:val="4BEC1507"/>
    <w:rsid w:val="4CB72F86"/>
    <w:rsid w:val="4CD363C9"/>
    <w:rsid w:val="4D2056E8"/>
    <w:rsid w:val="4D7F6702"/>
    <w:rsid w:val="4DC077B7"/>
    <w:rsid w:val="4DC73F83"/>
    <w:rsid w:val="4DF33A15"/>
    <w:rsid w:val="4F123950"/>
    <w:rsid w:val="4F134C73"/>
    <w:rsid w:val="4F7A5C04"/>
    <w:rsid w:val="50010B90"/>
    <w:rsid w:val="503C55AF"/>
    <w:rsid w:val="505B2FB8"/>
    <w:rsid w:val="507519D9"/>
    <w:rsid w:val="50A0169A"/>
    <w:rsid w:val="50EC442B"/>
    <w:rsid w:val="510F3C6A"/>
    <w:rsid w:val="51DA1C3A"/>
    <w:rsid w:val="520D1904"/>
    <w:rsid w:val="52127D7D"/>
    <w:rsid w:val="52412A63"/>
    <w:rsid w:val="52497B10"/>
    <w:rsid w:val="52971A97"/>
    <w:rsid w:val="52DF5A85"/>
    <w:rsid w:val="53242CF6"/>
    <w:rsid w:val="53763D4D"/>
    <w:rsid w:val="54106F3F"/>
    <w:rsid w:val="54135280"/>
    <w:rsid w:val="550F7251"/>
    <w:rsid w:val="5526139C"/>
    <w:rsid w:val="552B2D26"/>
    <w:rsid w:val="554E1470"/>
    <w:rsid w:val="55627708"/>
    <w:rsid w:val="556F788D"/>
    <w:rsid w:val="55923980"/>
    <w:rsid w:val="55967510"/>
    <w:rsid w:val="55986D51"/>
    <w:rsid w:val="55C7591B"/>
    <w:rsid w:val="55D42624"/>
    <w:rsid w:val="56133CA0"/>
    <w:rsid w:val="56DD4ABD"/>
    <w:rsid w:val="5703231E"/>
    <w:rsid w:val="57116442"/>
    <w:rsid w:val="578D3493"/>
    <w:rsid w:val="57A627B6"/>
    <w:rsid w:val="57B15A98"/>
    <w:rsid w:val="58031CD7"/>
    <w:rsid w:val="5833175A"/>
    <w:rsid w:val="586A7A45"/>
    <w:rsid w:val="58914C8B"/>
    <w:rsid w:val="58E3423E"/>
    <w:rsid w:val="58F23ED5"/>
    <w:rsid w:val="58F70651"/>
    <w:rsid w:val="5954396A"/>
    <w:rsid w:val="5956205C"/>
    <w:rsid w:val="59626A67"/>
    <w:rsid w:val="599E6CB8"/>
    <w:rsid w:val="59E031E2"/>
    <w:rsid w:val="5A7C1159"/>
    <w:rsid w:val="5AA974E8"/>
    <w:rsid w:val="5AE673DA"/>
    <w:rsid w:val="5B56274B"/>
    <w:rsid w:val="5B8340E7"/>
    <w:rsid w:val="5B8D0599"/>
    <w:rsid w:val="5B937814"/>
    <w:rsid w:val="5BA627EA"/>
    <w:rsid w:val="5BAA125C"/>
    <w:rsid w:val="5BAE3F67"/>
    <w:rsid w:val="5BF92884"/>
    <w:rsid w:val="5C6E79F1"/>
    <w:rsid w:val="5C8657B1"/>
    <w:rsid w:val="5CA73484"/>
    <w:rsid w:val="5CD25CBD"/>
    <w:rsid w:val="5CE5499C"/>
    <w:rsid w:val="5D6F553B"/>
    <w:rsid w:val="5D77243C"/>
    <w:rsid w:val="5E2F13E4"/>
    <w:rsid w:val="5EC546B7"/>
    <w:rsid w:val="5EE01513"/>
    <w:rsid w:val="5F155691"/>
    <w:rsid w:val="5F317A18"/>
    <w:rsid w:val="5F393DC2"/>
    <w:rsid w:val="5F69708F"/>
    <w:rsid w:val="5F6E6E08"/>
    <w:rsid w:val="5FA9036D"/>
    <w:rsid w:val="5FE20A6A"/>
    <w:rsid w:val="5FE80DF1"/>
    <w:rsid w:val="60015C3D"/>
    <w:rsid w:val="60394F33"/>
    <w:rsid w:val="6056094D"/>
    <w:rsid w:val="607A028C"/>
    <w:rsid w:val="60E5134B"/>
    <w:rsid w:val="613D4428"/>
    <w:rsid w:val="61904268"/>
    <w:rsid w:val="61922827"/>
    <w:rsid w:val="619753AD"/>
    <w:rsid w:val="61985AAE"/>
    <w:rsid w:val="619B21A0"/>
    <w:rsid w:val="61C95215"/>
    <w:rsid w:val="62036EF4"/>
    <w:rsid w:val="620863D2"/>
    <w:rsid w:val="621A2B05"/>
    <w:rsid w:val="626058BD"/>
    <w:rsid w:val="628C0638"/>
    <w:rsid w:val="62970478"/>
    <w:rsid w:val="62D70238"/>
    <w:rsid w:val="62DD6B7C"/>
    <w:rsid w:val="63277B66"/>
    <w:rsid w:val="634E5810"/>
    <w:rsid w:val="63A81226"/>
    <w:rsid w:val="63BB05C8"/>
    <w:rsid w:val="64CA0D4B"/>
    <w:rsid w:val="650A079C"/>
    <w:rsid w:val="65E5355A"/>
    <w:rsid w:val="66153BC4"/>
    <w:rsid w:val="668F46FC"/>
    <w:rsid w:val="66C043ED"/>
    <w:rsid w:val="674A3D4F"/>
    <w:rsid w:val="678C53BC"/>
    <w:rsid w:val="679006E0"/>
    <w:rsid w:val="6864772D"/>
    <w:rsid w:val="68BC6A3B"/>
    <w:rsid w:val="68DB3435"/>
    <w:rsid w:val="69074074"/>
    <w:rsid w:val="69566298"/>
    <w:rsid w:val="69665D00"/>
    <w:rsid w:val="6A121AD7"/>
    <w:rsid w:val="6A3C248C"/>
    <w:rsid w:val="6ABE009D"/>
    <w:rsid w:val="6AD23B35"/>
    <w:rsid w:val="6B2B3DFF"/>
    <w:rsid w:val="6BAF5FBC"/>
    <w:rsid w:val="6C3226C6"/>
    <w:rsid w:val="6C360B10"/>
    <w:rsid w:val="6C545FF5"/>
    <w:rsid w:val="6C591BE2"/>
    <w:rsid w:val="6CCD7820"/>
    <w:rsid w:val="6CDB1F80"/>
    <w:rsid w:val="6D3A7ED5"/>
    <w:rsid w:val="6DA73C10"/>
    <w:rsid w:val="6DAA1F76"/>
    <w:rsid w:val="6DAA3A37"/>
    <w:rsid w:val="6E0A4A26"/>
    <w:rsid w:val="6E560C85"/>
    <w:rsid w:val="6E5E1B6C"/>
    <w:rsid w:val="6EEF71D1"/>
    <w:rsid w:val="6F021A16"/>
    <w:rsid w:val="6F1D40CE"/>
    <w:rsid w:val="6FDB40C9"/>
    <w:rsid w:val="7051517A"/>
    <w:rsid w:val="70D85BD1"/>
    <w:rsid w:val="70DE3FC7"/>
    <w:rsid w:val="715B338A"/>
    <w:rsid w:val="716A7ADC"/>
    <w:rsid w:val="718D6445"/>
    <w:rsid w:val="71AD7C63"/>
    <w:rsid w:val="71DE2E53"/>
    <w:rsid w:val="721F39FF"/>
    <w:rsid w:val="729E121E"/>
    <w:rsid w:val="72C708B1"/>
    <w:rsid w:val="72E23A7A"/>
    <w:rsid w:val="72F6179B"/>
    <w:rsid w:val="738003CA"/>
    <w:rsid w:val="738642C8"/>
    <w:rsid w:val="73C56EED"/>
    <w:rsid w:val="75492412"/>
    <w:rsid w:val="758D4AB4"/>
    <w:rsid w:val="75A650F5"/>
    <w:rsid w:val="75AB270C"/>
    <w:rsid w:val="75D12961"/>
    <w:rsid w:val="75FB0F9D"/>
    <w:rsid w:val="765941C5"/>
    <w:rsid w:val="76BA32CF"/>
    <w:rsid w:val="76EE465E"/>
    <w:rsid w:val="772479BE"/>
    <w:rsid w:val="773B6CD4"/>
    <w:rsid w:val="77A05931"/>
    <w:rsid w:val="77AC37FE"/>
    <w:rsid w:val="77E30949"/>
    <w:rsid w:val="77F16A53"/>
    <w:rsid w:val="783525A0"/>
    <w:rsid w:val="78670B6C"/>
    <w:rsid w:val="786F12BD"/>
    <w:rsid w:val="786F1AA9"/>
    <w:rsid w:val="7872551D"/>
    <w:rsid w:val="78A21B93"/>
    <w:rsid w:val="78CA6DF7"/>
    <w:rsid w:val="79037DD4"/>
    <w:rsid w:val="7920071D"/>
    <w:rsid w:val="79C52BC7"/>
    <w:rsid w:val="79C747F6"/>
    <w:rsid w:val="7A36659D"/>
    <w:rsid w:val="7A6027C1"/>
    <w:rsid w:val="7A854A12"/>
    <w:rsid w:val="7ACC516E"/>
    <w:rsid w:val="7B237820"/>
    <w:rsid w:val="7B2A1FC7"/>
    <w:rsid w:val="7B974622"/>
    <w:rsid w:val="7CB1572E"/>
    <w:rsid w:val="7CED360A"/>
    <w:rsid w:val="7D4E72F0"/>
    <w:rsid w:val="7DA372AE"/>
    <w:rsid w:val="7E9219F9"/>
    <w:rsid w:val="7EF87B3E"/>
    <w:rsid w:val="7F924DA0"/>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99" w:semiHidden="0" w:name="heading 2"/>
    <w:lsdException w:qFormat="1" w:unhideWhenUsed="0" w:uiPriority="99" w:semiHidden="0" w:name="heading 3"/>
    <w:lsdException w:qFormat="1" w:unhideWhenUsed="0" w:uiPriority="99" w:semiHidden="0" w:name="heading 4"/>
    <w:lsdException w:qFormat="1" w:unhideWhenUsed="0" w:uiPriority="99" w:semiHidden="0" w:name="heading 5"/>
    <w:lsdException w:qFormat="1" w:unhideWhenUsed="0" w:uiPriority="9" w:semiHidden="0" w:name="heading 6"/>
    <w:lsdException w:qFormat="1" w:unhideWhenUsed="0" w:uiPriority="9" w:semiHidden="0" w:name="heading 7"/>
    <w:lsdException w:qFormat="1" w:unhideWhenUsed="0" w:uiPriority="9" w:semiHidden="0" w:name="heading 8"/>
    <w:lsdException w:qFormat="1" w:unhideWhenUsed="0" w:uiPriority="9" w:semiHidden="0" w:name="heading 9"/>
    <w:lsdException w:qFormat="1" w:unhideWhenUsed="0" w:uiPriority="0" w:semiHidden="0" w:name="index 1"/>
    <w:lsdException w:unhideWhenUsed="0" w:uiPriority="0" w:semiHidden="0" w:name="index 2"/>
    <w:lsdException w:unhideWhenUsed="0" w:uiPriority="0" w:semiHidden="0" w:name="index 3"/>
    <w:lsdException w:qFormat="1" w:unhideWhenUsed="0" w:uiPriority="99" w:semiHidden="0" w:name="index 4"/>
    <w:lsdException w:unhideWhenUsed="0" w:uiPriority="0" w:semiHidden="0" w:name="index 5"/>
    <w:lsdException w:qFormat="1"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39" w:semiHidden="0" w:name="toc 4"/>
    <w:lsdException w:qFormat="1" w:unhideWhenUsed="0" w:uiPriority="39" w:semiHidden="0" w:name="toc 5"/>
    <w:lsdException w:qFormat="1" w:unhideWhenUsed="0" w:uiPriority="39" w:semiHidden="0" w:name="toc 6"/>
    <w:lsdException w:qFormat="1" w:unhideWhenUsed="0" w:uiPriority="39" w:semiHidden="0" w:name="toc 7"/>
    <w:lsdException w:qFormat="1" w:unhideWhenUsed="0" w:uiPriority="39" w:semiHidden="0" w:name="toc 8"/>
    <w:lsdException w:qFormat="1" w:unhideWhenUsed="0" w:uiPriority="39" w:semiHidden="0" w:name="toc 9"/>
    <w:lsdException w:qFormat="1" w:unhideWhenUsed="0" w:uiPriority="0" w:semiHidden="0" w:name="Normal Indent"/>
    <w:lsdException w:qFormat="1" w:unhideWhenUsed="0" w:uiPriority="99" w:semiHidden="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nhideWhenUsed="0" w:uiPriority="99"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99"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qFormat="1" w:unhideWhenUsed="0" w:uiPriority="0" w:semiHidden="0" w:name="List Number"/>
    <w:lsdException w:qFormat="1" w:unhideWhenUsed="0" w:uiPriority="0" w:semiHidden="0" w:name="List 2"/>
    <w:lsdException w:qFormat="1" w:unhideWhenUsed="0" w:uiPriority="0" w:semiHidden="0" w:name="List 3"/>
    <w:lsdException w:qFormat="1" w:unhideWhenUsed="0" w:uiPriority="0" w:semiHidden="0" w:name="List 4"/>
    <w:lsdException w:qFormat="1"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qFormat="1" w:unhideWhenUsed="0" w:uiPriority="0" w:semiHidden="0" w:name="List Number 3"/>
    <w:lsdException w:unhideWhenUsed="0" w:uiPriority="0" w:semiHidden="0" w:name="List Number 4"/>
    <w:lsdException w:unhideWhenUsed="0" w:uiPriority="0" w:semiHidden="0" w:name="List Number 5"/>
    <w:lsdException w:qFormat="1" w:unhideWhenUsed="0" w:uiPriority="99"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99" w:semiHidden="0" w:name="Body Text"/>
    <w:lsdException w:qFormat="1" w:unhideWhenUsed="0" w:uiPriority="99" w:semiHidden="0" w:name="Body Text Indent"/>
    <w:lsdException w:unhideWhenUsed="0" w:uiPriority="0" w:semiHidden="0" w:name="List Continue"/>
    <w:lsdException w:qFormat="1"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11" w:semiHidden="0" w:name="Subtitle"/>
    <w:lsdException w:unhideWhenUsed="0" w:uiPriority="0" w:semiHidden="0" w:name="Salutation"/>
    <w:lsdException w:qFormat="1" w:unhideWhenUsed="0" w:uiPriority="99"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99"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99" w:semiHidden="0" w:name="FollowedHyperlink"/>
    <w:lsdException w:qFormat="1" w:unhideWhenUsed="0" w:uiPriority="22" w:semiHidden="0" w:name="Strong"/>
    <w:lsdException w:qFormat="1" w:unhideWhenUsed="0" w:uiPriority="99" w:semiHidden="0" w:name="Emphasis"/>
    <w:lsdException w:qFormat="1" w:unhideWhenUsed="0" w:uiPriority="99"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99"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qFormat="1" w:unhideWhenUsed="0" w:uiPriority="99"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99" w:semiHidden="0" w:name="Balloon Text"/>
    <w:lsdException w:qFormat="1" w:unhideWhenUsed="0" w:uiPriority="59" w:semiHidden="0" w:name="Table Grid"/>
    <w:lsdException w:unhideWhenUsed="0" w:uiPriority="0" w:semiHidden="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99" w:semiHidden="0" w:name="Quote"/>
    <w:lsdException w:qFormat="1" w:unhideWhenUsed="0" w:uiPriority="99"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65"/>
    <w:qFormat/>
    <w:uiPriority w:val="99"/>
    <w:pPr>
      <w:keepNext/>
      <w:keepLines/>
      <w:spacing w:before="340" w:beforeLines="0" w:after="330" w:afterLines="0" w:line="576" w:lineRule="auto"/>
      <w:outlineLvl w:val="0"/>
    </w:pPr>
    <w:rPr>
      <w:b/>
      <w:bCs/>
      <w:kern w:val="44"/>
      <w:sz w:val="44"/>
      <w:szCs w:val="44"/>
    </w:rPr>
  </w:style>
  <w:style w:type="paragraph" w:styleId="3">
    <w:name w:val="heading 2"/>
    <w:basedOn w:val="1"/>
    <w:next w:val="1"/>
    <w:link w:val="66"/>
    <w:qFormat/>
    <w:uiPriority w:val="99"/>
    <w:pPr>
      <w:keepNext/>
      <w:keepLines/>
      <w:spacing w:before="260" w:beforeLines="0" w:after="260" w:afterLines="0" w:line="413" w:lineRule="auto"/>
      <w:outlineLvl w:val="1"/>
    </w:pPr>
    <w:rPr>
      <w:rFonts w:ascii="Arial" w:hAnsi="Arial" w:eastAsia="黑体"/>
      <w:b/>
      <w:bCs/>
      <w:sz w:val="32"/>
      <w:szCs w:val="32"/>
    </w:rPr>
  </w:style>
  <w:style w:type="paragraph" w:styleId="4">
    <w:name w:val="heading 3"/>
    <w:basedOn w:val="1"/>
    <w:next w:val="1"/>
    <w:link w:val="67"/>
    <w:qFormat/>
    <w:uiPriority w:val="99"/>
    <w:pPr>
      <w:keepNext/>
      <w:keepLines/>
      <w:spacing w:before="260" w:beforeLines="0" w:after="260" w:afterLines="0" w:line="413" w:lineRule="auto"/>
      <w:outlineLvl w:val="2"/>
    </w:pPr>
    <w:rPr>
      <w:b/>
      <w:bCs/>
      <w:sz w:val="32"/>
      <w:szCs w:val="32"/>
    </w:rPr>
  </w:style>
  <w:style w:type="paragraph" w:styleId="5">
    <w:name w:val="heading 4"/>
    <w:basedOn w:val="1"/>
    <w:next w:val="1"/>
    <w:link w:val="68"/>
    <w:qFormat/>
    <w:uiPriority w:val="99"/>
    <w:pPr>
      <w:keepNext/>
      <w:keepLines/>
      <w:widowControl/>
      <w:spacing w:before="120" w:beforeLines="0" w:after="120" w:afterLines="0" w:line="360" w:lineRule="auto"/>
      <w:jc w:val="center"/>
      <w:outlineLvl w:val="3"/>
    </w:pPr>
    <w:rPr>
      <w:rFonts w:ascii="Arial" w:hAnsi="Arial" w:eastAsia="黑体"/>
      <w:kern w:val="0"/>
      <w:sz w:val="28"/>
      <w:szCs w:val="20"/>
    </w:rPr>
  </w:style>
  <w:style w:type="paragraph" w:styleId="6">
    <w:name w:val="heading 5"/>
    <w:basedOn w:val="1"/>
    <w:next w:val="7"/>
    <w:link w:val="69"/>
    <w:qFormat/>
    <w:uiPriority w:val="99"/>
    <w:pPr>
      <w:keepNext/>
      <w:keepLines/>
      <w:spacing w:before="280" w:after="290" w:line="372" w:lineRule="auto"/>
      <w:outlineLvl w:val="4"/>
    </w:pPr>
    <w:rPr>
      <w:b/>
      <w:sz w:val="28"/>
    </w:rPr>
  </w:style>
  <w:style w:type="paragraph" w:styleId="8">
    <w:name w:val="heading 6"/>
    <w:basedOn w:val="1"/>
    <w:next w:val="7"/>
    <w:link w:val="71"/>
    <w:qFormat/>
    <w:uiPriority w:val="9"/>
    <w:pPr>
      <w:keepNext/>
      <w:keepLines/>
      <w:spacing w:before="240" w:after="64" w:line="317" w:lineRule="auto"/>
      <w:outlineLvl w:val="5"/>
    </w:pPr>
    <w:rPr>
      <w:rFonts w:ascii="Arial" w:hAnsi="Arial" w:eastAsia="黑体"/>
      <w:b/>
      <w:sz w:val="24"/>
    </w:rPr>
  </w:style>
  <w:style w:type="paragraph" w:styleId="9">
    <w:name w:val="heading 7"/>
    <w:basedOn w:val="1"/>
    <w:next w:val="1"/>
    <w:link w:val="72"/>
    <w:qFormat/>
    <w:uiPriority w:val="9"/>
    <w:pPr>
      <w:keepNext/>
      <w:keepLines/>
      <w:spacing w:before="240" w:after="64" w:line="317" w:lineRule="auto"/>
      <w:outlineLvl w:val="6"/>
    </w:pPr>
    <w:rPr>
      <w:b/>
      <w:sz w:val="24"/>
    </w:rPr>
  </w:style>
  <w:style w:type="paragraph" w:styleId="10">
    <w:name w:val="heading 8"/>
    <w:basedOn w:val="1"/>
    <w:next w:val="7"/>
    <w:link w:val="73"/>
    <w:qFormat/>
    <w:uiPriority w:val="9"/>
    <w:pPr>
      <w:keepNext/>
      <w:keepLines/>
      <w:spacing w:before="240" w:after="64" w:line="317" w:lineRule="auto"/>
      <w:outlineLvl w:val="7"/>
    </w:pPr>
    <w:rPr>
      <w:rFonts w:ascii="Arial" w:hAnsi="Arial" w:eastAsia="黑体"/>
      <w:sz w:val="24"/>
    </w:rPr>
  </w:style>
  <w:style w:type="paragraph" w:styleId="11">
    <w:name w:val="heading 9"/>
    <w:basedOn w:val="1"/>
    <w:next w:val="7"/>
    <w:link w:val="74"/>
    <w:qFormat/>
    <w:uiPriority w:val="9"/>
    <w:pPr>
      <w:keepNext/>
      <w:keepLines/>
      <w:spacing w:before="240" w:after="64" w:line="317" w:lineRule="auto"/>
      <w:outlineLvl w:val="8"/>
    </w:pPr>
    <w:rPr>
      <w:rFonts w:ascii="Arial" w:hAnsi="Arial" w:eastAsia="黑体"/>
    </w:rPr>
  </w:style>
  <w:style w:type="character" w:default="1" w:styleId="57">
    <w:name w:val="Default Paragraph Font"/>
    <w:qFormat/>
    <w:uiPriority w:val="0"/>
  </w:style>
  <w:style w:type="table" w:default="1" w:styleId="55">
    <w:name w:val="Normal Table"/>
    <w:semiHidden/>
    <w:qFormat/>
    <w:uiPriority w:val="0"/>
    <w:tblPr>
      <w:tblCellMar>
        <w:top w:w="0" w:type="dxa"/>
        <w:left w:w="108" w:type="dxa"/>
        <w:bottom w:w="0" w:type="dxa"/>
        <w:right w:w="108" w:type="dxa"/>
      </w:tblCellMar>
    </w:tblPr>
  </w:style>
  <w:style w:type="paragraph" w:styleId="7">
    <w:name w:val="Normal Indent"/>
    <w:basedOn w:val="1"/>
    <w:link w:val="70"/>
    <w:qFormat/>
    <w:uiPriority w:val="0"/>
    <w:pPr>
      <w:ind w:firstLine="420"/>
    </w:pPr>
    <w:rPr>
      <w:szCs w:val="20"/>
    </w:rPr>
  </w:style>
  <w:style w:type="paragraph" w:styleId="12">
    <w:name w:val="List 3"/>
    <w:basedOn w:val="1"/>
    <w:qFormat/>
    <w:uiPriority w:val="0"/>
    <w:pPr>
      <w:ind w:left="100" w:leftChars="400" w:hanging="200" w:hangingChars="200"/>
    </w:pPr>
  </w:style>
  <w:style w:type="paragraph" w:styleId="13">
    <w:name w:val="toc 7"/>
    <w:basedOn w:val="1"/>
    <w:next w:val="1"/>
    <w:qFormat/>
    <w:uiPriority w:val="39"/>
    <w:pPr>
      <w:tabs>
        <w:tab w:val="right" w:leader="dot" w:pos="9185"/>
      </w:tabs>
      <w:adjustRightInd w:val="0"/>
      <w:spacing w:line="312" w:lineRule="atLeast"/>
      <w:ind w:left="2520"/>
      <w:textAlignment w:val="baseline"/>
    </w:pPr>
    <w:rPr>
      <w:kern w:val="0"/>
      <w:szCs w:val="20"/>
    </w:rPr>
  </w:style>
  <w:style w:type="paragraph" w:styleId="14">
    <w:name w:val="List Number"/>
    <w:basedOn w:val="1"/>
    <w:qFormat/>
    <w:uiPriority w:val="0"/>
    <w:pPr>
      <w:widowControl/>
      <w:tabs>
        <w:tab w:val="left" w:pos="454"/>
        <w:tab w:val="left" w:pos="720"/>
        <w:tab w:val="left" w:pos="840"/>
      </w:tabs>
      <w:spacing w:after="156" w:afterLines="50"/>
      <w:ind w:left="454" w:hanging="284"/>
      <w:jc w:val="left"/>
    </w:pPr>
    <w:rPr>
      <w:kern w:val="0"/>
      <w:sz w:val="24"/>
      <w:szCs w:val="20"/>
    </w:rPr>
  </w:style>
  <w:style w:type="paragraph" w:styleId="15">
    <w:name w:val="caption"/>
    <w:basedOn w:val="1"/>
    <w:next w:val="1"/>
    <w:qFormat/>
    <w:uiPriority w:val="99"/>
    <w:pPr>
      <w:spacing w:before="152" w:beforeLines="0" w:after="160" w:afterLines="0"/>
    </w:pPr>
    <w:rPr>
      <w:rFonts w:ascii="Arial" w:hAnsi="Arial" w:eastAsia="黑体" w:cs="Arial"/>
      <w:sz w:val="20"/>
      <w:szCs w:val="20"/>
    </w:rPr>
  </w:style>
  <w:style w:type="paragraph" w:styleId="16">
    <w:name w:val="Document Map"/>
    <w:basedOn w:val="1"/>
    <w:link w:val="75"/>
    <w:qFormat/>
    <w:uiPriority w:val="99"/>
    <w:pPr>
      <w:shd w:val="clear" w:color="auto" w:fill="000080"/>
      <w:adjustRightInd w:val="0"/>
      <w:spacing w:line="312" w:lineRule="atLeast"/>
      <w:textAlignment w:val="baseline"/>
    </w:pPr>
    <w:rPr>
      <w:kern w:val="0"/>
      <w:szCs w:val="20"/>
    </w:rPr>
  </w:style>
  <w:style w:type="paragraph" w:styleId="17">
    <w:name w:val="annotation text"/>
    <w:basedOn w:val="1"/>
    <w:link w:val="76"/>
    <w:qFormat/>
    <w:uiPriority w:val="0"/>
    <w:pPr>
      <w:jc w:val="left"/>
    </w:pPr>
  </w:style>
  <w:style w:type="paragraph" w:styleId="18">
    <w:name w:val="index 6"/>
    <w:basedOn w:val="1"/>
    <w:next w:val="1"/>
    <w:qFormat/>
    <w:uiPriority w:val="0"/>
    <w:pPr>
      <w:ind w:left="1000" w:leftChars="1000"/>
    </w:pPr>
  </w:style>
  <w:style w:type="paragraph" w:styleId="19">
    <w:name w:val="Body Text 3"/>
    <w:basedOn w:val="1"/>
    <w:link w:val="77"/>
    <w:qFormat/>
    <w:uiPriority w:val="0"/>
    <w:pPr>
      <w:spacing w:line="500" w:lineRule="exact"/>
    </w:pPr>
    <w:rPr>
      <w:b/>
      <w:bCs/>
      <w:sz w:val="24"/>
    </w:rPr>
  </w:style>
  <w:style w:type="paragraph" w:styleId="20">
    <w:name w:val="Body Text"/>
    <w:basedOn w:val="1"/>
    <w:next w:val="1"/>
    <w:link w:val="78"/>
    <w:qFormat/>
    <w:uiPriority w:val="99"/>
    <w:pPr>
      <w:spacing w:line="380" w:lineRule="exact"/>
    </w:pPr>
    <w:rPr>
      <w:sz w:val="24"/>
    </w:rPr>
  </w:style>
  <w:style w:type="paragraph" w:styleId="21">
    <w:name w:val="Body Text Indent"/>
    <w:basedOn w:val="1"/>
    <w:link w:val="79"/>
    <w:qFormat/>
    <w:uiPriority w:val="99"/>
    <w:pPr>
      <w:ind w:firstLine="830" w:firstLineChars="352"/>
    </w:pPr>
    <w:rPr>
      <w:rFonts w:ascii="仿宋_GB2312" w:eastAsia="仿宋_GB2312"/>
      <w:sz w:val="32"/>
      <w:szCs w:val="20"/>
    </w:rPr>
  </w:style>
  <w:style w:type="paragraph" w:styleId="22">
    <w:name w:val="List Number 3"/>
    <w:basedOn w:val="1"/>
    <w:qFormat/>
    <w:uiPriority w:val="0"/>
    <w:pPr>
      <w:tabs>
        <w:tab w:val="left" w:pos="1200"/>
      </w:tabs>
      <w:ind w:left="1200" w:leftChars="400" w:hanging="360" w:hangingChars="200"/>
    </w:pPr>
  </w:style>
  <w:style w:type="paragraph" w:styleId="23">
    <w:name w:val="List 2"/>
    <w:basedOn w:val="1"/>
    <w:qFormat/>
    <w:uiPriority w:val="0"/>
    <w:pPr>
      <w:ind w:left="100" w:leftChars="200" w:hanging="200" w:hangingChars="200"/>
    </w:pPr>
    <w:rPr>
      <w:sz w:val="28"/>
    </w:rPr>
  </w:style>
  <w:style w:type="paragraph" w:styleId="24">
    <w:name w:val="Block Text"/>
    <w:basedOn w:val="1"/>
    <w:qFormat/>
    <w:uiPriority w:val="0"/>
    <w:pPr>
      <w:adjustRightInd w:val="0"/>
      <w:ind w:left="420" w:right="33"/>
      <w:jc w:val="left"/>
      <w:textAlignment w:val="baseline"/>
    </w:pPr>
    <w:rPr>
      <w:kern w:val="0"/>
      <w:sz w:val="24"/>
      <w:szCs w:val="20"/>
    </w:rPr>
  </w:style>
  <w:style w:type="paragraph" w:styleId="25">
    <w:name w:val="index 4"/>
    <w:basedOn w:val="1"/>
    <w:next w:val="1"/>
    <w:qFormat/>
    <w:uiPriority w:val="99"/>
    <w:pPr>
      <w:ind w:left="600" w:leftChars="600"/>
    </w:pPr>
  </w:style>
  <w:style w:type="paragraph" w:styleId="26">
    <w:name w:val="toc 5"/>
    <w:basedOn w:val="1"/>
    <w:next w:val="1"/>
    <w:qFormat/>
    <w:uiPriority w:val="39"/>
    <w:pPr>
      <w:tabs>
        <w:tab w:val="right" w:leader="dot" w:pos="9185"/>
      </w:tabs>
      <w:adjustRightInd w:val="0"/>
      <w:spacing w:line="312" w:lineRule="atLeast"/>
      <w:ind w:left="1680"/>
      <w:textAlignment w:val="baseline"/>
    </w:pPr>
    <w:rPr>
      <w:kern w:val="0"/>
      <w:szCs w:val="20"/>
    </w:rPr>
  </w:style>
  <w:style w:type="paragraph" w:styleId="27">
    <w:name w:val="toc 3"/>
    <w:basedOn w:val="1"/>
    <w:next w:val="1"/>
    <w:qFormat/>
    <w:uiPriority w:val="39"/>
    <w:pPr>
      <w:ind w:left="840" w:leftChars="400"/>
    </w:pPr>
  </w:style>
  <w:style w:type="paragraph" w:styleId="28">
    <w:name w:val="Plain Text"/>
    <w:basedOn w:val="1"/>
    <w:next w:val="5"/>
    <w:link w:val="80"/>
    <w:qFormat/>
    <w:uiPriority w:val="0"/>
    <w:rPr>
      <w:rFonts w:ascii="宋体" w:hAnsi="Courier New" w:cs="Courier New"/>
      <w:szCs w:val="21"/>
    </w:rPr>
  </w:style>
  <w:style w:type="paragraph" w:styleId="29">
    <w:name w:val="toc 8"/>
    <w:basedOn w:val="1"/>
    <w:next w:val="1"/>
    <w:qFormat/>
    <w:uiPriority w:val="39"/>
    <w:pPr>
      <w:tabs>
        <w:tab w:val="right" w:leader="dot" w:pos="9185"/>
      </w:tabs>
      <w:adjustRightInd w:val="0"/>
      <w:spacing w:line="312" w:lineRule="atLeast"/>
      <w:ind w:left="2940"/>
      <w:textAlignment w:val="baseline"/>
    </w:pPr>
    <w:rPr>
      <w:kern w:val="0"/>
      <w:szCs w:val="20"/>
    </w:rPr>
  </w:style>
  <w:style w:type="paragraph" w:styleId="30">
    <w:name w:val="Date"/>
    <w:basedOn w:val="1"/>
    <w:next w:val="1"/>
    <w:link w:val="81"/>
    <w:qFormat/>
    <w:uiPriority w:val="99"/>
    <w:pPr>
      <w:ind w:left="100" w:leftChars="2500"/>
    </w:pPr>
    <w:rPr>
      <w:rFonts w:ascii="宋体" w:hAnsi="Courier New"/>
      <w:szCs w:val="21"/>
    </w:rPr>
  </w:style>
  <w:style w:type="paragraph" w:styleId="31">
    <w:name w:val="Body Text Indent 2"/>
    <w:basedOn w:val="1"/>
    <w:link w:val="82"/>
    <w:qFormat/>
    <w:uiPriority w:val="99"/>
    <w:pPr>
      <w:ind w:firstLine="630"/>
    </w:pPr>
    <w:rPr>
      <w:sz w:val="32"/>
      <w:szCs w:val="20"/>
    </w:rPr>
  </w:style>
  <w:style w:type="paragraph" w:styleId="32">
    <w:name w:val="Balloon Text"/>
    <w:basedOn w:val="1"/>
    <w:link w:val="83"/>
    <w:qFormat/>
    <w:uiPriority w:val="99"/>
    <w:rPr>
      <w:sz w:val="18"/>
      <w:szCs w:val="18"/>
    </w:rPr>
  </w:style>
  <w:style w:type="paragraph" w:styleId="33">
    <w:name w:val="footer"/>
    <w:basedOn w:val="1"/>
    <w:link w:val="84"/>
    <w:qFormat/>
    <w:uiPriority w:val="99"/>
    <w:pPr>
      <w:tabs>
        <w:tab w:val="center" w:pos="4153"/>
        <w:tab w:val="right" w:pos="8306"/>
      </w:tabs>
      <w:snapToGrid w:val="0"/>
      <w:jc w:val="left"/>
    </w:pPr>
    <w:rPr>
      <w:sz w:val="18"/>
      <w:szCs w:val="18"/>
    </w:rPr>
  </w:style>
  <w:style w:type="paragraph" w:styleId="34">
    <w:name w:val="header"/>
    <w:basedOn w:val="1"/>
    <w:link w:val="85"/>
    <w:qFormat/>
    <w:uiPriority w:val="99"/>
    <w:pPr>
      <w:pBdr>
        <w:bottom w:val="single" w:color="auto" w:sz="6" w:space="1"/>
      </w:pBdr>
      <w:tabs>
        <w:tab w:val="center" w:pos="4153"/>
        <w:tab w:val="right" w:pos="8306"/>
      </w:tabs>
      <w:snapToGrid w:val="0"/>
      <w:jc w:val="center"/>
    </w:pPr>
    <w:rPr>
      <w:sz w:val="18"/>
      <w:szCs w:val="18"/>
    </w:rPr>
  </w:style>
  <w:style w:type="paragraph" w:styleId="35">
    <w:name w:val="toc 1"/>
    <w:basedOn w:val="1"/>
    <w:next w:val="1"/>
    <w:qFormat/>
    <w:uiPriority w:val="39"/>
    <w:pPr>
      <w:tabs>
        <w:tab w:val="right" w:leader="dot" w:pos="8398"/>
      </w:tabs>
      <w:spacing w:before="120" w:beforeLines="0" w:after="120" w:afterLines="0"/>
      <w:ind w:firstLine="240" w:firstLineChars="100"/>
      <w:jc w:val="left"/>
    </w:pPr>
    <w:rPr>
      <w:rFonts w:ascii="宋体" w:hAnsi="宋体"/>
      <w:b/>
      <w:bCs/>
      <w:caps/>
      <w:sz w:val="24"/>
    </w:rPr>
  </w:style>
  <w:style w:type="paragraph" w:styleId="36">
    <w:name w:val="toc 4"/>
    <w:basedOn w:val="1"/>
    <w:next w:val="1"/>
    <w:qFormat/>
    <w:uiPriority w:val="39"/>
    <w:pPr>
      <w:tabs>
        <w:tab w:val="right" w:leader="dot" w:pos="9185"/>
      </w:tabs>
      <w:adjustRightInd w:val="0"/>
      <w:spacing w:line="312" w:lineRule="atLeast"/>
      <w:ind w:left="1260"/>
      <w:textAlignment w:val="baseline"/>
    </w:pPr>
    <w:rPr>
      <w:kern w:val="0"/>
      <w:szCs w:val="20"/>
    </w:rPr>
  </w:style>
  <w:style w:type="paragraph" w:styleId="37">
    <w:name w:val="Subtitle"/>
    <w:basedOn w:val="1"/>
    <w:next w:val="1"/>
    <w:link w:val="86"/>
    <w:qFormat/>
    <w:uiPriority w:val="11"/>
    <w:pPr>
      <w:spacing w:before="240" w:after="60" w:line="312" w:lineRule="auto"/>
      <w:jc w:val="center"/>
      <w:outlineLvl w:val="1"/>
    </w:pPr>
    <w:rPr>
      <w:rFonts w:ascii="Cambria" w:hAnsi="Cambria"/>
      <w:b/>
      <w:bCs/>
      <w:kern w:val="28"/>
      <w:sz w:val="32"/>
      <w:szCs w:val="32"/>
    </w:rPr>
  </w:style>
  <w:style w:type="paragraph" w:styleId="38">
    <w:name w:val="List"/>
    <w:basedOn w:val="1"/>
    <w:qFormat/>
    <w:uiPriority w:val="0"/>
    <w:pPr>
      <w:ind w:left="200" w:hanging="200" w:hangingChars="200"/>
    </w:pPr>
    <w:rPr>
      <w:sz w:val="28"/>
    </w:rPr>
  </w:style>
  <w:style w:type="paragraph" w:styleId="39">
    <w:name w:val="footnote text"/>
    <w:basedOn w:val="1"/>
    <w:link w:val="87"/>
    <w:qFormat/>
    <w:uiPriority w:val="99"/>
    <w:pPr>
      <w:adjustRightInd w:val="0"/>
      <w:spacing w:line="312" w:lineRule="atLeast"/>
      <w:jc w:val="left"/>
      <w:textAlignment w:val="baseline"/>
    </w:pPr>
    <w:rPr>
      <w:kern w:val="0"/>
      <w:sz w:val="18"/>
      <w:szCs w:val="20"/>
    </w:rPr>
  </w:style>
  <w:style w:type="paragraph" w:styleId="40">
    <w:name w:val="toc 6"/>
    <w:basedOn w:val="1"/>
    <w:next w:val="1"/>
    <w:qFormat/>
    <w:uiPriority w:val="39"/>
    <w:pPr>
      <w:tabs>
        <w:tab w:val="right" w:leader="dot" w:pos="9185"/>
      </w:tabs>
      <w:adjustRightInd w:val="0"/>
      <w:spacing w:line="312" w:lineRule="atLeast"/>
      <w:ind w:left="2100"/>
      <w:textAlignment w:val="baseline"/>
    </w:pPr>
    <w:rPr>
      <w:kern w:val="0"/>
      <w:szCs w:val="20"/>
    </w:rPr>
  </w:style>
  <w:style w:type="paragraph" w:styleId="41">
    <w:name w:val="List 5"/>
    <w:basedOn w:val="1"/>
    <w:qFormat/>
    <w:uiPriority w:val="0"/>
    <w:pPr>
      <w:ind w:left="2100" w:hanging="420"/>
    </w:pPr>
    <w:rPr>
      <w:szCs w:val="20"/>
    </w:rPr>
  </w:style>
  <w:style w:type="paragraph" w:styleId="42">
    <w:name w:val="Body Text Indent 3"/>
    <w:basedOn w:val="1"/>
    <w:link w:val="88"/>
    <w:qFormat/>
    <w:uiPriority w:val="0"/>
    <w:pPr>
      <w:spacing w:after="120" w:afterLines="0"/>
      <w:ind w:left="420" w:leftChars="200"/>
    </w:pPr>
    <w:rPr>
      <w:sz w:val="16"/>
      <w:szCs w:val="16"/>
    </w:rPr>
  </w:style>
  <w:style w:type="paragraph" w:styleId="43">
    <w:name w:val="toc 2"/>
    <w:basedOn w:val="1"/>
    <w:next w:val="1"/>
    <w:qFormat/>
    <w:uiPriority w:val="39"/>
    <w:pPr>
      <w:ind w:left="420" w:leftChars="200"/>
    </w:pPr>
  </w:style>
  <w:style w:type="paragraph" w:styleId="44">
    <w:name w:val="toc 9"/>
    <w:basedOn w:val="1"/>
    <w:next w:val="1"/>
    <w:qFormat/>
    <w:uiPriority w:val="39"/>
    <w:pPr>
      <w:tabs>
        <w:tab w:val="right" w:leader="dot" w:pos="9185"/>
      </w:tabs>
      <w:adjustRightInd w:val="0"/>
      <w:spacing w:line="312" w:lineRule="atLeast"/>
      <w:ind w:left="3360"/>
      <w:textAlignment w:val="baseline"/>
    </w:pPr>
    <w:rPr>
      <w:kern w:val="0"/>
      <w:szCs w:val="20"/>
    </w:rPr>
  </w:style>
  <w:style w:type="paragraph" w:styleId="45">
    <w:name w:val="Body Text 2"/>
    <w:basedOn w:val="1"/>
    <w:link w:val="89"/>
    <w:qFormat/>
    <w:uiPriority w:val="0"/>
    <w:pPr>
      <w:spacing w:after="120" w:afterLines="0" w:line="480" w:lineRule="auto"/>
    </w:pPr>
  </w:style>
  <w:style w:type="paragraph" w:styleId="46">
    <w:name w:val="List 4"/>
    <w:basedOn w:val="1"/>
    <w:qFormat/>
    <w:uiPriority w:val="0"/>
    <w:pPr>
      <w:ind w:left="100" w:leftChars="600" w:hanging="200" w:hangingChars="200"/>
    </w:pPr>
  </w:style>
  <w:style w:type="paragraph" w:styleId="47">
    <w:name w:val="List Continue 2"/>
    <w:basedOn w:val="1"/>
    <w:qFormat/>
    <w:uiPriority w:val="0"/>
    <w:pPr>
      <w:spacing w:after="120" w:afterLines="0"/>
      <w:ind w:left="840" w:leftChars="400"/>
    </w:pPr>
  </w:style>
  <w:style w:type="paragraph" w:styleId="48">
    <w:name w:val="HTML Preformatted"/>
    <w:basedOn w:val="1"/>
    <w:link w:val="90"/>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黑体" w:hAnsi="Courier New" w:eastAsia="黑体"/>
      <w:kern w:val="0"/>
      <w:sz w:val="20"/>
      <w:szCs w:val="20"/>
    </w:rPr>
  </w:style>
  <w:style w:type="paragraph" w:styleId="49">
    <w:name w:val="Normal (Web)"/>
    <w:basedOn w:val="1"/>
    <w:qFormat/>
    <w:uiPriority w:val="0"/>
    <w:pPr>
      <w:widowControl/>
      <w:spacing w:before="100" w:beforeLines="0" w:beforeAutospacing="1" w:after="100" w:afterLines="0" w:afterAutospacing="1"/>
      <w:jc w:val="left"/>
    </w:pPr>
    <w:rPr>
      <w:rFonts w:ascii="宋体" w:hAnsi="宋体"/>
      <w:kern w:val="0"/>
      <w:sz w:val="24"/>
    </w:rPr>
  </w:style>
  <w:style w:type="paragraph" w:styleId="50">
    <w:name w:val="index 1"/>
    <w:basedOn w:val="1"/>
    <w:next w:val="1"/>
    <w:qFormat/>
    <w:uiPriority w:val="0"/>
    <w:pPr>
      <w:spacing w:line="400" w:lineRule="exact"/>
      <w:ind w:firstLine="420" w:firstLineChars="200"/>
    </w:pPr>
    <w:rPr>
      <w:rFonts w:ascii="宋体" w:hAnsi="Courier New"/>
      <w:b/>
      <w:szCs w:val="20"/>
    </w:rPr>
  </w:style>
  <w:style w:type="paragraph" w:styleId="51">
    <w:name w:val="Title"/>
    <w:basedOn w:val="1"/>
    <w:link w:val="91"/>
    <w:qFormat/>
    <w:uiPriority w:val="99"/>
    <w:pPr>
      <w:jc w:val="center"/>
    </w:pPr>
    <w:rPr>
      <w:sz w:val="30"/>
    </w:rPr>
  </w:style>
  <w:style w:type="paragraph" w:styleId="52">
    <w:name w:val="annotation subject"/>
    <w:basedOn w:val="17"/>
    <w:next w:val="17"/>
    <w:link w:val="92"/>
    <w:qFormat/>
    <w:uiPriority w:val="99"/>
    <w:rPr>
      <w:b/>
      <w:bCs/>
    </w:rPr>
  </w:style>
  <w:style w:type="paragraph" w:styleId="53">
    <w:name w:val="Body Text First Indent"/>
    <w:basedOn w:val="20"/>
    <w:link w:val="93"/>
    <w:qFormat/>
    <w:uiPriority w:val="0"/>
    <w:pPr>
      <w:spacing w:after="120" w:afterLines="0" w:line="240" w:lineRule="auto"/>
      <w:ind w:firstLine="420" w:firstLineChars="100"/>
    </w:pPr>
    <w:rPr>
      <w:sz w:val="21"/>
    </w:rPr>
  </w:style>
  <w:style w:type="paragraph" w:styleId="54">
    <w:name w:val="Body Text First Indent 2"/>
    <w:basedOn w:val="21"/>
    <w:link w:val="94"/>
    <w:qFormat/>
    <w:uiPriority w:val="0"/>
    <w:pPr>
      <w:spacing w:after="120" w:afterLines="0"/>
      <w:ind w:left="420" w:leftChars="200" w:firstLine="420" w:firstLineChars="200"/>
    </w:pPr>
    <w:rPr>
      <w:rFonts w:ascii="Times New Roman" w:eastAsia="宋体"/>
      <w:sz w:val="21"/>
      <w:szCs w:val="24"/>
    </w:rPr>
  </w:style>
  <w:style w:type="table" w:styleId="56">
    <w:name w:val="Table Grid"/>
    <w:basedOn w:val="55"/>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58">
    <w:name w:val="Strong"/>
    <w:qFormat/>
    <w:uiPriority w:val="22"/>
    <w:rPr>
      <w:b/>
      <w:bCs/>
    </w:rPr>
  </w:style>
  <w:style w:type="character" w:styleId="59">
    <w:name w:val="page number"/>
    <w:basedOn w:val="57"/>
    <w:qFormat/>
    <w:uiPriority w:val="99"/>
  </w:style>
  <w:style w:type="character" w:styleId="60">
    <w:name w:val="FollowedHyperlink"/>
    <w:qFormat/>
    <w:uiPriority w:val="99"/>
    <w:rPr>
      <w:color w:val="800080"/>
      <w:u w:val="single"/>
    </w:rPr>
  </w:style>
  <w:style w:type="character" w:styleId="61">
    <w:name w:val="Emphasis"/>
    <w:qFormat/>
    <w:uiPriority w:val="99"/>
    <w:rPr>
      <w:i/>
      <w:iCs/>
    </w:rPr>
  </w:style>
  <w:style w:type="character" w:styleId="62">
    <w:name w:val="Hyperlink"/>
    <w:qFormat/>
    <w:uiPriority w:val="99"/>
    <w:rPr>
      <w:color w:val="0000FF"/>
      <w:u w:val="single"/>
    </w:rPr>
  </w:style>
  <w:style w:type="character" w:styleId="63">
    <w:name w:val="annotation reference"/>
    <w:qFormat/>
    <w:uiPriority w:val="0"/>
    <w:rPr>
      <w:sz w:val="21"/>
      <w:szCs w:val="21"/>
    </w:rPr>
  </w:style>
  <w:style w:type="paragraph" w:customStyle="1" w:styleId="64">
    <w:name w:val="font5"/>
    <w:basedOn w:val="1"/>
    <w:qFormat/>
    <w:uiPriority w:val="0"/>
    <w:pPr>
      <w:widowControl/>
      <w:spacing w:before="100" w:beforeAutospacing="1" w:after="100" w:afterAutospacing="1"/>
      <w:jc w:val="left"/>
    </w:pPr>
    <w:rPr>
      <w:kern w:val="0"/>
      <w:sz w:val="24"/>
      <w:szCs w:val="20"/>
    </w:rPr>
  </w:style>
  <w:style w:type="character" w:customStyle="1" w:styleId="65">
    <w:name w:val="标题 1 字符2"/>
    <w:link w:val="2"/>
    <w:qFormat/>
    <w:uiPriority w:val="99"/>
    <w:rPr>
      <w:rFonts w:eastAsia="宋体"/>
      <w:b/>
      <w:bCs/>
      <w:kern w:val="44"/>
      <w:sz w:val="44"/>
      <w:szCs w:val="44"/>
      <w:lang w:val="en-US" w:eastAsia="zh-CN" w:bidi="ar-SA"/>
    </w:rPr>
  </w:style>
  <w:style w:type="character" w:customStyle="1" w:styleId="66">
    <w:name w:val="标题 2 字符2"/>
    <w:link w:val="3"/>
    <w:qFormat/>
    <w:uiPriority w:val="99"/>
    <w:rPr>
      <w:rFonts w:ascii="Arial" w:hAnsi="Arial" w:eastAsia="黑体"/>
      <w:b/>
      <w:bCs/>
      <w:kern w:val="2"/>
      <w:sz w:val="32"/>
      <w:szCs w:val="32"/>
    </w:rPr>
  </w:style>
  <w:style w:type="character" w:customStyle="1" w:styleId="67">
    <w:name w:val="标题 3 字符2"/>
    <w:link w:val="4"/>
    <w:qFormat/>
    <w:uiPriority w:val="99"/>
    <w:rPr>
      <w:b/>
      <w:bCs/>
      <w:kern w:val="2"/>
      <w:sz w:val="32"/>
      <w:szCs w:val="32"/>
    </w:rPr>
  </w:style>
  <w:style w:type="character" w:customStyle="1" w:styleId="68">
    <w:name w:val="标题 4 字符2"/>
    <w:link w:val="5"/>
    <w:qFormat/>
    <w:uiPriority w:val="99"/>
    <w:rPr>
      <w:rFonts w:ascii="Arial" w:hAnsi="Arial" w:eastAsia="黑体"/>
      <w:sz w:val="28"/>
    </w:rPr>
  </w:style>
  <w:style w:type="character" w:customStyle="1" w:styleId="69">
    <w:name w:val="标题 5 字符2"/>
    <w:link w:val="6"/>
    <w:qFormat/>
    <w:uiPriority w:val="99"/>
    <w:rPr>
      <w:b/>
      <w:kern w:val="2"/>
      <w:sz w:val="28"/>
      <w:szCs w:val="24"/>
    </w:rPr>
  </w:style>
  <w:style w:type="character" w:customStyle="1" w:styleId="70">
    <w:name w:val="正文缩进 字符"/>
    <w:link w:val="7"/>
    <w:qFormat/>
    <w:uiPriority w:val="99"/>
    <w:rPr>
      <w:kern w:val="2"/>
      <w:sz w:val="21"/>
    </w:rPr>
  </w:style>
  <w:style w:type="character" w:customStyle="1" w:styleId="71">
    <w:name w:val="标题 6 字符2"/>
    <w:link w:val="8"/>
    <w:qFormat/>
    <w:uiPriority w:val="9"/>
    <w:rPr>
      <w:rFonts w:ascii="Arial" w:hAnsi="Arial" w:eastAsia="黑体"/>
      <w:b/>
      <w:kern w:val="2"/>
      <w:sz w:val="24"/>
      <w:szCs w:val="24"/>
    </w:rPr>
  </w:style>
  <w:style w:type="character" w:customStyle="1" w:styleId="72">
    <w:name w:val="标题 7 字符2"/>
    <w:link w:val="9"/>
    <w:qFormat/>
    <w:uiPriority w:val="9"/>
    <w:rPr>
      <w:b/>
      <w:kern w:val="2"/>
      <w:sz w:val="24"/>
      <w:szCs w:val="24"/>
    </w:rPr>
  </w:style>
  <w:style w:type="character" w:customStyle="1" w:styleId="73">
    <w:name w:val="标题 8 字符2"/>
    <w:link w:val="10"/>
    <w:qFormat/>
    <w:uiPriority w:val="9"/>
    <w:rPr>
      <w:rFonts w:ascii="Arial" w:hAnsi="Arial" w:eastAsia="黑体"/>
      <w:kern w:val="2"/>
      <w:sz w:val="24"/>
      <w:szCs w:val="24"/>
    </w:rPr>
  </w:style>
  <w:style w:type="character" w:customStyle="1" w:styleId="74">
    <w:name w:val="标题 9 字符2"/>
    <w:link w:val="11"/>
    <w:qFormat/>
    <w:uiPriority w:val="9"/>
    <w:rPr>
      <w:rFonts w:ascii="Arial" w:hAnsi="Arial" w:eastAsia="黑体"/>
      <w:kern w:val="2"/>
      <w:sz w:val="21"/>
      <w:szCs w:val="24"/>
    </w:rPr>
  </w:style>
  <w:style w:type="character" w:customStyle="1" w:styleId="75">
    <w:name w:val="文档结构图 字符2"/>
    <w:link w:val="16"/>
    <w:qFormat/>
    <w:uiPriority w:val="99"/>
    <w:rPr>
      <w:sz w:val="21"/>
      <w:shd w:val="clear" w:color="auto" w:fill="000080"/>
    </w:rPr>
  </w:style>
  <w:style w:type="character" w:customStyle="1" w:styleId="76">
    <w:name w:val="批注文字 字符3"/>
    <w:link w:val="17"/>
    <w:qFormat/>
    <w:uiPriority w:val="99"/>
    <w:rPr>
      <w:kern w:val="2"/>
      <w:sz w:val="21"/>
      <w:szCs w:val="24"/>
    </w:rPr>
  </w:style>
  <w:style w:type="character" w:customStyle="1" w:styleId="77">
    <w:name w:val="正文文本 3 字符2"/>
    <w:link w:val="19"/>
    <w:qFormat/>
    <w:uiPriority w:val="0"/>
    <w:rPr>
      <w:b/>
      <w:bCs/>
      <w:kern w:val="2"/>
      <w:sz w:val="24"/>
      <w:szCs w:val="24"/>
    </w:rPr>
  </w:style>
  <w:style w:type="character" w:customStyle="1" w:styleId="78">
    <w:name w:val="正文文本 字符2"/>
    <w:link w:val="20"/>
    <w:qFormat/>
    <w:uiPriority w:val="99"/>
    <w:rPr>
      <w:kern w:val="2"/>
      <w:sz w:val="24"/>
      <w:szCs w:val="24"/>
    </w:rPr>
  </w:style>
  <w:style w:type="character" w:customStyle="1" w:styleId="79">
    <w:name w:val="正文文本缩进 字符2"/>
    <w:link w:val="21"/>
    <w:qFormat/>
    <w:uiPriority w:val="99"/>
    <w:rPr>
      <w:rFonts w:ascii="仿宋_GB2312" w:eastAsia="仿宋_GB2312"/>
      <w:kern w:val="2"/>
      <w:sz w:val="32"/>
    </w:rPr>
  </w:style>
  <w:style w:type="character" w:customStyle="1" w:styleId="80">
    <w:name w:val="纯文本 字符2"/>
    <w:link w:val="28"/>
    <w:qFormat/>
    <w:uiPriority w:val="99"/>
    <w:rPr>
      <w:rFonts w:ascii="宋体" w:hAnsi="Courier New" w:eastAsia="宋体" w:cs="Courier New"/>
      <w:kern w:val="2"/>
      <w:sz w:val="21"/>
      <w:szCs w:val="21"/>
      <w:lang w:val="en-US" w:eastAsia="zh-CN" w:bidi="ar-SA"/>
    </w:rPr>
  </w:style>
  <w:style w:type="character" w:customStyle="1" w:styleId="81">
    <w:name w:val="日期 字符2"/>
    <w:link w:val="30"/>
    <w:qFormat/>
    <w:uiPriority w:val="99"/>
    <w:rPr>
      <w:rFonts w:ascii="宋体" w:hAnsi="Courier New" w:cs="Courier New"/>
      <w:kern w:val="2"/>
      <w:sz w:val="21"/>
      <w:szCs w:val="21"/>
    </w:rPr>
  </w:style>
  <w:style w:type="character" w:customStyle="1" w:styleId="82">
    <w:name w:val="正文文本缩进 2 字符2"/>
    <w:link w:val="31"/>
    <w:qFormat/>
    <w:uiPriority w:val="99"/>
    <w:rPr>
      <w:kern w:val="2"/>
      <w:sz w:val="32"/>
    </w:rPr>
  </w:style>
  <w:style w:type="character" w:customStyle="1" w:styleId="83">
    <w:name w:val="批注框文本 字符2"/>
    <w:link w:val="32"/>
    <w:qFormat/>
    <w:uiPriority w:val="99"/>
    <w:rPr>
      <w:kern w:val="2"/>
      <w:sz w:val="18"/>
      <w:szCs w:val="18"/>
    </w:rPr>
  </w:style>
  <w:style w:type="character" w:customStyle="1" w:styleId="84">
    <w:name w:val="页脚 字符2"/>
    <w:link w:val="33"/>
    <w:qFormat/>
    <w:uiPriority w:val="99"/>
    <w:rPr>
      <w:kern w:val="2"/>
      <w:sz w:val="18"/>
      <w:szCs w:val="18"/>
    </w:rPr>
  </w:style>
  <w:style w:type="character" w:customStyle="1" w:styleId="85">
    <w:name w:val="页眉 字符2"/>
    <w:link w:val="34"/>
    <w:qFormat/>
    <w:uiPriority w:val="99"/>
    <w:rPr>
      <w:kern w:val="2"/>
      <w:sz w:val="18"/>
      <w:szCs w:val="18"/>
    </w:rPr>
  </w:style>
  <w:style w:type="character" w:customStyle="1" w:styleId="86">
    <w:name w:val="副标题 字符2"/>
    <w:link w:val="37"/>
    <w:qFormat/>
    <w:uiPriority w:val="11"/>
    <w:rPr>
      <w:rFonts w:ascii="Cambria" w:hAnsi="Cambria"/>
      <w:b/>
      <w:bCs/>
      <w:kern w:val="28"/>
      <w:sz w:val="32"/>
      <w:szCs w:val="32"/>
    </w:rPr>
  </w:style>
  <w:style w:type="character" w:customStyle="1" w:styleId="87">
    <w:name w:val="脚注文本 字符2"/>
    <w:link w:val="39"/>
    <w:qFormat/>
    <w:uiPriority w:val="99"/>
    <w:rPr>
      <w:sz w:val="18"/>
    </w:rPr>
  </w:style>
  <w:style w:type="character" w:customStyle="1" w:styleId="88">
    <w:name w:val="正文文本缩进 3 字符2"/>
    <w:link w:val="42"/>
    <w:qFormat/>
    <w:uiPriority w:val="0"/>
    <w:rPr>
      <w:kern w:val="2"/>
      <w:sz w:val="16"/>
      <w:szCs w:val="16"/>
    </w:rPr>
  </w:style>
  <w:style w:type="character" w:customStyle="1" w:styleId="89">
    <w:name w:val="正文文本 2 字符2"/>
    <w:link w:val="45"/>
    <w:qFormat/>
    <w:uiPriority w:val="0"/>
    <w:rPr>
      <w:kern w:val="2"/>
      <w:sz w:val="21"/>
      <w:szCs w:val="24"/>
    </w:rPr>
  </w:style>
  <w:style w:type="character" w:customStyle="1" w:styleId="90">
    <w:name w:val="HTML 预设格式 字符2"/>
    <w:link w:val="48"/>
    <w:qFormat/>
    <w:uiPriority w:val="0"/>
    <w:rPr>
      <w:rFonts w:ascii="黑体" w:hAnsi="Courier New" w:eastAsia="黑体" w:cs="Courier New"/>
    </w:rPr>
  </w:style>
  <w:style w:type="character" w:customStyle="1" w:styleId="91">
    <w:name w:val="标题 字符2"/>
    <w:link w:val="51"/>
    <w:qFormat/>
    <w:uiPriority w:val="99"/>
    <w:rPr>
      <w:kern w:val="2"/>
      <w:sz w:val="30"/>
      <w:szCs w:val="24"/>
    </w:rPr>
  </w:style>
  <w:style w:type="character" w:customStyle="1" w:styleId="92">
    <w:name w:val="批注主题 字符2"/>
    <w:link w:val="52"/>
    <w:qFormat/>
    <w:uiPriority w:val="99"/>
    <w:rPr>
      <w:b/>
      <w:bCs/>
      <w:kern w:val="2"/>
      <w:sz w:val="21"/>
      <w:szCs w:val="24"/>
    </w:rPr>
  </w:style>
  <w:style w:type="character" w:customStyle="1" w:styleId="93">
    <w:name w:val="正文文本首行缩进 字符2"/>
    <w:link w:val="53"/>
    <w:qFormat/>
    <w:uiPriority w:val="0"/>
    <w:rPr>
      <w:kern w:val="2"/>
      <w:sz w:val="21"/>
      <w:szCs w:val="24"/>
    </w:rPr>
  </w:style>
  <w:style w:type="character" w:customStyle="1" w:styleId="94">
    <w:name w:val="正文文本首行缩进 2 字符2"/>
    <w:link w:val="54"/>
    <w:qFormat/>
    <w:uiPriority w:val="0"/>
    <w:rPr>
      <w:kern w:val="2"/>
      <w:sz w:val="21"/>
      <w:szCs w:val="24"/>
    </w:rPr>
  </w:style>
  <w:style w:type="character" w:customStyle="1" w:styleId="95">
    <w:name w:val="标题 1 字符1"/>
    <w:qFormat/>
    <w:uiPriority w:val="0"/>
    <w:rPr>
      <w:rFonts w:ascii="Times New Roman" w:hAnsi="Times New Roman" w:eastAsia="宋体" w:cs="Times New Roman"/>
      <w:b/>
      <w:bCs/>
      <w:kern w:val="44"/>
      <w:sz w:val="44"/>
      <w:szCs w:val="44"/>
    </w:rPr>
  </w:style>
  <w:style w:type="character" w:customStyle="1" w:styleId="96">
    <w:name w:val="content2"/>
    <w:qFormat/>
    <w:uiPriority w:val="0"/>
  </w:style>
  <w:style w:type="character" w:customStyle="1" w:styleId="97">
    <w:name w:val="case31"/>
    <w:qFormat/>
    <w:uiPriority w:val="0"/>
    <w:rPr>
      <w:rFonts w:hint="default" w:ascii="_x000B__x000C_" w:hAnsi="_x000B__x000C_"/>
      <w:sz w:val="21"/>
      <w:szCs w:val="21"/>
    </w:rPr>
  </w:style>
  <w:style w:type="character" w:customStyle="1" w:styleId="98">
    <w:name w:val="062"/>
    <w:qFormat/>
    <w:uiPriority w:val="0"/>
    <w:rPr>
      <w:rFonts w:ascii="宋体" w:hAnsi="宋体"/>
      <w:b/>
      <w:bCs/>
      <w:sz w:val="32"/>
    </w:rPr>
  </w:style>
  <w:style w:type="character" w:customStyle="1" w:styleId="99">
    <w:name w:val="f151"/>
    <w:qFormat/>
    <w:uiPriority w:val="0"/>
    <w:rPr>
      <w:sz w:val="23"/>
      <w:szCs w:val="23"/>
    </w:rPr>
  </w:style>
  <w:style w:type="character" w:customStyle="1" w:styleId="100">
    <w:name w:val="unnamed3"/>
    <w:qFormat/>
    <w:uiPriority w:val="0"/>
  </w:style>
  <w:style w:type="character" w:customStyle="1" w:styleId="101">
    <w:name w:val="z-窗体顶端 字符2"/>
    <w:link w:val="102"/>
    <w:qFormat/>
    <w:uiPriority w:val="0"/>
    <w:rPr>
      <w:rFonts w:ascii="Arial"/>
      <w:vanish/>
      <w:kern w:val="2"/>
      <w:sz w:val="16"/>
      <w:szCs w:val="24"/>
    </w:rPr>
  </w:style>
  <w:style w:type="paragraph" w:customStyle="1" w:styleId="102">
    <w:name w:val="_Style 99"/>
    <w:basedOn w:val="1"/>
    <w:next w:val="1"/>
    <w:link w:val="101"/>
    <w:qFormat/>
    <w:uiPriority w:val="0"/>
    <w:pPr>
      <w:pBdr>
        <w:bottom w:val="single" w:color="auto" w:sz="6" w:space="1"/>
      </w:pBdr>
      <w:jc w:val="center"/>
    </w:pPr>
    <w:rPr>
      <w:rFonts w:ascii="Arial"/>
      <w:vanish/>
      <w:sz w:val="16"/>
    </w:rPr>
  </w:style>
  <w:style w:type="character" w:customStyle="1" w:styleId="103">
    <w:name w:val="gray12"/>
    <w:qFormat/>
    <w:uiPriority w:val="0"/>
  </w:style>
  <w:style w:type="character" w:customStyle="1" w:styleId="104">
    <w:name w:val="style11"/>
    <w:qFormat/>
    <w:uiPriority w:val="0"/>
    <w:rPr>
      <w:rFonts w:hint="default" w:ascii="Arial" w:hAnsi="Arial" w:cs="Arial"/>
    </w:rPr>
  </w:style>
  <w:style w:type="character" w:customStyle="1" w:styleId="105">
    <w:name w:val="纯文本 Char1"/>
    <w:qFormat/>
    <w:uiPriority w:val="99"/>
    <w:rPr>
      <w:rFonts w:ascii="宋体" w:hAnsi="Courier New" w:eastAsia="宋体" w:cs="Courier New"/>
      <w:kern w:val="2"/>
      <w:sz w:val="21"/>
      <w:szCs w:val="21"/>
      <w:lang w:val="en-US" w:eastAsia="zh-CN" w:bidi="ar-SA"/>
    </w:rPr>
  </w:style>
  <w:style w:type="character" w:customStyle="1" w:styleId="106">
    <w:name w:val="text11"/>
    <w:qFormat/>
    <w:uiPriority w:val="0"/>
    <w:rPr>
      <w:rFonts w:hint="default" w:ascii="Verdana" w:hAnsi="Verdana"/>
      <w:color w:val="4E4E4E"/>
      <w:sz w:val="18"/>
      <w:szCs w:val="18"/>
    </w:rPr>
  </w:style>
  <w:style w:type="character" w:customStyle="1" w:styleId="107">
    <w:name w:val="1ji Char"/>
    <w:link w:val="108"/>
    <w:qFormat/>
    <w:uiPriority w:val="0"/>
    <w:rPr>
      <w:rFonts w:ascii="宋体" w:hAnsi="宋体" w:eastAsia="宋体"/>
      <w:b/>
      <w:bCs/>
      <w:kern w:val="44"/>
      <w:sz w:val="36"/>
      <w:szCs w:val="44"/>
      <w:lang w:val="en-US" w:eastAsia="zh-CN" w:bidi="ar-SA"/>
    </w:rPr>
  </w:style>
  <w:style w:type="paragraph" w:customStyle="1" w:styleId="108">
    <w:name w:val="1ji"/>
    <w:basedOn w:val="2"/>
    <w:link w:val="107"/>
    <w:qFormat/>
    <w:uiPriority w:val="0"/>
    <w:pPr>
      <w:keepLines w:val="0"/>
      <w:widowControl/>
      <w:spacing w:before="0" w:beforeLines="0" w:after="0" w:afterLines="0" w:line="240" w:lineRule="auto"/>
      <w:jc w:val="center"/>
    </w:pPr>
    <w:rPr>
      <w:rFonts w:ascii="宋体" w:hAnsi="宋体"/>
      <w:sz w:val="36"/>
    </w:rPr>
  </w:style>
  <w:style w:type="character" w:customStyle="1" w:styleId="109">
    <w:name w:val="short_text1"/>
    <w:qFormat/>
    <w:uiPriority w:val="0"/>
    <w:rPr>
      <w:sz w:val="26"/>
    </w:rPr>
  </w:style>
  <w:style w:type="character" w:customStyle="1" w:styleId="110">
    <w:name w:val="mark8"/>
    <w:qFormat/>
    <w:uiPriority w:val="0"/>
    <w:rPr>
      <w:b/>
      <w:bCs/>
      <w:sz w:val="21"/>
      <w:szCs w:val="21"/>
    </w:rPr>
  </w:style>
  <w:style w:type="character" w:customStyle="1" w:styleId="111">
    <w:name w:val="white"/>
    <w:qFormat/>
    <w:uiPriority w:val="0"/>
  </w:style>
  <w:style w:type="character" w:customStyle="1" w:styleId="112">
    <w:name w:val="graytext1"/>
    <w:qFormat/>
    <w:uiPriority w:val="0"/>
    <w:rPr>
      <w:color w:val="666666"/>
    </w:rPr>
  </w:style>
  <w:style w:type="character" w:customStyle="1" w:styleId="113">
    <w:name w:val="small"/>
    <w:qFormat/>
    <w:uiPriority w:val="0"/>
  </w:style>
  <w:style w:type="character" w:customStyle="1" w:styleId="114">
    <w:name w:val="style21"/>
    <w:qFormat/>
    <w:uiPriority w:val="0"/>
    <w:rPr>
      <w:sz w:val="17"/>
      <w:szCs w:val="17"/>
    </w:rPr>
  </w:style>
  <w:style w:type="character" w:customStyle="1" w:styleId="115">
    <w:name w:val="1051"/>
    <w:qFormat/>
    <w:uiPriority w:val="0"/>
    <w:rPr>
      <w:sz w:val="21"/>
      <w:szCs w:val="21"/>
    </w:rPr>
  </w:style>
  <w:style w:type="character" w:customStyle="1" w:styleId="116">
    <w:name w:val="apple-converted-space"/>
    <w:qFormat/>
    <w:uiPriority w:val="0"/>
  </w:style>
  <w:style w:type="character" w:customStyle="1" w:styleId="117">
    <w:name w:val="font01"/>
    <w:qFormat/>
    <w:uiPriority w:val="0"/>
    <w:rPr>
      <w:rFonts w:hint="eastAsia" w:ascii="宋体" w:hAnsi="宋体" w:eastAsia="宋体"/>
      <w:color w:val="000000"/>
      <w:sz w:val="22"/>
      <w:szCs w:val="22"/>
      <w:u w:val="none"/>
    </w:rPr>
  </w:style>
  <w:style w:type="character" w:customStyle="1" w:styleId="118">
    <w:name w:val="标题3 Char"/>
    <w:link w:val="119"/>
    <w:qFormat/>
    <w:uiPriority w:val="0"/>
    <w:rPr>
      <w:rFonts w:ascii="宋体" w:hAnsi="宋体"/>
      <w:b/>
      <w:bCs/>
      <w:kern w:val="44"/>
      <w:sz w:val="24"/>
      <w:szCs w:val="24"/>
    </w:rPr>
  </w:style>
  <w:style w:type="paragraph" w:customStyle="1" w:styleId="119">
    <w:name w:val="标题3"/>
    <w:basedOn w:val="2"/>
    <w:link w:val="118"/>
    <w:qFormat/>
    <w:uiPriority w:val="0"/>
    <w:pPr>
      <w:spacing w:before="0" w:beforeLines="50" w:after="0" w:afterLines="50" w:line="400" w:lineRule="exact"/>
    </w:pPr>
    <w:rPr>
      <w:rFonts w:ascii="宋体" w:hAnsi="宋体"/>
      <w:sz w:val="24"/>
      <w:szCs w:val="24"/>
    </w:rPr>
  </w:style>
  <w:style w:type="paragraph" w:customStyle="1" w:styleId="120">
    <w:name w:val="Char"/>
    <w:basedOn w:val="1"/>
    <w:qFormat/>
    <w:uiPriority w:val="99"/>
    <w:pPr>
      <w:widowControl/>
      <w:spacing w:line="500" w:lineRule="exact"/>
      <w:outlineLvl w:val="2"/>
    </w:pPr>
    <w:rPr>
      <w:rFonts w:ascii="黑体" w:hAnsi="Verdana" w:eastAsia="黑体" w:cs="黑体"/>
      <w:kern w:val="0"/>
      <w:sz w:val="28"/>
      <w:szCs w:val="28"/>
      <w:lang w:eastAsia="en-US"/>
    </w:rPr>
  </w:style>
  <w:style w:type="paragraph" w:customStyle="1" w:styleId="121">
    <w:name w:val="Char Char Char Char Char Char Char Char Char Char Char Char Char Char Char Char"/>
    <w:basedOn w:val="1"/>
    <w:qFormat/>
    <w:uiPriority w:val="0"/>
    <w:pPr>
      <w:tabs>
        <w:tab w:val="left" w:pos="360"/>
      </w:tabs>
      <w:spacing w:line="360" w:lineRule="auto"/>
      <w:ind w:left="482" w:firstLine="200" w:firstLineChars="200"/>
    </w:pPr>
    <w:rPr>
      <w:rFonts w:ascii="宋体"/>
      <w:sz w:val="24"/>
    </w:rPr>
  </w:style>
  <w:style w:type="paragraph" w:customStyle="1" w:styleId="122">
    <w:name w:val="Char1"/>
    <w:basedOn w:val="1"/>
    <w:qFormat/>
    <w:uiPriority w:val="99"/>
    <w:rPr>
      <w:szCs w:val="21"/>
    </w:rPr>
  </w:style>
  <w:style w:type="paragraph" w:styleId="123">
    <w:name w:val="List Paragraph"/>
    <w:basedOn w:val="1"/>
    <w:qFormat/>
    <w:uiPriority w:val="34"/>
    <w:pPr>
      <w:ind w:firstLine="420" w:firstLineChars="200"/>
    </w:pPr>
    <w:rPr>
      <w:rFonts w:ascii="Calibri" w:hAnsi="Calibri"/>
      <w:szCs w:val="22"/>
    </w:rPr>
  </w:style>
  <w:style w:type="paragraph" w:customStyle="1" w:styleId="124">
    <w:name w:val="缺省文本"/>
    <w:basedOn w:val="1"/>
    <w:qFormat/>
    <w:uiPriority w:val="0"/>
    <w:pPr>
      <w:autoSpaceDE w:val="0"/>
      <w:autoSpaceDN w:val="0"/>
      <w:adjustRightInd w:val="0"/>
      <w:spacing w:line="360" w:lineRule="auto"/>
      <w:jc w:val="left"/>
    </w:pPr>
    <w:rPr>
      <w:kern w:val="0"/>
      <w:sz w:val="24"/>
      <w:szCs w:val="20"/>
    </w:rPr>
  </w:style>
  <w:style w:type="paragraph" w:customStyle="1" w:styleId="125">
    <w:name w:val="2"/>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26">
    <w:name w:val=" Char Char Char Char Char Char Char Char Char Char Char Char Char Char Char Char"/>
    <w:basedOn w:val="1"/>
    <w:qFormat/>
    <w:uiPriority w:val="0"/>
    <w:pPr>
      <w:tabs>
        <w:tab w:val="left" w:pos="360"/>
      </w:tabs>
      <w:spacing w:line="360" w:lineRule="auto"/>
      <w:ind w:left="482" w:firstLine="200" w:firstLineChars="200"/>
    </w:pPr>
    <w:rPr>
      <w:rFonts w:ascii="宋体"/>
      <w:sz w:val="24"/>
    </w:rPr>
  </w:style>
  <w:style w:type="paragraph" w:customStyle="1" w:styleId="127">
    <w:name w:val="xl30"/>
    <w:basedOn w:val="1"/>
    <w:qFormat/>
    <w:uiPriority w:val="0"/>
    <w:pPr>
      <w:widowControl/>
      <w:pBdr>
        <w:left w:val="single" w:color="auto" w:sz="4" w:space="0"/>
        <w:bottom w:val="single" w:color="auto" w:sz="4" w:space="0"/>
        <w:right w:val="single" w:color="auto" w:sz="4" w:space="0"/>
      </w:pBdr>
      <w:spacing w:before="100" w:beforeLines="0" w:beforeAutospacing="1" w:after="100" w:afterLines="0" w:afterAutospacing="1"/>
      <w:jc w:val="center"/>
    </w:pPr>
    <w:rPr>
      <w:kern w:val="0"/>
      <w:szCs w:val="21"/>
    </w:rPr>
  </w:style>
  <w:style w:type="paragraph" w:customStyle="1" w:styleId="128">
    <w:name w:val="正文首行缩进两字符"/>
    <w:basedOn w:val="1"/>
    <w:qFormat/>
    <w:uiPriority w:val="0"/>
    <w:pPr>
      <w:spacing w:line="360" w:lineRule="auto"/>
      <w:ind w:firstLine="200" w:firstLineChars="200"/>
    </w:pPr>
  </w:style>
  <w:style w:type="paragraph" w:customStyle="1" w:styleId="129">
    <w:name w:val="样式 标题 2 + Times New Roman 四号 非加粗 段前: 5 磅 段后: 0 磅 行距: 固定值 20..."/>
    <w:basedOn w:val="3"/>
    <w:qFormat/>
    <w:uiPriority w:val="99"/>
    <w:pPr>
      <w:spacing w:before="100" w:beforeLines="0" w:after="0" w:afterLines="0" w:line="400" w:lineRule="exact"/>
    </w:pPr>
    <w:rPr>
      <w:rFonts w:ascii="Times New Roman" w:hAnsi="Times New Roman" w:cs="宋体"/>
      <w:b w:val="0"/>
      <w:bCs w:val="0"/>
      <w:sz w:val="28"/>
      <w:szCs w:val="20"/>
    </w:rPr>
  </w:style>
  <w:style w:type="paragraph" w:customStyle="1" w:styleId="130">
    <w:name w:val="表内文字"/>
    <w:basedOn w:val="1"/>
    <w:qFormat/>
    <w:uiPriority w:val="0"/>
    <w:pPr>
      <w:snapToGrid w:val="0"/>
      <w:spacing w:before="50" w:beforeLines="0" w:after="50" w:afterLines="0"/>
      <w:jc w:val="center"/>
    </w:pPr>
    <w:rPr>
      <w:rFonts w:ascii="仿宋_GB2312" w:hAnsi="宋体" w:eastAsia="仿宋_GB2312"/>
      <w:b/>
      <w:color w:val="000000"/>
      <w:sz w:val="32"/>
      <w:szCs w:val="32"/>
    </w:rPr>
  </w:style>
  <w:style w:type="paragraph" w:customStyle="1" w:styleId="131">
    <w:name w:val="Char Char Char"/>
    <w:basedOn w:val="1"/>
    <w:qFormat/>
    <w:uiPriority w:val="0"/>
    <w:rPr>
      <w:rFonts w:ascii="Tahoma" w:hAnsi="Tahoma"/>
      <w:sz w:val="24"/>
      <w:szCs w:val="20"/>
    </w:rPr>
  </w:style>
  <w:style w:type="paragraph" w:customStyle="1" w:styleId="132">
    <w:name w:val="样式 首行缩进:  2 字符"/>
    <w:basedOn w:val="1"/>
    <w:qFormat/>
    <w:uiPriority w:val="0"/>
    <w:pPr>
      <w:spacing w:line="400" w:lineRule="exact"/>
      <w:ind w:firstLine="200" w:firstLineChars="200"/>
    </w:pPr>
    <w:rPr>
      <w:rFonts w:cs="宋体"/>
      <w:sz w:val="24"/>
    </w:rPr>
  </w:style>
  <w:style w:type="paragraph" w:customStyle="1" w:styleId="133">
    <w:name w:val="表格"/>
    <w:basedOn w:val="1"/>
    <w:qFormat/>
    <w:uiPriority w:val="0"/>
    <w:pPr>
      <w:spacing w:line="400" w:lineRule="exact"/>
    </w:pPr>
    <w:rPr>
      <w:sz w:val="24"/>
    </w:rPr>
  </w:style>
  <w:style w:type="paragraph" w:customStyle="1" w:styleId="134">
    <w:name w:val="Default"/>
    <w:next w:val="18"/>
    <w:qFormat/>
    <w:uiPriority w:val="99"/>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135">
    <w:name w:val=" Char Char Char Char Char Char Char"/>
    <w:basedOn w:val="1"/>
    <w:qFormat/>
    <w:uiPriority w:val="0"/>
  </w:style>
  <w:style w:type="paragraph" w:customStyle="1" w:styleId="136">
    <w:name w:val=" Char Char Char"/>
    <w:basedOn w:val="16"/>
    <w:qFormat/>
    <w:uiPriority w:val="0"/>
    <w:pPr>
      <w:adjustRightInd/>
      <w:spacing w:line="240" w:lineRule="auto"/>
      <w:textAlignment w:val="auto"/>
    </w:pPr>
    <w:rPr>
      <w:rFonts w:ascii="Tahoma" w:hAnsi="Tahoma"/>
      <w:kern w:val="2"/>
      <w:sz w:val="24"/>
      <w:szCs w:val="24"/>
    </w:rPr>
  </w:style>
  <w:style w:type="paragraph" w:customStyle="1" w:styleId="137">
    <w:name w:val="样式1"/>
    <w:basedOn w:val="1"/>
    <w:qFormat/>
    <w:uiPriority w:val="99"/>
    <w:pPr>
      <w:spacing w:before="120" w:beforeLines="0" w:after="120" w:afterLines="0" w:line="300" w:lineRule="auto"/>
    </w:pPr>
    <w:rPr>
      <w:rFonts w:ascii="宋体" w:hAnsi="宋体"/>
      <w:b/>
      <w:sz w:val="24"/>
      <w:szCs w:val="20"/>
    </w:rPr>
  </w:style>
  <w:style w:type="paragraph" w:customStyle="1" w:styleId="138">
    <w:name w:val="xl26"/>
    <w:basedOn w:val="1"/>
    <w:qFormat/>
    <w:uiPriority w:val="0"/>
    <w:pPr>
      <w:widowControl/>
      <w:pBdr>
        <w:left w:val="single" w:color="auto" w:sz="4" w:space="0"/>
        <w:bottom w:val="single" w:color="auto" w:sz="4" w:space="0"/>
        <w:right w:val="single" w:color="auto" w:sz="4" w:space="0"/>
      </w:pBdr>
      <w:spacing w:before="100" w:beforeLines="0" w:beforeAutospacing="1" w:after="100" w:afterLines="0" w:afterAutospacing="1"/>
    </w:pPr>
    <w:rPr>
      <w:kern w:val="0"/>
      <w:szCs w:val="21"/>
    </w:rPr>
  </w:style>
  <w:style w:type="paragraph" w:customStyle="1" w:styleId="139">
    <w:name w:val="Char Char Char Char Char Char Char"/>
    <w:basedOn w:val="1"/>
    <w:qFormat/>
    <w:uiPriority w:val="99"/>
  </w:style>
  <w:style w:type="paragraph" w:customStyle="1" w:styleId="140">
    <w:name w:val="xl31"/>
    <w:basedOn w:val="1"/>
    <w:qFormat/>
    <w:uiPriority w:val="0"/>
    <w:pPr>
      <w:widowControl/>
      <w:pBdr>
        <w:bottom w:val="single" w:color="auto" w:sz="4" w:space="0"/>
        <w:right w:val="single" w:color="auto" w:sz="4" w:space="0"/>
      </w:pBdr>
      <w:spacing w:before="100" w:beforeLines="0" w:beforeAutospacing="1" w:after="100" w:afterLines="0" w:afterAutospacing="1"/>
      <w:jc w:val="center"/>
    </w:pPr>
    <w:rPr>
      <w:rFonts w:ascii="宋体" w:hAnsi="宋体"/>
      <w:kern w:val="0"/>
      <w:szCs w:val="21"/>
    </w:rPr>
  </w:style>
  <w:style w:type="paragraph" w:customStyle="1" w:styleId="141">
    <w:name w:val="次小点说明 Char"/>
    <w:basedOn w:val="7"/>
    <w:qFormat/>
    <w:uiPriority w:val="0"/>
    <w:pPr>
      <w:ind w:firstLine="0"/>
    </w:pPr>
    <w:rPr>
      <w:sz w:val="24"/>
      <w:szCs w:val="24"/>
    </w:rPr>
  </w:style>
  <w:style w:type="paragraph" w:customStyle="1" w:styleId="142">
    <w:name w:val="五号正文（标准）"/>
    <w:basedOn w:val="1"/>
    <w:qFormat/>
    <w:uiPriority w:val="0"/>
    <w:pPr>
      <w:spacing w:line="360" w:lineRule="auto"/>
      <w:ind w:right="55" w:firstLine="560" w:firstLineChars="200"/>
    </w:pPr>
    <w:rPr>
      <w:rFonts w:eastAsia="仿宋_GB2312"/>
      <w:sz w:val="28"/>
      <w:szCs w:val="20"/>
    </w:rPr>
  </w:style>
  <w:style w:type="paragraph" w:customStyle="1" w:styleId="143">
    <w:name w:val=" Char Char Char Char"/>
    <w:basedOn w:val="1"/>
    <w:qFormat/>
    <w:uiPriority w:val="0"/>
    <w:pPr>
      <w:widowControl/>
      <w:spacing w:after="160" w:afterLines="0" w:line="240" w:lineRule="exact"/>
      <w:jc w:val="left"/>
    </w:pPr>
    <w:rPr>
      <w:rFonts w:ascii="Verdana" w:hAnsi="Verdana" w:eastAsia="仿宋_GB2312"/>
      <w:kern w:val="0"/>
      <w:sz w:val="24"/>
      <w:szCs w:val="20"/>
      <w:lang w:eastAsia="en-US"/>
    </w:rPr>
  </w:style>
  <w:style w:type="paragraph" w:customStyle="1" w:styleId="144">
    <w:name w:val="Char2"/>
    <w:basedOn w:val="1"/>
    <w:qFormat/>
    <w:uiPriority w:val="0"/>
    <w:pPr>
      <w:widowControl/>
      <w:spacing w:after="160" w:line="240" w:lineRule="exact"/>
      <w:jc w:val="left"/>
    </w:pPr>
    <w:rPr>
      <w:rFonts w:ascii="Verdana" w:hAnsi="Verdana"/>
      <w:kern w:val="0"/>
      <w:szCs w:val="20"/>
      <w:lang w:eastAsia="en-US"/>
    </w:rPr>
  </w:style>
  <w:style w:type="paragraph" w:customStyle="1" w:styleId="145">
    <w:name w:val="默认段落字体 Para Char Char Char Char Char Char Char Char Char1 Char Char Char Char"/>
    <w:basedOn w:val="1"/>
    <w:qFormat/>
    <w:uiPriority w:val="0"/>
    <w:rPr>
      <w:rFonts w:ascii="Tahoma" w:hAnsi="Tahoma"/>
      <w:sz w:val="24"/>
      <w:szCs w:val="20"/>
    </w:rPr>
  </w:style>
  <w:style w:type="paragraph" w:customStyle="1" w:styleId="146">
    <w:name w:val="默认段落字体 Para Char1"/>
    <w:next w:val="1"/>
    <w:qFormat/>
    <w:uiPriority w:val="0"/>
    <w:pPr>
      <w:keepNext/>
      <w:keepLines/>
      <w:tabs>
        <w:tab w:val="left" w:pos="360"/>
      </w:tabs>
      <w:snapToGrid w:val="0"/>
      <w:spacing w:before="240" w:after="240"/>
      <w:outlineLvl w:val="7"/>
    </w:pPr>
    <w:rPr>
      <w:rFonts w:ascii="Arial" w:hAnsi="Arial" w:eastAsia="宋体" w:cs="Arial"/>
      <w:kern w:val="2"/>
      <w:lang w:val="en-US" w:eastAsia="zh-CN" w:bidi="ar-SA"/>
    </w:rPr>
  </w:style>
  <w:style w:type="paragraph" w:customStyle="1" w:styleId="147">
    <w:name w:val="Char Char Char Char"/>
    <w:basedOn w:val="1"/>
    <w:qFormat/>
    <w:uiPriority w:val="99"/>
    <w:pPr>
      <w:widowControl/>
      <w:spacing w:after="160" w:line="240" w:lineRule="exact"/>
      <w:jc w:val="left"/>
    </w:pPr>
    <w:rPr>
      <w:rFonts w:ascii="Verdana" w:hAnsi="Verdana" w:eastAsia="仿宋_GB2312"/>
      <w:kern w:val="0"/>
      <w:sz w:val="24"/>
      <w:szCs w:val="20"/>
      <w:lang w:eastAsia="en-US"/>
    </w:rPr>
  </w:style>
  <w:style w:type="paragraph" w:customStyle="1" w:styleId="148">
    <w:name w:val=" Char Char Char Char Char Char Char Char Char Char Char Char Char"/>
    <w:basedOn w:val="16"/>
    <w:qFormat/>
    <w:uiPriority w:val="0"/>
    <w:pPr>
      <w:adjustRightInd/>
      <w:spacing w:line="240" w:lineRule="auto"/>
      <w:textAlignment w:val="auto"/>
    </w:pPr>
    <w:rPr>
      <w:rFonts w:ascii="Tahoma" w:hAnsi="Tahoma"/>
      <w:kern w:val="2"/>
      <w:sz w:val="24"/>
      <w:szCs w:val="24"/>
    </w:rPr>
  </w:style>
  <w:style w:type="paragraph" w:customStyle="1" w:styleId="149">
    <w:name w:val=" Char"/>
    <w:basedOn w:val="1"/>
    <w:qFormat/>
    <w:uiPriority w:val="0"/>
    <w:pPr>
      <w:tabs>
        <w:tab w:val="left" w:pos="360"/>
      </w:tabs>
      <w:ind w:left="252" w:hanging="252" w:hangingChars="140"/>
    </w:pPr>
    <w:rPr>
      <w:rFonts w:ascii="宋体"/>
      <w:sz w:val="18"/>
      <w:szCs w:val="18"/>
    </w:rPr>
  </w:style>
  <w:style w:type="paragraph" w:customStyle="1" w:styleId="150">
    <w:name w:val="图"/>
    <w:basedOn w:val="1"/>
    <w:qFormat/>
    <w:uiPriority w:val="0"/>
    <w:pPr>
      <w:keepNext/>
      <w:adjustRightInd w:val="0"/>
      <w:snapToGrid w:val="0"/>
      <w:spacing w:before="60" w:beforeLines="0" w:after="60" w:afterLines="0" w:line="300" w:lineRule="auto"/>
      <w:jc w:val="center"/>
    </w:pPr>
    <w:rPr>
      <w:spacing w:val="20"/>
      <w:kern w:val="0"/>
      <w:sz w:val="24"/>
      <w:szCs w:val="20"/>
    </w:rPr>
  </w:style>
  <w:style w:type="paragraph" w:customStyle="1" w:styleId="151">
    <w:name w:val=" Char Char Char Char Char Char1 Char"/>
    <w:basedOn w:val="1"/>
    <w:qFormat/>
    <w:uiPriority w:val="0"/>
    <w:pPr>
      <w:widowControl/>
      <w:spacing w:after="160" w:afterLines="0" w:line="240" w:lineRule="exact"/>
      <w:jc w:val="left"/>
    </w:pPr>
    <w:rPr>
      <w:rFonts w:ascii="Arial" w:hAnsi="Arial" w:eastAsia="Times New Roman" w:cs="Verdana"/>
      <w:b/>
      <w:kern w:val="0"/>
      <w:sz w:val="24"/>
      <w:szCs w:val="20"/>
      <w:lang w:eastAsia="en-US"/>
    </w:rPr>
  </w:style>
  <w:style w:type="paragraph" w:customStyle="1" w:styleId="152">
    <w:name w:val="Char Char Char1"/>
    <w:basedOn w:val="16"/>
    <w:qFormat/>
    <w:uiPriority w:val="0"/>
    <w:pPr>
      <w:adjustRightInd/>
      <w:spacing w:line="240" w:lineRule="auto"/>
      <w:textAlignment w:val="auto"/>
    </w:pPr>
    <w:rPr>
      <w:rFonts w:ascii="Tahoma" w:hAnsi="Tahoma"/>
      <w:kern w:val="2"/>
      <w:sz w:val="24"/>
      <w:szCs w:val="24"/>
    </w:rPr>
  </w:style>
  <w:style w:type="paragraph" w:customStyle="1" w:styleId="153">
    <w:name w:val="F2"/>
    <w:basedOn w:val="1"/>
    <w:qFormat/>
    <w:uiPriority w:val="0"/>
    <w:pPr>
      <w:autoSpaceDE w:val="0"/>
      <w:autoSpaceDN w:val="0"/>
      <w:adjustRightInd w:val="0"/>
      <w:ind w:firstLine="601"/>
      <w:textAlignment w:val="baseline"/>
    </w:pPr>
    <w:rPr>
      <w:kern w:val="0"/>
      <w:sz w:val="24"/>
      <w:szCs w:val="20"/>
    </w:rPr>
  </w:style>
  <w:style w:type="paragraph" w:customStyle="1" w:styleId="154">
    <w:name w:val="xl21"/>
    <w:basedOn w:val="1"/>
    <w:qFormat/>
    <w:uiPriority w:val="0"/>
    <w:pPr>
      <w:widowControl/>
      <w:spacing w:before="100" w:beforeLines="0" w:beforeAutospacing="1" w:after="100" w:afterLines="0" w:afterAutospacing="1"/>
      <w:jc w:val="center"/>
    </w:pPr>
    <w:rPr>
      <w:rFonts w:ascii="宋体" w:hAnsi="宋体"/>
      <w:b/>
      <w:bCs/>
      <w:kern w:val="0"/>
      <w:sz w:val="28"/>
      <w:szCs w:val="28"/>
    </w:rPr>
  </w:style>
  <w:style w:type="paragraph" w:customStyle="1" w:styleId="155">
    <w:name w:val="List Paragraph1"/>
    <w:basedOn w:val="1"/>
    <w:qFormat/>
    <w:uiPriority w:val="0"/>
    <w:pPr>
      <w:ind w:firstLine="420" w:firstLineChars="200"/>
    </w:pPr>
    <w:rPr>
      <w:rFonts w:ascii="Calibri" w:hAnsi="Calibri"/>
      <w:szCs w:val="22"/>
    </w:rPr>
  </w:style>
  <w:style w:type="paragraph" w:customStyle="1" w:styleId="156">
    <w:name w:val="普通 (Web)"/>
    <w:basedOn w:val="1"/>
    <w:qFormat/>
    <w:uiPriority w:val="0"/>
    <w:pPr>
      <w:widowControl/>
      <w:spacing w:before="100" w:beforeLines="0" w:beforeAutospacing="1" w:after="100" w:afterLines="0" w:afterAutospacing="1"/>
      <w:jc w:val="left"/>
    </w:pPr>
    <w:rPr>
      <w:rFonts w:ascii="宋体" w:hAnsi="宋体"/>
      <w:kern w:val="0"/>
      <w:sz w:val="24"/>
    </w:rPr>
  </w:style>
  <w:style w:type="paragraph" w:customStyle="1" w:styleId="157">
    <w:name w:val="a9"/>
    <w:basedOn w:val="1"/>
    <w:qFormat/>
    <w:uiPriority w:val="0"/>
    <w:pPr>
      <w:widowControl/>
      <w:spacing w:before="100" w:beforeLines="0" w:beforeAutospacing="1" w:after="100" w:afterLines="0" w:afterAutospacing="1"/>
      <w:jc w:val="left"/>
    </w:pPr>
    <w:rPr>
      <w:rFonts w:ascii="宋体" w:hAnsi="宋体" w:cs="宋体"/>
      <w:kern w:val="0"/>
      <w:sz w:val="24"/>
    </w:rPr>
  </w:style>
  <w:style w:type="paragraph" w:customStyle="1" w:styleId="158">
    <w:name w:val="_Style 155"/>
    <w:basedOn w:val="2"/>
    <w:next w:val="1"/>
    <w:qFormat/>
    <w:uiPriority w:val="0"/>
    <w:pPr>
      <w:widowControl/>
      <w:spacing w:before="480" w:after="0" w:line="276" w:lineRule="auto"/>
      <w:jc w:val="left"/>
      <w:outlineLvl w:val="9"/>
    </w:pPr>
    <w:rPr>
      <w:rFonts w:ascii="Cambria" w:hAnsi="Cambria" w:eastAsia="宋体" w:cs="Times New Roman"/>
      <w:color w:val="365F91"/>
      <w:kern w:val="0"/>
      <w:sz w:val="28"/>
      <w:szCs w:val="28"/>
    </w:rPr>
  </w:style>
  <w:style w:type="paragraph" w:customStyle="1" w:styleId="159">
    <w:name w:val="默认段落字体 Para Char"/>
    <w:basedOn w:val="1"/>
    <w:qFormat/>
    <w:uiPriority w:val="0"/>
    <w:pPr>
      <w:adjustRightInd w:val="0"/>
      <w:spacing w:line="360" w:lineRule="auto"/>
    </w:pPr>
    <w:rPr>
      <w:kern w:val="0"/>
      <w:sz w:val="24"/>
      <w:szCs w:val="20"/>
    </w:rPr>
  </w:style>
  <w:style w:type="paragraph" w:customStyle="1" w:styleId="160">
    <w:name w:val="xl23"/>
    <w:basedOn w:val="1"/>
    <w:qFormat/>
    <w:uiPriority w:val="0"/>
    <w:pPr>
      <w:widowControl/>
      <w:pBdr>
        <w:top w:val="single" w:color="auto" w:sz="4" w:space="0"/>
        <w:left w:val="single" w:color="auto" w:sz="4" w:space="0"/>
        <w:bottom w:val="single" w:color="auto" w:sz="4" w:space="0"/>
        <w:right w:val="single" w:color="auto" w:sz="4" w:space="0"/>
      </w:pBdr>
      <w:spacing w:before="100" w:beforeLines="0" w:beforeAutospacing="1" w:after="100" w:afterLines="0" w:afterAutospacing="1"/>
      <w:jc w:val="center"/>
      <w:textAlignment w:val="center"/>
    </w:pPr>
    <w:rPr>
      <w:rFonts w:ascii="宋体" w:hAnsi="宋体"/>
      <w:b/>
      <w:bCs/>
      <w:kern w:val="0"/>
      <w:sz w:val="24"/>
    </w:rPr>
  </w:style>
  <w:style w:type="paragraph" w:customStyle="1" w:styleId="161">
    <w:name w:val="样式"/>
    <w:qFormat/>
    <w:uiPriority w:val="0"/>
    <w:pPr>
      <w:widowControl w:val="0"/>
      <w:autoSpaceDE w:val="0"/>
      <w:autoSpaceDN w:val="0"/>
      <w:adjustRightInd w:val="0"/>
    </w:pPr>
    <w:rPr>
      <w:rFonts w:ascii="宋体" w:hAnsi="宋体" w:eastAsia="宋体" w:cs="宋体"/>
      <w:sz w:val="24"/>
      <w:szCs w:val="24"/>
      <w:lang w:val="en-US" w:eastAsia="zh-CN" w:bidi="ar-SA"/>
    </w:rPr>
  </w:style>
  <w:style w:type="paragraph" w:customStyle="1" w:styleId="162">
    <w:name w:val="tgt1"/>
    <w:basedOn w:val="1"/>
    <w:qFormat/>
    <w:uiPriority w:val="0"/>
    <w:pPr>
      <w:widowControl/>
      <w:spacing w:after="150" w:afterLines="0"/>
      <w:jc w:val="left"/>
    </w:pPr>
    <w:rPr>
      <w:rFonts w:ascii="宋体" w:hAnsi="宋体" w:cs="宋体"/>
      <w:kern w:val="0"/>
      <w:sz w:val="24"/>
    </w:rPr>
  </w:style>
  <w:style w:type="paragraph" w:customStyle="1" w:styleId="163">
    <w:name w:val="样式 标题 3 + (中文) 黑体 小四 非加粗 段前: 7.8 磅 段后: 0 磅 行距: 固定值 20 磅"/>
    <w:basedOn w:val="4"/>
    <w:qFormat/>
    <w:uiPriority w:val="99"/>
    <w:pPr>
      <w:spacing w:before="0" w:beforeLines="0" w:after="0" w:afterLines="0" w:line="400" w:lineRule="exact"/>
    </w:pPr>
    <w:rPr>
      <w:rFonts w:eastAsia="黑体" w:cs="宋体"/>
      <w:b w:val="0"/>
      <w:bCs w:val="0"/>
      <w:sz w:val="24"/>
      <w:szCs w:val="20"/>
    </w:rPr>
  </w:style>
  <w:style w:type="paragraph" w:customStyle="1" w:styleId="164">
    <w:name w:val="正文段"/>
    <w:basedOn w:val="1"/>
    <w:qFormat/>
    <w:uiPriority w:val="0"/>
    <w:pPr>
      <w:widowControl/>
      <w:snapToGrid w:val="0"/>
      <w:spacing w:after="156" w:afterLines="50"/>
      <w:ind w:firstLine="200" w:firstLineChars="200"/>
    </w:pPr>
    <w:rPr>
      <w:kern w:val="0"/>
      <w:sz w:val="24"/>
      <w:szCs w:val="20"/>
    </w:rPr>
  </w:style>
  <w:style w:type="paragraph" w:customStyle="1" w:styleId="165">
    <w:name w:val="1"/>
    <w:basedOn w:val="1"/>
    <w:next w:val="28"/>
    <w:qFormat/>
    <w:uiPriority w:val="99"/>
    <w:rPr>
      <w:rFonts w:ascii="宋体" w:hAnsi="Courier New"/>
      <w:szCs w:val="20"/>
    </w:rPr>
  </w:style>
  <w:style w:type="paragraph" w:customStyle="1" w:styleId="166">
    <w:name w:val="Char Char Char Char Char Char Char Char Char Char Char Char Char"/>
    <w:basedOn w:val="16"/>
    <w:qFormat/>
    <w:uiPriority w:val="0"/>
    <w:pPr>
      <w:adjustRightInd/>
      <w:spacing w:line="240" w:lineRule="auto"/>
      <w:textAlignment w:val="auto"/>
    </w:pPr>
    <w:rPr>
      <w:rFonts w:ascii="Tahoma" w:hAnsi="Tahoma"/>
      <w:kern w:val="2"/>
      <w:sz w:val="24"/>
      <w:szCs w:val="24"/>
    </w:rPr>
  </w:style>
  <w:style w:type="paragraph" w:customStyle="1" w:styleId="167">
    <w:name w:val="2ji"/>
    <w:basedOn w:val="3"/>
    <w:qFormat/>
    <w:uiPriority w:val="0"/>
    <w:pPr>
      <w:adjustRightInd w:val="0"/>
      <w:spacing w:before="0" w:beforeLines="0" w:after="0" w:afterLines="0" w:line="360" w:lineRule="auto"/>
      <w:textAlignment w:val="baseline"/>
    </w:pPr>
    <w:rPr>
      <w:rFonts w:ascii="宋体" w:hAnsi="宋体" w:eastAsia="宋体"/>
      <w:kern w:val="0"/>
      <w:sz w:val="21"/>
      <w:szCs w:val="21"/>
    </w:rPr>
  </w:style>
  <w:style w:type="paragraph" w:customStyle="1" w:styleId="168">
    <w:name w:val="2-2ji"/>
    <w:basedOn w:val="3"/>
    <w:qFormat/>
    <w:uiPriority w:val="99"/>
    <w:pPr>
      <w:adjustRightInd w:val="0"/>
      <w:spacing w:before="0" w:beforeLines="0" w:after="0" w:afterLines="0" w:line="360" w:lineRule="auto"/>
      <w:jc w:val="center"/>
      <w:textAlignment w:val="baseline"/>
    </w:pPr>
    <w:rPr>
      <w:rFonts w:ascii="宋体" w:hAnsi="宋体" w:eastAsia="宋体"/>
      <w:bCs w:val="0"/>
      <w:kern w:val="0"/>
      <w:sz w:val="36"/>
    </w:rPr>
  </w:style>
  <w:style w:type="paragraph" w:customStyle="1" w:styleId="169">
    <w:name w:val="444"/>
    <w:basedOn w:val="1"/>
    <w:qFormat/>
    <w:uiPriority w:val="0"/>
    <w:pPr>
      <w:adjustRightInd w:val="0"/>
      <w:spacing w:line="312" w:lineRule="atLeast"/>
      <w:jc w:val="center"/>
      <w:textAlignment w:val="baseline"/>
    </w:pPr>
    <w:rPr>
      <w:b/>
      <w:kern w:val="0"/>
      <w:sz w:val="36"/>
      <w:szCs w:val="36"/>
    </w:rPr>
  </w:style>
  <w:style w:type="paragraph" w:customStyle="1" w:styleId="170">
    <w:name w:val=" Char2"/>
    <w:basedOn w:val="1"/>
    <w:qFormat/>
    <w:uiPriority w:val="0"/>
    <w:pPr>
      <w:widowControl/>
      <w:spacing w:after="160" w:afterLines="0" w:line="240" w:lineRule="exact"/>
      <w:jc w:val="left"/>
    </w:pPr>
    <w:rPr>
      <w:rFonts w:ascii="Verdana" w:hAnsi="Verdana"/>
      <w:kern w:val="0"/>
      <w:szCs w:val="20"/>
      <w:lang w:eastAsia="en-US"/>
    </w:rPr>
  </w:style>
  <w:style w:type="paragraph" w:customStyle="1" w:styleId="171">
    <w:name w:val="Char Char Char Char Char Char1 Char"/>
    <w:basedOn w:val="1"/>
    <w:qFormat/>
    <w:uiPriority w:val="0"/>
    <w:pPr>
      <w:widowControl/>
      <w:spacing w:after="160" w:line="240" w:lineRule="exact"/>
      <w:jc w:val="left"/>
    </w:pPr>
    <w:rPr>
      <w:rFonts w:ascii="Arial" w:hAnsi="Arial" w:eastAsia="Times New Roman" w:cs="Verdana"/>
      <w:b/>
      <w:kern w:val="0"/>
      <w:sz w:val="24"/>
      <w:szCs w:val="20"/>
      <w:lang w:eastAsia="en-US"/>
    </w:rPr>
  </w:style>
  <w:style w:type="paragraph" w:customStyle="1" w:styleId="172">
    <w:name w:val="Char3"/>
    <w:basedOn w:val="1"/>
    <w:qFormat/>
    <w:uiPriority w:val="0"/>
    <w:pPr>
      <w:widowControl/>
      <w:spacing w:line="500" w:lineRule="exact"/>
      <w:outlineLvl w:val="2"/>
    </w:pPr>
    <w:rPr>
      <w:rFonts w:ascii="黑体" w:hAnsi="Verdana" w:eastAsia="黑体" w:cs="黑体"/>
      <w:kern w:val="0"/>
      <w:sz w:val="28"/>
      <w:szCs w:val="28"/>
      <w:lang w:eastAsia="en-US"/>
    </w:rPr>
  </w:style>
  <w:style w:type="paragraph" w:customStyle="1" w:styleId="173">
    <w:name w:val="Default Paragraph Font Para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174">
    <w:name w:val="_Style 171"/>
    <w:unhideWhenUsed/>
    <w:qFormat/>
    <w:uiPriority w:val="99"/>
    <w:rPr>
      <w:rFonts w:ascii="Times New Roman" w:hAnsi="Times New Roman" w:eastAsia="宋体" w:cs="Times New Roman"/>
      <w:kern w:val="2"/>
      <w:sz w:val="21"/>
      <w:szCs w:val="24"/>
      <w:lang w:val="en-US" w:eastAsia="zh-CN" w:bidi="ar-SA"/>
    </w:rPr>
  </w:style>
  <w:style w:type="character" w:customStyle="1" w:styleId="175">
    <w:name w:val="Char Char18"/>
    <w:qFormat/>
    <w:uiPriority w:val="99"/>
    <w:rPr>
      <w:rFonts w:ascii="Times New Roman" w:hAnsi="Times New Roman" w:eastAsia="宋体" w:cs="Times New Roman"/>
      <w:b/>
      <w:bCs/>
      <w:sz w:val="28"/>
      <w:szCs w:val="28"/>
    </w:rPr>
  </w:style>
  <w:style w:type="character" w:customStyle="1" w:styleId="176">
    <w:name w:val="标题4 Char Char"/>
    <w:link w:val="177"/>
    <w:qFormat/>
    <w:uiPriority w:val="99"/>
    <w:rPr>
      <w:rFonts w:ascii="Arial" w:hAnsi="Arial"/>
      <w:b/>
      <w:bCs/>
      <w:sz w:val="24"/>
      <w:szCs w:val="32"/>
    </w:rPr>
  </w:style>
  <w:style w:type="paragraph" w:customStyle="1" w:styleId="177">
    <w:name w:val="标题4"/>
    <w:basedOn w:val="3"/>
    <w:next w:val="25"/>
    <w:link w:val="176"/>
    <w:qFormat/>
    <w:uiPriority w:val="99"/>
    <w:rPr>
      <w:rFonts w:eastAsia="宋体"/>
      <w:kern w:val="0"/>
      <w:sz w:val="24"/>
    </w:rPr>
  </w:style>
  <w:style w:type="character" w:customStyle="1" w:styleId="178">
    <w:name w:val="批注框文本 Char1"/>
    <w:qFormat/>
    <w:uiPriority w:val="99"/>
    <w:rPr>
      <w:kern w:val="2"/>
      <w:sz w:val="18"/>
      <w:szCs w:val="18"/>
    </w:rPr>
  </w:style>
  <w:style w:type="character" w:customStyle="1" w:styleId="179">
    <w:name w:val="批注文字 Char Char"/>
    <w:qFormat/>
    <w:uiPriority w:val="99"/>
    <w:rPr>
      <w:rFonts w:ascii="宋体" w:hAnsi="Times New Roman" w:eastAsia="宋体" w:cs="Times New Roman"/>
      <w:sz w:val="28"/>
      <w:szCs w:val="20"/>
    </w:rPr>
  </w:style>
  <w:style w:type="character" w:customStyle="1" w:styleId="180">
    <w:name w:val="日期 Char1"/>
    <w:qFormat/>
    <w:uiPriority w:val="99"/>
    <w:rPr>
      <w:kern w:val="2"/>
      <w:sz w:val="21"/>
      <w:szCs w:val="22"/>
    </w:rPr>
  </w:style>
  <w:style w:type="character" w:customStyle="1" w:styleId="181">
    <w:name w:val="正文文本 Char1"/>
    <w:qFormat/>
    <w:uiPriority w:val="99"/>
    <w:rPr>
      <w:kern w:val="2"/>
      <w:sz w:val="21"/>
      <w:szCs w:val="22"/>
    </w:rPr>
  </w:style>
  <w:style w:type="character" w:customStyle="1" w:styleId="182">
    <w:name w:val="文档结构图 Char1"/>
    <w:qFormat/>
    <w:uiPriority w:val="99"/>
    <w:rPr>
      <w:rFonts w:ascii="宋体"/>
      <w:kern w:val="2"/>
      <w:sz w:val="18"/>
      <w:szCs w:val="18"/>
    </w:rPr>
  </w:style>
  <w:style w:type="character" w:customStyle="1" w:styleId="183">
    <w:name w:val="_Style 180"/>
    <w:qFormat/>
    <w:uiPriority w:val="0"/>
    <w:rPr>
      <w:b/>
      <w:bCs/>
      <w:smallCaps/>
      <w:color w:val="C0504D"/>
      <w:spacing w:val="5"/>
      <w:u w:val="single"/>
    </w:rPr>
  </w:style>
  <w:style w:type="character" w:customStyle="1" w:styleId="184">
    <w:name w:val="明显引用 字符2"/>
    <w:link w:val="185"/>
    <w:qFormat/>
    <w:uiPriority w:val="99"/>
    <w:rPr>
      <w:b/>
      <w:bCs/>
      <w:i/>
      <w:iCs/>
      <w:color w:val="4F81BD"/>
      <w:kern w:val="2"/>
      <w:sz w:val="21"/>
      <w:szCs w:val="22"/>
    </w:rPr>
  </w:style>
  <w:style w:type="paragraph" w:styleId="185">
    <w:name w:val="Intense Quote"/>
    <w:basedOn w:val="1"/>
    <w:next w:val="1"/>
    <w:link w:val="184"/>
    <w:qFormat/>
    <w:uiPriority w:val="99"/>
    <w:pPr>
      <w:pBdr>
        <w:bottom w:val="single" w:color="4F81BD" w:sz="4" w:space="4"/>
      </w:pBdr>
      <w:spacing w:before="200" w:after="280"/>
      <w:ind w:left="936" w:right="936"/>
    </w:pPr>
    <w:rPr>
      <w:b/>
      <w:bCs/>
      <w:i/>
      <w:iCs/>
      <w:color w:val="4F81BD"/>
      <w:szCs w:val="22"/>
    </w:rPr>
  </w:style>
  <w:style w:type="character" w:customStyle="1" w:styleId="186">
    <w:name w:val="st1"/>
    <w:qFormat/>
    <w:uiPriority w:val="0"/>
  </w:style>
  <w:style w:type="character" w:customStyle="1" w:styleId="187">
    <w:name w:val="_Style 184"/>
    <w:qFormat/>
    <w:uiPriority w:val="0"/>
    <w:rPr>
      <w:b/>
      <w:bCs/>
      <w:i/>
      <w:iCs/>
      <w:color w:val="4F81BD"/>
    </w:rPr>
  </w:style>
  <w:style w:type="character" w:customStyle="1" w:styleId="188">
    <w:name w:val="_Style 185"/>
    <w:qFormat/>
    <w:uiPriority w:val="0"/>
    <w:rPr>
      <w:b/>
      <w:bCs/>
      <w:smallCaps/>
      <w:spacing w:val="5"/>
    </w:rPr>
  </w:style>
  <w:style w:type="character" w:customStyle="1" w:styleId="189">
    <w:name w:val="_Style 186"/>
    <w:qFormat/>
    <w:uiPriority w:val="0"/>
    <w:rPr>
      <w:smallCaps/>
      <w:color w:val="C0504D"/>
      <w:u w:val="single"/>
    </w:rPr>
  </w:style>
  <w:style w:type="character" w:customStyle="1" w:styleId="190">
    <w:name w:val="textcontents"/>
    <w:qFormat/>
    <w:uiPriority w:val="99"/>
    <w:rPr>
      <w:rFonts w:cs="Times New Roman"/>
    </w:rPr>
  </w:style>
  <w:style w:type="character" w:customStyle="1" w:styleId="191">
    <w:name w:val="标题5 Char Char"/>
    <w:link w:val="192"/>
    <w:qFormat/>
    <w:uiPriority w:val="99"/>
    <w:rPr>
      <w:rFonts w:ascii="Arial" w:hAnsi="Arial"/>
      <w:b/>
      <w:bCs/>
      <w:sz w:val="24"/>
      <w:szCs w:val="32"/>
    </w:rPr>
  </w:style>
  <w:style w:type="paragraph" w:customStyle="1" w:styleId="192">
    <w:name w:val="标题5"/>
    <w:basedOn w:val="4"/>
    <w:link w:val="191"/>
    <w:qFormat/>
    <w:uiPriority w:val="99"/>
    <w:rPr>
      <w:rFonts w:ascii="Arial" w:hAnsi="Arial"/>
      <w:kern w:val="0"/>
      <w:sz w:val="24"/>
    </w:rPr>
  </w:style>
  <w:style w:type="character" w:customStyle="1" w:styleId="193">
    <w:name w:val="_Style 190"/>
    <w:qFormat/>
    <w:uiPriority w:val="0"/>
    <w:rPr>
      <w:i/>
      <w:iCs/>
      <w:color w:val="808080"/>
    </w:rPr>
  </w:style>
  <w:style w:type="character" w:customStyle="1" w:styleId="194">
    <w:name w:val="批注主题 Char1"/>
    <w:qFormat/>
    <w:uiPriority w:val="99"/>
    <w:rPr>
      <w:b/>
      <w:bCs/>
      <w:kern w:val="2"/>
      <w:sz w:val="21"/>
      <w:szCs w:val="22"/>
    </w:rPr>
  </w:style>
  <w:style w:type="character" w:customStyle="1" w:styleId="195">
    <w:name w:val="引用 字符2"/>
    <w:link w:val="196"/>
    <w:qFormat/>
    <w:uiPriority w:val="99"/>
    <w:rPr>
      <w:i/>
      <w:iCs/>
      <w:color w:val="000000"/>
      <w:kern w:val="2"/>
      <w:sz w:val="21"/>
      <w:szCs w:val="22"/>
    </w:rPr>
  </w:style>
  <w:style w:type="paragraph" w:styleId="196">
    <w:name w:val="Quote"/>
    <w:basedOn w:val="1"/>
    <w:next w:val="1"/>
    <w:link w:val="195"/>
    <w:qFormat/>
    <w:uiPriority w:val="99"/>
    <w:rPr>
      <w:i/>
      <w:iCs/>
      <w:color w:val="000000"/>
      <w:szCs w:val="22"/>
    </w:rPr>
  </w:style>
  <w:style w:type="character" w:customStyle="1" w:styleId="197">
    <w:name w:val="副标题 Char1"/>
    <w:qFormat/>
    <w:uiPriority w:val="0"/>
    <w:rPr>
      <w:rFonts w:ascii="Cambria" w:hAnsi="Cambria" w:cs="Times New Roman"/>
      <w:b/>
      <w:bCs/>
      <w:kern w:val="28"/>
      <w:sz w:val="32"/>
      <w:szCs w:val="32"/>
    </w:rPr>
  </w:style>
  <w:style w:type="character" w:customStyle="1" w:styleId="198">
    <w:name w:val="引用 Char1"/>
    <w:qFormat/>
    <w:uiPriority w:val="99"/>
    <w:rPr>
      <w:i/>
      <w:iCs/>
      <w:color w:val="000000"/>
      <w:kern w:val="2"/>
      <w:sz w:val="21"/>
      <w:szCs w:val="24"/>
    </w:rPr>
  </w:style>
  <w:style w:type="paragraph" w:customStyle="1" w:styleId="199">
    <w:name w:val="flNote"/>
    <w:basedOn w:val="1"/>
    <w:qFormat/>
    <w:uiPriority w:val="99"/>
    <w:pPr>
      <w:adjustRightInd w:val="0"/>
      <w:spacing w:before="320" w:after="160" w:line="360" w:lineRule="atLeast"/>
      <w:jc w:val="center"/>
      <w:textAlignment w:val="baseline"/>
    </w:pPr>
    <w:rPr>
      <w:rFonts w:ascii="Arial" w:eastAsia="黑体"/>
      <w:kern w:val="0"/>
      <w:sz w:val="30"/>
      <w:szCs w:val="20"/>
    </w:rPr>
  </w:style>
  <w:style w:type="paragraph" w:styleId="200">
    <w:name w:val="No Spacing"/>
    <w:qFormat/>
    <w:uiPriority w:val="0"/>
    <w:pPr>
      <w:widowControl w:val="0"/>
      <w:jc w:val="both"/>
    </w:pPr>
    <w:rPr>
      <w:rFonts w:ascii="Calibri" w:hAnsi="Calibri" w:eastAsia="宋体" w:cs="Times New Roman"/>
      <w:kern w:val="2"/>
      <w:sz w:val="21"/>
      <w:szCs w:val="22"/>
      <w:lang w:val="en-US" w:eastAsia="zh-CN" w:bidi="ar-SA"/>
    </w:rPr>
  </w:style>
  <w:style w:type="character" w:customStyle="1" w:styleId="201">
    <w:name w:val="明显引用 Char1"/>
    <w:qFormat/>
    <w:uiPriority w:val="99"/>
    <w:rPr>
      <w:b/>
      <w:bCs/>
      <w:i/>
      <w:iCs/>
      <w:color w:val="4F81BD"/>
      <w:kern w:val="2"/>
      <w:sz w:val="21"/>
      <w:szCs w:val="24"/>
    </w:rPr>
  </w:style>
  <w:style w:type="paragraph" w:customStyle="1" w:styleId="202">
    <w:name w:val="空半行"/>
    <w:basedOn w:val="1"/>
    <w:qFormat/>
    <w:uiPriority w:val="99"/>
    <w:pPr>
      <w:adjustRightInd w:val="0"/>
      <w:spacing w:line="120" w:lineRule="exact"/>
      <w:textAlignment w:val="baseline"/>
    </w:pPr>
    <w:rPr>
      <w:rFonts w:eastAsia="仿宋_GB2312"/>
      <w:color w:val="FFFFFF"/>
      <w:kern w:val="0"/>
      <w:sz w:val="30"/>
      <w:szCs w:val="20"/>
    </w:rPr>
  </w:style>
  <w:style w:type="paragraph" w:customStyle="1" w:styleId="203">
    <w:name w:val="4"/>
    <w:basedOn w:val="1"/>
    <w:next w:val="28"/>
    <w:qFormat/>
    <w:uiPriority w:val="0"/>
    <w:rPr>
      <w:rFonts w:ascii="宋体" w:hAnsi="Courier New" w:cs="Courier New"/>
      <w:szCs w:val="21"/>
    </w:rPr>
  </w:style>
  <w:style w:type="paragraph" w:customStyle="1" w:styleId="204">
    <w:name w:val="Char Char Char Char1"/>
    <w:basedOn w:val="1"/>
    <w:qFormat/>
    <w:uiPriority w:val="0"/>
    <w:pPr>
      <w:ind w:firstLine="200" w:firstLineChars="200"/>
    </w:pPr>
    <w:rPr>
      <w:rFonts w:ascii="宋体" w:hAnsi="宋体" w:cs="宋体"/>
      <w:sz w:val="24"/>
    </w:rPr>
  </w:style>
  <w:style w:type="character" w:customStyle="1" w:styleId="205">
    <w:name w:val="Heading 3 Char1"/>
    <w:qFormat/>
    <w:uiPriority w:val="99"/>
    <w:rPr>
      <w:rFonts w:eastAsia="宋体"/>
      <w:b/>
      <w:bCs/>
      <w:kern w:val="2"/>
      <w:sz w:val="24"/>
      <w:szCs w:val="32"/>
      <w:lang w:val="en-US" w:eastAsia="zh-CN" w:bidi="ar-SA"/>
    </w:rPr>
  </w:style>
  <w:style w:type="character" w:customStyle="1" w:styleId="206">
    <w:name w:val="Balloon Text Char"/>
    <w:qFormat/>
    <w:uiPriority w:val="99"/>
    <w:rPr>
      <w:sz w:val="18"/>
      <w:lang w:bidi="ar-SA"/>
    </w:rPr>
  </w:style>
  <w:style w:type="character" w:customStyle="1" w:styleId="207">
    <w:name w:val="Char Char20"/>
    <w:qFormat/>
    <w:uiPriority w:val="99"/>
    <w:rPr>
      <w:rFonts w:ascii="Times New Roman" w:hAnsi="Times New Roman" w:eastAsia="宋体" w:cs="Times New Roman"/>
      <w:b/>
      <w:bCs/>
      <w:sz w:val="24"/>
      <w:szCs w:val="32"/>
    </w:rPr>
  </w:style>
  <w:style w:type="character" w:customStyle="1" w:styleId="208">
    <w:name w:val="Footer Char"/>
    <w:qFormat/>
    <w:uiPriority w:val="99"/>
    <w:rPr>
      <w:rFonts w:eastAsia="宋体"/>
      <w:kern w:val="2"/>
      <w:sz w:val="18"/>
      <w:szCs w:val="18"/>
      <w:lang w:val="en-US" w:eastAsia="zh-CN" w:bidi="ar-SA"/>
    </w:rPr>
  </w:style>
  <w:style w:type="character" w:customStyle="1" w:styleId="209">
    <w:name w:val="Body Text Indent 2 Char"/>
    <w:qFormat/>
    <w:uiPriority w:val="99"/>
    <w:rPr>
      <w:rFonts w:eastAsia="宋体"/>
      <w:kern w:val="2"/>
      <w:sz w:val="21"/>
      <w:szCs w:val="24"/>
      <w:lang w:val="en-US" w:eastAsia="zh-CN" w:bidi="ar-SA"/>
    </w:rPr>
  </w:style>
  <w:style w:type="character" w:customStyle="1" w:styleId="210">
    <w:name w:val="Comment Text Char"/>
    <w:qFormat/>
    <w:uiPriority w:val="99"/>
    <w:rPr>
      <w:rFonts w:cs="Times New Roman"/>
      <w:sz w:val="24"/>
      <w:szCs w:val="24"/>
    </w:rPr>
  </w:style>
  <w:style w:type="character" w:customStyle="1" w:styleId="211">
    <w:name w:val="Char Char23"/>
    <w:qFormat/>
    <w:uiPriority w:val="99"/>
    <w:rPr>
      <w:rFonts w:eastAsia="宋体"/>
      <w:b/>
      <w:bCs/>
      <w:kern w:val="44"/>
      <w:sz w:val="32"/>
      <w:szCs w:val="44"/>
      <w:lang w:val="en-US" w:eastAsia="zh-CN" w:bidi="ar-SA"/>
    </w:rPr>
  </w:style>
  <w:style w:type="character" w:customStyle="1" w:styleId="212">
    <w:name w:val="标题 Char2"/>
    <w:qFormat/>
    <w:uiPriority w:val="99"/>
    <w:rPr>
      <w:rFonts w:ascii="Cambria" w:hAnsi="Cambria" w:eastAsia="宋体" w:cs="Times New Roman"/>
      <w:b/>
      <w:bCs/>
      <w:sz w:val="32"/>
      <w:szCs w:val="32"/>
    </w:rPr>
  </w:style>
  <w:style w:type="character" w:customStyle="1" w:styleId="213">
    <w:name w:val="Char Char22"/>
    <w:qFormat/>
    <w:uiPriority w:val="99"/>
    <w:rPr>
      <w:rFonts w:ascii="Times New Roman" w:hAnsi="Times New Roman" w:eastAsia="宋体" w:cs="Times New Roman"/>
      <w:b/>
      <w:bCs/>
      <w:kern w:val="44"/>
      <w:sz w:val="32"/>
      <w:szCs w:val="44"/>
    </w:rPr>
  </w:style>
  <w:style w:type="character" w:customStyle="1" w:styleId="214">
    <w:name w:val="Heading 1 Char"/>
    <w:qFormat/>
    <w:uiPriority w:val="99"/>
    <w:rPr>
      <w:rFonts w:eastAsia="宋体"/>
      <w:b/>
      <w:bCs/>
      <w:kern w:val="44"/>
      <w:sz w:val="32"/>
      <w:szCs w:val="44"/>
      <w:lang w:val="en-US" w:eastAsia="zh-CN" w:bidi="ar-SA"/>
    </w:rPr>
  </w:style>
  <w:style w:type="character" w:customStyle="1" w:styleId="215">
    <w:name w:val="Char Char9"/>
    <w:qFormat/>
    <w:uiPriority w:val="99"/>
    <w:rPr>
      <w:rFonts w:eastAsia="宋体"/>
      <w:b/>
      <w:bCs/>
      <w:kern w:val="44"/>
      <w:sz w:val="32"/>
      <w:szCs w:val="44"/>
      <w:lang w:val="en-US" w:eastAsia="zh-CN" w:bidi="ar-SA"/>
    </w:rPr>
  </w:style>
  <w:style w:type="character" w:customStyle="1" w:styleId="216">
    <w:name w:val="Char Char21"/>
    <w:qFormat/>
    <w:uiPriority w:val="99"/>
    <w:rPr>
      <w:rFonts w:ascii="Arial" w:hAnsi="Arial" w:eastAsia="黑体" w:cs="Times New Roman"/>
      <w:b/>
      <w:bCs/>
      <w:sz w:val="32"/>
      <w:szCs w:val="32"/>
    </w:rPr>
  </w:style>
  <w:style w:type="character" w:customStyle="1" w:styleId="217">
    <w:name w:val="Comment Subject Char"/>
    <w:qFormat/>
    <w:uiPriority w:val="99"/>
    <w:rPr>
      <w:b/>
      <w:sz w:val="24"/>
      <w:lang w:bidi="ar-SA"/>
    </w:rPr>
  </w:style>
  <w:style w:type="character" w:customStyle="1" w:styleId="218">
    <w:name w:val="Title Char"/>
    <w:qFormat/>
    <w:uiPriority w:val="99"/>
    <w:rPr>
      <w:rFonts w:ascii="Cambria" w:hAnsi="Cambria"/>
      <w:b/>
      <w:sz w:val="32"/>
      <w:lang w:bidi="ar-SA"/>
    </w:rPr>
  </w:style>
  <w:style w:type="character" w:customStyle="1" w:styleId="219">
    <w:name w:val="Heading 5 Char"/>
    <w:qFormat/>
    <w:uiPriority w:val="99"/>
    <w:rPr>
      <w:rFonts w:eastAsia="宋体"/>
      <w:b/>
      <w:bCs/>
      <w:kern w:val="2"/>
      <w:sz w:val="28"/>
      <w:szCs w:val="28"/>
      <w:lang w:val="en-US" w:eastAsia="zh-CN" w:bidi="ar-SA"/>
    </w:rPr>
  </w:style>
  <w:style w:type="character" w:customStyle="1" w:styleId="220">
    <w:name w:val="Body Text Indent Char"/>
    <w:qFormat/>
    <w:uiPriority w:val="99"/>
    <w:rPr>
      <w:rFonts w:ascii="宋体" w:hAnsi="宋体" w:eastAsia="宋体"/>
      <w:kern w:val="2"/>
      <w:sz w:val="21"/>
      <w:lang w:val="en-US" w:eastAsia="zh-CN" w:bidi="ar-SA"/>
    </w:rPr>
  </w:style>
  <w:style w:type="character" w:customStyle="1" w:styleId="221">
    <w:name w:val="Footnote Text Char"/>
    <w:qFormat/>
    <w:uiPriority w:val="99"/>
    <w:rPr>
      <w:rFonts w:eastAsia="宋体"/>
      <w:sz w:val="18"/>
      <w:lang w:val="en-US" w:eastAsia="zh-CN" w:bidi="ar-SA"/>
    </w:rPr>
  </w:style>
  <w:style w:type="character" w:customStyle="1" w:styleId="222">
    <w:name w:val="批注文字 Char1"/>
    <w:qFormat/>
    <w:uiPriority w:val="99"/>
    <w:rPr>
      <w:rFonts w:ascii="Times New Roman" w:hAnsi="Times New Roman" w:eastAsia="宋体" w:cs="Times New Roman"/>
      <w:szCs w:val="24"/>
    </w:rPr>
  </w:style>
  <w:style w:type="character" w:customStyle="1" w:styleId="223">
    <w:name w:val="标题 Char1"/>
    <w:qFormat/>
    <w:uiPriority w:val="99"/>
    <w:rPr>
      <w:rFonts w:ascii="Cambria" w:hAnsi="Cambria" w:eastAsia="宋体" w:cs="Times New Roman"/>
      <w:b/>
      <w:bCs/>
      <w:sz w:val="32"/>
      <w:szCs w:val="32"/>
    </w:rPr>
  </w:style>
  <w:style w:type="character" w:customStyle="1" w:styleId="224">
    <w:name w:val="Document Map Char"/>
    <w:qFormat/>
    <w:uiPriority w:val="99"/>
    <w:rPr>
      <w:rFonts w:eastAsia="宋体"/>
      <w:kern w:val="2"/>
      <w:sz w:val="21"/>
      <w:szCs w:val="24"/>
      <w:lang w:val="en-US" w:eastAsia="zh-CN" w:bidi="ar-SA"/>
    </w:rPr>
  </w:style>
  <w:style w:type="character" w:customStyle="1" w:styleId="225">
    <w:name w:val="Date Char"/>
    <w:qFormat/>
    <w:uiPriority w:val="99"/>
    <w:rPr>
      <w:rFonts w:eastAsia="宋体"/>
      <w:kern w:val="2"/>
      <w:sz w:val="21"/>
      <w:szCs w:val="24"/>
      <w:lang w:val="en-US" w:eastAsia="zh-CN" w:bidi="ar-SA"/>
    </w:rPr>
  </w:style>
  <w:style w:type="character" w:customStyle="1" w:styleId="226">
    <w:name w:val="Char Char181"/>
    <w:qFormat/>
    <w:uiPriority w:val="99"/>
    <w:rPr>
      <w:b/>
      <w:bCs/>
      <w:kern w:val="44"/>
      <w:sz w:val="44"/>
      <w:szCs w:val="44"/>
    </w:rPr>
  </w:style>
  <w:style w:type="character" w:customStyle="1" w:styleId="227">
    <w:name w:val="Header Char"/>
    <w:qFormat/>
    <w:uiPriority w:val="99"/>
    <w:rPr>
      <w:rFonts w:eastAsia="宋体"/>
      <w:kern w:val="2"/>
      <w:sz w:val="18"/>
      <w:szCs w:val="18"/>
      <w:lang w:val="en-US" w:eastAsia="zh-CN" w:bidi="ar-SA"/>
    </w:rPr>
  </w:style>
  <w:style w:type="character" w:customStyle="1" w:styleId="228">
    <w:name w:val="Char Char19"/>
    <w:qFormat/>
    <w:uiPriority w:val="99"/>
    <w:rPr>
      <w:rFonts w:ascii="Arial" w:hAnsi="Arial" w:eastAsia="宋体" w:cs="Times New Roman"/>
      <w:b/>
      <w:bCs/>
      <w:szCs w:val="28"/>
    </w:rPr>
  </w:style>
  <w:style w:type="character" w:customStyle="1" w:styleId="229">
    <w:name w:val="批注文字 Char2"/>
    <w:qFormat/>
    <w:uiPriority w:val="0"/>
    <w:rPr>
      <w:kern w:val="2"/>
      <w:sz w:val="21"/>
      <w:szCs w:val="24"/>
      <w:lang w:bidi="ar-SA"/>
    </w:rPr>
  </w:style>
  <w:style w:type="character" w:customStyle="1" w:styleId="230">
    <w:name w:val="Plain Text Char"/>
    <w:qFormat/>
    <w:uiPriority w:val="99"/>
    <w:rPr>
      <w:rFonts w:ascii="宋体" w:hAnsi="Courier New" w:eastAsia="宋体"/>
      <w:sz w:val="24"/>
      <w:lang w:bidi="ar-SA"/>
    </w:rPr>
  </w:style>
  <w:style w:type="character" w:customStyle="1" w:styleId="231">
    <w:name w:val="Heading 2 Char"/>
    <w:qFormat/>
    <w:uiPriority w:val="99"/>
    <w:rPr>
      <w:rFonts w:ascii="Arial" w:hAnsi="Arial" w:eastAsia="黑体"/>
      <w:b/>
      <w:bCs/>
      <w:kern w:val="2"/>
      <w:sz w:val="32"/>
      <w:szCs w:val="32"/>
      <w:lang w:val="en-US" w:eastAsia="zh-CN" w:bidi="ar-SA"/>
    </w:rPr>
  </w:style>
  <w:style w:type="character" w:customStyle="1" w:styleId="232">
    <w:name w:val="Heading 3 Char"/>
    <w:qFormat/>
    <w:uiPriority w:val="99"/>
    <w:rPr>
      <w:rFonts w:cs="Times New Roman"/>
      <w:b/>
      <w:bCs/>
      <w:kern w:val="2"/>
      <w:sz w:val="32"/>
      <w:szCs w:val="32"/>
    </w:rPr>
  </w:style>
  <w:style w:type="character" w:customStyle="1" w:styleId="233">
    <w:name w:val="Comment Text Char1"/>
    <w:qFormat/>
    <w:uiPriority w:val="99"/>
    <w:rPr>
      <w:sz w:val="24"/>
      <w:lang w:bidi="ar-SA"/>
    </w:rPr>
  </w:style>
  <w:style w:type="character" w:customStyle="1" w:styleId="234">
    <w:name w:val="Char Char24"/>
    <w:qFormat/>
    <w:uiPriority w:val="99"/>
    <w:rPr>
      <w:rFonts w:eastAsia="宋体"/>
      <w:b/>
      <w:bCs/>
      <w:kern w:val="44"/>
      <w:sz w:val="32"/>
      <w:szCs w:val="44"/>
      <w:lang w:val="en-US" w:eastAsia="zh-CN" w:bidi="ar-SA"/>
    </w:rPr>
  </w:style>
  <w:style w:type="character" w:customStyle="1" w:styleId="235">
    <w:name w:val="Char Char91"/>
    <w:qFormat/>
    <w:uiPriority w:val="99"/>
    <w:rPr>
      <w:rFonts w:eastAsia="宋体"/>
      <w:b/>
      <w:bCs/>
      <w:kern w:val="44"/>
      <w:sz w:val="32"/>
      <w:szCs w:val="44"/>
      <w:lang w:val="en-US" w:eastAsia="zh-CN" w:bidi="ar-SA"/>
    </w:rPr>
  </w:style>
  <w:style w:type="character" w:customStyle="1" w:styleId="236">
    <w:name w:val="Char Char6"/>
    <w:qFormat/>
    <w:uiPriority w:val="99"/>
    <w:rPr>
      <w:rFonts w:eastAsia="宋体"/>
      <w:b/>
      <w:bCs/>
      <w:kern w:val="44"/>
      <w:sz w:val="32"/>
      <w:szCs w:val="44"/>
      <w:lang w:val="en-US" w:eastAsia="zh-CN" w:bidi="ar-SA"/>
    </w:rPr>
  </w:style>
  <w:style w:type="character" w:customStyle="1" w:styleId="237">
    <w:name w:val="Heading 4 Char"/>
    <w:qFormat/>
    <w:uiPriority w:val="99"/>
    <w:rPr>
      <w:rFonts w:ascii="Arial" w:hAnsi="Arial" w:eastAsia="宋体"/>
      <w:b/>
      <w:bCs/>
      <w:kern w:val="2"/>
      <w:sz w:val="21"/>
      <w:szCs w:val="28"/>
      <w:lang w:val="en-US" w:eastAsia="zh-CN" w:bidi="ar-SA"/>
    </w:rPr>
  </w:style>
  <w:style w:type="paragraph" w:customStyle="1" w:styleId="238">
    <w:name w:val="无间隔1"/>
    <w:qFormat/>
    <w:uiPriority w:val="99"/>
    <w:pPr>
      <w:widowControl w:val="0"/>
      <w:jc w:val="both"/>
    </w:pPr>
    <w:rPr>
      <w:rFonts w:ascii="Times New Roman" w:hAnsi="Times New Roman" w:eastAsia="宋体" w:cs="Times New Roman"/>
      <w:kern w:val="2"/>
      <w:sz w:val="21"/>
      <w:szCs w:val="24"/>
      <w:lang w:val="en-US" w:eastAsia="zh-CN" w:bidi="ar-SA"/>
    </w:rPr>
  </w:style>
  <w:style w:type="paragraph" w:customStyle="1" w:styleId="239">
    <w:name w:val="列出段落1"/>
    <w:basedOn w:val="1"/>
    <w:qFormat/>
    <w:uiPriority w:val="99"/>
    <w:pPr>
      <w:ind w:firstLine="420" w:firstLineChars="200"/>
    </w:pPr>
    <w:rPr>
      <w:rFonts w:ascii="Calibri" w:hAnsi="Calibri"/>
      <w:szCs w:val="22"/>
    </w:rPr>
  </w:style>
  <w:style w:type="character" w:customStyle="1" w:styleId="240">
    <w:name w:val="明显引用 Char2"/>
    <w:qFormat/>
    <w:uiPriority w:val="30"/>
    <w:rPr>
      <w:rFonts w:ascii="Times New Roman" w:hAnsi="Times New Roman" w:eastAsia="宋体" w:cs="Times New Roman"/>
      <w:b/>
      <w:bCs/>
      <w:i/>
      <w:iCs/>
      <w:color w:val="4F81BD"/>
      <w:szCs w:val="24"/>
    </w:rPr>
  </w:style>
  <w:style w:type="character" w:customStyle="1" w:styleId="241">
    <w:name w:val="脚注文本 Char1"/>
    <w:qFormat/>
    <w:uiPriority w:val="99"/>
    <w:rPr>
      <w:kern w:val="2"/>
      <w:sz w:val="18"/>
      <w:szCs w:val="18"/>
    </w:rPr>
  </w:style>
  <w:style w:type="character" w:customStyle="1" w:styleId="242">
    <w:name w:val="批注框文本 Char2"/>
    <w:semiHidden/>
    <w:qFormat/>
    <w:uiPriority w:val="99"/>
    <w:rPr>
      <w:rFonts w:ascii="Times New Roman" w:hAnsi="Times New Roman" w:eastAsia="宋体" w:cs="Times New Roman"/>
      <w:sz w:val="18"/>
      <w:szCs w:val="18"/>
    </w:rPr>
  </w:style>
  <w:style w:type="character" w:customStyle="1" w:styleId="243">
    <w:name w:val="标题 Char3"/>
    <w:qFormat/>
    <w:uiPriority w:val="10"/>
    <w:rPr>
      <w:rFonts w:ascii="Cambria" w:hAnsi="Cambria" w:eastAsia="宋体" w:cs="Times New Roman"/>
      <w:b/>
      <w:bCs/>
      <w:sz w:val="32"/>
      <w:szCs w:val="32"/>
    </w:rPr>
  </w:style>
  <w:style w:type="character" w:customStyle="1" w:styleId="244">
    <w:name w:val="文档结构图 Char2"/>
    <w:semiHidden/>
    <w:qFormat/>
    <w:uiPriority w:val="99"/>
    <w:rPr>
      <w:rFonts w:ascii="宋体" w:hAnsi="Times New Roman" w:eastAsia="宋体" w:cs="Times New Roman"/>
      <w:sz w:val="18"/>
      <w:szCs w:val="18"/>
    </w:rPr>
  </w:style>
  <w:style w:type="character" w:customStyle="1" w:styleId="245">
    <w:name w:val="页脚 Char1"/>
    <w:semiHidden/>
    <w:qFormat/>
    <w:uiPriority w:val="99"/>
    <w:rPr>
      <w:rFonts w:ascii="Times New Roman" w:hAnsi="Times New Roman" w:eastAsia="宋体" w:cs="Times New Roman"/>
      <w:sz w:val="18"/>
      <w:szCs w:val="18"/>
    </w:rPr>
  </w:style>
  <w:style w:type="character" w:customStyle="1" w:styleId="246">
    <w:name w:val="正文文本 Char2"/>
    <w:semiHidden/>
    <w:qFormat/>
    <w:uiPriority w:val="99"/>
    <w:rPr>
      <w:rFonts w:ascii="Times New Roman" w:hAnsi="Times New Roman" w:eastAsia="宋体" w:cs="Times New Roman"/>
      <w:szCs w:val="24"/>
    </w:rPr>
  </w:style>
  <w:style w:type="character" w:customStyle="1" w:styleId="247">
    <w:name w:val="批注文字 Char3"/>
    <w:semiHidden/>
    <w:qFormat/>
    <w:uiPriority w:val="99"/>
    <w:rPr>
      <w:rFonts w:ascii="Times New Roman" w:hAnsi="Times New Roman" w:eastAsia="宋体" w:cs="Times New Roman"/>
      <w:szCs w:val="24"/>
    </w:rPr>
  </w:style>
  <w:style w:type="character" w:customStyle="1" w:styleId="248">
    <w:name w:val="批注主题 Char2"/>
    <w:semiHidden/>
    <w:qFormat/>
    <w:uiPriority w:val="99"/>
    <w:rPr>
      <w:rFonts w:ascii="Times New Roman" w:hAnsi="Times New Roman" w:eastAsia="宋体" w:cs="Times New Roman"/>
      <w:b/>
      <w:bCs/>
      <w:szCs w:val="24"/>
    </w:rPr>
  </w:style>
  <w:style w:type="character" w:customStyle="1" w:styleId="249">
    <w:name w:val="日期 Char2"/>
    <w:semiHidden/>
    <w:qFormat/>
    <w:uiPriority w:val="99"/>
    <w:rPr>
      <w:rFonts w:ascii="Times New Roman" w:hAnsi="Times New Roman" w:eastAsia="宋体" w:cs="Times New Roman"/>
      <w:szCs w:val="24"/>
    </w:rPr>
  </w:style>
  <w:style w:type="paragraph" w:customStyle="1" w:styleId="250">
    <w:name w:val="p0"/>
    <w:basedOn w:val="1"/>
    <w:qFormat/>
    <w:uiPriority w:val="99"/>
    <w:pPr>
      <w:widowControl/>
    </w:pPr>
    <w:rPr>
      <w:rFonts w:ascii="Calibri" w:hAnsi="Calibri" w:cs="宋体"/>
      <w:kern w:val="0"/>
      <w:szCs w:val="21"/>
    </w:rPr>
  </w:style>
  <w:style w:type="paragraph" w:customStyle="1" w:styleId="251">
    <w:name w:val="_Style 37"/>
    <w:basedOn w:val="1"/>
    <w:next w:val="1"/>
    <w:qFormat/>
    <w:uiPriority w:val="99"/>
  </w:style>
  <w:style w:type="character" w:customStyle="1" w:styleId="252">
    <w:name w:val="页眉 Char1"/>
    <w:semiHidden/>
    <w:qFormat/>
    <w:uiPriority w:val="99"/>
    <w:rPr>
      <w:rFonts w:ascii="Times New Roman" w:hAnsi="Times New Roman" w:eastAsia="宋体" w:cs="Times New Roman"/>
      <w:sz w:val="18"/>
      <w:szCs w:val="18"/>
    </w:rPr>
  </w:style>
  <w:style w:type="character" w:customStyle="1" w:styleId="253">
    <w:name w:val="纯文本 Char2"/>
    <w:semiHidden/>
    <w:qFormat/>
    <w:uiPriority w:val="99"/>
    <w:rPr>
      <w:rFonts w:ascii="宋体" w:hAnsi="Courier New" w:eastAsia="宋体" w:cs="Courier New"/>
      <w:szCs w:val="21"/>
    </w:rPr>
  </w:style>
  <w:style w:type="character" w:customStyle="1" w:styleId="254">
    <w:name w:val="正文文本缩进 Char1"/>
    <w:semiHidden/>
    <w:qFormat/>
    <w:uiPriority w:val="99"/>
    <w:rPr>
      <w:rFonts w:ascii="Times New Roman" w:hAnsi="Times New Roman" w:eastAsia="宋体" w:cs="Times New Roman"/>
      <w:szCs w:val="24"/>
    </w:rPr>
  </w:style>
  <w:style w:type="character" w:customStyle="1" w:styleId="255">
    <w:name w:val="引用 Char2"/>
    <w:qFormat/>
    <w:uiPriority w:val="29"/>
    <w:rPr>
      <w:rFonts w:ascii="Times New Roman" w:hAnsi="Times New Roman" w:eastAsia="宋体" w:cs="Times New Roman"/>
      <w:i/>
      <w:iCs/>
      <w:color w:val="000000"/>
      <w:szCs w:val="24"/>
    </w:rPr>
  </w:style>
  <w:style w:type="paragraph" w:customStyle="1" w:styleId="256">
    <w:name w:val="reader-word-layer"/>
    <w:basedOn w:val="1"/>
    <w:qFormat/>
    <w:uiPriority w:val="99"/>
    <w:pPr>
      <w:widowControl/>
      <w:spacing w:before="100" w:beforeAutospacing="1" w:after="100" w:afterAutospacing="1"/>
      <w:jc w:val="left"/>
    </w:pPr>
    <w:rPr>
      <w:rFonts w:ascii="宋体" w:hAnsi="宋体" w:cs="宋体"/>
      <w:kern w:val="0"/>
      <w:sz w:val="24"/>
    </w:rPr>
  </w:style>
  <w:style w:type="character" w:customStyle="1" w:styleId="257">
    <w:name w:val="正文文本缩进 2 Char1"/>
    <w:semiHidden/>
    <w:qFormat/>
    <w:uiPriority w:val="99"/>
    <w:rPr>
      <w:rFonts w:ascii="Times New Roman" w:hAnsi="Times New Roman" w:eastAsia="宋体" w:cs="Times New Roman"/>
      <w:szCs w:val="24"/>
    </w:rPr>
  </w:style>
  <w:style w:type="paragraph" w:customStyle="1" w:styleId="258">
    <w:name w:val="正文_1_0"/>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59">
    <w:name w:val="正文_1"/>
    <w:qFormat/>
    <w:uiPriority w:val="99"/>
    <w:pPr>
      <w:widowControl w:val="0"/>
      <w:jc w:val="both"/>
    </w:pPr>
    <w:rPr>
      <w:rFonts w:ascii="Times New Roman" w:hAnsi="Times New Roman" w:eastAsia="宋体" w:cs="Times New Roman"/>
      <w:kern w:val="2"/>
      <w:sz w:val="21"/>
      <w:szCs w:val="24"/>
      <w:lang w:val="en-US" w:eastAsia="zh-CN" w:bidi="ar-SA"/>
    </w:rPr>
  </w:style>
  <w:style w:type="character" w:customStyle="1" w:styleId="260">
    <w:name w:val="批注文字 字符"/>
    <w:qFormat/>
    <w:locked/>
    <w:uiPriority w:val="0"/>
    <w:rPr>
      <w:rFonts w:eastAsia="宋体"/>
      <w:kern w:val="2"/>
      <w:sz w:val="24"/>
      <w:szCs w:val="24"/>
      <w:lang w:val="en-US" w:eastAsia="zh-CN"/>
    </w:rPr>
  </w:style>
  <w:style w:type="character" w:customStyle="1" w:styleId="261">
    <w:name w:val="标题 7 字符"/>
    <w:qFormat/>
    <w:uiPriority w:val="9"/>
    <w:rPr>
      <w:b/>
      <w:bCs/>
      <w:kern w:val="2"/>
      <w:sz w:val="24"/>
      <w:szCs w:val="24"/>
    </w:rPr>
  </w:style>
  <w:style w:type="character" w:customStyle="1" w:styleId="262">
    <w:name w:val="明显引用 字符"/>
    <w:qFormat/>
    <w:uiPriority w:val="0"/>
    <w:rPr>
      <w:b/>
      <w:bCs/>
      <w:i/>
      <w:iCs/>
      <w:color w:val="4F81BD"/>
      <w:kern w:val="2"/>
      <w:sz w:val="21"/>
      <w:szCs w:val="22"/>
    </w:rPr>
  </w:style>
  <w:style w:type="character" w:customStyle="1" w:styleId="263">
    <w:name w:val="标题 1 字符"/>
    <w:qFormat/>
    <w:uiPriority w:val="99"/>
    <w:rPr>
      <w:b/>
      <w:bCs/>
      <w:kern w:val="44"/>
      <w:sz w:val="44"/>
      <w:szCs w:val="44"/>
    </w:rPr>
  </w:style>
  <w:style w:type="character" w:customStyle="1" w:styleId="264">
    <w:name w:val="日期 字符"/>
    <w:qFormat/>
    <w:uiPriority w:val="99"/>
    <w:rPr>
      <w:rFonts w:ascii="宋体" w:hAnsi="Times New Roman"/>
      <w:sz w:val="28"/>
    </w:rPr>
  </w:style>
  <w:style w:type="character" w:customStyle="1" w:styleId="265">
    <w:name w:val="页眉 字符"/>
    <w:qFormat/>
    <w:uiPriority w:val="99"/>
    <w:rPr>
      <w:kern w:val="2"/>
      <w:sz w:val="18"/>
      <w:szCs w:val="18"/>
    </w:rPr>
  </w:style>
  <w:style w:type="character" w:customStyle="1" w:styleId="266">
    <w:name w:val="文档结构图 字符"/>
    <w:qFormat/>
    <w:uiPriority w:val="99"/>
    <w:rPr>
      <w:rFonts w:ascii="Times New Roman" w:hAnsi="Times New Roman"/>
      <w:szCs w:val="24"/>
      <w:shd w:val="clear" w:color="auto" w:fill="000080"/>
    </w:rPr>
  </w:style>
  <w:style w:type="character" w:customStyle="1" w:styleId="267">
    <w:name w:val="引用 字符"/>
    <w:qFormat/>
    <w:uiPriority w:val="0"/>
    <w:rPr>
      <w:i/>
      <w:iCs/>
      <w:color w:val="000000"/>
      <w:kern w:val="2"/>
      <w:sz w:val="21"/>
      <w:szCs w:val="22"/>
    </w:rPr>
  </w:style>
  <w:style w:type="character" w:customStyle="1" w:styleId="268">
    <w:name w:val="标题 5 字符"/>
    <w:qFormat/>
    <w:uiPriority w:val="99"/>
    <w:rPr>
      <w:b/>
      <w:bCs/>
      <w:kern w:val="2"/>
      <w:sz w:val="28"/>
      <w:szCs w:val="28"/>
    </w:rPr>
  </w:style>
  <w:style w:type="character" w:customStyle="1" w:styleId="269">
    <w:name w:val="正文文本 字符"/>
    <w:qFormat/>
    <w:uiPriority w:val="99"/>
    <w:rPr>
      <w:rFonts w:ascii="Times New Roman" w:hAnsi="Times New Roman"/>
    </w:rPr>
  </w:style>
  <w:style w:type="character" w:customStyle="1" w:styleId="270">
    <w:name w:val="批注框文本 字符"/>
    <w:qFormat/>
    <w:uiPriority w:val="99"/>
    <w:rPr>
      <w:rFonts w:ascii="宋体" w:hAnsi="Times New Roman"/>
      <w:sz w:val="18"/>
      <w:szCs w:val="18"/>
    </w:rPr>
  </w:style>
  <w:style w:type="character" w:customStyle="1" w:styleId="271">
    <w:name w:val="标题 8 字符"/>
    <w:qFormat/>
    <w:uiPriority w:val="9"/>
    <w:rPr>
      <w:rFonts w:ascii="Cambria" w:hAnsi="Cambria" w:eastAsia="宋体" w:cs="Times New Roman"/>
      <w:kern w:val="2"/>
      <w:sz w:val="24"/>
      <w:szCs w:val="24"/>
    </w:rPr>
  </w:style>
  <w:style w:type="character" w:customStyle="1" w:styleId="272">
    <w:name w:val="批注主题 字符"/>
    <w:qFormat/>
    <w:uiPriority w:val="99"/>
    <w:rPr>
      <w:rFonts w:ascii="宋体" w:hAnsi="Times New Roman"/>
      <w:b/>
      <w:bCs/>
      <w:sz w:val="28"/>
    </w:rPr>
  </w:style>
  <w:style w:type="character" w:customStyle="1" w:styleId="273">
    <w:name w:val="标题 4 字符"/>
    <w:qFormat/>
    <w:uiPriority w:val="99"/>
    <w:rPr>
      <w:rFonts w:ascii="Cambria" w:hAnsi="Cambria" w:eastAsia="宋体" w:cs="Times New Roman"/>
      <w:b/>
      <w:bCs/>
      <w:kern w:val="2"/>
      <w:sz w:val="28"/>
      <w:szCs w:val="28"/>
    </w:rPr>
  </w:style>
  <w:style w:type="character" w:customStyle="1" w:styleId="274">
    <w:name w:val="标题 9 字符"/>
    <w:qFormat/>
    <w:uiPriority w:val="9"/>
    <w:rPr>
      <w:rFonts w:ascii="Cambria" w:hAnsi="Cambria" w:eastAsia="宋体" w:cs="Times New Roman"/>
      <w:kern w:val="2"/>
      <w:sz w:val="21"/>
      <w:szCs w:val="21"/>
    </w:rPr>
  </w:style>
  <w:style w:type="character" w:customStyle="1" w:styleId="275">
    <w:name w:val="标题 2 字符"/>
    <w:qFormat/>
    <w:uiPriority w:val="99"/>
    <w:rPr>
      <w:rFonts w:ascii="Cambria" w:hAnsi="Cambria" w:eastAsia="宋体" w:cs="Times New Roman"/>
      <w:b/>
      <w:bCs/>
      <w:kern w:val="2"/>
      <w:sz w:val="32"/>
      <w:szCs w:val="32"/>
    </w:rPr>
  </w:style>
  <w:style w:type="character" w:customStyle="1" w:styleId="276">
    <w:name w:val="标题 3 字符"/>
    <w:qFormat/>
    <w:uiPriority w:val="99"/>
    <w:rPr>
      <w:b/>
      <w:bCs/>
      <w:kern w:val="2"/>
      <w:sz w:val="32"/>
      <w:szCs w:val="32"/>
    </w:rPr>
  </w:style>
  <w:style w:type="character" w:customStyle="1" w:styleId="277">
    <w:name w:val="标题 字符"/>
    <w:qFormat/>
    <w:uiPriority w:val="99"/>
    <w:rPr>
      <w:rFonts w:ascii="Cambria" w:hAnsi="Cambria" w:cs="Times New Roman"/>
      <w:b/>
      <w:bCs/>
      <w:kern w:val="2"/>
      <w:sz w:val="32"/>
      <w:szCs w:val="32"/>
    </w:rPr>
  </w:style>
  <w:style w:type="character" w:customStyle="1" w:styleId="278">
    <w:name w:val="标题 6 字符"/>
    <w:qFormat/>
    <w:uiPriority w:val="9"/>
    <w:rPr>
      <w:rFonts w:ascii="Cambria" w:hAnsi="Cambria" w:eastAsia="宋体" w:cs="Times New Roman"/>
      <w:b/>
      <w:bCs/>
      <w:kern w:val="2"/>
      <w:sz w:val="24"/>
      <w:szCs w:val="24"/>
    </w:rPr>
  </w:style>
  <w:style w:type="character" w:customStyle="1" w:styleId="279">
    <w:name w:val="副标题 字符"/>
    <w:qFormat/>
    <w:uiPriority w:val="11"/>
    <w:rPr>
      <w:rFonts w:ascii="Cambria" w:hAnsi="Cambria" w:cs="Times New Roman"/>
      <w:b/>
      <w:bCs/>
      <w:kern w:val="28"/>
      <w:sz w:val="32"/>
      <w:szCs w:val="32"/>
    </w:rPr>
  </w:style>
  <w:style w:type="character" w:customStyle="1" w:styleId="280">
    <w:name w:val="页脚 字符"/>
    <w:qFormat/>
    <w:uiPriority w:val="99"/>
    <w:rPr>
      <w:kern w:val="2"/>
      <w:sz w:val="18"/>
      <w:szCs w:val="18"/>
    </w:rPr>
  </w:style>
  <w:style w:type="character" w:customStyle="1" w:styleId="281">
    <w:name w:val="不明显参考1"/>
    <w:qFormat/>
    <w:uiPriority w:val="99"/>
    <w:rPr>
      <w:smallCaps/>
      <w:color w:val="auto"/>
      <w:u w:val="single"/>
    </w:rPr>
  </w:style>
  <w:style w:type="character" w:customStyle="1" w:styleId="282">
    <w:name w:val="明显参考1"/>
    <w:qFormat/>
    <w:uiPriority w:val="99"/>
    <w:rPr>
      <w:b/>
      <w:bCs/>
      <w:smallCaps/>
      <w:color w:val="auto"/>
      <w:spacing w:val="5"/>
      <w:u w:val="single"/>
    </w:rPr>
  </w:style>
  <w:style w:type="character" w:customStyle="1" w:styleId="283">
    <w:name w:val="明显强调1"/>
    <w:qFormat/>
    <w:uiPriority w:val="99"/>
    <w:rPr>
      <w:b/>
      <w:bCs/>
      <w:i/>
      <w:iCs/>
      <w:color w:val="4F81BD"/>
    </w:rPr>
  </w:style>
  <w:style w:type="character" w:customStyle="1" w:styleId="284">
    <w:name w:val="书籍标题1"/>
    <w:qFormat/>
    <w:uiPriority w:val="99"/>
    <w:rPr>
      <w:b/>
      <w:bCs/>
      <w:smallCaps/>
      <w:spacing w:val="5"/>
    </w:rPr>
  </w:style>
  <w:style w:type="character" w:customStyle="1" w:styleId="285">
    <w:name w:val="不明显强调1"/>
    <w:qFormat/>
    <w:uiPriority w:val="99"/>
    <w:rPr>
      <w:i/>
      <w:iCs/>
      <w:color w:val="808080"/>
    </w:rPr>
  </w:style>
  <w:style w:type="paragraph" w:customStyle="1" w:styleId="286">
    <w:name w:val="TOC 标题1"/>
    <w:basedOn w:val="2"/>
    <w:next w:val="1"/>
    <w:qFormat/>
    <w:uiPriority w:val="99"/>
    <w:pPr>
      <w:outlineLvl w:val="9"/>
    </w:pPr>
    <w:rPr>
      <w:rFonts w:ascii="Calibri" w:hAnsi="Calibri" w:eastAsia="黑体" w:cs="Calibri"/>
      <w:lang w:val="zh-CN"/>
    </w:rPr>
  </w:style>
  <w:style w:type="paragraph" w:customStyle="1" w:styleId="287">
    <w:name w:val="列出段落2"/>
    <w:basedOn w:val="1"/>
    <w:qFormat/>
    <w:uiPriority w:val="99"/>
    <w:pPr>
      <w:ind w:firstLine="420" w:firstLineChars="200"/>
    </w:pPr>
    <w:rPr>
      <w:rFonts w:ascii="Calibri" w:hAnsi="Calibri" w:cs="Calibri"/>
      <w:szCs w:val="21"/>
    </w:rPr>
  </w:style>
  <w:style w:type="paragraph" w:customStyle="1" w:styleId="288">
    <w:name w:val="引用1"/>
    <w:basedOn w:val="1"/>
    <w:next w:val="1"/>
    <w:qFormat/>
    <w:uiPriority w:val="99"/>
    <w:rPr>
      <w:i/>
      <w:iCs/>
      <w:color w:val="000000"/>
      <w:kern w:val="0"/>
      <w:sz w:val="20"/>
      <w:szCs w:val="20"/>
    </w:rPr>
  </w:style>
  <w:style w:type="paragraph" w:customStyle="1" w:styleId="289">
    <w:name w:val="无间隔11"/>
    <w:qFormat/>
    <w:uiPriority w:val="99"/>
    <w:pPr>
      <w:widowControl w:val="0"/>
      <w:jc w:val="both"/>
    </w:pPr>
    <w:rPr>
      <w:rFonts w:ascii="Times New Roman" w:hAnsi="Times New Roman" w:eastAsia="宋体" w:cs="Times New Roman"/>
      <w:kern w:val="2"/>
      <w:sz w:val="21"/>
      <w:szCs w:val="21"/>
      <w:lang w:val="en-US" w:eastAsia="zh-CN" w:bidi="ar-SA"/>
    </w:rPr>
  </w:style>
  <w:style w:type="paragraph" w:customStyle="1" w:styleId="290">
    <w:name w:val="修订1"/>
    <w:qFormat/>
    <w:uiPriority w:val="99"/>
    <w:rPr>
      <w:rFonts w:ascii="Times New Roman" w:hAnsi="Times New Roman" w:eastAsia="宋体" w:cs="Times New Roman"/>
      <w:kern w:val="2"/>
      <w:sz w:val="21"/>
      <w:szCs w:val="21"/>
      <w:lang w:val="en-US" w:eastAsia="zh-CN" w:bidi="ar-SA"/>
    </w:rPr>
  </w:style>
  <w:style w:type="paragraph" w:customStyle="1" w:styleId="291">
    <w:name w:val="明显引用1"/>
    <w:basedOn w:val="1"/>
    <w:next w:val="1"/>
    <w:qFormat/>
    <w:uiPriority w:val="99"/>
    <w:pPr>
      <w:pBdr>
        <w:bottom w:val="single" w:color="4F81BD" w:sz="4" w:space="4"/>
      </w:pBdr>
      <w:spacing w:before="200" w:after="280"/>
      <w:ind w:left="936" w:right="936"/>
    </w:pPr>
    <w:rPr>
      <w:b/>
      <w:bCs/>
      <w:i/>
      <w:iCs/>
      <w:color w:val="4F81BD"/>
      <w:kern w:val="0"/>
      <w:sz w:val="20"/>
      <w:szCs w:val="20"/>
    </w:rPr>
  </w:style>
  <w:style w:type="character" w:customStyle="1" w:styleId="292">
    <w:name w:val="纯文本 字符"/>
    <w:qFormat/>
    <w:uiPriority w:val="0"/>
    <w:rPr>
      <w:rFonts w:ascii="宋体" w:hAnsi="Courier New" w:cs="宋体"/>
      <w:kern w:val="2"/>
      <w:sz w:val="24"/>
      <w:szCs w:val="24"/>
    </w:rPr>
  </w:style>
  <w:style w:type="character" w:customStyle="1" w:styleId="293">
    <w:name w:val="批注文字 字符1"/>
    <w:qFormat/>
    <w:uiPriority w:val="0"/>
    <w:rPr>
      <w:kern w:val="2"/>
      <w:sz w:val="21"/>
      <w:szCs w:val="22"/>
    </w:rPr>
  </w:style>
  <w:style w:type="paragraph" w:customStyle="1" w:styleId="294">
    <w:name w:val="正文_0_0_0_0"/>
    <w:qFormat/>
    <w:uiPriority w:val="0"/>
    <w:pPr>
      <w:widowControl w:val="0"/>
      <w:jc w:val="both"/>
    </w:pPr>
    <w:rPr>
      <w:rFonts w:ascii="Calibri" w:hAnsi="Calibri" w:eastAsia="宋体" w:cs="Times New Roman"/>
      <w:kern w:val="2"/>
      <w:sz w:val="21"/>
      <w:szCs w:val="22"/>
      <w:lang w:val="en-US" w:eastAsia="zh-CN" w:bidi="ar-SA"/>
    </w:rPr>
  </w:style>
  <w:style w:type="character" w:customStyle="1" w:styleId="295">
    <w:name w:val="_Style 292"/>
    <w:unhideWhenUsed/>
    <w:qFormat/>
    <w:uiPriority w:val="99"/>
    <w:rPr>
      <w:color w:val="605E5C"/>
      <w:shd w:val="clear" w:color="auto" w:fill="E1DFDD"/>
    </w:rPr>
  </w:style>
  <w:style w:type="character" w:customStyle="1" w:styleId="296">
    <w:name w:val="纯文本 字符1"/>
    <w:qFormat/>
    <w:uiPriority w:val="99"/>
    <w:rPr>
      <w:rFonts w:ascii="宋体" w:hAnsi="Courier New" w:eastAsia="宋体" w:cs="Courier New"/>
      <w:kern w:val="2"/>
      <w:sz w:val="21"/>
      <w:szCs w:val="21"/>
      <w:lang w:val="en-US" w:eastAsia="zh-CN" w:bidi="ar-SA"/>
    </w:rPr>
  </w:style>
  <w:style w:type="character" w:customStyle="1" w:styleId="297">
    <w:name w:val="页眉 字符1"/>
    <w:qFormat/>
    <w:uiPriority w:val="99"/>
    <w:rPr>
      <w:sz w:val="18"/>
      <w:szCs w:val="18"/>
    </w:rPr>
  </w:style>
  <w:style w:type="character" w:customStyle="1" w:styleId="298">
    <w:name w:val="文档结构图 字符1"/>
    <w:qFormat/>
    <w:uiPriority w:val="99"/>
    <w:rPr>
      <w:shd w:val="clear" w:color="auto" w:fill="000080"/>
    </w:rPr>
  </w:style>
  <w:style w:type="character" w:customStyle="1" w:styleId="299">
    <w:name w:val="批注文字 字符2"/>
    <w:qFormat/>
    <w:uiPriority w:val="0"/>
    <w:rPr>
      <w:szCs w:val="24"/>
    </w:rPr>
  </w:style>
  <w:style w:type="character" w:customStyle="1" w:styleId="300">
    <w:name w:val="标题 字符1"/>
    <w:qFormat/>
    <w:uiPriority w:val="99"/>
    <w:rPr>
      <w:sz w:val="30"/>
      <w:szCs w:val="24"/>
    </w:rPr>
  </w:style>
  <w:style w:type="character" w:customStyle="1" w:styleId="301">
    <w:name w:val="标题 6 字符1"/>
    <w:qFormat/>
    <w:uiPriority w:val="0"/>
    <w:rPr>
      <w:rFonts w:ascii="Arial" w:hAnsi="Arial" w:eastAsia="黑体" w:cs="Times New Roman"/>
      <w:b/>
      <w:sz w:val="24"/>
      <w:szCs w:val="24"/>
    </w:rPr>
  </w:style>
  <w:style w:type="character" w:customStyle="1" w:styleId="302">
    <w:name w:val="正文文本 字符1"/>
    <w:qFormat/>
    <w:uiPriority w:val="99"/>
    <w:rPr>
      <w:sz w:val="24"/>
      <w:szCs w:val="24"/>
    </w:rPr>
  </w:style>
  <w:style w:type="character" w:customStyle="1" w:styleId="303">
    <w:name w:val="批注主题 字符1"/>
    <w:qFormat/>
    <w:uiPriority w:val="99"/>
    <w:rPr>
      <w:b/>
      <w:bCs/>
      <w:szCs w:val="24"/>
    </w:rPr>
  </w:style>
  <w:style w:type="character" w:customStyle="1" w:styleId="304">
    <w:name w:val="标题 2 字符1"/>
    <w:qFormat/>
    <w:uiPriority w:val="0"/>
    <w:rPr>
      <w:rFonts w:ascii="Arial" w:hAnsi="Arial" w:eastAsia="黑体" w:cs="Times New Roman"/>
      <w:b/>
      <w:bCs/>
      <w:sz w:val="32"/>
      <w:szCs w:val="32"/>
    </w:rPr>
  </w:style>
  <w:style w:type="character" w:customStyle="1" w:styleId="305">
    <w:name w:val="标题 4 字符1"/>
    <w:qFormat/>
    <w:uiPriority w:val="0"/>
    <w:rPr>
      <w:rFonts w:ascii="Arial" w:hAnsi="Arial" w:eastAsia="黑体" w:cs="Times New Roman"/>
      <w:kern w:val="0"/>
      <w:sz w:val="28"/>
      <w:szCs w:val="20"/>
    </w:rPr>
  </w:style>
  <w:style w:type="character" w:customStyle="1" w:styleId="306">
    <w:name w:val="页脚 字符1"/>
    <w:qFormat/>
    <w:uiPriority w:val="99"/>
    <w:rPr>
      <w:sz w:val="18"/>
      <w:szCs w:val="18"/>
    </w:rPr>
  </w:style>
  <w:style w:type="character" w:customStyle="1" w:styleId="307">
    <w:name w:val="日期 字符1"/>
    <w:qFormat/>
    <w:uiPriority w:val="99"/>
    <w:rPr>
      <w:rFonts w:ascii="宋体" w:hAnsi="Courier New" w:cs="Courier New"/>
      <w:szCs w:val="21"/>
    </w:rPr>
  </w:style>
  <w:style w:type="character" w:customStyle="1" w:styleId="308">
    <w:name w:val="正文文本缩进 字符1"/>
    <w:qFormat/>
    <w:uiPriority w:val="99"/>
    <w:rPr>
      <w:rFonts w:ascii="仿宋_GB2312" w:eastAsia="仿宋_GB2312"/>
      <w:sz w:val="32"/>
    </w:rPr>
  </w:style>
  <w:style w:type="character" w:customStyle="1" w:styleId="309">
    <w:name w:val="标题 8 字符1"/>
    <w:qFormat/>
    <w:uiPriority w:val="0"/>
    <w:rPr>
      <w:rFonts w:ascii="Arial" w:hAnsi="Arial" w:eastAsia="黑体" w:cs="Times New Roman"/>
      <w:sz w:val="24"/>
      <w:szCs w:val="24"/>
    </w:rPr>
  </w:style>
  <w:style w:type="character" w:customStyle="1" w:styleId="310">
    <w:name w:val="正文文本缩进 2 字符1"/>
    <w:qFormat/>
    <w:uiPriority w:val="99"/>
    <w:rPr>
      <w:sz w:val="32"/>
    </w:rPr>
  </w:style>
  <w:style w:type="character" w:customStyle="1" w:styleId="311">
    <w:name w:val="z-窗体顶端 字符1"/>
    <w:qFormat/>
    <w:uiPriority w:val="0"/>
    <w:rPr>
      <w:rFonts w:ascii="Arial"/>
      <w:vanish/>
      <w:sz w:val="16"/>
      <w:szCs w:val="24"/>
    </w:rPr>
  </w:style>
  <w:style w:type="character" w:customStyle="1" w:styleId="312">
    <w:name w:val="正文文本 3 字符1"/>
    <w:qFormat/>
    <w:uiPriority w:val="0"/>
    <w:rPr>
      <w:b/>
      <w:bCs/>
      <w:sz w:val="24"/>
      <w:szCs w:val="24"/>
    </w:rPr>
  </w:style>
  <w:style w:type="character" w:customStyle="1" w:styleId="313">
    <w:name w:val="标题 7 字符1"/>
    <w:qFormat/>
    <w:uiPriority w:val="0"/>
    <w:rPr>
      <w:rFonts w:ascii="Times New Roman" w:hAnsi="Times New Roman" w:eastAsia="宋体" w:cs="Times New Roman"/>
      <w:b/>
      <w:sz w:val="24"/>
      <w:szCs w:val="24"/>
    </w:rPr>
  </w:style>
  <w:style w:type="character" w:customStyle="1" w:styleId="314">
    <w:name w:val="正文文本首行缩进 2 字符1"/>
    <w:qFormat/>
    <w:uiPriority w:val="0"/>
    <w:rPr>
      <w:kern w:val="2"/>
      <w:sz w:val="21"/>
      <w:szCs w:val="24"/>
    </w:rPr>
  </w:style>
  <w:style w:type="character" w:customStyle="1" w:styleId="315">
    <w:name w:val="正文文本缩进 3 字符1"/>
    <w:qFormat/>
    <w:uiPriority w:val="0"/>
    <w:rPr>
      <w:sz w:val="16"/>
      <w:szCs w:val="16"/>
    </w:rPr>
  </w:style>
  <w:style w:type="character" w:customStyle="1" w:styleId="316">
    <w:name w:val="标题 5 字符1"/>
    <w:qFormat/>
    <w:uiPriority w:val="0"/>
    <w:rPr>
      <w:rFonts w:ascii="Times New Roman" w:hAnsi="Times New Roman" w:eastAsia="宋体" w:cs="Times New Roman"/>
      <w:b/>
      <w:sz w:val="28"/>
      <w:szCs w:val="24"/>
    </w:rPr>
  </w:style>
  <w:style w:type="character" w:customStyle="1" w:styleId="317">
    <w:name w:val="批注框文本 字符1"/>
    <w:qFormat/>
    <w:uiPriority w:val="99"/>
    <w:rPr>
      <w:sz w:val="18"/>
      <w:szCs w:val="18"/>
    </w:rPr>
  </w:style>
  <w:style w:type="character" w:customStyle="1" w:styleId="318">
    <w:name w:val="标题 3 字符1"/>
    <w:qFormat/>
    <w:uiPriority w:val="0"/>
    <w:rPr>
      <w:rFonts w:ascii="Times New Roman" w:hAnsi="Times New Roman" w:eastAsia="宋体" w:cs="Times New Roman"/>
      <w:b/>
      <w:bCs/>
      <w:sz w:val="32"/>
      <w:szCs w:val="32"/>
    </w:rPr>
  </w:style>
  <w:style w:type="character" w:customStyle="1" w:styleId="319">
    <w:name w:val="标题 9 字符1"/>
    <w:qFormat/>
    <w:uiPriority w:val="0"/>
    <w:rPr>
      <w:rFonts w:ascii="Arial" w:hAnsi="Arial" w:eastAsia="黑体" w:cs="Times New Roman"/>
      <w:szCs w:val="24"/>
    </w:rPr>
  </w:style>
  <w:style w:type="character" w:customStyle="1" w:styleId="320">
    <w:name w:val="正文文本首行缩进 字符1"/>
    <w:qFormat/>
    <w:uiPriority w:val="0"/>
    <w:rPr>
      <w:kern w:val="2"/>
      <w:sz w:val="21"/>
      <w:szCs w:val="24"/>
    </w:rPr>
  </w:style>
  <w:style w:type="character" w:customStyle="1" w:styleId="321">
    <w:name w:val="正文文本 2 字符1"/>
    <w:qFormat/>
    <w:uiPriority w:val="0"/>
    <w:rPr>
      <w:szCs w:val="24"/>
    </w:rPr>
  </w:style>
  <w:style w:type="character" w:customStyle="1" w:styleId="322">
    <w:name w:val="HTML 预设格式 字符1"/>
    <w:qFormat/>
    <w:uiPriority w:val="0"/>
    <w:rPr>
      <w:rFonts w:ascii="黑体" w:hAnsi="Courier New" w:eastAsia="黑体" w:cs="Courier New"/>
    </w:rPr>
  </w:style>
  <w:style w:type="paragraph" w:customStyle="1" w:styleId="323">
    <w:name w:val="3"/>
    <w:basedOn w:val="1"/>
    <w:next w:val="123"/>
    <w:qFormat/>
    <w:uiPriority w:val="0"/>
    <w:pPr>
      <w:ind w:firstLine="420" w:firstLineChars="200"/>
    </w:pPr>
    <w:rPr>
      <w:rFonts w:ascii="Calibri" w:hAnsi="Calibri"/>
      <w:szCs w:val="22"/>
    </w:rPr>
  </w:style>
  <w:style w:type="character" w:customStyle="1" w:styleId="324">
    <w:name w:val="正文文本缩进 2 字符"/>
    <w:qFormat/>
    <w:uiPriority w:val="99"/>
    <w:rPr>
      <w:rFonts w:ascii="Times New Roman" w:hAnsi="Times New Roman" w:eastAsia="宋体" w:cs="Times New Roman"/>
      <w:szCs w:val="24"/>
    </w:rPr>
  </w:style>
  <w:style w:type="character" w:customStyle="1" w:styleId="325">
    <w:name w:val="正文文本缩进 字符"/>
    <w:qFormat/>
    <w:uiPriority w:val="99"/>
    <w:rPr>
      <w:rFonts w:ascii="Times New Roman" w:hAnsi="Times New Roman" w:eastAsia="宋体" w:cs="Times New Roman"/>
      <w:szCs w:val="24"/>
    </w:rPr>
  </w:style>
  <w:style w:type="character" w:customStyle="1" w:styleId="326">
    <w:name w:val="正文文本 3 字符"/>
    <w:semiHidden/>
    <w:qFormat/>
    <w:uiPriority w:val="99"/>
    <w:rPr>
      <w:rFonts w:ascii="Times New Roman" w:hAnsi="Times New Roman" w:eastAsia="宋体" w:cs="Times New Roman"/>
      <w:sz w:val="16"/>
      <w:szCs w:val="16"/>
    </w:rPr>
  </w:style>
  <w:style w:type="character" w:customStyle="1" w:styleId="327">
    <w:name w:val="HTML 预设格式 字符"/>
    <w:semiHidden/>
    <w:qFormat/>
    <w:uiPriority w:val="99"/>
    <w:rPr>
      <w:rFonts w:ascii="Courier New" w:hAnsi="Courier New" w:eastAsia="宋体" w:cs="Courier New"/>
      <w:sz w:val="20"/>
      <w:szCs w:val="20"/>
    </w:rPr>
  </w:style>
  <w:style w:type="character" w:customStyle="1" w:styleId="328">
    <w:name w:val="正文文本 2 字符"/>
    <w:semiHidden/>
    <w:qFormat/>
    <w:uiPriority w:val="99"/>
    <w:rPr>
      <w:rFonts w:ascii="Times New Roman" w:hAnsi="Times New Roman" w:eastAsia="宋体" w:cs="Times New Roman"/>
      <w:szCs w:val="24"/>
    </w:rPr>
  </w:style>
  <w:style w:type="character" w:customStyle="1" w:styleId="329">
    <w:name w:val="正文文本缩进 3 字符"/>
    <w:semiHidden/>
    <w:qFormat/>
    <w:uiPriority w:val="99"/>
    <w:rPr>
      <w:rFonts w:ascii="Times New Roman" w:hAnsi="Times New Roman" w:eastAsia="宋体" w:cs="Times New Roman"/>
      <w:sz w:val="16"/>
      <w:szCs w:val="16"/>
    </w:rPr>
  </w:style>
  <w:style w:type="paragraph" w:customStyle="1" w:styleId="330">
    <w:name w:val="Char Char Char Char Char Char Char Char Char Char Char Char Char Char Char Char1"/>
    <w:basedOn w:val="1"/>
    <w:qFormat/>
    <w:uiPriority w:val="0"/>
    <w:pPr>
      <w:tabs>
        <w:tab w:val="left" w:pos="360"/>
      </w:tabs>
      <w:spacing w:line="360" w:lineRule="auto"/>
      <w:ind w:left="482" w:firstLine="200" w:firstLineChars="200"/>
    </w:pPr>
    <w:rPr>
      <w:rFonts w:ascii="宋体"/>
      <w:sz w:val="24"/>
    </w:rPr>
  </w:style>
  <w:style w:type="paragraph" w:customStyle="1" w:styleId="331">
    <w:name w:val="Char Char Char2"/>
    <w:basedOn w:val="16"/>
    <w:qFormat/>
    <w:uiPriority w:val="0"/>
    <w:pPr>
      <w:adjustRightInd/>
      <w:spacing w:line="240" w:lineRule="auto"/>
      <w:textAlignment w:val="auto"/>
    </w:pPr>
    <w:rPr>
      <w:rFonts w:ascii="Tahoma" w:hAnsi="Tahoma" w:eastAsia="等线" w:cs="Times New Roman"/>
      <w:kern w:val="2"/>
      <w:sz w:val="24"/>
      <w:szCs w:val="24"/>
    </w:rPr>
  </w:style>
  <w:style w:type="paragraph" w:customStyle="1" w:styleId="332">
    <w:name w:val="Char Char Char Char Char Char Char1"/>
    <w:basedOn w:val="1"/>
    <w:qFormat/>
    <w:uiPriority w:val="99"/>
  </w:style>
  <w:style w:type="paragraph" w:customStyle="1" w:styleId="333">
    <w:name w:val="Char Char Char Char2"/>
    <w:basedOn w:val="1"/>
    <w:qFormat/>
    <w:uiPriority w:val="99"/>
    <w:pPr>
      <w:widowControl/>
      <w:spacing w:after="160" w:line="240" w:lineRule="exact"/>
      <w:jc w:val="left"/>
    </w:pPr>
    <w:rPr>
      <w:rFonts w:ascii="Verdana" w:hAnsi="Verdana" w:eastAsia="仿宋_GB2312"/>
      <w:kern w:val="0"/>
      <w:sz w:val="24"/>
      <w:szCs w:val="20"/>
      <w:lang w:eastAsia="en-US"/>
    </w:rPr>
  </w:style>
  <w:style w:type="paragraph" w:customStyle="1" w:styleId="334">
    <w:name w:val="Char4"/>
    <w:basedOn w:val="1"/>
    <w:qFormat/>
    <w:uiPriority w:val="0"/>
    <w:pPr>
      <w:tabs>
        <w:tab w:val="left" w:pos="360"/>
      </w:tabs>
      <w:ind w:left="252" w:hanging="252" w:hangingChars="140"/>
    </w:pPr>
    <w:rPr>
      <w:rFonts w:ascii="宋体"/>
      <w:sz w:val="18"/>
      <w:szCs w:val="18"/>
    </w:rPr>
  </w:style>
  <w:style w:type="character" w:customStyle="1" w:styleId="335">
    <w:name w:val="z-窗体顶端 字符"/>
    <w:semiHidden/>
    <w:qFormat/>
    <w:uiPriority w:val="99"/>
    <w:rPr>
      <w:rFonts w:ascii="Arial" w:hAnsi="Arial" w:eastAsia="宋体" w:cs="Arial"/>
      <w:vanish/>
      <w:sz w:val="16"/>
      <w:szCs w:val="16"/>
    </w:rPr>
  </w:style>
  <w:style w:type="paragraph" w:customStyle="1" w:styleId="336">
    <w:name w:val="Char Char Char Char Char Char Char Char Char Char Char Char Char1"/>
    <w:basedOn w:val="16"/>
    <w:qFormat/>
    <w:uiPriority w:val="0"/>
    <w:pPr>
      <w:adjustRightInd/>
      <w:spacing w:line="240" w:lineRule="auto"/>
      <w:textAlignment w:val="auto"/>
    </w:pPr>
    <w:rPr>
      <w:rFonts w:ascii="Tahoma" w:hAnsi="Tahoma" w:eastAsia="等线" w:cs="Times New Roman"/>
      <w:kern w:val="2"/>
      <w:sz w:val="24"/>
      <w:szCs w:val="24"/>
    </w:rPr>
  </w:style>
  <w:style w:type="paragraph" w:customStyle="1" w:styleId="337">
    <w:name w:val="Char21"/>
    <w:basedOn w:val="1"/>
    <w:qFormat/>
    <w:uiPriority w:val="0"/>
    <w:pPr>
      <w:widowControl/>
      <w:spacing w:after="160" w:line="240" w:lineRule="exact"/>
      <w:jc w:val="left"/>
    </w:pPr>
    <w:rPr>
      <w:rFonts w:ascii="Verdana" w:hAnsi="Verdana"/>
      <w:kern w:val="0"/>
      <w:szCs w:val="20"/>
      <w:lang w:eastAsia="en-US"/>
    </w:rPr>
  </w:style>
  <w:style w:type="paragraph" w:customStyle="1" w:styleId="338">
    <w:name w:val="Char Char Char Char Char Char1 Char1"/>
    <w:basedOn w:val="1"/>
    <w:qFormat/>
    <w:uiPriority w:val="0"/>
    <w:pPr>
      <w:widowControl/>
      <w:spacing w:after="160" w:line="240" w:lineRule="exact"/>
      <w:jc w:val="left"/>
    </w:pPr>
    <w:rPr>
      <w:rFonts w:ascii="Arial" w:hAnsi="Arial" w:eastAsia="Times New Roman" w:cs="Verdana"/>
      <w:b/>
      <w:kern w:val="0"/>
      <w:sz w:val="24"/>
      <w:szCs w:val="20"/>
      <w:lang w:eastAsia="en-US"/>
    </w:rPr>
  </w:style>
  <w:style w:type="character" w:customStyle="1" w:styleId="339">
    <w:name w:val="明显引用 字符1"/>
    <w:qFormat/>
    <w:uiPriority w:val="99"/>
    <w:rPr>
      <w:b/>
      <w:bCs/>
      <w:i/>
      <w:iCs/>
      <w:color w:val="4F81BD"/>
    </w:rPr>
  </w:style>
  <w:style w:type="character" w:customStyle="1" w:styleId="340">
    <w:name w:val="副标题 字符1"/>
    <w:qFormat/>
    <w:uiPriority w:val="11"/>
    <w:rPr>
      <w:rFonts w:ascii="Cambria" w:hAnsi="Cambria"/>
      <w:b/>
      <w:bCs/>
      <w:kern w:val="28"/>
      <w:sz w:val="32"/>
      <w:szCs w:val="32"/>
    </w:rPr>
  </w:style>
  <w:style w:type="character" w:customStyle="1" w:styleId="341">
    <w:name w:val="引用 字符1"/>
    <w:qFormat/>
    <w:uiPriority w:val="99"/>
    <w:rPr>
      <w:i/>
      <w:iCs/>
      <w:color w:val="000000"/>
    </w:rPr>
  </w:style>
  <w:style w:type="character" w:customStyle="1" w:styleId="342">
    <w:name w:val="脚注文本 字符1"/>
    <w:qFormat/>
    <w:uiPriority w:val="99"/>
    <w:rPr>
      <w:sz w:val="18"/>
    </w:rPr>
  </w:style>
  <w:style w:type="character" w:customStyle="1" w:styleId="343">
    <w:name w:val="脚注文本 字符"/>
    <w:qFormat/>
    <w:uiPriority w:val="99"/>
    <w:rPr>
      <w:rFonts w:ascii="Times New Roman" w:hAnsi="Times New Roman" w:eastAsia="宋体" w:cs="Times New Roman"/>
      <w:sz w:val="18"/>
      <w:szCs w:val="18"/>
    </w:rPr>
  </w:style>
  <w:style w:type="character" w:customStyle="1" w:styleId="344">
    <w:name w:val="正文文本首行缩进 2 字符"/>
    <w:semiHidden/>
    <w:qFormat/>
    <w:uiPriority w:val="99"/>
  </w:style>
  <w:style w:type="character" w:customStyle="1" w:styleId="345">
    <w:name w:val="正文文本首行缩进 字符"/>
    <w:semiHidden/>
    <w:qFormat/>
    <w:uiPriority w:val="99"/>
    <w:rPr>
      <w:rFonts w:ascii="Times New Roman" w:hAnsi="Times New Roman" w:eastAsia="宋体" w:cs="Times New Roman"/>
      <w:szCs w:val="24"/>
    </w:rPr>
  </w:style>
  <w:style w:type="paragraph" w:customStyle="1" w:styleId="346">
    <w:name w:val="Body text|1"/>
    <w:basedOn w:val="1"/>
    <w:qFormat/>
    <w:uiPriority w:val="0"/>
    <w:pPr>
      <w:spacing w:line="360" w:lineRule="auto"/>
      <w:ind w:firstLine="400"/>
    </w:pPr>
    <w:rPr>
      <w:rFonts w:ascii="宋体" w:hAnsi="宋体" w:cs="宋体"/>
      <w:szCs w:val="20"/>
      <w:lang w:val="zh-CN" w:bidi="zh-CN"/>
    </w:rPr>
  </w:style>
  <w:style w:type="paragraph" w:customStyle="1" w:styleId="347">
    <w:name w:val="_Style 3"/>
    <w:basedOn w:val="2"/>
    <w:next w:val="1"/>
    <w:qFormat/>
    <w:uiPriority w:val="99"/>
    <w:pPr>
      <w:keepLines w:val="0"/>
      <w:spacing w:before="0" w:after="0" w:line="240" w:lineRule="auto"/>
      <w:outlineLvl w:val="9"/>
    </w:pPr>
    <w:rPr>
      <w:bCs w:val="0"/>
      <w:kern w:val="2"/>
      <w:sz w:val="21"/>
      <w:szCs w:val="24"/>
    </w:rPr>
  </w:style>
  <w:style w:type="paragraph" w:customStyle="1" w:styleId="348">
    <w:name w:val="纯文本1"/>
    <w:basedOn w:val="1"/>
    <w:autoRedefine/>
    <w:qFormat/>
    <w:uiPriority w:val="0"/>
    <w:pPr>
      <w:suppressAutoHyphens/>
    </w:pPr>
    <w:rPr>
      <w:rFonts w:ascii="宋体" w:hAnsi="宋体" w:cs="Calibri"/>
      <w:kern w:val="1"/>
      <w:sz w:val="20"/>
      <w:szCs w:val="21"/>
      <w:lang w:eastAsia="ar-SA"/>
    </w:rPr>
  </w:style>
  <w:style w:type="paragraph" w:customStyle="1" w:styleId="349">
    <w:name w:val="表格文字"/>
    <w:basedOn w:val="21"/>
    <w:autoRedefine/>
    <w:qFormat/>
    <w:uiPriority w:val="0"/>
    <w:pPr>
      <w:adjustRightInd w:val="0"/>
      <w:spacing w:line="420" w:lineRule="atLeast"/>
      <w:jc w:val="left"/>
      <w:textAlignment w:val="baseline"/>
    </w:pPr>
    <w:rPr>
      <w:kern w:val="0"/>
    </w:rPr>
  </w:style>
  <w:style w:type="paragraph" w:customStyle="1" w:styleId="350">
    <w:name w:val="正文_0"/>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351">
    <w:name w:val="正文_2_0"/>
    <w:basedOn w:val="352"/>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52">
    <w:name w:val="正文_2"/>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53">
    <w:name w:val="正文_4"/>
    <w:autoRedefine/>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354">
    <w:name w:val="Table Paragraph"/>
    <w:basedOn w:val="1"/>
    <w:autoRedefine/>
    <w:qFormat/>
    <w:uiPriority w:val="1"/>
    <w:pPr>
      <w:jc w:val="left"/>
    </w:pPr>
    <w:rPr>
      <w:rFonts w:ascii="Calibri" w:hAnsi="Calibri"/>
      <w:kern w:val="0"/>
      <w:sz w:val="22"/>
      <w:szCs w:val="22"/>
      <w:lang w:eastAsia="en-US"/>
    </w:rPr>
  </w:style>
  <w:style w:type="paragraph" w:customStyle="1" w:styleId="355">
    <w:name w:val="正文_3"/>
    <w:autoRedefine/>
    <w:qFormat/>
    <w:uiPriority w:val="0"/>
    <w:pPr>
      <w:widowControl w:val="0"/>
      <w:jc w:val="both"/>
    </w:pPr>
    <w:rPr>
      <w:rFonts w:ascii="Calibri" w:hAnsi="Calibri" w:eastAsia="宋体" w:cs="Times New Roman"/>
      <w:kern w:val="2"/>
      <w:sz w:val="21"/>
      <w:szCs w:val="22"/>
      <w:lang w:val="en-US" w:eastAsia="zh-CN" w:bidi="ar-SA"/>
    </w:rPr>
  </w:style>
  <w:style w:type="character" w:customStyle="1" w:styleId="356">
    <w:name w:val="10_0"/>
    <w:qFormat/>
    <w:uiPriority w:val="0"/>
    <w:rPr>
      <w:rFonts w:hint="default" w:ascii="Times New Roman" w:hAnsi="Times New Roman" w:cs="Times New Roman"/>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header" Target="header3.xml"/><Relationship Id="rId7" Type="http://schemas.openxmlformats.org/officeDocument/2006/relationships/header" Target="header2.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4" Type="http://schemas.openxmlformats.org/officeDocument/2006/relationships/fontTable" Target="fontTable.xml"/><Relationship Id="rId23" Type="http://schemas.openxmlformats.org/officeDocument/2006/relationships/numbering" Target="numbering.xml"/><Relationship Id="rId22" Type="http://schemas.openxmlformats.org/officeDocument/2006/relationships/customXml" Target="../customXml/item1.xml"/><Relationship Id="rId21" Type="http://schemas.openxmlformats.org/officeDocument/2006/relationships/image" Target="media/image3.png"/><Relationship Id="rId20" Type="http://schemas.openxmlformats.org/officeDocument/2006/relationships/image" Target="media/image2.png"/><Relationship Id="rId2" Type="http://schemas.openxmlformats.org/officeDocument/2006/relationships/settings" Target="settings.xml"/><Relationship Id="rId19" Type="http://schemas.openxmlformats.org/officeDocument/2006/relationships/image" Target="media/image1.png"/><Relationship Id="rId18" Type="http://schemas.openxmlformats.org/officeDocument/2006/relationships/theme" Target="theme/theme1.xml"/><Relationship Id="rId17" Type="http://schemas.openxmlformats.org/officeDocument/2006/relationships/footer" Target="footer8.xml"/><Relationship Id="rId16" Type="http://schemas.openxmlformats.org/officeDocument/2006/relationships/header" Target="header7.xml"/><Relationship Id="rId15" Type="http://schemas.openxmlformats.org/officeDocument/2006/relationships/footer" Target="footer7.xml"/><Relationship Id="rId14" Type="http://schemas.openxmlformats.org/officeDocument/2006/relationships/footer" Target="footer6.xml"/><Relationship Id="rId13" Type="http://schemas.openxmlformats.org/officeDocument/2006/relationships/footer" Target="footer5.xml"/><Relationship Id="rId12" Type="http://schemas.openxmlformats.org/officeDocument/2006/relationships/header" Target="header6.xml"/><Relationship Id="rId11" Type="http://schemas.openxmlformats.org/officeDocument/2006/relationships/header" Target="header5.xml"/><Relationship Id="rId10" Type="http://schemas.openxmlformats.org/officeDocument/2006/relationships/header" Target="header4.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77</Pages>
  <Words>5387</Words>
  <Characters>6235</Characters>
  <Lines>616</Lines>
  <Paragraphs>173</Paragraphs>
  <TotalTime>2</TotalTime>
  <ScaleCrop>false</ScaleCrop>
  <LinksUpToDate>false</LinksUpToDate>
  <CharactersWithSpaces>6278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2019-10-11T08:12:00Z</dcterms:created>
  <dc:creator>微软用户</dc:creator>
  <cp:lastModifiedBy>admin</cp:lastModifiedBy>
  <cp:lastPrinted>2024-04-02T01:56:00Z</cp:lastPrinted>
  <dcterms:modified xsi:type="dcterms:W3CDTF">2026-10-08T03:26:21Z</dcterms:modified>
  <dc:title>桂财采〔2009〕 号</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Subject">
    <vt:lpwstr/>
  </property>
  <property fmtid="{D5CDD505-2E9C-101B-9397-08002B2CF9AE}" pid="4" name="Keywords">
    <vt:lpwstr/>
  </property>
  <property fmtid="{D5CDD505-2E9C-101B-9397-08002B2CF9AE}" pid="5" name="_Author">
    <vt:lpwstr>微软用户</vt:lpwstr>
  </property>
  <property fmtid="{D5CDD505-2E9C-101B-9397-08002B2CF9AE}" pid="6" name="_Category">
    <vt:lpwstr/>
  </property>
  <property fmtid="{D5CDD505-2E9C-101B-9397-08002B2CF9AE}" pid="7" name="Slides">
    <vt:lpwstr>0</vt:lpwstr>
  </property>
  <property fmtid="{D5CDD505-2E9C-101B-9397-08002B2CF9AE}" pid="8" name="Categories">
    <vt:lpwstr/>
  </property>
  <property fmtid="{D5CDD505-2E9C-101B-9397-08002B2CF9AE}" pid="9" name="Approval Level">
    <vt:lpwstr/>
  </property>
  <property fmtid="{D5CDD505-2E9C-101B-9397-08002B2CF9AE}" pid="10" name="_Comments">
    <vt:lpwstr/>
  </property>
  <property fmtid="{D5CDD505-2E9C-101B-9397-08002B2CF9AE}" pid="11" name="Assigned To">
    <vt:lpwstr/>
  </property>
  <property fmtid="{D5CDD505-2E9C-101B-9397-08002B2CF9AE}" pid="12" name="ContentTypeId">
    <vt:lpwstr>0x010100766A5C3ADF4EA94E9357209EBD74570E</vt:lpwstr>
  </property>
  <property fmtid="{D5CDD505-2E9C-101B-9397-08002B2CF9AE}" pid="13" name="ICV">
    <vt:lpwstr>26AA46EF3A784A00A3A6D09628A305F8_13</vt:lpwstr>
  </property>
  <property fmtid="{D5CDD505-2E9C-101B-9397-08002B2CF9AE}" pid="14" name="KSOTemplateDocerSaveRecord">
    <vt:lpwstr>eyJoZGlkIjoiNTZlMzdlMTY3NDA3NDgzMmMwYjVjMDZiNjFlNWI5MTIiLCJ1c2VySWQiOiIzMTQ2MjU3MTIifQ==</vt:lpwstr>
  </property>
</Properties>
</file>