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66666">
      <w:pPr>
        <w:pStyle w:val="3"/>
        <w:snapToGrid w:val="0"/>
        <w:spacing w:before="120" w:after="120" w:line="320" w:lineRule="exact"/>
        <w:jc w:val="center"/>
        <w:outlineLvl w:val="0"/>
        <w:rPr>
          <w:rFonts w:hint="eastAsia" w:hAnsi="宋体" w:cs="宋体"/>
          <w:color w:val="auto"/>
          <w:sz w:val="32"/>
          <w:szCs w:val="32"/>
          <w:highlight w:val="none"/>
        </w:rPr>
      </w:pPr>
      <w:r>
        <w:rPr>
          <w:rFonts w:hint="eastAsia" w:hAnsi="宋体" w:cs="宋体"/>
          <w:color w:val="auto"/>
          <w:sz w:val="32"/>
          <w:szCs w:val="32"/>
          <w:highlight w:val="none"/>
        </w:rPr>
        <w:t>第二章  采购需求</w:t>
      </w:r>
    </w:p>
    <w:p w14:paraId="25EF9386">
      <w:pPr>
        <w:jc w:val="center"/>
        <w:rPr>
          <w:rFonts w:hint="eastAsia" w:ascii="宋体" w:hAnsi="宋体" w:cs="宋体"/>
          <w:color w:val="auto"/>
          <w:sz w:val="28"/>
          <w:szCs w:val="28"/>
          <w:highlight w:val="none"/>
        </w:rPr>
      </w:pPr>
    </w:p>
    <w:p w14:paraId="0402438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一、工程量清单</w:t>
      </w:r>
    </w:p>
    <w:p w14:paraId="62A85064">
      <w:pPr>
        <w:spacing w:line="312" w:lineRule="auto"/>
        <w:ind w:firstLine="420" w:firstLineChars="200"/>
        <w:jc w:val="left"/>
        <w:rPr>
          <w:rFonts w:hint="eastAsia" w:ascii="宋体" w:hAnsi="宋体" w:cs="宋体"/>
          <w:color w:val="auto"/>
          <w:highlight w:val="none"/>
        </w:rPr>
      </w:pPr>
      <w:r>
        <w:rPr>
          <w:rFonts w:hint="eastAsia" w:ascii="宋体" w:hAnsi="宋体" w:cs="宋体"/>
          <w:bCs/>
          <w:color w:val="auto"/>
          <w:kern w:val="0"/>
          <w:szCs w:val="21"/>
          <w:highlight w:val="none"/>
        </w:rPr>
        <w:t>工程量清单详见本采购文件附件。</w:t>
      </w:r>
    </w:p>
    <w:p w14:paraId="3A2E8C28">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二、图纸</w:t>
      </w:r>
    </w:p>
    <w:p w14:paraId="31CBFBD4">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图纸详见本采购文件附件。</w:t>
      </w:r>
    </w:p>
    <w:p w14:paraId="6C9AF722">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三、技术要求</w:t>
      </w:r>
    </w:p>
    <w:p w14:paraId="4DC1635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1、项目概况：</w:t>
      </w:r>
      <w:r>
        <w:rPr>
          <w:rFonts w:hint="eastAsia" w:ascii="宋体" w:hAnsi="宋体" w:cs="宋体"/>
          <w:color w:val="auto"/>
          <w:kern w:val="0"/>
          <w:szCs w:val="21"/>
          <w:highlight w:val="none"/>
          <w:lang w:eastAsia="zh-CN"/>
        </w:rPr>
        <w:t>本工程为大新县桃城镇新华村大栋屯优质稻特色产业基地配套农田水利，主要施工内容：本工程主要建设内容为渠道硬化7 条，全长2383m，排水沟浆砌石3 条，全长1499m。</w:t>
      </w:r>
      <w:r>
        <w:rPr>
          <w:rFonts w:hint="eastAsia" w:ascii="宋体" w:hAnsi="宋体" w:cs="宋体"/>
          <w:color w:val="auto"/>
          <w:kern w:val="0"/>
          <w:szCs w:val="21"/>
          <w:highlight w:val="none"/>
        </w:rPr>
        <w:t>（具体按施工图纸、工程量清单、采购文件及相关补充通知的全部内容）。</w:t>
      </w:r>
    </w:p>
    <w:p w14:paraId="2DE967F5">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2、建设地点：</w:t>
      </w:r>
      <w:r>
        <w:rPr>
          <w:rFonts w:hint="eastAsia" w:ascii="宋体" w:hAnsi="宋体" w:cs="宋体"/>
          <w:bCs/>
          <w:color w:val="auto"/>
          <w:kern w:val="0"/>
          <w:szCs w:val="21"/>
          <w:highlight w:val="none"/>
          <w:lang w:eastAsia="zh-CN"/>
        </w:rPr>
        <w:t>大新县桃城镇新华村大栋屯</w:t>
      </w:r>
      <w:r>
        <w:rPr>
          <w:rFonts w:hint="eastAsia" w:ascii="宋体" w:hAnsi="宋体" w:cs="宋体"/>
          <w:bCs/>
          <w:color w:val="auto"/>
          <w:kern w:val="0"/>
          <w:szCs w:val="21"/>
          <w:highlight w:val="none"/>
        </w:rPr>
        <w:t>。</w:t>
      </w:r>
    </w:p>
    <w:p w14:paraId="7709FC6A">
      <w:pPr>
        <w:spacing w:line="312" w:lineRule="auto"/>
        <w:ind w:firstLine="420" w:firstLineChars="200"/>
        <w:jc w:val="left"/>
        <w:rPr>
          <w:rFonts w:hint="eastAsia" w:ascii="宋体" w:hAnsi="宋体" w:eastAsia="宋体" w:cs="宋体"/>
          <w:bCs/>
          <w:color w:val="auto"/>
          <w:kern w:val="0"/>
          <w:szCs w:val="21"/>
          <w:highlight w:val="none"/>
          <w:lang w:eastAsia="zh-CN"/>
        </w:rPr>
      </w:pPr>
      <w:r>
        <w:rPr>
          <w:rFonts w:hint="eastAsia" w:ascii="宋体" w:hAnsi="宋体" w:cs="宋体"/>
          <w:bCs/>
          <w:color w:val="auto"/>
          <w:kern w:val="0"/>
          <w:szCs w:val="21"/>
          <w:highlight w:val="none"/>
        </w:rPr>
        <w:t>3、建设范围：</w:t>
      </w:r>
      <w:r>
        <w:rPr>
          <w:rFonts w:hint="eastAsia" w:ascii="宋体" w:hAnsi="宋体" w:cs="宋体"/>
          <w:color w:val="auto"/>
          <w:kern w:val="0"/>
          <w:szCs w:val="21"/>
          <w:highlight w:val="none"/>
          <w:lang w:eastAsia="zh-CN"/>
        </w:rPr>
        <w:t>本工程主要建设内容为渠道硬化7 条，全长2383m，排水沟浆砌石3 条，全长1499m。</w:t>
      </w:r>
    </w:p>
    <w:p w14:paraId="68DF27C6">
      <w:pPr>
        <w:spacing w:line="312" w:lineRule="auto"/>
        <w:ind w:firstLine="420" w:firstLineChars="200"/>
        <w:jc w:val="left"/>
        <w:rPr>
          <w:rFonts w:hint="eastAsia"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4、最高限价：</w:t>
      </w:r>
      <w:r>
        <w:rPr>
          <w:rFonts w:hint="eastAsia" w:ascii="宋体" w:hAnsi="宋体" w:cs="宋体"/>
          <w:color w:val="auto"/>
          <w:kern w:val="0"/>
          <w:szCs w:val="21"/>
          <w:highlight w:val="none"/>
          <w:lang w:eastAsia="zh-CN"/>
        </w:rPr>
        <w:t>2336845.10</w:t>
      </w:r>
      <w:r>
        <w:rPr>
          <w:rFonts w:hint="eastAsia" w:ascii="宋体" w:hAnsi="宋体" w:cs="宋体"/>
          <w:bCs/>
          <w:color w:val="auto"/>
          <w:kern w:val="0"/>
          <w:szCs w:val="21"/>
          <w:highlight w:val="none"/>
          <w:lang w:val="en-US" w:eastAsia="zh-CN"/>
        </w:rPr>
        <w:t>元（安全生产责任保险费应按招标工程量清单中给出的安责险暂估价的具体金额填写，不得调整。）</w:t>
      </w:r>
    </w:p>
    <w:p w14:paraId="059EFCF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5、工期要求：</w:t>
      </w:r>
      <w:r>
        <w:rPr>
          <w:rFonts w:hint="eastAsia" w:ascii="宋体" w:hAnsi="宋体" w:cs="宋体"/>
          <w:bCs/>
          <w:color w:val="auto"/>
          <w:kern w:val="0"/>
          <w:szCs w:val="21"/>
          <w:highlight w:val="none"/>
          <w:lang w:val="en-US" w:eastAsia="zh-CN"/>
        </w:rPr>
        <w:t>180</w:t>
      </w:r>
      <w:r>
        <w:rPr>
          <w:rFonts w:hint="eastAsia" w:ascii="宋体" w:hAnsi="宋体" w:cs="宋体"/>
          <w:color w:val="auto"/>
          <w:szCs w:val="21"/>
          <w:highlight w:val="none"/>
        </w:rPr>
        <w:t>日历天</w:t>
      </w:r>
    </w:p>
    <w:p w14:paraId="7ED137D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6、质量要求：达到国家施工验收规范合格标准。</w:t>
      </w:r>
    </w:p>
    <w:p w14:paraId="1923F364">
      <w:pPr>
        <w:spacing w:line="312" w:lineRule="auto"/>
        <w:ind w:firstLine="420" w:firstLineChars="200"/>
        <w:jc w:val="left"/>
        <w:rPr>
          <w:rFonts w:hint="default" w:ascii="宋体" w:hAnsi="宋体" w:eastAsia="宋体" w:cs="宋体"/>
          <w:bCs/>
          <w:color w:val="auto"/>
          <w:kern w:val="0"/>
          <w:szCs w:val="21"/>
          <w:highlight w:val="none"/>
          <w:lang w:val="en-US" w:eastAsia="zh-CN"/>
        </w:rPr>
      </w:pPr>
      <w:r>
        <w:rPr>
          <w:rFonts w:hint="eastAsia" w:ascii="宋体" w:hAnsi="宋体" w:cs="宋体"/>
          <w:bCs/>
          <w:color w:val="auto"/>
          <w:kern w:val="0"/>
          <w:szCs w:val="21"/>
          <w:highlight w:val="none"/>
        </w:rPr>
        <w:t>7、</w:t>
      </w:r>
      <w:r>
        <w:rPr>
          <w:rFonts w:hint="eastAsia" w:ascii="宋体" w:hAnsi="宋体" w:cs="宋体"/>
          <w:bCs/>
          <w:color w:val="auto"/>
          <w:kern w:val="0"/>
          <w:szCs w:val="21"/>
          <w:highlight w:val="none"/>
          <w:lang w:val="en-US" w:eastAsia="zh-CN"/>
        </w:rPr>
        <w:t>承包方式</w:t>
      </w:r>
      <w:r>
        <w:rPr>
          <w:rFonts w:hint="eastAsia" w:ascii="宋体" w:hAnsi="宋体" w:cs="宋体"/>
          <w:bCs/>
          <w:color w:val="auto"/>
          <w:kern w:val="0"/>
          <w:szCs w:val="21"/>
          <w:highlight w:val="none"/>
        </w:rPr>
        <w:t>：</w:t>
      </w:r>
      <w:r>
        <w:rPr>
          <w:rFonts w:hint="eastAsia" w:ascii="宋体" w:hAnsi="宋体" w:cs="宋体"/>
          <w:bCs/>
          <w:color w:val="auto"/>
          <w:kern w:val="0"/>
          <w:szCs w:val="21"/>
          <w:highlight w:val="none"/>
          <w:lang w:val="en-US" w:eastAsia="zh-CN"/>
        </w:rPr>
        <w:t>单价承包</w:t>
      </w:r>
    </w:p>
    <w:p w14:paraId="4CEEF1C0">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四、商务要求</w:t>
      </w:r>
    </w:p>
    <w:p w14:paraId="388275C0">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1、工期要求：</w:t>
      </w:r>
      <w:r>
        <w:rPr>
          <w:rFonts w:hint="eastAsia" w:ascii="宋体" w:hAnsi="宋体" w:cs="宋体"/>
          <w:bCs/>
          <w:color w:val="auto"/>
          <w:kern w:val="0"/>
          <w:szCs w:val="21"/>
          <w:highlight w:val="none"/>
          <w:lang w:val="en-US" w:eastAsia="zh-CN"/>
        </w:rPr>
        <w:t>180</w:t>
      </w:r>
      <w:r>
        <w:rPr>
          <w:rFonts w:hint="eastAsia" w:ascii="宋体" w:hAnsi="宋体" w:cs="宋体"/>
          <w:bCs/>
          <w:color w:val="auto"/>
          <w:kern w:val="0"/>
          <w:szCs w:val="21"/>
          <w:highlight w:val="none"/>
        </w:rPr>
        <w:t>日历天</w:t>
      </w:r>
    </w:p>
    <w:p w14:paraId="42D049B2">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rPr>
        <w:t>2、增值税计税方法：一般计税法。</w:t>
      </w:r>
    </w:p>
    <w:p w14:paraId="6FEEDEF8">
      <w:pPr>
        <w:spacing w:line="312" w:lineRule="auto"/>
        <w:ind w:firstLine="422" w:firstLineChars="200"/>
        <w:jc w:val="left"/>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3</w:t>
      </w:r>
      <w:r>
        <w:rPr>
          <w:rFonts w:hint="eastAsia" w:ascii="宋体" w:hAnsi="宋体" w:cs="宋体"/>
          <w:b/>
          <w:bCs/>
          <w:color w:val="auto"/>
          <w:kern w:val="0"/>
          <w:szCs w:val="21"/>
          <w:highlight w:val="none"/>
          <w:lang w:eastAsia="zh-CN"/>
        </w:rPr>
        <w:t>、</w:t>
      </w:r>
      <w:r>
        <w:rPr>
          <w:rFonts w:hint="eastAsia" w:ascii="宋体" w:hAnsi="宋体" w:eastAsia="宋体" w:cs="宋体"/>
          <w:b/>
          <w:bCs/>
          <w:color w:val="auto"/>
          <w:kern w:val="0"/>
          <w:szCs w:val="21"/>
          <w:highlight w:val="none"/>
        </w:rPr>
        <w:t>响应报价（已标价工程量清单）编制说明</w:t>
      </w:r>
    </w:p>
    <w:p w14:paraId="17F3F02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供应商应依据采购文件、工程量清单以及《计价规范》、《计算规范》自主报价，自主报价不得违反计价规范强制性条文规定。供应商不得采用总价让利或以百分比让利等形式进行报价，任何优惠（或降价、让利）均应反映在相应清单项目的综合单价中。同时，不得出现任意一项单价重大让利，不得以自有机械闲置、自有材料等不计成本为由低于工程成本报价。</w:t>
      </w:r>
    </w:p>
    <w:p w14:paraId="5709658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3.2</w:t>
      </w:r>
      <w:r>
        <w:rPr>
          <w:rFonts w:hint="eastAsia" w:ascii="宋体" w:hAnsi="宋体" w:eastAsia="宋体" w:cs="宋体"/>
          <w:b/>
          <w:color w:val="auto"/>
          <w:kern w:val="0"/>
          <w:szCs w:val="21"/>
          <w:highlight w:val="none"/>
        </w:rPr>
        <w:t>供应商应按工程量清单填报价格。项目编码、项目名称、项目特征、计量单位、已标价工程量必须与工程量清单一致，供应商不得对工程量清单项目进行增减调整</w:t>
      </w:r>
      <w:r>
        <w:rPr>
          <w:rFonts w:hint="eastAsia" w:ascii="宋体" w:hAnsi="宋体" w:eastAsia="宋体" w:cs="宋体"/>
          <w:bCs/>
          <w:color w:val="auto"/>
          <w:kern w:val="0"/>
          <w:szCs w:val="21"/>
          <w:highlight w:val="none"/>
        </w:rPr>
        <w:t>。</w:t>
      </w:r>
    </w:p>
    <w:p w14:paraId="7298F33E">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3.3综合单价中应包含采购文件中划分的应由供应商承担的风险范围及其费用。</w:t>
      </w:r>
    </w:p>
    <w:p w14:paraId="12759B4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3.4分部分项工程项目和单价措施项目，应根据采购文件和工程量清单项目中的特征描述确定综合单价计算。如出现工程量清单特征描述与设计图纸不符时，供应商应以工程量清单的项目特征描述为准，确定响应报价的综合单价。</w:t>
      </w:r>
    </w:p>
    <w:p w14:paraId="7CE431AD">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3.5总价措施项目的金额应根据采购文件及拟定的施工组织设计或施工方案，按计价规范的规定自主确定。但安全文明施工费按国家、省级或行业建设主管部门的有关规定执行，作为不竞争费用单列。</w:t>
      </w:r>
    </w:p>
    <w:p w14:paraId="04C8F4C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3.6其他项目费应按下列规定报价：</w:t>
      </w:r>
    </w:p>
    <w:p w14:paraId="48E6B1F0">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（1）暂列金额应按工程量清单中列出的金额填写；</w:t>
      </w:r>
    </w:p>
    <w:p w14:paraId="4B4B364B">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（2）材料、工程设备暂估价应按工程量清单中列出的单价计入综合单价；</w:t>
      </w:r>
    </w:p>
    <w:p w14:paraId="3725EA19">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（3）专业工程暂估价应按工程量清单中列出的金额填写；</w:t>
      </w:r>
    </w:p>
    <w:p w14:paraId="5121DF1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（4）计日工应按工程量清单中列出的项目和估算数量，自主确定综合单价并计算计日工总额；计日工单价均不含规费和税金；</w:t>
      </w:r>
    </w:p>
    <w:p w14:paraId="2D04F552">
      <w:pPr>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（5）总承包服务费应根据工程量清单中列出的内容和供应材料、设备情况，按照采购人提出的协调、配合与服务要求和施工现场管理需要自主确定。</w:t>
      </w:r>
    </w:p>
    <w:p w14:paraId="4EA0C5C0">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（6）对建设单位创建优质工程的，鼓励在控制价和预算中按我区工程建设定额规定计列工程优质费，并明确工程优质费不可竞争。</w:t>
      </w:r>
    </w:p>
    <w:p w14:paraId="10172195">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3.7规费和增值税应按规定确定，作为不可竞争费用。</w:t>
      </w:r>
    </w:p>
    <w:p w14:paraId="7E4D7CFF">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3.8工程量清单与计价表中列明的所有需要填写的单价和合价的项目，供应商均应填写且只允许有一个报价。未填写单价和合价的项目，视为此项费用已包含在已标价工程量清单中其他项目的单价和合价之中。竣工结算时，此项目不得重新组价予以调整。</w:t>
      </w:r>
    </w:p>
    <w:p w14:paraId="2E089C03">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3.9响应总价应当与分部分项工程费、措施项目费、其他项目费和规费、增值税的合计金额一致。</w:t>
      </w:r>
    </w:p>
    <w:p w14:paraId="5C2C3044">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3.10供应商应按《</w:t>
      </w:r>
      <w:r>
        <w:rPr>
          <w:rFonts w:hint="eastAsia" w:ascii="宋体" w:hAnsi="宋体" w:eastAsia="宋体" w:cs="宋体"/>
          <w:color w:val="auto"/>
          <w:highlight w:val="none"/>
        </w:rPr>
        <w:t>允许调整主要材料和工程设备一览表</w:t>
      </w:r>
      <w:r>
        <w:rPr>
          <w:rFonts w:hint="eastAsia" w:ascii="宋体" w:hAnsi="宋体" w:eastAsia="宋体" w:cs="宋体"/>
          <w:bCs/>
          <w:color w:val="auto"/>
          <w:kern w:val="0"/>
          <w:szCs w:val="21"/>
          <w:highlight w:val="none"/>
        </w:rPr>
        <w:t>》的内容填报，不得擅自调整材料和设备名称型号规格、单位、风险系数、基准单价。</w:t>
      </w:r>
    </w:p>
    <w:p w14:paraId="58E684C8">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3.11响应报价表格按本工程工程量清单表格要求填写，并应按采购文件的要求，附上《工程量清单综合单价分析表》和《主要清单项目工料机分析表》。</w:t>
      </w:r>
    </w:p>
    <w:p w14:paraId="31885C8A">
      <w:pPr>
        <w:spacing w:line="312" w:lineRule="auto"/>
        <w:ind w:firstLine="420" w:firstLineChars="200"/>
        <w:jc w:val="left"/>
        <w:rPr>
          <w:rFonts w:hint="eastAsia" w:ascii="宋体" w:hAnsi="宋体" w:eastAsia="宋体" w:cs="宋体"/>
          <w:bCs/>
          <w:color w:val="auto"/>
          <w:kern w:val="0"/>
          <w:szCs w:val="21"/>
          <w:highlight w:val="none"/>
        </w:rPr>
      </w:pPr>
      <w:r>
        <w:rPr>
          <w:rFonts w:hint="eastAsia" w:ascii="宋体" w:hAnsi="宋体" w:eastAsia="宋体" w:cs="宋体"/>
          <w:bCs/>
          <w:color w:val="auto"/>
          <w:kern w:val="0"/>
          <w:szCs w:val="21"/>
          <w:highlight w:val="none"/>
        </w:rPr>
        <w:t>未尽事宜详见本工程工程量清单、预算金额编制说明以及现行《计价规范》等有关规定执行。</w:t>
      </w:r>
    </w:p>
    <w:p w14:paraId="47AED94C">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4</w:t>
      </w:r>
      <w:r>
        <w:rPr>
          <w:rFonts w:hint="eastAsia" w:ascii="宋体" w:hAnsi="宋体" w:cs="宋体"/>
          <w:bCs/>
          <w:color w:val="auto"/>
          <w:kern w:val="0"/>
          <w:szCs w:val="21"/>
          <w:highlight w:val="none"/>
        </w:rPr>
        <w:t>、付款条件：</w:t>
      </w:r>
    </w:p>
    <w:p w14:paraId="081E48FA">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（一）资金支付办法按照《广西财政衔接推进乡村振兴补助资金管理办法》和财政国库管理制度有关规定进行。</w:t>
      </w:r>
    </w:p>
    <w:p w14:paraId="67C0C4D3">
      <w:pPr>
        <w:widowControl/>
        <w:shd w:val="clear" w:color="auto" w:fill="FFFFFF"/>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(二)</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不得以任何理由拒付农民工工资。工程款分次支付：1.一旦签订合同并进场施工，</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在收到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开具相应发票的十个工作日内，按合同价预拨付不超过30%的资金给乙方；2.工程完工后，经</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技术人员初检认定质量合格的并收到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开具相应发票的三十日内，拨付80%工程进度款给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《扣除第一次预付款项》。如确属需返修的工程，视返修工程量情况酌情拨付工程款：3.工程竣工并经县级验收合格后，并收到</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开具相应发票的三十日内，</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可拨付90%工程款给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《扣除第一次预付款项和第二次工程进度款》；4.由审计部门结算造价审计后，按审计部门审定的结算造价金额预留 3%作为工程质保金后一次性结清工程款《扣除预付款项和进度款项》；5.如未发生工程质量保修行为的，竣工验收满 1年后，由</w:t>
      </w:r>
      <w:r>
        <w:rPr>
          <w:rFonts w:hint="eastAsia"/>
          <w:color w:val="auto"/>
          <w:highlight w:val="none"/>
          <w:lang w:val="en-US" w:eastAsia="zh-CN"/>
        </w:rPr>
        <w:t>采购人</w:t>
      </w:r>
      <w:r>
        <w:rPr>
          <w:rFonts w:hint="eastAsia" w:ascii="宋体" w:hAnsi="宋体" w:eastAsia="宋体" w:cs="宋体"/>
          <w:color w:val="auto"/>
          <w:szCs w:val="21"/>
          <w:highlight w:val="none"/>
          <w:lang w:val="en-US" w:eastAsia="zh-CN"/>
        </w:rPr>
        <w:t>及有关技术人员签证后退还工程质保金给</w:t>
      </w:r>
      <w:r>
        <w:rPr>
          <w:rFonts w:hint="eastAsia"/>
          <w:color w:val="auto"/>
          <w:highlight w:val="none"/>
          <w:lang w:val="en-US" w:eastAsia="zh-CN"/>
        </w:rPr>
        <w:t>成交供应商</w:t>
      </w:r>
      <w:r>
        <w:rPr>
          <w:rFonts w:hint="eastAsia" w:ascii="宋体" w:hAnsi="宋体" w:eastAsia="宋体" w:cs="宋体"/>
          <w:color w:val="auto"/>
          <w:szCs w:val="21"/>
          <w:highlight w:val="none"/>
          <w:lang w:val="en-US" w:eastAsia="zh-CN"/>
        </w:rPr>
        <w:t xml:space="preserve">。 </w:t>
      </w:r>
    </w:p>
    <w:p w14:paraId="28AD5BBB">
      <w:pPr>
        <w:widowControl/>
        <w:shd w:val="clear" w:color="auto" w:fill="FFFFFF"/>
        <w:spacing w:line="360" w:lineRule="auto"/>
        <w:ind w:firstLine="420" w:firstLineChars="200"/>
        <w:rPr>
          <w:rFonts w:hint="eastAsia" w:ascii="宋体" w:hAnsi="宋体" w:eastAsia="宋体" w:cs="宋体"/>
          <w:bCs/>
          <w:color w:val="auto"/>
          <w:kern w:val="0"/>
          <w:szCs w:val="21"/>
          <w:highlight w:val="none"/>
        </w:rPr>
      </w:pPr>
      <w:r>
        <w:rPr>
          <w:rFonts w:hint="eastAsia" w:ascii="宋体" w:hAnsi="宋体" w:eastAsia="宋体" w:cs="宋体"/>
          <w:color w:val="auto"/>
          <w:szCs w:val="21"/>
          <w:highlight w:val="none"/>
          <w:lang w:val="en-US" w:eastAsia="zh-CN"/>
        </w:rPr>
        <w:t>③支付方式：银行转账。</w:t>
      </w:r>
    </w:p>
    <w:p w14:paraId="15ACB1DB">
      <w:pPr>
        <w:spacing w:line="312" w:lineRule="auto"/>
        <w:ind w:firstLine="420" w:firstLineChars="200"/>
        <w:jc w:val="left"/>
        <w:rPr>
          <w:rFonts w:hint="eastAsia" w:ascii="宋体" w:hAnsi="宋体" w:cs="宋体"/>
          <w:bCs/>
          <w:color w:val="auto"/>
          <w:kern w:val="0"/>
          <w:szCs w:val="21"/>
          <w:highlight w:val="none"/>
        </w:rPr>
      </w:pPr>
      <w:r>
        <w:rPr>
          <w:rFonts w:hint="eastAsia" w:ascii="宋体" w:hAnsi="宋体" w:cs="宋体"/>
          <w:bCs/>
          <w:color w:val="auto"/>
          <w:kern w:val="0"/>
          <w:szCs w:val="21"/>
          <w:highlight w:val="none"/>
          <w:lang w:val="en-US" w:eastAsia="zh-CN"/>
        </w:rPr>
        <w:t>5</w:t>
      </w:r>
      <w:r>
        <w:rPr>
          <w:rFonts w:hint="eastAsia" w:ascii="宋体" w:hAnsi="宋体" w:cs="宋体"/>
          <w:bCs/>
          <w:color w:val="auto"/>
          <w:kern w:val="0"/>
          <w:szCs w:val="21"/>
          <w:highlight w:val="none"/>
        </w:rPr>
        <w:t>、质量保修期：自工程竣工验收合格之日起一年。</w:t>
      </w:r>
    </w:p>
    <w:p w14:paraId="180C0533">
      <w:pPr>
        <w:spacing w:line="312" w:lineRule="auto"/>
        <w:ind w:firstLine="420" w:firstLineChars="200"/>
        <w:jc w:val="left"/>
        <w:rPr>
          <w:rFonts w:hint="eastAsia" w:ascii="宋体" w:hAnsi="宋体" w:cs="宋体"/>
          <w:b/>
          <w:color w:val="auto"/>
          <w:kern w:val="0"/>
          <w:sz w:val="28"/>
          <w:szCs w:val="28"/>
          <w:highlight w:val="none"/>
        </w:rPr>
      </w:pPr>
      <w:r>
        <w:rPr>
          <w:rFonts w:hint="eastAsia" w:ascii="宋体" w:hAnsi="宋体" w:cs="宋体"/>
          <w:bCs/>
          <w:color w:val="auto"/>
          <w:kern w:val="0"/>
          <w:szCs w:val="21"/>
          <w:highlight w:val="none"/>
          <w:lang w:val="en-US" w:eastAsia="zh-CN"/>
        </w:rPr>
        <w:t>6</w:t>
      </w:r>
      <w:r>
        <w:rPr>
          <w:rFonts w:hint="eastAsia" w:ascii="宋体" w:hAnsi="宋体" w:cs="宋体"/>
          <w:bCs/>
          <w:color w:val="auto"/>
          <w:kern w:val="0"/>
          <w:szCs w:val="21"/>
          <w:highlight w:val="none"/>
        </w:rPr>
        <w:t>、缺陷责任期：自竣工日期起满</w:t>
      </w:r>
      <w:r>
        <w:rPr>
          <w:rFonts w:hint="eastAsia" w:ascii="宋体" w:hAnsi="宋体" w:cs="宋体"/>
          <w:bCs/>
          <w:color w:val="auto"/>
          <w:kern w:val="0"/>
          <w:szCs w:val="21"/>
          <w:highlight w:val="none"/>
          <w:lang w:val="en-US" w:eastAsia="zh-CN"/>
        </w:rPr>
        <w:t>12</w:t>
      </w:r>
      <w:r>
        <w:rPr>
          <w:rFonts w:hint="eastAsia" w:ascii="宋体" w:hAnsi="宋体" w:cs="宋体"/>
          <w:bCs/>
          <w:color w:val="auto"/>
          <w:kern w:val="0"/>
          <w:szCs w:val="21"/>
          <w:highlight w:val="none"/>
        </w:rPr>
        <w:t>个月。</w:t>
      </w:r>
    </w:p>
    <w:p w14:paraId="77B4377A">
      <w:pPr>
        <w:spacing w:line="312" w:lineRule="auto"/>
        <w:ind w:firstLine="562" w:firstLineChars="200"/>
        <w:jc w:val="left"/>
        <w:outlineLvl w:val="1"/>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五、本项目标的所属行业</w:t>
      </w:r>
    </w:p>
    <w:p w14:paraId="52B689E5">
      <w:pPr>
        <w:spacing w:line="312" w:lineRule="auto"/>
        <w:ind w:firstLine="420" w:firstLineChars="200"/>
        <w:jc w:val="left"/>
      </w:pPr>
      <w:bookmarkStart w:id="0" w:name="_Hlk74905748"/>
      <w:r>
        <w:rPr>
          <w:rFonts w:hint="eastAsia" w:ascii="宋体" w:hAnsi="宋体" w:cs="宋体"/>
          <w:bCs/>
          <w:color w:val="auto"/>
          <w:kern w:val="0"/>
          <w:szCs w:val="21"/>
          <w:highlight w:val="none"/>
        </w:rPr>
        <w:t>本项目所属行业建筑业</w:t>
      </w:r>
      <w:bookmarkEnd w:id="0"/>
      <w:r>
        <w:rPr>
          <w:rFonts w:hint="eastAsia" w:ascii="宋体" w:hAnsi="宋体" w:cs="宋体"/>
          <w:bCs/>
          <w:color w:val="auto"/>
          <w:kern w:val="0"/>
          <w:szCs w:val="21"/>
          <w:highlight w:val="none"/>
        </w:rPr>
        <w:t>。</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D255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99"/>
    <w:pPr>
      <w:keepNext/>
      <w:keepLines/>
      <w:widowControl/>
      <w:spacing w:before="120" w:beforeLines="0" w:after="120" w:afterLines="0" w:line="360" w:lineRule="auto"/>
      <w:jc w:val="center"/>
      <w:outlineLvl w:val="3"/>
    </w:pPr>
    <w:rPr>
      <w:rFonts w:ascii="Arial" w:hAns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Plain Text"/>
    <w:basedOn w:val="1"/>
    <w:next w:val="2"/>
    <w:qFormat/>
    <w:uiPriority w:val="0"/>
    <w:rPr>
      <w:rFonts w:ascii="宋体" w:hAnsi="Courier New" w:cs="Courier New"/>
      <w:szCs w:val="21"/>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2026-10-08T03:41:50Z</dcterms:created>
  <dc:creator>Administrator</dc:creator>
  <cp:lastModifiedBy>admin</cp:lastModifiedBy>
  <dcterms:modified xsi:type="dcterms:W3CDTF">2026-10-08T03:42:06Z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eyJoZGlkIjoiNTZlMzdlMTY3NDA3NDgzMmMwYjVjMDZiNjFlNWI5MTIiLCJ1c2VySWQiOiIzMTQ2MjU3MTIifQ==</vt:lpwstr>
  </property>
  <property fmtid="{D5CDD505-2E9C-101B-9397-08002B2CF9AE}" pid="4" name="ICV">
    <vt:lpwstr>D940910B61BC4708A9FF98807F3A5205_12</vt:lpwstr>
  </property>
</Properties>
</file>