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106AB9">
      <w:pPr>
        <w:tabs>
          <w:tab w:val="left" w:pos="1710"/>
        </w:tabs>
        <w:rPr>
          <w:color w:val="auto"/>
          <w:highlight w:val="none"/>
        </w:rPr>
      </w:pPr>
      <w:bookmarkStart w:id="0" w:name="_Toc183682338"/>
      <w:bookmarkStart w:id="1" w:name="_Toc217446030"/>
      <w:r>
        <w:rPr>
          <w:rFonts w:hint="eastAsia"/>
          <w:color w:val="auto"/>
          <w:highlight w:val="none"/>
        </w:rPr>
        <w:drawing>
          <wp:anchor distT="0" distB="0" distL="114300" distR="114300" simplePos="0" relativeHeight="251660288" behindDoc="1" locked="0" layoutInCell="1" allowOverlap="1">
            <wp:simplePos x="0" y="0"/>
            <wp:positionH relativeFrom="column">
              <wp:posOffset>-1005840</wp:posOffset>
            </wp:positionH>
            <wp:positionV relativeFrom="paragraph">
              <wp:posOffset>-945515</wp:posOffset>
            </wp:positionV>
            <wp:extent cx="7666990" cy="10781030"/>
            <wp:effectExtent l="0" t="0" r="10160" b="127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21"/>
                    <a:stretch>
                      <a:fillRect/>
                    </a:stretch>
                  </pic:blipFill>
                  <pic:spPr>
                    <a:xfrm>
                      <a:off x="0" y="0"/>
                      <a:ext cx="7666990" cy="10781030"/>
                    </a:xfrm>
                    <a:prstGeom prst="rect">
                      <a:avLst/>
                    </a:prstGeom>
                  </pic:spPr>
                </pic:pic>
              </a:graphicData>
            </a:graphic>
          </wp:anchor>
        </w:drawing>
      </w:r>
    </w:p>
    <w:p w14:paraId="25DCF6F3">
      <w:pPr>
        <w:tabs>
          <w:tab w:val="left" w:pos="1710"/>
        </w:tabs>
        <w:rPr>
          <w:color w:val="auto"/>
          <w:highlight w:val="none"/>
        </w:rPr>
      </w:pPr>
      <w:r>
        <w:rPr>
          <w:rFonts w:hint="eastAsia"/>
          <w:color w:val="auto"/>
          <w:highlight w:val="none"/>
        </w:rPr>
        <w:drawing>
          <wp:anchor distT="0" distB="0" distL="114300" distR="114300" simplePos="0" relativeHeight="251659264" behindDoc="0" locked="0" layoutInCell="1" allowOverlap="1">
            <wp:simplePos x="0" y="0"/>
            <wp:positionH relativeFrom="column">
              <wp:posOffset>534035</wp:posOffset>
            </wp:positionH>
            <wp:positionV relativeFrom="paragraph">
              <wp:posOffset>735330</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22"/>
                    <a:stretch>
                      <a:fillRect/>
                    </a:stretch>
                  </pic:blipFill>
                  <pic:spPr>
                    <a:xfrm>
                      <a:off x="0" y="0"/>
                      <a:ext cx="4654550" cy="584200"/>
                    </a:xfrm>
                    <a:prstGeom prst="rect">
                      <a:avLst/>
                    </a:prstGeom>
                  </pic:spPr>
                </pic:pic>
              </a:graphicData>
            </a:graphic>
          </wp:anchor>
        </w:drawing>
      </w:r>
    </w:p>
    <w:p w14:paraId="41453F07">
      <w:pPr>
        <w:tabs>
          <w:tab w:val="left" w:pos="1710"/>
        </w:tabs>
        <w:rPr>
          <w:color w:val="auto"/>
          <w:highlight w:val="none"/>
        </w:rPr>
      </w:pPr>
    </w:p>
    <w:p w14:paraId="4AD6F791">
      <w:pPr>
        <w:tabs>
          <w:tab w:val="left" w:pos="1710"/>
        </w:tabs>
        <w:rPr>
          <w:color w:val="auto"/>
          <w:highlight w:val="none"/>
        </w:rPr>
      </w:pPr>
    </w:p>
    <w:p w14:paraId="756B7326">
      <w:pPr>
        <w:tabs>
          <w:tab w:val="left" w:pos="1710"/>
        </w:tabs>
        <w:rPr>
          <w:color w:val="auto"/>
          <w:highlight w:val="none"/>
        </w:rPr>
      </w:pPr>
    </w:p>
    <w:p w14:paraId="365799CF">
      <w:pPr>
        <w:tabs>
          <w:tab w:val="left" w:pos="1710"/>
        </w:tabs>
        <w:rPr>
          <w:color w:val="auto"/>
          <w:highlight w:val="none"/>
        </w:rPr>
      </w:pPr>
    </w:p>
    <w:p w14:paraId="5FFA49FF">
      <w:pPr>
        <w:tabs>
          <w:tab w:val="left" w:pos="1710"/>
        </w:tabs>
        <w:rPr>
          <w:color w:val="auto"/>
          <w:highlight w:val="none"/>
        </w:rPr>
      </w:pPr>
    </w:p>
    <w:p w14:paraId="2897B30D">
      <w:pPr>
        <w:tabs>
          <w:tab w:val="left" w:pos="1710"/>
        </w:tabs>
        <w:rPr>
          <w:color w:val="auto"/>
          <w:highlight w:val="none"/>
        </w:rPr>
      </w:pPr>
    </w:p>
    <w:p w14:paraId="16444CDB">
      <w:pPr>
        <w:tabs>
          <w:tab w:val="left" w:pos="1710"/>
        </w:tabs>
        <w:rPr>
          <w:color w:val="auto"/>
          <w:highlight w:val="none"/>
        </w:rPr>
      </w:pPr>
    </w:p>
    <w:p w14:paraId="734F2C94">
      <w:pPr>
        <w:tabs>
          <w:tab w:val="left" w:pos="1710"/>
        </w:tabs>
        <w:rPr>
          <w:color w:val="auto"/>
          <w:highlight w:val="none"/>
        </w:rPr>
      </w:pPr>
    </w:p>
    <w:p w14:paraId="759588D6">
      <w:pPr>
        <w:tabs>
          <w:tab w:val="left" w:pos="1710"/>
        </w:tabs>
        <w:rPr>
          <w:color w:val="auto"/>
          <w:highlight w:val="none"/>
        </w:rPr>
      </w:pPr>
    </w:p>
    <w:p w14:paraId="7BA118B2">
      <w:pPr>
        <w:tabs>
          <w:tab w:val="left" w:pos="1710"/>
        </w:tabs>
        <w:rPr>
          <w:color w:val="auto"/>
          <w:highlight w:val="none"/>
        </w:rPr>
      </w:pPr>
    </w:p>
    <w:p w14:paraId="33C397A8">
      <w:pPr>
        <w:tabs>
          <w:tab w:val="left" w:pos="1710"/>
        </w:tabs>
        <w:rPr>
          <w:color w:val="auto"/>
          <w:highlight w:val="none"/>
        </w:rPr>
      </w:pPr>
    </w:p>
    <w:p w14:paraId="6A842877">
      <w:pPr>
        <w:tabs>
          <w:tab w:val="left" w:pos="1710"/>
        </w:tabs>
        <w:rPr>
          <w:color w:val="auto"/>
          <w:highlight w:val="none"/>
        </w:rPr>
      </w:pPr>
    </w:p>
    <w:p w14:paraId="25074506">
      <w:pPr>
        <w:tabs>
          <w:tab w:val="left" w:pos="1710"/>
        </w:tabs>
        <w:rPr>
          <w:color w:val="auto"/>
          <w:highlight w:val="none"/>
        </w:rPr>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433"/>
      </w:tblGrid>
      <w:tr w14:paraId="05EE4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197" w:type="dxa"/>
            <w:gridSpan w:val="2"/>
            <w:tcBorders>
              <w:top w:val="nil"/>
              <w:left w:val="nil"/>
              <w:right w:val="nil"/>
            </w:tcBorders>
          </w:tcPr>
          <w:p w14:paraId="2E705387">
            <w:pPr>
              <w:snapToGrid w:val="0"/>
              <w:spacing w:line="240" w:lineRule="atLeast"/>
              <w:jc w:val="center"/>
              <w:rPr>
                <w:b/>
                <w:color w:val="auto"/>
                <w:sz w:val="60"/>
                <w:szCs w:val="60"/>
                <w:highlight w:val="none"/>
              </w:rPr>
            </w:pPr>
            <w:r>
              <w:rPr>
                <w:b/>
                <w:color w:val="auto"/>
                <w:sz w:val="60"/>
                <w:szCs w:val="60"/>
                <w:highlight w:val="none"/>
              </w:rPr>
              <w:t>招  标  文  件</w:t>
            </w:r>
          </w:p>
        </w:tc>
      </w:tr>
      <w:tr w14:paraId="2AAEC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4FF2DB54">
            <w:pPr>
              <w:rPr>
                <w:b/>
                <w:color w:val="auto"/>
                <w:sz w:val="32"/>
                <w:szCs w:val="32"/>
                <w:highlight w:val="none"/>
              </w:rPr>
            </w:pPr>
            <w:r>
              <w:rPr>
                <w:b/>
                <w:color w:val="auto"/>
                <w:sz w:val="32"/>
                <w:szCs w:val="32"/>
                <w:highlight w:val="none"/>
              </w:rPr>
              <w:t>项目名称：</w:t>
            </w:r>
          </w:p>
        </w:tc>
        <w:tc>
          <w:tcPr>
            <w:tcW w:w="5433" w:type="dxa"/>
            <w:vAlign w:val="center"/>
          </w:tcPr>
          <w:p w14:paraId="2817D3CF">
            <w:pPr>
              <w:rPr>
                <w:b/>
                <w:color w:val="auto"/>
                <w:sz w:val="32"/>
                <w:szCs w:val="32"/>
                <w:highlight w:val="none"/>
              </w:rPr>
            </w:pPr>
            <w:r>
              <w:rPr>
                <w:rFonts w:hint="eastAsia"/>
                <w:b/>
                <w:color w:val="auto"/>
                <w:sz w:val="32"/>
                <w:szCs w:val="32"/>
                <w:highlight w:val="none"/>
              </w:rPr>
              <w:t>广西新舟60增雨飞机托管服务</w:t>
            </w:r>
          </w:p>
        </w:tc>
      </w:tr>
      <w:tr w14:paraId="39CF4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2F4A8FD3">
            <w:pPr>
              <w:rPr>
                <w:b/>
                <w:color w:val="auto"/>
                <w:sz w:val="32"/>
                <w:szCs w:val="32"/>
                <w:highlight w:val="none"/>
              </w:rPr>
            </w:pPr>
            <w:r>
              <w:rPr>
                <w:b/>
                <w:color w:val="auto"/>
                <w:sz w:val="32"/>
                <w:szCs w:val="32"/>
                <w:highlight w:val="none"/>
              </w:rPr>
              <w:t>项目编号：</w:t>
            </w:r>
          </w:p>
        </w:tc>
        <w:tc>
          <w:tcPr>
            <w:tcW w:w="5433" w:type="dxa"/>
            <w:vAlign w:val="center"/>
          </w:tcPr>
          <w:p w14:paraId="1A63A97F">
            <w:pPr>
              <w:rPr>
                <w:b/>
                <w:color w:val="auto"/>
                <w:sz w:val="32"/>
                <w:szCs w:val="32"/>
                <w:highlight w:val="none"/>
              </w:rPr>
            </w:pPr>
            <w:r>
              <w:rPr>
                <w:b/>
                <w:color w:val="auto"/>
                <w:sz w:val="32"/>
                <w:szCs w:val="32"/>
                <w:highlight w:val="none"/>
              </w:rPr>
              <w:t>GXZC2026-G3-002710-JDZB</w:t>
            </w:r>
          </w:p>
        </w:tc>
      </w:tr>
      <w:tr w14:paraId="0D8B9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2E52B47C">
            <w:pPr>
              <w:rPr>
                <w:b/>
                <w:color w:val="auto"/>
                <w:sz w:val="32"/>
                <w:szCs w:val="32"/>
                <w:highlight w:val="none"/>
              </w:rPr>
            </w:pPr>
            <w:r>
              <w:rPr>
                <w:b/>
                <w:color w:val="auto"/>
                <w:sz w:val="32"/>
                <w:szCs w:val="32"/>
                <w:highlight w:val="none"/>
              </w:rPr>
              <w:t>联系电话：</w:t>
            </w:r>
          </w:p>
        </w:tc>
        <w:tc>
          <w:tcPr>
            <w:tcW w:w="5433" w:type="dxa"/>
            <w:vAlign w:val="center"/>
          </w:tcPr>
          <w:p w14:paraId="7A4AB775">
            <w:pPr>
              <w:rPr>
                <w:b/>
                <w:color w:val="auto"/>
                <w:sz w:val="32"/>
                <w:szCs w:val="32"/>
                <w:highlight w:val="none"/>
              </w:rPr>
            </w:pPr>
            <w:r>
              <w:rPr>
                <w:b/>
                <w:color w:val="auto"/>
                <w:sz w:val="32"/>
                <w:szCs w:val="32"/>
                <w:highlight w:val="none"/>
              </w:rPr>
              <w:t>0771-</w:t>
            </w:r>
            <w:r>
              <w:rPr>
                <w:rFonts w:hint="eastAsia"/>
                <w:b/>
                <w:color w:val="auto"/>
                <w:sz w:val="32"/>
                <w:szCs w:val="32"/>
                <w:highlight w:val="none"/>
              </w:rPr>
              <w:t>2808981</w:t>
            </w:r>
          </w:p>
        </w:tc>
      </w:tr>
    </w:tbl>
    <w:p w14:paraId="63C21113">
      <w:pPr>
        <w:tabs>
          <w:tab w:val="left" w:pos="1710"/>
        </w:tabs>
        <w:rPr>
          <w:color w:val="auto"/>
          <w:highlight w:val="none"/>
        </w:rPr>
      </w:pPr>
    </w:p>
    <w:p w14:paraId="3D751766">
      <w:pPr>
        <w:rPr>
          <w:color w:val="auto"/>
          <w:highlight w:val="none"/>
        </w:rPr>
      </w:pPr>
    </w:p>
    <w:p w14:paraId="2F20A977">
      <w:pPr>
        <w:rPr>
          <w:color w:val="auto"/>
          <w:highlight w:val="none"/>
        </w:rPr>
      </w:pPr>
    </w:p>
    <w:p w14:paraId="28116036">
      <w:pPr>
        <w:rPr>
          <w:color w:val="auto"/>
          <w:highlight w:val="none"/>
        </w:rPr>
      </w:pPr>
    </w:p>
    <w:p w14:paraId="06530A92">
      <w:pPr>
        <w:rPr>
          <w:color w:val="auto"/>
          <w:highlight w:val="none"/>
        </w:rPr>
      </w:pPr>
    </w:p>
    <w:p w14:paraId="5803A18D">
      <w:pPr>
        <w:rPr>
          <w:color w:val="auto"/>
          <w:highlight w:val="none"/>
        </w:rPr>
      </w:pPr>
    </w:p>
    <w:p w14:paraId="530FF38E">
      <w:pPr>
        <w:rPr>
          <w:color w:val="auto"/>
          <w:highlight w:val="none"/>
        </w:rPr>
      </w:pPr>
    </w:p>
    <w:p w14:paraId="194F448C">
      <w:pPr>
        <w:rPr>
          <w:color w:val="auto"/>
          <w:highlight w:val="none"/>
        </w:rPr>
      </w:pPr>
    </w:p>
    <w:p w14:paraId="41489E60">
      <w:pPr>
        <w:rPr>
          <w:color w:val="auto"/>
          <w:highlight w:val="none"/>
        </w:rPr>
      </w:pPr>
    </w:p>
    <w:p w14:paraId="64EDF474">
      <w:pPr>
        <w:rPr>
          <w:color w:val="auto"/>
          <w:highlight w:val="none"/>
        </w:rPr>
      </w:pPr>
    </w:p>
    <w:p w14:paraId="4BF32F9C">
      <w:pPr>
        <w:rPr>
          <w:color w:val="auto"/>
          <w:highlight w:val="none"/>
        </w:rPr>
      </w:pPr>
    </w:p>
    <w:p w14:paraId="2C4656DE">
      <w:pPr>
        <w:rPr>
          <w:color w:val="auto"/>
          <w:highlight w:val="none"/>
        </w:rPr>
      </w:pPr>
    </w:p>
    <w:p w14:paraId="082AA009">
      <w:pPr>
        <w:rPr>
          <w:color w:val="auto"/>
          <w:highlight w:val="none"/>
        </w:rPr>
      </w:pPr>
    </w:p>
    <w:p w14:paraId="3A93293B">
      <w:pPr>
        <w:rPr>
          <w:color w:val="auto"/>
          <w:highlight w:val="none"/>
        </w:rPr>
      </w:pPr>
    </w:p>
    <w:p w14:paraId="3CC57CB6">
      <w:pPr>
        <w:rPr>
          <w:color w:val="auto"/>
          <w:highlight w:val="none"/>
        </w:rPr>
      </w:pPr>
    </w:p>
    <w:tbl>
      <w:tblPr>
        <w:tblStyle w:val="51"/>
        <w:tblW w:w="0" w:type="auto"/>
        <w:jc w:val="center"/>
        <w:tblLayout w:type="fixed"/>
        <w:tblCellMar>
          <w:top w:w="0" w:type="dxa"/>
          <w:left w:w="108" w:type="dxa"/>
          <w:bottom w:w="0" w:type="dxa"/>
          <w:right w:w="108" w:type="dxa"/>
        </w:tblCellMar>
      </w:tblPr>
      <w:tblGrid>
        <w:gridCol w:w="2707"/>
        <w:gridCol w:w="6"/>
        <w:gridCol w:w="5571"/>
      </w:tblGrid>
      <w:tr w14:paraId="162BF6B7">
        <w:tblPrEx>
          <w:tblCellMar>
            <w:top w:w="0" w:type="dxa"/>
            <w:left w:w="108" w:type="dxa"/>
            <w:bottom w:w="0" w:type="dxa"/>
            <w:right w:w="108" w:type="dxa"/>
          </w:tblCellMar>
        </w:tblPrEx>
        <w:trPr>
          <w:trHeight w:val="703" w:hRule="atLeast"/>
          <w:jc w:val="center"/>
        </w:trPr>
        <w:tc>
          <w:tcPr>
            <w:tcW w:w="2707" w:type="dxa"/>
            <w:vAlign w:val="center"/>
          </w:tcPr>
          <w:p w14:paraId="6771176A">
            <w:pPr>
              <w:autoSpaceDE w:val="0"/>
              <w:autoSpaceDN w:val="0"/>
              <w:adjustRightInd w:val="0"/>
              <w:jc w:val="right"/>
              <w:rPr>
                <w:b/>
                <w:color w:val="auto"/>
                <w:sz w:val="32"/>
                <w:szCs w:val="32"/>
                <w:highlight w:val="none"/>
              </w:rPr>
            </w:pPr>
            <w:r>
              <w:rPr>
                <w:b/>
                <w:color w:val="auto"/>
                <w:sz w:val="32"/>
                <w:szCs w:val="32"/>
                <w:highlight w:val="none"/>
              </w:rPr>
              <w:t xml:space="preserve">  采购人：</w:t>
            </w:r>
          </w:p>
        </w:tc>
        <w:tc>
          <w:tcPr>
            <w:tcW w:w="5577" w:type="dxa"/>
            <w:gridSpan w:val="2"/>
            <w:vAlign w:val="center"/>
          </w:tcPr>
          <w:p w14:paraId="3A3F4B62">
            <w:pPr>
              <w:autoSpaceDE w:val="0"/>
              <w:autoSpaceDN w:val="0"/>
              <w:adjustRightInd w:val="0"/>
              <w:jc w:val="left"/>
              <w:rPr>
                <w:b/>
                <w:color w:val="auto"/>
                <w:sz w:val="32"/>
                <w:szCs w:val="32"/>
                <w:highlight w:val="none"/>
              </w:rPr>
            </w:pPr>
            <w:r>
              <w:rPr>
                <w:rFonts w:hint="eastAsia"/>
                <w:b/>
                <w:color w:val="auto"/>
                <w:sz w:val="32"/>
                <w:szCs w:val="32"/>
                <w:highlight w:val="none"/>
              </w:rPr>
              <w:t>广西壮族自治区人工影响天气办公室</w:t>
            </w:r>
          </w:p>
        </w:tc>
      </w:tr>
      <w:tr w14:paraId="6772793D">
        <w:tblPrEx>
          <w:tblCellMar>
            <w:top w:w="0" w:type="dxa"/>
            <w:left w:w="108" w:type="dxa"/>
            <w:bottom w:w="0" w:type="dxa"/>
            <w:right w:w="108" w:type="dxa"/>
          </w:tblCellMar>
        </w:tblPrEx>
        <w:trPr>
          <w:trHeight w:val="703" w:hRule="atLeast"/>
          <w:jc w:val="center"/>
        </w:trPr>
        <w:tc>
          <w:tcPr>
            <w:tcW w:w="2713" w:type="dxa"/>
            <w:gridSpan w:val="2"/>
          </w:tcPr>
          <w:p w14:paraId="2DB09CFC">
            <w:pPr>
              <w:autoSpaceDE w:val="0"/>
              <w:autoSpaceDN w:val="0"/>
              <w:adjustRightInd w:val="0"/>
              <w:jc w:val="right"/>
              <w:rPr>
                <w:b/>
                <w:color w:val="auto"/>
                <w:sz w:val="32"/>
                <w:szCs w:val="32"/>
                <w:highlight w:val="none"/>
              </w:rPr>
            </w:pPr>
            <w:r>
              <w:rPr>
                <w:b/>
                <w:color w:val="auto"/>
                <w:sz w:val="32"/>
                <w:szCs w:val="32"/>
                <w:highlight w:val="none"/>
              </w:rPr>
              <w:t>采购代理机构：</w:t>
            </w:r>
          </w:p>
        </w:tc>
        <w:tc>
          <w:tcPr>
            <w:tcW w:w="5571" w:type="dxa"/>
          </w:tcPr>
          <w:p w14:paraId="56E58284">
            <w:pPr>
              <w:autoSpaceDE w:val="0"/>
              <w:autoSpaceDN w:val="0"/>
              <w:adjustRightInd w:val="0"/>
              <w:rPr>
                <w:b/>
                <w:color w:val="auto"/>
                <w:sz w:val="32"/>
                <w:szCs w:val="32"/>
                <w:highlight w:val="none"/>
                <w:u w:val="single"/>
              </w:rPr>
            </w:pPr>
            <w:r>
              <w:rPr>
                <w:b/>
                <w:color w:val="auto"/>
                <w:sz w:val="32"/>
                <w:szCs w:val="32"/>
                <w:highlight w:val="none"/>
              </w:rPr>
              <w:t>广西机电设备招标有限公司</w:t>
            </w:r>
          </w:p>
        </w:tc>
      </w:tr>
    </w:tbl>
    <w:p w14:paraId="76655405">
      <w:pPr>
        <w:rPr>
          <w:color w:val="auto"/>
          <w:highlight w:val="none"/>
        </w:rPr>
      </w:pPr>
    </w:p>
    <w:p w14:paraId="1A68B3E2">
      <w:pPr>
        <w:ind w:firstLine="321" w:firstLineChars="100"/>
        <w:jc w:val="center"/>
        <w:rPr>
          <w:b/>
          <w:color w:val="auto"/>
          <w:sz w:val="32"/>
          <w:szCs w:val="32"/>
          <w:highlight w:val="none"/>
        </w:rPr>
        <w:sectPr>
          <w:headerReference r:id="rId3" w:type="first"/>
          <w:footerReference r:id="rId5" w:type="first"/>
          <w:footerReference r:id="rId4" w:type="even"/>
          <w:type w:val="nextColumn"/>
          <w:pgSz w:w="11906" w:h="16838"/>
          <w:pgMar w:top="1418" w:right="1418" w:bottom="1246" w:left="1418" w:header="851" w:footer="992" w:gutter="0"/>
          <w:pgNumType w:start="0"/>
          <w:cols w:space="720" w:num="1"/>
          <w:titlePg/>
          <w:docGrid w:linePitch="312" w:charSpace="0"/>
        </w:sectPr>
      </w:pPr>
      <w:bookmarkStart w:id="2" w:name="_Toc32587"/>
      <w:r>
        <w:rPr>
          <w:b/>
          <w:color w:val="auto"/>
          <w:sz w:val="32"/>
          <w:szCs w:val="32"/>
          <w:highlight w:val="none"/>
        </w:rPr>
        <w:t>202</w:t>
      </w:r>
      <w:r>
        <w:rPr>
          <w:rFonts w:hint="eastAsia"/>
          <w:b/>
          <w:color w:val="auto"/>
          <w:sz w:val="32"/>
          <w:szCs w:val="32"/>
          <w:highlight w:val="none"/>
        </w:rPr>
        <w:t>6</w:t>
      </w:r>
      <w:r>
        <w:rPr>
          <w:b/>
          <w:color w:val="auto"/>
          <w:sz w:val="32"/>
          <w:szCs w:val="32"/>
          <w:highlight w:val="none"/>
        </w:rPr>
        <w:t>年</w:t>
      </w:r>
      <w:r>
        <w:rPr>
          <w:rFonts w:hint="eastAsia"/>
          <w:b/>
          <w:color w:val="auto"/>
          <w:sz w:val="32"/>
          <w:szCs w:val="32"/>
          <w:highlight w:val="none"/>
        </w:rPr>
        <w:t>8</w:t>
      </w:r>
      <w:r>
        <w:rPr>
          <w:b/>
          <w:color w:val="auto"/>
          <w:sz w:val="32"/>
          <w:szCs w:val="32"/>
          <w:highlight w:val="none"/>
        </w:rPr>
        <w:t>月</w:t>
      </w:r>
    </w:p>
    <w:p w14:paraId="7DD6428D">
      <w:pPr>
        <w:pStyle w:val="26"/>
        <w:snapToGrid w:val="0"/>
        <w:spacing w:before="120" w:after="120" w:line="320" w:lineRule="exact"/>
        <w:jc w:val="center"/>
        <w:rPr>
          <w:rFonts w:ascii="Times New Roman" w:hAnsi="Times New Roman" w:cs="Times New Roman"/>
          <w:color w:val="auto"/>
          <w:sz w:val="32"/>
          <w:szCs w:val="32"/>
          <w:highlight w:val="none"/>
        </w:rPr>
      </w:pPr>
      <w:bookmarkStart w:id="3" w:name="_Toc3334"/>
      <w:bookmarkStart w:id="4" w:name="_Toc9210"/>
      <w:r>
        <w:rPr>
          <w:rFonts w:ascii="Times New Roman" w:hAnsi="Times New Roman" w:cs="Times New Roman"/>
          <w:color w:val="auto"/>
          <w:sz w:val="32"/>
          <w:szCs w:val="32"/>
          <w:highlight w:val="none"/>
        </w:rPr>
        <w:t>目    录</w:t>
      </w:r>
      <w:bookmarkEnd w:id="2"/>
      <w:bookmarkEnd w:id="3"/>
      <w:bookmarkEnd w:id="4"/>
    </w:p>
    <w:p w14:paraId="098D701E">
      <w:pPr>
        <w:pStyle w:val="33"/>
        <w:tabs>
          <w:tab w:val="right" w:leader="dot" w:pos="9070"/>
          <w:tab w:val="clear" w:pos="8398"/>
        </w:tabs>
        <w:ind w:firstLine="241"/>
        <w:rPr>
          <w:color w:val="auto"/>
          <w:highlight w:val="none"/>
        </w:rPr>
      </w:pPr>
      <w:r>
        <w:rPr>
          <w:rFonts w:ascii="Times New Roman" w:hAnsi="Times New Roman"/>
          <w:color w:val="auto"/>
          <w:highlight w:val="none"/>
        </w:rPr>
        <w:fldChar w:fldCharType="begin"/>
      </w:r>
      <w:r>
        <w:rPr>
          <w:rStyle w:val="57"/>
          <w:rFonts w:ascii="Times New Roman" w:hAnsi="Times New Roman"/>
          <w:color w:val="auto"/>
          <w:highlight w:val="none"/>
        </w:rPr>
        <w:instrText xml:space="preserve"> TOC \o "1-1" \h \z \u </w:instrText>
      </w:r>
      <w:r>
        <w:rPr>
          <w:rFonts w:ascii="Times New Roman" w:hAnsi="Times New Roman"/>
          <w:color w:val="auto"/>
          <w:highlight w:val="none"/>
        </w:rPr>
        <w:fldChar w:fldCharType="separate"/>
      </w:r>
      <w:r>
        <w:rPr>
          <w:color w:val="auto"/>
          <w:highlight w:val="none"/>
        </w:rPr>
        <w:fldChar w:fldCharType="begin"/>
      </w:r>
      <w:r>
        <w:rPr>
          <w:color w:val="auto"/>
          <w:highlight w:val="none"/>
        </w:rPr>
        <w:instrText xml:space="preserve"> HYPERLINK \l "_Toc28458" </w:instrText>
      </w:r>
      <w:r>
        <w:rPr>
          <w:color w:val="auto"/>
          <w:highlight w:val="none"/>
        </w:rPr>
        <w:fldChar w:fldCharType="separate"/>
      </w:r>
      <w:r>
        <w:rPr>
          <w:rFonts w:ascii="Times New Roman" w:hAnsi="Times New Roman"/>
          <w:color w:val="auto"/>
          <w:szCs w:val="32"/>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_Toc28458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6461781E">
      <w:pPr>
        <w:pStyle w:val="33"/>
        <w:tabs>
          <w:tab w:val="right" w:leader="dot" w:pos="9070"/>
          <w:tab w:val="clear" w:pos="8398"/>
        </w:tabs>
        <w:ind w:firstLine="241"/>
        <w:rPr>
          <w:color w:val="auto"/>
          <w:highlight w:val="none"/>
        </w:rPr>
      </w:pPr>
      <w:r>
        <w:rPr>
          <w:color w:val="auto"/>
          <w:highlight w:val="none"/>
        </w:rPr>
        <w:fldChar w:fldCharType="begin"/>
      </w:r>
      <w:r>
        <w:rPr>
          <w:color w:val="auto"/>
          <w:highlight w:val="none"/>
        </w:rPr>
        <w:instrText xml:space="preserve"> HYPERLINK \l "_Toc23257" </w:instrText>
      </w:r>
      <w:r>
        <w:rPr>
          <w:color w:val="auto"/>
          <w:highlight w:val="none"/>
        </w:rPr>
        <w:fldChar w:fldCharType="separate"/>
      </w:r>
      <w:r>
        <w:rPr>
          <w:rFonts w:ascii="Times New Roman" w:hAnsi="Times New Roman"/>
          <w:color w:val="auto"/>
          <w:szCs w:val="32"/>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_Toc23257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4E5A4950">
      <w:pPr>
        <w:pStyle w:val="33"/>
        <w:tabs>
          <w:tab w:val="right" w:leader="dot" w:pos="9070"/>
          <w:tab w:val="clear" w:pos="8398"/>
        </w:tabs>
        <w:ind w:firstLine="241"/>
        <w:rPr>
          <w:color w:val="auto"/>
          <w:highlight w:val="none"/>
        </w:rPr>
      </w:pPr>
      <w:r>
        <w:rPr>
          <w:color w:val="auto"/>
          <w:highlight w:val="none"/>
        </w:rPr>
        <w:fldChar w:fldCharType="begin"/>
      </w:r>
      <w:r>
        <w:rPr>
          <w:color w:val="auto"/>
          <w:highlight w:val="none"/>
        </w:rPr>
        <w:instrText xml:space="preserve"> HYPERLINK \l "_Toc19270" </w:instrText>
      </w:r>
      <w:r>
        <w:rPr>
          <w:color w:val="auto"/>
          <w:highlight w:val="none"/>
        </w:rPr>
        <w:fldChar w:fldCharType="separate"/>
      </w:r>
      <w:r>
        <w:rPr>
          <w:rFonts w:hint="eastAsia"/>
          <w:color w:val="auto"/>
          <w:szCs w:val="32"/>
          <w:highlight w:val="none"/>
        </w:rPr>
        <w:t>第</w:t>
      </w:r>
      <w:r>
        <w:rPr>
          <w:color w:val="auto"/>
          <w:szCs w:val="32"/>
          <w:highlight w:val="none"/>
        </w:rPr>
        <w:t xml:space="preserve">三章  </w:t>
      </w:r>
      <w:r>
        <w:rPr>
          <w:rFonts w:hint="eastAsia"/>
          <w:color w:val="auto"/>
          <w:szCs w:val="32"/>
          <w:highlight w:val="none"/>
        </w:rPr>
        <w:t>投标人须知</w:t>
      </w:r>
      <w:r>
        <w:rPr>
          <w:color w:val="auto"/>
          <w:highlight w:val="none"/>
        </w:rPr>
        <w:tab/>
      </w:r>
      <w:r>
        <w:rPr>
          <w:color w:val="auto"/>
          <w:highlight w:val="none"/>
        </w:rPr>
        <w:fldChar w:fldCharType="begin"/>
      </w:r>
      <w:r>
        <w:rPr>
          <w:color w:val="auto"/>
          <w:highlight w:val="none"/>
        </w:rPr>
        <w:instrText xml:space="preserve"> PAGEREF _Toc19270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0C415F60">
      <w:pPr>
        <w:pStyle w:val="33"/>
        <w:tabs>
          <w:tab w:val="right" w:leader="dot" w:pos="9070"/>
          <w:tab w:val="clear" w:pos="8398"/>
        </w:tabs>
        <w:ind w:firstLine="241"/>
        <w:rPr>
          <w:color w:val="auto"/>
          <w:highlight w:val="none"/>
        </w:rPr>
      </w:pPr>
      <w:r>
        <w:rPr>
          <w:color w:val="auto"/>
          <w:highlight w:val="none"/>
        </w:rPr>
        <w:fldChar w:fldCharType="begin"/>
      </w:r>
      <w:r>
        <w:rPr>
          <w:color w:val="auto"/>
          <w:highlight w:val="none"/>
        </w:rPr>
        <w:instrText xml:space="preserve"> HYPERLINK \l "_Toc12934" </w:instrText>
      </w:r>
      <w:r>
        <w:rPr>
          <w:color w:val="auto"/>
          <w:highlight w:val="none"/>
        </w:rPr>
        <w:fldChar w:fldCharType="separate"/>
      </w:r>
      <w:r>
        <w:rPr>
          <w:rFonts w:ascii="Times New Roman" w:hAnsi="Times New Roman"/>
          <w:color w:val="auto"/>
          <w:szCs w:val="32"/>
          <w:highlight w:val="none"/>
        </w:rPr>
        <w:t>第四章  评审方法及标准</w:t>
      </w:r>
      <w:r>
        <w:rPr>
          <w:color w:val="auto"/>
          <w:highlight w:val="none"/>
        </w:rPr>
        <w:tab/>
      </w:r>
      <w:r>
        <w:rPr>
          <w:color w:val="auto"/>
          <w:highlight w:val="none"/>
        </w:rPr>
        <w:fldChar w:fldCharType="begin"/>
      </w:r>
      <w:r>
        <w:rPr>
          <w:color w:val="auto"/>
          <w:highlight w:val="none"/>
        </w:rPr>
        <w:instrText xml:space="preserve"> PAGEREF _Toc12934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722A40F1">
      <w:pPr>
        <w:pStyle w:val="33"/>
        <w:tabs>
          <w:tab w:val="right" w:leader="dot" w:pos="9070"/>
          <w:tab w:val="clear" w:pos="8398"/>
        </w:tabs>
        <w:ind w:firstLine="241"/>
        <w:rPr>
          <w:color w:val="auto"/>
          <w:highlight w:val="none"/>
        </w:rPr>
      </w:pPr>
      <w:r>
        <w:rPr>
          <w:color w:val="auto"/>
          <w:highlight w:val="none"/>
        </w:rPr>
        <w:fldChar w:fldCharType="begin"/>
      </w:r>
      <w:r>
        <w:rPr>
          <w:color w:val="auto"/>
          <w:highlight w:val="none"/>
        </w:rPr>
        <w:instrText xml:space="preserve"> HYPERLINK \l "_Toc6751" </w:instrText>
      </w:r>
      <w:r>
        <w:rPr>
          <w:color w:val="auto"/>
          <w:highlight w:val="none"/>
        </w:rPr>
        <w:fldChar w:fldCharType="separate"/>
      </w:r>
      <w:r>
        <w:rPr>
          <w:rFonts w:ascii="Times New Roman" w:hAnsi="Times New Roman"/>
          <w:color w:val="auto"/>
          <w:szCs w:val="32"/>
          <w:highlight w:val="none"/>
        </w:rPr>
        <w:t>第五章  合同主要条款格式</w:t>
      </w:r>
      <w:r>
        <w:rPr>
          <w:color w:val="auto"/>
          <w:highlight w:val="none"/>
        </w:rPr>
        <w:tab/>
      </w:r>
      <w:r>
        <w:rPr>
          <w:color w:val="auto"/>
          <w:highlight w:val="none"/>
        </w:rPr>
        <w:fldChar w:fldCharType="begin"/>
      </w:r>
      <w:r>
        <w:rPr>
          <w:color w:val="auto"/>
          <w:highlight w:val="none"/>
        </w:rPr>
        <w:instrText xml:space="preserve"> PAGEREF _Toc6751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2378E68F">
      <w:pPr>
        <w:pStyle w:val="33"/>
        <w:tabs>
          <w:tab w:val="right" w:leader="dot" w:pos="9070"/>
          <w:tab w:val="clear" w:pos="8398"/>
        </w:tabs>
        <w:ind w:firstLine="241"/>
        <w:rPr>
          <w:color w:val="auto"/>
          <w:highlight w:val="none"/>
        </w:rPr>
      </w:pPr>
      <w:r>
        <w:rPr>
          <w:color w:val="auto"/>
          <w:highlight w:val="none"/>
        </w:rPr>
        <w:fldChar w:fldCharType="begin"/>
      </w:r>
      <w:r>
        <w:rPr>
          <w:color w:val="auto"/>
          <w:highlight w:val="none"/>
        </w:rPr>
        <w:instrText xml:space="preserve"> HYPERLINK \l "_Toc29819" </w:instrText>
      </w:r>
      <w:r>
        <w:rPr>
          <w:color w:val="auto"/>
          <w:highlight w:val="none"/>
        </w:rPr>
        <w:fldChar w:fldCharType="separate"/>
      </w:r>
      <w:r>
        <w:rPr>
          <w:rFonts w:ascii="Times New Roman" w:hAnsi="Times New Roman"/>
          <w:color w:val="auto"/>
          <w:szCs w:val="32"/>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_Toc29819 \h </w:instrText>
      </w:r>
      <w:r>
        <w:rPr>
          <w:color w:val="auto"/>
          <w:highlight w:val="none"/>
        </w:rPr>
        <w:fldChar w:fldCharType="separate"/>
      </w:r>
      <w:r>
        <w:rPr>
          <w:color w:val="auto"/>
          <w:highlight w:val="none"/>
        </w:rPr>
        <w:t>47</w:t>
      </w:r>
      <w:r>
        <w:rPr>
          <w:color w:val="auto"/>
          <w:highlight w:val="none"/>
        </w:rPr>
        <w:fldChar w:fldCharType="end"/>
      </w:r>
      <w:r>
        <w:rPr>
          <w:color w:val="auto"/>
          <w:highlight w:val="none"/>
        </w:rPr>
        <w:fldChar w:fldCharType="end"/>
      </w:r>
    </w:p>
    <w:p w14:paraId="2EAAEFB1">
      <w:pPr>
        <w:pStyle w:val="33"/>
        <w:ind w:firstLine="241"/>
        <w:rPr>
          <w:rFonts w:ascii="Times New Roman" w:hAnsi="Times New Roman"/>
          <w:color w:val="auto"/>
          <w:sz w:val="28"/>
          <w:szCs w:val="28"/>
          <w:highlight w:val="none"/>
        </w:rPr>
      </w:pPr>
      <w:r>
        <w:rPr>
          <w:rFonts w:ascii="Times New Roman" w:hAnsi="Times New Roman"/>
          <w:color w:val="auto"/>
          <w:szCs w:val="28"/>
          <w:highlight w:val="none"/>
        </w:rPr>
        <w:fldChar w:fldCharType="end"/>
      </w:r>
    </w:p>
    <w:p w14:paraId="1DD0FF67">
      <w:pPr>
        <w:spacing w:before="120" w:beforeLines="50" w:line="480" w:lineRule="exact"/>
        <w:rPr>
          <w:color w:val="auto"/>
          <w:sz w:val="28"/>
          <w:szCs w:val="28"/>
          <w:highlight w:val="none"/>
        </w:rPr>
      </w:pPr>
    </w:p>
    <w:p w14:paraId="261D848A">
      <w:pPr>
        <w:spacing w:before="120" w:beforeLines="50" w:line="480" w:lineRule="exact"/>
        <w:rPr>
          <w:color w:val="auto"/>
          <w:sz w:val="30"/>
          <w:highlight w:val="none"/>
        </w:rPr>
        <w:sectPr>
          <w:headerReference r:id="rId6" w:type="first"/>
          <w:pgSz w:w="11906" w:h="16838"/>
          <w:pgMar w:top="1418" w:right="1418" w:bottom="1246" w:left="1418" w:header="851" w:footer="992" w:gutter="0"/>
          <w:pgNumType w:start="0"/>
          <w:cols w:space="720" w:num="1"/>
          <w:titlePg/>
          <w:docGrid w:linePitch="312" w:charSpace="0"/>
        </w:sectPr>
      </w:pPr>
    </w:p>
    <w:p w14:paraId="759A06E5">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5" w:name="_Toc254970630"/>
      <w:bookmarkStart w:id="6" w:name="_Toc254970489"/>
      <w:bookmarkStart w:id="7" w:name="_Toc28458"/>
      <w:r>
        <w:rPr>
          <w:rFonts w:ascii="Times New Roman" w:hAnsi="Times New Roman" w:cs="Times New Roman"/>
          <w:color w:val="auto"/>
          <w:sz w:val="32"/>
          <w:szCs w:val="32"/>
          <w:highlight w:val="none"/>
        </w:rPr>
        <w:t xml:space="preserve">第一章  </w:t>
      </w:r>
      <w:bookmarkEnd w:id="5"/>
      <w:bookmarkEnd w:id="6"/>
      <w:r>
        <w:rPr>
          <w:rFonts w:ascii="Times New Roman" w:hAnsi="Times New Roman" w:cs="Times New Roman"/>
          <w:color w:val="auto"/>
          <w:sz w:val="32"/>
          <w:szCs w:val="32"/>
          <w:highlight w:val="none"/>
        </w:rPr>
        <w:t>招标公告</w:t>
      </w:r>
      <w:bookmarkEnd w:id="7"/>
    </w:p>
    <w:p w14:paraId="5269A606">
      <w:pPr>
        <w:spacing w:line="400" w:lineRule="exact"/>
        <w:jc w:val="center"/>
        <w:rPr>
          <w:b/>
          <w:bCs/>
          <w:color w:val="auto"/>
          <w:kern w:val="0"/>
          <w:szCs w:val="21"/>
          <w:highlight w:val="none"/>
        </w:rPr>
      </w:pPr>
      <w:r>
        <w:rPr>
          <w:b/>
          <w:bCs/>
          <w:color w:val="auto"/>
          <w:kern w:val="0"/>
          <w:sz w:val="24"/>
          <w:highlight w:val="none"/>
        </w:rPr>
        <w:t>广西机电设备招标有限公司关于</w:t>
      </w:r>
      <w:r>
        <w:rPr>
          <w:rFonts w:hint="eastAsia"/>
          <w:b/>
          <w:bCs/>
          <w:color w:val="auto"/>
          <w:kern w:val="0"/>
          <w:sz w:val="24"/>
          <w:highlight w:val="none"/>
        </w:rPr>
        <w:t>广西新舟60增雨飞机托管服务</w:t>
      </w:r>
      <w:r>
        <w:rPr>
          <w:b/>
          <w:bCs/>
          <w:color w:val="auto"/>
          <w:sz w:val="24"/>
          <w:highlight w:val="none"/>
        </w:rPr>
        <w:t xml:space="preserve"> (</w:t>
      </w:r>
      <w:r>
        <w:rPr>
          <w:rFonts w:hint="eastAsia"/>
          <w:b/>
          <w:bCs/>
          <w:color w:val="auto"/>
          <w:sz w:val="24"/>
          <w:highlight w:val="none"/>
        </w:rPr>
        <w:t xml:space="preserve"> GXZC2026-G3-002710-JDZB </w:t>
      </w:r>
      <w:r>
        <w:rPr>
          <w:b/>
          <w:bCs/>
          <w:color w:val="auto"/>
          <w:sz w:val="24"/>
          <w:highlight w:val="none"/>
        </w:rPr>
        <w:t>)</w:t>
      </w:r>
      <w:r>
        <w:rPr>
          <w:b/>
          <w:bCs/>
          <w:color w:val="auto"/>
          <w:kern w:val="0"/>
          <w:sz w:val="24"/>
          <w:highlight w:val="none"/>
        </w:rPr>
        <w:t>公开招标公告</w:t>
      </w:r>
    </w:p>
    <w:p w14:paraId="7E687A15">
      <w:pPr>
        <w:spacing w:line="312" w:lineRule="auto"/>
        <w:ind w:firstLine="420" w:firstLineChars="200"/>
        <w:jc w:val="left"/>
        <w:rPr>
          <w:b/>
          <w:bCs/>
          <w:color w:val="auto"/>
          <w:kern w:val="0"/>
          <w:sz w:val="22"/>
          <w:szCs w:val="22"/>
          <w:highlight w:val="none"/>
        </w:rPr>
      </w:pPr>
      <w:bookmarkStart w:id="8" w:name="_Hlk132795121"/>
      <w:bookmarkStart w:id="9" w:name="_Hlk132877709"/>
      <w:r>
        <w:rPr>
          <w:rFonts w:hint="eastAsia"/>
          <w:color w:val="auto"/>
          <w:szCs w:val="21"/>
          <w:highlight w:val="none"/>
        </w:rPr>
        <w:t>项目概况：广西新舟60增雨飞机托管服务的潜在投标人应在广西政府采购云平台（https://www.gcy.zfcg.gxzf.gov.cn/）获取招标文件，并于2026年</w:t>
      </w:r>
      <w:r>
        <w:rPr>
          <w:rFonts w:hint="eastAsia"/>
          <w:color w:val="auto"/>
          <w:szCs w:val="21"/>
          <w:highlight w:val="none"/>
          <w:lang w:val="en-US" w:eastAsia="zh-CN"/>
        </w:rPr>
        <w:t>9</w:t>
      </w:r>
      <w:r>
        <w:rPr>
          <w:rFonts w:hint="eastAsia"/>
          <w:color w:val="auto"/>
          <w:szCs w:val="21"/>
          <w:highlight w:val="none"/>
        </w:rPr>
        <w:t>月</w:t>
      </w:r>
      <w:r>
        <w:rPr>
          <w:rFonts w:hint="eastAsia"/>
          <w:color w:val="auto"/>
          <w:szCs w:val="21"/>
          <w:highlight w:val="none"/>
          <w:lang w:val="en-US" w:eastAsia="zh-CN"/>
        </w:rPr>
        <w:t>14</w:t>
      </w:r>
      <w:r>
        <w:rPr>
          <w:rFonts w:hint="eastAsia"/>
          <w:color w:val="auto"/>
          <w:szCs w:val="21"/>
          <w:highlight w:val="none"/>
        </w:rPr>
        <w:t>日 09:30（北京时间）前递交投标文件。</w:t>
      </w:r>
      <w:bookmarkEnd w:id="8"/>
    </w:p>
    <w:bookmarkEnd w:id="9"/>
    <w:p w14:paraId="02EAD26E">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一、项目基本情况</w:t>
      </w:r>
    </w:p>
    <w:p w14:paraId="5BCF5D27">
      <w:pPr>
        <w:spacing w:line="312" w:lineRule="auto"/>
        <w:ind w:firstLine="420" w:firstLineChars="200"/>
        <w:jc w:val="left"/>
        <w:rPr>
          <w:color w:val="auto"/>
          <w:kern w:val="0"/>
          <w:szCs w:val="21"/>
          <w:highlight w:val="none"/>
        </w:rPr>
      </w:pPr>
      <w:r>
        <w:rPr>
          <w:color w:val="auto"/>
          <w:kern w:val="0"/>
          <w:szCs w:val="21"/>
          <w:highlight w:val="none"/>
        </w:rPr>
        <w:t>项目编号：GXZC2026-G3-002710-JDZB</w:t>
      </w:r>
      <w:r>
        <w:rPr>
          <w:rFonts w:hint="eastAsia"/>
          <w:color w:val="auto"/>
          <w:kern w:val="0"/>
          <w:szCs w:val="21"/>
          <w:highlight w:val="none"/>
        </w:rPr>
        <w:t xml:space="preserve"> </w:t>
      </w:r>
    </w:p>
    <w:p w14:paraId="3A42933E">
      <w:pPr>
        <w:spacing w:line="312" w:lineRule="auto"/>
        <w:ind w:firstLine="420" w:firstLineChars="200"/>
        <w:jc w:val="left"/>
        <w:rPr>
          <w:color w:val="auto"/>
          <w:kern w:val="0"/>
          <w:szCs w:val="21"/>
          <w:highlight w:val="none"/>
        </w:rPr>
      </w:pPr>
      <w:r>
        <w:rPr>
          <w:color w:val="auto"/>
          <w:kern w:val="0"/>
          <w:szCs w:val="21"/>
          <w:highlight w:val="none"/>
        </w:rPr>
        <w:t>项目名称：</w:t>
      </w:r>
      <w:r>
        <w:rPr>
          <w:rFonts w:hint="eastAsia"/>
          <w:color w:val="auto"/>
          <w:szCs w:val="21"/>
          <w:highlight w:val="none"/>
        </w:rPr>
        <w:t>广西新舟60增雨飞机托管服务</w:t>
      </w:r>
    </w:p>
    <w:p w14:paraId="4B2F589E">
      <w:pPr>
        <w:spacing w:line="312" w:lineRule="auto"/>
        <w:ind w:firstLine="420" w:firstLineChars="200"/>
        <w:jc w:val="left"/>
        <w:rPr>
          <w:rFonts w:hint="default" w:eastAsia="宋体"/>
          <w:color w:val="auto"/>
          <w:kern w:val="0"/>
          <w:szCs w:val="21"/>
          <w:highlight w:val="none"/>
          <w:lang w:val="en-US" w:eastAsia="zh-CN"/>
        </w:rPr>
      </w:pPr>
      <w:bookmarkStart w:id="10" w:name="_Hlk132878038"/>
      <w:r>
        <w:rPr>
          <w:color w:val="auto"/>
          <w:kern w:val="0"/>
          <w:szCs w:val="21"/>
          <w:highlight w:val="none"/>
        </w:rPr>
        <w:t>预算</w:t>
      </w:r>
      <w:r>
        <w:rPr>
          <w:rFonts w:hint="eastAsia"/>
          <w:color w:val="auto"/>
          <w:kern w:val="0"/>
          <w:szCs w:val="21"/>
          <w:highlight w:val="none"/>
        </w:rPr>
        <w:t>总</w:t>
      </w:r>
      <w:r>
        <w:rPr>
          <w:color w:val="auto"/>
          <w:kern w:val="0"/>
          <w:szCs w:val="21"/>
          <w:highlight w:val="none"/>
        </w:rPr>
        <w:t>金额</w:t>
      </w:r>
      <w:r>
        <w:rPr>
          <w:rFonts w:hint="eastAsia"/>
          <w:color w:val="auto"/>
          <w:kern w:val="0"/>
          <w:szCs w:val="21"/>
          <w:highlight w:val="none"/>
        </w:rPr>
        <w:t>（元）</w:t>
      </w:r>
      <w:r>
        <w:rPr>
          <w:color w:val="auto"/>
          <w:kern w:val="0"/>
          <w:szCs w:val="21"/>
          <w:highlight w:val="none"/>
        </w:rPr>
        <w:t>：</w:t>
      </w:r>
      <w:r>
        <w:rPr>
          <w:rFonts w:hint="eastAsia"/>
          <w:color w:val="auto"/>
          <w:kern w:val="0"/>
          <w:szCs w:val="21"/>
          <w:highlight w:val="none"/>
          <w:lang w:val="en-US" w:eastAsia="zh-CN"/>
        </w:rPr>
        <w:t>6020000元</w:t>
      </w:r>
    </w:p>
    <w:bookmarkEnd w:id="10"/>
    <w:p w14:paraId="06F1A038">
      <w:pPr>
        <w:spacing w:line="312" w:lineRule="auto"/>
        <w:ind w:firstLine="420" w:firstLineChars="200"/>
        <w:jc w:val="left"/>
        <w:rPr>
          <w:color w:val="auto"/>
          <w:kern w:val="0"/>
          <w:szCs w:val="21"/>
          <w:highlight w:val="none"/>
        </w:rPr>
      </w:pPr>
      <w:r>
        <w:rPr>
          <w:rFonts w:hint="eastAsia"/>
          <w:color w:val="auto"/>
          <w:kern w:val="0"/>
          <w:szCs w:val="21"/>
          <w:highlight w:val="none"/>
        </w:rPr>
        <w:t>采购需求</w:t>
      </w:r>
      <w:r>
        <w:rPr>
          <w:color w:val="auto"/>
          <w:kern w:val="0"/>
          <w:szCs w:val="21"/>
          <w:highlight w:val="none"/>
        </w:rPr>
        <w:t>：</w:t>
      </w:r>
    </w:p>
    <w:p w14:paraId="6B688A2C">
      <w:pPr>
        <w:spacing w:line="312" w:lineRule="auto"/>
        <w:ind w:firstLine="735" w:firstLineChars="350"/>
        <w:jc w:val="left"/>
        <w:rPr>
          <w:color w:val="auto"/>
          <w:kern w:val="0"/>
          <w:szCs w:val="21"/>
          <w:highlight w:val="none"/>
        </w:rPr>
      </w:pPr>
      <w:r>
        <w:rPr>
          <w:rFonts w:hint="eastAsia"/>
          <w:color w:val="auto"/>
          <w:kern w:val="0"/>
          <w:szCs w:val="21"/>
          <w:highlight w:val="none"/>
        </w:rPr>
        <w:t>标项名称：广西新舟60增雨飞机托管服务</w:t>
      </w:r>
    </w:p>
    <w:p w14:paraId="619E3E46">
      <w:pPr>
        <w:spacing w:line="312" w:lineRule="auto"/>
        <w:ind w:firstLine="735" w:firstLineChars="350"/>
        <w:jc w:val="left"/>
        <w:rPr>
          <w:color w:val="auto"/>
          <w:kern w:val="0"/>
          <w:szCs w:val="21"/>
          <w:highlight w:val="none"/>
        </w:rPr>
      </w:pPr>
      <w:r>
        <w:rPr>
          <w:rFonts w:hint="eastAsia"/>
          <w:color w:val="auto"/>
          <w:kern w:val="0"/>
          <w:szCs w:val="21"/>
          <w:highlight w:val="none"/>
        </w:rPr>
        <w:t>数量：1项</w:t>
      </w:r>
    </w:p>
    <w:p w14:paraId="5DB1D7AE">
      <w:pPr>
        <w:spacing w:line="312" w:lineRule="auto"/>
        <w:ind w:firstLine="420" w:firstLineChars="200"/>
        <w:jc w:val="left"/>
        <w:rPr>
          <w:rFonts w:hint="default" w:eastAsia="宋体"/>
          <w:color w:val="auto"/>
          <w:kern w:val="0"/>
          <w:szCs w:val="21"/>
          <w:highlight w:val="none"/>
          <w:lang w:val="en-US" w:eastAsia="zh-CN"/>
        </w:rPr>
      </w:pPr>
      <w:r>
        <w:rPr>
          <w:rFonts w:hint="eastAsia"/>
          <w:color w:val="auto"/>
          <w:kern w:val="0"/>
          <w:szCs w:val="21"/>
          <w:highlight w:val="none"/>
        </w:rPr>
        <w:t>预算金额（元）：</w:t>
      </w:r>
      <w:r>
        <w:rPr>
          <w:rFonts w:hint="eastAsia"/>
          <w:color w:val="auto"/>
          <w:kern w:val="0"/>
          <w:szCs w:val="21"/>
          <w:highlight w:val="none"/>
          <w:lang w:val="en-US" w:eastAsia="zh-CN"/>
        </w:rPr>
        <w:t>6020000元</w:t>
      </w:r>
    </w:p>
    <w:p w14:paraId="79799546">
      <w:pPr>
        <w:spacing w:line="312" w:lineRule="auto"/>
        <w:ind w:firstLine="735" w:firstLineChars="350"/>
        <w:jc w:val="left"/>
        <w:rPr>
          <w:color w:val="auto"/>
          <w:kern w:val="0"/>
          <w:szCs w:val="21"/>
          <w:highlight w:val="none"/>
        </w:rPr>
      </w:pPr>
      <w:r>
        <w:rPr>
          <w:rFonts w:hint="eastAsia"/>
          <w:color w:val="auto"/>
          <w:kern w:val="0"/>
          <w:szCs w:val="21"/>
          <w:highlight w:val="none"/>
        </w:rPr>
        <w:t>简要规格描述或项目基本概况介绍、用途：广西新舟60增雨飞机托管服务</w:t>
      </w:r>
      <w:r>
        <w:rPr>
          <w:rFonts w:hint="eastAsia"/>
          <w:color w:val="auto"/>
          <w:szCs w:val="21"/>
          <w:highlight w:val="none"/>
        </w:rPr>
        <w:t>1项，</w:t>
      </w:r>
      <w:r>
        <w:rPr>
          <w:rFonts w:hint="eastAsia"/>
          <w:color w:val="auto"/>
          <w:kern w:val="0"/>
          <w:szCs w:val="21"/>
          <w:highlight w:val="none"/>
        </w:rPr>
        <w:t>如需进一步了解详细内容，详见招标文件。</w:t>
      </w:r>
    </w:p>
    <w:p w14:paraId="324423F9">
      <w:pPr>
        <w:spacing w:line="312" w:lineRule="auto"/>
        <w:ind w:firstLine="735" w:firstLineChars="350"/>
        <w:jc w:val="left"/>
        <w:rPr>
          <w:rFonts w:hint="eastAsia"/>
          <w:color w:val="auto"/>
          <w:kern w:val="0"/>
          <w:szCs w:val="21"/>
          <w:highlight w:val="none"/>
          <w:lang w:val="en-US" w:eastAsia="zh-CN"/>
        </w:rPr>
      </w:pPr>
      <w:r>
        <w:rPr>
          <w:color w:val="auto"/>
          <w:kern w:val="0"/>
          <w:szCs w:val="21"/>
          <w:highlight w:val="none"/>
        </w:rPr>
        <w:t>最高限价</w:t>
      </w:r>
      <w:r>
        <w:rPr>
          <w:rFonts w:hint="eastAsia"/>
          <w:color w:val="auto"/>
          <w:kern w:val="0"/>
          <w:szCs w:val="21"/>
          <w:highlight w:val="none"/>
        </w:rPr>
        <w:t>（如有）</w:t>
      </w:r>
      <w:r>
        <w:rPr>
          <w:color w:val="auto"/>
          <w:kern w:val="0"/>
          <w:szCs w:val="21"/>
          <w:highlight w:val="none"/>
        </w:rPr>
        <w:t>：</w:t>
      </w:r>
      <w:r>
        <w:rPr>
          <w:rFonts w:hint="eastAsia"/>
          <w:color w:val="auto"/>
          <w:kern w:val="0"/>
          <w:szCs w:val="21"/>
          <w:highlight w:val="none"/>
          <w:lang w:val="en-US" w:eastAsia="zh-CN"/>
        </w:rPr>
        <w:t>6020000元</w:t>
      </w:r>
    </w:p>
    <w:p w14:paraId="4083A7DD">
      <w:pPr>
        <w:spacing w:line="312" w:lineRule="auto"/>
        <w:ind w:firstLine="735" w:firstLineChars="350"/>
        <w:jc w:val="left"/>
        <w:rPr>
          <w:color w:val="auto"/>
          <w:kern w:val="0"/>
          <w:szCs w:val="21"/>
          <w:highlight w:val="none"/>
        </w:rPr>
      </w:pPr>
      <w:r>
        <w:rPr>
          <w:rFonts w:hint="eastAsia"/>
          <w:color w:val="auto"/>
          <w:kern w:val="0"/>
          <w:szCs w:val="21"/>
          <w:highlight w:val="none"/>
        </w:rPr>
        <w:t>合同履约期限：采购合同签订生效后，从飞机抵达采购人指定机场之日起开始计算，共6个月</w:t>
      </w:r>
      <w:r>
        <w:rPr>
          <w:rFonts w:hint="eastAsia"/>
          <w:color w:val="auto"/>
          <w:szCs w:val="21"/>
          <w:highlight w:val="none"/>
        </w:rPr>
        <w:t>。</w:t>
      </w:r>
    </w:p>
    <w:p w14:paraId="0A673653">
      <w:pPr>
        <w:spacing w:line="312" w:lineRule="auto"/>
        <w:ind w:firstLine="735" w:firstLineChars="350"/>
        <w:jc w:val="left"/>
        <w:rPr>
          <w:color w:val="auto"/>
          <w:kern w:val="0"/>
          <w:szCs w:val="21"/>
          <w:highlight w:val="none"/>
        </w:rPr>
      </w:pPr>
      <w:r>
        <w:rPr>
          <w:color w:val="auto"/>
          <w:kern w:val="0"/>
          <w:szCs w:val="21"/>
          <w:highlight w:val="none"/>
        </w:rPr>
        <w:t>本项目</w:t>
      </w:r>
      <w:r>
        <w:rPr>
          <w:rFonts w:hint="eastAsia"/>
          <w:color w:val="auto"/>
          <w:kern w:val="0"/>
          <w:szCs w:val="21"/>
          <w:highlight w:val="none"/>
        </w:rPr>
        <w:t>不接受</w:t>
      </w:r>
      <w:r>
        <w:rPr>
          <w:color w:val="auto"/>
          <w:kern w:val="0"/>
          <w:szCs w:val="21"/>
          <w:highlight w:val="none"/>
        </w:rPr>
        <w:t>联合体投标。</w:t>
      </w:r>
    </w:p>
    <w:p w14:paraId="4C24BD98">
      <w:pPr>
        <w:spacing w:line="312" w:lineRule="auto"/>
        <w:ind w:firstLine="735" w:firstLineChars="350"/>
        <w:jc w:val="left"/>
        <w:rPr>
          <w:rFonts w:hint="default" w:eastAsia="宋体"/>
          <w:color w:val="auto"/>
          <w:kern w:val="0"/>
          <w:szCs w:val="21"/>
          <w:highlight w:val="none"/>
          <w:lang w:val="en-US" w:eastAsia="zh-CN"/>
        </w:rPr>
      </w:pPr>
      <w:r>
        <w:rPr>
          <w:rFonts w:hint="eastAsia"/>
          <w:color w:val="auto"/>
          <w:kern w:val="0"/>
          <w:szCs w:val="21"/>
          <w:highlight w:val="none"/>
        </w:rPr>
        <w:t>备注：采购计划号：广西政采[2026]16659号-001</w:t>
      </w:r>
      <w:r>
        <w:rPr>
          <w:rFonts w:hint="eastAsia"/>
          <w:color w:val="auto"/>
          <w:kern w:val="0"/>
          <w:szCs w:val="21"/>
          <w:highlight w:val="none"/>
          <w:lang w:eastAsia="zh-CN"/>
        </w:rPr>
        <w:t>、广西政采[2026]16659号-00</w:t>
      </w:r>
      <w:r>
        <w:rPr>
          <w:rFonts w:hint="eastAsia"/>
          <w:color w:val="auto"/>
          <w:kern w:val="0"/>
          <w:szCs w:val="21"/>
          <w:highlight w:val="none"/>
          <w:lang w:val="en-US" w:eastAsia="zh-CN"/>
        </w:rPr>
        <w:t>2</w:t>
      </w:r>
    </w:p>
    <w:p w14:paraId="1B2374E6">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二、申请人的资格要求</w:t>
      </w:r>
    </w:p>
    <w:p w14:paraId="17BCB820">
      <w:pPr>
        <w:spacing w:line="312" w:lineRule="auto"/>
        <w:ind w:firstLine="420" w:firstLineChars="200"/>
        <w:jc w:val="left"/>
        <w:rPr>
          <w:color w:val="auto"/>
          <w:szCs w:val="21"/>
          <w:highlight w:val="none"/>
        </w:rPr>
      </w:pPr>
      <w:r>
        <w:rPr>
          <w:color w:val="auto"/>
          <w:kern w:val="0"/>
          <w:szCs w:val="21"/>
          <w:highlight w:val="none"/>
        </w:rPr>
        <w:t>1</w:t>
      </w:r>
      <w:r>
        <w:rPr>
          <w:rFonts w:hint="eastAsia"/>
          <w:color w:val="auto"/>
          <w:kern w:val="0"/>
          <w:szCs w:val="21"/>
          <w:highlight w:val="none"/>
        </w:rPr>
        <w:t>.满足</w:t>
      </w:r>
      <w:r>
        <w:rPr>
          <w:color w:val="auto"/>
          <w:kern w:val="0"/>
          <w:szCs w:val="21"/>
          <w:highlight w:val="none"/>
        </w:rPr>
        <w:t>《中华人民共和国政府采购法》第二十二条规定；</w:t>
      </w:r>
      <w:r>
        <w:rPr>
          <w:color w:val="auto"/>
          <w:szCs w:val="21"/>
          <w:highlight w:val="none"/>
        </w:rPr>
        <w:t xml:space="preserve"> </w:t>
      </w:r>
    </w:p>
    <w:p w14:paraId="669ADBC1">
      <w:pPr>
        <w:spacing w:line="312" w:lineRule="auto"/>
        <w:ind w:firstLine="420" w:firstLineChars="200"/>
        <w:jc w:val="left"/>
        <w:rPr>
          <w:color w:val="auto"/>
          <w:szCs w:val="21"/>
          <w:highlight w:val="none"/>
        </w:rPr>
      </w:pPr>
      <w:r>
        <w:rPr>
          <w:rFonts w:hint="eastAsia"/>
          <w:color w:val="auto"/>
          <w:szCs w:val="21"/>
          <w:highlight w:val="none"/>
        </w:rPr>
        <w:t>2.落实政府采购政策需满足的资格要求：</w:t>
      </w:r>
      <w:bookmarkStart w:id="11" w:name="_Hlk132878088"/>
      <w:r>
        <w:rPr>
          <w:rFonts w:hint="eastAsia"/>
          <w:color w:val="auto"/>
          <w:szCs w:val="21"/>
          <w:highlight w:val="none"/>
        </w:rPr>
        <w:t xml:space="preserve"> </w:t>
      </w:r>
      <w:bookmarkStart w:id="12" w:name="_Hlk132880574"/>
      <w:r>
        <w:rPr>
          <w:rFonts w:hint="eastAsia"/>
          <w:color w:val="auto"/>
          <w:kern w:val="0"/>
          <w:szCs w:val="21"/>
          <w:highlight w:val="none"/>
        </w:rPr>
        <w:t>无。</w:t>
      </w:r>
    </w:p>
    <w:bookmarkEnd w:id="11"/>
    <w:bookmarkEnd w:id="12"/>
    <w:p w14:paraId="29688FB4">
      <w:pPr>
        <w:spacing w:line="312" w:lineRule="auto"/>
        <w:ind w:firstLine="420" w:firstLineChars="200"/>
        <w:jc w:val="left"/>
        <w:rPr>
          <w:color w:val="auto"/>
          <w:kern w:val="0"/>
          <w:szCs w:val="21"/>
          <w:highlight w:val="none"/>
        </w:rPr>
      </w:pPr>
      <w:r>
        <w:rPr>
          <w:color w:val="auto"/>
          <w:kern w:val="0"/>
          <w:szCs w:val="21"/>
          <w:highlight w:val="none"/>
        </w:rPr>
        <w:t>3.</w:t>
      </w:r>
      <w:r>
        <w:rPr>
          <w:rFonts w:hint="eastAsia"/>
          <w:color w:val="auto"/>
          <w:kern w:val="0"/>
          <w:szCs w:val="21"/>
          <w:highlight w:val="none"/>
        </w:rPr>
        <w:t>本项目的</w:t>
      </w:r>
      <w:r>
        <w:rPr>
          <w:color w:val="auto"/>
          <w:kern w:val="0"/>
          <w:szCs w:val="21"/>
          <w:highlight w:val="none"/>
        </w:rPr>
        <w:t>特定资格</w:t>
      </w:r>
      <w:r>
        <w:rPr>
          <w:rFonts w:hint="eastAsia"/>
          <w:color w:val="auto"/>
          <w:kern w:val="0"/>
          <w:szCs w:val="21"/>
          <w:highlight w:val="none"/>
        </w:rPr>
        <w:t>要求</w:t>
      </w:r>
    </w:p>
    <w:p w14:paraId="361EB9E4">
      <w:pPr>
        <w:spacing w:line="312" w:lineRule="auto"/>
        <w:ind w:firstLine="420" w:firstLineChars="200"/>
        <w:jc w:val="left"/>
        <w:rPr>
          <w:color w:val="auto"/>
          <w:kern w:val="0"/>
          <w:szCs w:val="21"/>
          <w:highlight w:val="none"/>
        </w:rPr>
      </w:pPr>
      <w:r>
        <w:rPr>
          <w:color w:val="auto"/>
          <w:kern w:val="0"/>
          <w:szCs w:val="21"/>
          <w:highlight w:val="none"/>
        </w:rPr>
        <w:t>（1）资质要求：</w:t>
      </w:r>
      <w:r>
        <w:rPr>
          <w:rFonts w:hint="eastAsia"/>
          <w:color w:val="auto"/>
          <w:kern w:val="0"/>
          <w:szCs w:val="21"/>
          <w:highlight w:val="none"/>
          <w:lang w:val="en-US" w:eastAsia="zh-CN"/>
        </w:rPr>
        <w:t>同时具备</w:t>
      </w:r>
      <w:r>
        <w:rPr>
          <w:rFonts w:hint="eastAsia" w:ascii="微软雅黑" w:hAnsi="微软雅黑" w:eastAsia="微软雅黑" w:cs="微软雅黑"/>
          <w:color w:val="auto"/>
          <w:kern w:val="0"/>
          <w:szCs w:val="21"/>
          <w:highlight w:val="none"/>
        </w:rPr>
        <w:t>①</w:t>
      </w:r>
      <w:r>
        <w:rPr>
          <w:rFonts w:hint="eastAsia"/>
          <w:color w:val="auto"/>
          <w:kern w:val="0"/>
          <w:szCs w:val="21"/>
          <w:highlight w:val="none"/>
        </w:rPr>
        <w:t>民航管理部门颁发的通用航空企业经营许可证（经营范围须包含“人工增雨”或“人工降水”或“人工影响天气”）</w:t>
      </w:r>
      <w:r>
        <w:rPr>
          <w:rFonts w:hint="eastAsia"/>
          <w:color w:val="auto"/>
          <w:kern w:val="0"/>
          <w:szCs w:val="21"/>
          <w:highlight w:val="none"/>
          <w:lang w:eastAsia="zh-CN"/>
        </w:rPr>
        <w:t>；</w:t>
      </w:r>
      <w:r>
        <w:rPr>
          <w:rFonts w:hint="eastAsia" w:ascii="微软雅黑" w:hAnsi="微软雅黑" w:eastAsia="微软雅黑" w:cs="微软雅黑"/>
          <w:color w:val="auto"/>
          <w:kern w:val="0"/>
          <w:szCs w:val="21"/>
          <w:highlight w:val="none"/>
        </w:rPr>
        <w:t>②</w:t>
      </w:r>
      <w:r>
        <w:rPr>
          <w:rFonts w:hint="eastAsia"/>
          <w:color w:val="auto"/>
          <w:kern w:val="0"/>
          <w:szCs w:val="21"/>
          <w:highlight w:val="none"/>
        </w:rPr>
        <w:t>民航管理部门颁发的符合中国民用航空规章145部（CCAR-145部）要求的《维修许可证》。</w:t>
      </w:r>
    </w:p>
    <w:p w14:paraId="7A7FB881">
      <w:pPr>
        <w:spacing w:line="312" w:lineRule="auto"/>
        <w:ind w:firstLine="420" w:firstLineChars="200"/>
        <w:jc w:val="left"/>
        <w:rPr>
          <w:color w:val="auto"/>
          <w:kern w:val="0"/>
          <w:szCs w:val="21"/>
          <w:highlight w:val="none"/>
        </w:rPr>
      </w:pPr>
      <w:r>
        <w:rPr>
          <w:color w:val="auto"/>
          <w:kern w:val="0"/>
          <w:szCs w:val="21"/>
          <w:highlight w:val="none"/>
        </w:rPr>
        <w:t>（2）业绩要求：无。</w:t>
      </w:r>
    </w:p>
    <w:p w14:paraId="4E198B3E">
      <w:pPr>
        <w:spacing w:line="312" w:lineRule="auto"/>
        <w:ind w:firstLine="420" w:firstLineChars="200"/>
        <w:jc w:val="left"/>
        <w:rPr>
          <w:color w:val="auto"/>
          <w:kern w:val="0"/>
          <w:szCs w:val="21"/>
          <w:highlight w:val="none"/>
        </w:rPr>
      </w:pPr>
      <w:r>
        <w:rPr>
          <w:rFonts w:hint="eastAsia"/>
          <w:color w:val="auto"/>
          <w:kern w:val="0"/>
          <w:szCs w:val="21"/>
          <w:highlight w:val="none"/>
        </w:rPr>
        <w:t>（</w:t>
      </w:r>
      <w:r>
        <w:rPr>
          <w:color w:val="auto"/>
          <w:kern w:val="0"/>
          <w:szCs w:val="21"/>
          <w:highlight w:val="none"/>
        </w:rPr>
        <w:t>3</w:t>
      </w:r>
      <w:r>
        <w:rPr>
          <w:rFonts w:hint="eastAsia"/>
          <w:color w:val="auto"/>
          <w:kern w:val="0"/>
          <w:szCs w:val="21"/>
          <w:highlight w:val="none"/>
        </w:rPr>
        <w:t>）</w:t>
      </w: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r>
        <w:rPr>
          <w:rFonts w:hint="eastAsia"/>
          <w:color w:val="auto"/>
          <w:kern w:val="0"/>
          <w:szCs w:val="21"/>
          <w:highlight w:val="none"/>
        </w:rPr>
        <w:t>。</w:t>
      </w:r>
    </w:p>
    <w:p w14:paraId="480EB7E5">
      <w:pPr>
        <w:spacing w:line="312" w:lineRule="auto"/>
        <w:ind w:firstLine="420" w:firstLineChars="200"/>
        <w:jc w:val="left"/>
        <w:rPr>
          <w:color w:val="auto"/>
          <w:kern w:val="0"/>
          <w:szCs w:val="21"/>
          <w:highlight w:val="none"/>
        </w:rPr>
      </w:pPr>
      <w:r>
        <w:rPr>
          <w:rFonts w:hint="eastAsia"/>
          <w:color w:val="auto"/>
          <w:kern w:val="0"/>
          <w:szCs w:val="21"/>
          <w:highlight w:val="none"/>
        </w:rPr>
        <w:t>（4）</w:t>
      </w:r>
      <w:r>
        <w:rPr>
          <w:color w:val="auto"/>
          <w:kern w:val="0"/>
          <w:szCs w:val="21"/>
          <w:highlight w:val="none"/>
        </w:rPr>
        <w:t>未被列入失信被执行人、重大税收违法失信主体、政府采购严重违法失信行为记录名单。</w:t>
      </w:r>
    </w:p>
    <w:p w14:paraId="3CD21728">
      <w:pPr>
        <w:spacing w:line="312" w:lineRule="auto"/>
        <w:ind w:firstLine="420" w:firstLineChars="200"/>
        <w:jc w:val="left"/>
        <w:rPr>
          <w:color w:val="auto"/>
          <w:kern w:val="0"/>
          <w:szCs w:val="21"/>
          <w:highlight w:val="none"/>
        </w:rPr>
      </w:pPr>
      <w:bookmarkStart w:id="13" w:name="_Hlk132878178"/>
      <w:r>
        <w:rPr>
          <w:rFonts w:hint="eastAsia"/>
          <w:color w:val="auto"/>
          <w:kern w:val="0"/>
          <w:szCs w:val="21"/>
          <w:highlight w:val="none"/>
        </w:rPr>
        <w:t>（5）本项目不允许分公司参与投标。</w:t>
      </w:r>
    </w:p>
    <w:p w14:paraId="52C09B36">
      <w:pPr>
        <w:spacing w:line="312" w:lineRule="auto"/>
        <w:ind w:firstLine="420" w:firstLineChars="200"/>
        <w:jc w:val="left"/>
        <w:rPr>
          <w:color w:val="auto"/>
          <w:kern w:val="0"/>
          <w:szCs w:val="21"/>
          <w:highlight w:val="none"/>
        </w:rPr>
      </w:pPr>
      <w:r>
        <w:rPr>
          <w:rFonts w:hint="eastAsia"/>
          <w:color w:val="auto"/>
          <w:szCs w:val="21"/>
          <w:highlight w:val="none"/>
        </w:rPr>
        <w:t>（6）</w:t>
      </w:r>
      <w:r>
        <w:rPr>
          <w:rFonts w:hint="eastAsia"/>
          <w:color w:val="auto"/>
          <w:kern w:val="0"/>
          <w:szCs w:val="21"/>
          <w:highlight w:val="none"/>
        </w:rPr>
        <w:t>本项目不允许分包。</w:t>
      </w:r>
    </w:p>
    <w:p w14:paraId="77D4AB4A">
      <w:pPr>
        <w:spacing w:line="312" w:lineRule="auto"/>
        <w:ind w:firstLine="420" w:firstLineChars="200"/>
        <w:jc w:val="left"/>
        <w:rPr>
          <w:color w:val="auto"/>
          <w:kern w:val="0"/>
          <w:szCs w:val="21"/>
          <w:highlight w:val="none"/>
        </w:rPr>
      </w:pPr>
      <w:r>
        <w:rPr>
          <w:rFonts w:hint="eastAsia"/>
          <w:color w:val="auto"/>
          <w:kern w:val="0"/>
          <w:szCs w:val="21"/>
          <w:highlight w:val="none"/>
        </w:rPr>
        <w:t>（7）</w:t>
      </w:r>
      <w:r>
        <w:rPr>
          <w:color w:val="auto"/>
          <w:kern w:val="0"/>
          <w:szCs w:val="21"/>
          <w:highlight w:val="none"/>
        </w:rPr>
        <w:t>本项目不接受联合体投标。</w:t>
      </w:r>
    </w:p>
    <w:bookmarkEnd w:id="13"/>
    <w:p w14:paraId="52619C53">
      <w:pPr>
        <w:spacing w:line="312" w:lineRule="auto"/>
        <w:ind w:firstLine="420" w:firstLineChars="200"/>
        <w:jc w:val="left"/>
        <w:rPr>
          <w:color w:val="auto"/>
          <w:kern w:val="0"/>
          <w:szCs w:val="21"/>
          <w:highlight w:val="none"/>
        </w:rPr>
      </w:pPr>
      <w:r>
        <w:rPr>
          <w:rFonts w:hint="eastAsia"/>
          <w:color w:val="auto"/>
          <w:kern w:val="0"/>
          <w:szCs w:val="21"/>
          <w:highlight w:val="none"/>
        </w:rPr>
        <w:t>（8）</w:t>
      </w:r>
      <w:r>
        <w:rPr>
          <w:color w:val="auto"/>
          <w:kern w:val="0"/>
          <w:szCs w:val="21"/>
          <w:highlight w:val="none"/>
        </w:rPr>
        <w:t>按照招标公告的规定获得招标文件。</w:t>
      </w:r>
      <w:r>
        <w:rPr>
          <w:rFonts w:hint="eastAsia"/>
          <w:color w:val="auto"/>
          <w:kern w:val="0"/>
          <w:szCs w:val="21"/>
          <w:highlight w:val="none"/>
        </w:rPr>
        <w:t>招标文件有规定时按要求提交投标保证金。</w:t>
      </w:r>
    </w:p>
    <w:p w14:paraId="7CCC0AD9">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三、获取招标文件</w:t>
      </w:r>
    </w:p>
    <w:p w14:paraId="5CA8C30E">
      <w:pPr>
        <w:spacing w:line="312" w:lineRule="auto"/>
        <w:ind w:firstLine="420" w:firstLineChars="200"/>
        <w:jc w:val="left"/>
        <w:rPr>
          <w:color w:val="auto"/>
          <w:highlight w:val="none"/>
        </w:rPr>
      </w:pPr>
      <w:r>
        <w:rPr>
          <w:rFonts w:hint="eastAsia"/>
          <w:color w:val="auto"/>
          <w:highlight w:val="none"/>
        </w:rPr>
        <w:t>时间：</w:t>
      </w:r>
      <w:r>
        <w:rPr>
          <w:color w:val="auto"/>
          <w:highlight w:val="none"/>
          <w:u w:val="single"/>
        </w:rPr>
        <w:t>202</w:t>
      </w:r>
      <w:r>
        <w:rPr>
          <w:rFonts w:hint="eastAsia"/>
          <w:color w:val="auto"/>
          <w:highlight w:val="none"/>
          <w:u w:val="single"/>
        </w:rPr>
        <w:t>6年</w:t>
      </w:r>
      <w:r>
        <w:rPr>
          <w:rFonts w:hint="eastAsia"/>
          <w:color w:val="auto"/>
          <w:highlight w:val="none"/>
          <w:u w:val="single"/>
          <w:lang w:val="en-US" w:eastAsia="zh-CN"/>
        </w:rPr>
        <w:t>8</w:t>
      </w:r>
      <w:r>
        <w:rPr>
          <w:rFonts w:hint="eastAsia"/>
          <w:color w:val="auto"/>
          <w:highlight w:val="none"/>
          <w:u w:val="single"/>
        </w:rPr>
        <w:t>月</w:t>
      </w:r>
      <w:r>
        <w:rPr>
          <w:rFonts w:hint="eastAsia"/>
          <w:color w:val="auto"/>
          <w:highlight w:val="none"/>
          <w:u w:val="single"/>
          <w:lang w:val="en-US" w:eastAsia="zh-CN"/>
        </w:rPr>
        <w:t>24</w:t>
      </w:r>
      <w:r>
        <w:rPr>
          <w:rFonts w:hint="eastAsia"/>
          <w:color w:val="auto"/>
          <w:highlight w:val="none"/>
          <w:u w:val="single"/>
        </w:rPr>
        <w:t>日起至</w:t>
      </w:r>
      <w:r>
        <w:rPr>
          <w:color w:val="auto"/>
          <w:highlight w:val="none"/>
          <w:u w:val="single"/>
        </w:rPr>
        <w:t>202</w:t>
      </w:r>
      <w:r>
        <w:rPr>
          <w:rFonts w:hint="eastAsia"/>
          <w:color w:val="auto"/>
          <w:highlight w:val="none"/>
          <w:u w:val="single"/>
        </w:rPr>
        <w:t>6年</w:t>
      </w:r>
      <w:r>
        <w:rPr>
          <w:rFonts w:hint="eastAsia"/>
          <w:color w:val="auto"/>
          <w:highlight w:val="none"/>
          <w:u w:val="single"/>
          <w:lang w:val="en-US" w:eastAsia="zh-CN"/>
        </w:rPr>
        <w:t>8</w:t>
      </w:r>
      <w:r>
        <w:rPr>
          <w:rFonts w:hint="eastAsia"/>
          <w:color w:val="auto"/>
          <w:highlight w:val="none"/>
          <w:u w:val="single"/>
        </w:rPr>
        <w:t>月</w:t>
      </w:r>
      <w:r>
        <w:rPr>
          <w:rFonts w:hint="eastAsia"/>
          <w:color w:val="auto"/>
          <w:highlight w:val="none"/>
          <w:u w:val="single"/>
          <w:lang w:val="en-US" w:eastAsia="zh-CN"/>
        </w:rPr>
        <w:t>31</w:t>
      </w:r>
      <w:r>
        <w:rPr>
          <w:rFonts w:hint="eastAsia"/>
          <w:color w:val="auto"/>
          <w:highlight w:val="none"/>
          <w:u w:val="single"/>
        </w:rPr>
        <w:t>日</w:t>
      </w:r>
      <w:r>
        <w:rPr>
          <w:rFonts w:hint="eastAsia"/>
          <w:color w:val="auto"/>
          <w:highlight w:val="none"/>
        </w:rPr>
        <w:t>，每天</w:t>
      </w:r>
      <w:bookmarkStart w:id="14" w:name="_Hlk132878196"/>
      <w:r>
        <w:rPr>
          <w:rFonts w:hint="eastAsia"/>
          <w:color w:val="auto"/>
          <w:highlight w:val="none"/>
          <w:u w:val="single"/>
        </w:rPr>
        <w:t>00：00</w:t>
      </w:r>
      <w:r>
        <w:rPr>
          <w:color w:val="auto"/>
          <w:highlight w:val="none"/>
          <w:u w:val="single"/>
        </w:rPr>
        <w:t>0</w:t>
      </w:r>
      <w:r>
        <w:rPr>
          <w:rFonts w:hint="eastAsia"/>
          <w:color w:val="auto"/>
          <w:highlight w:val="none"/>
          <w:u w:val="single"/>
        </w:rPr>
        <w:t>至</w:t>
      </w:r>
      <w:r>
        <w:rPr>
          <w:color w:val="auto"/>
          <w:highlight w:val="none"/>
          <w:u w:val="single"/>
        </w:rPr>
        <w:t>12</w:t>
      </w:r>
      <w:r>
        <w:rPr>
          <w:rFonts w:hint="eastAsia"/>
          <w:color w:val="auto"/>
          <w:highlight w:val="none"/>
          <w:u w:val="single"/>
        </w:rPr>
        <w:t>：0</w:t>
      </w:r>
      <w:r>
        <w:rPr>
          <w:color w:val="auto"/>
          <w:highlight w:val="none"/>
          <w:u w:val="single"/>
        </w:rPr>
        <w:t>0</w:t>
      </w:r>
      <w:r>
        <w:rPr>
          <w:rFonts w:hint="eastAsia"/>
          <w:color w:val="auto"/>
          <w:highlight w:val="none"/>
          <w:u w:val="single"/>
        </w:rPr>
        <w:t>，12：0</w:t>
      </w:r>
      <w:r>
        <w:rPr>
          <w:color w:val="auto"/>
          <w:highlight w:val="none"/>
          <w:u w:val="single"/>
        </w:rPr>
        <w:t>0</w:t>
      </w:r>
      <w:r>
        <w:rPr>
          <w:rFonts w:hint="eastAsia"/>
          <w:color w:val="auto"/>
          <w:highlight w:val="none"/>
          <w:u w:val="single"/>
        </w:rPr>
        <w:t>至</w:t>
      </w:r>
      <w:bookmarkEnd w:id="14"/>
      <w:r>
        <w:rPr>
          <w:rFonts w:hint="eastAsia"/>
          <w:color w:val="auto"/>
          <w:highlight w:val="none"/>
          <w:u w:val="single"/>
        </w:rPr>
        <w:t>23：59</w:t>
      </w:r>
      <w:r>
        <w:rPr>
          <w:rFonts w:hint="eastAsia"/>
          <w:color w:val="auto"/>
          <w:highlight w:val="none"/>
        </w:rPr>
        <w:t>（北京时间，法定节假日除外）。</w:t>
      </w:r>
    </w:p>
    <w:p w14:paraId="3AFCE690">
      <w:pPr>
        <w:spacing w:line="312" w:lineRule="auto"/>
        <w:ind w:firstLine="420" w:firstLineChars="200"/>
        <w:jc w:val="left"/>
        <w:rPr>
          <w:color w:val="auto"/>
          <w:szCs w:val="21"/>
          <w:highlight w:val="none"/>
        </w:rPr>
      </w:pPr>
      <w:r>
        <w:rPr>
          <w:rFonts w:hint="eastAsia"/>
          <w:color w:val="auto"/>
          <w:highlight w:val="none"/>
        </w:rPr>
        <w:t>地点（网址）：</w:t>
      </w:r>
      <w:bookmarkStart w:id="15" w:name="_Hlk132878204"/>
      <w:bookmarkStart w:id="16" w:name="_Hlk132880625"/>
      <w:r>
        <w:rPr>
          <w:rFonts w:ascii="Arial" w:hAnsi="Arial" w:cs="Arial"/>
          <w:color w:val="auto"/>
          <w:kern w:val="0"/>
          <w:szCs w:val="21"/>
          <w:highlight w:val="none"/>
        </w:rPr>
        <w:t xml:space="preserve">广西政府采购云平台 </w:t>
      </w:r>
      <w:bookmarkEnd w:id="15"/>
      <w:bookmarkEnd w:id="16"/>
      <w:r>
        <w:rPr>
          <w:rFonts w:hint="eastAsia"/>
          <w:color w:val="auto"/>
          <w:szCs w:val="21"/>
          <w:highlight w:val="none"/>
        </w:rPr>
        <w:t>（</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rStyle w:val="57"/>
          <w:color w:val="auto"/>
          <w:szCs w:val="21"/>
          <w:highlight w:val="none"/>
        </w:rPr>
        <w:t>https://www.gcy.zfcg.gxzf.gov.cn/</w:t>
      </w:r>
      <w:r>
        <w:rPr>
          <w:rStyle w:val="57"/>
          <w:color w:val="auto"/>
          <w:szCs w:val="21"/>
          <w:highlight w:val="none"/>
        </w:rPr>
        <w:fldChar w:fldCharType="end"/>
      </w:r>
      <w:r>
        <w:rPr>
          <w:rFonts w:hint="eastAsia"/>
          <w:color w:val="auto"/>
          <w:szCs w:val="21"/>
          <w:highlight w:val="none"/>
        </w:rPr>
        <w:t>）</w:t>
      </w:r>
    </w:p>
    <w:p w14:paraId="77869235">
      <w:pPr>
        <w:spacing w:line="312" w:lineRule="auto"/>
        <w:ind w:firstLine="420" w:firstLineChars="200"/>
        <w:jc w:val="left"/>
        <w:rPr>
          <w:color w:val="auto"/>
          <w:szCs w:val="21"/>
          <w:highlight w:val="none"/>
        </w:rPr>
      </w:pPr>
      <w:r>
        <w:rPr>
          <w:rFonts w:hint="eastAsia"/>
          <w:color w:val="auto"/>
          <w:szCs w:val="21"/>
          <w:highlight w:val="none"/>
        </w:rPr>
        <w:t>方式：</w:t>
      </w:r>
      <w:bookmarkStart w:id="17" w:name="_Hlk132878211"/>
      <w:bookmarkStart w:id="18" w:name="_Hlk132880632"/>
      <w:r>
        <w:rPr>
          <w:rFonts w:hint="eastAsia"/>
          <w:color w:val="auto"/>
          <w:szCs w:val="21"/>
          <w:highlight w:val="none"/>
        </w:rPr>
        <w:t>供应商登录广西政府采购云平台在线申请获取采购文件（进入“项目采购”应用，在获取采购文件菜单中选择项目，申请获取采购文件）</w:t>
      </w:r>
      <w:bookmarkEnd w:id="17"/>
    </w:p>
    <w:bookmarkEnd w:id="18"/>
    <w:p w14:paraId="0F89CDF4">
      <w:pPr>
        <w:spacing w:line="312" w:lineRule="auto"/>
        <w:ind w:firstLine="420" w:firstLineChars="200"/>
        <w:jc w:val="left"/>
        <w:rPr>
          <w:color w:val="auto"/>
          <w:highlight w:val="none"/>
        </w:rPr>
      </w:pPr>
      <w:r>
        <w:rPr>
          <w:rFonts w:hint="eastAsia"/>
          <w:color w:val="auto"/>
          <w:highlight w:val="none"/>
        </w:rPr>
        <w:t>售价（元）：</w:t>
      </w:r>
      <w:r>
        <w:rPr>
          <w:color w:val="auto"/>
          <w:highlight w:val="none"/>
        </w:rPr>
        <w:t>0</w:t>
      </w:r>
    </w:p>
    <w:p w14:paraId="05BAA8DD">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四、提交投标文件截止时间、开标时间和地点</w:t>
      </w:r>
    </w:p>
    <w:p w14:paraId="26BB57F1">
      <w:pPr>
        <w:spacing w:line="312" w:lineRule="auto"/>
        <w:ind w:firstLine="420" w:firstLineChars="200"/>
        <w:jc w:val="left"/>
        <w:rPr>
          <w:color w:val="auto"/>
          <w:kern w:val="0"/>
          <w:szCs w:val="21"/>
          <w:highlight w:val="none"/>
        </w:rPr>
      </w:pPr>
      <w:r>
        <w:rPr>
          <w:rFonts w:hint="eastAsia"/>
          <w:color w:val="auto"/>
          <w:kern w:val="0"/>
          <w:szCs w:val="21"/>
          <w:highlight w:val="none"/>
        </w:rPr>
        <w:t>提交投标文件截止时间：</w:t>
      </w:r>
      <w:r>
        <w:rPr>
          <w:color w:val="auto"/>
          <w:kern w:val="0"/>
          <w:szCs w:val="21"/>
          <w:highlight w:val="none"/>
          <w:u w:val="single"/>
        </w:rPr>
        <w:t>20</w:t>
      </w:r>
      <w:r>
        <w:rPr>
          <w:rFonts w:hint="eastAsia"/>
          <w:color w:val="auto"/>
          <w:kern w:val="0"/>
          <w:szCs w:val="21"/>
          <w:highlight w:val="none"/>
          <w:u w:val="single"/>
        </w:rPr>
        <w:t>26</w:t>
      </w:r>
      <w:r>
        <w:rPr>
          <w:color w:val="auto"/>
          <w:kern w:val="0"/>
          <w:szCs w:val="21"/>
          <w:highlight w:val="none"/>
          <w:u w:val="single"/>
        </w:rPr>
        <w:t>年</w:t>
      </w:r>
      <w:r>
        <w:rPr>
          <w:rFonts w:hint="eastAsia"/>
          <w:color w:val="auto"/>
          <w:kern w:val="0"/>
          <w:szCs w:val="21"/>
          <w:highlight w:val="none"/>
          <w:u w:val="single"/>
          <w:lang w:val="en-US" w:eastAsia="zh-CN"/>
        </w:rPr>
        <w:t>9</w:t>
      </w:r>
      <w:r>
        <w:rPr>
          <w:color w:val="auto"/>
          <w:kern w:val="0"/>
          <w:szCs w:val="21"/>
          <w:highlight w:val="none"/>
          <w:u w:val="single"/>
        </w:rPr>
        <w:t>月</w:t>
      </w:r>
      <w:r>
        <w:rPr>
          <w:rFonts w:hint="eastAsia"/>
          <w:color w:val="auto"/>
          <w:kern w:val="0"/>
          <w:szCs w:val="21"/>
          <w:highlight w:val="none"/>
          <w:u w:val="single"/>
          <w:lang w:val="en-US" w:eastAsia="zh-CN"/>
        </w:rPr>
        <w:t>14</w:t>
      </w:r>
      <w:r>
        <w:rPr>
          <w:color w:val="auto"/>
          <w:kern w:val="0"/>
          <w:szCs w:val="21"/>
          <w:highlight w:val="none"/>
          <w:u w:val="single"/>
        </w:rPr>
        <w:t>日</w:t>
      </w:r>
      <w:r>
        <w:rPr>
          <w:rFonts w:hint="eastAsia"/>
          <w:color w:val="auto"/>
          <w:kern w:val="0"/>
          <w:szCs w:val="21"/>
          <w:highlight w:val="none"/>
          <w:u w:val="single"/>
        </w:rPr>
        <w:t>09</w:t>
      </w:r>
      <w:r>
        <w:rPr>
          <w:rFonts w:hint="eastAsia"/>
          <w:color w:val="auto"/>
          <w:highlight w:val="none"/>
          <w:u w:val="single"/>
        </w:rPr>
        <w:t>：3</w:t>
      </w:r>
      <w:r>
        <w:rPr>
          <w:color w:val="auto"/>
          <w:highlight w:val="none"/>
          <w:u w:val="single"/>
        </w:rPr>
        <w:t>0</w:t>
      </w:r>
      <w:r>
        <w:rPr>
          <w:rFonts w:hint="eastAsia"/>
          <w:color w:val="auto"/>
          <w:kern w:val="0"/>
          <w:szCs w:val="21"/>
          <w:highlight w:val="none"/>
        </w:rPr>
        <w:t>（北京时间）</w:t>
      </w:r>
    </w:p>
    <w:p w14:paraId="52BBE5F1">
      <w:pPr>
        <w:spacing w:line="312" w:lineRule="auto"/>
        <w:ind w:firstLine="420" w:firstLineChars="200"/>
        <w:jc w:val="left"/>
        <w:rPr>
          <w:color w:val="auto"/>
          <w:kern w:val="0"/>
          <w:szCs w:val="21"/>
          <w:highlight w:val="none"/>
        </w:rPr>
      </w:pPr>
      <w:r>
        <w:rPr>
          <w:rFonts w:hint="eastAsia"/>
          <w:color w:val="auto"/>
          <w:kern w:val="0"/>
          <w:szCs w:val="21"/>
          <w:highlight w:val="none"/>
        </w:rPr>
        <w:t>投标地点（网址）：</w:t>
      </w:r>
      <w:r>
        <w:rPr>
          <w:rFonts w:hint="eastAsia"/>
          <w:color w:val="auto"/>
          <w:szCs w:val="21"/>
          <w:highlight w:val="none"/>
        </w:rPr>
        <w:t xml:space="preserve"> 本项目为全流程电子化项目，没有现场递交投标文件及现场开标环节，通过广西政府采购云平台（https://www.gcy.zfcg.gxzf.gov.cn/）实行在线电子投标，供应商应先安装广西政府采购云平台新版客户端（请自行前往广西政府采购网-办事服务-下载专区进行下载），并按照本项目招标文件和广西政府采购云平台的要求使用CA认证编制、加密投标文件后在投标截止时间前上传至 广西政府采购云平台，供应商在广西政府采购云平台提交电子版投标文件时，请填写参加远程开标活动经办人联系方式。</w:t>
      </w:r>
    </w:p>
    <w:p w14:paraId="0948BF36">
      <w:pPr>
        <w:spacing w:line="312" w:lineRule="auto"/>
        <w:ind w:firstLine="420" w:firstLineChars="200"/>
        <w:jc w:val="left"/>
        <w:rPr>
          <w:color w:val="auto"/>
          <w:kern w:val="0"/>
          <w:szCs w:val="21"/>
          <w:highlight w:val="none"/>
          <w:u w:val="single"/>
        </w:rPr>
      </w:pPr>
      <w:r>
        <w:rPr>
          <w:rFonts w:hint="eastAsia"/>
          <w:color w:val="auto"/>
          <w:kern w:val="0"/>
          <w:szCs w:val="21"/>
          <w:highlight w:val="none"/>
        </w:rPr>
        <w:t>开标时间：</w:t>
      </w:r>
      <w:r>
        <w:rPr>
          <w:color w:val="auto"/>
          <w:kern w:val="0"/>
          <w:szCs w:val="21"/>
          <w:highlight w:val="none"/>
          <w:u w:val="single"/>
        </w:rPr>
        <w:t>20</w:t>
      </w:r>
      <w:r>
        <w:rPr>
          <w:rFonts w:hint="eastAsia"/>
          <w:color w:val="auto"/>
          <w:kern w:val="0"/>
          <w:szCs w:val="21"/>
          <w:highlight w:val="none"/>
          <w:u w:val="single"/>
        </w:rPr>
        <w:t>26</w:t>
      </w:r>
      <w:r>
        <w:rPr>
          <w:color w:val="auto"/>
          <w:kern w:val="0"/>
          <w:szCs w:val="21"/>
          <w:highlight w:val="none"/>
          <w:u w:val="single"/>
        </w:rPr>
        <w:t>年</w:t>
      </w:r>
      <w:r>
        <w:rPr>
          <w:rFonts w:hint="eastAsia"/>
          <w:color w:val="auto"/>
          <w:kern w:val="0"/>
          <w:szCs w:val="21"/>
          <w:highlight w:val="none"/>
          <w:u w:val="single"/>
          <w:lang w:val="en-US" w:eastAsia="zh-CN"/>
        </w:rPr>
        <w:t>9</w:t>
      </w:r>
      <w:r>
        <w:rPr>
          <w:color w:val="auto"/>
          <w:kern w:val="0"/>
          <w:szCs w:val="21"/>
          <w:highlight w:val="none"/>
          <w:u w:val="single"/>
        </w:rPr>
        <w:t>月</w:t>
      </w:r>
      <w:r>
        <w:rPr>
          <w:rFonts w:hint="eastAsia"/>
          <w:color w:val="auto"/>
          <w:kern w:val="0"/>
          <w:szCs w:val="21"/>
          <w:highlight w:val="none"/>
          <w:u w:val="single"/>
          <w:lang w:val="en-US" w:eastAsia="zh-CN"/>
        </w:rPr>
        <w:t>14</w:t>
      </w:r>
      <w:r>
        <w:rPr>
          <w:color w:val="auto"/>
          <w:kern w:val="0"/>
          <w:szCs w:val="21"/>
          <w:highlight w:val="none"/>
          <w:u w:val="single"/>
        </w:rPr>
        <w:t>日</w:t>
      </w:r>
      <w:r>
        <w:rPr>
          <w:rFonts w:hint="eastAsia"/>
          <w:color w:val="auto"/>
          <w:kern w:val="0"/>
          <w:szCs w:val="21"/>
          <w:highlight w:val="none"/>
          <w:u w:val="single"/>
        </w:rPr>
        <w:t>09</w:t>
      </w:r>
      <w:r>
        <w:rPr>
          <w:rFonts w:hint="eastAsia"/>
          <w:color w:val="auto"/>
          <w:highlight w:val="none"/>
          <w:u w:val="single"/>
        </w:rPr>
        <w:t>：3</w:t>
      </w:r>
      <w:r>
        <w:rPr>
          <w:color w:val="auto"/>
          <w:highlight w:val="none"/>
          <w:u w:val="single"/>
        </w:rPr>
        <w:t>0</w:t>
      </w:r>
      <w:r>
        <w:rPr>
          <w:rFonts w:hint="eastAsia"/>
          <w:color w:val="auto"/>
          <w:kern w:val="0"/>
          <w:szCs w:val="21"/>
          <w:highlight w:val="none"/>
        </w:rPr>
        <w:t>（北京时间）</w:t>
      </w:r>
    </w:p>
    <w:p w14:paraId="76D6B299">
      <w:pPr>
        <w:spacing w:line="312" w:lineRule="auto"/>
        <w:ind w:firstLine="420" w:firstLineChars="200"/>
        <w:jc w:val="left"/>
        <w:rPr>
          <w:color w:val="auto"/>
          <w:szCs w:val="21"/>
          <w:highlight w:val="none"/>
        </w:rPr>
      </w:pPr>
      <w:r>
        <w:rPr>
          <w:rFonts w:hint="eastAsia"/>
          <w:color w:val="auto"/>
          <w:kern w:val="0"/>
          <w:szCs w:val="21"/>
          <w:highlight w:val="none"/>
        </w:rPr>
        <w:t>开标地点：</w:t>
      </w:r>
      <w:bookmarkStart w:id="19" w:name="_Hlk88997106"/>
      <w:r>
        <w:rPr>
          <w:rFonts w:hint="eastAsia"/>
          <w:color w:val="auto"/>
          <w:szCs w:val="21"/>
          <w:highlight w:val="none"/>
        </w:rPr>
        <w:t>供应商登录广西政府采购云平台电子开标大厅开标。</w:t>
      </w:r>
      <w:bookmarkEnd w:id="19"/>
    </w:p>
    <w:p w14:paraId="6AC37BB6">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五、公告期限</w:t>
      </w:r>
    </w:p>
    <w:p w14:paraId="4259E29C">
      <w:pPr>
        <w:spacing w:line="312" w:lineRule="auto"/>
        <w:ind w:firstLine="420" w:firstLineChars="200"/>
        <w:jc w:val="left"/>
        <w:rPr>
          <w:color w:val="auto"/>
          <w:kern w:val="0"/>
          <w:szCs w:val="21"/>
          <w:highlight w:val="none"/>
        </w:rPr>
      </w:pPr>
      <w:r>
        <w:rPr>
          <w:rFonts w:hint="eastAsia"/>
          <w:color w:val="auto"/>
          <w:kern w:val="0"/>
          <w:szCs w:val="21"/>
          <w:highlight w:val="none"/>
        </w:rPr>
        <w:t>自本公告发布之日起5个工作日。</w:t>
      </w:r>
    </w:p>
    <w:p w14:paraId="6BF45155">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六、其他补充事宜</w:t>
      </w:r>
    </w:p>
    <w:p w14:paraId="66FB4E54">
      <w:pPr>
        <w:spacing w:line="312" w:lineRule="auto"/>
        <w:ind w:firstLine="420" w:firstLineChars="200"/>
        <w:jc w:val="left"/>
        <w:rPr>
          <w:color w:val="auto"/>
          <w:kern w:val="0"/>
          <w:szCs w:val="21"/>
          <w:highlight w:val="none"/>
        </w:rPr>
      </w:pPr>
      <w:r>
        <w:rPr>
          <w:rFonts w:hint="eastAsia"/>
          <w:color w:val="auto"/>
          <w:kern w:val="0"/>
          <w:szCs w:val="21"/>
          <w:highlight w:val="none"/>
        </w:rPr>
        <w:t>1.公告发布媒体：广西壮族自治区政府采购网、中国政府采购网、广西壮族自治区公共资源交易中心网站。</w:t>
      </w:r>
    </w:p>
    <w:p w14:paraId="2DD91FE0">
      <w:pPr>
        <w:spacing w:line="312" w:lineRule="auto"/>
        <w:ind w:firstLine="420" w:firstLineChars="200"/>
        <w:jc w:val="left"/>
        <w:rPr>
          <w:color w:val="auto"/>
          <w:kern w:val="0"/>
          <w:szCs w:val="21"/>
          <w:highlight w:val="none"/>
        </w:rPr>
      </w:pPr>
      <w:r>
        <w:rPr>
          <w:rFonts w:hint="eastAsia"/>
          <w:color w:val="auto"/>
          <w:kern w:val="0"/>
          <w:szCs w:val="21"/>
          <w:highlight w:val="none"/>
        </w:rPr>
        <w:t>2</w:t>
      </w:r>
      <w:r>
        <w:rPr>
          <w:color w:val="auto"/>
          <w:kern w:val="0"/>
          <w:szCs w:val="21"/>
          <w:highlight w:val="none"/>
        </w:rPr>
        <w:t>.</w:t>
      </w:r>
      <w:r>
        <w:rPr>
          <w:rFonts w:hint="eastAsia"/>
          <w:color w:val="auto"/>
          <w:highlight w:val="none"/>
        </w:rPr>
        <w:t xml:space="preserve"> </w:t>
      </w:r>
      <w:r>
        <w:rPr>
          <w:rFonts w:hint="eastAsia"/>
          <w:color w:val="auto"/>
          <w:kern w:val="0"/>
          <w:szCs w:val="21"/>
          <w:highlight w:val="none"/>
        </w:rPr>
        <w:t>需落实的政府采购政策：</w:t>
      </w:r>
      <w:r>
        <w:rPr>
          <w:color w:val="auto"/>
          <w:kern w:val="0"/>
          <w:szCs w:val="21"/>
          <w:highlight w:val="none"/>
        </w:rPr>
        <w:t>政府采购促进中小企业、监狱企业发展、促进残疾人就业</w:t>
      </w:r>
      <w:r>
        <w:rPr>
          <w:rFonts w:hint="eastAsia"/>
          <w:color w:val="auto"/>
          <w:kern w:val="0"/>
          <w:szCs w:val="21"/>
          <w:highlight w:val="none"/>
        </w:rPr>
        <w:t>、</w:t>
      </w:r>
      <w:r>
        <w:rPr>
          <w:color w:val="auto"/>
          <w:kern w:val="0"/>
          <w:szCs w:val="21"/>
          <w:highlight w:val="none"/>
        </w:rPr>
        <w:t>节能环保</w:t>
      </w:r>
      <w:r>
        <w:rPr>
          <w:rFonts w:hint="eastAsia"/>
          <w:color w:val="auto"/>
          <w:kern w:val="0"/>
          <w:szCs w:val="21"/>
          <w:highlight w:val="none"/>
        </w:rPr>
        <w:t>、对本国产品的支持</w:t>
      </w:r>
      <w:r>
        <w:rPr>
          <w:color w:val="auto"/>
          <w:kern w:val="0"/>
          <w:szCs w:val="21"/>
          <w:highlight w:val="none"/>
        </w:rPr>
        <w:t>等有关政策，具体详见招标文件。</w:t>
      </w:r>
    </w:p>
    <w:p w14:paraId="79E9FE71">
      <w:pPr>
        <w:spacing w:line="312" w:lineRule="auto"/>
        <w:ind w:firstLine="420" w:firstLineChars="200"/>
        <w:jc w:val="left"/>
        <w:rPr>
          <w:color w:val="auto"/>
          <w:kern w:val="0"/>
          <w:szCs w:val="21"/>
          <w:highlight w:val="none"/>
        </w:rPr>
      </w:pPr>
      <w:r>
        <w:rPr>
          <w:rFonts w:cs="宋体"/>
          <w:color w:val="auto"/>
          <w:highlight w:val="none"/>
        </w:rPr>
        <w:t>3.</w:t>
      </w:r>
      <w:r>
        <w:rPr>
          <w:rFonts w:hint="eastAsia" w:cs="宋体"/>
          <w:color w:val="auto"/>
          <w:highlight w:val="none"/>
        </w:rPr>
        <w:t>本项目（否）采用远程异地评审</w:t>
      </w:r>
      <w:r>
        <w:rPr>
          <w:rFonts w:hint="eastAsia"/>
          <w:color w:val="auto"/>
          <w:kern w:val="0"/>
          <w:szCs w:val="21"/>
          <w:highlight w:val="none"/>
        </w:rPr>
        <w:t>。</w:t>
      </w:r>
    </w:p>
    <w:p w14:paraId="48245157">
      <w:pPr>
        <w:spacing w:line="312" w:lineRule="auto"/>
        <w:ind w:firstLine="420" w:firstLineChars="200"/>
        <w:rPr>
          <w:color w:val="auto"/>
          <w:kern w:val="0"/>
          <w:szCs w:val="21"/>
          <w:highlight w:val="none"/>
        </w:rPr>
      </w:pPr>
      <w:r>
        <w:rPr>
          <w:color w:val="auto"/>
          <w:kern w:val="0"/>
          <w:szCs w:val="21"/>
          <w:highlight w:val="none"/>
        </w:rPr>
        <w:t>4.</w:t>
      </w:r>
      <w:r>
        <w:rPr>
          <w:rFonts w:hint="eastAsia"/>
          <w:color w:val="auto"/>
          <w:kern w:val="0"/>
          <w:szCs w:val="21"/>
          <w:highlight w:val="none"/>
        </w:rPr>
        <w:t>注意事项：</w:t>
      </w:r>
    </w:p>
    <w:p w14:paraId="696397C3">
      <w:pPr>
        <w:spacing w:line="276" w:lineRule="auto"/>
        <w:ind w:firstLine="420" w:firstLineChars="200"/>
        <w:rPr>
          <w:color w:val="auto"/>
          <w:szCs w:val="21"/>
          <w:highlight w:val="none"/>
        </w:rPr>
      </w:pPr>
      <w:r>
        <w:rPr>
          <w:rFonts w:hint="eastAsia"/>
          <w:color w:val="auto"/>
          <w:kern w:val="0"/>
          <w:szCs w:val="21"/>
          <w:highlight w:val="none"/>
        </w:rPr>
        <w:t>（1）</w:t>
      </w:r>
      <w:r>
        <w:rPr>
          <w:rFonts w:hint="eastAsia"/>
          <w:color w:val="auto"/>
          <w:szCs w:val="21"/>
          <w:highlight w:val="none"/>
        </w:rPr>
        <w:t>未进行网上注册并办理数字证书（CA认证）的供应商将无法参与本项目政府采购活动，潜在供应商应当在投标截止时间前，完成广西政府采购云平台上的CA数字证书办理及投标文件的提交。完成CA数字证书办理预计7日左右，建议各供应商抓紧时间办理。</w:t>
      </w:r>
    </w:p>
    <w:p w14:paraId="0CAEE1AD">
      <w:pPr>
        <w:spacing w:line="276" w:lineRule="auto"/>
        <w:ind w:firstLine="420" w:firstLineChars="200"/>
        <w:rPr>
          <w:color w:val="auto"/>
          <w:kern w:val="0"/>
          <w:szCs w:val="21"/>
          <w:highlight w:val="none"/>
        </w:rPr>
      </w:pPr>
      <w:r>
        <w:rPr>
          <w:rFonts w:hint="eastAsia"/>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4D0C7030">
      <w:pPr>
        <w:spacing w:line="312" w:lineRule="auto"/>
        <w:ind w:firstLine="420" w:firstLineChars="200"/>
        <w:jc w:val="left"/>
        <w:rPr>
          <w:b/>
          <w:bCs/>
          <w:color w:val="auto"/>
          <w:kern w:val="0"/>
          <w:sz w:val="22"/>
          <w:szCs w:val="22"/>
          <w:highlight w:val="none"/>
        </w:rPr>
      </w:pPr>
      <w:r>
        <w:rPr>
          <w:rFonts w:hint="eastAsia"/>
          <w:color w:val="auto"/>
          <w:szCs w:val="21"/>
          <w:highlight w:val="none"/>
        </w:rPr>
        <w:t>（3）若对项目采购电子交易系统操作有疑问，可登录广西政府采购云平台（https://www.gcy.zfcg.gxzf.gov.cn/），点击右侧咨询小采或帮助文档或拨打客服热线95763</w:t>
      </w:r>
    </w:p>
    <w:p w14:paraId="668DA77D">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七、对本次招标提出询问，请按以下方式联系</w:t>
      </w:r>
    </w:p>
    <w:p w14:paraId="6B568E1A">
      <w:pPr>
        <w:spacing w:line="312" w:lineRule="auto"/>
        <w:ind w:firstLine="420" w:firstLineChars="200"/>
        <w:jc w:val="left"/>
        <w:rPr>
          <w:color w:val="auto"/>
          <w:kern w:val="0"/>
          <w:szCs w:val="21"/>
          <w:highlight w:val="none"/>
        </w:rPr>
      </w:pPr>
      <w:r>
        <w:rPr>
          <w:rFonts w:hint="eastAsia"/>
          <w:color w:val="auto"/>
          <w:kern w:val="0"/>
          <w:szCs w:val="21"/>
          <w:highlight w:val="none"/>
        </w:rPr>
        <w:t>1.采购人信息</w:t>
      </w:r>
    </w:p>
    <w:p w14:paraId="6DB747B4">
      <w:pPr>
        <w:spacing w:line="312" w:lineRule="auto"/>
        <w:ind w:firstLine="420" w:firstLineChars="200"/>
        <w:jc w:val="left"/>
        <w:rPr>
          <w:color w:val="auto"/>
          <w:kern w:val="0"/>
          <w:szCs w:val="21"/>
          <w:highlight w:val="none"/>
        </w:rPr>
      </w:pPr>
      <w:bookmarkStart w:id="20" w:name="_Hlk19048373"/>
      <w:r>
        <w:rPr>
          <w:rFonts w:hint="eastAsia"/>
          <w:color w:val="auto"/>
          <w:kern w:val="0"/>
          <w:szCs w:val="21"/>
          <w:highlight w:val="none"/>
        </w:rPr>
        <w:t>名称</w:t>
      </w:r>
      <w:r>
        <w:rPr>
          <w:color w:val="auto"/>
          <w:kern w:val="0"/>
          <w:szCs w:val="21"/>
          <w:highlight w:val="none"/>
        </w:rPr>
        <w:t>：</w:t>
      </w:r>
      <w:r>
        <w:rPr>
          <w:rFonts w:hint="eastAsia"/>
          <w:color w:val="auto"/>
          <w:kern w:val="0"/>
          <w:szCs w:val="21"/>
          <w:highlight w:val="none"/>
        </w:rPr>
        <w:t>广西壮族自治区人工影响天气办公室</w:t>
      </w:r>
    </w:p>
    <w:p w14:paraId="6A539B6B">
      <w:pPr>
        <w:spacing w:line="312" w:lineRule="auto"/>
        <w:ind w:firstLine="420" w:firstLineChars="200"/>
        <w:jc w:val="left"/>
        <w:rPr>
          <w:color w:val="auto"/>
          <w:kern w:val="0"/>
          <w:szCs w:val="21"/>
          <w:highlight w:val="none"/>
        </w:rPr>
      </w:pPr>
      <w:r>
        <w:rPr>
          <w:rFonts w:hint="eastAsia"/>
          <w:color w:val="auto"/>
          <w:kern w:val="0"/>
          <w:szCs w:val="21"/>
          <w:highlight w:val="none"/>
        </w:rPr>
        <w:t>地址：</w:t>
      </w:r>
      <w:r>
        <w:rPr>
          <w:rFonts w:hint="eastAsia" w:ascii="Arial" w:hAnsi="Arial" w:cs="Arial"/>
          <w:color w:val="auto"/>
          <w:szCs w:val="21"/>
          <w:highlight w:val="none"/>
        </w:rPr>
        <w:t>广西南宁市江南区吴圩镇永安路16号</w:t>
      </w:r>
    </w:p>
    <w:p w14:paraId="200B19F8">
      <w:pPr>
        <w:spacing w:line="312" w:lineRule="auto"/>
        <w:ind w:firstLine="420" w:firstLineChars="200"/>
        <w:jc w:val="left"/>
        <w:rPr>
          <w:color w:val="auto"/>
          <w:kern w:val="0"/>
          <w:szCs w:val="21"/>
          <w:highlight w:val="none"/>
        </w:rPr>
      </w:pPr>
      <w:r>
        <w:rPr>
          <w:rFonts w:hint="eastAsia"/>
          <w:color w:val="auto"/>
          <w:kern w:val="0"/>
          <w:szCs w:val="21"/>
          <w:highlight w:val="none"/>
        </w:rPr>
        <w:t xml:space="preserve">项目联系人：张老师 </w:t>
      </w:r>
    </w:p>
    <w:p w14:paraId="79F49049">
      <w:pPr>
        <w:spacing w:line="312" w:lineRule="auto"/>
        <w:ind w:firstLine="420" w:firstLineChars="200"/>
        <w:jc w:val="left"/>
        <w:rPr>
          <w:color w:val="auto"/>
          <w:kern w:val="0"/>
          <w:szCs w:val="21"/>
          <w:highlight w:val="none"/>
        </w:rPr>
      </w:pPr>
      <w:r>
        <w:rPr>
          <w:rFonts w:hint="eastAsia"/>
          <w:color w:val="auto"/>
          <w:kern w:val="0"/>
          <w:szCs w:val="21"/>
          <w:highlight w:val="none"/>
        </w:rPr>
        <w:t xml:space="preserve">项目联系方式：0771-4208216  </w:t>
      </w:r>
    </w:p>
    <w:p w14:paraId="5A35F6A0">
      <w:pPr>
        <w:spacing w:line="312" w:lineRule="auto"/>
        <w:ind w:firstLine="420" w:firstLineChars="200"/>
        <w:jc w:val="left"/>
        <w:rPr>
          <w:color w:val="auto"/>
          <w:kern w:val="0"/>
          <w:szCs w:val="21"/>
          <w:highlight w:val="none"/>
        </w:rPr>
      </w:pPr>
      <w:r>
        <w:rPr>
          <w:rFonts w:hint="eastAsia"/>
          <w:color w:val="auto"/>
          <w:kern w:val="0"/>
          <w:szCs w:val="21"/>
          <w:highlight w:val="none"/>
        </w:rPr>
        <w:t>2.采购代理机构信息</w:t>
      </w:r>
    </w:p>
    <w:p w14:paraId="2FA8279A">
      <w:pPr>
        <w:spacing w:line="312" w:lineRule="auto"/>
        <w:ind w:firstLine="420" w:firstLineChars="200"/>
        <w:jc w:val="left"/>
        <w:rPr>
          <w:color w:val="auto"/>
          <w:kern w:val="0"/>
          <w:szCs w:val="21"/>
          <w:highlight w:val="none"/>
        </w:rPr>
      </w:pPr>
      <w:r>
        <w:rPr>
          <w:rFonts w:hint="eastAsia"/>
          <w:color w:val="auto"/>
          <w:kern w:val="0"/>
          <w:szCs w:val="21"/>
          <w:highlight w:val="none"/>
        </w:rPr>
        <w:t>名称</w:t>
      </w:r>
      <w:r>
        <w:rPr>
          <w:color w:val="auto"/>
          <w:kern w:val="0"/>
          <w:szCs w:val="21"/>
          <w:highlight w:val="none"/>
        </w:rPr>
        <w:t>：广西机电设备招标有限公司</w:t>
      </w:r>
    </w:p>
    <w:p w14:paraId="66510186">
      <w:pPr>
        <w:spacing w:line="312" w:lineRule="auto"/>
        <w:ind w:firstLine="420" w:firstLineChars="200"/>
        <w:jc w:val="left"/>
        <w:rPr>
          <w:color w:val="auto"/>
          <w:highlight w:val="none"/>
        </w:rPr>
      </w:pPr>
      <w:r>
        <w:rPr>
          <w:color w:val="auto"/>
          <w:kern w:val="0"/>
          <w:szCs w:val="21"/>
          <w:highlight w:val="none"/>
        </w:rPr>
        <w:t>地址：</w:t>
      </w:r>
      <w:bookmarkStart w:id="21" w:name="_Hlk43198245"/>
      <w:r>
        <w:rPr>
          <w:color w:val="auto"/>
          <w:highlight w:val="none"/>
        </w:rPr>
        <w:t>广西南宁市金湖路63号金源CBD现代城B座7层</w:t>
      </w:r>
      <w:bookmarkEnd w:id="21"/>
    </w:p>
    <w:bookmarkEnd w:id="20"/>
    <w:p w14:paraId="77521CB6">
      <w:pPr>
        <w:spacing w:line="312" w:lineRule="auto"/>
        <w:ind w:firstLine="420" w:firstLineChars="200"/>
        <w:jc w:val="left"/>
        <w:rPr>
          <w:color w:val="auto"/>
          <w:kern w:val="0"/>
          <w:szCs w:val="21"/>
          <w:highlight w:val="none"/>
        </w:rPr>
      </w:pPr>
      <w:r>
        <w:rPr>
          <w:color w:val="auto"/>
          <w:kern w:val="0"/>
          <w:szCs w:val="21"/>
          <w:highlight w:val="none"/>
        </w:rPr>
        <w:t>项目联系人：</w:t>
      </w:r>
      <w:r>
        <w:rPr>
          <w:rFonts w:hint="eastAsia"/>
          <w:color w:val="auto"/>
          <w:kern w:val="0"/>
          <w:szCs w:val="21"/>
          <w:highlight w:val="none"/>
        </w:rPr>
        <w:t>梅莹、梁艳冰、彭瑶</w:t>
      </w:r>
    </w:p>
    <w:p w14:paraId="4E79345C">
      <w:pPr>
        <w:spacing w:line="312" w:lineRule="auto"/>
        <w:ind w:firstLine="420" w:firstLineChars="200"/>
        <w:jc w:val="left"/>
        <w:rPr>
          <w:color w:val="auto"/>
          <w:kern w:val="0"/>
          <w:szCs w:val="21"/>
          <w:highlight w:val="none"/>
        </w:rPr>
      </w:pPr>
      <w:r>
        <w:rPr>
          <w:rFonts w:hint="eastAsia"/>
          <w:color w:val="auto"/>
          <w:kern w:val="0"/>
          <w:szCs w:val="21"/>
          <w:highlight w:val="none"/>
        </w:rPr>
        <w:t>项目联系方式</w:t>
      </w:r>
      <w:r>
        <w:rPr>
          <w:color w:val="auto"/>
          <w:kern w:val="0"/>
          <w:szCs w:val="21"/>
          <w:highlight w:val="none"/>
        </w:rPr>
        <w:t>：0771-280</w:t>
      </w:r>
      <w:r>
        <w:rPr>
          <w:rFonts w:hint="eastAsia"/>
          <w:color w:val="auto"/>
          <w:kern w:val="0"/>
          <w:szCs w:val="21"/>
          <w:highlight w:val="none"/>
        </w:rPr>
        <w:t>8981</w:t>
      </w:r>
    </w:p>
    <w:p w14:paraId="313C6116">
      <w:pPr>
        <w:spacing w:line="312" w:lineRule="auto"/>
        <w:ind w:firstLine="210" w:firstLineChars="100"/>
        <w:jc w:val="right"/>
        <w:rPr>
          <w:color w:val="auto"/>
          <w:kern w:val="0"/>
          <w:szCs w:val="21"/>
          <w:highlight w:val="none"/>
        </w:rPr>
      </w:pPr>
      <w:r>
        <w:rPr>
          <w:color w:val="auto"/>
          <w:kern w:val="0"/>
          <w:szCs w:val="21"/>
          <w:highlight w:val="none"/>
        </w:rPr>
        <w:t>广西机电设备招标有限公司</w:t>
      </w:r>
    </w:p>
    <w:p w14:paraId="1E30ECFF">
      <w:pPr>
        <w:spacing w:line="312" w:lineRule="auto"/>
        <w:ind w:firstLine="420" w:firstLineChars="200"/>
        <w:jc w:val="right"/>
        <w:rPr>
          <w:color w:val="auto"/>
          <w:kern w:val="0"/>
          <w:sz w:val="18"/>
          <w:szCs w:val="18"/>
          <w:highlight w:val="none"/>
        </w:rPr>
      </w:pPr>
      <w:r>
        <w:rPr>
          <w:rFonts w:hint="eastAsia"/>
          <w:color w:val="auto"/>
          <w:kern w:val="0"/>
          <w:szCs w:val="21"/>
          <w:highlight w:val="none"/>
        </w:rPr>
        <w:t>2026</w:t>
      </w:r>
      <w:r>
        <w:rPr>
          <w:color w:val="auto"/>
          <w:kern w:val="0"/>
          <w:szCs w:val="21"/>
          <w:highlight w:val="none"/>
        </w:rPr>
        <w:t>年</w:t>
      </w:r>
      <w:r>
        <w:rPr>
          <w:rFonts w:hint="eastAsia"/>
          <w:color w:val="auto"/>
          <w:kern w:val="0"/>
          <w:szCs w:val="21"/>
          <w:highlight w:val="none"/>
          <w:lang w:val="en-US" w:eastAsia="zh-CN"/>
        </w:rPr>
        <w:t>8</w:t>
      </w:r>
      <w:r>
        <w:rPr>
          <w:color w:val="auto"/>
          <w:kern w:val="0"/>
          <w:szCs w:val="21"/>
          <w:highlight w:val="none"/>
        </w:rPr>
        <w:t>月</w:t>
      </w:r>
      <w:r>
        <w:rPr>
          <w:rFonts w:hint="eastAsia"/>
          <w:color w:val="auto"/>
          <w:kern w:val="0"/>
          <w:szCs w:val="21"/>
          <w:highlight w:val="none"/>
          <w:lang w:val="en-US" w:eastAsia="zh-CN"/>
        </w:rPr>
        <w:t>24</w:t>
      </w:r>
      <w:bookmarkStart w:id="99" w:name="_GoBack"/>
      <w:bookmarkEnd w:id="99"/>
      <w:r>
        <w:rPr>
          <w:color w:val="auto"/>
          <w:kern w:val="0"/>
          <w:szCs w:val="21"/>
          <w:highlight w:val="none"/>
        </w:rPr>
        <w:t>日</w:t>
      </w:r>
    </w:p>
    <w:p w14:paraId="4258C0CF">
      <w:pPr>
        <w:pStyle w:val="26"/>
        <w:snapToGrid w:val="0"/>
        <w:spacing w:before="120" w:after="120" w:line="320" w:lineRule="exact"/>
        <w:outlineLvl w:val="0"/>
        <w:rPr>
          <w:rFonts w:ascii="Times New Roman" w:hAnsi="Times New Roman" w:cs="Times New Roman"/>
          <w:color w:val="auto"/>
          <w:highlight w:val="none"/>
        </w:rPr>
        <w:sectPr>
          <w:headerReference r:id="rId8" w:type="first"/>
          <w:footerReference r:id="rId10" w:type="first"/>
          <w:headerReference r:id="rId7" w:type="default"/>
          <w:footerReference r:id="rId9" w:type="default"/>
          <w:pgSz w:w="11906" w:h="16838"/>
          <w:pgMar w:top="1135" w:right="1133" w:bottom="1246" w:left="1418" w:header="851" w:footer="903" w:gutter="0"/>
          <w:pgNumType w:start="1"/>
          <w:cols w:space="720" w:num="1"/>
          <w:docGrid w:linePitch="312" w:charSpace="0"/>
        </w:sectPr>
      </w:pPr>
    </w:p>
    <w:p w14:paraId="05119F16">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22" w:name="_Toc23257"/>
      <w:r>
        <w:rPr>
          <w:rFonts w:ascii="Times New Roman" w:hAnsi="Times New Roman" w:cs="Times New Roman"/>
          <w:color w:val="auto"/>
          <w:sz w:val="32"/>
          <w:szCs w:val="32"/>
          <w:highlight w:val="none"/>
        </w:rPr>
        <w:t>第二章  采购需求</w:t>
      </w:r>
      <w:bookmarkEnd w:id="22"/>
    </w:p>
    <w:p w14:paraId="2FE3B272">
      <w:pPr>
        <w:spacing w:line="360" w:lineRule="auto"/>
        <w:rPr>
          <w:rFonts w:ascii="黑体" w:hAnsi="黑体" w:eastAsia="黑体" w:cs="Arial"/>
          <w:b/>
          <w:color w:val="auto"/>
          <w:kern w:val="0"/>
          <w:sz w:val="28"/>
          <w:szCs w:val="28"/>
          <w:highlight w:val="none"/>
        </w:rPr>
      </w:pPr>
      <w:r>
        <w:rPr>
          <w:rFonts w:ascii="黑体" w:hAnsi="黑体" w:eastAsia="黑体" w:cs="Arial"/>
          <w:b/>
          <w:color w:val="auto"/>
          <w:kern w:val="0"/>
          <w:sz w:val="28"/>
          <w:szCs w:val="28"/>
          <w:highlight w:val="none"/>
        </w:rPr>
        <w:t>一、</w:t>
      </w:r>
      <w:r>
        <w:rPr>
          <w:rFonts w:hint="eastAsia" w:ascii="黑体" w:hAnsi="黑体" w:eastAsia="黑体" w:cs="Arial"/>
          <w:b/>
          <w:color w:val="auto"/>
          <w:kern w:val="0"/>
          <w:sz w:val="28"/>
          <w:szCs w:val="28"/>
          <w:highlight w:val="none"/>
        </w:rPr>
        <w:t>总体</w:t>
      </w:r>
      <w:r>
        <w:rPr>
          <w:rFonts w:ascii="黑体" w:hAnsi="黑体" w:eastAsia="黑体" w:cs="Arial"/>
          <w:b/>
          <w:color w:val="auto"/>
          <w:kern w:val="0"/>
          <w:sz w:val="28"/>
          <w:szCs w:val="28"/>
          <w:highlight w:val="none"/>
        </w:rPr>
        <w:t>要求</w:t>
      </w:r>
    </w:p>
    <w:p w14:paraId="27047A76">
      <w:pPr>
        <w:spacing w:line="360" w:lineRule="auto"/>
        <w:rPr>
          <w:color w:val="auto"/>
          <w:szCs w:val="21"/>
          <w:highlight w:val="none"/>
        </w:rPr>
      </w:pPr>
      <w:r>
        <w:rPr>
          <w:color w:val="auto"/>
          <w:szCs w:val="21"/>
          <w:highlight w:val="none"/>
        </w:rPr>
        <w:t>1</w:t>
      </w:r>
      <w:r>
        <w:rPr>
          <w:rFonts w:hint="eastAsia"/>
          <w:color w:val="auto"/>
          <w:szCs w:val="21"/>
          <w:highlight w:val="none"/>
        </w:rPr>
        <w:t>.政府采购政策的应用</w:t>
      </w:r>
    </w:p>
    <w:p w14:paraId="4358A727">
      <w:pPr>
        <w:spacing w:line="360" w:lineRule="auto"/>
        <w:rPr>
          <w:color w:val="auto"/>
          <w:szCs w:val="21"/>
          <w:highlight w:val="none"/>
        </w:rPr>
      </w:pPr>
      <w:r>
        <w:rPr>
          <w:rFonts w:hint="eastAsia"/>
          <w:color w:val="auto"/>
          <w:szCs w:val="21"/>
          <w:highlight w:val="none"/>
        </w:rPr>
        <w:t>详见招标文件“评审方法及标准</w:t>
      </w:r>
      <w:r>
        <w:rPr>
          <w:color w:val="auto"/>
          <w:szCs w:val="21"/>
          <w:highlight w:val="none"/>
        </w:rPr>
        <w:t>/政府采购政策应用说明”。</w:t>
      </w:r>
    </w:p>
    <w:p w14:paraId="444C65A3">
      <w:pPr>
        <w:spacing w:line="360" w:lineRule="auto"/>
        <w:rPr>
          <w:color w:val="auto"/>
          <w:szCs w:val="21"/>
          <w:highlight w:val="none"/>
        </w:rPr>
      </w:pPr>
      <w:r>
        <w:rPr>
          <w:color w:val="auto"/>
          <w:szCs w:val="21"/>
          <w:highlight w:val="none"/>
        </w:rPr>
        <w:t>2</w:t>
      </w:r>
      <w:r>
        <w:rPr>
          <w:rFonts w:hint="eastAsia"/>
          <w:color w:val="auto"/>
          <w:szCs w:val="21"/>
          <w:highlight w:val="none"/>
        </w:rPr>
        <w:t>.采购需求要求未尽事宜</w:t>
      </w:r>
      <w:r>
        <w:rPr>
          <w:color w:val="auto"/>
          <w:szCs w:val="21"/>
          <w:highlight w:val="none"/>
        </w:rPr>
        <w:t>由</w:t>
      </w:r>
      <w:r>
        <w:rPr>
          <w:rFonts w:hint="eastAsia"/>
          <w:color w:val="auto"/>
          <w:szCs w:val="21"/>
          <w:highlight w:val="none"/>
        </w:rPr>
        <w:t>采购人与中标人</w:t>
      </w:r>
      <w:r>
        <w:rPr>
          <w:color w:val="auto"/>
          <w:szCs w:val="21"/>
          <w:highlight w:val="none"/>
        </w:rPr>
        <w:t>在采购合同中约定。</w:t>
      </w:r>
    </w:p>
    <w:p w14:paraId="002E4E00">
      <w:pPr>
        <w:spacing w:line="360" w:lineRule="auto"/>
        <w:rPr>
          <w:color w:val="auto"/>
          <w:szCs w:val="21"/>
          <w:highlight w:val="none"/>
        </w:rPr>
      </w:pPr>
      <w:r>
        <w:rPr>
          <w:rFonts w:hint="eastAsia"/>
          <w:color w:val="auto"/>
          <w:szCs w:val="21"/>
          <w:highlight w:val="none"/>
        </w:rPr>
        <w:t>3.标注“▲”的条款或要求系指实质性条款或实质性要求，必须满足，如存在负偏离将导致投标被否决。</w:t>
      </w:r>
    </w:p>
    <w:p w14:paraId="2E01967D">
      <w:pPr>
        <w:spacing w:line="360" w:lineRule="auto"/>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二、技术要求</w:t>
      </w:r>
    </w:p>
    <w:p w14:paraId="239F159F">
      <w:pPr>
        <w:spacing w:line="360" w:lineRule="auto"/>
        <w:rPr>
          <w:color w:val="auto"/>
          <w:szCs w:val="21"/>
          <w:highlight w:val="none"/>
        </w:rPr>
      </w:pPr>
      <w:r>
        <w:rPr>
          <w:rFonts w:hint="eastAsia"/>
          <w:color w:val="auto"/>
          <w:szCs w:val="21"/>
          <w:highlight w:val="none"/>
        </w:rPr>
        <w:t>1.需实现的功能、目标及应用场景</w:t>
      </w:r>
    </w:p>
    <w:p w14:paraId="639FDEA6">
      <w:pPr>
        <w:spacing w:line="360" w:lineRule="auto"/>
        <w:rPr>
          <w:color w:val="auto"/>
          <w:szCs w:val="21"/>
          <w:highlight w:val="none"/>
        </w:rPr>
      </w:pPr>
      <w:r>
        <w:rPr>
          <w:rFonts w:hint="eastAsia"/>
          <w:color w:val="auto"/>
          <w:szCs w:val="21"/>
          <w:highlight w:val="none"/>
        </w:rPr>
        <w:t>满足招标文件要求，验收达到合格标准。</w:t>
      </w:r>
    </w:p>
    <w:p w14:paraId="31E7CB33">
      <w:pPr>
        <w:spacing w:line="360" w:lineRule="auto"/>
        <w:rPr>
          <w:color w:val="auto"/>
          <w:szCs w:val="21"/>
          <w:highlight w:val="none"/>
        </w:rPr>
      </w:pPr>
      <w:r>
        <w:rPr>
          <w:rFonts w:hint="eastAsia"/>
          <w:color w:val="auto"/>
          <w:szCs w:val="21"/>
          <w:highlight w:val="none"/>
        </w:rPr>
        <w:t>2.</w:t>
      </w:r>
      <w:r>
        <w:rPr>
          <w:color w:val="auto"/>
          <w:szCs w:val="21"/>
          <w:highlight w:val="none"/>
        </w:rPr>
        <w:t>需执行的国家相关标准、行业标准、地方标准或者其他标准、规范</w:t>
      </w:r>
    </w:p>
    <w:p w14:paraId="02172116">
      <w:pPr>
        <w:spacing w:line="360" w:lineRule="auto"/>
        <w:rPr>
          <w:i/>
          <w:color w:val="auto"/>
          <w:szCs w:val="21"/>
          <w:highlight w:val="none"/>
          <w:u w:val="single"/>
        </w:rPr>
      </w:pPr>
      <w:r>
        <w:rPr>
          <w:rFonts w:hint="eastAsia"/>
          <w:color w:val="auto"/>
          <w:szCs w:val="21"/>
          <w:highlight w:val="none"/>
        </w:rPr>
        <w:t>本项目应执行的国家相关标准、行业标准、地方标准或者其他标准、规范为：</w:t>
      </w:r>
      <w:r>
        <w:rPr>
          <w:rFonts w:hint="eastAsia"/>
          <w:color w:val="auto"/>
          <w:szCs w:val="21"/>
          <w:highlight w:val="none"/>
          <w:u w:val="single"/>
        </w:rPr>
        <w:t xml:space="preserve"> </w:t>
      </w:r>
      <w:r>
        <w:rPr>
          <w:rFonts w:hint="eastAsia"/>
          <w:i/>
          <w:color w:val="auto"/>
          <w:szCs w:val="21"/>
          <w:highlight w:val="none"/>
          <w:u w:val="single"/>
        </w:rPr>
        <w:t>详见技术指标要求.</w:t>
      </w:r>
    </w:p>
    <w:p w14:paraId="0AA04DC5">
      <w:pPr>
        <w:pStyle w:val="17"/>
        <w:spacing w:line="360" w:lineRule="auto"/>
        <w:rPr>
          <w:b/>
          <w:bCs/>
          <w:color w:val="auto"/>
          <w:highlight w:val="none"/>
        </w:rPr>
      </w:pPr>
      <w:r>
        <w:rPr>
          <w:rFonts w:hint="eastAsia"/>
          <w:color w:val="auto"/>
          <w:szCs w:val="21"/>
          <w:highlight w:val="none"/>
        </w:rPr>
        <w:t>3.标的所属行业：</w:t>
      </w:r>
      <w:r>
        <w:rPr>
          <w:rFonts w:hint="eastAsia"/>
          <w:b/>
          <w:bCs/>
          <w:color w:val="auto"/>
          <w:highlight w:val="none"/>
        </w:rPr>
        <w:t>交通运输业</w:t>
      </w:r>
    </w:p>
    <w:p w14:paraId="2A373A46">
      <w:pPr>
        <w:spacing w:line="360" w:lineRule="auto"/>
        <w:rPr>
          <w:rFonts w:hint="eastAsia"/>
          <w:color w:val="auto"/>
          <w:szCs w:val="21"/>
          <w:highlight w:val="none"/>
        </w:rPr>
      </w:pPr>
      <w:r>
        <w:rPr>
          <w:rFonts w:hint="eastAsia"/>
          <w:color w:val="auto"/>
          <w:szCs w:val="21"/>
          <w:highlight w:val="none"/>
        </w:rPr>
        <w:t>4.核心产品</w:t>
      </w:r>
    </w:p>
    <w:p w14:paraId="29EC96CF">
      <w:pPr>
        <w:spacing w:line="360" w:lineRule="auto"/>
        <w:rPr>
          <w:color w:val="auto"/>
          <w:szCs w:val="21"/>
          <w:highlight w:val="none"/>
        </w:rPr>
      </w:pPr>
      <w:r>
        <w:rPr>
          <w:rFonts w:hint="eastAsia"/>
          <w:color w:val="auto"/>
          <w:szCs w:val="21"/>
          <w:highlight w:val="none"/>
        </w:rPr>
        <w:t>本项目为服务项目，不适用核心产品规定。</w:t>
      </w:r>
    </w:p>
    <w:p w14:paraId="4F5E1CBC">
      <w:pPr>
        <w:spacing w:line="360" w:lineRule="auto"/>
        <w:rPr>
          <w:color w:val="auto"/>
          <w:szCs w:val="21"/>
          <w:highlight w:val="none"/>
        </w:rPr>
      </w:pPr>
      <w:r>
        <w:rPr>
          <w:rFonts w:hint="eastAsia"/>
          <w:color w:val="auto"/>
          <w:szCs w:val="21"/>
          <w:highlight w:val="none"/>
        </w:rPr>
        <w:t>▲5.服务内容和标准</w:t>
      </w:r>
      <w:bookmarkStart w:id="23" w:name="_Hlk132788047"/>
      <w:r>
        <w:rPr>
          <w:rFonts w:hint="eastAsia"/>
          <w:color w:val="auto"/>
          <w:szCs w:val="21"/>
          <w:highlight w:val="none"/>
        </w:rPr>
        <w:t>：</w:t>
      </w:r>
    </w:p>
    <w:bookmarkEnd w:id="23"/>
    <w:p w14:paraId="72877EF3">
      <w:pPr>
        <w:spacing w:line="360" w:lineRule="auto"/>
        <w:rPr>
          <w:color w:val="auto"/>
          <w:szCs w:val="21"/>
          <w:highlight w:val="none"/>
        </w:rPr>
      </w:pPr>
      <w:r>
        <w:rPr>
          <w:rFonts w:hint="eastAsia"/>
          <w:color w:val="auto"/>
          <w:szCs w:val="21"/>
          <w:highlight w:val="none"/>
        </w:rPr>
        <w:t>（1）中标人负责增雨飞机的飞行作业、</w:t>
      </w:r>
      <w:r>
        <w:rPr>
          <w:rFonts w:hint="eastAsia" w:ascii="宋体" w:hAnsi="宋体" w:cs="宋体"/>
          <w:color w:val="auto"/>
          <w:szCs w:val="21"/>
          <w:highlight w:val="none"/>
        </w:rPr>
        <w:t>飞机维护维修工作、飞机定检工作</w:t>
      </w:r>
      <w:r>
        <w:rPr>
          <w:rFonts w:hint="eastAsia"/>
          <w:color w:val="auto"/>
          <w:szCs w:val="21"/>
          <w:highlight w:val="none"/>
        </w:rPr>
        <w:t>、飞机保洁、机载任务系统基本维护、安全运行、日常管理，并制定相应的程序、规定</w:t>
      </w:r>
      <w:r>
        <w:rPr>
          <w:rFonts w:hint="eastAsia"/>
          <w:color w:val="auto"/>
          <w:szCs w:val="21"/>
          <w:highlight w:val="none"/>
          <w:lang w:eastAsia="zh-CN"/>
        </w:rPr>
        <w:t>，</w:t>
      </w:r>
      <w:r>
        <w:rPr>
          <w:rFonts w:hint="eastAsia"/>
          <w:color w:val="auto"/>
          <w:szCs w:val="21"/>
          <w:highlight w:val="none"/>
        </w:rPr>
        <w:t>承担安全责任和适航责任。合同签订后，中标人应按照中国民航的适航法规和飞机生产厂家及机载设备适航性资料，提早制定飞机全年维修（含定检）计划并通报给采购人，按时完成飞机定检、维修与管理。</w:t>
      </w:r>
      <w:r>
        <w:rPr>
          <w:rFonts w:hint="eastAsia"/>
          <w:color w:val="auto"/>
          <w:szCs w:val="21"/>
          <w:highlight w:val="none"/>
        </w:rPr>
        <w:br w:type="textWrapping"/>
      </w:r>
      <w:r>
        <w:rPr>
          <w:rFonts w:hint="eastAsia"/>
          <w:color w:val="auto"/>
          <w:szCs w:val="21"/>
          <w:highlight w:val="none"/>
        </w:rPr>
        <w:t>（2）当飞机需要大修、定检或定期维护、零部件维修时，中标人承诺提供1架涡轮双发及以上、带机舱增压、已完成人影作业改装的备用飞机，且中标人应提前告知采购人并合理安排。（提供承诺函进行响应，格式自拟。）</w:t>
      </w:r>
      <w:r>
        <w:rPr>
          <w:rFonts w:hint="eastAsia"/>
          <w:color w:val="auto"/>
          <w:szCs w:val="21"/>
          <w:highlight w:val="none"/>
        </w:rPr>
        <w:br w:type="textWrapping"/>
      </w:r>
      <w:r>
        <w:rPr>
          <w:rFonts w:hint="eastAsia"/>
          <w:color w:val="auto"/>
          <w:szCs w:val="21"/>
          <w:highlight w:val="none"/>
        </w:rPr>
        <w:t>（3）核心作业任务：中标人须按照采购人要求，依托托管的新舟60增雨飞机，在服务区域内全周期开展以下人工影响天气作业及保障工作，所有作业任务均纳入托管服务范围，不再另行计费：</w:t>
      </w:r>
      <w:r>
        <w:rPr>
          <w:rFonts w:hint="eastAsia"/>
          <w:color w:val="auto"/>
          <w:szCs w:val="21"/>
          <w:highlight w:val="none"/>
        </w:rPr>
        <w:br w:type="textWrapping"/>
      </w:r>
      <w:r>
        <w:rPr>
          <w:rFonts w:hint="eastAsia" w:ascii="微软雅黑" w:hAnsi="微软雅黑" w:eastAsia="微软雅黑" w:cs="微软雅黑"/>
          <w:color w:val="auto"/>
          <w:szCs w:val="21"/>
          <w:highlight w:val="none"/>
        </w:rPr>
        <w:t>①</w:t>
      </w:r>
      <w:r>
        <w:rPr>
          <w:rFonts w:hint="eastAsia"/>
          <w:color w:val="auto"/>
          <w:szCs w:val="21"/>
          <w:highlight w:val="none"/>
        </w:rPr>
        <w:t>抗旱增雨作业：针对广西及服务区域内干旱缺水、农田灌溉、水库蓄水、森林草原防灭火等需求，开展常态化人工增雨作业，提升区域水资源储备、抗旱减灾能力。</w:t>
      </w:r>
      <w:r>
        <w:rPr>
          <w:rFonts w:hint="eastAsia"/>
          <w:color w:val="auto"/>
          <w:szCs w:val="21"/>
          <w:highlight w:val="none"/>
        </w:rPr>
        <w:br w:type="textWrapping"/>
      </w:r>
      <w:r>
        <w:rPr>
          <w:rFonts w:hint="eastAsia" w:ascii="微软雅黑" w:hAnsi="微软雅黑" w:eastAsia="微软雅黑" w:cs="微软雅黑"/>
          <w:color w:val="auto"/>
          <w:szCs w:val="21"/>
          <w:highlight w:val="none"/>
        </w:rPr>
        <w:t>②</w:t>
      </w:r>
      <w:r>
        <w:rPr>
          <w:rFonts w:hint="eastAsia"/>
          <w:color w:val="auto"/>
          <w:szCs w:val="21"/>
          <w:highlight w:val="none"/>
        </w:rPr>
        <w:t>重大活动气象保障作业：承接国家、省级、市级重大活动（含国际赛事、国家庆典、重大会议、重要节庆等）的气象保障专项人工影响天气作业，确保活动期间气象条件安全可控。</w:t>
      </w:r>
      <w:r>
        <w:rPr>
          <w:rFonts w:hint="eastAsia"/>
          <w:color w:val="auto"/>
          <w:szCs w:val="21"/>
          <w:highlight w:val="none"/>
        </w:rPr>
        <w:br w:type="textWrapping"/>
      </w:r>
      <w:r>
        <w:rPr>
          <w:rFonts w:hint="eastAsia" w:ascii="微软雅黑" w:hAnsi="微软雅黑" w:eastAsia="微软雅黑" w:cs="微软雅黑"/>
          <w:color w:val="auto"/>
          <w:szCs w:val="21"/>
          <w:highlight w:val="none"/>
        </w:rPr>
        <w:t>③</w:t>
      </w:r>
      <w:r>
        <w:rPr>
          <w:rFonts w:hint="eastAsia"/>
          <w:color w:val="auto"/>
          <w:szCs w:val="21"/>
          <w:highlight w:val="none"/>
        </w:rPr>
        <w:t>生态环境修复作业：针对生态脆弱区、水源涵养区、重点生态功能区、森林植被区等，开展生态修复型人工增雨（雪）作业，助力植被恢复、生态补水、空气质量改善、生态环境保护。</w:t>
      </w:r>
      <w:r>
        <w:rPr>
          <w:rFonts w:hint="eastAsia"/>
          <w:color w:val="auto"/>
          <w:szCs w:val="21"/>
          <w:highlight w:val="none"/>
        </w:rPr>
        <w:br w:type="textWrapping"/>
      </w:r>
      <w:r>
        <w:rPr>
          <w:rFonts w:hint="eastAsia" w:ascii="微软雅黑" w:hAnsi="微软雅黑" w:eastAsia="微软雅黑" w:cs="微软雅黑"/>
          <w:color w:val="auto"/>
          <w:szCs w:val="21"/>
          <w:highlight w:val="none"/>
        </w:rPr>
        <w:t>④</w:t>
      </w:r>
      <w:r>
        <w:rPr>
          <w:rFonts w:hint="eastAsia"/>
          <w:color w:val="auto"/>
          <w:szCs w:val="21"/>
          <w:highlight w:val="none"/>
        </w:rPr>
        <w:t>应急处置保障作业：应对森林火灾、极端高温、重污染天气、洪涝前置调控等突发应急事件，快速响应开展应急人工影响天气作业，降低灾害损失。</w:t>
      </w:r>
      <w:r>
        <w:rPr>
          <w:rFonts w:hint="eastAsia"/>
          <w:color w:val="auto"/>
          <w:szCs w:val="21"/>
          <w:highlight w:val="none"/>
        </w:rPr>
        <w:br w:type="textWrapping"/>
      </w:r>
      <w:r>
        <w:rPr>
          <w:rFonts w:hint="eastAsia" w:ascii="微软雅黑" w:hAnsi="微软雅黑" w:eastAsia="微软雅黑" w:cs="微软雅黑"/>
          <w:color w:val="auto"/>
          <w:szCs w:val="21"/>
          <w:highlight w:val="none"/>
        </w:rPr>
        <w:t>⑤</w:t>
      </w:r>
      <w:r>
        <w:rPr>
          <w:rFonts w:hint="eastAsia"/>
          <w:color w:val="auto"/>
          <w:szCs w:val="21"/>
          <w:highlight w:val="none"/>
        </w:rPr>
        <w:t>人影探测与科研试验作业：配合中国气象局、 广西壮族自治区气象局开展人工影响天气大气探测、科学试验、业务测试、技术研发等相关飞行任务，支撑人影业务科研工作。</w:t>
      </w:r>
      <w:r>
        <w:rPr>
          <w:rFonts w:hint="eastAsia"/>
          <w:color w:val="auto"/>
          <w:szCs w:val="21"/>
          <w:highlight w:val="none"/>
        </w:rPr>
        <w:br w:type="textWrapping"/>
      </w:r>
      <w:r>
        <w:rPr>
          <w:rFonts w:hint="eastAsia"/>
          <w:color w:val="auto"/>
          <w:szCs w:val="21"/>
          <w:highlight w:val="none"/>
        </w:rPr>
        <w:t>（4）中标人对飞机的质量进行检查并按规定程序对飞机和机载任务系统开展定检工作，确保飞机的适航状态，如有质量问题，需及时向采购人提出，代表采购人向飞机制造公司以及改装公司提出，并协商制定解决方案，直至问题解决，并承担机载探测设备定检费和机载通讯设备（北斗、天通等）通讯费。</w:t>
      </w:r>
      <w:r>
        <w:rPr>
          <w:rFonts w:hint="eastAsia"/>
          <w:color w:val="auto"/>
          <w:szCs w:val="21"/>
          <w:highlight w:val="none"/>
        </w:rPr>
        <w:br w:type="textWrapping"/>
      </w:r>
      <w:r>
        <w:rPr>
          <w:rFonts w:hint="eastAsia"/>
          <w:color w:val="auto"/>
          <w:szCs w:val="21"/>
          <w:highlight w:val="none"/>
        </w:rPr>
        <w:t>（5）中标人负责飞机维修（含定检）的航材及相应工具的购置、供应、保存和管理。除三大件（发动机、螺旋桨、APU）外，定检和所需航材购置或租用费用、工时费、差旅费等均由中标人承担。中标人应在本项目中标后，储备一定规模的航材和耗材，保证所托管飞机不间断飞行。</w:t>
      </w:r>
      <w:r>
        <w:rPr>
          <w:rFonts w:hint="eastAsia"/>
          <w:color w:val="auto"/>
          <w:szCs w:val="21"/>
          <w:highlight w:val="none"/>
        </w:rPr>
        <w:br w:type="textWrapping"/>
      </w:r>
      <w:r>
        <w:rPr>
          <w:rFonts w:hint="eastAsia"/>
          <w:color w:val="auto"/>
          <w:szCs w:val="21"/>
          <w:highlight w:val="none"/>
        </w:rPr>
        <w:t>（6）常驻运行团队人员配置要求：</w:t>
      </w:r>
      <w:r>
        <w:rPr>
          <w:rFonts w:hint="eastAsia"/>
          <w:color w:val="auto"/>
          <w:szCs w:val="21"/>
          <w:highlight w:val="none"/>
        </w:rPr>
        <w:br w:type="textWrapping"/>
      </w:r>
      <w:r>
        <w:rPr>
          <w:rFonts w:hint="eastAsia"/>
          <w:color w:val="auto"/>
          <w:szCs w:val="21"/>
          <w:highlight w:val="none"/>
        </w:rPr>
        <w:t xml:space="preserve">  </w:t>
      </w:r>
      <w:r>
        <w:rPr>
          <w:rFonts w:hint="eastAsia" w:ascii="微软雅黑" w:hAnsi="微软雅黑" w:eastAsia="微软雅黑" w:cs="微软雅黑"/>
          <w:color w:val="auto"/>
          <w:szCs w:val="21"/>
          <w:highlight w:val="none"/>
        </w:rPr>
        <w:t>①</w:t>
      </w:r>
      <w:r>
        <w:rPr>
          <w:rFonts w:hint="eastAsia"/>
          <w:color w:val="auto"/>
          <w:szCs w:val="21"/>
          <w:highlight w:val="none"/>
        </w:rPr>
        <w:t>飞行人员：配备至少2名持有中国民用航空局颁发的有效商用驾驶员执照（或更高级别的航线运输驾驶员执照）的飞行人员，其执照等级签注须包含“飞机多发陆地”，并具有MA60机型的型别等级签注；上述飞行人员均须具备该机型的机长资质。</w:t>
      </w:r>
    </w:p>
    <w:p w14:paraId="492D7B50">
      <w:pPr>
        <w:spacing w:line="360" w:lineRule="auto"/>
        <w:rPr>
          <w:color w:val="auto"/>
          <w:szCs w:val="21"/>
          <w:highlight w:val="none"/>
        </w:rPr>
      </w:pPr>
      <w:r>
        <w:rPr>
          <w:rFonts w:hint="eastAsia"/>
          <w:color w:val="auto"/>
          <w:szCs w:val="21"/>
          <w:highlight w:val="none"/>
        </w:rPr>
        <w:t xml:space="preserve">  注：针对“人员资质”，同时提供飞行人员有效的驾驶员执照扫描件及在职证明材料(投标截止时间前半年内任意一个月社保证明材料或劳动合同）等证明材料；针对“机长资质”，提供由原或现任职的航空公司或通航企业出具的该飞行人员具备MA60机型机长资质的书面证明文件复印件或承诺函进行证明。</w:t>
      </w:r>
      <w:r>
        <w:rPr>
          <w:rFonts w:hint="eastAsia"/>
          <w:color w:val="auto"/>
          <w:szCs w:val="21"/>
          <w:highlight w:val="none"/>
        </w:rPr>
        <w:br w:type="textWrapping"/>
      </w:r>
      <w:r>
        <w:rPr>
          <w:rFonts w:hint="eastAsia"/>
          <w:color w:val="auto"/>
          <w:szCs w:val="21"/>
          <w:highlight w:val="none"/>
        </w:rPr>
        <w:t xml:space="preserve">  </w:t>
      </w:r>
      <w:r>
        <w:rPr>
          <w:rFonts w:hint="eastAsia" w:ascii="微软雅黑" w:hAnsi="微软雅黑" w:eastAsia="微软雅黑" w:cs="微软雅黑"/>
          <w:color w:val="auto"/>
          <w:szCs w:val="21"/>
          <w:highlight w:val="none"/>
        </w:rPr>
        <w:t>②</w:t>
      </w:r>
      <w:r>
        <w:rPr>
          <w:rFonts w:hint="eastAsia"/>
          <w:color w:val="auto"/>
          <w:szCs w:val="21"/>
          <w:highlight w:val="none"/>
        </w:rPr>
        <w:t>机务维修人员：配备至少5名持有中国民用航空局颁发的有效民用航空器维修人员执照的机务维修人员。</w:t>
      </w:r>
      <w:r>
        <w:rPr>
          <w:rFonts w:hint="eastAsia"/>
          <w:color w:val="auto"/>
          <w:szCs w:val="21"/>
          <w:highlight w:val="none"/>
        </w:rPr>
        <w:br w:type="textWrapping"/>
      </w:r>
      <w:r>
        <w:rPr>
          <w:rFonts w:hint="eastAsia"/>
          <w:color w:val="auto"/>
          <w:szCs w:val="21"/>
          <w:highlight w:val="none"/>
          <w:lang w:val="en-US" w:eastAsia="zh-CN"/>
        </w:rPr>
        <w:t xml:space="preserve">  </w:t>
      </w:r>
      <w:r>
        <w:rPr>
          <w:rFonts w:hint="eastAsia"/>
          <w:color w:val="auto"/>
          <w:szCs w:val="21"/>
          <w:highlight w:val="none"/>
        </w:rPr>
        <w:t>上述人员中，须有至少1名机务维修人员的维修执照上具有MA60机型的有效机型签署。</w:t>
      </w:r>
      <w:r>
        <w:rPr>
          <w:rFonts w:hint="eastAsia"/>
          <w:color w:val="auto"/>
          <w:szCs w:val="21"/>
          <w:highlight w:val="none"/>
        </w:rPr>
        <w:br w:type="textWrapping"/>
      </w:r>
      <w:r>
        <w:rPr>
          <w:rFonts w:hint="eastAsia"/>
          <w:color w:val="auto"/>
          <w:szCs w:val="21"/>
          <w:highlight w:val="none"/>
        </w:rPr>
        <w:t xml:space="preserve">  注：同时提供机务维修人员有效的民用航空器维修人员执照复印件及在职证明材料(投标截止时间前半年内任意一个月社保证明材料或劳动合同）复印件进行证明，其中放行人员的维修执照“机型签署”页应体现“MA60”机型。</w:t>
      </w:r>
      <w:r>
        <w:rPr>
          <w:rFonts w:hint="eastAsia"/>
          <w:color w:val="auto"/>
          <w:szCs w:val="21"/>
          <w:highlight w:val="none"/>
        </w:rPr>
        <w:br w:type="textWrapping"/>
      </w:r>
      <w:r>
        <w:rPr>
          <w:rFonts w:hint="eastAsia"/>
          <w:color w:val="auto"/>
          <w:szCs w:val="21"/>
          <w:highlight w:val="none"/>
        </w:rPr>
        <w:t xml:space="preserve"> </w:t>
      </w:r>
      <w:r>
        <w:rPr>
          <w:rFonts w:hint="eastAsia" w:ascii="微软雅黑" w:hAnsi="微软雅黑" w:eastAsia="微软雅黑" w:cs="微软雅黑"/>
          <w:color w:val="auto"/>
          <w:szCs w:val="21"/>
          <w:highlight w:val="none"/>
        </w:rPr>
        <w:t>③</w:t>
      </w:r>
      <w:r>
        <w:rPr>
          <w:rFonts w:hint="eastAsia"/>
          <w:color w:val="auto"/>
          <w:szCs w:val="21"/>
          <w:highlight w:val="none"/>
        </w:rPr>
        <w:t>航务人员：配备至少1名持有有效民用航空飞行签派员执照或具备相应资质的常驻签派人员，负责飞行计划的申报与协调工作。</w:t>
      </w:r>
      <w:r>
        <w:rPr>
          <w:rFonts w:hint="eastAsia"/>
          <w:color w:val="auto"/>
          <w:szCs w:val="21"/>
          <w:highlight w:val="none"/>
        </w:rPr>
        <w:br w:type="textWrapping"/>
      </w:r>
      <w:r>
        <w:rPr>
          <w:rFonts w:hint="eastAsia"/>
          <w:color w:val="auto"/>
          <w:szCs w:val="21"/>
          <w:highlight w:val="none"/>
        </w:rPr>
        <w:t xml:space="preserve"> </w:t>
      </w:r>
      <w:r>
        <w:rPr>
          <w:rFonts w:hint="eastAsia" w:ascii="微软雅黑" w:hAnsi="微软雅黑" w:eastAsia="微软雅黑" w:cs="微软雅黑"/>
          <w:color w:val="auto"/>
          <w:szCs w:val="21"/>
          <w:highlight w:val="none"/>
        </w:rPr>
        <w:t>④</w:t>
      </w:r>
      <w:r>
        <w:rPr>
          <w:rFonts w:hint="eastAsia"/>
          <w:color w:val="auto"/>
          <w:szCs w:val="21"/>
          <w:highlight w:val="none"/>
        </w:rPr>
        <w:t>驻场要求：上述人员须常驻飞机运行基地，全程随飞机执行飞行任务。遇有重大活动保障或科研探测任务时，中标人须根据任务需求增配人员，并确保相关航线维护工具及航材储备充足。</w:t>
      </w:r>
      <w:r>
        <w:rPr>
          <w:rFonts w:hint="eastAsia"/>
          <w:color w:val="auto"/>
          <w:szCs w:val="21"/>
          <w:highlight w:val="none"/>
        </w:rPr>
        <w:br w:type="textWrapping"/>
      </w:r>
      <w:r>
        <w:rPr>
          <w:rFonts w:hint="eastAsia"/>
          <w:color w:val="auto"/>
          <w:szCs w:val="21"/>
          <w:highlight w:val="none"/>
        </w:rPr>
        <w:t>（7）中标人负责</w:t>
      </w:r>
      <w:r>
        <w:rPr>
          <w:rFonts w:hint="eastAsia"/>
          <w:color w:val="auto"/>
          <w:szCs w:val="21"/>
          <w:highlight w:val="none"/>
          <w:lang w:val="en-US" w:eastAsia="zh-CN"/>
        </w:rPr>
        <w:t>托管飞机</w:t>
      </w:r>
      <w:r>
        <w:rPr>
          <w:rFonts w:hint="eastAsia"/>
          <w:color w:val="auto"/>
          <w:szCs w:val="21"/>
          <w:highlight w:val="none"/>
        </w:rPr>
        <w:t>机组人员的工资、补贴、差旅、食宿、交通等事宜，并承担相关费用。</w:t>
      </w:r>
      <w:r>
        <w:rPr>
          <w:rFonts w:hint="eastAsia"/>
          <w:color w:val="auto"/>
          <w:szCs w:val="21"/>
          <w:highlight w:val="none"/>
        </w:rPr>
        <w:br w:type="textWrapping"/>
      </w:r>
      <w:r>
        <w:rPr>
          <w:rFonts w:hint="eastAsia"/>
          <w:color w:val="auto"/>
          <w:szCs w:val="21"/>
          <w:highlight w:val="none"/>
        </w:rPr>
        <w:t>（8）在托管期间，中标人应具备与军民航管制部门沟通、协调、联系的能力，负责飞行空域协调，以保证在规定时间内完成采购人交付的任务，按采购人下达的飞行计划和飞行指令，按时、按质、按量完成任务，并承担费用。</w:t>
      </w:r>
      <w:r>
        <w:rPr>
          <w:rFonts w:hint="eastAsia"/>
          <w:color w:val="auto"/>
          <w:szCs w:val="21"/>
          <w:highlight w:val="none"/>
        </w:rPr>
        <w:br w:type="textWrapping"/>
      </w:r>
      <w:r>
        <w:rPr>
          <w:rFonts w:hint="eastAsia"/>
          <w:color w:val="auto"/>
          <w:szCs w:val="21"/>
          <w:highlight w:val="none"/>
        </w:rPr>
        <w:t>（9）中标人按照采购人指定的机场，负责取得任务所需的机场的使用许可和保障服务，负责与任务机场签署使用协议，提供飞机飞行、勤务保障和机场外场进出场作业人员、设备仪器等车辆通勤运输工作（南宁吴圩机场除外），负责全国范围内驻场转场、起降、安保等机场保障事宜并承担费用。</w:t>
      </w:r>
      <w:r>
        <w:rPr>
          <w:rFonts w:hint="eastAsia"/>
          <w:color w:val="auto"/>
          <w:szCs w:val="21"/>
          <w:highlight w:val="none"/>
        </w:rPr>
        <w:br w:type="textWrapping"/>
      </w:r>
      <w:r>
        <w:rPr>
          <w:rFonts w:hint="eastAsia"/>
          <w:color w:val="auto"/>
          <w:szCs w:val="21"/>
          <w:highlight w:val="none"/>
        </w:rPr>
        <w:t>（10）按采购人要求完成飞行作业任务，严禁无故拒飞和延误飞行，因中标人原因造成的无法执行飞行作业任务（因机场或空域使用手续办理不及时、机组人员履职不当、飞机故障等原因导致不能实施飞行作业的情况），中标人承担10万元/次的经济处罚。</w:t>
      </w:r>
    </w:p>
    <w:p w14:paraId="0930BC02">
      <w:pPr>
        <w:spacing w:line="360" w:lineRule="auto"/>
        <w:rPr>
          <w:color w:val="auto"/>
          <w:szCs w:val="21"/>
          <w:highlight w:val="none"/>
        </w:rPr>
      </w:pPr>
      <w:r>
        <w:rPr>
          <w:rFonts w:hint="eastAsia"/>
          <w:color w:val="auto"/>
          <w:szCs w:val="21"/>
          <w:highlight w:val="none"/>
        </w:rPr>
        <w:t>（11）中标人必须按照投标文件和合同约定中所保证的时间节点运行，中标人逾期履行上述义务的，每逾期一日支付违约金10万元（不可抗力因素不包含在此条例中），若超出30日，采购人有权解除合同，并要求中标人赔偿由此造成的损失。</w:t>
      </w:r>
      <w:r>
        <w:rPr>
          <w:rFonts w:hint="eastAsia"/>
          <w:color w:val="auto"/>
          <w:szCs w:val="21"/>
          <w:highlight w:val="none"/>
        </w:rPr>
        <w:br w:type="textWrapping"/>
      </w:r>
      <w:r>
        <w:rPr>
          <w:rFonts w:hint="eastAsia"/>
          <w:color w:val="auto"/>
          <w:szCs w:val="21"/>
          <w:highlight w:val="none"/>
        </w:rPr>
        <w:t>（12）中标人负责办理合同期内飞机保险（飞机、机组人员和作业人员）和索赔工作，并承担相关费用：</w:t>
      </w:r>
      <w:r>
        <w:rPr>
          <w:rFonts w:hint="eastAsia"/>
          <w:color w:val="auto"/>
          <w:szCs w:val="21"/>
          <w:highlight w:val="none"/>
        </w:rPr>
        <w:br w:type="textWrapping"/>
      </w:r>
      <w:r>
        <w:rPr>
          <w:rFonts w:hint="eastAsia"/>
          <w:color w:val="auto"/>
          <w:szCs w:val="21"/>
          <w:highlight w:val="none"/>
        </w:rPr>
        <w:t xml:space="preserve">  </w:t>
      </w:r>
      <w:r>
        <w:rPr>
          <w:rFonts w:hint="eastAsia" w:ascii="微软雅黑" w:hAnsi="微软雅黑" w:eastAsia="微软雅黑" w:cs="微软雅黑"/>
          <w:color w:val="auto"/>
          <w:szCs w:val="21"/>
          <w:highlight w:val="none"/>
        </w:rPr>
        <w:t>①</w:t>
      </w:r>
      <w:r>
        <w:rPr>
          <w:rFonts w:hint="eastAsia"/>
          <w:color w:val="auto"/>
          <w:szCs w:val="21"/>
          <w:highlight w:val="none"/>
        </w:rPr>
        <w:t>飞机机身一切险（含机载任务系统），保险按不低于人民币16159.39万元投保。</w:t>
      </w:r>
      <w:r>
        <w:rPr>
          <w:rFonts w:hint="eastAsia"/>
          <w:color w:val="auto"/>
          <w:szCs w:val="21"/>
          <w:highlight w:val="none"/>
        </w:rPr>
        <w:br w:type="textWrapping"/>
      </w:r>
      <w:r>
        <w:rPr>
          <w:rFonts w:hint="eastAsia"/>
          <w:color w:val="auto"/>
          <w:szCs w:val="21"/>
          <w:highlight w:val="none"/>
        </w:rPr>
        <w:t xml:space="preserve">  </w:t>
      </w:r>
      <w:r>
        <w:rPr>
          <w:rFonts w:hint="eastAsia" w:ascii="微软雅黑" w:hAnsi="微软雅黑" w:eastAsia="微软雅黑" w:cs="微软雅黑"/>
          <w:color w:val="auto"/>
          <w:szCs w:val="21"/>
          <w:highlight w:val="none"/>
        </w:rPr>
        <w:t>②</w:t>
      </w:r>
      <w:r>
        <w:rPr>
          <w:rFonts w:hint="eastAsia"/>
          <w:color w:val="auto"/>
          <w:szCs w:val="21"/>
          <w:highlight w:val="none"/>
        </w:rPr>
        <w:t>飞机机上座位保险投保不低于10座，每座不低于人民币300万元；</w:t>
      </w:r>
      <w:r>
        <w:rPr>
          <w:rFonts w:hint="eastAsia"/>
          <w:color w:val="auto"/>
          <w:szCs w:val="21"/>
          <w:highlight w:val="none"/>
        </w:rPr>
        <w:br w:type="textWrapping"/>
      </w:r>
      <w:r>
        <w:rPr>
          <w:rFonts w:hint="eastAsia"/>
          <w:color w:val="auto"/>
          <w:szCs w:val="21"/>
          <w:highlight w:val="none"/>
        </w:rPr>
        <w:t xml:space="preserve">  </w:t>
      </w:r>
      <w:r>
        <w:rPr>
          <w:rFonts w:hint="eastAsia" w:ascii="微软雅黑" w:hAnsi="微软雅黑" w:eastAsia="微软雅黑" w:cs="微软雅黑"/>
          <w:color w:val="auto"/>
          <w:szCs w:val="21"/>
          <w:highlight w:val="none"/>
        </w:rPr>
        <w:t>③</w:t>
      </w:r>
      <w:r>
        <w:rPr>
          <w:rFonts w:hint="eastAsia"/>
          <w:color w:val="auto"/>
          <w:szCs w:val="21"/>
          <w:highlight w:val="none"/>
        </w:rPr>
        <w:t>采购人登机人员个人人身保险和登机人员责任险按实际人数（不超过30人）投保，且个人人身保险和乘客责任险的保额分别不得低于人民币300万元；</w:t>
      </w:r>
      <w:r>
        <w:rPr>
          <w:rFonts w:hint="eastAsia"/>
          <w:color w:val="auto"/>
          <w:szCs w:val="21"/>
          <w:highlight w:val="none"/>
        </w:rPr>
        <w:br w:type="textWrapping"/>
      </w:r>
      <w:r>
        <w:rPr>
          <w:rFonts w:hint="eastAsia"/>
          <w:color w:val="auto"/>
          <w:szCs w:val="21"/>
          <w:highlight w:val="none"/>
        </w:rPr>
        <w:t xml:space="preserve">  </w:t>
      </w:r>
      <w:r>
        <w:rPr>
          <w:rFonts w:hint="eastAsia" w:ascii="微软雅黑" w:hAnsi="微软雅黑" w:eastAsia="微软雅黑" w:cs="微软雅黑"/>
          <w:color w:val="auto"/>
          <w:szCs w:val="21"/>
          <w:highlight w:val="none"/>
        </w:rPr>
        <w:t>④</w:t>
      </w:r>
      <w:r>
        <w:rPr>
          <w:rFonts w:hint="eastAsia"/>
          <w:color w:val="auto"/>
          <w:szCs w:val="21"/>
          <w:highlight w:val="none"/>
        </w:rPr>
        <w:t>按国家规定投保第三者责任险，单架飞机第三者责任险保险总额不低于2000万元，保险赔偿不足的部分，由中标人承担。因第三方原因导致采购人遭受的各项损失，中标人须先行向采购人赔偿并代采购人向第三方追偿；</w:t>
      </w:r>
      <w:r>
        <w:rPr>
          <w:rFonts w:hint="eastAsia"/>
          <w:color w:val="auto"/>
          <w:szCs w:val="21"/>
          <w:highlight w:val="none"/>
        </w:rPr>
        <w:br w:type="textWrapping"/>
      </w:r>
      <w:r>
        <w:rPr>
          <w:rFonts w:hint="eastAsia"/>
          <w:color w:val="auto"/>
          <w:szCs w:val="21"/>
          <w:highlight w:val="none"/>
        </w:rPr>
        <w:t xml:space="preserve">  </w:t>
      </w:r>
      <w:r>
        <w:rPr>
          <w:rFonts w:hint="eastAsia" w:ascii="微软雅黑" w:hAnsi="微软雅黑" w:eastAsia="微软雅黑" w:cs="微软雅黑"/>
          <w:color w:val="auto"/>
          <w:szCs w:val="21"/>
          <w:highlight w:val="none"/>
        </w:rPr>
        <w:t>⑤</w:t>
      </w:r>
      <w:r>
        <w:rPr>
          <w:rFonts w:hint="eastAsia"/>
          <w:color w:val="auto"/>
          <w:szCs w:val="21"/>
          <w:highlight w:val="none"/>
        </w:rPr>
        <w:t>如增雨飞机发生部分损失，保险赔偿用于飞机修复，不足部分由中标人承担。如增雨飞机发生全损，飞机机身保险赔偿应归飞机资产所属方所有，乘机人员的保险及个人人身保险赔偿，按保险合同条款履行。</w:t>
      </w:r>
      <w:r>
        <w:rPr>
          <w:rFonts w:hint="eastAsia"/>
          <w:color w:val="auto"/>
          <w:szCs w:val="21"/>
          <w:highlight w:val="none"/>
        </w:rPr>
        <w:br w:type="textWrapping"/>
      </w:r>
      <w:r>
        <w:rPr>
          <w:rFonts w:hint="eastAsia"/>
          <w:color w:val="auto"/>
          <w:szCs w:val="21"/>
          <w:highlight w:val="none"/>
        </w:rPr>
        <w:t>（13）中标人按照运行手册的有关规定，按时、保质完成各类维修保养工作，使飞机始终处于良好的技术状况和适航状态，包括但不限于以下内容：</w:t>
      </w:r>
      <w:r>
        <w:rPr>
          <w:rFonts w:hint="eastAsia"/>
          <w:color w:val="auto"/>
          <w:szCs w:val="21"/>
          <w:highlight w:val="none"/>
        </w:rPr>
        <w:br w:type="textWrapping"/>
      </w:r>
      <w:r>
        <w:rPr>
          <w:rFonts w:hint="eastAsia"/>
          <w:color w:val="auto"/>
          <w:szCs w:val="21"/>
          <w:highlight w:val="none"/>
        </w:rPr>
        <w:t xml:space="preserve">  </w:t>
      </w:r>
      <w:r>
        <w:rPr>
          <w:rFonts w:hint="eastAsia" w:ascii="微软雅黑" w:hAnsi="微软雅黑" w:eastAsia="微软雅黑" w:cs="微软雅黑"/>
          <w:color w:val="auto"/>
          <w:szCs w:val="21"/>
          <w:highlight w:val="none"/>
        </w:rPr>
        <w:t>①</w:t>
      </w:r>
      <w:r>
        <w:rPr>
          <w:rFonts w:hint="eastAsia"/>
          <w:color w:val="auto"/>
          <w:szCs w:val="21"/>
          <w:highlight w:val="none"/>
        </w:rPr>
        <w:t>飞机的年度适航检查和定期电台检测；</w:t>
      </w:r>
      <w:r>
        <w:rPr>
          <w:rFonts w:hint="eastAsia"/>
          <w:color w:val="auto"/>
          <w:szCs w:val="21"/>
          <w:highlight w:val="none"/>
        </w:rPr>
        <w:br w:type="textWrapping"/>
      </w:r>
      <w:r>
        <w:rPr>
          <w:rFonts w:hint="eastAsia"/>
          <w:color w:val="auto"/>
          <w:szCs w:val="21"/>
          <w:highlight w:val="none"/>
        </w:rPr>
        <w:t xml:space="preserve">  </w:t>
      </w:r>
      <w:r>
        <w:rPr>
          <w:rFonts w:hint="eastAsia" w:ascii="微软雅黑" w:hAnsi="微软雅黑" w:eastAsia="微软雅黑" w:cs="微软雅黑"/>
          <w:color w:val="auto"/>
          <w:szCs w:val="21"/>
          <w:highlight w:val="none"/>
        </w:rPr>
        <w:t>②</w:t>
      </w:r>
      <w:r>
        <w:rPr>
          <w:rFonts w:hint="eastAsia"/>
          <w:color w:val="auto"/>
          <w:szCs w:val="21"/>
          <w:highlight w:val="none"/>
        </w:rPr>
        <w:t>提供日常运行所需的基本维修资源；</w:t>
      </w:r>
      <w:r>
        <w:rPr>
          <w:rFonts w:hint="eastAsia"/>
          <w:color w:val="auto"/>
          <w:szCs w:val="21"/>
          <w:highlight w:val="none"/>
        </w:rPr>
        <w:br w:type="textWrapping"/>
      </w:r>
      <w:r>
        <w:rPr>
          <w:rFonts w:hint="eastAsia"/>
          <w:color w:val="auto"/>
          <w:szCs w:val="21"/>
          <w:highlight w:val="none"/>
        </w:rPr>
        <w:t xml:space="preserve">  </w:t>
      </w:r>
      <w:r>
        <w:rPr>
          <w:rFonts w:hint="eastAsia" w:ascii="微软雅黑" w:hAnsi="微软雅黑" w:eastAsia="微软雅黑" w:cs="微软雅黑"/>
          <w:color w:val="auto"/>
          <w:szCs w:val="21"/>
          <w:highlight w:val="none"/>
        </w:rPr>
        <w:t>③</w:t>
      </w:r>
      <w:r>
        <w:rPr>
          <w:rFonts w:hint="eastAsia"/>
          <w:color w:val="auto"/>
          <w:szCs w:val="21"/>
          <w:highlight w:val="none"/>
        </w:rPr>
        <w:t>按照其维修能力规划，有计划地向CAAC申请采购人在中标人运营基地机场的维修项目许可；</w:t>
      </w:r>
      <w:r>
        <w:rPr>
          <w:rFonts w:hint="eastAsia"/>
          <w:color w:val="auto"/>
          <w:szCs w:val="21"/>
          <w:highlight w:val="none"/>
        </w:rPr>
        <w:br w:type="textWrapping"/>
      </w:r>
      <w:r>
        <w:rPr>
          <w:rFonts w:hint="eastAsia"/>
          <w:color w:val="auto"/>
          <w:szCs w:val="21"/>
          <w:highlight w:val="none"/>
        </w:rPr>
        <w:t xml:space="preserve">  </w:t>
      </w:r>
      <w:r>
        <w:rPr>
          <w:rFonts w:hint="eastAsia" w:ascii="微软雅黑" w:hAnsi="微软雅黑" w:eastAsia="微软雅黑" w:cs="微软雅黑"/>
          <w:color w:val="auto"/>
          <w:szCs w:val="21"/>
          <w:highlight w:val="none"/>
        </w:rPr>
        <w:t>④</w:t>
      </w:r>
      <w:r>
        <w:rPr>
          <w:rFonts w:hint="eastAsia"/>
          <w:color w:val="auto"/>
          <w:szCs w:val="21"/>
          <w:highlight w:val="none"/>
        </w:rPr>
        <w:t>监控和记录采购人飞机、发动机和零部件的使用状态，建立飞机和发动机的使用和维修的历史记录；</w:t>
      </w:r>
      <w:r>
        <w:rPr>
          <w:rFonts w:hint="eastAsia"/>
          <w:color w:val="auto"/>
          <w:szCs w:val="21"/>
          <w:highlight w:val="none"/>
        </w:rPr>
        <w:br w:type="textWrapping"/>
      </w:r>
      <w:r>
        <w:rPr>
          <w:rFonts w:hint="eastAsia"/>
          <w:color w:val="auto"/>
          <w:szCs w:val="21"/>
          <w:highlight w:val="none"/>
        </w:rPr>
        <w:t xml:space="preserve">  </w:t>
      </w:r>
      <w:r>
        <w:rPr>
          <w:rFonts w:hint="eastAsia" w:ascii="微软雅黑" w:hAnsi="微软雅黑" w:eastAsia="微软雅黑" w:cs="微软雅黑"/>
          <w:color w:val="auto"/>
          <w:szCs w:val="21"/>
          <w:highlight w:val="none"/>
        </w:rPr>
        <w:t>⑤</w:t>
      </w:r>
      <w:r>
        <w:rPr>
          <w:rFonts w:hint="eastAsia"/>
          <w:color w:val="auto"/>
          <w:szCs w:val="21"/>
          <w:highlight w:val="none"/>
        </w:rPr>
        <w:t>妥善保管采购人飞机的单机技术档案和技术资料；</w:t>
      </w:r>
      <w:r>
        <w:rPr>
          <w:rFonts w:hint="eastAsia"/>
          <w:color w:val="auto"/>
          <w:szCs w:val="21"/>
          <w:highlight w:val="none"/>
        </w:rPr>
        <w:br w:type="textWrapping"/>
      </w:r>
      <w:r>
        <w:rPr>
          <w:rFonts w:hint="eastAsia"/>
          <w:color w:val="auto"/>
          <w:szCs w:val="21"/>
          <w:highlight w:val="none"/>
        </w:rPr>
        <w:t xml:space="preserve">  </w:t>
      </w:r>
      <w:r>
        <w:rPr>
          <w:rFonts w:hint="eastAsia" w:ascii="微软雅黑" w:hAnsi="微软雅黑" w:eastAsia="微软雅黑" w:cs="微软雅黑"/>
          <w:color w:val="auto"/>
          <w:szCs w:val="21"/>
          <w:highlight w:val="none"/>
        </w:rPr>
        <w:t>⑥</w:t>
      </w:r>
      <w:r>
        <w:rPr>
          <w:rFonts w:hint="eastAsia"/>
          <w:color w:val="auto"/>
          <w:szCs w:val="21"/>
          <w:highlight w:val="none"/>
        </w:rPr>
        <w:t>根据维修需要制定维修人员培训计划，安排适量的维修人员接收机型培训和复训课程，并取得飞机放行资格；</w:t>
      </w:r>
      <w:r>
        <w:rPr>
          <w:rFonts w:hint="eastAsia"/>
          <w:color w:val="auto"/>
          <w:szCs w:val="21"/>
          <w:highlight w:val="none"/>
        </w:rPr>
        <w:br w:type="textWrapping"/>
      </w:r>
      <w:r>
        <w:rPr>
          <w:rFonts w:hint="eastAsia"/>
          <w:color w:val="auto"/>
          <w:szCs w:val="21"/>
          <w:highlight w:val="none"/>
        </w:rPr>
        <w:t xml:space="preserve">  </w:t>
      </w:r>
      <w:r>
        <w:rPr>
          <w:rFonts w:hint="eastAsia" w:ascii="微软雅黑" w:hAnsi="微软雅黑" w:eastAsia="微软雅黑" w:cs="微软雅黑"/>
          <w:color w:val="auto"/>
          <w:szCs w:val="21"/>
          <w:highlight w:val="none"/>
        </w:rPr>
        <w:t>⑦</w:t>
      </w:r>
      <w:r>
        <w:rPr>
          <w:rFonts w:hint="eastAsia"/>
          <w:color w:val="auto"/>
          <w:szCs w:val="21"/>
          <w:highlight w:val="none"/>
        </w:rPr>
        <w:t>派驻专门维修人员对采购人飞机进行日常维护；</w:t>
      </w:r>
      <w:r>
        <w:rPr>
          <w:rFonts w:hint="eastAsia"/>
          <w:color w:val="auto"/>
          <w:szCs w:val="21"/>
          <w:highlight w:val="none"/>
        </w:rPr>
        <w:br w:type="textWrapping"/>
      </w:r>
      <w:r>
        <w:rPr>
          <w:rFonts w:hint="eastAsia"/>
          <w:color w:val="auto"/>
          <w:szCs w:val="21"/>
          <w:highlight w:val="none"/>
        </w:rPr>
        <w:t xml:space="preserve">  </w:t>
      </w:r>
      <w:r>
        <w:rPr>
          <w:rFonts w:hint="eastAsia" w:ascii="微软雅黑" w:hAnsi="微软雅黑" w:eastAsia="微软雅黑" w:cs="微软雅黑"/>
          <w:color w:val="auto"/>
          <w:szCs w:val="21"/>
          <w:highlight w:val="none"/>
        </w:rPr>
        <w:t>⑧</w:t>
      </w:r>
      <w:r>
        <w:rPr>
          <w:rFonts w:hint="eastAsia"/>
          <w:color w:val="auto"/>
          <w:szCs w:val="21"/>
          <w:highlight w:val="none"/>
        </w:rPr>
        <w:t>实施航线一般勤务和飞机放行工作；</w:t>
      </w:r>
      <w:r>
        <w:rPr>
          <w:rFonts w:hint="eastAsia"/>
          <w:color w:val="auto"/>
          <w:szCs w:val="21"/>
          <w:highlight w:val="none"/>
        </w:rPr>
        <w:br w:type="textWrapping"/>
      </w:r>
      <w:r>
        <w:rPr>
          <w:rFonts w:hint="eastAsia"/>
          <w:color w:val="auto"/>
          <w:szCs w:val="21"/>
          <w:highlight w:val="none"/>
        </w:rPr>
        <w:t xml:space="preserve">  </w:t>
      </w:r>
      <w:r>
        <w:rPr>
          <w:rFonts w:hint="eastAsia" w:ascii="微软雅黑" w:hAnsi="微软雅黑" w:eastAsia="微软雅黑" w:cs="微软雅黑"/>
          <w:color w:val="auto"/>
          <w:szCs w:val="21"/>
          <w:highlight w:val="none"/>
        </w:rPr>
        <w:t>⑨</w:t>
      </w:r>
      <w:r>
        <w:rPr>
          <w:rFonts w:hint="eastAsia"/>
          <w:color w:val="auto"/>
          <w:szCs w:val="21"/>
          <w:highlight w:val="none"/>
        </w:rPr>
        <w:t>接受采购人对飞机的适航状态和质量体系等进行不定期检查；</w:t>
      </w:r>
      <w:r>
        <w:rPr>
          <w:rFonts w:hint="eastAsia"/>
          <w:color w:val="auto"/>
          <w:szCs w:val="21"/>
          <w:highlight w:val="none"/>
        </w:rPr>
        <w:br w:type="textWrapping"/>
      </w:r>
      <w:r>
        <w:rPr>
          <w:rFonts w:hint="eastAsia"/>
          <w:color w:val="auto"/>
          <w:szCs w:val="21"/>
          <w:highlight w:val="none"/>
        </w:rPr>
        <w:t xml:space="preserve">  </w:t>
      </w:r>
      <w:r>
        <w:rPr>
          <w:rFonts w:hint="eastAsia" w:ascii="微软雅黑" w:hAnsi="微软雅黑" w:eastAsia="微软雅黑" w:cs="微软雅黑"/>
          <w:color w:val="auto"/>
          <w:szCs w:val="21"/>
          <w:highlight w:val="none"/>
        </w:rPr>
        <w:t>⑩</w:t>
      </w:r>
      <w:r>
        <w:rPr>
          <w:rFonts w:hint="eastAsia"/>
          <w:color w:val="auto"/>
          <w:szCs w:val="21"/>
          <w:highlight w:val="none"/>
        </w:rPr>
        <w:t>确保飞机运行安全，满足运行需求，制定飞行人员签派人员培训计划，安排机型培训和复训课程以及应急演练等，并通过中国民用航空局考核。</w:t>
      </w:r>
      <w:r>
        <w:rPr>
          <w:rFonts w:hint="eastAsia"/>
          <w:color w:val="auto"/>
          <w:szCs w:val="21"/>
          <w:highlight w:val="none"/>
        </w:rPr>
        <w:br w:type="textWrapping"/>
      </w:r>
      <w:r>
        <w:rPr>
          <w:rFonts w:hint="eastAsia"/>
          <w:color w:val="auto"/>
          <w:szCs w:val="21"/>
          <w:highlight w:val="none"/>
        </w:rPr>
        <w:t>（14）中标人负责办理必备手续，并保证按采购人要求执行人工增雨作业及科学试验任务。</w:t>
      </w:r>
      <w:r>
        <w:rPr>
          <w:rFonts w:hint="eastAsia"/>
          <w:color w:val="auto"/>
          <w:szCs w:val="21"/>
          <w:highlight w:val="none"/>
        </w:rPr>
        <w:br w:type="textWrapping"/>
      </w:r>
      <w:r>
        <w:rPr>
          <w:rFonts w:hint="eastAsia"/>
          <w:color w:val="auto"/>
          <w:szCs w:val="21"/>
          <w:highlight w:val="none"/>
        </w:rPr>
        <w:t>（15）中标人负责与飞机生产厂家联系，承担技术出版物更新和使用事宜（包括飞行手册、维修手册、飞机设备系统技术资料等的更新及修订等），并与厂家协商承担相关费用。</w:t>
      </w:r>
      <w:r>
        <w:rPr>
          <w:rFonts w:hint="eastAsia"/>
          <w:color w:val="auto"/>
          <w:szCs w:val="21"/>
          <w:highlight w:val="none"/>
        </w:rPr>
        <w:br w:type="textWrapping"/>
      </w:r>
      <w:r>
        <w:rPr>
          <w:rFonts w:hint="eastAsia"/>
          <w:color w:val="auto"/>
          <w:szCs w:val="21"/>
          <w:highlight w:val="none"/>
        </w:rPr>
        <w:t>（16）中标人在合同签订后制定飞机正式运行的进度安排表，报采购人同意后，严格按照进度安排表进行实施。</w:t>
      </w:r>
      <w:r>
        <w:rPr>
          <w:rFonts w:hint="eastAsia"/>
          <w:color w:val="auto"/>
          <w:szCs w:val="21"/>
          <w:highlight w:val="none"/>
        </w:rPr>
        <w:br w:type="textWrapping"/>
      </w:r>
      <w:r>
        <w:rPr>
          <w:rFonts w:hint="eastAsia"/>
          <w:color w:val="auto"/>
          <w:szCs w:val="21"/>
          <w:highlight w:val="none"/>
        </w:rPr>
        <w:t>（17）合同期满后，中标人应将飞机运行技术资料、记录、档案和航材等交付采购人，并保证飞机处于适航状态。</w:t>
      </w:r>
      <w:r>
        <w:rPr>
          <w:rFonts w:hint="eastAsia"/>
          <w:color w:val="auto"/>
          <w:szCs w:val="21"/>
          <w:highlight w:val="none"/>
        </w:rPr>
        <w:br w:type="textWrapping"/>
      </w:r>
      <w:r>
        <w:rPr>
          <w:rFonts w:hint="eastAsia"/>
          <w:color w:val="auto"/>
          <w:szCs w:val="21"/>
          <w:highlight w:val="none"/>
        </w:rPr>
        <w:t>（18）采购人委托中标人采购符合人影技术标准要求的催化剂，根据任务需求，及时提供足量的催化剂（不少于480根飞机焰条，参数见附件），费用由</w:t>
      </w:r>
      <w:r>
        <w:rPr>
          <w:rFonts w:hint="eastAsia"/>
          <w:color w:val="auto"/>
          <w:szCs w:val="21"/>
          <w:highlight w:val="none"/>
          <w:lang w:val="en-US" w:eastAsia="zh-CN"/>
        </w:rPr>
        <w:t>中标人</w:t>
      </w:r>
      <w:r>
        <w:rPr>
          <w:rFonts w:hint="eastAsia"/>
          <w:color w:val="auto"/>
          <w:szCs w:val="21"/>
          <w:highlight w:val="none"/>
        </w:rPr>
        <w:t>承担</w:t>
      </w:r>
      <w:r>
        <w:rPr>
          <w:rFonts w:hint="eastAsia"/>
          <w:color w:val="auto"/>
          <w:szCs w:val="21"/>
          <w:highlight w:val="none"/>
          <w:lang w:eastAsia="zh-CN"/>
        </w:rPr>
        <w:t>，</w:t>
      </w:r>
      <w:r>
        <w:rPr>
          <w:rFonts w:hint="eastAsia"/>
          <w:color w:val="auto"/>
          <w:szCs w:val="21"/>
          <w:highlight w:val="none"/>
        </w:rPr>
        <w:t>催化剂类型根据作业需求确定，由采购人存储使用。飞机转场时，中标人负责催化剂的转运。</w:t>
      </w:r>
      <w:r>
        <w:rPr>
          <w:rFonts w:hint="eastAsia"/>
          <w:color w:val="auto"/>
          <w:szCs w:val="21"/>
          <w:highlight w:val="none"/>
        </w:rPr>
        <w:br w:type="textWrapping"/>
      </w:r>
      <w:r>
        <w:rPr>
          <w:rFonts w:hint="eastAsia"/>
          <w:color w:val="auto"/>
          <w:szCs w:val="21"/>
          <w:highlight w:val="none"/>
        </w:rPr>
        <w:t>（19）中标人承担飞机运行全部安全责任，包括但不限于安全生产和适航责任。</w:t>
      </w:r>
      <w:r>
        <w:rPr>
          <w:rFonts w:hint="eastAsia"/>
          <w:color w:val="auto"/>
          <w:szCs w:val="21"/>
          <w:highlight w:val="none"/>
        </w:rPr>
        <w:br w:type="textWrapping"/>
      </w:r>
      <w:r>
        <w:rPr>
          <w:rFonts w:hint="eastAsia"/>
          <w:color w:val="auto"/>
          <w:szCs w:val="21"/>
          <w:highlight w:val="none"/>
        </w:rPr>
        <w:t>（20）中标人在合同期内发生安全事故（征候）的，采购人有权立即终止合同，并另行采购。</w:t>
      </w:r>
      <w:r>
        <w:rPr>
          <w:rFonts w:hint="eastAsia"/>
          <w:color w:val="auto"/>
          <w:szCs w:val="21"/>
          <w:highlight w:val="none"/>
        </w:rPr>
        <w:br w:type="textWrapping"/>
      </w:r>
      <w:r>
        <w:rPr>
          <w:rFonts w:hint="eastAsia"/>
          <w:color w:val="auto"/>
          <w:szCs w:val="21"/>
          <w:highlight w:val="none"/>
        </w:rPr>
        <w:t>（21）中标人应负责办理飞机交接及飞机三证办理相关事宜。</w:t>
      </w:r>
      <w:r>
        <w:rPr>
          <w:rFonts w:hint="eastAsia"/>
          <w:color w:val="auto"/>
          <w:szCs w:val="21"/>
          <w:highlight w:val="none"/>
        </w:rPr>
        <w:br w:type="textWrapping"/>
      </w:r>
      <w:r>
        <w:rPr>
          <w:rFonts w:hint="eastAsia"/>
          <w:color w:val="auto"/>
          <w:szCs w:val="21"/>
          <w:highlight w:val="none"/>
        </w:rPr>
        <w:t>（22）按采购人要求，按时完成飞机定检、维修与管理，并承担因此产生的包括飞机转场、零部件维修、人员劳务、备用飞机使用费等全部相关费用。</w:t>
      </w:r>
      <w:r>
        <w:rPr>
          <w:rFonts w:hint="eastAsia"/>
          <w:color w:val="auto"/>
          <w:szCs w:val="21"/>
          <w:highlight w:val="none"/>
        </w:rPr>
        <w:br w:type="textWrapping"/>
      </w:r>
      <w:r>
        <w:rPr>
          <w:rFonts w:hint="eastAsia"/>
          <w:color w:val="auto"/>
          <w:szCs w:val="21"/>
          <w:highlight w:val="none"/>
        </w:rPr>
        <w:t>（23）根据国家人工影响天气飞机托管服务要求的有关规定，中标人近五年内未发生过安全事故。</w:t>
      </w:r>
      <w:r>
        <w:rPr>
          <w:rFonts w:hint="eastAsia"/>
          <w:color w:val="auto"/>
          <w:szCs w:val="21"/>
          <w:highlight w:val="none"/>
        </w:rPr>
        <w:br w:type="textWrapping"/>
      </w:r>
      <w:r>
        <w:rPr>
          <w:rFonts w:hint="eastAsia"/>
          <w:color w:val="auto"/>
          <w:szCs w:val="21"/>
          <w:highlight w:val="none"/>
        </w:rPr>
        <w:t>（24）中标人提供的执飞机组应了解人工影响天气基本知识、作业流程与安全规范等，如有随机作业操作人员，除满足以上条件外，还应熟练掌握托管飞机搭载任务系统的操作使用。</w:t>
      </w:r>
    </w:p>
    <w:p w14:paraId="3690A925">
      <w:pPr>
        <w:widowControl/>
        <w:numPr>
          <w:ilvl w:val="255"/>
          <w:numId w:val="0"/>
        </w:numPr>
        <w:snapToGrid w:val="0"/>
        <w:spacing w:line="360" w:lineRule="auto"/>
        <w:rPr>
          <w:color w:val="auto"/>
          <w:szCs w:val="21"/>
          <w:highlight w:val="none"/>
        </w:rPr>
      </w:pPr>
      <w:r>
        <w:rPr>
          <w:rFonts w:hint="eastAsia"/>
          <w:color w:val="auto"/>
          <w:szCs w:val="21"/>
          <w:highlight w:val="none"/>
        </w:rPr>
        <w:t>（25）未经采购人同意，中标人不得从事人工影响天气作业外的飞行任务。</w:t>
      </w:r>
      <w:r>
        <w:rPr>
          <w:rFonts w:hint="eastAsia"/>
          <w:color w:val="auto"/>
          <w:szCs w:val="21"/>
          <w:highlight w:val="none"/>
        </w:rPr>
        <w:br w:type="textWrapping"/>
      </w:r>
      <w:r>
        <w:rPr>
          <w:rFonts w:hint="eastAsia"/>
          <w:color w:val="auto"/>
          <w:szCs w:val="21"/>
          <w:highlight w:val="none"/>
        </w:rPr>
        <w:t>（26）飞行小时与计费约定</w:t>
      </w:r>
      <w:r>
        <w:rPr>
          <w:rFonts w:hint="eastAsia"/>
          <w:color w:val="auto"/>
          <w:szCs w:val="21"/>
          <w:highlight w:val="none"/>
        </w:rPr>
        <w:br w:type="textWrapping"/>
      </w:r>
      <w:r>
        <w:rPr>
          <w:rFonts w:hint="eastAsia"/>
          <w:color w:val="auto"/>
          <w:szCs w:val="21"/>
          <w:highlight w:val="none"/>
        </w:rPr>
        <w:t xml:space="preserve">  </w:t>
      </w:r>
      <w:r>
        <w:rPr>
          <w:rFonts w:hint="eastAsia" w:ascii="微软雅黑" w:hAnsi="微软雅黑" w:eastAsia="微软雅黑" w:cs="微软雅黑"/>
          <w:color w:val="auto"/>
          <w:szCs w:val="21"/>
          <w:highlight w:val="none"/>
        </w:rPr>
        <w:t>①</w:t>
      </w:r>
      <w:r>
        <w:rPr>
          <w:rFonts w:hint="eastAsia"/>
          <w:color w:val="auto"/>
          <w:szCs w:val="21"/>
          <w:highlight w:val="none"/>
        </w:rPr>
        <w:t>保底飞行小时：本项目新舟60增雨飞机托管服务6个月，保底飞行小时为100小时；实际飞行时间不足100小时，按100小时支付。正常情况下，合同期内飞行小时在保底范围内，不涉及超时费用。</w:t>
      </w:r>
      <w:r>
        <w:rPr>
          <w:rFonts w:hint="eastAsia"/>
          <w:color w:val="auto"/>
          <w:szCs w:val="21"/>
          <w:highlight w:val="none"/>
        </w:rPr>
        <w:br w:type="textWrapping"/>
      </w:r>
      <w:r>
        <w:rPr>
          <w:rFonts w:hint="eastAsia"/>
          <w:color w:val="auto"/>
          <w:szCs w:val="21"/>
          <w:highlight w:val="none"/>
        </w:rPr>
        <w:t xml:space="preserve">  </w:t>
      </w:r>
      <w:r>
        <w:rPr>
          <w:rFonts w:hint="eastAsia" w:ascii="微软雅黑" w:hAnsi="微软雅黑" w:eastAsia="微软雅黑" w:cs="微软雅黑"/>
          <w:color w:val="auto"/>
          <w:szCs w:val="21"/>
          <w:highlight w:val="none"/>
        </w:rPr>
        <w:t>②</w:t>
      </w:r>
      <w:r>
        <w:rPr>
          <w:rFonts w:hint="eastAsia"/>
          <w:color w:val="auto"/>
          <w:szCs w:val="21"/>
          <w:highlight w:val="none"/>
        </w:rPr>
        <w:t>若因特殊、突发工作需要，经采购人书面确认，实际飞行总时长超出保底100小时的，超出部分按实际超时小时数另行核算，单小时费用最高限价为1.5万元，不足1小时（单小时）的按1小时计算。</w:t>
      </w:r>
      <w:r>
        <w:rPr>
          <w:rFonts w:hint="eastAsia"/>
          <w:color w:val="auto"/>
          <w:szCs w:val="21"/>
          <w:highlight w:val="none"/>
        </w:rPr>
        <w:br w:type="textWrapping"/>
      </w:r>
      <w:r>
        <w:rPr>
          <w:rFonts w:hint="eastAsia"/>
          <w:color w:val="auto"/>
          <w:szCs w:val="21"/>
          <w:highlight w:val="none"/>
        </w:rPr>
        <w:t xml:space="preserve">  </w:t>
      </w:r>
      <w:r>
        <w:rPr>
          <w:rFonts w:hint="eastAsia" w:ascii="微软雅黑" w:hAnsi="微软雅黑" w:eastAsia="微软雅黑" w:cs="微软雅黑"/>
          <w:color w:val="auto"/>
          <w:szCs w:val="21"/>
          <w:highlight w:val="none"/>
        </w:rPr>
        <w:t>③</w:t>
      </w:r>
      <w:r>
        <w:rPr>
          <w:rFonts w:hint="eastAsia"/>
          <w:color w:val="auto"/>
          <w:szCs w:val="21"/>
          <w:highlight w:val="none"/>
        </w:rPr>
        <w:t>超时费用的资金来源：超时飞行所产生的费用不在本项目合同价款中列支，由采购人通过其他专项保障经费渠道解决。</w:t>
      </w:r>
    </w:p>
    <w:p w14:paraId="52FD70F9">
      <w:pPr>
        <w:rPr>
          <w:rFonts w:ascii="仿宋_GB2312" w:hAnsi="仿宋_GB2312" w:eastAsia="仿宋_GB2312" w:cs="仿宋_GB2312"/>
          <w:color w:val="auto"/>
          <w:highlight w:val="none"/>
        </w:rPr>
      </w:pPr>
      <w:r>
        <w:rPr>
          <w:rFonts w:ascii="仿宋_GB2312" w:hAnsi="仿宋_GB2312" w:eastAsia="仿宋_GB2312" w:cs="仿宋_GB2312"/>
          <w:color w:val="auto"/>
          <w:highlight w:val="none"/>
        </w:rPr>
        <w:br w:type="page"/>
      </w:r>
    </w:p>
    <w:p w14:paraId="050BAB30">
      <w:pPr>
        <w:pStyle w:val="174"/>
        <w:spacing w:line="360" w:lineRule="auto"/>
        <w:jc w:val="both"/>
        <w:outlineLvl w:val="9"/>
        <w:rPr>
          <w:rFonts w:ascii="仿宋_GB2312" w:hAnsi="仿宋_GB2312" w:eastAsia="仿宋_GB2312" w:cs="仿宋_GB2312"/>
          <w:color w:val="auto"/>
          <w:highlight w:val="none"/>
        </w:rPr>
      </w:pPr>
      <w:r>
        <w:rPr>
          <w:rFonts w:hint="eastAsia" w:ascii="宋体" w:hAnsi="宋体" w:eastAsia="宋体" w:cs="宋体"/>
          <w:color w:val="auto"/>
          <w:highlight w:val="none"/>
        </w:rPr>
        <w:t>附件：人工增雨飞机性能参数：</w:t>
      </w:r>
    </w:p>
    <w:p w14:paraId="5D7A7C02">
      <w:pPr>
        <w:pStyle w:val="175"/>
        <w:spacing w:line="360" w:lineRule="auto"/>
        <w:ind w:firstLine="420"/>
        <w:rPr>
          <w:rFonts w:hint="default" w:ascii="Times New Roman" w:hAnsi="Times New Roman" w:eastAsia="宋体" w:cs="Times New Roman"/>
          <w:color w:val="auto"/>
          <w:kern w:val="2"/>
          <w:sz w:val="21"/>
          <w:szCs w:val="21"/>
          <w:highlight w:val="none"/>
          <w:lang w:eastAsia="zh-CN"/>
        </w:rPr>
      </w:pPr>
      <w:r>
        <w:rPr>
          <w:rFonts w:ascii="Times New Roman" w:hAnsi="Times New Roman" w:eastAsia="宋体" w:cs="Times New Roman"/>
          <w:color w:val="auto"/>
          <w:kern w:val="2"/>
          <w:sz w:val="21"/>
          <w:szCs w:val="21"/>
          <w:highlight w:val="none"/>
          <w:lang w:eastAsia="zh-CN"/>
        </w:rPr>
        <w:t>（一）托管飞机</w:t>
      </w:r>
    </w:p>
    <w:p w14:paraId="0613612F">
      <w:pPr>
        <w:pStyle w:val="175"/>
        <w:spacing w:line="360" w:lineRule="auto"/>
        <w:ind w:firstLine="420"/>
        <w:rPr>
          <w:rFonts w:hint="default" w:ascii="Times New Roman" w:hAnsi="Times New Roman" w:eastAsia="宋体" w:cs="Times New Roman"/>
          <w:color w:val="auto"/>
          <w:kern w:val="2"/>
          <w:sz w:val="21"/>
          <w:szCs w:val="21"/>
          <w:highlight w:val="none"/>
          <w:lang w:eastAsia="zh-CN"/>
        </w:rPr>
      </w:pPr>
      <w:r>
        <w:rPr>
          <w:rFonts w:ascii="Times New Roman" w:hAnsi="Times New Roman" w:eastAsia="宋体" w:cs="Times New Roman"/>
          <w:color w:val="auto"/>
          <w:kern w:val="2"/>
          <w:sz w:val="21"/>
          <w:szCs w:val="21"/>
          <w:highlight w:val="none"/>
          <w:lang w:eastAsia="zh-CN"/>
        </w:rPr>
        <w:t>本次托管的增雨飞机为新舟60飞机（英文名称为Modern Ark 60，英文缩写为“MA60”），是中航工业西飞自主知识产权的上单翼中短程涡轮螺旋桨支线客机，取得了由中国民用航空总局颁发的型号合格证。飞机为二人驾驶体制，能完成复杂气象条件下的飞行任务，具有Ⅱ类进场能力。</w:t>
      </w:r>
    </w:p>
    <w:p w14:paraId="32811E37">
      <w:pPr>
        <w:pStyle w:val="175"/>
        <w:spacing w:line="360" w:lineRule="auto"/>
        <w:ind w:firstLine="420"/>
        <w:rPr>
          <w:rFonts w:hint="default" w:ascii="Times New Roman" w:hAnsi="Times New Roman" w:eastAsia="宋体" w:cs="Times New Roman"/>
          <w:color w:val="auto"/>
          <w:kern w:val="2"/>
          <w:sz w:val="21"/>
          <w:szCs w:val="21"/>
          <w:highlight w:val="none"/>
          <w:lang w:eastAsia="zh-CN"/>
        </w:rPr>
      </w:pPr>
      <w:r>
        <w:rPr>
          <w:rFonts w:ascii="Times New Roman" w:hAnsi="Times New Roman" w:eastAsia="宋体" w:cs="Times New Roman"/>
          <w:color w:val="auto"/>
          <w:kern w:val="2"/>
          <w:sz w:val="21"/>
          <w:szCs w:val="21"/>
          <w:highlight w:val="none"/>
          <w:lang w:eastAsia="zh-CN"/>
        </w:rPr>
        <w:t>新舟60的最大载重量为6000kg，机长为24.71 m，机高为8.85 m，翼展为29.20 m，最大航程为2450 km，最大飞行高度为8000 m，巡航速度为420 km/h，最大航时不少于6小时，能够同时装载多种人工增雨作业催化设备。新舟60飞机主要技术性能指标见表1。</w:t>
      </w:r>
    </w:p>
    <w:p w14:paraId="0C9D7296">
      <w:pPr>
        <w:pStyle w:val="175"/>
        <w:jc w:val="both"/>
        <w:rPr>
          <w:rFonts w:hint="default" w:eastAsia="仿宋_GB2312"/>
          <w:color w:val="auto"/>
          <w:highlight w:val="none"/>
          <w:lang w:eastAsia="zh-CN"/>
        </w:rPr>
      </w:pPr>
      <w:r>
        <w:rPr>
          <w:rFonts w:ascii="仿宋_GB2312" w:hAnsi="仿宋_GB2312" w:eastAsia="仿宋_GB2312" w:cs="仿宋_GB2312"/>
          <w:b/>
          <w:color w:val="auto"/>
          <w:sz w:val="21"/>
          <w:highlight w:val="none"/>
          <w:lang w:eastAsia="zh-CN"/>
        </w:rPr>
        <w:t>表1 新舟 60 飞机主要技术性能指标表：</w:t>
      </w:r>
    </w:p>
    <w:tbl>
      <w:tblPr>
        <w:tblStyle w:val="51"/>
        <w:tblW w:w="0" w:type="auto"/>
        <w:tblInd w:w="120" w:type="dxa"/>
        <w:tblLayout w:type="autofit"/>
        <w:tblCellMar>
          <w:top w:w="0" w:type="dxa"/>
          <w:left w:w="108" w:type="dxa"/>
          <w:bottom w:w="0" w:type="dxa"/>
          <w:right w:w="108" w:type="dxa"/>
        </w:tblCellMar>
      </w:tblPr>
      <w:tblGrid>
        <w:gridCol w:w="737"/>
        <w:gridCol w:w="1740"/>
        <w:gridCol w:w="726"/>
        <w:gridCol w:w="1621"/>
        <w:gridCol w:w="1013"/>
        <w:gridCol w:w="1314"/>
        <w:gridCol w:w="726"/>
        <w:gridCol w:w="841"/>
      </w:tblGrid>
      <w:tr w14:paraId="23E4622D">
        <w:tblPrEx>
          <w:tblCellMar>
            <w:top w:w="0" w:type="dxa"/>
            <w:left w:w="108" w:type="dxa"/>
            <w:bottom w:w="0" w:type="dxa"/>
            <w:right w:w="108" w:type="dxa"/>
          </w:tblCellMar>
        </w:tblPrEx>
        <w:trPr>
          <w:trHeight w:val="282" w:hRule="atLeast"/>
        </w:trPr>
        <w:tc>
          <w:tcPr>
            <w:tcW w:w="2477" w:type="dxa"/>
            <w:gridSpan w:val="2"/>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72018133">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指标</w:t>
            </w:r>
          </w:p>
        </w:tc>
        <w:tc>
          <w:tcPr>
            <w:tcW w:w="726"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39CC514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单位</w:t>
            </w:r>
          </w:p>
        </w:tc>
        <w:tc>
          <w:tcPr>
            <w:tcW w:w="1621"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1D12E0A8">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参数</w:t>
            </w:r>
          </w:p>
        </w:tc>
        <w:tc>
          <w:tcPr>
            <w:tcW w:w="2327" w:type="dxa"/>
            <w:gridSpan w:val="2"/>
            <w:tcBorders>
              <w:top w:val="single" w:color="000000" w:sz="4" w:space="0"/>
              <w:left w:val="nil"/>
              <w:bottom w:val="single" w:color="000000" w:sz="4" w:space="0"/>
              <w:right w:val="single" w:color="000000" w:sz="4" w:space="0"/>
            </w:tcBorders>
            <w:tcMar>
              <w:top w:w="0" w:type="dxa"/>
              <w:left w:w="0" w:type="dxa"/>
              <w:bottom w:w="0" w:type="dxa"/>
              <w:right w:w="0" w:type="dxa"/>
            </w:tcMar>
          </w:tcPr>
          <w:p w14:paraId="38D151C1">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指标</w:t>
            </w:r>
          </w:p>
        </w:tc>
        <w:tc>
          <w:tcPr>
            <w:tcW w:w="726"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012FAE85">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单位</w:t>
            </w:r>
          </w:p>
        </w:tc>
        <w:tc>
          <w:tcPr>
            <w:tcW w:w="841"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6FEC4A11">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参数</w:t>
            </w:r>
          </w:p>
        </w:tc>
      </w:tr>
      <w:tr w14:paraId="49B9BC8E">
        <w:tblPrEx>
          <w:tblCellMar>
            <w:top w:w="0" w:type="dxa"/>
            <w:left w:w="108" w:type="dxa"/>
            <w:bottom w:w="0" w:type="dxa"/>
            <w:right w:w="108" w:type="dxa"/>
          </w:tblCellMar>
        </w:tblPrEx>
        <w:trPr>
          <w:trHeight w:val="282" w:hRule="atLeast"/>
        </w:trPr>
        <w:tc>
          <w:tcPr>
            <w:tcW w:w="737"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tcPr>
          <w:p w14:paraId="68246F0C">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外部尺寸</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4F124A42">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长度</w:t>
            </w:r>
          </w:p>
        </w:tc>
        <w:tc>
          <w:tcPr>
            <w:tcW w:w="726" w:type="dxa"/>
            <w:vMerge w:val="restart"/>
            <w:tcBorders>
              <w:top w:val="nil"/>
              <w:left w:val="nil"/>
              <w:bottom w:val="single" w:color="000000" w:sz="4" w:space="0"/>
              <w:right w:val="single" w:color="000000" w:sz="4" w:space="0"/>
            </w:tcBorders>
            <w:tcMar>
              <w:top w:w="0" w:type="dxa"/>
              <w:left w:w="0" w:type="dxa"/>
              <w:bottom w:w="0" w:type="dxa"/>
              <w:right w:w="0" w:type="dxa"/>
            </w:tcMar>
          </w:tcPr>
          <w:p w14:paraId="4229625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m</w:t>
            </w: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711FF2C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24.71</w:t>
            </w:r>
          </w:p>
        </w:tc>
        <w:tc>
          <w:tcPr>
            <w:tcW w:w="1013" w:type="dxa"/>
            <w:vMerge w:val="restart"/>
            <w:tcBorders>
              <w:top w:val="nil"/>
              <w:left w:val="nil"/>
              <w:bottom w:val="single" w:color="000000" w:sz="4" w:space="0"/>
              <w:right w:val="single" w:color="000000" w:sz="4" w:space="0"/>
            </w:tcBorders>
            <w:tcMar>
              <w:top w:w="0" w:type="dxa"/>
              <w:left w:w="0" w:type="dxa"/>
              <w:bottom w:w="0" w:type="dxa"/>
              <w:right w:w="0" w:type="dxa"/>
            </w:tcMar>
          </w:tcPr>
          <w:p w14:paraId="047841D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起飞距离</w:t>
            </w:r>
          </w:p>
        </w:tc>
        <w:tc>
          <w:tcPr>
            <w:tcW w:w="1314" w:type="dxa"/>
            <w:tcBorders>
              <w:top w:val="nil"/>
              <w:left w:val="nil"/>
              <w:bottom w:val="single" w:color="000000" w:sz="4" w:space="0"/>
              <w:right w:val="single" w:color="000000" w:sz="4" w:space="0"/>
            </w:tcBorders>
            <w:tcMar>
              <w:top w:w="0" w:type="dxa"/>
              <w:left w:w="0" w:type="dxa"/>
              <w:bottom w:w="0" w:type="dxa"/>
              <w:right w:w="0" w:type="dxa"/>
            </w:tcMar>
          </w:tcPr>
          <w:p w14:paraId="5029A55B">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15°襟翼</w:t>
            </w:r>
          </w:p>
        </w:tc>
        <w:tc>
          <w:tcPr>
            <w:tcW w:w="726" w:type="dxa"/>
            <w:vMerge w:val="restart"/>
            <w:tcBorders>
              <w:top w:val="single" w:color="000000" w:sz="4" w:space="0"/>
              <w:left w:val="nil"/>
              <w:bottom w:val="single" w:color="000000" w:sz="4" w:space="0"/>
              <w:right w:val="single" w:color="000000" w:sz="4" w:space="0"/>
            </w:tcBorders>
            <w:tcMar>
              <w:top w:w="0" w:type="dxa"/>
              <w:left w:w="0" w:type="dxa"/>
              <w:bottom w:w="0" w:type="dxa"/>
              <w:right w:w="0" w:type="dxa"/>
            </w:tcMar>
          </w:tcPr>
          <w:p w14:paraId="60999DFE">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m</w:t>
            </w:r>
          </w:p>
        </w:tc>
        <w:tc>
          <w:tcPr>
            <w:tcW w:w="841"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64709990">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1751</w:t>
            </w:r>
          </w:p>
        </w:tc>
      </w:tr>
      <w:tr w14:paraId="782F8A74">
        <w:tblPrEx>
          <w:tblCellMar>
            <w:top w:w="0" w:type="dxa"/>
            <w:left w:w="108" w:type="dxa"/>
            <w:bottom w:w="0" w:type="dxa"/>
            <w:right w:w="108" w:type="dxa"/>
          </w:tblCellMar>
        </w:tblPrEx>
        <w:trPr>
          <w:trHeight w:val="282" w:hRule="atLeast"/>
        </w:trPr>
        <w:tc>
          <w:tcPr>
            <w:tcW w:w="737" w:type="dxa"/>
            <w:vMerge w:val="continue"/>
            <w:tcBorders>
              <w:top w:val="nil"/>
              <w:left w:val="single" w:color="000000" w:sz="4" w:space="0"/>
              <w:bottom w:val="single" w:color="000000" w:sz="4" w:space="0"/>
              <w:right w:val="single" w:color="000000" w:sz="4" w:space="0"/>
            </w:tcBorders>
          </w:tcPr>
          <w:p w14:paraId="604C7CE1">
            <w:pPr>
              <w:rPr>
                <w:rFonts w:ascii="宋体" w:hAnsi="宋体" w:cs="宋体"/>
                <w:color w:val="auto"/>
                <w:highlight w:val="none"/>
              </w:rPr>
            </w:pP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7CDA6534">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翼展</w:t>
            </w:r>
          </w:p>
        </w:tc>
        <w:tc>
          <w:tcPr>
            <w:tcW w:w="726" w:type="dxa"/>
            <w:vMerge w:val="continue"/>
            <w:tcBorders>
              <w:top w:val="nil"/>
              <w:left w:val="nil"/>
              <w:bottom w:val="single" w:color="000000" w:sz="4" w:space="0"/>
              <w:right w:val="single" w:color="000000" w:sz="4" w:space="0"/>
            </w:tcBorders>
          </w:tcPr>
          <w:p w14:paraId="0822F5D4">
            <w:pPr>
              <w:rPr>
                <w:rFonts w:ascii="宋体" w:hAnsi="宋体" w:cs="宋体"/>
                <w:color w:val="auto"/>
                <w:highlight w:val="none"/>
              </w:rPr>
            </w:pP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47738DC0">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29.20</w:t>
            </w:r>
          </w:p>
        </w:tc>
        <w:tc>
          <w:tcPr>
            <w:tcW w:w="1013" w:type="dxa"/>
            <w:vMerge w:val="continue"/>
            <w:tcBorders>
              <w:top w:val="nil"/>
              <w:left w:val="nil"/>
              <w:bottom w:val="single" w:color="000000" w:sz="4" w:space="0"/>
              <w:right w:val="single" w:color="000000" w:sz="4" w:space="0"/>
            </w:tcBorders>
          </w:tcPr>
          <w:p w14:paraId="6DD59054">
            <w:pPr>
              <w:rPr>
                <w:rFonts w:ascii="宋体" w:hAnsi="宋体" w:cs="宋体"/>
                <w:color w:val="auto"/>
                <w:highlight w:val="none"/>
              </w:rPr>
            </w:pPr>
          </w:p>
        </w:tc>
        <w:tc>
          <w:tcPr>
            <w:tcW w:w="1314" w:type="dxa"/>
            <w:tcBorders>
              <w:top w:val="nil"/>
              <w:left w:val="nil"/>
              <w:bottom w:val="nil"/>
              <w:right w:val="single" w:color="000000" w:sz="4" w:space="0"/>
            </w:tcBorders>
            <w:tcMar>
              <w:top w:w="0" w:type="dxa"/>
              <w:left w:w="0" w:type="dxa"/>
              <w:bottom w:w="0" w:type="dxa"/>
              <w:right w:w="0" w:type="dxa"/>
            </w:tcMar>
          </w:tcPr>
          <w:p w14:paraId="43D23302">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5°襟翼</w:t>
            </w:r>
          </w:p>
        </w:tc>
        <w:tc>
          <w:tcPr>
            <w:tcW w:w="726" w:type="dxa"/>
            <w:vMerge w:val="continue"/>
            <w:tcBorders>
              <w:top w:val="single" w:color="000000" w:sz="4" w:space="0"/>
              <w:left w:val="nil"/>
              <w:bottom w:val="single" w:color="000000" w:sz="4" w:space="0"/>
              <w:right w:val="single" w:color="000000" w:sz="4" w:space="0"/>
            </w:tcBorders>
          </w:tcPr>
          <w:p w14:paraId="7DA3D739">
            <w:pPr>
              <w:rPr>
                <w:rFonts w:ascii="宋体" w:hAnsi="宋体" w:cs="宋体"/>
                <w:color w:val="auto"/>
                <w:highlight w:val="none"/>
              </w:rPr>
            </w:pPr>
          </w:p>
        </w:tc>
        <w:tc>
          <w:tcPr>
            <w:tcW w:w="841" w:type="dxa"/>
            <w:tcBorders>
              <w:top w:val="nil"/>
              <w:left w:val="nil"/>
              <w:bottom w:val="single" w:color="000000" w:sz="4" w:space="0"/>
              <w:right w:val="single" w:color="000000" w:sz="4" w:space="0"/>
            </w:tcBorders>
            <w:tcMar>
              <w:top w:w="0" w:type="dxa"/>
              <w:left w:w="0" w:type="dxa"/>
              <w:bottom w:w="0" w:type="dxa"/>
              <w:right w:w="0" w:type="dxa"/>
            </w:tcMar>
          </w:tcPr>
          <w:p w14:paraId="089B04F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1645</w:t>
            </w:r>
          </w:p>
        </w:tc>
      </w:tr>
      <w:tr w14:paraId="384223D5">
        <w:tblPrEx>
          <w:tblCellMar>
            <w:top w:w="0" w:type="dxa"/>
            <w:left w:w="108" w:type="dxa"/>
            <w:bottom w:w="0" w:type="dxa"/>
            <w:right w:w="108" w:type="dxa"/>
          </w:tblCellMar>
        </w:tblPrEx>
        <w:trPr>
          <w:trHeight w:val="282" w:hRule="atLeast"/>
        </w:trPr>
        <w:tc>
          <w:tcPr>
            <w:tcW w:w="737" w:type="dxa"/>
            <w:vMerge w:val="continue"/>
            <w:tcBorders>
              <w:top w:val="nil"/>
              <w:left w:val="single" w:color="000000" w:sz="4" w:space="0"/>
              <w:bottom w:val="single" w:color="000000" w:sz="4" w:space="0"/>
              <w:right w:val="single" w:color="000000" w:sz="4" w:space="0"/>
            </w:tcBorders>
          </w:tcPr>
          <w:p w14:paraId="2FE4A76D">
            <w:pPr>
              <w:rPr>
                <w:rFonts w:ascii="宋体" w:hAnsi="宋体" w:cs="宋体"/>
                <w:color w:val="auto"/>
                <w:highlight w:val="none"/>
              </w:rPr>
            </w:pP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3B84CE0E">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停机高度</w:t>
            </w:r>
          </w:p>
        </w:tc>
        <w:tc>
          <w:tcPr>
            <w:tcW w:w="726" w:type="dxa"/>
            <w:vMerge w:val="continue"/>
            <w:tcBorders>
              <w:top w:val="nil"/>
              <w:left w:val="nil"/>
              <w:bottom w:val="single" w:color="000000" w:sz="4" w:space="0"/>
              <w:right w:val="single" w:color="000000" w:sz="4" w:space="0"/>
            </w:tcBorders>
          </w:tcPr>
          <w:p w14:paraId="6B9F7E40">
            <w:pPr>
              <w:rPr>
                <w:rFonts w:ascii="宋体" w:hAnsi="宋体" w:cs="宋体"/>
                <w:color w:val="auto"/>
                <w:highlight w:val="none"/>
              </w:rPr>
            </w:pP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5C6BA5C6">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8.85</w:t>
            </w:r>
          </w:p>
        </w:tc>
        <w:tc>
          <w:tcPr>
            <w:tcW w:w="2327" w:type="dxa"/>
            <w:gridSpan w:val="2"/>
            <w:tcBorders>
              <w:top w:val="nil"/>
              <w:left w:val="nil"/>
              <w:bottom w:val="single" w:color="000000" w:sz="4" w:space="0"/>
              <w:right w:val="single" w:color="000000" w:sz="4" w:space="0"/>
            </w:tcBorders>
            <w:tcMar>
              <w:top w:w="0" w:type="dxa"/>
              <w:left w:w="0" w:type="dxa"/>
              <w:bottom w:w="0" w:type="dxa"/>
              <w:right w:w="0" w:type="dxa"/>
            </w:tcMar>
          </w:tcPr>
          <w:p w14:paraId="538C06A3">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着陆场长</w:t>
            </w:r>
          </w:p>
        </w:tc>
        <w:tc>
          <w:tcPr>
            <w:tcW w:w="726" w:type="dxa"/>
            <w:vMerge w:val="continue"/>
            <w:tcBorders>
              <w:top w:val="single" w:color="000000" w:sz="4" w:space="0"/>
              <w:left w:val="nil"/>
              <w:bottom w:val="single" w:color="000000" w:sz="4" w:space="0"/>
              <w:right w:val="single" w:color="000000" w:sz="4" w:space="0"/>
            </w:tcBorders>
          </w:tcPr>
          <w:p w14:paraId="1F825D04">
            <w:pPr>
              <w:rPr>
                <w:rFonts w:ascii="宋体" w:hAnsi="宋体" w:cs="宋体"/>
                <w:color w:val="auto"/>
                <w:highlight w:val="none"/>
              </w:rPr>
            </w:pPr>
          </w:p>
        </w:tc>
        <w:tc>
          <w:tcPr>
            <w:tcW w:w="841" w:type="dxa"/>
            <w:tcBorders>
              <w:top w:val="nil"/>
              <w:left w:val="nil"/>
              <w:bottom w:val="single" w:color="000000" w:sz="4" w:space="0"/>
              <w:right w:val="single" w:color="000000" w:sz="4" w:space="0"/>
            </w:tcBorders>
            <w:tcMar>
              <w:top w:w="0" w:type="dxa"/>
              <w:left w:w="0" w:type="dxa"/>
              <w:bottom w:w="0" w:type="dxa"/>
              <w:right w:w="0" w:type="dxa"/>
            </w:tcMar>
          </w:tcPr>
          <w:p w14:paraId="47CB975F">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1460</w:t>
            </w:r>
          </w:p>
        </w:tc>
      </w:tr>
      <w:tr w14:paraId="2A066890">
        <w:tblPrEx>
          <w:tblCellMar>
            <w:top w:w="0" w:type="dxa"/>
            <w:left w:w="108" w:type="dxa"/>
            <w:bottom w:w="0" w:type="dxa"/>
            <w:right w:w="108" w:type="dxa"/>
          </w:tblCellMar>
        </w:tblPrEx>
        <w:trPr>
          <w:trHeight w:val="282" w:hRule="atLeast"/>
        </w:trPr>
        <w:tc>
          <w:tcPr>
            <w:tcW w:w="737" w:type="dxa"/>
            <w:vMerge w:val="continue"/>
            <w:tcBorders>
              <w:top w:val="nil"/>
              <w:left w:val="single" w:color="000000" w:sz="4" w:space="0"/>
              <w:bottom w:val="single" w:color="000000" w:sz="4" w:space="0"/>
              <w:right w:val="single" w:color="000000" w:sz="4" w:space="0"/>
            </w:tcBorders>
          </w:tcPr>
          <w:p w14:paraId="40CD6B6A">
            <w:pPr>
              <w:rPr>
                <w:rFonts w:ascii="宋体" w:hAnsi="宋体" w:cs="宋体"/>
                <w:color w:val="auto"/>
                <w:highlight w:val="none"/>
              </w:rPr>
            </w:pP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1A57C9C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机翼面积</w:t>
            </w:r>
          </w:p>
        </w:tc>
        <w:tc>
          <w:tcPr>
            <w:tcW w:w="726" w:type="dxa"/>
            <w:tcBorders>
              <w:top w:val="nil"/>
              <w:left w:val="nil"/>
              <w:bottom w:val="single" w:color="000000" w:sz="4" w:space="0"/>
              <w:right w:val="single" w:color="000000" w:sz="4" w:space="0"/>
            </w:tcBorders>
            <w:tcMar>
              <w:top w:w="0" w:type="dxa"/>
              <w:left w:w="0" w:type="dxa"/>
              <w:bottom w:w="0" w:type="dxa"/>
              <w:right w:w="0" w:type="dxa"/>
            </w:tcMar>
          </w:tcPr>
          <w:p w14:paraId="1CDF59C3">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m2</w:t>
            </w: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64DC6A14">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74.98</w:t>
            </w:r>
          </w:p>
        </w:tc>
        <w:tc>
          <w:tcPr>
            <w:tcW w:w="2327" w:type="dxa"/>
            <w:gridSpan w:val="2"/>
            <w:tcBorders>
              <w:top w:val="nil"/>
              <w:left w:val="nil"/>
              <w:bottom w:val="single" w:color="000000" w:sz="4" w:space="0"/>
              <w:right w:val="single" w:color="000000" w:sz="4" w:space="0"/>
            </w:tcBorders>
            <w:tcMar>
              <w:top w:w="0" w:type="dxa"/>
              <w:left w:w="0" w:type="dxa"/>
              <w:bottom w:w="0" w:type="dxa"/>
              <w:right w:w="0" w:type="dxa"/>
            </w:tcMar>
          </w:tcPr>
          <w:p w14:paraId="54A17641">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单发净升限</w:t>
            </w:r>
          </w:p>
        </w:tc>
        <w:tc>
          <w:tcPr>
            <w:tcW w:w="726" w:type="dxa"/>
            <w:vMerge w:val="continue"/>
            <w:tcBorders>
              <w:top w:val="single" w:color="000000" w:sz="4" w:space="0"/>
              <w:left w:val="nil"/>
              <w:bottom w:val="single" w:color="000000" w:sz="4" w:space="0"/>
              <w:right w:val="single" w:color="000000" w:sz="4" w:space="0"/>
            </w:tcBorders>
          </w:tcPr>
          <w:p w14:paraId="18661D89">
            <w:pPr>
              <w:rPr>
                <w:rFonts w:ascii="宋体" w:hAnsi="宋体" w:cs="宋体"/>
                <w:color w:val="auto"/>
                <w:highlight w:val="none"/>
              </w:rPr>
            </w:pPr>
          </w:p>
        </w:tc>
        <w:tc>
          <w:tcPr>
            <w:tcW w:w="841" w:type="dxa"/>
            <w:tcBorders>
              <w:top w:val="nil"/>
              <w:left w:val="nil"/>
              <w:bottom w:val="single" w:color="000000" w:sz="4" w:space="0"/>
              <w:right w:val="single" w:color="000000" w:sz="4" w:space="0"/>
            </w:tcBorders>
            <w:tcMar>
              <w:top w:w="0" w:type="dxa"/>
              <w:left w:w="0" w:type="dxa"/>
              <w:bottom w:w="0" w:type="dxa"/>
              <w:right w:w="0" w:type="dxa"/>
            </w:tcMar>
          </w:tcPr>
          <w:p w14:paraId="4FF58EC6">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3825</w:t>
            </w:r>
          </w:p>
        </w:tc>
      </w:tr>
      <w:tr w14:paraId="1C16E54E">
        <w:tblPrEx>
          <w:tblCellMar>
            <w:top w:w="0" w:type="dxa"/>
            <w:left w:w="108" w:type="dxa"/>
            <w:bottom w:w="0" w:type="dxa"/>
            <w:right w:w="108" w:type="dxa"/>
          </w:tblCellMar>
        </w:tblPrEx>
        <w:trPr>
          <w:trHeight w:val="282" w:hRule="atLeast"/>
        </w:trPr>
        <w:tc>
          <w:tcPr>
            <w:tcW w:w="737" w:type="dxa"/>
            <w:vMerge w:val="continue"/>
            <w:tcBorders>
              <w:top w:val="nil"/>
              <w:left w:val="single" w:color="000000" w:sz="4" w:space="0"/>
              <w:bottom w:val="single" w:color="000000" w:sz="4" w:space="0"/>
              <w:right w:val="single" w:color="000000" w:sz="4" w:space="0"/>
            </w:tcBorders>
          </w:tcPr>
          <w:p w14:paraId="1B9D9E42">
            <w:pPr>
              <w:rPr>
                <w:rFonts w:ascii="宋体" w:hAnsi="宋体" w:cs="宋体"/>
                <w:color w:val="auto"/>
                <w:highlight w:val="none"/>
              </w:rPr>
            </w:pP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5FE8822A">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螺旋桨直径</w:t>
            </w:r>
          </w:p>
        </w:tc>
        <w:tc>
          <w:tcPr>
            <w:tcW w:w="726" w:type="dxa"/>
            <w:vMerge w:val="restart"/>
            <w:tcBorders>
              <w:top w:val="nil"/>
              <w:left w:val="nil"/>
              <w:bottom w:val="single" w:color="000000" w:sz="4" w:space="0"/>
              <w:right w:val="single" w:color="000000" w:sz="4" w:space="0"/>
            </w:tcBorders>
            <w:tcMar>
              <w:top w:w="0" w:type="dxa"/>
              <w:left w:w="0" w:type="dxa"/>
              <w:bottom w:w="0" w:type="dxa"/>
              <w:right w:w="0" w:type="dxa"/>
            </w:tcMar>
          </w:tcPr>
          <w:p w14:paraId="088A01B5">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m</w:t>
            </w: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50B1995E">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4.00</w:t>
            </w:r>
          </w:p>
        </w:tc>
        <w:tc>
          <w:tcPr>
            <w:tcW w:w="2327" w:type="dxa"/>
            <w:gridSpan w:val="2"/>
            <w:tcBorders>
              <w:top w:val="nil"/>
              <w:left w:val="nil"/>
              <w:bottom w:val="single" w:color="000000" w:sz="4" w:space="0"/>
              <w:right w:val="single" w:color="000000" w:sz="4" w:space="0"/>
            </w:tcBorders>
            <w:tcMar>
              <w:top w:w="0" w:type="dxa"/>
              <w:left w:w="0" w:type="dxa"/>
              <w:bottom w:w="0" w:type="dxa"/>
              <w:right w:w="0" w:type="dxa"/>
            </w:tcMar>
          </w:tcPr>
          <w:p w14:paraId="6639E548">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最大使用高度</w:t>
            </w:r>
          </w:p>
        </w:tc>
        <w:tc>
          <w:tcPr>
            <w:tcW w:w="726" w:type="dxa"/>
            <w:vMerge w:val="continue"/>
            <w:tcBorders>
              <w:top w:val="single" w:color="000000" w:sz="4" w:space="0"/>
              <w:left w:val="nil"/>
              <w:bottom w:val="single" w:color="000000" w:sz="4" w:space="0"/>
              <w:right w:val="single" w:color="000000" w:sz="4" w:space="0"/>
            </w:tcBorders>
          </w:tcPr>
          <w:p w14:paraId="1ABB4A03">
            <w:pPr>
              <w:rPr>
                <w:rFonts w:ascii="宋体" w:hAnsi="宋体" w:cs="宋体"/>
                <w:color w:val="auto"/>
                <w:highlight w:val="none"/>
              </w:rPr>
            </w:pPr>
          </w:p>
        </w:tc>
        <w:tc>
          <w:tcPr>
            <w:tcW w:w="841" w:type="dxa"/>
            <w:tcBorders>
              <w:top w:val="nil"/>
              <w:left w:val="nil"/>
              <w:bottom w:val="single" w:color="000000" w:sz="4" w:space="0"/>
              <w:right w:val="single" w:color="000000" w:sz="4" w:space="0"/>
            </w:tcBorders>
            <w:tcMar>
              <w:top w:w="0" w:type="dxa"/>
              <w:left w:w="0" w:type="dxa"/>
              <w:bottom w:w="0" w:type="dxa"/>
              <w:right w:w="0" w:type="dxa"/>
            </w:tcMar>
          </w:tcPr>
          <w:p w14:paraId="2DF63AC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7620</w:t>
            </w:r>
          </w:p>
        </w:tc>
      </w:tr>
      <w:tr w14:paraId="0B9D1125">
        <w:tblPrEx>
          <w:tblCellMar>
            <w:top w:w="0" w:type="dxa"/>
            <w:left w:w="108" w:type="dxa"/>
            <w:bottom w:w="0" w:type="dxa"/>
            <w:right w:w="108" w:type="dxa"/>
          </w:tblCellMar>
        </w:tblPrEx>
        <w:trPr>
          <w:trHeight w:val="282" w:hRule="atLeast"/>
        </w:trPr>
        <w:tc>
          <w:tcPr>
            <w:tcW w:w="737" w:type="dxa"/>
            <w:vMerge w:val="continue"/>
            <w:tcBorders>
              <w:top w:val="nil"/>
              <w:left w:val="single" w:color="000000" w:sz="4" w:space="0"/>
              <w:bottom w:val="single" w:color="000000" w:sz="4" w:space="0"/>
              <w:right w:val="single" w:color="000000" w:sz="4" w:space="0"/>
            </w:tcBorders>
          </w:tcPr>
          <w:p w14:paraId="07F731BE">
            <w:pPr>
              <w:rPr>
                <w:rFonts w:ascii="宋体" w:hAnsi="宋体" w:cs="宋体"/>
                <w:color w:val="auto"/>
                <w:highlight w:val="none"/>
              </w:rPr>
            </w:pP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0586D143">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主轮距</w:t>
            </w:r>
          </w:p>
        </w:tc>
        <w:tc>
          <w:tcPr>
            <w:tcW w:w="726" w:type="dxa"/>
            <w:vMerge w:val="continue"/>
            <w:tcBorders>
              <w:top w:val="nil"/>
              <w:left w:val="nil"/>
              <w:bottom w:val="single" w:color="000000" w:sz="4" w:space="0"/>
              <w:right w:val="single" w:color="000000" w:sz="4" w:space="0"/>
            </w:tcBorders>
          </w:tcPr>
          <w:p w14:paraId="1F8BBE61">
            <w:pPr>
              <w:rPr>
                <w:rFonts w:ascii="宋体" w:hAnsi="宋体" w:cs="宋体"/>
                <w:color w:val="auto"/>
                <w:highlight w:val="none"/>
              </w:rPr>
            </w:pP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38B912F0">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7.90</w:t>
            </w:r>
          </w:p>
        </w:tc>
        <w:tc>
          <w:tcPr>
            <w:tcW w:w="1013" w:type="dxa"/>
            <w:vMerge w:val="restart"/>
            <w:tcBorders>
              <w:top w:val="nil"/>
              <w:left w:val="nil"/>
              <w:bottom w:val="single" w:color="000000" w:sz="4" w:space="0"/>
              <w:right w:val="single" w:color="000000" w:sz="4" w:space="0"/>
            </w:tcBorders>
            <w:tcMar>
              <w:top w:w="0" w:type="dxa"/>
              <w:left w:w="0" w:type="dxa"/>
              <w:bottom w:w="0" w:type="dxa"/>
              <w:right w:w="0" w:type="dxa"/>
            </w:tcMar>
          </w:tcPr>
          <w:p w14:paraId="31EF566F">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航程</w:t>
            </w:r>
          </w:p>
        </w:tc>
        <w:tc>
          <w:tcPr>
            <w:tcW w:w="1314" w:type="dxa"/>
            <w:tcBorders>
              <w:top w:val="nil"/>
              <w:left w:val="nil"/>
              <w:bottom w:val="single" w:color="000000" w:sz="4" w:space="0"/>
              <w:right w:val="single" w:color="000000" w:sz="4" w:space="0"/>
            </w:tcBorders>
            <w:tcMar>
              <w:top w:w="0" w:type="dxa"/>
              <w:left w:w="0" w:type="dxa"/>
              <w:bottom w:w="0" w:type="dxa"/>
              <w:right w:w="0" w:type="dxa"/>
            </w:tcMar>
          </w:tcPr>
          <w:p w14:paraId="74AC9ADC">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满油航程</w:t>
            </w:r>
          </w:p>
        </w:tc>
        <w:tc>
          <w:tcPr>
            <w:tcW w:w="726" w:type="dxa"/>
            <w:vMerge w:val="restart"/>
            <w:tcBorders>
              <w:top w:val="nil"/>
              <w:left w:val="nil"/>
              <w:bottom w:val="single" w:color="000000" w:sz="4" w:space="0"/>
              <w:right w:val="single" w:color="000000" w:sz="4" w:space="0"/>
            </w:tcBorders>
            <w:tcMar>
              <w:top w:w="0" w:type="dxa"/>
              <w:left w:w="0" w:type="dxa"/>
              <w:bottom w:w="0" w:type="dxa"/>
              <w:right w:w="0" w:type="dxa"/>
            </w:tcMar>
          </w:tcPr>
          <w:p w14:paraId="24ADFC6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km</w:t>
            </w:r>
          </w:p>
        </w:tc>
        <w:tc>
          <w:tcPr>
            <w:tcW w:w="841"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2BEDA468">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2624</w:t>
            </w:r>
          </w:p>
        </w:tc>
      </w:tr>
      <w:tr w14:paraId="0DA60475">
        <w:tblPrEx>
          <w:tblCellMar>
            <w:top w:w="0" w:type="dxa"/>
            <w:left w:w="108" w:type="dxa"/>
            <w:bottom w:w="0" w:type="dxa"/>
            <w:right w:w="108" w:type="dxa"/>
          </w:tblCellMar>
        </w:tblPrEx>
        <w:trPr>
          <w:trHeight w:val="282" w:hRule="atLeast"/>
        </w:trPr>
        <w:tc>
          <w:tcPr>
            <w:tcW w:w="737" w:type="dxa"/>
            <w:vMerge w:val="continue"/>
            <w:tcBorders>
              <w:top w:val="nil"/>
              <w:left w:val="single" w:color="000000" w:sz="4" w:space="0"/>
              <w:bottom w:val="single" w:color="000000" w:sz="4" w:space="0"/>
              <w:right w:val="single" w:color="000000" w:sz="4" w:space="0"/>
            </w:tcBorders>
          </w:tcPr>
          <w:p w14:paraId="3BDD32EB">
            <w:pPr>
              <w:rPr>
                <w:rFonts w:ascii="宋体" w:hAnsi="宋体" w:cs="宋体"/>
                <w:color w:val="auto"/>
                <w:highlight w:val="none"/>
              </w:rPr>
            </w:pP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1CB1927A">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前主轮距</w:t>
            </w:r>
          </w:p>
        </w:tc>
        <w:tc>
          <w:tcPr>
            <w:tcW w:w="726" w:type="dxa"/>
            <w:vMerge w:val="continue"/>
            <w:tcBorders>
              <w:top w:val="nil"/>
              <w:left w:val="nil"/>
              <w:bottom w:val="single" w:color="000000" w:sz="4" w:space="0"/>
              <w:right w:val="single" w:color="000000" w:sz="4" w:space="0"/>
            </w:tcBorders>
          </w:tcPr>
          <w:p w14:paraId="29E4263F">
            <w:pPr>
              <w:rPr>
                <w:rFonts w:ascii="宋体" w:hAnsi="宋体" w:cs="宋体"/>
                <w:color w:val="auto"/>
                <w:highlight w:val="none"/>
              </w:rPr>
            </w:pP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2E2A3B6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9.56</w:t>
            </w:r>
          </w:p>
        </w:tc>
        <w:tc>
          <w:tcPr>
            <w:tcW w:w="1013" w:type="dxa"/>
            <w:vMerge w:val="continue"/>
            <w:tcBorders>
              <w:top w:val="nil"/>
              <w:left w:val="nil"/>
              <w:bottom w:val="single" w:color="000000" w:sz="4" w:space="0"/>
              <w:right w:val="single" w:color="000000" w:sz="4" w:space="0"/>
            </w:tcBorders>
          </w:tcPr>
          <w:p w14:paraId="175C767A">
            <w:pPr>
              <w:rPr>
                <w:rFonts w:ascii="宋体" w:hAnsi="宋体" w:cs="宋体"/>
                <w:color w:val="auto"/>
                <w:highlight w:val="none"/>
              </w:rPr>
            </w:pPr>
          </w:p>
        </w:tc>
        <w:tc>
          <w:tcPr>
            <w:tcW w:w="1314" w:type="dxa"/>
            <w:tcBorders>
              <w:top w:val="nil"/>
              <w:left w:val="nil"/>
              <w:bottom w:val="single" w:color="000000" w:sz="4" w:space="0"/>
              <w:right w:val="single" w:color="000000" w:sz="4" w:space="0"/>
            </w:tcBorders>
            <w:tcMar>
              <w:top w:w="0" w:type="dxa"/>
              <w:left w:w="0" w:type="dxa"/>
              <w:bottom w:w="0" w:type="dxa"/>
              <w:right w:w="0" w:type="dxa"/>
            </w:tcMar>
          </w:tcPr>
          <w:p w14:paraId="6A0D1BDE">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满载航程</w:t>
            </w:r>
          </w:p>
        </w:tc>
        <w:tc>
          <w:tcPr>
            <w:tcW w:w="726" w:type="dxa"/>
            <w:vMerge w:val="continue"/>
            <w:tcBorders>
              <w:top w:val="nil"/>
              <w:left w:val="nil"/>
              <w:bottom w:val="single" w:color="000000" w:sz="4" w:space="0"/>
              <w:right w:val="single" w:color="000000" w:sz="4" w:space="0"/>
            </w:tcBorders>
          </w:tcPr>
          <w:p w14:paraId="49A07203">
            <w:pPr>
              <w:rPr>
                <w:rFonts w:ascii="宋体" w:hAnsi="宋体" w:cs="宋体"/>
                <w:color w:val="auto"/>
                <w:highlight w:val="none"/>
              </w:rPr>
            </w:pPr>
          </w:p>
        </w:tc>
        <w:tc>
          <w:tcPr>
            <w:tcW w:w="841" w:type="dxa"/>
            <w:tcBorders>
              <w:top w:val="nil"/>
              <w:left w:val="nil"/>
              <w:bottom w:val="single" w:color="000000" w:sz="4" w:space="0"/>
              <w:right w:val="single" w:color="000000" w:sz="4" w:space="0"/>
            </w:tcBorders>
            <w:tcMar>
              <w:top w:w="0" w:type="dxa"/>
              <w:left w:w="0" w:type="dxa"/>
              <w:bottom w:w="0" w:type="dxa"/>
              <w:right w:w="0" w:type="dxa"/>
            </w:tcMar>
          </w:tcPr>
          <w:p w14:paraId="1744932C">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1270</w:t>
            </w:r>
          </w:p>
        </w:tc>
      </w:tr>
      <w:tr w14:paraId="7D4AB543">
        <w:tblPrEx>
          <w:tblCellMar>
            <w:top w:w="0" w:type="dxa"/>
            <w:left w:w="108" w:type="dxa"/>
            <w:bottom w:w="0" w:type="dxa"/>
            <w:right w:w="108" w:type="dxa"/>
          </w:tblCellMar>
        </w:tblPrEx>
        <w:trPr>
          <w:trHeight w:val="282" w:hRule="atLeast"/>
        </w:trPr>
        <w:tc>
          <w:tcPr>
            <w:tcW w:w="737"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tcPr>
          <w:p w14:paraId="744D1DA2">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客舱尺寸</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7EBD8E65">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客舱长度</w:t>
            </w:r>
          </w:p>
        </w:tc>
        <w:tc>
          <w:tcPr>
            <w:tcW w:w="726" w:type="dxa"/>
            <w:vMerge w:val="restart"/>
            <w:tcBorders>
              <w:top w:val="nil"/>
              <w:left w:val="nil"/>
              <w:bottom w:val="single" w:color="000000" w:sz="4" w:space="0"/>
              <w:right w:val="single" w:color="000000" w:sz="4" w:space="0"/>
            </w:tcBorders>
            <w:tcMar>
              <w:top w:w="0" w:type="dxa"/>
              <w:left w:w="0" w:type="dxa"/>
              <w:bottom w:w="0" w:type="dxa"/>
              <w:right w:w="0" w:type="dxa"/>
            </w:tcMar>
          </w:tcPr>
          <w:p w14:paraId="4B74D278">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m</w:t>
            </w: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199B4604">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11.16</w:t>
            </w:r>
          </w:p>
        </w:tc>
        <w:tc>
          <w:tcPr>
            <w:tcW w:w="1013" w:type="dxa"/>
            <w:vMerge w:val="restart"/>
            <w:tcBorders>
              <w:top w:val="nil"/>
              <w:left w:val="nil"/>
              <w:bottom w:val="single" w:color="000000" w:sz="4" w:space="0"/>
              <w:right w:val="single" w:color="000000" w:sz="4" w:space="0"/>
            </w:tcBorders>
            <w:tcMar>
              <w:top w:w="0" w:type="dxa"/>
              <w:left w:w="0" w:type="dxa"/>
              <w:bottom w:w="0" w:type="dxa"/>
              <w:right w:w="0" w:type="dxa"/>
            </w:tcMar>
          </w:tcPr>
          <w:p w14:paraId="6A0D610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航时</w:t>
            </w:r>
          </w:p>
        </w:tc>
        <w:tc>
          <w:tcPr>
            <w:tcW w:w="1314" w:type="dxa"/>
            <w:tcBorders>
              <w:top w:val="nil"/>
              <w:left w:val="nil"/>
              <w:bottom w:val="single" w:color="000000" w:sz="4" w:space="0"/>
              <w:right w:val="single" w:color="000000" w:sz="4" w:space="0"/>
            </w:tcBorders>
            <w:tcMar>
              <w:top w:w="0" w:type="dxa"/>
              <w:left w:w="0" w:type="dxa"/>
              <w:bottom w:w="0" w:type="dxa"/>
              <w:right w:w="0" w:type="dxa"/>
            </w:tcMar>
          </w:tcPr>
          <w:p w14:paraId="22E2F1D6">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满油航时</w:t>
            </w:r>
          </w:p>
        </w:tc>
        <w:tc>
          <w:tcPr>
            <w:tcW w:w="726" w:type="dxa"/>
            <w:vMerge w:val="restart"/>
            <w:tcBorders>
              <w:top w:val="nil"/>
              <w:left w:val="nil"/>
              <w:bottom w:val="single" w:color="000000" w:sz="4" w:space="0"/>
              <w:right w:val="single" w:color="000000" w:sz="4" w:space="0"/>
            </w:tcBorders>
            <w:tcMar>
              <w:top w:w="0" w:type="dxa"/>
              <w:left w:w="0" w:type="dxa"/>
              <w:bottom w:w="0" w:type="dxa"/>
              <w:right w:w="0" w:type="dxa"/>
            </w:tcMar>
          </w:tcPr>
          <w:p w14:paraId="35882D4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h</w:t>
            </w:r>
          </w:p>
        </w:tc>
        <w:tc>
          <w:tcPr>
            <w:tcW w:w="841" w:type="dxa"/>
            <w:tcBorders>
              <w:top w:val="nil"/>
              <w:left w:val="nil"/>
              <w:bottom w:val="single" w:color="000000" w:sz="4" w:space="0"/>
              <w:right w:val="single" w:color="000000" w:sz="4" w:space="0"/>
            </w:tcBorders>
            <w:tcMar>
              <w:top w:w="0" w:type="dxa"/>
              <w:left w:w="0" w:type="dxa"/>
              <w:bottom w:w="0" w:type="dxa"/>
              <w:right w:w="0" w:type="dxa"/>
            </w:tcMar>
          </w:tcPr>
          <w:p w14:paraId="0D08161D">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6.7</w:t>
            </w:r>
          </w:p>
        </w:tc>
      </w:tr>
      <w:tr w14:paraId="30FDD4FC">
        <w:tblPrEx>
          <w:tblCellMar>
            <w:top w:w="0" w:type="dxa"/>
            <w:left w:w="108" w:type="dxa"/>
            <w:bottom w:w="0" w:type="dxa"/>
            <w:right w:w="108" w:type="dxa"/>
          </w:tblCellMar>
        </w:tblPrEx>
        <w:trPr>
          <w:trHeight w:val="282" w:hRule="atLeast"/>
        </w:trPr>
        <w:tc>
          <w:tcPr>
            <w:tcW w:w="737" w:type="dxa"/>
            <w:vMerge w:val="continue"/>
            <w:tcBorders>
              <w:top w:val="nil"/>
              <w:left w:val="single" w:color="000000" w:sz="4" w:space="0"/>
              <w:bottom w:val="single" w:color="000000" w:sz="4" w:space="0"/>
              <w:right w:val="single" w:color="000000" w:sz="4" w:space="0"/>
            </w:tcBorders>
          </w:tcPr>
          <w:p w14:paraId="74CBE7EF">
            <w:pPr>
              <w:rPr>
                <w:rFonts w:ascii="宋体" w:hAnsi="宋体" w:cs="宋体"/>
                <w:color w:val="auto"/>
                <w:highlight w:val="none"/>
              </w:rPr>
            </w:pP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4D6BD9A3">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客舱宽度</w:t>
            </w:r>
          </w:p>
        </w:tc>
        <w:tc>
          <w:tcPr>
            <w:tcW w:w="726" w:type="dxa"/>
            <w:vMerge w:val="continue"/>
            <w:tcBorders>
              <w:top w:val="nil"/>
              <w:left w:val="nil"/>
              <w:bottom w:val="single" w:color="000000" w:sz="4" w:space="0"/>
              <w:right w:val="single" w:color="000000" w:sz="4" w:space="0"/>
            </w:tcBorders>
          </w:tcPr>
          <w:p w14:paraId="6E4491B2">
            <w:pPr>
              <w:rPr>
                <w:rFonts w:ascii="宋体" w:hAnsi="宋体" w:cs="宋体"/>
                <w:color w:val="auto"/>
                <w:highlight w:val="none"/>
              </w:rPr>
            </w:pP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4E14275D">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2.69</w:t>
            </w:r>
          </w:p>
        </w:tc>
        <w:tc>
          <w:tcPr>
            <w:tcW w:w="1013" w:type="dxa"/>
            <w:vMerge w:val="continue"/>
            <w:tcBorders>
              <w:top w:val="nil"/>
              <w:left w:val="nil"/>
              <w:bottom w:val="single" w:color="000000" w:sz="4" w:space="0"/>
              <w:right w:val="single" w:color="000000" w:sz="4" w:space="0"/>
            </w:tcBorders>
          </w:tcPr>
          <w:p w14:paraId="62792678">
            <w:pPr>
              <w:rPr>
                <w:rFonts w:ascii="宋体" w:hAnsi="宋体" w:cs="宋体"/>
                <w:color w:val="auto"/>
                <w:highlight w:val="none"/>
              </w:rPr>
            </w:pPr>
          </w:p>
        </w:tc>
        <w:tc>
          <w:tcPr>
            <w:tcW w:w="1314" w:type="dxa"/>
            <w:tcBorders>
              <w:top w:val="nil"/>
              <w:left w:val="nil"/>
              <w:bottom w:val="single" w:color="000000" w:sz="4" w:space="0"/>
              <w:right w:val="single" w:color="000000" w:sz="4" w:space="0"/>
            </w:tcBorders>
            <w:tcMar>
              <w:top w:w="0" w:type="dxa"/>
              <w:left w:w="0" w:type="dxa"/>
              <w:bottom w:w="0" w:type="dxa"/>
              <w:right w:w="0" w:type="dxa"/>
            </w:tcMar>
          </w:tcPr>
          <w:p w14:paraId="0407D1BB">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满载航时</w:t>
            </w:r>
          </w:p>
        </w:tc>
        <w:tc>
          <w:tcPr>
            <w:tcW w:w="726" w:type="dxa"/>
            <w:vMerge w:val="continue"/>
            <w:tcBorders>
              <w:top w:val="nil"/>
              <w:left w:val="nil"/>
              <w:bottom w:val="single" w:color="000000" w:sz="4" w:space="0"/>
              <w:right w:val="single" w:color="000000" w:sz="4" w:space="0"/>
            </w:tcBorders>
          </w:tcPr>
          <w:p w14:paraId="410AF5E2">
            <w:pPr>
              <w:rPr>
                <w:rFonts w:ascii="宋体" w:hAnsi="宋体" w:cs="宋体"/>
                <w:color w:val="auto"/>
                <w:highlight w:val="none"/>
              </w:rPr>
            </w:pPr>
          </w:p>
        </w:tc>
        <w:tc>
          <w:tcPr>
            <w:tcW w:w="841" w:type="dxa"/>
            <w:tcBorders>
              <w:top w:val="nil"/>
              <w:left w:val="nil"/>
              <w:bottom w:val="single" w:color="000000" w:sz="4" w:space="0"/>
              <w:right w:val="single" w:color="000000" w:sz="4" w:space="0"/>
            </w:tcBorders>
            <w:tcMar>
              <w:top w:w="0" w:type="dxa"/>
              <w:left w:w="0" w:type="dxa"/>
              <w:bottom w:w="0" w:type="dxa"/>
              <w:right w:w="0" w:type="dxa"/>
            </w:tcMar>
          </w:tcPr>
          <w:p w14:paraId="7177E284">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3.5</w:t>
            </w:r>
          </w:p>
        </w:tc>
      </w:tr>
      <w:tr w14:paraId="0441098D">
        <w:tblPrEx>
          <w:tblCellMar>
            <w:top w:w="0" w:type="dxa"/>
            <w:left w:w="108" w:type="dxa"/>
            <w:bottom w:w="0" w:type="dxa"/>
            <w:right w:w="108" w:type="dxa"/>
          </w:tblCellMar>
        </w:tblPrEx>
        <w:trPr>
          <w:trHeight w:val="554" w:hRule="atLeast"/>
        </w:trPr>
        <w:tc>
          <w:tcPr>
            <w:tcW w:w="737" w:type="dxa"/>
            <w:vMerge w:val="continue"/>
            <w:tcBorders>
              <w:top w:val="nil"/>
              <w:left w:val="single" w:color="000000" w:sz="4" w:space="0"/>
              <w:bottom w:val="single" w:color="000000" w:sz="4" w:space="0"/>
              <w:right w:val="single" w:color="000000" w:sz="4" w:space="0"/>
            </w:tcBorders>
          </w:tcPr>
          <w:p w14:paraId="121362A9">
            <w:pPr>
              <w:rPr>
                <w:rFonts w:ascii="宋体" w:hAnsi="宋体" w:cs="宋体"/>
                <w:color w:val="auto"/>
                <w:highlight w:val="none"/>
              </w:rPr>
            </w:pP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03B97E2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客舱高度</w:t>
            </w:r>
          </w:p>
        </w:tc>
        <w:tc>
          <w:tcPr>
            <w:tcW w:w="726" w:type="dxa"/>
            <w:vMerge w:val="continue"/>
            <w:tcBorders>
              <w:top w:val="nil"/>
              <w:left w:val="nil"/>
              <w:bottom w:val="single" w:color="000000" w:sz="4" w:space="0"/>
              <w:right w:val="single" w:color="000000" w:sz="4" w:space="0"/>
            </w:tcBorders>
          </w:tcPr>
          <w:p w14:paraId="4930EF18">
            <w:pPr>
              <w:rPr>
                <w:rFonts w:ascii="宋体" w:hAnsi="宋体" w:cs="宋体"/>
                <w:color w:val="auto"/>
                <w:highlight w:val="none"/>
              </w:rPr>
            </w:pP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0427E5D3">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1.91</w:t>
            </w:r>
          </w:p>
        </w:tc>
        <w:tc>
          <w:tcPr>
            <w:tcW w:w="1013" w:type="dxa"/>
            <w:vMerge w:val="restart"/>
            <w:tcBorders>
              <w:top w:val="nil"/>
              <w:left w:val="nil"/>
              <w:bottom w:val="single" w:color="000000" w:sz="4" w:space="0"/>
              <w:right w:val="single" w:color="000000" w:sz="4" w:space="0"/>
            </w:tcBorders>
            <w:tcMar>
              <w:top w:w="0" w:type="dxa"/>
              <w:left w:w="0" w:type="dxa"/>
              <w:bottom w:w="0" w:type="dxa"/>
              <w:right w:w="0" w:type="dxa"/>
            </w:tcMar>
          </w:tcPr>
          <w:p w14:paraId="6C074E5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飞机设计使用寿命</w:t>
            </w:r>
          </w:p>
        </w:tc>
        <w:tc>
          <w:tcPr>
            <w:tcW w:w="1314" w:type="dxa"/>
            <w:tcBorders>
              <w:top w:val="nil"/>
              <w:left w:val="nil"/>
              <w:bottom w:val="single" w:color="000000" w:sz="4" w:space="0"/>
              <w:right w:val="single" w:color="000000" w:sz="4" w:space="0"/>
            </w:tcBorders>
            <w:tcMar>
              <w:top w:w="0" w:type="dxa"/>
              <w:left w:w="0" w:type="dxa"/>
              <w:bottom w:w="0" w:type="dxa"/>
              <w:right w:w="0" w:type="dxa"/>
            </w:tcMar>
          </w:tcPr>
          <w:p w14:paraId="378CD001">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总飞行时间</w:t>
            </w:r>
          </w:p>
        </w:tc>
        <w:tc>
          <w:tcPr>
            <w:tcW w:w="726" w:type="dxa"/>
            <w:tcBorders>
              <w:top w:val="nil"/>
              <w:left w:val="nil"/>
              <w:bottom w:val="single" w:color="000000" w:sz="4" w:space="0"/>
              <w:right w:val="single" w:color="000000" w:sz="4" w:space="0"/>
            </w:tcBorders>
            <w:tcMar>
              <w:top w:w="0" w:type="dxa"/>
              <w:left w:w="0" w:type="dxa"/>
              <w:bottom w:w="0" w:type="dxa"/>
              <w:right w:w="0" w:type="dxa"/>
            </w:tcMar>
          </w:tcPr>
          <w:p w14:paraId="3CC3235F">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h</w:t>
            </w:r>
          </w:p>
        </w:tc>
        <w:tc>
          <w:tcPr>
            <w:tcW w:w="841" w:type="dxa"/>
            <w:tcBorders>
              <w:top w:val="nil"/>
              <w:left w:val="nil"/>
              <w:bottom w:val="single" w:color="000000" w:sz="4" w:space="0"/>
              <w:right w:val="single" w:color="000000" w:sz="4" w:space="0"/>
            </w:tcBorders>
            <w:tcMar>
              <w:top w:w="0" w:type="dxa"/>
              <w:left w:w="0" w:type="dxa"/>
              <w:bottom w:w="0" w:type="dxa"/>
              <w:right w:w="0" w:type="dxa"/>
            </w:tcMar>
          </w:tcPr>
          <w:p w14:paraId="439E6F5A">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30000</w:t>
            </w:r>
          </w:p>
        </w:tc>
      </w:tr>
      <w:tr w14:paraId="61AF6D4A">
        <w:tblPrEx>
          <w:tblCellMar>
            <w:top w:w="0" w:type="dxa"/>
            <w:left w:w="108" w:type="dxa"/>
            <w:bottom w:w="0" w:type="dxa"/>
            <w:right w:w="108" w:type="dxa"/>
          </w:tblCellMar>
        </w:tblPrEx>
        <w:trPr>
          <w:trHeight w:val="554" w:hRule="atLeast"/>
        </w:trPr>
        <w:tc>
          <w:tcPr>
            <w:tcW w:w="737"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tcPr>
          <w:p w14:paraId="63974B8D">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客舱空间</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607FF312">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前货舱容积</w:t>
            </w:r>
          </w:p>
        </w:tc>
        <w:tc>
          <w:tcPr>
            <w:tcW w:w="726" w:type="dxa"/>
            <w:vMerge w:val="restart"/>
            <w:tcBorders>
              <w:top w:val="nil"/>
              <w:left w:val="nil"/>
              <w:bottom w:val="single" w:color="000000" w:sz="4" w:space="0"/>
              <w:right w:val="single" w:color="000000" w:sz="4" w:space="0"/>
            </w:tcBorders>
            <w:tcMar>
              <w:top w:w="0" w:type="dxa"/>
              <w:left w:w="0" w:type="dxa"/>
              <w:bottom w:w="0" w:type="dxa"/>
              <w:right w:w="0" w:type="dxa"/>
            </w:tcMar>
          </w:tcPr>
          <w:p w14:paraId="63FC9ADA">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m3</w:t>
            </w: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40C26300">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5.10</w:t>
            </w:r>
          </w:p>
        </w:tc>
        <w:tc>
          <w:tcPr>
            <w:tcW w:w="1013" w:type="dxa"/>
            <w:vMerge w:val="continue"/>
            <w:tcBorders>
              <w:top w:val="nil"/>
              <w:left w:val="nil"/>
              <w:bottom w:val="single" w:color="000000" w:sz="4" w:space="0"/>
              <w:right w:val="single" w:color="000000" w:sz="4" w:space="0"/>
            </w:tcBorders>
          </w:tcPr>
          <w:p w14:paraId="56A35B62">
            <w:pPr>
              <w:rPr>
                <w:rFonts w:ascii="宋体" w:hAnsi="宋体" w:cs="宋体"/>
                <w:color w:val="auto"/>
                <w:highlight w:val="none"/>
              </w:rPr>
            </w:pPr>
          </w:p>
        </w:tc>
        <w:tc>
          <w:tcPr>
            <w:tcW w:w="1314" w:type="dxa"/>
            <w:tcBorders>
              <w:top w:val="nil"/>
              <w:left w:val="nil"/>
              <w:bottom w:val="single" w:color="000000" w:sz="4" w:space="0"/>
              <w:right w:val="single" w:color="000000" w:sz="4" w:space="0"/>
            </w:tcBorders>
            <w:tcMar>
              <w:top w:w="0" w:type="dxa"/>
              <w:left w:w="0" w:type="dxa"/>
              <w:bottom w:w="0" w:type="dxa"/>
              <w:right w:w="0" w:type="dxa"/>
            </w:tcMar>
          </w:tcPr>
          <w:p w14:paraId="4D66DBAF">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总起落次数</w:t>
            </w:r>
          </w:p>
        </w:tc>
        <w:tc>
          <w:tcPr>
            <w:tcW w:w="726" w:type="dxa"/>
            <w:tcBorders>
              <w:top w:val="nil"/>
              <w:left w:val="nil"/>
              <w:bottom w:val="single" w:color="000000" w:sz="4" w:space="0"/>
              <w:right w:val="single" w:color="000000" w:sz="4" w:space="0"/>
            </w:tcBorders>
            <w:tcMar>
              <w:top w:w="0" w:type="dxa"/>
              <w:left w:w="0" w:type="dxa"/>
              <w:bottom w:w="0" w:type="dxa"/>
              <w:right w:w="0" w:type="dxa"/>
            </w:tcMar>
          </w:tcPr>
          <w:p w14:paraId="78C2C464">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次</w:t>
            </w:r>
          </w:p>
        </w:tc>
        <w:tc>
          <w:tcPr>
            <w:tcW w:w="841" w:type="dxa"/>
            <w:tcBorders>
              <w:top w:val="nil"/>
              <w:left w:val="nil"/>
              <w:bottom w:val="single" w:color="000000" w:sz="4" w:space="0"/>
              <w:right w:val="single" w:color="000000" w:sz="4" w:space="0"/>
            </w:tcBorders>
            <w:tcMar>
              <w:top w:w="0" w:type="dxa"/>
              <w:left w:w="0" w:type="dxa"/>
              <w:bottom w:w="0" w:type="dxa"/>
              <w:right w:w="0" w:type="dxa"/>
            </w:tcMar>
          </w:tcPr>
          <w:p w14:paraId="0E00E5B4">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25000</w:t>
            </w:r>
          </w:p>
        </w:tc>
      </w:tr>
      <w:tr w14:paraId="5E4B717B">
        <w:tblPrEx>
          <w:tblCellMar>
            <w:top w:w="0" w:type="dxa"/>
            <w:left w:w="108" w:type="dxa"/>
            <w:bottom w:w="0" w:type="dxa"/>
            <w:right w:w="108" w:type="dxa"/>
          </w:tblCellMar>
        </w:tblPrEx>
        <w:trPr>
          <w:trHeight w:val="282" w:hRule="atLeast"/>
        </w:trPr>
        <w:tc>
          <w:tcPr>
            <w:tcW w:w="737" w:type="dxa"/>
            <w:vMerge w:val="continue"/>
            <w:tcBorders>
              <w:top w:val="nil"/>
              <w:left w:val="single" w:color="000000" w:sz="4" w:space="0"/>
              <w:bottom w:val="single" w:color="000000" w:sz="4" w:space="0"/>
              <w:right w:val="single" w:color="000000" w:sz="4" w:space="0"/>
            </w:tcBorders>
          </w:tcPr>
          <w:p w14:paraId="19D2AB0C">
            <w:pPr>
              <w:rPr>
                <w:rFonts w:ascii="宋体" w:hAnsi="宋体" w:cs="宋体"/>
                <w:color w:val="auto"/>
                <w:highlight w:val="none"/>
              </w:rPr>
            </w:pP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6E332C5F">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后货舱容积</w:t>
            </w:r>
          </w:p>
        </w:tc>
        <w:tc>
          <w:tcPr>
            <w:tcW w:w="726" w:type="dxa"/>
            <w:vMerge w:val="continue"/>
            <w:tcBorders>
              <w:top w:val="nil"/>
              <w:left w:val="nil"/>
              <w:bottom w:val="single" w:color="000000" w:sz="4" w:space="0"/>
              <w:right w:val="single" w:color="000000" w:sz="4" w:space="0"/>
            </w:tcBorders>
          </w:tcPr>
          <w:p w14:paraId="120EC565">
            <w:pPr>
              <w:rPr>
                <w:rFonts w:ascii="宋体" w:hAnsi="宋体" w:cs="宋体"/>
                <w:color w:val="auto"/>
                <w:highlight w:val="none"/>
              </w:rPr>
            </w:pP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0BBA560F">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4.60</w:t>
            </w:r>
          </w:p>
        </w:tc>
        <w:tc>
          <w:tcPr>
            <w:tcW w:w="1013" w:type="dxa"/>
            <w:vMerge w:val="continue"/>
            <w:tcBorders>
              <w:top w:val="nil"/>
              <w:left w:val="nil"/>
              <w:bottom w:val="single" w:color="000000" w:sz="4" w:space="0"/>
              <w:right w:val="single" w:color="000000" w:sz="4" w:space="0"/>
            </w:tcBorders>
          </w:tcPr>
          <w:p w14:paraId="084DFF58">
            <w:pPr>
              <w:rPr>
                <w:rFonts w:ascii="宋体" w:hAnsi="宋体" w:cs="宋体"/>
                <w:color w:val="auto"/>
                <w:highlight w:val="none"/>
              </w:rPr>
            </w:pPr>
          </w:p>
        </w:tc>
        <w:tc>
          <w:tcPr>
            <w:tcW w:w="1314" w:type="dxa"/>
            <w:tcBorders>
              <w:top w:val="nil"/>
              <w:left w:val="nil"/>
              <w:bottom w:val="single" w:color="000000" w:sz="4" w:space="0"/>
              <w:right w:val="single" w:color="000000" w:sz="4" w:space="0"/>
            </w:tcBorders>
            <w:tcMar>
              <w:top w:w="0" w:type="dxa"/>
              <w:left w:w="0" w:type="dxa"/>
              <w:bottom w:w="0" w:type="dxa"/>
              <w:right w:w="0" w:type="dxa"/>
            </w:tcMar>
          </w:tcPr>
          <w:p w14:paraId="484F74C0">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日历年限</w:t>
            </w:r>
          </w:p>
        </w:tc>
        <w:tc>
          <w:tcPr>
            <w:tcW w:w="726" w:type="dxa"/>
            <w:tcBorders>
              <w:top w:val="nil"/>
              <w:left w:val="nil"/>
              <w:bottom w:val="single" w:color="000000" w:sz="4" w:space="0"/>
              <w:right w:val="single" w:color="000000" w:sz="4" w:space="0"/>
            </w:tcBorders>
            <w:tcMar>
              <w:top w:w="0" w:type="dxa"/>
              <w:left w:w="0" w:type="dxa"/>
              <w:bottom w:w="0" w:type="dxa"/>
              <w:right w:w="0" w:type="dxa"/>
            </w:tcMar>
          </w:tcPr>
          <w:p w14:paraId="5A306536">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年</w:t>
            </w:r>
          </w:p>
        </w:tc>
        <w:tc>
          <w:tcPr>
            <w:tcW w:w="841" w:type="dxa"/>
            <w:tcBorders>
              <w:top w:val="nil"/>
              <w:left w:val="nil"/>
              <w:bottom w:val="single" w:color="000000" w:sz="4" w:space="0"/>
              <w:right w:val="single" w:color="000000" w:sz="4" w:space="0"/>
            </w:tcBorders>
            <w:tcMar>
              <w:top w:w="0" w:type="dxa"/>
              <w:left w:w="0" w:type="dxa"/>
              <w:bottom w:w="0" w:type="dxa"/>
              <w:right w:w="0" w:type="dxa"/>
            </w:tcMar>
          </w:tcPr>
          <w:p w14:paraId="1E43269D">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25</w:t>
            </w:r>
          </w:p>
        </w:tc>
      </w:tr>
      <w:tr w14:paraId="6FBD6DF4">
        <w:tblPrEx>
          <w:tblCellMar>
            <w:top w:w="0" w:type="dxa"/>
            <w:left w:w="108" w:type="dxa"/>
            <w:bottom w:w="0" w:type="dxa"/>
            <w:right w:w="108" w:type="dxa"/>
          </w:tblCellMar>
        </w:tblPrEx>
        <w:trPr>
          <w:trHeight w:val="282" w:hRule="atLeast"/>
        </w:trPr>
        <w:tc>
          <w:tcPr>
            <w:tcW w:w="737"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tcPr>
          <w:p w14:paraId="0667A46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出口尺寸</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469AF531">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登机门</w:t>
            </w:r>
          </w:p>
        </w:tc>
        <w:tc>
          <w:tcPr>
            <w:tcW w:w="726" w:type="dxa"/>
            <w:vMerge w:val="restart"/>
            <w:tcBorders>
              <w:top w:val="nil"/>
              <w:left w:val="nil"/>
              <w:bottom w:val="single" w:color="000000" w:sz="4" w:space="0"/>
              <w:right w:val="single" w:color="000000" w:sz="4" w:space="0"/>
            </w:tcBorders>
            <w:tcMar>
              <w:top w:w="0" w:type="dxa"/>
              <w:left w:w="0" w:type="dxa"/>
              <w:bottom w:w="0" w:type="dxa"/>
              <w:right w:w="0" w:type="dxa"/>
            </w:tcMar>
          </w:tcPr>
          <w:p w14:paraId="17A66178">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m</w:t>
            </w: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397821F1">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0.75×1.40</w:t>
            </w:r>
          </w:p>
        </w:tc>
        <w:tc>
          <w:tcPr>
            <w:tcW w:w="1013" w:type="dxa"/>
            <w:vMerge w:val="restart"/>
            <w:tcBorders>
              <w:top w:val="nil"/>
              <w:left w:val="nil"/>
              <w:bottom w:val="single" w:color="000000" w:sz="4" w:space="0"/>
              <w:right w:val="single" w:color="000000" w:sz="4" w:space="0"/>
            </w:tcBorders>
            <w:tcMar>
              <w:top w:w="0" w:type="dxa"/>
              <w:left w:w="0" w:type="dxa"/>
              <w:bottom w:w="0" w:type="dxa"/>
              <w:right w:w="0" w:type="dxa"/>
            </w:tcMar>
          </w:tcPr>
          <w:p w14:paraId="03D30324">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飞机首次结构</w:t>
            </w:r>
          </w:p>
        </w:tc>
        <w:tc>
          <w:tcPr>
            <w:tcW w:w="1314" w:type="dxa"/>
            <w:tcBorders>
              <w:top w:val="nil"/>
              <w:left w:val="nil"/>
              <w:bottom w:val="single" w:color="000000" w:sz="4" w:space="0"/>
              <w:right w:val="single" w:color="000000" w:sz="4" w:space="0"/>
            </w:tcBorders>
            <w:tcMar>
              <w:top w:w="0" w:type="dxa"/>
              <w:left w:w="0" w:type="dxa"/>
              <w:bottom w:w="0" w:type="dxa"/>
              <w:right w:w="0" w:type="dxa"/>
            </w:tcMar>
          </w:tcPr>
          <w:p w14:paraId="5FCF8112">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飞行时间</w:t>
            </w:r>
          </w:p>
        </w:tc>
        <w:tc>
          <w:tcPr>
            <w:tcW w:w="726" w:type="dxa"/>
            <w:tcBorders>
              <w:top w:val="nil"/>
              <w:left w:val="nil"/>
              <w:bottom w:val="single" w:color="000000" w:sz="4" w:space="0"/>
              <w:right w:val="single" w:color="000000" w:sz="4" w:space="0"/>
            </w:tcBorders>
            <w:tcMar>
              <w:top w:w="0" w:type="dxa"/>
              <w:left w:w="0" w:type="dxa"/>
              <w:bottom w:w="0" w:type="dxa"/>
              <w:right w:w="0" w:type="dxa"/>
            </w:tcMar>
          </w:tcPr>
          <w:p w14:paraId="270F47E6">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h</w:t>
            </w:r>
          </w:p>
        </w:tc>
        <w:tc>
          <w:tcPr>
            <w:tcW w:w="841" w:type="dxa"/>
            <w:tcBorders>
              <w:top w:val="nil"/>
              <w:left w:val="nil"/>
              <w:bottom w:val="single" w:color="000000" w:sz="4" w:space="0"/>
              <w:right w:val="single" w:color="000000" w:sz="4" w:space="0"/>
            </w:tcBorders>
            <w:tcMar>
              <w:top w:w="0" w:type="dxa"/>
              <w:left w:w="0" w:type="dxa"/>
              <w:bottom w:w="0" w:type="dxa"/>
              <w:right w:w="0" w:type="dxa"/>
            </w:tcMar>
          </w:tcPr>
          <w:p w14:paraId="286C3F14">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9600</w:t>
            </w:r>
          </w:p>
        </w:tc>
      </w:tr>
      <w:tr w14:paraId="4FFEEB9F">
        <w:tblPrEx>
          <w:tblCellMar>
            <w:top w:w="0" w:type="dxa"/>
            <w:left w:w="108" w:type="dxa"/>
            <w:bottom w:w="0" w:type="dxa"/>
            <w:right w:w="108" w:type="dxa"/>
          </w:tblCellMar>
        </w:tblPrEx>
        <w:trPr>
          <w:trHeight w:val="282" w:hRule="atLeast"/>
        </w:trPr>
        <w:tc>
          <w:tcPr>
            <w:tcW w:w="737" w:type="dxa"/>
            <w:vMerge w:val="continue"/>
            <w:tcBorders>
              <w:top w:val="nil"/>
              <w:left w:val="single" w:color="000000" w:sz="4" w:space="0"/>
              <w:bottom w:val="single" w:color="000000" w:sz="4" w:space="0"/>
              <w:right w:val="single" w:color="000000" w:sz="4" w:space="0"/>
            </w:tcBorders>
          </w:tcPr>
          <w:p w14:paraId="2FB6D335">
            <w:pPr>
              <w:rPr>
                <w:rFonts w:ascii="宋体" w:hAnsi="宋体" w:cs="宋体"/>
                <w:color w:val="auto"/>
                <w:highlight w:val="none"/>
              </w:rPr>
            </w:pP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2787992B">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前货舱门</w:t>
            </w:r>
          </w:p>
        </w:tc>
        <w:tc>
          <w:tcPr>
            <w:tcW w:w="726" w:type="dxa"/>
            <w:vMerge w:val="continue"/>
            <w:tcBorders>
              <w:top w:val="nil"/>
              <w:left w:val="nil"/>
              <w:bottom w:val="single" w:color="000000" w:sz="4" w:space="0"/>
              <w:right w:val="single" w:color="000000" w:sz="4" w:space="0"/>
            </w:tcBorders>
          </w:tcPr>
          <w:p w14:paraId="6F226BF4">
            <w:pPr>
              <w:rPr>
                <w:rFonts w:ascii="宋体" w:hAnsi="宋体" w:cs="宋体"/>
                <w:color w:val="auto"/>
                <w:highlight w:val="none"/>
              </w:rPr>
            </w:pP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387D78E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1.19×1.22</w:t>
            </w:r>
          </w:p>
        </w:tc>
        <w:tc>
          <w:tcPr>
            <w:tcW w:w="1013" w:type="dxa"/>
            <w:vMerge w:val="continue"/>
            <w:tcBorders>
              <w:top w:val="nil"/>
              <w:left w:val="nil"/>
              <w:bottom w:val="single" w:color="000000" w:sz="4" w:space="0"/>
              <w:right w:val="single" w:color="000000" w:sz="4" w:space="0"/>
            </w:tcBorders>
          </w:tcPr>
          <w:p w14:paraId="03A2D151">
            <w:pPr>
              <w:rPr>
                <w:rFonts w:ascii="宋体" w:hAnsi="宋体" w:cs="宋体"/>
                <w:color w:val="auto"/>
                <w:highlight w:val="none"/>
              </w:rPr>
            </w:pPr>
          </w:p>
        </w:tc>
        <w:tc>
          <w:tcPr>
            <w:tcW w:w="1314" w:type="dxa"/>
            <w:tcBorders>
              <w:top w:val="nil"/>
              <w:left w:val="nil"/>
              <w:bottom w:val="single" w:color="000000" w:sz="4" w:space="0"/>
              <w:right w:val="single" w:color="000000" w:sz="4" w:space="0"/>
            </w:tcBorders>
            <w:tcMar>
              <w:top w:w="0" w:type="dxa"/>
              <w:left w:w="0" w:type="dxa"/>
              <w:bottom w:w="0" w:type="dxa"/>
              <w:right w:w="0" w:type="dxa"/>
            </w:tcMar>
          </w:tcPr>
          <w:p w14:paraId="5797B38D">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起落次数</w:t>
            </w:r>
          </w:p>
        </w:tc>
        <w:tc>
          <w:tcPr>
            <w:tcW w:w="726" w:type="dxa"/>
            <w:tcBorders>
              <w:top w:val="nil"/>
              <w:left w:val="nil"/>
              <w:bottom w:val="single" w:color="000000" w:sz="4" w:space="0"/>
              <w:right w:val="single" w:color="000000" w:sz="4" w:space="0"/>
            </w:tcBorders>
            <w:tcMar>
              <w:top w:w="0" w:type="dxa"/>
              <w:left w:w="0" w:type="dxa"/>
              <w:bottom w:w="0" w:type="dxa"/>
              <w:right w:w="0" w:type="dxa"/>
            </w:tcMar>
          </w:tcPr>
          <w:p w14:paraId="4867C38D">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次</w:t>
            </w:r>
          </w:p>
        </w:tc>
        <w:tc>
          <w:tcPr>
            <w:tcW w:w="841" w:type="dxa"/>
            <w:tcBorders>
              <w:top w:val="nil"/>
              <w:left w:val="nil"/>
              <w:bottom w:val="single" w:color="000000" w:sz="4" w:space="0"/>
              <w:right w:val="single" w:color="000000" w:sz="4" w:space="0"/>
            </w:tcBorders>
            <w:tcMar>
              <w:top w:w="0" w:type="dxa"/>
              <w:left w:w="0" w:type="dxa"/>
              <w:bottom w:w="0" w:type="dxa"/>
              <w:right w:w="0" w:type="dxa"/>
            </w:tcMar>
          </w:tcPr>
          <w:p w14:paraId="4EBFD4CF">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8000</w:t>
            </w:r>
          </w:p>
        </w:tc>
      </w:tr>
      <w:tr w14:paraId="52AAAD8A">
        <w:tblPrEx>
          <w:tblCellMar>
            <w:top w:w="0" w:type="dxa"/>
            <w:left w:w="108" w:type="dxa"/>
            <w:bottom w:w="0" w:type="dxa"/>
            <w:right w:w="108" w:type="dxa"/>
          </w:tblCellMar>
        </w:tblPrEx>
        <w:trPr>
          <w:trHeight w:val="282" w:hRule="atLeast"/>
        </w:trPr>
        <w:tc>
          <w:tcPr>
            <w:tcW w:w="737" w:type="dxa"/>
            <w:vMerge w:val="continue"/>
            <w:tcBorders>
              <w:top w:val="nil"/>
              <w:left w:val="single" w:color="000000" w:sz="4" w:space="0"/>
              <w:bottom w:val="single" w:color="000000" w:sz="4" w:space="0"/>
              <w:right w:val="single" w:color="000000" w:sz="4" w:space="0"/>
            </w:tcBorders>
          </w:tcPr>
          <w:p w14:paraId="239ED975">
            <w:pPr>
              <w:rPr>
                <w:rFonts w:ascii="宋体" w:hAnsi="宋体" w:cs="宋体"/>
                <w:color w:val="auto"/>
                <w:highlight w:val="none"/>
              </w:rPr>
            </w:pP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3A77BA3E">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后货舱门</w:t>
            </w:r>
          </w:p>
        </w:tc>
        <w:tc>
          <w:tcPr>
            <w:tcW w:w="726" w:type="dxa"/>
            <w:vMerge w:val="continue"/>
            <w:tcBorders>
              <w:top w:val="nil"/>
              <w:left w:val="nil"/>
              <w:bottom w:val="single" w:color="000000" w:sz="4" w:space="0"/>
              <w:right w:val="single" w:color="000000" w:sz="4" w:space="0"/>
            </w:tcBorders>
          </w:tcPr>
          <w:p w14:paraId="274A844E">
            <w:pPr>
              <w:rPr>
                <w:rFonts w:ascii="宋体" w:hAnsi="宋体" w:cs="宋体"/>
                <w:color w:val="auto"/>
                <w:highlight w:val="none"/>
              </w:rPr>
            </w:pP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6251B2F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0.75×1.41</w:t>
            </w:r>
          </w:p>
        </w:tc>
        <w:tc>
          <w:tcPr>
            <w:tcW w:w="3894" w:type="dxa"/>
            <w:gridSpan w:val="4"/>
            <w:tcBorders>
              <w:top w:val="nil"/>
              <w:left w:val="nil"/>
              <w:bottom w:val="single" w:color="000000" w:sz="4" w:space="0"/>
              <w:right w:val="single" w:color="000000" w:sz="4" w:space="0"/>
            </w:tcBorders>
            <w:tcMar>
              <w:top w:w="0" w:type="dxa"/>
              <w:left w:w="0" w:type="dxa"/>
              <w:bottom w:w="0" w:type="dxa"/>
              <w:right w:w="0" w:type="dxa"/>
            </w:tcMar>
          </w:tcPr>
          <w:p w14:paraId="1A1B3D6D">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检查时限</w:t>
            </w:r>
          </w:p>
        </w:tc>
      </w:tr>
      <w:tr w14:paraId="490215D3">
        <w:tblPrEx>
          <w:tblCellMar>
            <w:top w:w="0" w:type="dxa"/>
            <w:left w:w="108" w:type="dxa"/>
            <w:bottom w:w="0" w:type="dxa"/>
            <w:right w:w="108" w:type="dxa"/>
          </w:tblCellMar>
        </w:tblPrEx>
        <w:trPr>
          <w:trHeight w:val="554" w:hRule="atLeast"/>
        </w:trPr>
        <w:tc>
          <w:tcPr>
            <w:tcW w:w="737" w:type="dxa"/>
            <w:vMerge w:val="continue"/>
            <w:tcBorders>
              <w:top w:val="nil"/>
              <w:left w:val="single" w:color="000000" w:sz="4" w:space="0"/>
              <w:bottom w:val="single" w:color="000000" w:sz="4" w:space="0"/>
              <w:right w:val="single" w:color="000000" w:sz="4" w:space="0"/>
            </w:tcBorders>
          </w:tcPr>
          <w:p w14:paraId="276DB8D3">
            <w:pPr>
              <w:rPr>
                <w:rFonts w:ascii="宋体" w:hAnsi="宋体" w:cs="宋体"/>
                <w:color w:val="auto"/>
                <w:highlight w:val="none"/>
              </w:rPr>
            </w:pP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48421448">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客舱应急出口</w:t>
            </w:r>
          </w:p>
        </w:tc>
        <w:tc>
          <w:tcPr>
            <w:tcW w:w="726" w:type="dxa"/>
            <w:vMerge w:val="continue"/>
            <w:tcBorders>
              <w:top w:val="nil"/>
              <w:left w:val="nil"/>
              <w:bottom w:val="single" w:color="000000" w:sz="4" w:space="0"/>
              <w:right w:val="single" w:color="000000" w:sz="4" w:space="0"/>
            </w:tcBorders>
          </w:tcPr>
          <w:p w14:paraId="125B349B">
            <w:pPr>
              <w:rPr>
                <w:rFonts w:ascii="宋体" w:hAnsi="宋体" w:cs="宋体"/>
                <w:color w:val="auto"/>
                <w:highlight w:val="none"/>
              </w:rPr>
            </w:pP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0D363D3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0.51×0.93</w:t>
            </w:r>
          </w:p>
        </w:tc>
        <w:tc>
          <w:tcPr>
            <w:tcW w:w="1013" w:type="dxa"/>
            <w:vMerge w:val="restart"/>
            <w:tcBorders>
              <w:top w:val="nil"/>
              <w:left w:val="nil"/>
              <w:bottom w:val="single" w:color="000000" w:sz="4" w:space="0"/>
              <w:right w:val="single" w:color="000000" w:sz="4" w:space="0"/>
            </w:tcBorders>
            <w:tcMar>
              <w:top w:w="0" w:type="dxa"/>
              <w:left w:w="0" w:type="dxa"/>
              <w:bottom w:w="0" w:type="dxa"/>
              <w:right w:w="0" w:type="dxa"/>
            </w:tcMar>
          </w:tcPr>
          <w:p w14:paraId="3F0BA7E2">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可靠性、维修性和保障性</w:t>
            </w:r>
          </w:p>
        </w:tc>
        <w:tc>
          <w:tcPr>
            <w:tcW w:w="1314"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1FCB2085">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平均故障间隔时间</w:t>
            </w:r>
          </w:p>
        </w:tc>
        <w:tc>
          <w:tcPr>
            <w:tcW w:w="726"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1FF76F18">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h</w:t>
            </w:r>
          </w:p>
        </w:tc>
        <w:tc>
          <w:tcPr>
            <w:tcW w:w="841"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348B424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25</w:t>
            </w:r>
          </w:p>
        </w:tc>
      </w:tr>
      <w:tr w14:paraId="01D934AB">
        <w:tblPrEx>
          <w:tblCellMar>
            <w:top w:w="0" w:type="dxa"/>
            <w:left w:w="108" w:type="dxa"/>
            <w:bottom w:w="0" w:type="dxa"/>
            <w:right w:w="108" w:type="dxa"/>
          </w:tblCellMar>
        </w:tblPrEx>
        <w:trPr>
          <w:trHeight w:val="554" w:hRule="atLeast"/>
        </w:trPr>
        <w:tc>
          <w:tcPr>
            <w:tcW w:w="737" w:type="dxa"/>
            <w:vMerge w:val="continue"/>
            <w:tcBorders>
              <w:top w:val="nil"/>
              <w:left w:val="single" w:color="000000" w:sz="4" w:space="0"/>
              <w:bottom w:val="single" w:color="000000" w:sz="4" w:space="0"/>
              <w:right w:val="single" w:color="000000" w:sz="4" w:space="0"/>
            </w:tcBorders>
          </w:tcPr>
          <w:p w14:paraId="24F77FB0">
            <w:pPr>
              <w:rPr>
                <w:rFonts w:ascii="宋体" w:hAnsi="宋体" w:cs="宋体"/>
                <w:color w:val="auto"/>
                <w:highlight w:val="none"/>
              </w:rPr>
            </w:pP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2FB372FB">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驾驶舱应急出口</w:t>
            </w:r>
          </w:p>
        </w:tc>
        <w:tc>
          <w:tcPr>
            <w:tcW w:w="726" w:type="dxa"/>
            <w:vMerge w:val="continue"/>
            <w:tcBorders>
              <w:top w:val="nil"/>
              <w:left w:val="nil"/>
              <w:bottom w:val="single" w:color="000000" w:sz="4" w:space="0"/>
              <w:right w:val="single" w:color="000000" w:sz="4" w:space="0"/>
            </w:tcBorders>
          </w:tcPr>
          <w:p w14:paraId="5E8B2BE5">
            <w:pPr>
              <w:rPr>
                <w:rFonts w:ascii="宋体" w:hAnsi="宋体" w:cs="宋体"/>
                <w:color w:val="auto"/>
                <w:highlight w:val="none"/>
              </w:rPr>
            </w:pP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2B251BAF">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0.50×0.51</w:t>
            </w:r>
          </w:p>
        </w:tc>
        <w:tc>
          <w:tcPr>
            <w:tcW w:w="1013" w:type="dxa"/>
            <w:vMerge w:val="continue"/>
            <w:tcBorders>
              <w:top w:val="nil"/>
              <w:left w:val="nil"/>
              <w:bottom w:val="single" w:color="000000" w:sz="4" w:space="0"/>
              <w:right w:val="single" w:color="000000" w:sz="4" w:space="0"/>
            </w:tcBorders>
          </w:tcPr>
          <w:p w14:paraId="3219471F">
            <w:pPr>
              <w:rPr>
                <w:rFonts w:ascii="宋体" w:hAnsi="宋体" w:cs="宋体"/>
                <w:color w:val="auto"/>
                <w:highlight w:val="none"/>
              </w:rPr>
            </w:pPr>
          </w:p>
        </w:tc>
        <w:tc>
          <w:tcPr>
            <w:tcW w:w="1314" w:type="dxa"/>
            <w:tcBorders>
              <w:top w:val="nil"/>
              <w:left w:val="nil"/>
              <w:bottom w:val="single" w:color="000000" w:sz="4" w:space="0"/>
              <w:right w:val="single" w:color="000000" w:sz="4" w:space="0"/>
            </w:tcBorders>
            <w:tcMar>
              <w:top w:w="0" w:type="dxa"/>
              <w:left w:w="0" w:type="dxa"/>
              <w:bottom w:w="0" w:type="dxa"/>
              <w:right w:w="0" w:type="dxa"/>
            </w:tcMar>
          </w:tcPr>
          <w:p w14:paraId="33965B3A">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出勤可靠度</w:t>
            </w:r>
          </w:p>
        </w:tc>
        <w:tc>
          <w:tcPr>
            <w:tcW w:w="726" w:type="dxa"/>
            <w:tcBorders>
              <w:top w:val="nil"/>
              <w:left w:val="nil"/>
              <w:bottom w:val="single" w:color="000000" w:sz="4" w:space="0"/>
              <w:right w:val="single" w:color="000000" w:sz="4" w:space="0"/>
            </w:tcBorders>
            <w:tcMar>
              <w:top w:w="0" w:type="dxa"/>
              <w:left w:w="0" w:type="dxa"/>
              <w:bottom w:w="0" w:type="dxa"/>
              <w:right w:w="0" w:type="dxa"/>
            </w:tcMar>
          </w:tcPr>
          <w:p w14:paraId="56EC8E23">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w:t>
            </w:r>
          </w:p>
        </w:tc>
        <w:tc>
          <w:tcPr>
            <w:tcW w:w="841" w:type="dxa"/>
            <w:tcBorders>
              <w:top w:val="nil"/>
              <w:left w:val="nil"/>
              <w:bottom w:val="single" w:color="000000" w:sz="4" w:space="0"/>
              <w:right w:val="single" w:color="000000" w:sz="4" w:space="0"/>
            </w:tcBorders>
            <w:tcMar>
              <w:top w:w="0" w:type="dxa"/>
              <w:left w:w="0" w:type="dxa"/>
              <w:bottom w:w="0" w:type="dxa"/>
              <w:right w:w="0" w:type="dxa"/>
            </w:tcMar>
          </w:tcPr>
          <w:p w14:paraId="0AB8DDC6">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99</w:t>
            </w:r>
          </w:p>
        </w:tc>
      </w:tr>
      <w:tr w14:paraId="46C4DEB3">
        <w:tblPrEx>
          <w:tblCellMar>
            <w:top w:w="0" w:type="dxa"/>
            <w:left w:w="108" w:type="dxa"/>
            <w:bottom w:w="0" w:type="dxa"/>
            <w:right w:w="108" w:type="dxa"/>
          </w:tblCellMar>
        </w:tblPrEx>
        <w:trPr>
          <w:trHeight w:val="554" w:hRule="atLeast"/>
        </w:trPr>
        <w:tc>
          <w:tcPr>
            <w:tcW w:w="737"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tcPr>
          <w:p w14:paraId="69A8C46D">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主要重量数据</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24323C4C">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最大滑行重量</w:t>
            </w:r>
          </w:p>
        </w:tc>
        <w:tc>
          <w:tcPr>
            <w:tcW w:w="726" w:type="dxa"/>
            <w:vMerge w:val="restart"/>
            <w:tcBorders>
              <w:top w:val="nil"/>
              <w:left w:val="nil"/>
              <w:bottom w:val="single" w:color="000000" w:sz="4" w:space="0"/>
              <w:right w:val="single" w:color="000000" w:sz="4" w:space="0"/>
            </w:tcBorders>
            <w:tcMar>
              <w:top w:w="0" w:type="dxa"/>
              <w:left w:w="0" w:type="dxa"/>
              <w:bottom w:w="0" w:type="dxa"/>
              <w:right w:w="0" w:type="dxa"/>
            </w:tcMar>
          </w:tcPr>
          <w:p w14:paraId="59FD7F0B">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kg</w:t>
            </w: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1E08D9EF">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21900</w:t>
            </w:r>
          </w:p>
        </w:tc>
        <w:tc>
          <w:tcPr>
            <w:tcW w:w="1013" w:type="dxa"/>
            <w:vMerge w:val="continue"/>
            <w:tcBorders>
              <w:top w:val="nil"/>
              <w:left w:val="nil"/>
              <w:bottom w:val="single" w:color="000000" w:sz="4" w:space="0"/>
              <w:right w:val="single" w:color="000000" w:sz="4" w:space="0"/>
            </w:tcBorders>
          </w:tcPr>
          <w:p w14:paraId="13EF6AC8">
            <w:pPr>
              <w:rPr>
                <w:rFonts w:ascii="宋体" w:hAnsi="宋体" w:cs="宋体"/>
                <w:color w:val="auto"/>
                <w:highlight w:val="none"/>
              </w:rPr>
            </w:pPr>
          </w:p>
        </w:tc>
        <w:tc>
          <w:tcPr>
            <w:tcW w:w="1314" w:type="dxa"/>
            <w:tcBorders>
              <w:top w:val="nil"/>
              <w:left w:val="nil"/>
              <w:bottom w:val="single" w:color="000000" w:sz="4" w:space="0"/>
              <w:right w:val="single" w:color="000000" w:sz="4" w:space="0"/>
            </w:tcBorders>
            <w:tcMar>
              <w:top w:w="0" w:type="dxa"/>
              <w:left w:w="0" w:type="dxa"/>
              <w:bottom w:w="0" w:type="dxa"/>
              <w:right w:w="0" w:type="dxa"/>
            </w:tcMar>
          </w:tcPr>
          <w:p w14:paraId="516A65DC">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平均修复时间</w:t>
            </w:r>
          </w:p>
        </w:tc>
        <w:tc>
          <w:tcPr>
            <w:tcW w:w="726" w:type="dxa"/>
            <w:tcBorders>
              <w:top w:val="nil"/>
              <w:left w:val="nil"/>
              <w:bottom w:val="single" w:color="000000" w:sz="4" w:space="0"/>
              <w:right w:val="single" w:color="000000" w:sz="4" w:space="0"/>
            </w:tcBorders>
            <w:tcMar>
              <w:top w:w="0" w:type="dxa"/>
              <w:left w:w="0" w:type="dxa"/>
              <w:bottom w:w="0" w:type="dxa"/>
              <w:right w:w="0" w:type="dxa"/>
            </w:tcMar>
          </w:tcPr>
          <w:p w14:paraId="3FB00946">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h</w:t>
            </w:r>
          </w:p>
        </w:tc>
        <w:tc>
          <w:tcPr>
            <w:tcW w:w="841" w:type="dxa"/>
            <w:tcBorders>
              <w:top w:val="nil"/>
              <w:left w:val="nil"/>
              <w:bottom w:val="single" w:color="000000" w:sz="4" w:space="0"/>
              <w:right w:val="single" w:color="000000" w:sz="4" w:space="0"/>
            </w:tcBorders>
            <w:tcMar>
              <w:top w:w="0" w:type="dxa"/>
              <w:left w:w="0" w:type="dxa"/>
              <w:bottom w:w="0" w:type="dxa"/>
              <w:right w:w="0" w:type="dxa"/>
            </w:tcMar>
          </w:tcPr>
          <w:p w14:paraId="2D23FDFD">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w:t>
            </w:r>
          </w:p>
        </w:tc>
      </w:tr>
      <w:tr w14:paraId="2C30D41F">
        <w:tblPrEx>
          <w:tblCellMar>
            <w:top w:w="0" w:type="dxa"/>
            <w:left w:w="108" w:type="dxa"/>
            <w:bottom w:w="0" w:type="dxa"/>
            <w:right w:w="108" w:type="dxa"/>
          </w:tblCellMar>
        </w:tblPrEx>
        <w:trPr>
          <w:trHeight w:val="827" w:hRule="atLeast"/>
        </w:trPr>
        <w:tc>
          <w:tcPr>
            <w:tcW w:w="737" w:type="dxa"/>
            <w:vMerge w:val="continue"/>
            <w:tcBorders>
              <w:top w:val="nil"/>
              <w:left w:val="single" w:color="000000" w:sz="4" w:space="0"/>
              <w:bottom w:val="single" w:color="000000" w:sz="4" w:space="0"/>
              <w:right w:val="single" w:color="000000" w:sz="4" w:space="0"/>
            </w:tcBorders>
          </w:tcPr>
          <w:p w14:paraId="4EA16F63">
            <w:pPr>
              <w:rPr>
                <w:rFonts w:ascii="宋体" w:hAnsi="宋体" w:cs="宋体"/>
                <w:color w:val="auto"/>
                <w:highlight w:val="none"/>
              </w:rPr>
            </w:pP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688466C0">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最大起飞重量</w:t>
            </w:r>
          </w:p>
        </w:tc>
        <w:tc>
          <w:tcPr>
            <w:tcW w:w="726" w:type="dxa"/>
            <w:vMerge w:val="continue"/>
            <w:tcBorders>
              <w:top w:val="nil"/>
              <w:left w:val="nil"/>
              <w:bottom w:val="single" w:color="000000" w:sz="4" w:space="0"/>
              <w:right w:val="single" w:color="000000" w:sz="4" w:space="0"/>
            </w:tcBorders>
          </w:tcPr>
          <w:p w14:paraId="6378535D">
            <w:pPr>
              <w:rPr>
                <w:rFonts w:ascii="宋体" w:hAnsi="宋体" w:cs="宋体"/>
                <w:color w:val="auto"/>
                <w:highlight w:val="none"/>
              </w:rPr>
            </w:pP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64D50DE2">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21800</w:t>
            </w:r>
          </w:p>
        </w:tc>
        <w:tc>
          <w:tcPr>
            <w:tcW w:w="1013" w:type="dxa"/>
            <w:vMerge w:val="continue"/>
            <w:tcBorders>
              <w:top w:val="nil"/>
              <w:left w:val="nil"/>
              <w:bottom w:val="single" w:color="000000" w:sz="4" w:space="0"/>
              <w:right w:val="single" w:color="000000" w:sz="4" w:space="0"/>
            </w:tcBorders>
          </w:tcPr>
          <w:p w14:paraId="5C8E9AF2">
            <w:pPr>
              <w:rPr>
                <w:rFonts w:ascii="宋体" w:hAnsi="宋体" w:cs="宋体"/>
                <w:color w:val="auto"/>
                <w:highlight w:val="none"/>
              </w:rPr>
            </w:pPr>
          </w:p>
        </w:tc>
        <w:tc>
          <w:tcPr>
            <w:tcW w:w="1314" w:type="dxa"/>
            <w:tcBorders>
              <w:top w:val="nil"/>
              <w:left w:val="nil"/>
              <w:bottom w:val="single" w:color="000000" w:sz="4" w:space="0"/>
              <w:right w:val="single" w:color="000000" w:sz="4" w:space="0"/>
            </w:tcBorders>
            <w:tcMar>
              <w:top w:w="0" w:type="dxa"/>
              <w:left w:w="0" w:type="dxa"/>
              <w:bottom w:w="0" w:type="dxa"/>
              <w:right w:w="0" w:type="dxa"/>
            </w:tcMar>
          </w:tcPr>
          <w:p w14:paraId="58D86054">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每飞行小时直接维修工时</w:t>
            </w:r>
          </w:p>
        </w:tc>
        <w:tc>
          <w:tcPr>
            <w:tcW w:w="726" w:type="dxa"/>
            <w:tcBorders>
              <w:top w:val="nil"/>
              <w:left w:val="nil"/>
              <w:bottom w:val="single" w:color="000000" w:sz="4" w:space="0"/>
              <w:right w:val="single" w:color="000000" w:sz="4" w:space="0"/>
            </w:tcBorders>
            <w:tcMar>
              <w:top w:w="0" w:type="dxa"/>
              <w:left w:w="0" w:type="dxa"/>
              <w:bottom w:w="0" w:type="dxa"/>
              <w:right w:w="0" w:type="dxa"/>
            </w:tcMar>
          </w:tcPr>
          <w:p w14:paraId="2236FF0F">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人时</w:t>
            </w:r>
          </w:p>
        </w:tc>
        <w:tc>
          <w:tcPr>
            <w:tcW w:w="841" w:type="dxa"/>
            <w:tcBorders>
              <w:top w:val="nil"/>
              <w:left w:val="nil"/>
              <w:bottom w:val="single" w:color="000000" w:sz="4" w:space="0"/>
              <w:right w:val="single" w:color="000000" w:sz="4" w:space="0"/>
            </w:tcBorders>
            <w:tcMar>
              <w:top w:w="0" w:type="dxa"/>
              <w:left w:w="0" w:type="dxa"/>
              <w:bottom w:w="0" w:type="dxa"/>
              <w:right w:w="0" w:type="dxa"/>
            </w:tcMar>
          </w:tcPr>
          <w:p w14:paraId="4B218B4B">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3</w:t>
            </w:r>
          </w:p>
        </w:tc>
      </w:tr>
      <w:tr w14:paraId="19FA46CD">
        <w:tblPrEx>
          <w:tblCellMar>
            <w:top w:w="0" w:type="dxa"/>
            <w:left w:w="108" w:type="dxa"/>
            <w:bottom w:w="0" w:type="dxa"/>
            <w:right w:w="108" w:type="dxa"/>
          </w:tblCellMar>
        </w:tblPrEx>
        <w:trPr>
          <w:trHeight w:val="554" w:hRule="atLeast"/>
        </w:trPr>
        <w:tc>
          <w:tcPr>
            <w:tcW w:w="737" w:type="dxa"/>
            <w:vMerge w:val="continue"/>
            <w:tcBorders>
              <w:top w:val="nil"/>
              <w:left w:val="single" w:color="000000" w:sz="4" w:space="0"/>
              <w:bottom w:val="single" w:color="000000" w:sz="4" w:space="0"/>
              <w:right w:val="single" w:color="000000" w:sz="4" w:space="0"/>
            </w:tcBorders>
          </w:tcPr>
          <w:p w14:paraId="7B111161">
            <w:pPr>
              <w:rPr>
                <w:rFonts w:ascii="宋体" w:hAnsi="宋体" w:cs="宋体"/>
                <w:color w:val="auto"/>
                <w:highlight w:val="none"/>
              </w:rPr>
            </w:pP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7C1B5A36">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最大着陆重量</w:t>
            </w:r>
          </w:p>
        </w:tc>
        <w:tc>
          <w:tcPr>
            <w:tcW w:w="726" w:type="dxa"/>
            <w:vMerge w:val="continue"/>
            <w:tcBorders>
              <w:top w:val="nil"/>
              <w:left w:val="nil"/>
              <w:bottom w:val="single" w:color="000000" w:sz="4" w:space="0"/>
              <w:right w:val="single" w:color="000000" w:sz="4" w:space="0"/>
            </w:tcBorders>
          </w:tcPr>
          <w:p w14:paraId="23836272">
            <w:pPr>
              <w:rPr>
                <w:rFonts w:ascii="宋体" w:hAnsi="宋体" w:cs="宋体"/>
                <w:color w:val="auto"/>
                <w:highlight w:val="none"/>
              </w:rPr>
            </w:pP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0DE6926C">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21600</w:t>
            </w:r>
          </w:p>
        </w:tc>
        <w:tc>
          <w:tcPr>
            <w:tcW w:w="1013" w:type="dxa"/>
            <w:vMerge w:val="continue"/>
            <w:tcBorders>
              <w:top w:val="nil"/>
              <w:left w:val="nil"/>
              <w:bottom w:val="single" w:color="000000" w:sz="4" w:space="0"/>
              <w:right w:val="single" w:color="000000" w:sz="4" w:space="0"/>
            </w:tcBorders>
          </w:tcPr>
          <w:p w14:paraId="6FCE87A2">
            <w:pPr>
              <w:rPr>
                <w:rFonts w:ascii="宋体" w:hAnsi="宋体" w:cs="宋体"/>
                <w:color w:val="auto"/>
                <w:highlight w:val="none"/>
              </w:rPr>
            </w:pPr>
          </w:p>
        </w:tc>
        <w:tc>
          <w:tcPr>
            <w:tcW w:w="1314" w:type="dxa"/>
            <w:vMerge w:val="restart"/>
            <w:tcBorders>
              <w:top w:val="nil"/>
              <w:left w:val="nil"/>
              <w:bottom w:val="single" w:color="000000" w:sz="4" w:space="0"/>
              <w:right w:val="single" w:color="000000" w:sz="4" w:space="0"/>
            </w:tcBorders>
            <w:tcMar>
              <w:top w:w="0" w:type="dxa"/>
              <w:left w:w="0" w:type="dxa"/>
              <w:bottom w:w="0" w:type="dxa"/>
              <w:right w:w="0" w:type="dxa"/>
            </w:tcMar>
          </w:tcPr>
          <w:p w14:paraId="26FC3402">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更换发动机时间</w:t>
            </w:r>
          </w:p>
        </w:tc>
        <w:tc>
          <w:tcPr>
            <w:tcW w:w="726" w:type="dxa"/>
            <w:vMerge w:val="restart"/>
            <w:tcBorders>
              <w:top w:val="nil"/>
              <w:left w:val="nil"/>
              <w:bottom w:val="single" w:color="000000" w:sz="4" w:space="0"/>
              <w:right w:val="single" w:color="000000" w:sz="4" w:space="0"/>
            </w:tcBorders>
            <w:tcMar>
              <w:top w:w="0" w:type="dxa"/>
              <w:left w:w="0" w:type="dxa"/>
              <w:bottom w:w="0" w:type="dxa"/>
              <w:right w:w="0" w:type="dxa"/>
            </w:tcMar>
          </w:tcPr>
          <w:p w14:paraId="737D78D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h</w:t>
            </w:r>
          </w:p>
        </w:tc>
        <w:tc>
          <w:tcPr>
            <w:tcW w:w="841" w:type="dxa"/>
            <w:vMerge w:val="restart"/>
            <w:tcBorders>
              <w:top w:val="nil"/>
              <w:left w:val="nil"/>
              <w:bottom w:val="single" w:color="000000" w:sz="4" w:space="0"/>
              <w:right w:val="single" w:color="000000" w:sz="4" w:space="0"/>
            </w:tcBorders>
            <w:tcMar>
              <w:top w:w="0" w:type="dxa"/>
              <w:left w:w="0" w:type="dxa"/>
              <w:bottom w:w="0" w:type="dxa"/>
              <w:right w:w="0" w:type="dxa"/>
            </w:tcMar>
          </w:tcPr>
          <w:p w14:paraId="3ACCDDEE">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8</w:t>
            </w:r>
          </w:p>
        </w:tc>
      </w:tr>
      <w:tr w14:paraId="7FBF1BFB">
        <w:tblPrEx>
          <w:tblCellMar>
            <w:top w:w="0" w:type="dxa"/>
            <w:left w:w="108" w:type="dxa"/>
            <w:bottom w:w="0" w:type="dxa"/>
            <w:right w:w="108" w:type="dxa"/>
          </w:tblCellMar>
        </w:tblPrEx>
        <w:trPr>
          <w:trHeight w:val="554" w:hRule="atLeast"/>
        </w:trPr>
        <w:tc>
          <w:tcPr>
            <w:tcW w:w="737" w:type="dxa"/>
            <w:vMerge w:val="continue"/>
            <w:tcBorders>
              <w:top w:val="nil"/>
              <w:left w:val="single" w:color="000000" w:sz="4" w:space="0"/>
              <w:bottom w:val="single" w:color="000000" w:sz="4" w:space="0"/>
              <w:right w:val="single" w:color="000000" w:sz="4" w:space="0"/>
            </w:tcBorders>
          </w:tcPr>
          <w:p w14:paraId="32C4BA94">
            <w:pPr>
              <w:rPr>
                <w:rFonts w:ascii="宋体" w:hAnsi="宋体" w:cs="宋体"/>
                <w:color w:val="auto"/>
                <w:highlight w:val="none"/>
              </w:rPr>
            </w:pP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393B911E">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最大商载重量</w:t>
            </w:r>
          </w:p>
        </w:tc>
        <w:tc>
          <w:tcPr>
            <w:tcW w:w="726" w:type="dxa"/>
            <w:vMerge w:val="continue"/>
            <w:tcBorders>
              <w:top w:val="nil"/>
              <w:left w:val="nil"/>
              <w:bottom w:val="single" w:color="000000" w:sz="4" w:space="0"/>
              <w:right w:val="single" w:color="000000" w:sz="4" w:space="0"/>
            </w:tcBorders>
          </w:tcPr>
          <w:p w14:paraId="46E4BE92">
            <w:pPr>
              <w:rPr>
                <w:rFonts w:ascii="宋体" w:hAnsi="宋体" w:cs="宋体"/>
                <w:color w:val="auto"/>
                <w:highlight w:val="none"/>
              </w:rPr>
            </w:pP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2426793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4070</w:t>
            </w:r>
          </w:p>
        </w:tc>
        <w:tc>
          <w:tcPr>
            <w:tcW w:w="1013" w:type="dxa"/>
            <w:vMerge w:val="continue"/>
            <w:tcBorders>
              <w:top w:val="nil"/>
              <w:left w:val="nil"/>
              <w:bottom w:val="single" w:color="000000" w:sz="4" w:space="0"/>
              <w:right w:val="single" w:color="000000" w:sz="4" w:space="0"/>
            </w:tcBorders>
          </w:tcPr>
          <w:p w14:paraId="46C8AC1D">
            <w:pPr>
              <w:rPr>
                <w:rFonts w:ascii="宋体" w:hAnsi="宋体" w:cs="宋体"/>
                <w:color w:val="auto"/>
                <w:highlight w:val="none"/>
              </w:rPr>
            </w:pPr>
          </w:p>
        </w:tc>
        <w:tc>
          <w:tcPr>
            <w:tcW w:w="1314" w:type="dxa"/>
            <w:vMerge w:val="continue"/>
            <w:tcBorders>
              <w:top w:val="nil"/>
              <w:left w:val="nil"/>
              <w:bottom w:val="single" w:color="000000" w:sz="4" w:space="0"/>
              <w:right w:val="single" w:color="000000" w:sz="4" w:space="0"/>
            </w:tcBorders>
          </w:tcPr>
          <w:p w14:paraId="6C85D2C8">
            <w:pPr>
              <w:rPr>
                <w:rFonts w:ascii="宋体" w:hAnsi="宋体" w:cs="宋体"/>
                <w:color w:val="auto"/>
                <w:highlight w:val="none"/>
              </w:rPr>
            </w:pPr>
          </w:p>
        </w:tc>
        <w:tc>
          <w:tcPr>
            <w:tcW w:w="726" w:type="dxa"/>
            <w:vMerge w:val="continue"/>
            <w:tcBorders>
              <w:top w:val="nil"/>
              <w:left w:val="nil"/>
              <w:bottom w:val="single" w:color="000000" w:sz="4" w:space="0"/>
              <w:right w:val="single" w:color="000000" w:sz="4" w:space="0"/>
            </w:tcBorders>
          </w:tcPr>
          <w:p w14:paraId="381EA647">
            <w:pPr>
              <w:rPr>
                <w:rFonts w:ascii="宋体" w:hAnsi="宋体" w:cs="宋体"/>
                <w:color w:val="auto"/>
                <w:highlight w:val="none"/>
              </w:rPr>
            </w:pPr>
          </w:p>
        </w:tc>
        <w:tc>
          <w:tcPr>
            <w:tcW w:w="841" w:type="dxa"/>
            <w:vMerge w:val="continue"/>
            <w:tcBorders>
              <w:top w:val="nil"/>
              <w:left w:val="nil"/>
              <w:bottom w:val="single" w:color="000000" w:sz="4" w:space="0"/>
              <w:right w:val="single" w:color="000000" w:sz="4" w:space="0"/>
            </w:tcBorders>
          </w:tcPr>
          <w:p w14:paraId="48C57A60">
            <w:pPr>
              <w:rPr>
                <w:rFonts w:ascii="宋体" w:hAnsi="宋体" w:cs="宋体"/>
                <w:color w:val="auto"/>
                <w:highlight w:val="none"/>
              </w:rPr>
            </w:pPr>
          </w:p>
        </w:tc>
      </w:tr>
      <w:tr w14:paraId="20122E01">
        <w:tblPrEx>
          <w:tblCellMar>
            <w:top w:w="0" w:type="dxa"/>
            <w:left w:w="108" w:type="dxa"/>
            <w:bottom w:w="0" w:type="dxa"/>
            <w:right w:w="108" w:type="dxa"/>
          </w:tblCellMar>
        </w:tblPrEx>
        <w:trPr>
          <w:trHeight w:val="554" w:hRule="atLeast"/>
        </w:trPr>
        <w:tc>
          <w:tcPr>
            <w:tcW w:w="737" w:type="dxa"/>
            <w:vMerge w:val="continue"/>
            <w:tcBorders>
              <w:top w:val="nil"/>
              <w:left w:val="single" w:color="000000" w:sz="4" w:space="0"/>
              <w:bottom w:val="single" w:color="000000" w:sz="4" w:space="0"/>
              <w:right w:val="single" w:color="000000" w:sz="4" w:space="0"/>
            </w:tcBorders>
          </w:tcPr>
          <w:p w14:paraId="35E3EB57">
            <w:pPr>
              <w:rPr>
                <w:rFonts w:ascii="宋体" w:hAnsi="宋体" w:cs="宋体"/>
                <w:color w:val="auto"/>
                <w:highlight w:val="none"/>
              </w:rPr>
            </w:pP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29EFB5C3">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最大燃油重量</w:t>
            </w:r>
          </w:p>
        </w:tc>
        <w:tc>
          <w:tcPr>
            <w:tcW w:w="726" w:type="dxa"/>
            <w:vMerge w:val="continue"/>
            <w:tcBorders>
              <w:top w:val="nil"/>
              <w:left w:val="nil"/>
              <w:bottom w:val="single" w:color="000000" w:sz="4" w:space="0"/>
              <w:right w:val="single" w:color="000000" w:sz="4" w:space="0"/>
            </w:tcBorders>
          </w:tcPr>
          <w:p w14:paraId="148F8FD8">
            <w:pPr>
              <w:rPr>
                <w:rFonts w:ascii="宋体" w:hAnsi="宋体" w:cs="宋体"/>
                <w:color w:val="auto"/>
                <w:highlight w:val="none"/>
              </w:rPr>
            </w:pP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6DF60EC5">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4030</w:t>
            </w:r>
          </w:p>
        </w:tc>
        <w:tc>
          <w:tcPr>
            <w:tcW w:w="2327" w:type="dxa"/>
            <w:gridSpan w:val="2"/>
            <w:vMerge w:val="restart"/>
            <w:tcBorders>
              <w:top w:val="nil"/>
              <w:left w:val="nil"/>
              <w:bottom w:val="single" w:color="000000" w:sz="4" w:space="0"/>
              <w:right w:val="single" w:color="000000" w:sz="4" w:space="0"/>
            </w:tcBorders>
            <w:tcMar>
              <w:top w:w="0" w:type="dxa"/>
              <w:left w:w="0" w:type="dxa"/>
              <w:bottom w:w="0" w:type="dxa"/>
              <w:right w:w="0" w:type="dxa"/>
            </w:tcMar>
          </w:tcPr>
          <w:p w14:paraId="6C68503D">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平均小时耗油量</w:t>
            </w:r>
          </w:p>
        </w:tc>
        <w:tc>
          <w:tcPr>
            <w:tcW w:w="726" w:type="dxa"/>
            <w:vMerge w:val="restart"/>
            <w:tcBorders>
              <w:top w:val="nil"/>
              <w:left w:val="nil"/>
              <w:bottom w:val="single" w:color="000000" w:sz="4" w:space="0"/>
              <w:right w:val="single" w:color="000000" w:sz="4" w:space="0"/>
            </w:tcBorders>
            <w:tcMar>
              <w:top w:w="0" w:type="dxa"/>
              <w:left w:w="0" w:type="dxa"/>
              <w:bottom w:w="0" w:type="dxa"/>
              <w:right w:w="0" w:type="dxa"/>
            </w:tcMar>
          </w:tcPr>
          <w:p w14:paraId="38186940">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kg</w:t>
            </w:r>
          </w:p>
        </w:tc>
        <w:tc>
          <w:tcPr>
            <w:tcW w:w="841" w:type="dxa"/>
            <w:vMerge w:val="restart"/>
            <w:tcBorders>
              <w:top w:val="nil"/>
              <w:left w:val="nil"/>
              <w:bottom w:val="single" w:color="000000" w:sz="4" w:space="0"/>
              <w:right w:val="single" w:color="000000" w:sz="4" w:space="0"/>
            </w:tcBorders>
            <w:tcMar>
              <w:top w:w="0" w:type="dxa"/>
              <w:left w:w="0" w:type="dxa"/>
              <w:bottom w:w="0" w:type="dxa"/>
              <w:right w:w="0" w:type="dxa"/>
            </w:tcMar>
          </w:tcPr>
          <w:p w14:paraId="4725DBBE">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540</w:t>
            </w:r>
          </w:p>
        </w:tc>
      </w:tr>
      <w:tr w14:paraId="26B8A65B">
        <w:tblPrEx>
          <w:tblCellMar>
            <w:top w:w="0" w:type="dxa"/>
            <w:left w:w="108" w:type="dxa"/>
            <w:bottom w:w="0" w:type="dxa"/>
            <w:right w:w="108" w:type="dxa"/>
          </w:tblCellMar>
        </w:tblPrEx>
        <w:trPr>
          <w:trHeight w:val="564" w:hRule="atLeast"/>
        </w:trPr>
        <w:tc>
          <w:tcPr>
            <w:tcW w:w="737" w:type="dxa"/>
            <w:vMerge w:val="continue"/>
            <w:tcBorders>
              <w:top w:val="nil"/>
              <w:left w:val="single" w:color="000000" w:sz="4" w:space="0"/>
              <w:bottom w:val="single" w:color="000000" w:sz="4" w:space="0"/>
              <w:right w:val="single" w:color="000000" w:sz="4" w:space="0"/>
            </w:tcBorders>
          </w:tcPr>
          <w:p w14:paraId="11317E0B">
            <w:pPr>
              <w:rPr>
                <w:rFonts w:ascii="宋体" w:hAnsi="宋体" w:cs="宋体"/>
                <w:color w:val="auto"/>
                <w:highlight w:val="none"/>
              </w:rPr>
            </w:pP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2E3ACEAC">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使用空机重量</w:t>
            </w:r>
          </w:p>
        </w:tc>
        <w:tc>
          <w:tcPr>
            <w:tcW w:w="726" w:type="dxa"/>
            <w:vMerge w:val="continue"/>
            <w:tcBorders>
              <w:top w:val="nil"/>
              <w:left w:val="nil"/>
              <w:bottom w:val="single" w:color="000000" w:sz="4" w:space="0"/>
              <w:right w:val="single" w:color="000000" w:sz="4" w:space="0"/>
            </w:tcBorders>
          </w:tcPr>
          <w:p w14:paraId="47CB002D">
            <w:pPr>
              <w:rPr>
                <w:rFonts w:ascii="宋体" w:hAnsi="宋体" w:cs="宋体"/>
                <w:color w:val="auto"/>
                <w:highlight w:val="none"/>
              </w:rPr>
            </w:pPr>
          </w:p>
        </w:tc>
        <w:tc>
          <w:tcPr>
            <w:tcW w:w="1621" w:type="dxa"/>
            <w:tcBorders>
              <w:top w:val="nil"/>
              <w:left w:val="nil"/>
              <w:bottom w:val="single" w:color="000000" w:sz="4" w:space="0"/>
              <w:right w:val="single" w:color="000000" w:sz="4" w:space="0"/>
            </w:tcBorders>
            <w:tcMar>
              <w:top w:w="0" w:type="dxa"/>
              <w:left w:w="0" w:type="dxa"/>
              <w:bottom w:w="0" w:type="dxa"/>
              <w:right w:w="0" w:type="dxa"/>
            </w:tcMar>
          </w:tcPr>
          <w:p w14:paraId="18C8E7DF">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15420</w:t>
            </w:r>
          </w:p>
        </w:tc>
        <w:tc>
          <w:tcPr>
            <w:tcW w:w="2327" w:type="dxa"/>
            <w:gridSpan w:val="2"/>
            <w:vMerge w:val="continue"/>
            <w:tcBorders>
              <w:top w:val="nil"/>
              <w:left w:val="nil"/>
              <w:bottom w:val="single" w:color="000000" w:sz="4" w:space="0"/>
              <w:right w:val="single" w:color="000000" w:sz="4" w:space="0"/>
            </w:tcBorders>
          </w:tcPr>
          <w:p w14:paraId="2154EE70">
            <w:pPr>
              <w:rPr>
                <w:rFonts w:ascii="宋体" w:hAnsi="宋体" w:cs="宋体"/>
                <w:color w:val="auto"/>
                <w:highlight w:val="none"/>
              </w:rPr>
            </w:pPr>
          </w:p>
        </w:tc>
        <w:tc>
          <w:tcPr>
            <w:tcW w:w="726" w:type="dxa"/>
            <w:vMerge w:val="continue"/>
            <w:tcBorders>
              <w:top w:val="nil"/>
              <w:left w:val="nil"/>
              <w:bottom w:val="single" w:color="000000" w:sz="4" w:space="0"/>
              <w:right w:val="single" w:color="000000" w:sz="4" w:space="0"/>
            </w:tcBorders>
          </w:tcPr>
          <w:p w14:paraId="74A7124E">
            <w:pPr>
              <w:rPr>
                <w:rFonts w:ascii="宋体" w:hAnsi="宋体" w:cs="宋体"/>
                <w:color w:val="auto"/>
                <w:highlight w:val="none"/>
              </w:rPr>
            </w:pPr>
          </w:p>
        </w:tc>
        <w:tc>
          <w:tcPr>
            <w:tcW w:w="841" w:type="dxa"/>
            <w:vMerge w:val="continue"/>
            <w:tcBorders>
              <w:top w:val="nil"/>
              <w:left w:val="nil"/>
              <w:bottom w:val="single" w:color="000000" w:sz="4" w:space="0"/>
              <w:right w:val="single" w:color="000000" w:sz="4" w:space="0"/>
            </w:tcBorders>
          </w:tcPr>
          <w:p w14:paraId="058C5794">
            <w:pPr>
              <w:rPr>
                <w:rFonts w:ascii="宋体" w:hAnsi="宋体" w:cs="宋体"/>
                <w:color w:val="auto"/>
                <w:highlight w:val="none"/>
              </w:rPr>
            </w:pPr>
          </w:p>
        </w:tc>
      </w:tr>
    </w:tbl>
    <w:p w14:paraId="27698733">
      <w:pPr>
        <w:pStyle w:val="175"/>
        <w:spacing w:line="360" w:lineRule="auto"/>
        <w:ind w:firstLine="420"/>
        <w:rPr>
          <w:rFonts w:hint="default" w:ascii="宋体" w:hAnsi="宋体" w:eastAsia="宋体" w:cs="宋体"/>
          <w:color w:val="auto"/>
          <w:highlight w:val="none"/>
        </w:rPr>
      </w:pPr>
      <w:r>
        <w:rPr>
          <w:rFonts w:ascii="宋体" w:hAnsi="宋体" w:eastAsia="宋体" w:cs="宋体"/>
          <w:color w:val="auto"/>
          <w:sz w:val="21"/>
          <w:highlight w:val="none"/>
        </w:rPr>
        <w:t>（二）飞机改装</w:t>
      </w:r>
    </w:p>
    <w:p w14:paraId="20087664">
      <w:pPr>
        <w:pStyle w:val="175"/>
        <w:spacing w:line="360" w:lineRule="auto"/>
        <w:ind w:firstLine="420"/>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在新舟60飞机（加装综合航电系统）标准状态的基础上改进研制高性能作业飞机，用于执行人影作业。飞机重点改装内容包括：加装机载大气探测子系统、机载催化作业子系统、空地通信子系统、任务电源子系统和任务集成系统。为适应人影作业任务，对飞机内外部布局、飞机结构、机械系统、音频系统、电气系统、电源系统和电磁兼容性等进行适应性改进和加强。</w:t>
      </w:r>
    </w:p>
    <w:p w14:paraId="6159D928">
      <w:pPr>
        <w:pStyle w:val="175"/>
        <w:jc w:val="both"/>
        <w:rPr>
          <w:rFonts w:hint="default" w:eastAsia="仿宋_GB2312"/>
          <w:color w:val="auto"/>
          <w:highlight w:val="none"/>
          <w:lang w:eastAsia="zh-CN"/>
        </w:rPr>
      </w:pPr>
      <w:r>
        <w:rPr>
          <w:rFonts w:ascii="仿宋_GB2312" w:hAnsi="仿宋_GB2312" w:eastAsia="仿宋_GB2312" w:cs="仿宋_GB2312"/>
          <w:b/>
          <w:color w:val="auto"/>
          <w:sz w:val="21"/>
          <w:highlight w:val="none"/>
          <w:lang w:eastAsia="zh-CN"/>
        </w:rPr>
        <w:t>表2 高性能作业飞机主要加装设备表：</w:t>
      </w:r>
    </w:p>
    <w:tbl>
      <w:tblPr>
        <w:tblStyle w:val="51"/>
        <w:tblW w:w="0" w:type="auto"/>
        <w:tblInd w:w="120" w:type="dxa"/>
        <w:tblLayout w:type="autofit"/>
        <w:tblCellMar>
          <w:top w:w="0" w:type="dxa"/>
          <w:left w:w="108" w:type="dxa"/>
          <w:bottom w:w="0" w:type="dxa"/>
          <w:right w:w="108" w:type="dxa"/>
        </w:tblCellMar>
      </w:tblPr>
      <w:tblGrid>
        <w:gridCol w:w="789"/>
        <w:gridCol w:w="1278"/>
        <w:gridCol w:w="809"/>
        <w:gridCol w:w="36"/>
        <w:gridCol w:w="2254"/>
        <w:gridCol w:w="1091"/>
        <w:gridCol w:w="2580"/>
      </w:tblGrid>
      <w:tr w14:paraId="7395758C">
        <w:tblPrEx>
          <w:tblCellMar>
            <w:top w:w="0" w:type="dxa"/>
            <w:left w:w="108" w:type="dxa"/>
            <w:bottom w:w="0" w:type="dxa"/>
            <w:right w:w="108" w:type="dxa"/>
          </w:tblCellMar>
        </w:tblPrEx>
        <w:tc>
          <w:tcPr>
            <w:tcW w:w="78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4CF18EBC">
            <w:pPr>
              <w:pStyle w:val="175"/>
              <w:rPr>
                <w:rFonts w:hint="default" w:ascii="宋体" w:hAnsi="宋体" w:eastAsia="宋体" w:cs="宋体"/>
                <w:color w:val="auto"/>
                <w:highlight w:val="none"/>
              </w:rPr>
            </w:pPr>
            <w:r>
              <w:rPr>
                <w:rFonts w:ascii="宋体" w:hAnsi="宋体" w:eastAsia="宋体" w:cs="宋体"/>
                <w:color w:val="auto"/>
                <w:sz w:val="21"/>
                <w:highlight w:val="none"/>
              </w:rPr>
              <w:t>序号</w:t>
            </w:r>
          </w:p>
        </w:tc>
        <w:tc>
          <w:tcPr>
            <w:tcW w:w="1278"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12BA6E16">
            <w:pPr>
              <w:pStyle w:val="175"/>
              <w:rPr>
                <w:rFonts w:hint="default" w:ascii="宋体" w:hAnsi="宋体" w:eastAsia="宋体" w:cs="宋体"/>
                <w:color w:val="auto"/>
                <w:highlight w:val="none"/>
              </w:rPr>
            </w:pPr>
            <w:r>
              <w:rPr>
                <w:rFonts w:ascii="宋体" w:hAnsi="宋体" w:eastAsia="宋体" w:cs="宋体"/>
                <w:color w:val="auto"/>
                <w:sz w:val="21"/>
                <w:highlight w:val="none"/>
              </w:rPr>
              <w:t>系统</w:t>
            </w:r>
          </w:p>
        </w:tc>
        <w:tc>
          <w:tcPr>
            <w:tcW w:w="3099" w:type="dxa"/>
            <w:gridSpan w:val="3"/>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7B7D4D9E">
            <w:pPr>
              <w:pStyle w:val="175"/>
              <w:rPr>
                <w:rFonts w:hint="default" w:ascii="宋体" w:hAnsi="宋体" w:eastAsia="宋体" w:cs="宋体"/>
                <w:color w:val="auto"/>
                <w:highlight w:val="none"/>
              </w:rPr>
            </w:pPr>
            <w:r>
              <w:rPr>
                <w:rFonts w:ascii="宋体" w:hAnsi="宋体" w:eastAsia="宋体" w:cs="宋体"/>
                <w:color w:val="auto"/>
                <w:sz w:val="21"/>
                <w:highlight w:val="none"/>
              </w:rPr>
              <w:t>设备名称</w:t>
            </w:r>
          </w:p>
        </w:tc>
        <w:tc>
          <w:tcPr>
            <w:tcW w:w="1091"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4D224F32">
            <w:pPr>
              <w:pStyle w:val="175"/>
              <w:rPr>
                <w:rFonts w:hint="default" w:ascii="宋体" w:hAnsi="宋体" w:eastAsia="宋体" w:cs="宋体"/>
                <w:color w:val="auto"/>
                <w:highlight w:val="none"/>
              </w:rPr>
            </w:pPr>
            <w:r>
              <w:rPr>
                <w:rFonts w:ascii="宋体" w:hAnsi="宋体" w:eastAsia="宋体" w:cs="宋体"/>
                <w:color w:val="auto"/>
                <w:sz w:val="21"/>
                <w:highlight w:val="none"/>
              </w:rPr>
              <w:t>数量</w:t>
            </w:r>
          </w:p>
        </w:tc>
        <w:tc>
          <w:tcPr>
            <w:tcW w:w="258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088F9627">
            <w:pPr>
              <w:pStyle w:val="175"/>
              <w:rPr>
                <w:rFonts w:hint="default" w:ascii="宋体" w:hAnsi="宋体" w:eastAsia="宋体" w:cs="宋体"/>
                <w:color w:val="auto"/>
                <w:highlight w:val="none"/>
              </w:rPr>
            </w:pPr>
            <w:r>
              <w:rPr>
                <w:rFonts w:ascii="宋体" w:hAnsi="宋体" w:eastAsia="宋体" w:cs="宋体"/>
                <w:color w:val="auto"/>
                <w:sz w:val="21"/>
                <w:highlight w:val="none"/>
              </w:rPr>
              <w:t>安装位置</w:t>
            </w:r>
          </w:p>
        </w:tc>
      </w:tr>
      <w:tr w14:paraId="69922520">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7A65FA">
            <w:pPr>
              <w:pStyle w:val="175"/>
              <w:numPr>
                <w:ilvl w:val="0"/>
                <w:numId w:val="1"/>
              </w:numPr>
              <w:jc w:val="center"/>
              <w:rPr>
                <w:rFonts w:hint="default" w:ascii="宋体" w:hAnsi="宋体" w:eastAsia="宋体" w:cs="宋体"/>
                <w:color w:val="auto"/>
                <w:highlight w:val="none"/>
              </w:rPr>
            </w:pPr>
          </w:p>
        </w:tc>
        <w:tc>
          <w:tcPr>
            <w:tcW w:w="1278" w:type="dxa"/>
            <w:vMerge w:val="restart"/>
            <w:tcBorders>
              <w:top w:val="nil"/>
              <w:left w:val="nil"/>
              <w:bottom w:val="single" w:color="000000" w:sz="4" w:space="0"/>
              <w:right w:val="single" w:color="000000" w:sz="4" w:space="0"/>
            </w:tcBorders>
            <w:tcMar>
              <w:top w:w="0" w:type="dxa"/>
              <w:left w:w="105" w:type="dxa"/>
              <w:bottom w:w="0" w:type="dxa"/>
              <w:right w:w="105" w:type="dxa"/>
            </w:tcMar>
          </w:tcPr>
          <w:p w14:paraId="2CB4825A">
            <w:pPr>
              <w:pStyle w:val="175"/>
              <w:rPr>
                <w:rFonts w:hint="default" w:ascii="宋体" w:hAnsi="宋体" w:eastAsia="宋体" w:cs="宋体"/>
                <w:color w:val="auto"/>
                <w:highlight w:val="none"/>
              </w:rPr>
            </w:pPr>
            <w:r>
              <w:rPr>
                <w:rFonts w:ascii="宋体" w:hAnsi="宋体" w:eastAsia="宋体" w:cs="宋体"/>
                <w:color w:val="auto"/>
                <w:sz w:val="21"/>
                <w:highlight w:val="none"/>
              </w:rPr>
              <w:t>大气探测子系统</w:t>
            </w: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5238E646">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云粒子谱仪</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7779F7A8">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03807BC4">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探头位于左机翼13肋处组合挂架</w:t>
            </w:r>
          </w:p>
        </w:tc>
      </w:tr>
      <w:tr w14:paraId="0A3A4272">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F4B757">
            <w:pPr>
              <w:pStyle w:val="175"/>
              <w:numPr>
                <w:ilvl w:val="0"/>
                <w:numId w:val="1"/>
              </w:numPr>
              <w:jc w:val="center"/>
              <w:rPr>
                <w:rFonts w:hint="default" w:ascii="宋体" w:hAnsi="宋体" w:eastAsia="宋体" w:cs="宋体"/>
                <w:color w:val="auto"/>
                <w:highlight w:val="none"/>
                <w:lang w:eastAsia="zh-CN"/>
              </w:rPr>
            </w:pPr>
          </w:p>
        </w:tc>
        <w:tc>
          <w:tcPr>
            <w:tcW w:w="1278" w:type="dxa"/>
            <w:vMerge w:val="continue"/>
            <w:tcBorders>
              <w:top w:val="nil"/>
              <w:left w:val="nil"/>
              <w:bottom w:val="single" w:color="000000" w:sz="4" w:space="0"/>
              <w:right w:val="single" w:color="000000" w:sz="4" w:space="0"/>
            </w:tcBorders>
          </w:tcPr>
          <w:p w14:paraId="34F15DAA">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65D54A8C">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云粒子成像仪</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09C0FB46">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nil"/>
              <w:left w:val="nil"/>
              <w:bottom w:val="nil"/>
              <w:right w:val="nil"/>
            </w:tcBorders>
          </w:tcPr>
          <w:p w14:paraId="03B7856D">
            <w:pPr>
              <w:pStyle w:val="175"/>
              <w:rPr>
                <w:rFonts w:hint="default" w:ascii="宋体" w:hAnsi="宋体" w:eastAsia="宋体" w:cs="宋体"/>
                <w:color w:val="auto"/>
                <w:highlight w:val="none"/>
              </w:rPr>
            </w:pPr>
            <w:r>
              <w:rPr>
                <w:rFonts w:ascii="宋体" w:hAnsi="宋体" w:eastAsia="宋体" w:cs="宋体"/>
                <w:color w:val="auto"/>
                <w:sz w:val="19"/>
                <w:highlight w:val="none"/>
              </w:rPr>
              <w:t xml:space="preserve"> </w:t>
            </w:r>
          </w:p>
        </w:tc>
      </w:tr>
      <w:tr w14:paraId="1A65F503">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8D5F5C">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0927774A">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68989C25">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综合气象测量系统探头</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3EBE1E22">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065857D9">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探头位于左机翼13肋处组合挂架，GPS位于左右机翼后缘19～20肋</w:t>
            </w:r>
          </w:p>
        </w:tc>
      </w:tr>
      <w:tr w14:paraId="4D615E89">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F025EB">
            <w:pPr>
              <w:pStyle w:val="175"/>
              <w:numPr>
                <w:ilvl w:val="0"/>
                <w:numId w:val="1"/>
              </w:numPr>
              <w:jc w:val="center"/>
              <w:rPr>
                <w:rFonts w:hint="default" w:ascii="宋体" w:hAnsi="宋体" w:eastAsia="宋体" w:cs="宋体"/>
                <w:color w:val="auto"/>
                <w:highlight w:val="none"/>
                <w:lang w:eastAsia="zh-CN"/>
              </w:rPr>
            </w:pPr>
          </w:p>
        </w:tc>
        <w:tc>
          <w:tcPr>
            <w:tcW w:w="1278" w:type="dxa"/>
            <w:vMerge w:val="continue"/>
            <w:tcBorders>
              <w:top w:val="nil"/>
              <w:left w:val="nil"/>
              <w:bottom w:val="single" w:color="000000" w:sz="4" w:space="0"/>
              <w:right w:val="single" w:color="000000" w:sz="4" w:space="0"/>
            </w:tcBorders>
          </w:tcPr>
          <w:p w14:paraId="4E50440D">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26F5171C">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降水粒子成像仪</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51CE4EC1">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19931654">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探头位于右机翼13肋处组合挂架</w:t>
            </w:r>
          </w:p>
        </w:tc>
      </w:tr>
      <w:tr w14:paraId="41D0182A">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9C6ED6">
            <w:pPr>
              <w:pStyle w:val="175"/>
              <w:numPr>
                <w:ilvl w:val="0"/>
                <w:numId w:val="1"/>
              </w:numPr>
              <w:jc w:val="center"/>
              <w:rPr>
                <w:rFonts w:hint="default" w:ascii="宋体" w:hAnsi="宋体" w:eastAsia="宋体" w:cs="宋体"/>
                <w:color w:val="auto"/>
                <w:highlight w:val="none"/>
                <w:lang w:eastAsia="zh-CN"/>
              </w:rPr>
            </w:pPr>
          </w:p>
        </w:tc>
        <w:tc>
          <w:tcPr>
            <w:tcW w:w="1278" w:type="dxa"/>
            <w:vMerge w:val="continue"/>
            <w:tcBorders>
              <w:top w:val="nil"/>
              <w:left w:val="nil"/>
              <w:bottom w:val="single" w:color="000000" w:sz="4" w:space="0"/>
              <w:right w:val="single" w:color="000000" w:sz="4" w:space="0"/>
            </w:tcBorders>
          </w:tcPr>
          <w:p w14:paraId="7CCEFF8C">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7A08308D">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气溶胶探测仪</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2D0CEE75">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nil"/>
              <w:left w:val="nil"/>
              <w:bottom w:val="nil"/>
              <w:right w:val="nil"/>
            </w:tcBorders>
          </w:tcPr>
          <w:p w14:paraId="258C3918">
            <w:pPr>
              <w:pStyle w:val="175"/>
              <w:rPr>
                <w:rFonts w:hint="default" w:ascii="宋体" w:hAnsi="宋体" w:eastAsia="宋体" w:cs="宋体"/>
                <w:color w:val="auto"/>
                <w:highlight w:val="none"/>
              </w:rPr>
            </w:pPr>
            <w:r>
              <w:rPr>
                <w:rFonts w:ascii="宋体" w:hAnsi="宋体" w:eastAsia="宋体" w:cs="宋体"/>
                <w:color w:val="auto"/>
                <w:sz w:val="19"/>
                <w:highlight w:val="none"/>
              </w:rPr>
              <w:t xml:space="preserve"> </w:t>
            </w:r>
          </w:p>
        </w:tc>
      </w:tr>
      <w:tr w14:paraId="4CA62D12">
        <w:tblPrEx>
          <w:tblCellMar>
            <w:top w:w="0" w:type="dxa"/>
            <w:left w:w="108" w:type="dxa"/>
            <w:bottom w:w="0" w:type="dxa"/>
            <w:right w:w="108" w:type="dxa"/>
          </w:tblCellMar>
        </w:tblPrEx>
        <w:tc>
          <w:tcPr>
            <w:tcW w:w="78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427D40">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4D1F59B3">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638CB149">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综合大气参数采集系统</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387C9FDB">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1套</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321B8570">
            <w:pPr>
              <w:pStyle w:val="175"/>
              <w:jc w:val="center"/>
              <w:rPr>
                <w:rFonts w:hint="default" w:ascii="宋体" w:hAnsi="宋体" w:eastAsia="宋体" w:cs="宋体"/>
                <w:color w:val="auto"/>
                <w:highlight w:val="none"/>
              </w:rPr>
            </w:pPr>
          </w:p>
        </w:tc>
      </w:tr>
      <w:tr w14:paraId="08379FA3">
        <w:tblPrEx>
          <w:tblCellMar>
            <w:top w:w="0" w:type="dxa"/>
            <w:left w:w="108" w:type="dxa"/>
            <w:bottom w:w="0" w:type="dxa"/>
            <w:right w:w="108" w:type="dxa"/>
          </w:tblCellMar>
        </w:tblPrEx>
        <w:tc>
          <w:tcPr>
            <w:tcW w:w="789" w:type="dxa"/>
            <w:vMerge w:val="continue"/>
            <w:tcBorders>
              <w:top w:val="nil"/>
              <w:left w:val="single" w:color="000000" w:sz="4" w:space="0"/>
              <w:bottom w:val="single" w:color="000000" w:sz="4" w:space="0"/>
              <w:right w:val="single" w:color="000000" w:sz="4" w:space="0"/>
            </w:tcBorders>
          </w:tcPr>
          <w:p w14:paraId="1CCF3A09">
            <w:pPr>
              <w:jc w:val="center"/>
              <w:rPr>
                <w:rFonts w:ascii="宋体" w:hAnsi="宋体" w:cs="宋体"/>
                <w:color w:val="auto"/>
                <w:highlight w:val="none"/>
              </w:rPr>
            </w:pPr>
          </w:p>
        </w:tc>
        <w:tc>
          <w:tcPr>
            <w:tcW w:w="1278" w:type="dxa"/>
            <w:vMerge w:val="continue"/>
            <w:tcBorders>
              <w:top w:val="nil"/>
              <w:left w:val="nil"/>
              <w:bottom w:val="single" w:color="000000" w:sz="4" w:space="0"/>
              <w:right w:val="single" w:color="000000" w:sz="4" w:space="0"/>
            </w:tcBorders>
          </w:tcPr>
          <w:p w14:paraId="11CBF718">
            <w:pPr>
              <w:rPr>
                <w:rFonts w:ascii="宋体" w:hAnsi="宋体" w:cs="宋体"/>
                <w:color w:val="auto"/>
                <w:highlight w:val="none"/>
              </w:rPr>
            </w:pPr>
          </w:p>
        </w:tc>
        <w:tc>
          <w:tcPr>
            <w:tcW w:w="809" w:type="dxa"/>
            <w:tcBorders>
              <w:top w:val="nil"/>
              <w:left w:val="nil"/>
              <w:bottom w:val="single" w:color="000000" w:sz="4" w:space="0"/>
              <w:right w:val="single" w:color="000000" w:sz="4" w:space="0"/>
            </w:tcBorders>
            <w:tcMar>
              <w:top w:w="0" w:type="dxa"/>
              <w:left w:w="105" w:type="dxa"/>
              <w:bottom w:w="0" w:type="dxa"/>
              <w:right w:w="105" w:type="dxa"/>
            </w:tcMar>
          </w:tcPr>
          <w:p w14:paraId="494AC6F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w:t>
            </w:r>
          </w:p>
        </w:tc>
        <w:tc>
          <w:tcPr>
            <w:tcW w:w="2290" w:type="dxa"/>
            <w:gridSpan w:val="2"/>
            <w:tcBorders>
              <w:top w:val="nil"/>
              <w:left w:val="nil"/>
              <w:bottom w:val="single" w:color="000000" w:sz="4" w:space="0"/>
              <w:right w:val="single" w:color="000000" w:sz="4" w:space="0"/>
            </w:tcBorders>
            <w:tcMar>
              <w:top w:w="0" w:type="dxa"/>
              <w:left w:w="105" w:type="dxa"/>
              <w:bottom w:w="0" w:type="dxa"/>
              <w:right w:w="105" w:type="dxa"/>
            </w:tcMar>
          </w:tcPr>
          <w:p w14:paraId="1CDCB31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大气数据采集吊舱</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58ABD55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355E5841">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探头位于右机翼13肋处组合挂架</w:t>
            </w:r>
          </w:p>
        </w:tc>
      </w:tr>
      <w:tr w14:paraId="023C2241">
        <w:tblPrEx>
          <w:tblCellMar>
            <w:top w:w="0" w:type="dxa"/>
            <w:left w:w="108" w:type="dxa"/>
            <w:bottom w:w="0" w:type="dxa"/>
            <w:right w:w="108" w:type="dxa"/>
          </w:tblCellMar>
        </w:tblPrEx>
        <w:tc>
          <w:tcPr>
            <w:tcW w:w="78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B79230">
            <w:pPr>
              <w:pStyle w:val="175"/>
              <w:numPr>
                <w:ilvl w:val="0"/>
                <w:numId w:val="1"/>
              </w:numPr>
              <w:jc w:val="center"/>
              <w:rPr>
                <w:rFonts w:hint="default" w:ascii="宋体" w:hAnsi="宋体" w:eastAsia="宋体" w:cs="宋体"/>
                <w:color w:val="auto"/>
                <w:highlight w:val="none"/>
                <w:lang w:eastAsia="zh-CN"/>
              </w:rPr>
            </w:pPr>
          </w:p>
        </w:tc>
        <w:tc>
          <w:tcPr>
            <w:tcW w:w="1278" w:type="dxa"/>
            <w:vMerge w:val="continue"/>
            <w:tcBorders>
              <w:top w:val="nil"/>
              <w:left w:val="nil"/>
              <w:bottom w:val="single" w:color="000000" w:sz="4" w:space="0"/>
              <w:right w:val="single" w:color="000000" w:sz="4" w:space="0"/>
            </w:tcBorders>
          </w:tcPr>
          <w:p w14:paraId="30E98AB1">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129021A3">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总水含量测量系统</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540C6CBC">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1套</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091A1299">
            <w:pPr>
              <w:pStyle w:val="175"/>
              <w:jc w:val="center"/>
              <w:rPr>
                <w:rFonts w:hint="default" w:ascii="宋体" w:hAnsi="宋体" w:eastAsia="宋体" w:cs="宋体"/>
                <w:color w:val="auto"/>
                <w:highlight w:val="none"/>
              </w:rPr>
            </w:pPr>
          </w:p>
        </w:tc>
      </w:tr>
      <w:tr w14:paraId="77584A65">
        <w:tblPrEx>
          <w:tblCellMar>
            <w:top w:w="0" w:type="dxa"/>
            <w:left w:w="108" w:type="dxa"/>
            <w:bottom w:w="0" w:type="dxa"/>
            <w:right w:w="108" w:type="dxa"/>
          </w:tblCellMar>
        </w:tblPrEx>
        <w:tc>
          <w:tcPr>
            <w:tcW w:w="789" w:type="dxa"/>
            <w:vMerge w:val="continue"/>
            <w:tcBorders>
              <w:top w:val="nil"/>
              <w:left w:val="single" w:color="000000" w:sz="4" w:space="0"/>
              <w:bottom w:val="single" w:color="000000" w:sz="4" w:space="0"/>
              <w:right w:val="single" w:color="000000" w:sz="4" w:space="0"/>
            </w:tcBorders>
          </w:tcPr>
          <w:p w14:paraId="3C7F3709">
            <w:pPr>
              <w:jc w:val="center"/>
              <w:rPr>
                <w:rFonts w:ascii="宋体" w:hAnsi="宋体" w:cs="宋体"/>
                <w:color w:val="auto"/>
                <w:highlight w:val="none"/>
              </w:rPr>
            </w:pPr>
          </w:p>
        </w:tc>
        <w:tc>
          <w:tcPr>
            <w:tcW w:w="1278" w:type="dxa"/>
            <w:vMerge w:val="continue"/>
            <w:tcBorders>
              <w:top w:val="nil"/>
              <w:left w:val="nil"/>
              <w:bottom w:val="single" w:color="000000" w:sz="4" w:space="0"/>
              <w:right w:val="single" w:color="000000" w:sz="4" w:space="0"/>
            </w:tcBorders>
          </w:tcPr>
          <w:p w14:paraId="506D60D3">
            <w:pPr>
              <w:rPr>
                <w:rFonts w:ascii="宋体" w:hAnsi="宋体" w:cs="宋体"/>
                <w:color w:val="auto"/>
                <w:highlight w:val="none"/>
              </w:rPr>
            </w:pPr>
          </w:p>
        </w:tc>
        <w:tc>
          <w:tcPr>
            <w:tcW w:w="809" w:type="dxa"/>
            <w:tcBorders>
              <w:top w:val="nil"/>
              <w:left w:val="nil"/>
              <w:bottom w:val="single" w:color="000000" w:sz="4" w:space="0"/>
              <w:right w:val="single" w:color="000000" w:sz="4" w:space="0"/>
            </w:tcBorders>
            <w:tcMar>
              <w:top w:w="0" w:type="dxa"/>
              <w:left w:w="105" w:type="dxa"/>
              <w:bottom w:w="0" w:type="dxa"/>
              <w:right w:w="105" w:type="dxa"/>
            </w:tcMar>
          </w:tcPr>
          <w:p w14:paraId="2DD6BC73">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w:t>
            </w:r>
          </w:p>
        </w:tc>
        <w:tc>
          <w:tcPr>
            <w:tcW w:w="2290" w:type="dxa"/>
            <w:gridSpan w:val="2"/>
            <w:tcBorders>
              <w:top w:val="nil"/>
              <w:left w:val="nil"/>
              <w:bottom w:val="single" w:color="000000" w:sz="4" w:space="0"/>
              <w:right w:val="single" w:color="000000" w:sz="4" w:space="0"/>
            </w:tcBorders>
            <w:tcMar>
              <w:top w:w="0" w:type="dxa"/>
              <w:left w:w="105" w:type="dxa"/>
              <w:bottom w:w="0" w:type="dxa"/>
              <w:right w:w="105" w:type="dxa"/>
            </w:tcMar>
          </w:tcPr>
          <w:p w14:paraId="1196495F">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总水采集器</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2D272C80">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79EE7742">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机身11C～11B框右侧16～17长桁</w:t>
            </w:r>
          </w:p>
        </w:tc>
      </w:tr>
      <w:tr w14:paraId="5EDE95A3">
        <w:tblPrEx>
          <w:tblCellMar>
            <w:top w:w="0" w:type="dxa"/>
            <w:left w:w="108" w:type="dxa"/>
            <w:bottom w:w="0" w:type="dxa"/>
            <w:right w:w="108" w:type="dxa"/>
          </w:tblCellMar>
        </w:tblPrEx>
        <w:tc>
          <w:tcPr>
            <w:tcW w:w="789" w:type="dxa"/>
            <w:vMerge w:val="continue"/>
            <w:tcBorders>
              <w:top w:val="nil"/>
              <w:left w:val="single" w:color="000000" w:sz="4" w:space="0"/>
              <w:bottom w:val="single" w:color="000000" w:sz="4" w:space="0"/>
              <w:right w:val="single" w:color="000000" w:sz="4" w:space="0"/>
            </w:tcBorders>
          </w:tcPr>
          <w:p w14:paraId="45CACCE3">
            <w:pPr>
              <w:jc w:val="center"/>
              <w:rPr>
                <w:rFonts w:ascii="宋体" w:hAnsi="宋体" w:cs="宋体"/>
                <w:color w:val="auto"/>
                <w:highlight w:val="none"/>
              </w:rPr>
            </w:pPr>
          </w:p>
        </w:tc>
        <w:tc>
          <w:tcPr>
            <w:tcW w:w="1278" w:type="dxa"/>
            <w:vMerge w:val="continue"/>
            <w:tcBorders>
              <w:top w:val="nil"/>
              <w:left w:val="nil"/>
              <w:bottom w:val="single" w:color="000000" w:sz="4" w:space="0"/>
              <w:right w:val="single" w:color="000000" w:sz="4" w:space="0"/>
            </w:tcBorders>
          </w:tcPr>
          <w:p w14:paraId="32F7AA8C">
            <w:pPr>
              <w:rPr>
                <w:rFonts w:ascii="宋体" w:hAnsi="宋体" w:cs="宋体"/>
                <w:color w:val="auto"/>
                <w:highlight w:val="none"/>
              </w:rPr>
            </w:pPr>
          </w:p>
        </w:tc>
        <w:tc>
          <w:tcPr>
            <w:tcW w:w="809" w:type="dxa"/>
            <w:tcBorders>
              <w:top w:val="nil"/>
              <w:left w:val="nil"/>
              <w:bottom w:val="single" w:color="000000" w:sz="4" w:space="0"/>
              <w:right w:val="single" w:color="000000" w:sz="4" w:space="0"/>
            </w:tcBorders>
            <w:tcMar>
              <w:top w:w="0" w:type="dxa"/>
              <w:left w:w="105" w:type="dxa"/>
              <w:bottom w:w="0" w:type="dxa"/>
              <w:right w:w="105" w:type="dxa"/>
            </w:tcMar>
          </w:tcPr>
          <w:p w14:paraId="4DA71E44">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w:t>
            </w:r>
          </w:p>
        </w:tc>
        <w:tc>
          <w:tcPr>
            <w:tcW w:w="2290" w:type="dxa"/>
            <w:gridSpan w:val="2"/>
            <w:tcBorders>
              <w:top w:val="nil"/>
              <w:left w:val="nil"/>
              <w:bottom w:val="single" w:color="000000" w:sz="4" w:space="0"/>
              <w:right w:val="single" w:color="000000" w:sz="4" w:space="0"/>
            </w:tcBorders>
            <w:tcMar>
              <w:top w:w="0" w:type="dxa"/>
              <w:left w:w="105" w:type="dxa"/>
              <w:bottom w:w="0" w:type="dxa"/>
              <w:right w:w="105" w:type="dxa"/>
            </w:tcMar>
          </w:tcPr>
          <w:p w14:paraId="0AD5A322">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总水解算盒</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4F8664F3">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765BCFC2">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任务系统机柜</w:t>
            </w:r>
          </w:p>
        </w:tc>
      </w:tr>
      <w:tr w14:paraId="2C6A9287">
        <w:tblPrEx>
          <w:tblCellMar>
            <w:top w:w="0" w:type="dxa"/>
            <w:left w:w="108" w:type="dxa"/>
            <w:bottom w:w="0" w:type="dxa"/>
            <w:right w:w="108" w:type="dxa"/>
          </w:tblCellMar>
        </w:tblPrEx>
        <w:tc>
          <w:tcPr>
            <w:tcW w:w="789" w:type="dxa"/>
            <w:vMerge w:val="continue"/>
            <w:tcBorders>
              <w:top w:val="nil"/>
              <w:left w:val="single" w:color="000000" w:sz="4" w:space="0"/>
              <w:bottom w:val="single" w:color="000000" w:sz="4" w:space="0"/>
              <w:right w:val="single" w:color="000000" w:sz="4" w:space="0"/>
            </w:tcBorders>
          </w:tcPr>
          <w:p w14:paraId="30B66562">
            <w:pPr>
              <w:jc w:val="center"/>
              <w:rPr>
                <w:rFonts w:ascii="宋体" w:hAnsi="宋体" w:cs="宋体"/>
                <w:color w:val="auto"/>
                <w:highlight w:val="none"/>
              </w:rPr>
            </w:pPr>
          </w:p>
        </w:tc>
        <w:tc>
          <w:tcPr>
            <w:tcW w:w="1278" w:type="dxa"/>
            <w:vMerge w:val="continue"/>
            <w:tcBorders>
              <w:top w:val="nil"/>
              <w:left w:val="nil"/>
              <w:bottom w:val="single" w:color="000000" w:sz="4" w:space="0"/>
              <w:right w:val="single" w:color="000000" w:sz="4" w:space="0"/>
            </w:tcBorders>
          </w:tcPr>
          <w:p w14:paraId="3183AC27">
            <w:pPr>
              <w:rPr>
                <w:rFonts w:ascii="宋体" w:hAnsi="宋体" w:cs="宋体"/>
                <w:color w:val="auto"/>
                <w:highlight w:val="none"/>
              </w:rPr>
            </w:pPr>
          </w:p>
        </w:tc>
        <w:tc>
          <w:tcPr>
            <w:tcW w:w="809" w:type="dxa"/>
            <w:tcBorders>
              <w:top w:val="nil"/>
              <w:left w:val="nil"/>
              <w:bottom w:val="single" w:color="000000" w:sz="4" w:space="0"/>
              <w:right w:val="single" w:color="000000" w:sz="4" w:space="0"/>
            </w:tcBorders>
            <w:tcMar>
              <w:top w:w="0" w:type="dxa"/>
              <w:left w:w="105" w:type="dxa"/>
              <w:bottom w:w="0" w:type="dxa"/>
              <w:right w:w="105" w:type="dxa"/>
            </w:tcMar>
          </w:tcPr>
          <w:p w14:paraId="3ECCA80C">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3）</w:t>
            </w:r>
          </w:p>
        </w:tc>
        <w:tc>
          <w:tcPr>
            <w:tcW w:w="2290" w:type="dxa"/>
            <w:gridSpan w:val="2"/>
            <w:tcBorders>
              <w:top w:val="nil"/>
              <w:left w:val="nil"/>
              <w:bottom w:val="single" w:color="000000" w:sz="4" w:space="0"/>
              <w:right w:val="single" w:color="000000" w:sz="4" w:space="0"/>
            </w:tcBorders>
            <w:tcMar>
              <w:top w:w="0" w:type="dxa"/>
              <w:left w:w="105" w:type="dxa"/>
              <w:bottom w:w="0" w:type="dxa"/>
              <w:right w:w="105" w:type="dxa"/>
            </w:tcMar>
          </w:tcPr>
          <w:p w14:paraId="23AE3698">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总水含量出气口</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171EC6AC">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5B1390BA">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机身11B～11框右侧8～9长桁</w:t>
            </w:r>
          </w:p>
        </w:tc>
      </w:tr>
      <w:tr w14:paraId="37DB7996">
        <w:tblPrEx>
          <w:tblCellMar>
            <w:top w:w="0" w:type="dxa"/>
            <w:left w:w="108" w:type="dxa"/>
            <w:bottom w:w="0" w:type="dxa"/>
            <w:right w:w="108" w:type="dxa"/>
          </w:tblCellMar>
        </w:tblPrEx>
        <w:tc>
          <w:tcPr>
            <w:tcW w:w="789" w:type="dxa"/>
            <w:vMerge w:val="continue"/>
            <w:tcBorders>
              <w:top w:val="nil"/>
              <w:left w:val="single" w:color="000000" w:sz="4" w:space="0"/>
              <w:bottom w:val="single" w:color="000000" w:sz="4" w:space="0"/>
              <w:right w:val="single" w:color="000000" w:sz="4" w:space="0"/>
            </w:tcBorders>
          </w:tcPr>
          <w:p w14:paraId="3EE7B110">
            <w:pPr>
              <w:jc w:val="center"/>
              <w:rPr>
                <w:rFonts w:ascii="宋体" w:hAnsi="宋体" w:cs="宋体"/>
                <w:color w:val="auto"/>
                <w:highlight w:val="none"/>
              </w:rPr>
            </w:pPr>
          </w:p>
        </w:tc>
        <w:tc>
          <w:tcPr>
            <w:tcW w:w="1278" w:type="dxa"/>
            <w:vMerge w:val="continue"/>
            <w:tcBorders>
              <w:top w:val="nil"/>
              <w:left w:val="nil"/>
              <w:bottom w:val="single" w:color="000000" w:sz="4" w:space="0"/>
              <w:right w:val="single" w:color="000000" w:sz="4" w:space="0"/>
            </w:tcBorders>
          </w:tcPr>
          <w:p w14:paraId="5CF111E7">
            <w:pPr>
              <w:rPr>
                <w:rFonts w:ascii="宋体" w:hAnsi="宋体" w:cs="宋体"/>
                <w:color w:val="auto"/>
                <w:highlight w:val="none"/>
              </w:rPr>
            </w:pPr>
          </w:p>
        </w:tc>
        <w:tc>
          <w:tcPr>
            <w:tcW w:w="809" w:type="dxa"/>
            <w:tcBorders>
              <w:top w:val="nil"/>
              <w:left w:val="nil"/>
              <w:bottom w:val="single" w:color="000000" w:sz="4" w:space="0"/>
              <w:right w:val="single" w:color="000000" w:sz="4" w:space="0"/>
            </w:tcBorders>
            <w:tcMar>
              <w:top w:w="0" w:type="dxa"/>
              <w:left w:w="105" w:type="dxa"/>
              <w:bottom w:w="0" w:type="dxa"/>
              <w:right w:w="105" w:type="dxa"/>
            </w:tcMar>
          </w:tcPr>
          <w:p w14:paraId="5493A88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4）</w:t>
            </w:r>
          </w:p>
        </w:tc>
        <w:tc>
          <w:tcPr>
            <w:tcW w:w="2290" w:type="dxa"/>
            <w:gridSpan w:val="2"/>
            <w:tcBorders>
              <w:top w:val="nil"/>
              <w:left w:val="nil"/>
              <w:bottom w:val="single" w:color="000000" w:sz="4" w:space="0"/>
              <w:right w:val="single" w:color="000000" w:sz="4" w:space="0"/>
            </w:tcBorders>
            <w:tcMar>
              <w:top w:w="0" w:type="dxa"/>
              <w:left w:w="105" w:type="dxa"/>
              <w:bottom w:w="0" w:type="dxa"/>
              <w:right w:w="105" w:type="dxa"/>
            </w:tcMar>
          </w:tcPr>
          <w:p w14:paraId="6BFE94D3">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进气管路</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663B3714">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1F444AC0">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机身11C～11B框右侧地板下</w:t>
            </w:r>
          </w:p>
        </w:tc>
      </w:tr>
      <w:tr w14:paraId="5389ADD9">
        <w:tblPrEx>
          <w:tblCellMar>
            <w:top w:w="0" w:type="dxa"/>
            <w:left w:w="108" w:type="dxa"/>
            <w:bottom w:w="0" w:type="dxa"/>
            <w:right w:w="108" w:type="dxa"/>
          </w:tblCellMar>
        </w:tblPrEx>
        <w:tc>
          <w:tcPr>
            <w:tcW w:w="789" w:type="dxa"/>
            <w:vMerge w:val="continue"/>
            <w:tcBorders>
              <w:top w:val="nil"/>
              <w:left w:val="single" w:color="000000" w:sz="4" w:space="0"/>
              <w:bottom w:val="single" w:color="000000" w:sz="4" w:space="0"/>
              <w:right w:val="single" w:color="000000" w:sz="4" w:space="0"/>
            </w:tcBorders>
          </w:tcPr>
          <w:p w14:paraId="6E50F8CF">
            <w:pPr>
              <w:jc w:val="center"/>
              <w:rPr>
                <w:rFonts w:ascii="宋体" w:hAnsi="宋体" w:cs="宋体"/>
                <w:color w:val="auto"/>
                <w:highlight w:val="none"/>
              </w:rPr>
            </w:pPr>
          </w:p>
        </w:tc>
        <w:tc>
          <w:tcPr>
            <w:tcW w:w="1278" w:type="dxa"/>
            <w:vMerge w:val="continue"/>
            <w:tcBorders>
              <w:top w:val="nil"/>
              <w:left w:val="nil"/>
              <w:bottom w:val="single" w:color="000000" w:sz="4" w:space="0"/>
              <w:right w:val="single" w:color="000000" w:sz="4" w:space="0"/>
            </w:tcBorders>
          </w:tcPr>
          <w:p w14:paraId="7E42C8E7">
            <w:pPr>
              <w:rPr>
                <w:rFonts w:ascii="宋体" w:hAnsi="宋体" w:cs="宋体"/>
                <w:color w:val="auto"/>
                <w:highlight w:val="none"/>
              </w:rPr>
            </w:pPr>
          </w:p>
        </w:tc>
        <w:tc>
          <w:tcPr>
            <w:tcW w:w="809" w:type="dxa"/>
            <w:tcBorders>
              <w:top w:val="nil"/>
              <w:left w:val="nil"/>
              <w:bottom w:val="single" w:color="000000" w:sz="4" w:space="0"/>
              <w:right w:val="single" w:color="000000" w:sz="4" w:space="0"/>
            </w:tcBorders>
            <w:tcMar>
              <w:top w:w="0" w:type="dxa"/>
              <w:left w:w="105" w:type="dxa"/>
              <w:bottom w:w="0" w:type="dxa"/>
              <w:right w:w="105" w:type="dxa"/>
            </w:tcMar>
          </w:tcPr>
          <w:p w14:paraId="7F65F31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5）</w:t>
            </w:r>
          </w:p>
        </w:tc>
        <w:tc>
          <w:tcPr>
            <w:tcW w:w="2290" w:type="dxa"/>
            <w:gridSpan w:val="2"/>
            <w:tcBorders>
              <w:top w:val="nil"/>
              <w:left w:val="nil"/>
              <w:bottom w:val="single" w:color="000000" w:sz="4" w:space="0"/>
              <w:right w:val="single" w:color="000000" w:sz="4" w:space="0"/>
            </w:tcBorders>
            <w:tcMar>
              <w:top w:w="0" w:type="dxa"/>
              <w:left w:w="105" w:type="dxa"/>
              <w:bottom w:w="0" w:type="dxa"/>
              <w:right w:w="105" w:type="dxa"/>
            </w:tcMar>
          </w:tcPr>
          <w:p w14:paraId="3068FFF1">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出气管路</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1BED8EC4">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54710889">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机身11B～11框右侧地板下</w:t>
            </w:r>
          </w:p>
        </w:tc>
      </w:tr>
      <w:tr w14:paraId="07E0AD00">
        <w:tblPrEx>
          <w:tblCellMar>
            <w:top w:w="0" w:type="dxa"/>
            <w:left w:w="108" w:type="dxa"/>
            <w:bottom w:w="0" w:type="dxa"/>
            <w:right w:w="108" w:type="dxa"/>
          </w:tblCellMar>
        </w:tblPrEx>
        <w:tc>
          <w:tcPr>
            <w:tcW w:w="789" w:type="dxa"/>
            <w:vMerge w:val="continue"/>
            <w:tcBorders>
              <w:top w:val="nil"/>
              <w:left w:val="single" w:color="000000" w:sz="4" w:space="0"/>
              <w:bottom w:val="single" w:color="000000" w:sz="4" w:space="0"/>
              <w:right w:val="single" w:color="000000" w:sz="4" w:space="0"/>
            </w:tcBorders>
          </w:tcPr>
          <w:p w14:paraId="5E0D48A8">
            <w:pPr>
              <w:jc w:val="center"/>
              <w:rPr>
                <w:rFonts w:ascii="宋体" w:hAnsi="宋体" w:cs="宋体"/>
                <w:color w:val="auto"/>
                <w:highlight w:val="none"/>
              </w:rPr>
            </w:pPr>
          </w:p>
        </w:tc>
        <w:tc>
          <w:tcPr>
            <w:tcW w:w="1278" w:type="dxa"/>
            <w:vMerge w:val="continue"/>
            <w:tcBorders>
              <w:top w:val="nil"/>
              <w:left w:val="nil"/>
              <w:bottom w:val="single" w:color="000000" w:sz="4" w:space="0"/>
              <w:right w:val="single" w:color="000000" w:sz="4" w:space="0"/>
            </w:tcBorders>
          </w:tcPr>
          <w:p w14:paraId="7ACD3493">
            <w:pPr>
              <w:rPr>
                <w:rFonts w:ascii="宋体" w:hAnsi="宋体" w:cs="宋体"/>
                <w:color w:val="auto"/>
                <w:highlight w:val="none"/>
              </w:rPr>
            </w:pPr>
          </w:p>
        </w:tc>
        <w:tc>
          <w:tcPr>
            <w:tcW w:w="809" w:type="dxa"/>
            <w:tcBorders>
              <w:top w:val="nil"/>
              <w:left w:val="nil"/>
              <w:bottom w:val="single" w:color="000000" w:sz="4" w:space="0"/>
              <w:right w:val="single" w:color="000000" w:sz="4" w:space="0"/>
            </w:tcBorders>
            <w:tcMar>
              <w:top w:w="0" w:type="dxa"/>
              <w:left w:w="105" w:type="dxa"/>
              <w:bottom w:w="0" w:type="dxa"/>
              <w:right w:w="105" w:type="dxa"/>
            </w:tcMar>
          </w:tcPr>
          <w:p w14:paraId="32C679F1">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6）</w:t>
            </w:r>
          </w:p>
        </w:tc>
        <w:tc>
          <w:tcPr>
            <w:tcW w:w="2290" w:type="dxa"/>
            <w:gridSpan w:val="2"/>
            <w:tcBorders>
              <w:top w:val="nil"/>
              <w:left w:val="nil"/>
              <w:bottom w:val="single" w:color="000000" w:sz="4" w:space="0"/>
              <w:right w:val="single" w:color="000000" w:sz="4" w:space="0"/>
            </w:tcBorders>
            <w:tcMar>
              <w:top w:w="0" w:type="dxa"/>
              <w:left w:w="105" w:type="dxa"/>
              <w:bottom w:w="0" w:type="dxa"/>
              <w:right w:w="105" w:type="dxa"/>
            </w:tcMar>
          </w:tcPr>
          <w:p w14:paraId="068A0A85">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云相态测量仪</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787224FF">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5453BC49">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机身10～11C框右侧地板下部8～10长桁</w:t>
            </w:r>
          </w:p>
        </w:tc>
      </w:tr>
      <w:tr w14:paraId="2EC4D545">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6ECC65">
            <w:pPr>
              <w:pStyle w:val="175"/>
              <w:numPr>
                <w:ilvl w:val="0"/>
                <w:numId w:val="1"/>
              </w:numPr>
              <w:jc w:val="center"/>
              <w:rPr>
                <w:rFonts w:hint="default" w:ascii="宋体" w:hAnsi="宋体" w:eastAsia="宋体" w:cs="宋体"/>
                <w:color w:val="auto"/>
                <w:highlight w:val="none"/>
                <w:lang w:eastAsia="zh-CN"/>
              </w:rPr>
            </w:pPr>
          </w:p>
        </w:tc>
        <w:tc>
          <w:tcPr>
            <w:tcW w:w="1278" w:type="dxa"/>
            <w:vMerge w:val="continue"/>
            <w:tcBorders>
              <w:top w:val="nil"/>
              <w:left w:val="nil"/>
              <w:bottom w:val="single" w:color="000000" w:sz="4" w:space="0"/>
              <w:right w:val="single" w:color="000000" w:sz="4" w:space="0"/>
            </w:tcBorders>
          </w:tcPr>
          <w:p w14:paraId="47662B9C">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41313396">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总水/液水含量仪</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2F7D8004">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263F6AAB">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机身10～11C框左侧18～19长桁</w:t>
            </w:r>
          </w:p>
        </w:tc>
      </w:tr>
      <w:tr w14:paraId="019CD95C">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789ABB">
            <w:pPr>
              <w:pStyle w:val="175"/>
              <w:numPr>
                <w:ilvl w:val="0"/>
                <w:numId w:val="1"/>
              </w:numPr>
              <w:jc w:val="center"/>
              <w:rPr>
                <w:rFonts w:hint="default" w:ascii="宋体" w:hAnsi="宋体" w:eastAsia="宋体" w:cs="宋体"/>
                <w:color w:val="auto"/>
                <w:highlight w:val="none"/>
                <w:lang w:eastAsia="zh-CN"/>
              </w:rPr>
            </w:pPr>
          </w:p>
        </w:tc>
        <w:tc>
          <w:tcPr>
            <w:tcW w:w="1278" w:type="dxa"/>
            <w:vMerge w:val="continue"/>
            <w:tcBorders>
              <w:top w:val="nil"/>
              <w:left w:val="nil"/>
              <w:bottom w:val="single" w:color="000000" w:sz="4" w:space="0"/>
              <w:right w:val="single" w:color="000000" w:sz="4" w:space="0"/>
            </w:tcBorders>
          </w:tcPr>
          <w:p w14:paraId="47BDB7E4">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263134D3">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单云室云凝结核计数器</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3585A600">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2792C205">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ZBT-C机柜布置在工作舱10～11B框左侧地板上</w:t>
            </w:r>
          </w:p>
        </w:tc>
      </w:tr>
      <w:tr w14:paraId="055938EE">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2F6548">
            <w:pPr>
              <w:pStyle w:val="175"/>
              <w:numPr>
                <w:ilvl w:val="0"/>
                <w:numId w:val="1"/>
              </w:numPr>
              <w:jc w:val="center"/>
              <w:rPr>
                <w:rFonts w:hint="default" w:ascii="宋体" w:hAnsi="宋体" w:eastAsia="宋体" w:cs="宋体"/>
                <w:color w:val="auto"/>
                <w:highlight w:val="none"/>
                <w:lang w:eastAsia="zh-CN"/>
              </w:rPr>
            </w:pPr>
          </w:p>
        </w:tc>
        <w:tc>
          <w:tcPr>
            <w:tcW w:w="1278" w:type="dxa"/>
            <w:vMerge w:val="continue"/>
            <w:tcBorders>
              <w:top w:val="nil"/>
              <w:left w:val="nil"/>
              <w:bottom w:val="single" w:color="000000" w:sz="4" w:space="0"/>
              <w:right w:val="single" w:color="000000" w:sz="4" w:space="0"/>
            </w:tcBorders>
          </w:tcPr>
          <w:p w14:paraId="0AF872B6">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56AC5A1D">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等速进气系统</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538B5208">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1套</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38D1533F">
            <w:pPr>
              <w:pStyle w:val="175"/>
              <w:jc w:val="center"/>
              <w:rPr>
                <w:rFonts w:hint="default" w:ascii="宋体" w:hAnsi="宋体" w:eastAsia="宋体" w:cs="宋体"/>
                <w:color w:val="auto"/>
                <w:highlight w:val="none"/>
              </w:rPr>
            </w:pPr>
          </w:p>
        </w:tc>
      </w:tr>
      <w:tr w14:paraId="4B09E8E4">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F89922">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3F93BA29">
            <w:pPr>
              <w:rPr>
                <w:rFonts w:ascii="宋体" w:hAnsi="宋体" w:cs="宋体"/>
                <w:color w:val="auto"/>
                <w:highlight w:val="none"/>
              </w:rPr>
            </w:pPr>
          </w:p>
        </w:tc>
        <w:tc>
          <w:tcPr>
            <w:tcW w:w="845" w:type="dxa"/>
            <w:gridSpan w:val="2"/>
            <w:tcBorders>
              <w:top w:val="nil"/>
              <w:left w:val="nil"/>
              <w:bottom w:val="single" w:color="000000" w:sz="4" w:space="0"/>
              <w:right w:val="single" w:color="000000" w:sz="4" w:space="0"/>
            </w:tcBorders>
            <w:tcMar>
              <w:top w:w="0" w:type="dxa"/>
              <w:left w:w="105" w:type="dxa"/>
              <w:bottom w:w="0" w:type="dxa"/>
              <w:right w:w="105" w:type="dxa"/>
            </w:tcMar>
          </w:tcPr>
          <w:p w14:paraId="415B1E8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w:t>
            </w:r>
          </w:p>
        </w:tc>
        <w:tc>
          <w:tcPr>
            <w:tcW w:w="2254" w:type="dxa"/>
            <w:tcBorders>
              <w:top w:val="nil"/>
              <w:left w:val="nil"/>
              <w:bottom w:val="single" w:color="000000" w:sz="4" w:space="0"/>
              <w:right w:val="single" w:color="000000" w:sz="4" w:space="0"/>
            </w:tcBorders>
            <w:tcMar>
              <w:top w:w="0" w:type="dxa"/>
              <w:left w:w="105" w:type="dxa"/>
              <w:bottom w:w="0" w:type="dxa"/>
              <w:right w:w="105" w:type="dxa"/>
            </w:tcMar>
          </w:tcPr>
          <w:p w14:paraId="53063B1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进样探头</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2DCEBB0C">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274C0F81">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机身10～11C框左侧16～17长桁</w:t>
            </w:r>
          </w:p>
        </w:tc>
      </w:tr>
      <w:tr w14:paraId="14D59990">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5EA35D">
            <w:pPr>
              <w:pStyle w:val="175"/>
              <w:numPr>
                <w:ilvl w:val="0"/>
                <w:numId w:val="1"/>
              </w:numPr>
              <w:jc w:val="center"/>
              <w:rPr>
                <w:rFonts w:hint="default" w:ascii="宋体" w:hAnsi="宋体" w:eastAsia="宋体" w:cs="宋体"/>
                <w:color w:val="auto"/>
                <w:highlight w:val="none"/>
                <w:lang w:eastAsia="zh-CN"/>
              </w:rPr>
            </w:pPr>
          </w:p>
        </w:tc>
        <w:tc>
          <w:tcPr>
            <w:tcW w:w="1278" w:type="dxa"/>
            <w:vMerge w:val="continue"/>
            <w:tcBorders>
              <w:top w:val="nil"/>
              <w:left w:val="nil"/>
              <w:bottom w:val="single" w:color="000000" w:sz="4" w:space="0"/>
              <w:right w:val="single" w:color="000000" w:sz="4" w:space="0"/>
            </w:tcBorders>
          </w:tcPr>
          <w:p w14:paraId="5A3830D1">
            <w:pPr>
              <w:rPr>
                <w:rFonts w:ascii="宋体" w:hAnsi="宋体" w:cs="宋体"/>
                <w:color w:val="auto"/>
                <w:highlight w:val="none"/>
              </w:rPr>
            </w:pPr>
          </w:p>
        </w:tc>
        <w:tc>
          <w:tcPr>
            <w:tcW w:w="845" w:type="dxa"/>
            <w:gridSpan w:val="2"/>
            <w:tcBorders>
              <w:top w:val="nil"/>
              <w:left w:val="nil"/>
              <w:bottom w:val="single" w:color="000000" w:sz="4" w:space="0"/>
              <w:right w:val="single" w:color="000000" w:sz="4" w:space="0"/>
            </w:tcBorders>
            <w:tcMar>
              <w:top w:w="0" w:type="dxa"/>
              <w:left w:w="105" w:type="dxa"/>
              <w:bottom w:w="0" w:type="dxa"/>
              <w:right w:w="105" w:type="dxa"/>
            </w:tcMar>
          </w:tcPr>
          <w:p w14:paraId="25F08BDE">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w:t>
            </w:r>
          </w:p>
        </w:tc>
        <w:tc>
          <w:tcPr>
            <w:tcW w:w="2254" w:type="dxa"/>
            <w:tcBorders>
              <w:top w:val="nil"/>
              <w:left w:val="nil"/>
              <w:bottom w:val="single" w:color="000000" w:sz="4" w:space="0"/>
              <w:right w:val="single" w:color="000000" w:sz="4" w:space="0"/>
            </w:tcBorders>
            <w:tcMar>
              <w:top w:w="0" w:type="dxa"/>
              <w:left w:w="105" w:type="dxa"/>
              <w:bottom w:w="0" w:type="dxa"/>
              <w:right w:w="105" w:type="dxa"/>
            </w:tcMar>
          </w:tcPr>
          <w:p w14:paraId="12D21B1E">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进样控制箱</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043854DA">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3452C7C0">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ZBT-C机柜上</w:t>
            </w:r>
          </w:p>
        </w:tc>
      </w:tr>
      <w:tr w14:paraId="654D0496">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EDC7D9">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098DCF4A">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2E27F44B">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结冰探测系统</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40F2270C">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1套</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650D51B5">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机头1A～1框左侧6～9长桁</w:t>
            </w:r>
          </w:p>
        </w:tc>
      </w:tr>
      <w:tr w14:paraId="7EDF5534">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3BA7F5">
            <w:pPr>
              <w:pStyle w:val="175"/>
              <w:numPr>
                <w:ilvl w:val="0"/>
                <w:numId w:val="1"/>
              </w:numPr>
              <w:jc w:val="center"/>
              <w:rPr>
                <w:rFonts w:hint="default" w:ascii="宋体" w:hAnsi="宋体" w:eastAsia="宋体" w:cs="宋体"/>
                <w:color w:val="auto"/>
                <w:highlight w:val="none"/>
                <w:lang w:eastAsia="zh-CN"/>
              </w:rPr>
            </w:pPr>
          </w:p>
        </w:tc>
        <w:tc>
          <w:tcPr>
            <w:tcW w:w="1278" w:type="dxa"/>
            <w:vMerge w:val="continue"/>
            <w:tcBorders>
              <w:top w:val="nil"/>
              <w:left w:val="nil"/>
              <w:bottom w:val="single" w:color="000000" w:sz="4" w:space="0"/>
              <w:right w:val="single" w:color="000000" w:sz="4" w:space="0"/>
            </w:tcBorders>
          </w:tcPr>
          <w:p w14:paraId="13347B73">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718F9631">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气象数据接入设备</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52F3321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1台</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5A574C0E">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任务系统左操作台</w:t>
            </w:r>
          </w:p>
        </w:tc>
      </w:tr>
      <w:tr w14:paraId="58C253F4">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1DF8D6">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7C7D33B5">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328509C6">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数据管理设备</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3CEB7B00">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1台</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100B7415">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任务系统机柜</w:t>
            </w:r>
          </w:p>
        </w:tc>
      </w:tr>
      <w:tr w14:paraId="46834196">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D2A500">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62D400EC">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6DA8469E">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机载视频服务器</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09B9EB14">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1台</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44553A01">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任务系统左操作台</w:t>
            </w:r>
          </w:p>
        </w:tc>
      </w:tr>
      <w:tr w14:paraId="5335A2E6">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AFE9C9">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26BE5179">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271202B5">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作业监控摄像机</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75CFAEF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30276BA4">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机身27～28框左右两侧</w:t>
            </w:r>
          </w:p>
        </w:tc>
      </w:tr>
      <w:tr w14:paraId="5EE6BE74">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896331">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5EC15386">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55F55F9D">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液氮监控摄像机</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797B18A0">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4B25CB6E">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机身左侧33～34框</w:t>
            </w:r>
          </w:p>
        </w:tc>
      </w:tr>
      <w:tr w14:paraId="0CB9C583">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9ED5A1">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2E8451F6">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12506FBF">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工作舱摄像机</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17DF6EF3">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0DB7E672">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客舱内10框隔板、25框隔板</w:t>
            </w:r>
          </w:p>
        </w:tc>
      </w:tr>
      <w:tr w14:paraId="277D6EAD">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D44048">
            <w:pPr>
              <w:pStyle w:val="175"/>
              <w:numPr>
                <w:ilvl w:val="0"/>
                <w:numId w:val="1"/>
              </w:numPr>
              <w:jc w:val="center"/>
              <w:rPr>
                <w:rFonts w:hint="default" w:ascii="宋体" w:hAnsi="宋体" w:eastAsia="宋体" w:cs="宋体"/>
                <w:color w:val="auto"/>
                <w:highlight w:val="none"/>
                <w:lang w:eastAsia="zh-CN"/>
              </w:rPr>
            </w:pPr>
          </w:p>
        </w:tc>
        <w:tc>
          <w:tcPr>
            <w:tcW w:w="1278" w:type="dxa"/>
            <w:vMerge w:val="continue"/>
            <w:tcBorders>
              <w:top w:val="nil"/>
              <w:left w:val="nil"/>
              <w:bottom w:val="single" w:color="000000" w:sz="4" w:space="0"/>
              <w:right w:val="single" w:color="000000" w:sz="4" w:space="0"/>
            </w:tcBorders>
          </w:tcPr>
          <w:p w14:paraId="461878B1">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0FC409DA">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360°全景摄像机</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6CC22A81">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1台</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6C5D2031">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机身外部机腹下16～17框</w:t>
            </w:r>
          </w:p>
        </w:tc>
      </w:tr>
      <w:tr w14:paraId="366033D9">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005D58">
            <w:pPr>
              <w:pStyle w:val="175"/>
              <w:numPr>
                <w:ilvl w:val="0"/>
                <w:numId w:val="1"/>
              </w:numPr>
              <w:jc w:val="center"/>
              <w:rPr>
                <w:rFonts w:hint="default" w:ascii="宋体" w:hAnsi="宋体" w:eastAsia="宋体" w:cs="宋体"/>
                <w:color w:val="auto"/>
                <w:highlight w:val="none"/>
              </w:rPr>
            </w:pPr>
          </w:p>
        </w:tc>
        <w:tc>
          <w:tcPr>
            <w:tcW w:w="1278" w:type="dxa"/>
            <w:vMerge w:val="restart"/>
            <w:tcBorders>
              <w:top w:val="nil"/>
              <w:left w:val="nil"/>
              <w:bottom w:val="single" w:color="000000" w:sz="4" w:space="0"/>
              <w:right w:val="single" w:color="000000" w:sz="4" w:space="0"/>
            </w:tcBorders>
            <w:tcMar>
              <w:top w:w="0" w:type="dxa"/>
              <w:left w:w="105" w:type="dxa"/>
              <w:bottom w:w="0" w:type="dxa"/>
              <w:right w:w="105" w:type="dxa"/>
            </w:tcMar>
          </w:tcPr>
          <w:p w14:paraId="202959EF">
            <w:pPr>
              <w:pStyle w:val="175"/>
              <w:rPr>
                <w:rFonts w:hint="default" w:ascii="宋体" w:hAnsi="宋体" w:eastAsia="宋体" w:cs="宋体"/>
                <w:color w:val="auto"/>
                <w:highlight w:val="none"/>
              </w:rPr>
            </w:pPr>
            <w:r>
              <w:rPr>
                <w:rFonts w:ascii="宋体" w:hAnsi="宋体" w:eastAsia="宋体" w:cs="宋体"/>
                <w:color w:val="auto"/>
                <w:sz w:val="21"/>
                <w:highlight w:val="none"/>
              </w:rPr>
              <w:t>催化作业子系统</w:t>
            </w: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6C7314B3">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焰条播撒设备</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22F58E3B">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47F7ACB0">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左右机身两侧21～25框</w:t>
            </w:r>
          </w:p>
        </w:tc>
      </w:tr>
      <w:tr w14:paraId="5A91B8F9">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7573AA">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1179006D">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4B39D158">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焰条执行控制器</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4CC5C16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43666440">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任务系统右操作台</w:t>
            </w:r>
          </w:p>
        </w:tc>
      </w:tr>
      <w:tr w14:paraId="5E99CC7F">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C929CA">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7890EE85">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623B49B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焰弹播撒设备</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280F26C2">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1套</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122DFC55">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左右机身两侧</w:t>
            </w:r>
          </w:p>
        </w:tc>
      </w:tr>
      <w:tr w14:paraId="54F17D46">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EC1312">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69462AD3">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7B3A3914">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暖云催化播撒设备</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116D7F1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1套</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6CDB852E">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工作舱16～20框左右两侧</w:t>
            </w:r>
          </w:p>
        </w:tc>
      </w:tr>
      <w:tr w14:paraId="00DA91A8">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D8EB9C">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152BAFB4">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47FFA78A">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液氮制冷剂播撒设备</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78392E9A">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1套</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7353B65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后货舱</w:t>
            </w:r>
          </w:p>
        </w:tc>
      </w:tr>
      <w:tr w14:paraId="4FFF4F14">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7307CE">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69428D19">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32A4216F">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手动作业控制器</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39F5805B">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1台</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400BF4D5">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任务系统右操作台</w:t>
            </w:r>
          </w:p>
        </w:tc>
      </w:tr>
      <w:tr w14:paraId="14030270">
        <w:tblPrEx>
          <w:tblCellMar>
            <w:top w:w="0" w:type="dxa"/>
            <w:left w:w="108" w:type="dxa"/>
            <w:bottom w:w="0" w:type="dxa"/>
            <w:right w:w="108" w:type="dxa"/>
          </w:tblCellMar>
        </w:tblPrEx>
        <w:tc>
          <w:tcPr>
            <w:tcW w:w="78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E14065">
            <w:pPr>
              <w:pStyle w:val="175"/>
              <w:numPr>
                <w:ilvl w:val="0"/>
                <w:numId w:val="1"/>
              </w:numPr>
              <w:jc w:val="center"/>
              <w:rPr>
                <w:rFonts w:hint="default" w:ascii="宋体" w:hAnsi="宋体" w:eastAsia="宋体" w:cs="宋体"/>
                <w:color w:val="auto"/>
                <w:highlight w:val="none"/>
              </w:rPr>
            </w:pPr>
          </w:p>
        </w:tc>
        <w:tc>
          <w:tcPr>
            <w:tcW w:w="1278" w:type="dxa"/>
            <w:vMerge w:val="restart"/>
            <w:tcBorders>
              <w:top w:val="nil"/>
              <w:left w:val="nil"/>
              <w:bottom w:val="single" w:color="000000" w:sz="4" w:space="0"/>
              <w:right w:val="single" w:color="000000" w:sz="4" w:space="0"/>
            </w:tcBorders>
            <w:tcMar>
              <w:top w:w="0" w:type="dxa"/>
              <w:left w:w="105" w:type="dxa"/>
              <w:bottom w:w="0" w:type="dxa"/>
              <w:right w:w="105" w:type="dxa"/>
            </w:tcMar>
          </w:tcPr>
          <w:p w14:paraId="789DB030">
            <w:pPr>
              <w:pStyle w:val="175"/>
              <w:rPr>
                <w:rFonts w:hint="default" w:ascii="宋体" w:hAnsi="宋体" w:eastAsia="宋体" w:cs="宋体"/>
                <w:color w:val="auto"/>
                <w:highlight w:val="none"/>
              </w:rPr>
            </w:pPr>
            <w:r>
              <w:rPr>
                <w:rFonts w:ascii="宋体" w:hAnsi="宋体" w:eastAsia="宋体" w:cs="宋体"/>
                <w:color w:val="auto"/>
                <w:sz w:val="21"/>
                <w:highlight w:val="none"/>
              </w:rPr>
              <w:t>空地通信子系统</w:t>
            </w: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45CB2F71">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机载北斗卫星通信系统</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7DCCC041">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1套</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7835913F">
            <w:pPr>
              <w:pStyle w:val="175"/>
              <w:jc w:val="center"/>
              <w:rPr>
                <w:rFonts w:hint="default" w:ascii="宋体" w:hAnsi="宋体" w:eastAsia="宋体" w:cs="宋体"/>
                <w:color w:val="auto"/>
                <w:highlight w:val="none"/>
              </w:rPr>
            </w:pPr>
          </w:p>
        </w:tc>
      </w:tr>
      <w:tr w14:paraId="20AF7430">
        <w:tblPrEx>
          <w:tblCellMar>
            <w:top w:w="0" w:type="dxa"/>
            <w:left w:w="108" w:type="dxa"/>
            <w:bottom w:w="0" w:type="dxa"/>
            <w:right w:w="108" w:type="dxa"/>
          </w:tblCellMar>
        </w:tblPrEx>
        <w:tc>
          <w:tcPr>
            <w:tcW w:w="789" w:type="dxa"/>
            <w:vMerge w:val="continue"/>
            <w:tcBorders>
              <w:top w:val="nil"/>
              <w:left w:val="single" w:color="000000" w:sz="4" w:space="0"/>
              <w:bottom w:val="single" w:color="000000" w:sz="4" w:space="0"/>
              <w:right w:val="single" w:color="000000" w:sz="4" w:space="0"/>
            </w:tcBorders>
          </w:tcPr>
          <w:p w14:paraId="79675F4E">
            <w:pPr>
              <w:jc w:val="center"/>
              <w:rPr>
                <w:rFonts w:ascii="宋体" w:hAnsi="宋体" w:cs="宋体"/>
                <w:color w:val="auto"/>
                <w:highlight w:val="none"/>
              </w:rPr>
            </w:pPr>
          </w:p>
        </w:tc>
        <w:tc>
          <w:tcPr>
            <w:tcW w:w="1278" w:type="dxa"/>
            <w:vMerge w:val="continue"/>
            <w:tcBorders>
              <w:top w:val="nil"/>
              <w:left w:val="nil"/>
              <w:bottom w:val="single" w:color="000000" w:sz="4" w:space="0"/>
              <w:right w:val="single" w:color="000000" w:sz="4" w:space="0"/>
            </w:tcBorders>
          </w:tcPr>
          <w:p w14:paraId="20FAC099">
            <w:pPr>
              <w:rPr>
                <w:rFonts w:ascii="宋体" w:hAnsi="宋体" w:cs="宋体"/>
                <w:color w:val="auto"/>
                <w:highlight w:val="none"/>
              </w:rPr>
            </w:pPr>
          </w:p>
        </w:tc>
        <w:tc>
          <w:tcPr>
            <w:tcW w:w="809" w:type="dxa"/>
            <w:tcBorders>
              <w:top w:val="nil"/>
              <w:left w:val="nil"/>
              <w:bottom w:val="single" w:color="000000" w:sz="4" w:space="0"/>
              <w:right w:val="single" w:color="000000" w:sz="4" w:space="0"/>
            </w:tcBorders>
            <w:tcMar>
              <w:top w:w="0" w:type="dxa"/>
              <w:left w:w="105" w:type="dxa"/>
              <w:bottom w:w="0" w:type="dxa"/>
              <w:right w:w="105" w:type="dxa"/>
            </w:tcMar>
          </w:tcPr>
          <w:p w14:paraId="0A31C60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w:t>
            </w:r>
          </w:p>
        </w:tc>
        <w:tc>
          <w:tcPr>
            <w:tcW w:w="2290" w:type="dxa"/>
            <w:gridSpan w:val="2"/>
            <w:tcBorders>
              <w:top w:val="nil"/>
              <w:left w:val="nil"/>
              <w:bottom w:val="single" w:color="000000" w:sz="4" w:space="0"/>
              <w:right w:val="single" w:color="000000" w:sz="4" w:space="0"/>
            </w:tcBorders>
            <w:tcMar>
              <w:top w:w="0" w:type="dxa"/>
              <w:left w:w="105" w:type="dxa"/>
              <w:bottom w:w="0" w:type="dxa"/>
              <w:right w:w="105" w:type="dxa"/>
            </w:tcMar>
          </w:tcPr>
          <w:p w14:paraId="4FF166B6">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机载北斗收发机</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7FFE9EED">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1件</w:t>
            </w:r>
          </w:p>
        </w:tc>
        <w:tc>
          <w:tcPr>
            <w:tcW w:w="258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73B5E2E2">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任务设备机柜</w:t>
            </w:r>
          </w:p>
        </w:tc>
      </w:tr>
      <w:tr w14:paraId="74AAF9DA">
        <w:tblPrEx>
          <w:tblCellMar>
            <w:top w:w="0" w:type="dxa"/>
            <w:left w:w="108" w:type="dxa"/>
            <w:bottom w:w="0" w:type="dxa"/>
            <w:right w:w="108" w:type="dxa"/>
          </w:tblCellMar>
        </w:tblPrEx>
        <w:tc>
          <w:tcPr>
            <w:tcW w:w="789" w:type="dxa"/>
            <w:vMerge w:val="continue"/>
            <w:tcBorders>
              <w:top w:val="nil"/>
              <w:left w:val="single" w:color="000000" w:sz="4" w:space="0"/>
              <w:bottom w:val="single" w:color="000000" w:sz="4" w:space="0"/>
              <w:right w:val="single" w:color="000000" w:sz="4" w:space="0"/>
            </w:tcBorders>
          </w:tcPr>
          <w:p w14:paraId="04B8F233">
            <w:pPr>
              <w:jc w:val="center"/>
              <w:rPr>
                <w:rFonts w:ascii="宋体" w:hAnsi="宋体" w:cs="宋体"/>
                <w:color w:val="auto"/>
                <w:highlight w:val="none"/>
              </w:rPr>
            </w:pPr>
          </w:p>
        </w:tc>
        <w:tc>
          <w:tcPr>
            <w:tcW w:w="1278" w:type="dxa"/>
            <w:vMerge w:val="continue"/>
            <w:tcBorders>
              <w:top w:val="nil"/>
              <w:left w:val="nil"/>
              <w:bottom w:val="single" w:color="000000" w:sz="4" w:space="0"/>
              <w:right w:val="single" w:color="000000" w:sz="4" w:space="0"/>
            </w:tcBorders>
          </w:tcPr>
          <w:p w14:paraId="0B1D231E">
            <w:pPr>
              <w:rPr>
                <w:rFonts w:ascii="宋体" w:hAnsi="宋体" w:cs="宋体"/>
                <w:color w:val="auto"/>
                <w:highlight w:val="none"/>
              </w:rPr>
            </w:pPr>
          </w:p>
        </w:tc>
        <w:tc>
          <w:tcPr>
            <w:tcW w:w="809" w:type="dxa"/>
            <w:tcBorders>
              <w:top w:val="nil"/>
              <w:left w:val="nil"/>
              <w:bottom w:val="single" w:color="000000" w:sz="4" w:space="0"/>
              <w:right w:val="single" w:color="000000" w:sz="4" w:space="0"/>
            </w:tcBorders>
            <w:tcMar>
              <w:top w:w="0" w:type="dxa"/>
              <w:left w:w="105" w:type="dxa"/>
              <w:bottom w:w="0" w:type="dxa"/>
              <w:right w:w="105" w:type="dxa"/>
            </w:tcMar>
          </w:tcPr>
          <w:p w14:paraId="0BE31C9F">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w:t>
            </w:r>
          </w:p>
        </w:tc>
        <w:tc>
          <w:tcPr>
            <w:tcW w:w="2290" w:type="dxa"/>
            <w:gridSpan w:val="2"/>
            <w:tcBorders>
              <w:top w:val="nil"/>
              <w:left w:val="nil"/>
              <w:bottom w:val="single" w:color="000000" w:sz="4" w:space="0"/>
              <w:right w:val="single" w:color="000000" w:sz="4" w:space="0"/>
            </w:tcBorders>
            <w:tcMar>
              <w:top w:w="0" w:type="dxa"/>
              <w:left w:w="105" w:type="dxa"/>
              <w:bottom w:w="0" w:type="dxa"/>
              <w:right w:w="105" w:type="dxa"/>
            </w:tcMar>
          </w:tcPr>
          <w:p w14:paraId="1AB346E2">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机载北斗天线</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5138139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1件</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5EE8AD1C">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安装在机身顶部8～9框左36～37长桁上。</w:t>
            </w:r>
          </w:p>
        </w:tc>
      </w:tr>
      <w:tr w14:paraId="2B2874F4">
        <w:tblPrEx>
          <w:tblCellMar>
            <w:top w:w="0" w:type="dxa"/>
            <w:left w:w="108" w:type="dxa"/>
            <w:bottom w:w="0" w:type="dxa"/>
            <w:right w:w="108" w:type="dxa"/>
          </w:tblCellMar>
        </w:tblPrEx>
        <w:tc>
          <w:tcPr>
            <w:tcW w:w="78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37BA37">
            <w:pPr>
              <w:pStyle w:val="175"/>
              <w:numPr>
                <w:ilvl w:val="0"/>
                <w:numId w:val="1"/>
              </w:numPr>
              <w:jc w:val="center"/>
              <w:rPr>
                <w:rFonts w:hint="default" w:ascii="宋体" w:hAnsi="宋体" w:eastAsia="宋体" w:cs="宋体"/>
                <w:color w:val="auto"/>
                <w:highlight w:val="none"/>
                <w:lang w:eastAsia="zh-CN"/>
              </w:rPr>
            </w:pPr>
          </w:p>
        </w:tc>
        <w:tc>
          <w:tcPr>
            <w:tcW w:w="1278" w:type="dxa"/>
            <w:vMerge w:val="continue"/>
            <w:tcBorders>
              <w:top w:val="nil"/>
              <w:left w:val="nil"/>
              <w:bottom w:val="single" w:color="000000" w:sz="4" w:space="0"/>
              <w:right w:val="single" w:color="000000" w:sz="4" w:space="0"/>
            </w:tcBorders>
          </w:tcPr>
          <w:p w14:paraId="0D5405B2">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5CBE7C4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天通卫星通信系统</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4D9F6AF5">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1套</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2A53D8ED">
            <w:pPr>
              <w:pStyle w:val="175"/>
              <w:jc w:val="center"/>
              <w:rPr>
                <w:rFonts w:hint="default" w:ascii="宋体" w:hAnsi="宋体" w:eastAsia="宋体" w:cs="宋体"/>
                <w:color w:val="auto"/>
                <w:highlight w:val="none"/>
              </w:rPr>
            </w:pPr>
          </w:p>
        </w:tc>
      </w:tr>
      <w:tr w14:paraId="7C16D0C7">
        <w:tblPrEx>
          <w:tblCellMar>
            <w:top w:w="0" w:type="dxa"/>
            <w:left w:w="108" w:type="dxa"/>
            <w:bottom w:w="0" w:type="dxa"/>
            <w:right w:w="108" w:type="dxa"/>
          </w:tblCellMar>
        </w:tblPrEx>
        <w:tc>
          <w:tcPr>
            <w:tcW w:w="789" w:type="dxa"/>
            <w:vMerge w:val="continue"/>
            <w:tcBorders>
              <w:top w:val="nil"/>
              <w:left w:val="single" w:color="000000" w:sz="4" w:space="0"/>
              <w:bottom w:val="single" w:color="000000" w:sz="4" w:space="0"/>
              <w:right w:val="single" w:color="000000" w:sz="4" w:space="0"/>
            </w:tcBorders>
          </w:tcPr>
          <w:p w14:paraId="7C1D3F0E">
            <w:pPr>
              <w:jc w:val="center"/>
              <w:rPr>
                <w:rFonts w:ascii="宋体" w:hAnsi="宋体" w:cs="宋体"/>
                <w:color w:val="auto"/>
                <w:highlight w:val="none"/>
              </w:rPr>
            </w:pPr>
          </w:p>
        </w:tc>
        <w:tc>
          <w:tcPr>
            <w:tcW w:w="1278" w:type="dxa"/>
            <w:vMerge w:val="continue"/>
            <w:tcBorders>
              <w:top w:val="nil"/>
              <w:left w:val="nil"/>
              <w:bottom w:val="single" w:color="000000" w:sz="4" w:space="0"/>
              <w:right w:val="single" w:color="000000" w:sz="4" w:space="0"/>
            </w:tcBorders>
          </w:tcPr>
          <w:p w14:paraId="1CD25BAA">
            <w:pPr>
              <w:rPr>
                <w:rFonts w:ascii="宋体" w:hAnsi="宋体" w:cs="宋体"/>
                <w:color w:val="auto"/>
                <w:highlight w:val="none"/>
              </w:rPr>
            </w:pPr>
          </w:p>
        </w:tc>
        <w:tc>
          <w:tcPr>
            <w:tcW w:w="809" w:type="dxa"/>
            <w:tcBorders>
              <w:top w:val="nil"/>
              <w:left w:val="nil"/>
              <w:bottom w:val="single" w:color="000000" w:sz="4" w:space="0"/>
              <w:right w:val="single" w:color="000000" w:sz="4" w:space="0"/>
            </w:tcBorders>
            <w:tcMar>
              <w:top w:w="0" w:type="dxa"/>
              <w:left w:w="105" w:type="dxa"/>
              <w:bottom w:w="0" w:type="dxa"/>
              <w:right w:w="105" w:type="dxa"/>
            </w:tcMar>
          </w:tcPr>
          <w:p w14:paraId="73CCE785">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w:t>
            </w:r>
          </w:p>
        </w:tc>
        <w:tc>
          <w:tcPr>
            <w:tcW w:w="2290" w:type="dxa"/>
            <w:gridSpan w:val="2"/>
            <w:tcBorders>
              <w:top w:val="nil"/>
              <w:left w:val="nil"/>
              <w:bottom w:val="single" w:color="000000" w:sz="4" w:space="0"/>
              <w:right w:val="single" w:color="000000" w:sz="4" w:space="0"/>
            </w:tcBorders>
            <w:tcMar>
              <w:top w:w="0" w:type="dxa"/>
              <w:left w:w="105" w:type="dxa"/>
              <w:bottom w:w="0" w:type="dxa"/>
              <w:right w:w="105" w:type="dxa"/>
            </w:tcMar>
          </w:tcPr>
          <w:p w14:paraId="1E6177FF">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天通卫星天线</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29D6B8B5">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1件</w:t>
            </w:r>
          </w:p>
        </w:tc>
        <w:tc>
          <w:tcPr>
            <w:tcW w:w="258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3F7BBB6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机身顶部25～27框</w:t>
            </w:r>
          </w:p>
        </w:tc>
      </w:tr>
      <w:tr w14:paraId="4091F519">
        <w:tblPrEx>
          <w:tblCellMar>
            <w:top w:w="0" w:type="dxa"/>
            <w:left w:w="108" w:type="dxa"/>
            <w:bottom w:w="0" w:type="dxa"/>
            <w:right w:w="108" w:type="dxa"/>
          </w:tblCellMar>
        </w:tblPrEx>
        <w:tc>
          <w:tcPr>
            <w:tcW w:w="789" w:type="dxa"/>
            <w:vMerge w:val="continue"/>
            <w:tcBorders>
              <w:top w:val="nil"/>
              <w:left w:val="single" w:color="000000" w:sz="4" w:space="0"/>
              <w:bottom w:val="single" w:color="000000" w:sz="4" w:space="0"/>
              <w:right w:val="single" w:color="000000" w:sz="4" w:space="0"/>
            </w:tcBorders>
          </w:tcPr>
          <w:p w14:paraId="55C12343">
            <w:pPr>
              <w:jc w:val="center"/>
              <w:rPr>
                <w:rFonts w:ascii="宋体" w:hAnsi="宋体" w:cs="宋体"/>
                <w:color w:val="auto"/>
                <w:highlight w:val="none"/>
              </w:rPr>
            </w:pPr>
          </w:p>
        </w:tc>
        <w:tc>
          <w:tcPr>
            <w:tcW w:w="1278" w:type="dxa"/>
            <w:vMerge w:val="continue"/>
            <w:tcBorders>
              <w:top w:val="nil"/>
              <w:left w:val="nil"/>
              <w:bottom w:val="single" w:color="000000" w:sz="4" w:space="0"/>
              <w:right w:val="single" w:color="000000" w:sz="4" w:space="0"/>
            </w:tcBorders>
          </w:tcPr>
          <w:p w14:paraId="3D421489">
            <w:pPr>
              <w:rPr>
                <w:rFonts w:ascii="宋体" w:hAnsi="宋体" w:cs="宋体"/>
                <w:color w:val="auto"/>
                <w:highlight w:val="none"/>
              </w:rPr>
            </w:pPr>
          </w:p>
        </w:tc>
        <w:tc>
          <w:tcPr>
            <w:tcW w:w="809" w:type="dxa"/>
            <w:tcBorders>
              <w:top w:val="nil"/>
              <w:left w:val="nil"/>
              <w:bottom w:val="single" w:color="000000" w:sz="4" w:space="0"/>
              <w:right w:val="single" w:color="000000" w:sz="4" w:space="0"/>
            </w:tcBorders>
            <w:tcMar>
              <w:top w:w="0" w:type="dxa"/>
              <w:left w:w="105" w:type="dxa"/>
              <w:bottom w:w="0" w:type="dxa"/>
              <w:right w:w="105" w:type="dxa"/>
            </w:tcMar>
          </w:tcPr>
          <w:p w14:paraId="600CA31F">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w:t>
            </w:r>
          </w:p>
        </w:tc>
        <w:tc>
          <w:tcPr>
            <w:tcW w:w="2290" w:type="dxa"/>
            <w:gridSpan w:val="2"/>
            <w:tcBorders>
              <w:top w:val="nil"/>
              <w:left w:val="nil"/>
              <w:bottom w:val="single" w:color="000000" w:sz="4" w:space="0"/>
              <w:right w:val="single" w:color="000000" w:sz="4" w:space="0"/>
            </w:tcBorders>
            <w:tcMar>
              <w:top w:w="0" w:type="dxa"/>
              <w:left w:w="105" w:type="dxa"/>
              <w:bottom w:w="0" w:type="dxa"/>
              <w:right w:w="105" w:type="dxa"/>
            </w:tcMar>
          </w:tcPr>
          <w:p w14:paraId="28424978">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天通终端通信盒</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64E37176">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1件</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075B4B68">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27～28框地板下</w:t>
            </w:r>
          </w:p>
        </w:tc>
      </w:tr>
      <w:tr w14:paraId="3B382967">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C23C4B">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07401961">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351E5A51">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机载通信综合控制设备</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26ACA7FC">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1台</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08314195">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任务设备机柜</w:t>
            </w:r>
          </w:p>
        </w:tc>
      </w:tr>
      <w:tr w14:paraId="4C8827FF">
        <w:tblPrEx>
          <w:tblCellMar>
            <w:top w:w="0" w:type="dxa"/>
            <w:left w:w="108" w:type="dxa"/>
            <w:bottom w:w="0" w:type="dxa"/>
            <w:right w:w="108" w:type="dxa"/>
          </w:tblCellMar>
        </w:tblPrEx>
        <w:tc>
          <w:tcPr>
            <w:tcW w:w="78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01ABE4">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408D6954">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17D6695D">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综合机内通话系统</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09C2C64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1套</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7C44F78A">
            <w:pPr>
              <w:pStyle w:val="175"/>
              <w:jc w:val="center"/>
              <w:rPr>
                <w:rFonts w:hint="default" w:ascii="宋体" w:hAnsi="宋体" w:eastAsia="宋体" w:cs="宋体"/>
                <w:color w:val="auto"/>
                <w:highlight w:val="none"/>
              </w:rPr>
            </w:pPr>
          </w:p>
        </w:tc>
      </w:tr>
      <w:tr w14:paraId="4241E7BC">
        <w:tblPrEx>
          <w:tblCellMar>
            <w:top w:w="0" w:type="dxa"/>
            <w:left w:w="108" w:type="dxa"/>
            <w:bottom w:w="0" w:type="dxa"/>
            <w:right w:w="108" w:type="dxa"/>
          </w:tblCellMar>
        </w:tblPrEx>
        <w:tc>
          <w:tcPr>
            <w:tcW w:w="789" w:type="dxa"/>
            <w:vMerge w:val="continue"/>
            <w:tcBorders>
              <w:top w:val="nil"/>
              <w:left w:val="single" w:color="000000" w:sz="4" w:space="0"/>
              <w:bottom w:val="single" w:color="000000" w:sz="4" w:space="0"/>
              <w:right w:val="single" w:color="000000" w:sz="4" w:space="0"/>
            </w:tcBorders>
          </w:tcPr>
          <w:p w14:paraId="38AE0D25">
            <w:pPr>
              <w:jc w:val="center"/>
              <w:rPr>
                <w:rFonts w:ascii="宋体" w:hAnsi="宋体" w:cs="宋体"/>
                <w:color w:val="auto"/>
                <w:highlight w:val="none"/>
              </w:rPr>
            </w:pPr>
          </w:p>
        </w:tc>
        <w:tc>
          <w:tcPr>
            <w:tcW w:w="1278" w:type="dxa"/>
            <w:vMerge w:val="continue"/>
            <w:tcBorders>
              <w:top w:val="nil"/>
              <w:left w:val="nil"/>
              <w:bottom w:val="single" w:color="000000" w:sz="4" w:space="0"/>
              <w:right w:val="single" w:color="000000" w:sz="4" w:space="0"/>
            </w:tcBorders>
          </w:tcPr>
          <w:p w14:paraId="11396123">
            <w:pPr>
              <w:rPr>
                <w:rFonts w:ascii="宋体" w:hAnsi="宋体" w:cs="宋体"/>
                <w:color w:val="auto"/>
                <w:highlight w:val="none"/>
              </w:rPr>
            </w:pPr>
          </w:p>
        </w:tc>
        <w:tc>
          <w:tcPr>
            <w:tcW w:w="809" w:type="dxa"/>
            <w:tcBorders>
              <w:top w:val="nil"/>
              <w:left w:val="nil"/>
              <w:bottom w:val="single" w:color="000000" w:sz="4" w:space="0"/>
              <w:right w:val="single" w:color="000000" w:sz="4" w:space="0"/>
            </w:tcBorders>
            <w:tcMar>
              <w:top w:w="0" w:type="dxa"/>
              <w:left w:w="105" w:type="dxa"/>
              <w:bottom w:w="0" w:type="dxa"/>
              <w:right w:w="105" w:type="dxa"/>
            </w:tcMar>
          </w:tcPr>
          <w:p w14:paraId="18542C8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w:t>
            </w:r>
          </w:p>
        </w:tc>
        <w:tc>
          <w:tcPr>
            <w:tcW w:w="2290" w:type="dxa"/>
            <w:gridSpan w:val="2"/>
            <w:tcBorders>
              <w:top w:val="nil"/>
              <w:left w:val="nil"/>
              <w:bottom w:val="single" w:color="000000" w:sz="4" w:space="0"/>
              <w:right w:val="single" w:color="000000" w:sz="4" w:space="0"/>
            </w:tcBorders>
            <w:tcMar>
              <w:top w:w="0" w:type="dxa"/>
              <w:left w:w="105" w:type="dxa"/>
              <w:bottom w:w="0" w:type="dxa"/>
              <w:right w:w="105" w:type="dxa"/>
            </w:tcMar>
          </w:tcPr>
          <w:p w14:paraId="5D67AFB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机通主机</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22C2BBB2">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1件</w:t>
            </w:r>
          </w:p>
        </w:tc>
        <w:tc>
          <w:tcPr>
            <w:tcW w:w="258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64FDD0BB">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任务系统左操作台</w:t>
            </w:r>
          </w:p>
        </w:tc>
      </w:tr>
      <w:tr w14:paraId="45E985CA">
        <w:tblPrEx>
          <w:tblCellMar>
            <w:top w:w="0" w:type="dxa"/>
            <w:left w:w="108" w:type="dxa"/>
            <w:bottom w:w="0" w:type="dxa"/>
            <w:right w:w="108" w:type="dxa"/>
          </w:tblCellMar>
        </w:tblPrEx>
        <w:tc>
          <w:tcPr>
            <w:tcW w:w="789" w:type="dxa"/>
            <w:vMerge w:val="continue"/>
            <w:tcBorders>
              <w:top w:val="nil"/>
              <w:left w:val="single" w:color="000000" w:sz="4" w:space="0"/>
              <w:bottom w:val="single" w:color="000000" w:sz="4" w:space="0"/>
              <w:right w:val="single" w:color="000000" w:sz="4" w:space="0"/>
            </w:tcBorders>
          </w:tcPr>
          <w:p w14:paraId="1DFEB206">
            <w:pPr>
              <w:jc w:val="center"/>
              <w:rPr>
                <w:rFonts w:ascii="宋体" w:hAnsi="宋体" w:cs="宋体"/>
                <w:color w:val="auto"/>
                <w:highlight w:val="none"/>
              </w:rPr>
            </w:pPr>
          </w:p>
        </w:tc>
        <w:tc>
          <w:tcPr>
            <w:tcW w:w="1278" w:type="dxa"/>
            <w:vMerge w:val="continue"/>
            <w:tcBorders>
              <w:top w:val="nil"/>
              <w:left w:val="nil"/>
              <w:bottom w:val="single" w:color="000000" w:sz="4" w:space="0"/>
              <w:right w:val="single" w:color="000000" w:sz="4" w:space="0"/>
            </w:tcBorders>
          </w:tcPr>
          <w:p w14:paraId="2F2A8771">
            <w:pPr>
              <w:rPr>
                <w:rFonts w:ascii="宋体" w:hAnsi="宋体" w:cs="宋体"/>
                <w:color w:val="auto"/>
                <w:highlight w:val="none"/>
              </w:rPr>
            </w:pPr>
          </w:p>
        </w:tc>
        <w:tc>
          <w:tcPr>
            <w:tcW w:w="809" w:type="dxa"/>
            <w:tcBorders>
              <w:top w:val="nil"/>
              <w:left w:val="nil"/>
              <w:bottom w:val="single" w:color="000000" w:sz="4" w:space="0"/>
              <w:right w:val="single" w:color="000000" w:sz="4" w:space="0"/>
            </w:tcBorders>
            <w:tcMar>
              <w:top w:w="0" w:type="dxa"/>
              <w:left w:w="105" w:type="dxa"/>
              <w:bottom w:w="0" w:type="dxa"/>
              <w:right w:w="105" w:type="dxa"/>
            </w:tcMar>
          </w:tcPr>
          <w:p w14:paraId="7F159C68">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w:t>
            </w:r>
          </w:p>
        </w:tc>
        <w:tc>
          <w:tcPr>
            <w:tcW w:w="2290" w:type="dxa"/>
            <w:gridSpan w:val="2"/>
            <w:tcBorders>
              <w:top w:val="nil"/>
              <w:left w:val="nil"/>
              <w:bottom w:val="single" w:color="000000" w:sz="4" w:space="0"/>
              <w:right w:val="single" w:color="000000" w:sz="4" w:space="0"/>
            </w:tcBorders>
            <w:tcMar>
              <w:top w:w="0" w:type="dxa"/>
              <w:left w:w="105" w:type="dxa"/>
              <w:bottom w:w="0" w:type="dxa"/>
              <w:right w:w="105" w:type="dxa"/>
            </w:tcMar>
          </w:tcPr>
          <w:p w14:paraId="25369E0D">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机通控制器</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4B3EB412">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2件</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000D22FF">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任务系统左、右操作台各1件</w:t>
            </w:r>
          </w:p>
        </w:tc>
      </w:tr>
      <w:tr w14:paraId="718F926D">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C7865F">
            <w:pPr>
              <w:pStyle w:val="175"/>
              <w:numPr>
                <w:ilvl w:val="0"/>
                <w:numId w:val="1"/>
              </w:numPr>
              <w:jc w:val="center"/>
              <w:rPr>
                <w:rFonts w:hint="default" w:ascii="宋体" w:hAnsi="宋体" w:eastAsia="宋体" w:cs="宋体"/>
                <w:color w:val="auto"/>
                <w:highlight w:val="none"/>
                <w:lang w:eastAsia="zh-CN"/>
              </w:rPr>
            </w:pPr>
          </w:p>
        </w:tc>
        <w:tc>
          <w:tcPr>
            <w:tcW w:w="1278" w:type="dxa"/>
            <w:vMerge w:val="restart"/>
            <w:tcBorders>
              <w:top w:val="nil"/>
              <w:left w:val="nil"/>
              <w:bottom w:val="single" w:color="000000" w:sz="4" w:space="0"/>
              <w:right w:val="single" w:color="000000" w:sz="4" w:space="0"/>
            </w:tcBorders>
            <w:tcMar>
              <w:top w:w="0" w:type="dxa"/>
              <w:left w:w="105" w:type="dxa"/>
              <w:bottom w:w="0" w:type="dxa"/>
              <w:right w:w="105" w:type="dxa"/>
            </w:tcMar>
          </w:tcPr>
          <w:p w14:paraId="7445A044">
            <w:pPr>
              <w:pStyle w:val="175"/>
              <w:rPr>
                <w:rFonts w:hint="default" w:ascii="宋体" w:hAnsi="宋体" w:eastAsia="宋体" w:cs="宋体"/>
                <w:color w:val="auto"/>
                <w:highlight w:val="none"/>
              </w:rPr>
            </w:pPr>
            <w:r>
              <w:rPr>
                <w:rFonts w:ascii="宋体" w:hAnsi="宋体" w:eastAsia="宋体" w:cs="宋体"/>
                <w:color w:val="auto"/>
                <w:sz w:val="21"/>
                <w:highlight w:val="none"/>
              </w:rPr>
              <w:t>任务电源子系统</w:t>
            </w: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4675E7B5">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变压整流器</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7782D091">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2台</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319F7A0D">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任务设备机柜</w:t>
            </w:r>
          </w:p>
        </w:tc>
      </w:tr>
      <w:tr w14:paraId="3CD03E20">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F85175">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097BB913">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7083243C">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变频器</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7616F8F0">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1台</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66D4C17F">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任务设备机柜</w:t>
            </w:r>
          </w:p>
        </w:tc>
      </w:tr>
      <w:tr w14:paraId="2BF99BF4">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982CE4">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2651CA6D">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698106F8">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电源显控器</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53527183">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1台</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6A1EC930">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任务系统右操作台</w:t>
            </w:r>
          </w:p>
        </w:tc>
      </w:tr>
      <w:tr w14:paraId="0291A70A">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3EA6F1">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134020CA">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69DC35EC">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智能配电箱</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1868B1F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1套</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1AF5506E">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任务设备机柜</w:t>
            </w:r>
          </w:p>
        </w:tc>
      </w:tr>
      <w:tr w14:paraId="5F8A0284">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886F68">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164279D1">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67685C4C">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作业备份配电板</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391FD1E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0E209124">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右操作台</w:t>
            </w:r>
          </w:p>
        </w:tc>
      </w:tr>
      <w:tr w14:paraId="7D235089">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649F40">
            <w:pPr>
              <w:pStyle w:val="175"/>
              <w:numPr>
                <w:ilvl w:val="0"/>
                <w:numId w:val="1"/>
              </w:numPr>
              <w:jc w:val="center"/>
              <w:rPr>
                <w:rFonts w:hint="default" w:ascii="宋体" w:hAnsi="宋体" w:eastAsia="宋体" w:cs="宋体"/>
                <w:color w:val="auto"/>
                <w:highlight w:val="none"/>
              </w:rPr>
            </w:pPr>
          </w:p>
        </w:tc>
        <w:tc>
          <w:tcPr>
            <w:tcW w:w="1278" w:type="dxa"/>
            <w:vMerge w:val="restart"/>
            <w:tcBorders>
              <w:top w:val="nil"/>
              <w:left w:val="nil"/>
              <w:bottom w:val="single" w:color="000000" w:sz="4" w:space="0"/>
              <w:right w:val="single" w:color="000000" w:sz="4" w:space="0"/>
            </w:tcBorders>
            <w:tcMar>
              <w:top w:w="0" w:type="dxa"/>
              <w:left w:w="105" w:type="dxa"/>
              <w:bottom w:w="0" w:type="dxa"/>
              <w:right w:w="105" w:type="dxa"/>
            </w:tcMar>
          </w:tcPr>
          <w:p w14:paraId="5DE69BCF">
            <w:pPr>
              <w:pStyle w:val="175"/>
              <w:rPr>
                <w:rFonts w:hint="default" w:ascii="宋体" w:hAnsi="宋体" w:eastAsia="宋体" w:cs="宋体"/>
                <w:color w:val="auto"/>
                <w:highlight w:val="none"/>
              </w:rPr>
            </w:pPr>
            <w:r>
              <w:rPr>
                <w:rFonts w:ascii="宋体" w:hAnsi="宋体" w:eastAsia="宋体" w:cs="宋体"/>
                <w:color w:val="auto"/>
                <w:sz w:val="21"/>
                <w:highlight w:val="none"/>
              </w:rPr>
              <w:t>任务集成系统</w:t>
            </w: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4CC7A2BA">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显控计算机</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3CB450D2">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2台</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30B98508">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任务系统左、右操作台1台</w:t>
            </w:r>
          </w:p>
        </w:tc>
      </w:tr>
      <w:tr w14:paraId="0A924C66">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6611CD">
            <w:pPr>
              <w:pStyle w:val="175"/>
              <w:numPr>
                <w:ilvl w:val="0"/>
                <w:numId w:val="1"/>
              </w:numPr>
              <w:jc w:val="center"/>
              <w:rPr>
                <w:rFonts w:hint="default" w:ascii="宋体" w:hAnsi="宋体" w:eastAsia="宋体" w:cs="宋体"/>
                <w:color w:val="auto"/>
                <w:highlight w:val="none"/>
                <w:lang w:eastAsia="zh-CN"/>
              </w:rPr>
            </w:pPr>
          </w:p>
        </w:tc>
        <w:tc>
          <w:tcPr>
            <w:tcW w:w="1278" w:type="dxa"/>
            <w:vMerge w:val="continue"/>
            <w:tcBorders>
              <w:top w:val="nil"/>
              <w:left w:val="nil"/>
              <w:bottom w:val="single" w:color="000000" w:sz="4" w:space="0"/>
              <w:right w:val="single" w:color="000000" w:sz="4" w:space="0"/>
            </w:tcBorders>
          </w:tcPr>
          <w:p w14:paraId="05C36711">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1D49309E">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显示器</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6E9E39C3">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4台</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4B7997E5">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任务系统左、右操作台2台</w:t>
            </w:r>
          </w:p>
        </w:tc>
      </w:tr>
      <w:tr w14:paraId="208FB39C">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344D40">
            <w:pPr>
              <w:pStyle w:val="175"/>
              <w:numPr>
                <w:ilvl w:val="0"/>
                <w:numId w:val="1"/>
              </w:numPr>
              <w:jc w:val="center"/>
              <w:rPr>
                <w:rFonts w:hint="default" w:ascii="宋体" w:hAnsi="宋体" w:eastAsia="宋体" w:cs="宋体"/>
                <w:color w:val="auto"/>
                <w:highlight w:val="none"/>
                <w:lang w:eastAsia="zh-CN"/>
              </w:rPr>
            </w:pPr>
          </w:p>
        </w:tc>
        <w:tc>
          <w:tcPr>
            <w:tcW w:w="1278" w:type="dxa"/>
            <w:vMerge w:val="continue"/>
            <w:tcBorders>
              <w:top w:val="nil"/>
              <w:left w:val="nil"/>
              <w:bottom w:val="single" w:color="000000" w:sz="4" w:space="0"/>
              <w:right w:val="single" w:color="000000" w:sz="4" w:space="0"/>
            </w:tcBorders>
          </w:tcPr>
          <w:p w14:paraId="3C558C02">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5A5B58D1">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键盘鼠标组件</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549FEBB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2套</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7A2B6CD4">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任务系统左、右操作台1套</w:t>
            </w:r>
          </w:p>
        </w:tc>
      </w:tr>
      <w:tr w14:paraId="7312CC72">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71D3ED">
            <w:pPr>
              <w:pStyle w:val="175"/>
              <w:numPr>
                <w:ilvl w:val="0"/>
                <w:numId w:val="1"/>
              </w:numPr>
              <w:jc w:val="center"/>
              <w:rPr>
                <w:rFonts w:hint="default" w:ascii="宋体" w:hAnsi="宋体" w:eastAsia="宋体" w:cs="宋体"/>
                <w:color w:val="auto"/>
                <w:highlight w:val="none"/>
                <w:lang w:eastAsia="zh-CN"/>
              </w:rPr>
            </w:pPr>
          </w:p>
        </w:tc>
        <w:tc>
          <w:tcPr>
            <w:tcW w:w="1278" w:type="dxa"/>
            <w:vMerge w:val="continue"/>
            <w:tcBorders>
              <w:top w:val="nil"/>
              <w:left w:val="nil"/>
              <w:bottom w:val="single" w:color="000000" w:sz="4" w:space="0"/>
              <w:right w:val="single" w:color="000000" w:sz="4" w:space="0"/>
            </w:tcBorders>
          </w:tcPr>
          <w:p w14:paraId="1AD1B778">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511A737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机载千兆网络交换机</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36475D64">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46A5E420">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任务系统右操作台</w:t>
            </w:r>
          </w:p>
        </w:tc>
      </w:tr>
      <w:tr w14:paraId="57A213B2">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FEB899">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0CD3C736">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5727B775">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外部接口板</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72773508">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2F8CABD8">
            <w:pPr>
              <w:pStyle w:val="175"/>
              <w:jc w:val="center"/>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任务系统左、右操作台</w:t>
            </w:r>
          </w:p>
        </w:tc>
      </w:tr>
      <w:tr w14:paraId="715453A9">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8C79B4">
            <w:pPr>
              <w:pStyle w:val="175"/>
              <w:numPr>
                <w:ilvl w:val="0"/>
                <w:numId w:val="1"/>
              </w:numPr>
              <w:jc w:val="center"/>
              <w:rPr>
                <w:rFonts w:hint="default" w:ascii="宋体" w:hAnsi="宋体" w:eastAsia="宋体" w:cs="宋体"/>
                <w:color w:val="auto"/>
                <w:highlight w:val="none"/>
                <w:lang w:eastAsia="zh-CN"/>
              </w:rPr>
            </w:pPr>
          </w:p>
        </w:tc>
        <w:tc>
          <w:tcPr>
            <w:tcW w:w="1278" w:type="dxa"/>
            <w:vMerge w:val="continue"/>
            <w:tcBorders>
              <w:top w:val="nil"/>
              <w:left w:val="nil"/>
              <w:bottom w:val="single" w:color="000000" w:sz="4" w:space="0"/>
              <w:right w:val="single" w:color="000000" w:sz="4" w:space="0"/>
            </w:tcBorders>
          </w:tcPr>
          <w:p w14:paraId="3FEF4532">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659BF871">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综合控制板</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28D1BB2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1BECA388">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任务系统右操作台</w:t>
            </w:r>
          </w:p>
        </w:tc>
      </w:tr>
      <w:tr w14:paraId="7912210B">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9AF25D">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63CB77CD">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5248F95F">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信号切换设备</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58CBA5D0">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1台</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7C0EF04B">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右操作台</w:t>
            </w:r>
          </w:p>
        </w:tc>
      </w:tr>
      <w:tr w14:paraId="1AC739BA">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59C107">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1FB50C38">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720FB208">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左右操作台</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1B68EA80">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53756306">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工作舱21A～22框</w:t>
            </w:r>
          </w:p>
        </w:tc>
      </w:tr>
      <w:tr w14:paraId="374E500D">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DDF40A">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063CB8B4">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4626CB8C">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任务设备机柜</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537957F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4CA085C8">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工作舱10～11B框</w:t>
            </w:r>
          </w:p>
        </w:tc>
      </w:tr>
      <w:tr w14:paraId="2DDF2A08">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2B10AC">
            <w:pPr>
              <w:pStyle w:val="175"/>
              <w:numPr>
                <w:ilvl w:val="0"/>
                <w:numId w:val="1"/>
              </w:numPr>
              <w:jc w:val="center"/>
              <w:rPr>
                <w:rFonts w:hint="default" w:ascii="宋体" w:hAnsi="宋体" w:eastAsia="宋体" w:cs="宋体"/>
                <w:color w:val="auto"/>
                <w:highlight w:val="none"/>
              </w:rPr>
            </w:pPr>
          </w:p>
        </w:tc>
        <w:tc>
          <w:tcPr>
            <w:tcW w:w="1278" w:type="dxa"/>
            <w:vMerge w:val="restart"/>
            <w:tcBorders>
              <w:top w:val="nil"/>
              <w:left w:val="nil"/>
              <w:bottom w:val="single" w:color="000000" w:sz="4" w:space="0"/>
              <w:right w:val="single" w:color="000000" w:sz="4" w:space="0"/>
            </w:tcBorders>
            <w:tcMar>
              <w:top w:w="0" w:type="dxa"/>
              <w:left w:w="105" w:type="dxa"/>
              <w:bottom w:w="0" w:type="dxa"/>
              <w:right w:w="105" w:type="dxa"/>
            </w:tcMar>
          </w:tcPr>
          <w:p w14:paraId="2D7548A8">
            <w:pPr>
              <w:pStyle w:val="175"/>
              <w:rPr>
                <w:rFonts w:hint="default" w:ascii="宋体" w:hAnsi="宋体" w:eastAsia="宋体" w:cs="宋体"/>
                <w:color w:val="auto"/>
                <w:highlight w:val="none"/>
              </w:rPr>
            </w:pPr>
            <w:r>
              <w:rPr>
                <w:rFonts w:ascii="宋体" w:hAnsi="宋体" w:eastAsia="宋体" w:cs="宋体"/>
                <w:color w:val="auto"/>
                <w:sz w:val="21"/>
                <w:highlight w:val="none"/>
              </w:rPr>
              <w:t>光学窗口及照相舱门</w:t>
            </w: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6BEF4198">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照相舱门控制装置</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4760DFAC">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4E3ACC6B">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机腹11～14框</w:t>
            </w:r>
          </w:p>
        </w:tc>
      </w:tr>
      <w:tr w14:paraId="482571F6">
        <w:tblPrEx>
          <w:tblCellMar>
            <w:top w:w="0" w:type="dxa"/>
            <w:left w:w="108" w:type="dxa"/>
            <w:bottom w:w="0" w:type="dxa"/>
            <w:right w:w="108" w:type="dxa"/>
          </w:tblCellMar>
        </w:tblPrEx>
        <w:tc>
          <w:tcPr>
            <w:tcW w:w="78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F2BA15">
            <w:pPr>
              <w:pStyle w:val="175"/>
              <w:numPr>
                <w:ilvl w:val="0"/>
                <w:numId w:val="1"/>
              </w:numPr>
              <w:jc w:val="center"/>
              <w:rPr>
                <w:rFonts w:hint="default" w:ascii="宋体" w:hAnsi="宋体" w:eastAsia="宋体" w:cs="宋体"/>
                <w:color w:val="auto"/>
                <w:highlight w:val="none"/>
              </w:rPr>
            </w:pPr>
          </w:p>
        </w:tc>
        <w:tc>
          <w:tcPr>
            <w:tcW w:w="1278" w:type="dxa"/>
            <w:vMerge w:val="continue"/>
            <w:tcBorders>
              <w:top w:val="nil"/>
              <w:left w:val="nil"/>
              <w:bottom w:val="single" w:color="000000" w:sz="4" w:space="0"/>
              <w:right w:val="single" w:color="000000" w:sz="4" w:space="0"/>
            </w:tcBorders>
          </w:tcPr>
          <w:p w14:paraId="41447FFA">
            <w:pPr>
              <w:rPr>
                <w:rFonts w:ascii="宋体" w:hAnsi="宋体" w:cs="宋体"/>
                <w:color w:val="auto"/>
                <w:highlight w:val="none"/>
              </w:rPr>
            </w:pPr>
          </w:p>
        </w:tc>
        <w:tc>
          <w:tcPr>
            <w:tcW w:w="3099" w:type="dxa"/>
            <w:gridSpan w:val="3"/>
            <w:tcBorders>
              <w:top w:val="nil"/>
              <w:left w:val="nil"/>
              <w:bottom w:val="single" w:color="000000" w:sz="4" w:space="0"/>
              <w:right w:val="single" w:color="000000" w:sz="4" w:space="0"/>
            </w:tcBorders>
            <w:tcMar>
              <w:top w:w="0" w:type="dxa"/>
              <w:left w:w="105" w:type="dxa"/>
              <w:bottom w:w="0" w:type="dxa"/>
              <w:right w:w="105" w:type="dxa"/>
            </w:tcMar>
          </w:tcPr>
          <w:p w14:paraId="2752C45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光学玻璃</w:t>
            </w:r>
          </w:p>
        </w:tc>
        <w:tc>
          <w:tcPr>
            <w:tcW w:w="1091" w:type="dxa"/>
            <w:tcBorders>
              <w:top w:val="nil"/>
              <w:left w:val="nil"/>
              <w:bottom w:val="single" w:color="000000" w:sz="4" w:space="0"/>
              <w:right w:val="single" w:color="000000" w:sz="4" w:space="0"/>
            </w:tcBorders>
            <w:tcMar>
              <w:top w:w="0" w:type="dxa"/>
              <w:left w:w="105" w:type="dxa"/>
              <w:bottom w:w="0" w:type="dxa"/>
              <w:right w:w="105" w:type="dxa"/>
            </w:tcMar>
          </w:tcPr>
          <w:p w14:paraId="2961EC80">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1个</w:t>
            </w:r>
          </w:p>
        </w:tc>
        <w:tc>
          <w:tcPr>
            <w:tcW w:w="2580" w:type="dxa"/>
            <w:tcBorders>
              <w:top w:val="nil"/>
              <w:left w:val="nil"/>
              <w:bottom w:val="single" w:color="000000" w:sz="4" w:space="0"/>
              <w:right w:val="single" w:color="000000" w:sz="4" w:space="0"/>
            </w:tcBorders>
            <w:tcMar>
              <w:top w:w="0" w:type="dxa"/>
              <w:left w:w="105" w:type="dxa"/>
              <w:bottom w:w="0" w:type="dxa"/>
              <w:right w:w="105" w:type="dxa"/>
            </w:tcMar>
          </w:tcPr>
          <w:p w14:paraId="4CF41E7F">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机腹12～14框</w:t>
            </w:r>
          </w:p>
        </w:tc>
      </w:tr>
    </w:tbl>
    <w:p w14:paraId="20B13DFD">
      <w:pPr>
        <w:pStyle w:val="175"/>
        <w:spacing w:line="360" w:lineRule="auto"/>
        <w:ind w:firstLine="420"/>
        <w:rPr>
          <w:rFonts w:hint="default" w:ascii="宋体" w:hAnsi="宋体" w:eastAsia="宋体" w:cs="宋体"/>
          <w:color w:val="auto"/>
          <w:highlight w:val="none"/>
        </w:rPr>
      </w:pPr>
      <w:r>
        <w:rPr>
          <w:rFonts w:ascii="宋体" w:hAnsi="宋体" w:eastAsia="宋体" w:cs="宋体"/>
          <w:color w:val="auto"/>
          <w:sz w:val="21"/>
          <w:highlight w:val="none"/>
        </w:rPr>
        <w:t>（三）飞机焰条</w:t>
      </w:r>
    </w:p>
    <w:p w14:paraId="60F8887B">
      <w:pPr>
        <w:pStyle w:val="175"/>
        <w:spacing w:line="360" w:lineRule="auto"/>
        <w:rPr>
          <w:rFonts w:hint="default" w:ascii="宋体" w:hAnsi="宋体" w:eastAsia="宋体" w:cs="宋体"/>
          <w:color w:val="auto"/>
          <w:highlight w:val="none"/>
          <w:lang w:eastAsia="zh-CN"/>
        </w:rPr>
      </w:pPr>
      <w:r>
        <w:rPr>
          <w:rFonts w:ascii="宋体" w:hAnsi="宋体" w:eastAsia="宋体" w:cs="宋体"/>
          <w:color w:val="auto"/>
          <w:sz w:val="21"/>
          <w:highlight w:val="none"/>
          <w:lang w:eastAsia="zh-CN"/>
        </w:rPr>
        <w:t>机载催化作业子系统飞机焰条播撒装备飞机焰条性能见表3.</w:t>
      </w:r>
    </w:p>
    <w:p w14:paraId="30F5B7E1">
      <w:pPr>
        <w:pStyle w:val="175"/>
        <w:spacing w:line="360" w:lineRule="auto"/>
        <w:ind w:firstLine="211" w:firstLineChars="100"/>
        <w:jc w:val="both"/>
        <w:rPr>
          <w:rFonts w:hint="default" w:eastAsia="仿宋_GB2312"/>
          <w:color w:val="auto"/>
          <w:highlight w:val="none"/>
          <w:lang w:eastAsia="zh-CN"/>
        </w:rPr>
      </w:pPr>
      <w:r>
        <w:rPr>
          <w:rFonts w:ascii="仿宋_GB2312" w:hAnsi="仿宋_GB2312" w:eastAsia="仿宋_GB2312" w:cs="仿宋_GB2312"/>
          <w:b/>
          <w:color w:val="auto"/>
          <w:sz w:val="21"/>
          <w:highlight w:val="none"/>
          <w:lang w:eastAsia="zh-CN"/>
        </w:rPr>
        <w:t>表3 飞机焰条性能需求表：</w:t>
      </w:r>
    </w:p>
    <w:tbl>
      <w:tblPr>
        <w:tblStyle w:val="51"/>
        <w:tblW w:w="0" w:type="auto"/>
        <w:tblInd w:w="120" w:type="dxa"/>
        <w:tblLayout w:type="autofit"/>
        <w:tblCellMar>
          <w:top w:w="0" w:type="dxa"/>
          <w:left w:w="108" w:type="dxa"/>
          <w:bottom w:w="0" w:type="dxa"/>
          <w:right w:w="108" w:type="dxa"/>
        </w:tblCellMar>
      </w:tblPr>
      <w:tblGrid>
        <w:gridCol w:w="3747"/>
        <w:gridCol w:w="5072"/>
      </w:tblGrid>
      <w:tr w14:paraId="6B9B3DA8">
        <w:tblPrEx>
          <w:tblCellMar>
            <w:top w:w="0" w:type="dxa"/>
            <w:left w:w="108" w:type="dxa"/>
            <w:bottom w:w="0" w:type="dxa"/>
            <w:right w:w="108" w:type="dxa"/>
          </w:tblCellMar>
        </w:tblPrEx>
        <w:trPr>
          <w:trHeight w:val="293" w:hRule="atLeast"/>
        </w:trPr>
        <w:tc>
          <w:tcPr>
            <w:tcW w:w="374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61ED40BB">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项目</w:t>
            </w:r>
          </w:p>
        </w:tc>
        <w:tc>
          <w:tcPr>
            <w:tcW w:w="5072"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529550D5">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性能参数描述</w:t>
            </w:r>
          </w:p>
        </w:tc>
      </w:tr>
      <w:tr w14:paraId="4ED57A9A">
        <w:tblPrEx>
          <w:tblCellMar>
            <w:top w:w="0" w:type="dxa"/>
            <w:left w:w="108" w:type="dxa"/>
            <w:bottom w:w="0" w:type="dxa"/>
            <w:right w:w="108" w:type="dxa"/>
          </w:tblCellMar>
        </w:tblPrEx>
        <w:trPr>
          <w:trHeight w:val="293" w:hRule="atLeast"/>
        </w:trPr>
        <w:tc>
          <w:tcPr>
            <w:tcW w:w="3747"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4E5F90B">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焰条直径</w:t>
            </w:r>
          </w:p>
        </w:tc>
        <w:tc>
          <w:tcPr>
            <w:tcW w:w="5072" w:type="dxa"/>
            <w:tcBorders>
              <w:top w:val="nil"/>
              <w:left w:val="nil"/>
              <w:bottom w:val="single" w:color="000000" w:sz="4" w:space="0"/>
              <w:right w:val="single" w:color="000000" w:sz="4" w:space="0"/>
            </w:tcBorders>
            <w:tcMar>
              <w:top w:w="0" w:type="dxa"/>
              <w:left w:w="0" w:type="dxa"/>
              <w:bottom w:w="0" w:type="dxa"/>
              <w:right w:w="0" w:type="dxa"/>
            </w:tcMar>
          </w:tcPr>
          <w:p w14:paraId="6D51E2C0">
            <w:pPr>
              <w:pStyle w:val="175"/>
              <w:ind w:firstLine="420"/>
              <w:jc w:val="center"/>
              <w:rPr>
                <w:rFonts w:hint="default" w:ascii="宋体" w:hAnsi="宋体" w:eastAsia="宋体" w:cs="宋体"/>
                <w:color w:val="auto"/>
                <w:highlight w:val="none"/>
              </w:rPr>
            </w:pPr>
            <w:r>
              <w:rPr>
                <w:rFonts w:ascii="宋体" w:hAnsi="宋体" w:eastAsia="宋体" w:cs="宋体"/>
                <w:color w:val="auto"/>
                <w:sz w:val="21"/>
                <w:highlight w:val="none"/>
              </w:rPr>
              <w:t>Φ60 mm</w:t>
            </w:r>
          </w:p>
        </w:tc>
      </w:tr>
      <w:tr w14:paraId="5BE18509">
        <w:tblPrEx>
          <w:tblCellMar>
            <w:top w:w="0" w:type="dxa"/>
            <w:left w:w="108" w:type="dxa"/>
            <w:bottom w:w="0" w:type="dxa"/>
            <w:right w:w="108" w:type="dxa"/>
          </w:tblCellMar>
        </w:tblPrEx>
        <w:trPr>
          <w:trHeight w:val="293" w:hRule="atLeast"/>
        </w:trPr>
        <w:tc>
          <w:tcPr>
            <w:tcW w:w="3747"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3D1C908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焰条长度</w:t>
            </w:r>
          </w:p>
        </w:tc>
        <w:tc>
          <w:tcPr>
            <w:tcW w:w="5072" w:type="dxa"/>
            <w:tcBorders>
              <w:top w:val="nil"/>
              <w:left w:val="nil"/>
              <w:bottom w:val="single" w:color="000000" w:sz="4" w:space="0"/>
              <w:right w:val="single" w:color="000000" w:sz="4" w:space="0"/>
            </w:tcBorders>
            <w:tcMar>
              <w:top w:w="0" w:type="dxa"/>
              <w:left w:w="0" w:type="dxa"/>
              <w:bottom w:w="0" w:type="dxa"/>
              <w:right w:w="0" w:type="dxa"/>
            </w:tcMar>
          </w:tcPr>
          <w:p w14:paraId="549E657A">
            <w:pPr>
              <w:pStyle w:val="175"/>
              <w:ind w:firstLine="420"/>
              <w:jc w:val="center"/>
              <w:rPr>
                <w:rFonts w:hint="default" w:ascii="宋体" w:hAnsi="宋体" w:eastAsia="宋体" w:cs="宋体"/>
                <w:color w:val="auto"/>
                <w:highlight w:val="none"/>
              </w:rPr>
            </w:pPr>
            <w:r>
              <w:rPr>
                <w:rFonts w:ascii="宋体" w:hAnsi="宋体" w:eastAsia="宋体" w:cs="宋体"/>
                <w:color w:val="auto"/>
                <w:sz w:val="21"/>
                <w:highlight w:val="none"/>
              </w:rPr>
              <w:t>964mm±1mm</w:t>
            </w:r>
          </w:p>
        </w:tc>
      </w:tr>
      <w:tr w14:paraId="733B95ED">
        <w:tblPrEx>
          <w:tblCellMar>
            <w:top w:w="0" w:type="dxa"/>
            <w:left w:w="108" w:type="dxa"/>
            <w:bottom w:w="0" w:type="dxa"/>
            <w:right w:w="108" w:type="dxa"/>
          </w:tblCellMar>
        </w:tblPrEx>
        <w:trPr>
          <w:trHeight w:val="293" w:hRule="atLeast"/>
        </w:trPr>
        <w:tc>
          <w:tcPr>
            <w:tcW w:w="3747"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431B303">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焰条质量</w:t>
            </w:r>
          </w:p>
        </w:tc>
        <w:tc>
          <w:tcPr>
            <w:tcW w:w="5072" w:type="dxa"/>
            <w:tcBorders>
              <w:top w:val="nil"/>
              <w:left w:val="nil"/>
              <w:bottom w:val="single" w:color="000000" w:sz="4" w:space="0"/>
              <w:right w:val="single" w:color="000000" w:sz="4" w:space="0"/>
            </w:tcBorders>
            <w:tcMar>
              <w:top w:w="0" w:type="dxa"/>
              <w:left w:w="0" w:type="dxa"/>
              <w:bottom w:w="0" w:type="dxa"/>
              <w:right w:w="0" w:type="dxa"/>
            </w:tcMar>
          </w:tcPr>
          <w:p w14:paraId="68B17B10">
            <w:pPr>
              <w:pStyle w:val="175"/>
              <w:ind w:firstLine="420"/>
              <w:jc w:val="center"/>
              <w:rPr>
                <w:rFonts w:hint="default" w:ascii="宋体" w:hAnsi="宋体" w:eastAsia="宋体" w:cs="宋体"/>
                <w:color w:val="auto"/>
                <w:highlight w:val="none"/>
              </w:rPr>
            </w:pPr>
            <w:r>
              <w:rPr>
                <w:rFonts w:ascii="宋体" w:hAnsi="宋体" w:eastAsia="宋体" w:cs="宋体"/>
                <w:color w:val="auto"/>
                <w:sz w:val="21"/>
                <w:highlight w:val="none"/>
              </w:rPr>
              <w:t>3.5kg±0.5kg</w:t>
            </w:r>
          </w:p>
        </w:tc>
      </w:tr>
      <w:tr w14:paraId="4088BCD5">
        <w:tblPrEx>
          <w:tblCellMar>
            <w:top w:w="0" w:type="dxa"/>
            <w:left w:w="108" w:type="dxa"/>
            <w:bottom w:w="0" w:type="dxa"/>
            <w:right w:w="108" w:type="dxa"/>
          </w:tblCellMar>
        </w:tblPrEx>
        <w:trPr>
          <w:trHeight w:val="293" w:hRule="atLeast"/>
        </w:trPr>
        <w:tc>
          <w:tcPr>
            <w:tcW w:w="3747"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EC66C5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地面焰条燃烧时间</w:t>
            </w:r>
          </w:p>
        </w:tc>
        <w:tc>
          <w:tcPr>
            <w:tcW w:w="5072" w:type="dxa"/>
            <w:tcBorders>
              <w:top w:val="nil"/>
              <w:left w:val="nil"/>
              <w:bottom w:val="single" w:color="000000" w:sz="4" w:space="0"/>
              <w:right w:val="single" w:color="000000" w:sz="4" w:space="0"/>
            </w:tcBorders>
            <w:tcMar>
              <w:top w:w="0" w:type="dxa"/>
              <w:left w:w="0" w:type="dxa"/>
              <w:bottom w:w="0" w:type="dxa"/>
              <w:right w:w="0" w:type="dxa"/>
            </w:tcMar>
          </w:tcPr>
          <w:p w14:paraId="7CF606B0">
            <w:pPr>
              <w:pStyle w:val="175"/>
              <w:ind w:firstLine="420"/>
              <w:jc w:val="center"/>
              <w:rPr>
                <w:rFonts w:hint="default" w:ascii="宋体" w:hAnsi="宋体" w:eastAsia="宋体" w:cs="宋体"/>
                <w:color w:val="auto"/>
                <w:highlight w:val="none"/>
              </w:rPr>
            </w:pPr>
            <w:r>
              <w:rPr>
                <w:rFonts w:ascii="宋体" w:hAnsi="宋体" w:eastAsia="宋体" w:cs="宋体"/>
                <w:color w:val="auto"/>
                <w:sz w:val="21"/>
                <w:highlight w:val="none"/>
              </w:rPr>
              <w:t>18min±2min（0℃~+30℃)</w:t>
            </w:r>
          </w:p>
        </w:tc>
      </w:tr>
      <w:tr w14:paraId="3C00F85E">
        <w:tblPrEx>
          <w:tblCellMar>
            <w:top w:w="0" w:type="dxa"/>
            <w:left w:w="108" w:type="dxa"/>
            <w:bottom w:w="0" w:type="dxa"/>
            <w:right w:w="108" w:type="dxa"/>
          </w:tblCellMar>
        </w:tblPrEx>
        <w:trPr>
          <w:trHeight w:val="293" w:hRule="atLeast"/>
        </w:trPr>
        <w:tc>
          <w:tcPr>
            <w:tcW w:w="3747"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03B562E">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焰条焰剂携带量</w:t>
            </w:r>
          </w:p>
        </w:tc>
        <w:tc>
          <w:tcPr>
            <w:tcW w:w="5072" w:type="dxa"/>
            <w:tcBorders>
              <w:top w:val="nil"/>
              <w:left w:val="nil"/>
              <w:bottom w:val="single" w:color="000000" w:sz="4" w:space="0"/>
              <w:right w:val="single" w:color="000000" w:sz="4" w:space="0"/>
            </w:tcBorders>
            <w:tcMar>
              <w:top w:w="0" w:type="dxa"/>
              <w:left w:w="0" w:type="dxa"/>
              <w:bottom w:w="0" w:type="dxa"/>
              <w:right w:w="0" w:type="dxa"/>
            </w:tcMar>
          </w:tcPr>
          <w:p w14:paraId="25328A33">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2.3kg±0.3kg</w:t>
            </w:r>
          </w:p>
        </w:tc>
      </w:tr>
      <w:tr w14:paraId="2EDD6B9B">
        <w:tblPrEx>
          <w:tblCellMar>
            <w:top w:w="0" w:type="dxa"/>
            <w:left w:w="108" w:type="dxa"/>
            <w:bottom w:w="0" w:type="dxa"/>
            <w:right w:w="108" w:type="dxa"/>
          </w:tblCellMar>
        </w:tblPrEx>
        <w:trPr>
          <w:trHeight w:val="293" w:hRule="atLeast"/>
        </w:trPr>
        <w:tc>
          <w:tcPr>
            <w:tcW w:w="3747"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CD4A480">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成核率（-10℃)</w:t>
            </w:r>
          </w:p>
        </w:tc>
        <w:tc>
          <w:tcPr>
            <w:tcW w:w="5072" w:type="dxa"/>
            <w:tcBorders>
              <w:top w:val="nil"/>
              <w:left w:val="nil"/>
              <w:bottom w:val="single" w:color="000000" w:sz="4" w:space="0"/>
              <w:right w:val="single" w:color="000000" w:sz="4" w:space="0"/>
            </w:tcBorders>
            <w:tcMar>
              <w:top w:w="0" w:type="dxa"/>
              <w:left w:w="0" w:type="dxa"/>
              <w:bottom w:w="0" w:type="dxa"/>
              <w:right w:w="0" w:type="dxa"/>
            </w:tcMar>
          </w:tcPr>
          <w:p w14:paraId="40D03CCE">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≥1013个/克AgI</w:t>
            </w:r>
          </w:p>
        </w:tc>
      </w:tr>
      <w:tr w14:paraId="1DA42240">
        <w:tblPrEx>
          <w:tblCellMar>
            <w:top w:w="0" w:type="dxa"/>
            <w:left w:w="108" w:type="dxa"/>
            <w:bottom w:w="0" w:type="dxa"/>
            <w:right w:w="108" w:type="dxa"/>
          </w:tblCellMar>
        </w:tblPrEx>
        <w:trPr>
          <w:trHeight w:val="293" w:hRule="atLeast"/>
        </w:trPr>
        <w:tc>
          <w:tcPr>
            <w:tcW w:w="3747"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F465AE6">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电阻值</w:t>
            </w:r>
          </w:p>
        </w:tc>
        <w:tc>
          <w:tcPr>
            <w:tcW w:w="5072" w:type="dxa"/>
            <w:tcBorders>
              <w:top w:val="nil"/>
              <w:left w:val="nil"/>
              <w:bottom w:val="single" w:color="000000" w:sz="4" w:space="0"/>
              <w:right w:val="single" w:color="000000" w:sz="4" w:space="0"/>
            </w:tcBorders>
            <w:tcMar>
              <w:top w:w="0" w:type="dxa"/>
              <w:left w:w="0" w:type="dxa"/>
              <w:bottom w:w="0" w:type="dxa"/>
              <w:right w:w="0" w:type="dxa"/>
            </w:tcMar>
          </w:tcPr>
          <w:p w14:paraId="2947CB23">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2.2Ω±0.5Ω</w:t>
            </w:r>
          </w:p>
        </w:tc>
      </w:tr>
      <w:tr w14:paraId="00F04F66">
        <w:tblPrEx>
          <w:tblCellMar>
            <w:top w:w="0" w:type="dxa"/>
            <w:left w:w="108" w:type="dxa"/>
            <w:bottom w:w="0" w:type="dxa"/>
            <w:right w:w="108" w:type="dxa"/>
          </w:tblCellMar>
        </w:tblPrEx>
        <w:trPr>
          <w:trHeight w:val="293" w:hRule="atLeast"/>
        </w:trPr>
        <w:tc>
          <w:tcPr>
            <w:tcW w:w="3747"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85A91CE">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点火电压</w:t>
            </w:r>
          </w:p>
        </w:tc>
        <w:tc>
          <w:tcPr>
            <w:tcW w:w="5072" w:type="dxa"/>
            <w:tcBorders>
              <w:top w:val="nil"/>
              <w:left w:val="nil"/>
              <w:bottom w:val="single" w:color="000000" w:sz="4" w:space="0"/>
              <w:right w:val="single" w:color="000000" w:sz="4" w:space="0"/>
            </w:tcBorders>
            <w:tcMar>
              <w:top w:w="0" w:type="dxa"/>
              <w:left w:w="0" w:type="dxa"/>
              <w:bottom w:w="0" w:type="dxa"/>
              <w:right w:w="0" w:type="dxa"/>
            </w:tcMar>
          </w:tcPr>
          <w:p w14:paraId="07DDACAD">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DC</w:t>
            </w:r>
            <w:r>
              <w:rPr>
                <w:rFonts w:ascii="宋体" w:hAnsi="宋体" w:eastAsia="宋体" w:cs="宋体"/>
                <w:color w:val="auto"/>
                <w:sz w:val="19"/>
                <w:highlight w:val="none"/>
              </w:rPr>
              <w:t xml:space="preserve"> </w:t>
            </w:r>
            <w:r>
              <w:rPr>
                <w:rFonts w:ascii="宋体" w:hAnsi="宋体" w:eastAsia="宋体" w:cs="宋体"/>
                <w:color w:val="auto"/>
                <w:sz w:val="21"/>
                <w:highlight w:val="none"/>
              </w:rPr>
              <w:t>28V</w:t>
            </w:r>
          </w:p>
        </w:tc>
      </w:tr>
      <w:tr w14:paraId="6F8C9127">
        <w:tblPrEx>
          <w:tblCellMar>
            <w:top w:w="0" w:type="dxa"/>
            <w:left w:w="108" w:type="dxa"/>
            <w:bottom w:w="0" w:type="dxa"/>
            <w:right w:w="108" w:type="dxa"/>
          </w:tblCellMar>
        </w:tblPrEx>
        <w:trPr>
          <w:trHeight w:val="293" w:hRule="atLeast"/>
        </w:trPr>
        <w:tc>
          <w:tcPr>
            <w:tcW w:w="3747"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1641887">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点火电流</w:t>
            </w:r>
          </w:p>
        </w:tc>
        <w:tc>
          <w:tcPr>
            <w:tcW w:w="5072" w:type="dxa"/>
            <w:tcBorders>
              <w:top w:val="nil"/>
              <w:left w:val="nil"/>
              <w:bottom w:val="single" w:color="000000" w:sz="4" w:space="0"/>
              <w:right w:val="single" w:color="000000" w:sz="4" w:space="0"/>
            </w:tcBorders>
            <w:tcMar>
              <w:top w:w="0" w:type="dxa"/>
              <w:left w:w="0" w:type="dxa"/>
              <w:bottom w:w="0" w:type="dxa"/>
              <w:right w:w="0" w:type="dxa"/>
            </w:tcMar>
          </w:tcPr>
          <w:p w14:paraId="5F43B668">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≥1A</w:t>
            </w:r>
          </w:p>
        </w:tc>
      </w:tr>
      <w:tr w14:paraId="20C8462C">
        <w:tblPrEx>
          <w:tblCellMar>
            <w:top w:w="0" w:type="dxa"/>
            <w:left w:w="108" w:type="dxa"/>
            <w:bottom w:w="0" w:type="dxa"/>
            <w:right w:w="108" w:type="dxa"/>
          </w:tblCellMar>
        </w:tblPrEx>
        <w:trPr>
          <w:trHeight w:val="313" w:hRule="atLeast"/>
        </w:trPr>
        <w:tc>
          <w:tcPr>
            <w:tcW w:w="3747"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6A8427C9">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检测电流</w:t>
            </w:r>
          </w:p>
        </w:tc>
        <w:tc>
          <w:tcPr>
            <w:tcW w:w="5072" w:type="dxa"/>
            <w:tcBorders>
              <w:top w:val="nil"/>
              <w:left w:val="nil"/>
              <w:bottom w:val="single" w:color="000000" w:sz="4" w:space="0"/>
              <w:right w:val="single" w:color="000000" w:sz="4" w:space="0"/>
            </w:tcBorders>
            <w:tcMar>
              <w:top w:w="0" w:type="dxa"/>
              <w:left w:w="0" w:type="dxa"/>
              <w:bottom w:w="0" w:type="dxa"/>
              <w:right w:w="0" w:type="dxa"/>
            </w:tcMar>
          </w:tcPr>
          <w:p w14:paraId="6F393C42">
            <w:pPr>
              <w:pStyle w:val="175"/>
              <w:jc w:val="center"/>
              <w:rPr>
                <w:rFonts w:hint="default" w:ascii="宋体" w:hAnsi="宋体" w:eastAsia="宋体" w:cs="宋体"/>
                <w:color w:val="auto"/>
                <w:highlight w:val="none"/>
              </w:rPr>
            </w:pPr>
            <w:r>
              <w:rPr>
                <w:rFonts w:ascii="宋体" w:hAnsi="宋体" w:eastAsia="宋体" w:cs="宋体"/>
                <w:color w:val="auto"/>
                <w:sz w:val="21"/>
                <w:highlight w:val="none"/>
              </w:rPr>
              <w:t>≤20mA</w:t>
            </w:r>
          </w:p>
        </w:tc>
      </w:tr>
    </w:tbl>
    <w:p w14:paraId="4BA4CC30">
      <w:pPr>
        <w:rPr>
          <w:color w:val="auto"/>
          <w:highlight w:val="none"/>
        </w:rPr>
      </w:pPr>
    </w:p>
    <w:p w14:paraId="68056E69">
      <w:pPr>
        <w:rPr>
          <w:rFonts w:ascii="黑体" w:hAnsi="黑体" w:eastAsia="黑体" w:cs="Arial"/>
          <w:b/>
          <w:color w:val="auto"/>
          <w:kern w:val="0"/>
          <w:sz w:val="28"/>
          <w:szCs w:val="28"/>
          <w:highlight w:val="none"/>
        </w:rPr>
      </w:pPr>
      <w:r>
        <w:rPr>
          <w:rFonts w:hint="eastAsia"/>
          <w:color w:val="auto"/>
          <w:szCs w:val="21"/>
          <w:highlight w:val="none"/>
        </w:rPr>
        <w:t>▲</w:t>
      </w:r>
      <w:r>
        <w:rPr>
          <w:rFonts w:hint="eastAsia" w:ascii="黑体" w:hAnsi="黑体" w:eastAsia="黑体" w:cs="Arial"/>
          <w:b/>
          <w:color w:val="auto"/>
          <w:kern w:val="0"/>
          <w:sz w:val="28"/>
          <w:szCs w:val="28"/>
          <w:highlight w:val="none"/>
        </w:rPr>
        <w:t>三、商务要求</w:t>
      </w:r>
    </w:p>
    <w:p w14:paraId="65CB46D7">
      <w:pPr>
        <w:spacing w:line="360" w:lineRule="auto"/>
        <w:rPr>
          <w:color w:val="auto"/>
          <w:szCs w:val="21"/>
          <w:highlight w:val="none"/>
        </w:rPr>
      </w:pPr>
      <w:r>
        <w:rPr>
          <w:rFonts w:hint="eastAsia"/>
          <w:color w:val="auto"/>
          <w:szCs w:val="21"/>
          <w:highlight w:val="none"/>
        </w:rPr>
        <w:t>1．报价要求</w:t>
      </w:r>
    </w:p>
    <w:p w14:paraId="2B1F7385">
      <w:pPr>
        <w:spacing w:line="360" w:lineRule="auto"/>
        <w:rPr>
          <w:color w:val="auto"/>
          <w:szCs w:val="21"/>
          <w:highlight w:val="none"/>
        </w:rPr>
      </w:pPr>
      <w:r>
        <w:rPr>
          <w:rFonts w:hint="eastAsia"/>
          <w:color w:val="auto"/>
          <w:szCs w:val="21"/>
          <w:highlight w:val="none"/>
        </w:rPr>
        <w:t>报价须包含以下费用（含税）：</w:t>
      </w:r>
    </w:p>
    <w:p w14:paraId="6FBE81B2">
      <w:pPr>
        <w:spacing w:line="360" w:lineRule="auto"/>
        <w:rPr>
          <w:color w:val="auto"/>
          <w:szCs w:val="21"/>
          <w:highlight w:val="none"/>
        </w:rPr>
      </w:pPr>
      <w:r>
        <w:rPr>
          <w:rFonts w:hint="eastAsia"/>
          <w:color w:val="auto"/>
          <w:szCs w:val="21"/>
          <w:highlight w:val="none"/>
        </w:rPr>
        <w:t>1.1.包含实施本项目可能产生人员工资、保险、培训、代理费等费用。</w:t>
      </w:r>
    </w:p>
    <w:p w14:paraId="5AE1EEA1">
      <w:pPr>
        <w:spacing w:line="360" w:lineRule="auto"/>
        <w:rPr>
          <w:color w:val="auto"/>
          <w:szCs w:val="21"/>
          <w:highlight w:val="none"/>
        </w:rPr>
      </w:pPr>
      <w:r>
        <w:rPr>
          <w:rFonts w:hint="eastAsia"/>
          <w:color w:val="auto"/>
          <w:szCs w:val="21"/>
          <w:highlight w:val="none"/>
        </w:rPr>
        <w:t>1.2.包含实现未在招标文件中明确的全部服务的费用。</w:t>
      </w:r>
    </w:p>
    <w:p w14:paraId="36DF8248">
      <w:pPr>
        <w:spacing w:line="360" w:lineRule="auto"/>
        <w:rPr>
          <w:color w:val="auto"/>
          <w:szCs w:val="21"/>
          <w:highlight w:val="none"/>
        </w:rPr>
      </w:pPr>
      <w:r>
        <w:rPr>
          <w:rFonts w:hint="eastAsia"/>
          <w:color w:val="auto"/>
          <w:szCs w:val="21"/>
          <w:highlight w:val="none"/>
        </w:rPr>
        <w:t>1.3.包含实现中标人在投标文件中承诺的服务的所有费用。</w:t>
      </w:r>
    </w:p>
    <w:p w14:paraId="3B72A96A">
      <w:pPr>
        <w:spacing w:line="360" w:lineRule="auto"/>
        <w:rPr>
          <w:color w:val="auto"/>
          <w:szCs w:val="21"/>
          <w:highlight w:val="none"/>
        </w:rPr>
      </w:pPr>
      <w:r>
        <w:rPr>
          <w:rFonts w:hint="eastAsia"/>
          <w:color w:val="auto"/>
          <w:szCs w:val="21"/>
          <w:highlight w:val="none"/>
        </w:rPr>
        <w:t>2.合同签订日期</w:t>
      </w:r>
    </w:p>
    <w:p w14:paraId="0A12E690">
      <w:pPr>
        <w:spacing w:line="360" w:lineRule="auto"/>
        <w:rPr>
          <w:rFonts w:ascii="宋体" w:hAnsi="宋体"/>
          <w:i/>
          <w:color w:val="auto"/>
          <w:sz w:val="28"/>
          <w:szCs w:val="28"/>
          <w:highlight w:val="none"/>
        </w:rPr>
      </w:pPr>
      <w:r>
        <w:rPr>
          <w:rFonts w:hint="eastAsia"/>
          <w:color w:val="auto"/>
          <w:szCs w:val="21"/>
          <w:highlight w:val="none"/>
        </w:rPr>
        <w:t>中标通知书发出后25日内。</w:t>
      </w:r>
    </w:p>
    <w:p w14:paraId="655A08CA">
      <w:pPr>
        <w:spacing w:line="360" w:lineRule="auto"/>
        <w:rPr>
          <w:color w:val="auto"/>
          <w:szCs w:val="21"/>
          <w:highlight w:val="none"/>
        </w:rPr>
      </w:pPr>
      <w:r>
        <w:rPr>
          <w:rFonts w:hint="eastAsia"/>
          <w:color w:val="auto"/>
          <w:szCs w:val="21"/>
          <w:highlight w:val="none"/>
        </w:rPr>
        <w:t>3.服务期</w:t>
      </w:r>
    </w:p>
    <w:p w14:paraId="2D923351">
      <w:pPr>
        <w:spacing w:line="360" w:lineRule="auto"/>
        <w:rPr>
          <w:color w:val="auto"/>
          <w:szCs w:val="21"/>
          <w:highlight w:val="none"/>
        </w:rPr>
      </w:pPr>
      <w:r>
        <w:rPr>
          <w:rFonts w:hint="eastAsia"/>
          <w:color w:val="auto"/>
          <w:szCs w:val="21"/>
          <w:highlight w:val="none"/>
        </w:rPr>
        <w:t>采购合同签订生效后，从飞机抵达采购人指定机场之日起开始计算，共6个月。</w:t>
      </w:r>
    </w:p>
    <w:p w14:paraId="55188BCD">
      <w:pPr>
        <w:spacing w:line="360" w:lineRule="auto"/>
        <w:rPr>
          <w:color w:val="auto"/>
          <w:szCs w:val="21"/>
          <w:highlight w:val="none"/>
        </w:rPr>
      </w:pPr>
      <w:r>
        <w:rPr>
          <w:rFonts w:hint="eastAsia"/>
          <w:color w:val="auto"/>
          <w:szCs w:val="21"/>
          <w:highlight w:val="none"/>
        </w:rPr>
        <w:t>4.服务地点</w:t>
      </w:r>
    </w:p>
    <w:p w14:paraId="05C96162">
      <w:pPr>
        <w:spacing w:line="360" w:lineRule="auto"/>
        <w:rPr>
          <w:color w:val="auto"/>
          <w:szCs w:val="21"/>
          <w:highlight w:val="none"/>
        </w:rPr>
      </w:pPr>
      <w:r>
        <w:rPr>
          <w:rFonts w:hint="eastAsia"/>
          <w:color w:val="auto"/>
          <w:szCs w:val="21"/>
          <w:highlight w:val="none"/>
        </w:rPr>
        <w:t>采购人指定地点</w:t>
      </w:r>
    </w:p>
    <w:p w14:paraId="31B77472">
      <w:pPr>
        <w:spacing w:line="360" w:lineRule="auto"/>
        <w:rPr>
          <w:color w:val="auto"/>
          <w:szCs w:val="21"/>
          <w:highlight w:val="none"/>
        </w:rPr>
      </w:pPr>
      <w:r>
        <w:rPr>
          <w:rFonts w:hint="eastAsia"/>
          <w:color w:val="auto"/>
          <w:szCs w:val="21"/>
          <w:highlight w:val="none"/>
        </w:rPr>
        <w:t>5.验收标准</w:t>
      </w:r>
    </w:p>
    <w:p w14:paraId="3F8A46A2">
      <w:pPr>
        <w:spacing w:line="360" w:lineRule="auto"/>
        <w:rPr>
          <w:color w:val="auto"/>
          <w:szCs w:val="21"/>
          <w:highlight w:val="none"/>
        </w:rPr>
      </w:pPr>
      <w:r>
        <w:rPr>
          <w:rFonts w:hint="eastAsia"/>
          <w:color w:val="auto"/>
          <w:szCs w:val="21"/>
          <w:highlight w:val="none"/>
        </w:rPr>
        <w:t>详见招标文件合同主要条款格式部分</w:t>
      </w:r>
    </w:p>
    <w:p w14:paraId="4C1E7E66">
      <w:pPr>
        <w:spacing w:line="360" w:lineRule="auto"/>
        <w:rPr>
          <w:color w:val="auto"/>
          <w:szCs w:val="21"/>
          <w:highlight w:val="none"/>
        </w:rPr>
      </w:pPr>
      <w:r>
        <w:rPr>
          <w:rFonts w:hint="eastAsia"/>
          <w:color w:val="auto"/>
          <w:szCs w:val="21"/>
          <w:highlight w:val="none"/>
        </w:rPr>
        <w:t>6.培训</w:t>
      </w:r>
    </w:p>
    <w:p w14:paraId="7BF26302">
      <w:pPr>
        <w:spacing w:line="360" w:lineRule="auto"/>
        <w:rPr>
          <w:color w:val="auto"/>
          <w:szCs w:val="21"/>
          <w:highlight w:val="none"/>
        </w:rPr>
      </w:pPr>
      <w:r>
        <w:rPr>
          <w:rFonts w:hint="eastAsia"/>
          <w:color w:val="auto"/>
          <w:szCs w:val="21"/>
          <w:highlight w:val="none"/>
        </w:rPr>
        <w:t>投标人对其提供产品或服务的使用和操作应尽培训义务。投标人应提供对采购人的基本培训，使采购人使用人员熟练掌握所培训内容，熟练掌握全部功能，培训的相关费用包括在投标报价中，采购人不再另行支付。</w:t>
      </w:r>
    </w:p>
    <w:p w14:paraId="76C2FAA5">
      <w:pPr>
        <w:spacing w:line="360" w:lineRule="auto"/>
        <w:rPr>
          <w:color w:val="auto"/>
          <w:szCs w:val="21"/>
          <w:highlight w:val="none"/>
        </w:rPr>
      </w:pPr>
      <w:r>
        <w:rPr>
          <w:rFonts w:hint="eastAsia"/>
          <w:color w:val="auto"/>
          <w:szCs w:val="21"/>
          <w:highlight w:val="none"/>
        </w:rPr>
        <w:t>7.付款方式、时间及条件</w:t>
      </w:r>
    </w:p>
    <w:p w14:paraId="44C58873">
      <w:pPr>
        <w:spacing w:line="360" w:lineRule="auto"/>
        <w:rPr>
          <w:color w:val="auto"/>
          <w:szCs w:val="21"/>
          <w:highlight w:val="none"/>
        </w:rPr>
      </w:pPr>
      <w:r>
        <w:rPr>
          <w:rFonts w:hint="eastAsia"/>
          <w:color w:val="auto"/>
          <w:szCs w:val="21"/>
          <w:highlight w:val="none"/>
        </w:rPr>
        <w:t>详见招标文件合同主要条款格式部分</w:t>
      </w:r>
    </w:p>
    <w:p w14:paraId="1B654FF0">
      <w:pPr>
        <w:spacing w:line="360" w:lineRule="auto"/>
        <w:rPr>
          <w:color w:val="auto"/>
          <w:szCs w:val="21"/>
          <w:highlight w:val="none"/>
        </w:rPr>
      </w:pPr>
      <w:r>
        <w:rPr>
          <w:rFonts w:hint="eastAsia"/>
          <w:color w:val="auto"/>
          <w:szCs w:val="21"/>
          <w:highlight w:val="none"/>
        </w:rPr>
        <w:t>8履约保证金</w:t>
      </w:r>
    </w:p>
    <w:p w14:paraId="1C0A8439">
      <w:pPr>
        <w:spacing w:line="360" w:lineRule="auto"/>
        <w:rPr>
          <w:color w:val="auto"/>
          <w:szCs w:val="21"/>
          <w:highlight w:val="none"/>
        </w:rPr>
      </w:pPr>
      <w:r>
        <w:rPr>
          <w:rFonts w:hint="eastAsia"/>
          <w:color w:val="auto"/>
          <w:szCs w:val="21"/>
          <w:highlight w:val="none"/>
        </w:rPr>
        <w:t>详见招标文件合同主要条款格式部分</w:t>
      </w:r>
    </w:p>
    <w:p w14:paraId="250548E8">
      <w:pPr>
        <w:spacing w:line="360" w:lineRule="auto"/>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四、其他要求</w:t>
      </w:r>
    </w:p>
    <w:p w14:paraId="21224B48">
      <w:pPr>
        <w:spacing w:line="528" w:lineRule="exact"/>
        <w:ind w:firstLine="281" w:firstLineChars="100"/>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无</w:t>
      </w:r>
    </w:p>
    <w:p w14:paraId="09B293FB">
      <w:pPr>
        <w:spacing w:line="528" w:lineRule="exact"/>
        <w:ind w:firstLine="210" w:firstLineChars="100"/>
        <w:rPr>
          <w:color w:val="auto"/>
          <w:sz w:val="28"/>
          <w:szCs w:val="28"/>
          <w:highlight w:val="none"/>
        </w:rPr>
      </w:pPr>
      <w:r>
        <w:rPr>
          <w:color w:val="auto"/>
          <w:szCs w:val="21"/>
          <w:highlight w:val="none"/>
        </w:rPr>
        <w:br w:type="page"/>
      </w:r>
      <w:bookmarkStart w:id="24" w:name="_Hlk132878602"/>
      <w:r>
        <w:rPr>
          <w:rFonts w:hint="eastAsia"/>
          <w:color w:val="auto"/>
          <w:sz w:val="28"/>
          <w:szCs w:val="28"/>
          <w:highlight w:val="none"/>
        </w:rPr>
        <w:t xml:space="preserve">附件1： </w:t>
      </w:r>
      <w:r>
        <w:rPr>
          <w:color w:val="auto"/>
          <w:sz w:val="28"/>
          <w:szCs w:val="28"/>
          <w:highlight w:val="none"/>
        </w:rPr>
        <w:t xml:space="preserve">               </w:t>
      </w:r>
    </w:p>
    <w:p w14:paraId="667C84E5">
      <w:pPr>
        <w:spacing w:line="528" w:lineRule="exact"/>
        <w:ind w:firstLine="280" w:firstLineChars="100"/>
        <w:jc w:val="center"/>
        <w:rPr>
          <w:color w:val="auto"/>
          <w:sz w:val="28"/>
          <w:szCs w:val="28"/>
          <w:highlight w:val="none"/>
        </w:rPr>
      </w:pPr>
      <w:r>
        <w:rPr>
          <w:rFonts w:hint="eastAsia"/>
          <w:color w:val="auto"/>
          <w:sz w:val="28"/>
          <w:szCs w:val="28"/>
          <w:highlight w:val="none"/>
        </w:rPr>
        <w:t>中小微企业划型标准</w:t>
      </w:r>
    </w:p>
    <w:tbl>
      <w:tblPr>
        <w:tblStyle w:val="51"/>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57BC536E">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vAlign w:val="center"/>
          </w:tcPr>
          <w:p w14:paraId="1EBAC810">
            <w:pPr>
              <w:widowControl/>
              <w:jc w:val="left"/>
              <w:rPr>
                <w:color w:val="auto"/>
                <w:szCs w:val="21"/>
                <w:highlight w:val="none"/>
              </w:rPr>
            </w:pPr>
            <w:r>
              <w:rPr>
                <w:rFonts w:hint="eastAsia"/>
                <w:color w:val="auto"/>
                <w:szCs w:val="21"/>
                <w:highlight w:val="none"/>
              </w:rPr>
              <w:t>行业名称</w:t>
            </w:r>
          </w:p>
        </w:tc>
        <w:tc>
          <w:tcPr>
            <w:tcW w:w="1701" w:type="dxa"/>
            <w:tcBorders>
              <w:top w:val="single" w:color="auto" w:sz="4" w:space="0"/>
              <w:left w:val="nil"/>
              <w:bottom w:val="single" w:color="auto" w:sz="4" w:space="0"/>
              <w:right w:val="single" w:color="auto" w:sz="4" w:space="0"/>
            </w:tcBorders>
            <w:vAlign w:val="center"/>
          </w:tcPr>
          <w:p w14:paraId="1AD7A8BE">
            <w:pPr>
              <w:widowControl/>
              <w:jc w:val="left"/>
              <w:rPr>
                <w:color w:val="auto"/>
                <w:szCs w:val="21"/>
                <w:highlight w:val="none"/>
              </w:rPr>
            </w:pPr>
            <w:r>
              <w:rPr>
                <w:rFonts w:hint="eastAsia"/>
                <w:color w:val="auto"/>
                <w:szCs w:val="21"/>
                <w:highlight w:val="none"/>
              </w:rPr>
              <w:t>指标名称</w:t>
            </w:r>
          </w:p>
        </w:tc>
        <w:tc>
          <w:tcPr>
            <w:tcW w:w="1134" w:type="dxa"/>
            <w:tcBorders>
              <w:top w:val="single" w:color="auto" w:sz="4" w:space="0"/>
              <w:left w:val="nil"/>
              <w:bottom w:val="single" w:color="auto" w:sz="4" w:space="0"/>
              <w:right w:val="single" w:color="auto" w:sz="4" w:space="0"/>
            </w:tcBorders>
            <w:vAlign w:val="center"/>
          </w:tcPr>
          <w:p w14:paraId="6B8F21C7">
            <w:pPr>
              <w:widowControl/>
              <w:jc w:val="left"/>
              <w:rPr>
                <w:color w:val="auto"/>
                <w:szCs w:val="21"/>
                <w:highlight w:val="none"/>
              </w:rPr>
            </w:pPr>
            <w:r>
              <w:rPr>
                <w:rFonts w:hint="eastAsia"/>
                <w:color w:val="auto"/>
                <w:szCs w:val="21"/>
                <w:highlight w:val="none"/>
              </w:rPr>
              <w:t>计量单位</w:t>
            </w:r>
          </w:p>
        </w:tc>
        <w:tc>
          <w:tcPr>
            <w:tcW w:w="1846" w:type="dxa"/>
            <w:tcBorders>
              <w:top w:val="single" w:color="auto" w:sz="4" w:space="0"/>
              <w:left w:val="nil"/>
              <w:bottom w:val="single" w:color="auto" w:sz="4" w:space="0"/>
              <w:right w:val="single" w:color="auto" w:sz="4" w:space="0"/>
            </w:tcBorders>
            <w:vAlign w:val="center"/>
          </w:tcPr>
          <w:p w14:paraId="501A8CA9">
            <w:pPr>
              <w:widowControl/>
              <w:jc w:val="left"/>
              <w:rPr>
                <w:color w:val="auto"/>
                <w:szCs w:val="21"/>
                <w:highlight w:val="none"/>
              </w:rPr>
            </w:pPr>
            <w:r>
              <w:rPr>
                <w:rFonts w:hint="eastAsia"/>
                <w:color w:val="auto"/>
                <w:szCs w:val="21"/>
                <w:highlight w:val="none"/>
              </w:rPr>
              <w:t>中型</w:t>
            </w:r>
          </w:p>
        </w:tc>
        <w:tc>
          <w:tcPr>
            <w:tcW w:w="1570" w:type="dxa"/>
            <w:tcBorders>
              <w:top w:val="single" w:color="auto" w:sz="4" w:space="0"/>
              <w:left w:val="nil"/>
              <w:bottom w:val="single" w:color="auto" w:sz="4" w:space="0"/>
              <w:right w:val="single" w:color="auto" w:sz="4" w:space="0"/>
            </w:tcBorders>
            <w:vAlign w:val="center"/>
          </w:tcPr>
          <w:p w14:paraId="1599A582">
            <w:pPr>
              <w:widowControl/>
              <w:jc w:val="left"/>
              <w:rPr>
                <w:color w:val="auto"/>
                <w:szCs w:val="21"/>
                <w:highlight w:val="none"/>
              </w:rPr>
            </w:pPr>
            <w:r>
              <w:rPr>
                <w:rFonts w:hint="eastAsia"/>
                <w:color w:val="auto"/>
                <w:szCs w:val="21"/>
                <w:highlight w:val="none"/>
              </w:rPr>
              <w:t>小型</w:t>
            </w:r>
          </w:p>
        </w:tc>
        <w:tc>
          <w:tcPr>
            <w:tcW w:w="1009" w:type="dxa"/>
            <w:tcBorders>
              <w:top w:val="single" w:color="auto" w:sz="4" w:space="0"/>
              <w:left w:val="nil"/>
              <w:bottom w:val="single" w:color="auto" w:sz="4" w:space="0"/>
              <w:right w:val="single" w:color="auto" w:sz="4" w:space="0"/>
            </w:tcBorders>
            <w:vAlign w:val="center"/>
          </w:tcPr>
          <w:p w14:paraId="517AE16C">
            <w:pPr>
              <w:widowControl/>
              <w:jc w:val="left"/>
              <w:rPr>
                <w:color w:val="auto"/>
                <w:szCs w:val="21"/>
                <w:highlight w:val="none"/>
              </w:rPr>
            </w:pPr>
            <w:r>
              <w:rPr>
                <w:rFonts w:hint="eastAsia"/>
                <w:color w:val="auto"/>
                <w:szCs w:val="21"/>
                <w:highlight w:val="none"/>
              </w:rPr>
              <w:t>微型</w:t>
            </w:r>
          </w:p>
        </w:tc>
      </w:tr>
      <w:tr w14:paraId="0071137B">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31A7F3F5">
            <w:pPr>
              <w:widowControl/>
              <w:jc w:val="center"/>
              <w:rPr>
                <w:color w:val="auto"/>
                <w:szCs w:val="21"/>
                <w:highlight w:val="none"/>
              </w:rPr>
            </w:pPr>
            <w:r>
              <w:rPr>
                <w:rFonts w:hint="eastAsia"/>
                <w:color w:val="auto"/>
                <w:szCs w:val="21"/>
                <w:highlight w:val="none"/>
              </w:rPr>
              <w:t>农、林、牧、渔</w:t>
            </w:r>
          </w:p>
        </w:tc>
        <w:tc>
          <w:tcPr>
            <w:tcW w:w="1701" w:type="dxa"/>
            <w:tcBorders>
              <w:top w:val="nil"/>
              <w:left w:val="nil"/>
              <w:bottom w:val="single" w:color="auto" w:sz="4" w:space="0"/>
              <w:right w:val="single" w:color="auto" w:sz="4" w:space="0"/>
            </w:tcBorders>
            <w:vAlign w:val="center"/>
          </w:tcPr>
          <w:p w14:paraId="14AB9D20">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045B04BD">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06CCAEC3">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vAlign w:val="center"/>
          </w:tcPr>
          <w:p w14:paraId="01DE90A5">
            <w:pPr>
              <w:widowControl/>
              <w:jc w:val="left"/>
              <w:rPr>
                <w:color w:val="auto"/>
                <w:szCs w:val="21"/>
                <w:highlight w:val="none"/>
              </w:rPr>
            </w:pPr>
            <w:r>
              <w:rPr>
                <w:rFonts w:hint="eastAsia"/>
                <w:color w:val="auto"/>
                <w:szCs w:val="21"/>
                <w:highlight w:val="none"/>
              </w:rPr>
              <w:t>50≤Y＜500</w:t>
            </w:r>
          </w:p>
        </w:tc>
        <w:tc>
          <w:tcPr>
            <w:tcW w:w="1009" w:type="dxa"/>
            <w:tcBorders>
              <w:top w:val="nil"/>
              <w:left w:val="nil"/>
              <w:bottom w:val="single" w:color="auto" w:sz="4" w:space="0"/>
              <w:right w:val="single" w:color="auto" w:sz="4" w:space="0"/>
            </w:tcBorders>
            <w:vAlign w:val="center"/>
          </w:tcPr>
          <w:p w14:paraId="411C8214">
            <w:pPr>
              <w:widowControl/>
              <w:jc w:val="left"/>
              <w:rPr>
                <w:color w:val="auto"/>
                <w:szCs w:val="21"/>
                <w:highlight w:val="none"/>
              </w:rPr>
            </w:pPr>
            <w:r>
              <w:rPr>
                <w:rFonts w:hint="eastAsia"/>
                <w:color w:val="auto"/>
                <w:szCs w:val="21"/>
                <w:highlight w:val="none"/>
              </w:rPr>
              <w:t>Y＜50</w:t>
            </w:r>
          </w:p>
        </w:tc>
      </w:tr>
      <w:tr w14:paraId="053DF42C">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5FB4055">
            <w:pPr>
              <w:widowControl/>
              <w:jc w:val="center"/>
              <w:rPr>
                <w:color w:val="auto"/>
                <w:szCs w:val="21"/>
                <w:highlight w:val="none"/>
              </w:rPr>
            </w:pPr>
            <w:r>
              <w:rPr>
                <w:rFonts w:hint="eastAsia"/>
                <w:color w:val="auto"/>
                <w:szCs w:val="21"/>
                <w:highlight w:val="none"/>
              </w:rPr>
              <w:t>工业</w:t>
            </w:r>
          </w:p>
        </w:tc>
        <w:tc>
          <w:tcPr>
            <w:tcW w:w="1701" w:type="dxa"/>
            <w:tcBorders>
              <w:top w:val="nil"/>
              <w:left w:val="nil"/>
              <w:bottom w:val="single" w:color="auto" w:sz="4" w:space="0"/>
              <w:right w:val="single" w:color="auto" w:sz="4" w:space="0"/>
            </w:tcBorders>
            <w:vAlign w:val="center"/>
          </w:tcPr>
          <w:p w14:paraId="1A48D318">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453F97F2">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7A3A204A">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77DBBE45">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vAlign w:val="center"/>
          </w:tcPr>
          <w:p w14:paraId="01ED8CA6">
            <w:pPr>
              <w:widowControl/>
              <w:jc w:val="left"/>
              <w:rPr>
                <w:color w:val="auto"/>
                <w:szCs w:val="21"/>
                <w:highlight w:val="none"/>
              </w:rPr>
            </w:pPr>
            <w:r>
              <w:rPr>
                <w:rFonts w:hint="eastAsia"/>
                <w:color w:val="auto"/>
                <w:szCs w:val="21"/>
                <w:highlight w:val="none"/>
              </w:rPr>
              <w:t>X＜20</w:t>
            </w:r>
          </w:p>
        </w:tc>
      </w:tr>
      <w:tr w14:paraId="648613A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C034ED2">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5CEBAC18">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611B05E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5BBACB41">
            <w:pPr>
              <w:widowControl/>
              <w:jc w:val="left"/>
              <w:rPr>
                <w:color w:val="auto"/>
                <w:szCs w:val="21"/>
                <w:highlight w:val="none"/>
              </w:rPr>
            </w:pPr>
            <w:r>
              <w:rPr>
                <w:rFonts w:hint="eastAsia"/>
                <w:color w:val="auto"/>
                <w:szCs w:val="21"/>
                <w:highlight w:val="none"/>
              </w:rPr>
              <w:t>2000≤Y＜40000</w:t>
            </w:r>
          </w:p>
        </w:tc>
        <w:tc>
          <w:tcPr>
            <w:tcW w:w="1570" w:type="dxa"/>
            <w:tcBorders>
              <w:top w:val="nil"/>
              <w:left w:val="nil"/>
              <w:bottom w:val="single" w:color="auto" w:sz="4" w:space="0"/>
              <w:right w:val="single" w:color="auto" w:sz="4" w:space="0"/>
            </w:tcBorders>
            <w:vAlign w:val="center"/>
          </w:tcPr>
          <w:p w14:paraId="01C79B50">
            <w:pPr>
              <w:widowControl/>
              <w:jc w:val="left"/>
              <w:rPr>
                <w:color w:val="auto"/>
                <w:szCs w:val="21"/>
                <w:highlight w:val="none"/>
              </w:rPr>
            </w:pPr>
            <w:r>
              <w:rPr>
                <w:rFonts w:hint="eastAsia"/>
                <w:color w:val="auto"/>
                <w:szCs w:val="21"/>
                <w:highlight w:val="none"/>
              </w:rPr>
              <w:t>300≤Y＜2000</w:t>
            </w:r>
          </w:p>
        </w:tc>
        <w:tc>
          <w:tcPr>
            <w:tcW w:w="1009" w:type="dxa"/>
            <w:tcBorders>
              <w:top w:val="nil"/>
              <w:left w:val="nil"/>
              <w:bottom w:val="single" w:color="auto" w:sz="4" w:space="0"/>
              <w:right w:val="single" w:color="auto" w:sz="4" w:space="0"/>
            </w:tcBorders>
            <w:vAlign w:val="center"/>
          </w:tcPr>
          <w:p w14:paraId="570554A6">
            <w:pPr>
              <w:widowControl/>
              <w:jc w:val="left"/>
              <w:rPr>
                <w:color w:val="auto"/>
                <w:szCs w:val="21"/>
                <w:highlight w:val="none"/>
              </w:rPr>
            </w:pPr>
            <w:r>
              <w:rPr>
                <w:rFonts w:hint="eastAsia"/>
                <w:color w:val="auto"/>
                <w:szCs w:val="21"/>
                <w:highlight w:val="none"/>
              </w:rPr>
              <w:t>Y＜300</w:t>
            </w:r>
          </w:p>
        </w:tc>
      </w:tr>
      <w:tr w14:paraId="3938851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A8077E0">
            <w:pPr>
              <w:widowControl/>
              <w:jc w:val="center"/>
              <w:rPr>
                <w:color w:val="auto"/>
                <w:szCs w:val="21"/>
                <w:highlight w:val="none"/>
              </w:rPr>
            </w:pPr>
            <w:r>
              <w:rPr>
                <w:rFonts w:hint="eastAsia"/>
                <w:color w:val="auto"/>
                <w:szCs w:val="21"/>
                <w:highlight w:val="none"/>
              </w:rPr>
              <w:t>建筑业</w:t>
            </w:r>
          </w:p>
        </w:tc>
        <w:tc>
          <w:tcPr>
            <w:tcW w:w="1701" w:type="dxa"/>
            <w:tcBorders>
              <w:top w:val="nil"/>
              <w:left w:val="nil"/>
              <w:bottom w:val="single" w:color="auto" w:sz="4" w:space="0"/>
              <w:right w:val="single" w:color="auto" w:sz="4" w:space="0"/>
            </w:tcBorders>
            <w:vAlign w:val="center"/>
          </w:tcPr>
          <w:p w14:paraId="0227C4F5">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4656BA40">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3C6FFFE4">
            <w:pPr>
              <w:widowControl/>
              <w:jc w:val="left"/>
              <w:rPr>
                <w:color w:val="auto"/>
                <w:szCs w:val="21"/>
                <w:highlight w:val="none"/>
              </w:rPr>
            </w:pPr>
            <w:r>
              <w:rPr>
                <w:rFonts w:hint="eastAsia"/>
                <w:color w:val="auto"/>
                <w:szCs w:val="21"/>
                <w:highlight w:val="none"/>
              </w:rPr>
              <w:t>6000≤Y＜80000</w:t>
            </w:r>
          </w:p>
        </w:tc>
        <w:tc>
          <w:tcPr>
            <w:tcW w:w="1570" w:type="dxa"/>
            <w:tcBorders>
              <w:top w:val="nil"/>
              <w:left w:val="nil"/>
              <w:bottom w:val="single" w:color="auto" w:sz="4" w:space="0"/>
              <w:right w:val="single" w:color="auto" w:sz="4" w:space="0"/>
            </w:tcBorders>
            <w:vAlign w:val="center"/>
          </w:tcPr>
          <w:p w14:paraId="12C8FB74">
            <w:pPr>
              <w:widowControl/>
              <w:jc w:val="left"/>
              <w:rPr>
                <w:color w:val="auto"/>
                <w:szCs w:val="21"/>
                <w:highlight w:val="none"/>
              </w:rPr>
            </w:pPr>
            <w:r>
              <w:rPr>
                <w:rFonts w:hint="eastAsia"/>
                <w:color w:val="auto"/>
                <w:szCs w:val="21"/>
                <w:highlight w:val="none"/>
              </w:rPr>
              <w:t>300≤Y＜6000</w:t>
            </w:r>
          </w:p>
        </w:tc>
        <w:tc>
          <w:tcPr>
            <w:tcW w:w="1009" w:type="dxa"/>
            <w:tcBorders>
              <w:top w:val="nil"/>
              <w:left w:val="nil"/>
              <w:bottom w:val="single" w:color="auto" w:sz="4" w:space="0"/>
              <w:right w:val="single" w:color="auto" w:sz="4" w:space="0"/>
            </w:tcBorders>
            <w:vAlign w:val="center"/>
          </w:tcPr>
          <w:p w14:paraId="77C90BD6">
            <w:pPr>
              <w:widowControl/>
              <w:jc w:val="left"/>
              <w:rPr>
                <w:color w:val="auto"/>
                <w:szCs w:val="21"/>
                <w:highlight w:val="none"/>
              </w:rPr>
            </w:pPr>
            <w:r>
              <w:rPr>
                <w:rFonts w:hint="eastAsia"/>
                <w:color w:val="auto"/>
                <w:szCs w:val="21"/>
                <w:highlight w:val="none"/>
              </w:rPr>
              <w:t>Y＜300</w:t>
            </w:r>
          </w:p>
        </w:tc>
      </w:tr>
      <w:tr w14:paraId="45334BB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8FD2ECC">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372DB4AA">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vAlign w:val="center"/>
          </w:tcPr>
          <w:p w14:paraId="524869B0">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28379AB4">
            <w:pPr>
              <w:widowControl/>
              <w:jc w:val="left"/>
              <w:rPr>
                <w:color w:val="auto"/>
                <w:szCs w:val="21"/>
                <w:highlight w:val="none"/>
              </w:rPr>
            </w:pPr>
            <w:r>
              <w:rPr>
                <w:rFonts w:hint="eastAsia"/>
                <w:color w:val="auto"/>
                <w:szCs w:val="21"/>
                <w:highlight w:val="none"/>
              </w:rPr>
              <w:t>5000≤Z＜80000</w:t>
            </w:r>
          </w:p>
        </w:tc>
        <w:tc>
          <w:tcPr>
            <w:tcW w:w="1570" w:type="dxa"/>
            <w:tcBorders>
              <w:top w:val="nil"/>
              <w:left w:val="nil"/>
              <w:bottom w:val="single" w:color="auto" w:sz="4" w:space="0"/>
              <w:right w:val="single" w:color="auto" w:sz="4" w:space="0"/>
            </w:tcBorders>
            <w:vAlign w:val="center"/>
          </w:tcPr>
          <w:p w14:paraId="55D8BE3E">
            <w:pPr>
              <w:widowControl/>
              <w:jc w:val="left"/>
              <w:rPr>
                <w:color w:val="auto"/>
                <w:szCs w:val="21"/>
                <w:highlight w:val="none"/>
              </w:rPr>
            </w:pPr>
            <w:r>
              <w:rPr>
                <w:rFonts w:hint="eastAsia"/>
                <w:color w:val="auto"/>
                <w:szCs w:val="21"/>
                <w:highlight w:val="none"/>
              </w:rPr>
              <w:t>300≤Z＜5000</w:t>
            </w:r>
          </w:p>
        </w:tc>
        <w:tc>
          <w:tcPr>
            <w:tcW w:w="1009" w:type="dxa"/>
            <w:tcBorders>
              <w:top w:val="nil"/>
              <w:left w:val="nil"/>
              <w:bottom w:val="single" w:color="auto" w:sz="4" w:space="0"/>
              <w:right w:val="single" w:color="auto" w:sz="4" w:space="0"/>
            </w:tcBorders>
            <w:vAlign w:val="center"/>
          </w:tcPr>
          <w:p w14:paraId="398BD597">
            <w:pPr>
              <w:widowControl/>
              <w:jc w:val="left"/>
              <w:rPr>
                <w:color w:val="auto"/>
                <w:szCs w:val="21"/>
                <w:highlight w:val="none"/>
              </w:rPr>
            </w:pPr>
            <w:r>
              <w:rPr>
                <w:rFonts w:hint="eastAsia"/>
                <w:color w:val="auto"/>
                <w:szCs w:val="21"/>
                <w:highlight w:val="none"/>
              </w:rPr>
              <w:t>Z＜300</w:t>
            </w:r>
          </w:p>
        </w:tc>
      </w:tr>
      <w:tr w14:paraId="1812CA6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16F13D5">
            <w:pPr>
              <w:widowControl/>
              <w:ind w:firstLine="315" w:firstLineChars="150"/>
              <w:rPr>
                <w:color w:val="auto"/>
                <w:szCs w:val="21"/>
                <w:highlight w:val="none"/>
              </w:rPr>
            </w:pPr>
            <w:r>
              <w:rPr>
                <w:rFonts w:hint="eastAsia"/>
                <w:color w:val="auto"/>
                <w:szCs w:val="21"/>
                <w:highlight w:val="none"/>
              </w:rPr>
              <w:t>批发业</w:t>
            </w:r>
          </w:p>
        </w:tc>
        <w:tc>
          <w:tcPr>
            <w:tcW w:w="1701" w:type="dxa"/>
            <w:tcBorders>
              <w:top w:val="nil"/>
              <w:left w:val="nil"/>
              <w:bottom w:val="single" w:color="auto" w:sz="4" w:space="0"/>
              <w:right w:val="single" w:color="auto" w:sz="4" w:space="0"/>
            </w:tcBorders>
            <w:vAlign w:val="center"/>
          </w:tcPr>
          <w:p w14:paraId="354FAE97">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499F7364">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7800263F">
            <w:pPr>
              <w:widowControl/>
              <w:jc w:val="left"/>
              <w:rPr>
                <w:color w:val="auto"/>
                <w:szCs w:val="21"/>
                <w:highlight w:val="none"/>
              </w:rPr>
            </w:pPr>
            <w:r>
              <w:rPr>
                <w:rFonts w:hint="eastAsia"/>
                <w:color w:val="auto"/>
                <w:szCs w:val="21"/>
                <w:highlight w:val="none"/>
              </w:rPr>
              <w:t>20≤X＜200</w:t>
            </w:r>
          </w:p>
        </w:tc>
        <w:tc>
          <w:tcPr>
            <w:tcW w:w="1570" w:type="dxa"/>
            <w:tcBorders>
              <w:top w:val="nil"/>
              <w:left w:val="nil"/>
              <w:bottom w:val="single" w:color="auto" w:sz="4" w:space="0"/>
              <w:right w:val="single" w:color="auto" w:sz="4" w:space="0"/>
            </w:tcBorders>
            <w:vAlign w:val="center"/>
          </w:tcPr>
          <w:p w14:paraId="7AAB643B">
            <w:pPr>
              <w:widowControl/>
              <w:jc w:val="left"/>
              <w:rPr>
                <w:color w:val="auto"/>
                <w:szCs w:val="21"/>
                <w:highlight w:val="none"/>
              </w:rPr>
            </w:pPr>
            <w:r>
              <w:rPr>
                <w:rFonts w:hint="eastAsia"/>
                <w:color w:val="auto"/>
                <w:szCs w:val="21"/>
                <w:highlight w:val="none"/>
              </w:rPr>
              <w:t>5≤X＜20</w:t>
            </w:r>
          </w:p>
        </w:tc>
        <w:tc>
          <w:tcPr>
            <w:tcW w:w="1009" w:type="dxa"/>
            <w:tcBorders>
              <w:top w:val="nil"/>
              <w:left w:val="nil"/>
              <w:bottom w:val="single" w:color="auto" w:sz="4" w:space="0"/>
              <w:right w:val="single" w:color="auto" w:sz="4" w:space="0"/>
            </w:tcBorders>
            <w:vAlign w:val="center"/>
          </w:tcPr>
          <w:p w14:paraId="43357451">
            <w:pPr>
              <w:widowControl/>
              <w:jc w:val="left"/>
              <w:rPr>
                <w:color w:val="auto"/>
                <w:szCs w:val="21"/>
                <w:highlight w:val="none"/>
              </w:rPr>
            </w:pPr>
            <w:r>
              <w:rPr>
                <w:rFonts w:hint="eastAsia"/>
                <w:color w:val="auto"/>
                <w:szCs w:val="21"/>
                <w:highlight w:val="none"/>
              </w:rPr>
              <w:t>X＜5</w:t>
            </w:r>
          </w:p>
        </w:tc>
      </w:tr>
      <w:tr w14:paraId="5211B5C7">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A550FD2">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66A26F70">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5EA1F837">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41B23C69">
            <w:pPr>
              <w:widowControl/>
              <w:jc w:val="left"/>
              <w:rPr>
                <w:color w:val="auto"/>
                <w:szCs w:val="21"/>
                <w:highlight w:val="none"/>
              </w:rPr>
            </w:pPr>
            <w:r>
              <w:rPr>
                <w:rFonts w:hint="eastAsia"/>
                <w:color w:val="auto"/>
                <w:szCs w:val="21"/>
                <w:highlight w:val="none"/>
              </w:rPr>
              <w:t>5000≤Y＜40000</w:t>
            </w:r>
          </w:p>
        </w:tc>
        <w:tc>
          <w:tcPr>
            <w:tcW w:w="1570" w:type="dxa"/>
            <w:tcBorders>
              <w:top w:val="nil"/>
              <w:left w:val="nil"/>
              <w:bottom w:val="single" w:color="auto" w:sz="4" w:space="0"/>
              <w:right w:val="single" w:color="auto" w:sz="4" w:space="0"/>
            </w:tcBorders>
            <w:vAlign w:val="center"/>
          </w:tcPr>
          <w:p w14:paraId="69384BE4">
            <w:pPr>
              <w:widowControl/>
              <w:jc w:val="left"/>
              <w:rPr>
                <w:color w:val="auto"/>
                <w:szCs w:val="21"/>
                <w:highlight w:val="none"/>
              </w:rPr>
            </w:pPr>
            <w:r>
              <w:rPr>
                <w:rFonts w:hint="eastAsia"/>
                <w:color w:val="auto"/>
                <w:szCs w:val="21"/>
                <w:highlight w:val="none"/>
              </w:rPr>
              <w:t>1000≤Y＜5000</w:t>
            </w:r>
          </w:p>
        </w:tc>
        <w:tc>
          <w:tcPr>
            <w:tcW w:w="1009" w:type="dxa"/>
            <w:tcBorders>
              <w:top w:val="nil"/>
              <w:left w:val="nil"/>
              <w:bottom w:val="single" w:color="auto" w:sz="4" w:space="0"/>
              <w:right w:val="single" w:color="auto" w:sz="4" w:space="0"/>
            </w:tcBorders>
            <w:vAlign w:val="center"/>
          </w:tcPr>
          <w:p w14:paraId="1D5E0CDF">
            <w:pPr>
              <w:widowControl/>
              <w:jc w:val="left"/>
              <w:rPr>
                <w:color w:val="auto"/>
                <w:szCs w:val="21"/>
                <w:highlight w:val="none"/>
              </w:rPr>
            </w:pPr>
            <w:r>
              <w:rPr>
                <w:rFonts w:hint="eastAsia"/>
                <w:color w:val="auto"/>
                <w:szCs w:val="21"/>
                <w:highlight w:val="none"/>
              </w:rPr>
              <w:t>Y＜1000</w:t>
            </w:r>
          </w:p>
        </w:tc>
      </w:tr>
      <w:tr w14:paraId="4DD3FB6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AE9D99E">
            <w:pPr>
              <w:widowControl/>
              <w:jc w:val="center"/>
              <w:rPr>
                <w:color w:val="auto"/>
                <w:szCs w:val="21"/>
                <w:highlight w:val="none"/>
              </w:rPr>
            </w:pPr>
            <w:r>
              <w:rPr>
                <w:rFonts w:hint="eastAsia"/>
                <w:color w:val="auto"/>
                <w:szCs w:val="21"/>
                <w:highlight w:val="none"/>
              </w:rPr>
              <w:t>零售业</w:t>
            </w:r>
          </w:p>
        </w:tc>
        <w:tc>
          <w:tcPr>
            <w:tcW w:w="1701" w:type="dxa"/>
            <w:tcBorders>
              <w:top w:val="nil"/>
              <w:left w:val="nil"/>
              <w:bottom w:val="single" w:color="auto" w:sz="4" w:space="0"/>
              <w:right w:val="single" w:color="auto" w:sz="4" w:space="0"/>
            </w:tcBorders>
            <w:vAlign w:val="center"/>
          </w:tcPr>
          <w:p w14:paraId="1107BE04">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285F3D08">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5CA9CB15">
            <w:pPr>
              <w:widowControl/>
              <w:jc w:val="left"/>
              <w:rPr>
                <w:color w:val="auto"/>
                <w:szCs w:val="21"/>
                <w:highlight w:val="none"/>
              </w:rPr>
            </w:pPr>
            <w:r>
              <w:rPr>
                <w:rFonts w:hint="eastAsia"/>
                <w:color w:val="auto"/>
                <w:szCs w:val="21"/>
                <w:highlight w:val="none"/>
              </w:rPr>
              <w:t>50≤X＜300</w:t>
            </w:r>
          </w:p>
        </w:tc>
        <w:tc>
          <w:tcPr>
            <w:tcW w:w="1570" w:type="dxa"/>
            <w:tcBorders>
              <w:top w:val="nil"/>
              <w:left w:val="nil"/>
              <w:bottom w:val="single" w:color="auto" w:sz="4" w:space="0"/>
              <w:right w:val="single" w:color="auto" w:sz="4" w:space="0"/>
            </w:tcBorders>
            <w:vAlign w:val="center"/>
          </w:tcPr>
          <w:p w14:paraId="654CBF3F">
            <w:pPr>
              <w:widowControl/>
              <w:jc w:val="left"/>
              <w:rPr>
                <w:color w:val="auto"/>
                <w:szCs w:val="21"/>
                <w:highlight w:val="none"/>
              </w:rPr>
            </w:pPr>
            <w:r>
              <w:rPr>
                <w:rFonts w:hint="eastAsia"/>
                <w:color w:val="auto"/>
                <w:szCs w:val="21"/>
                <w:highlight w:val="none"/>
              </w:rPr>
              <w:t>10≤X＜50</w:t>
            </w:r>
          </w:p>
        </w:tc>
        <w:tc>
          <w:tcPr>
            <w:tcW w:w="1009" w:type="dxa"/>
            <w:tcBorders>
              <w:top w:val="nil"/>
              <w:left w:val="nil"/>
              <w:bottom w:val="single" w:color="auto" w:sz="4" w:space="0"/>
              <w:right w:val="single" w:color="auto" w:sz="4" w:space="0"/>
            </w:tcBorders>
            <w:vAlign w:val="center"/>
          </w:tcPr>
          <w:p w14:paraId="5F2F17CD">
            <w:pPr>
              <w:widowControl/>
              <w:jc w:val="left"/>
              <w:rPr>
                <w:color w:val="auto"/>
                <w:szCs w:val="21"/>
                <w:highlight w:val="none"/>
              </w:rPr>
            </w:pPr>
            <w:r>
              <w:rPr>
                <w:rFonts w:hint="eastAsia"/>
                <w:color w:val="auto"/>
                <w:szCs w:val="21"/>
                <w:highlight w:val="none"/>
              </w:rPr>
              <w:t>X＜10</w:t>
            </w:r>
          </w:p>
        </w:tc>
      </w:tr>
      <w:tr w14:paraId="6FD22FF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6C6B7B24">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29F107A8">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08E66B9F">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3C1A2DD5">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vAlign w:val="center"/>
          </w:tcPr>
          <w:p w14:paraId="623AC504">
            <w:pPr>
              <w:widowControl/>
              <w:jc w:val="left"/>
              <w:rPr>
                <w:color w:val="auto"/>
                <w:szCs w:val="21"/>
                <w:highlight w:val="none"/>
              </w:rPr>
            </w:pPr>
            <w:r>
              <w:rPr>
                <w:rFonts w:hint="eastAsia"/>
                <w:color w:val="auto"/>
                <w:szCs w:val="21"/>
                <w:highlight w:val="none"/>
              </w:rPr>
              <w:t>100≤Y＜500</w:t>
            </w:r>
          </w:p>
        </w:tc>
        <w:tc>
          <w:tcPr>
            <w:tcW w:w="1009" w:type="dxa"/>
            <w:tcBorders>
              <w:top w:val="nil"/>
              <w:left w:val="nil"/>
              <w:bottom w:val="single" w:color="auto" w:sz="4" w:space="0"/>
              <w:right w:val="single" w:color="auto" w:sz="4" w:space="0"/>
            </w:tcBorders>
            <w:vAlign w:val="center"/>
          </w:tcPr>
          <w:p w14:paraId="0140928A">
            <w:pPr>
              <w:widowControl/>
              <w:jc w:val="left"/>
              <w:rPr>
                <w:color w:val="auto"/>
                <w:szCs w:val="21"/>
                <w:highlight w:val="none"/>
              </w:rPr>
            </w:pPr>
            <w:r>
              <w:rPr>
                <w:rFonts w:hint="eastAsia"/>
                <w:color w:val="auto"/>
                <w:szCs w:val="21"/>
                <w:highlight w:val="none"/>
              </w:rPr>
              <w:t>Y＜100</w:t>
            </w:r>
          </w:p>
        </w:tc>
      </w:tr>
      <w:tr w14:paraId="3D91798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BF0E3D7">
            <w:pPr>
              <w:widowControl/>
              <w:jc w:val="center"/>
              <w:rPr>
                <w:color w:val="auto"/>
                <w:szCs w:val="21"/>
                <w:highlight w:val="none"/>
              </w:rPr>
            </w:pPr>
            <w:r>
              <w:rPr>
                <w:rFonts w:hint="eastAsia"/>
                <w:color w:val="auto"/>
                <w:szCs w:val="21"/>
                <w:highlight w:val="none"/>
              </w:rPr>
              <w:t>交通运输业</w:t>
            </w:r>
          </w:p>
        </w:tc>
        <w:tc>
          <w:tcPr>
            <w:tcW w:w="1701" w:type="dxa"/>
            <w:tcBorders>
              <w:top w:val="nil"/>
              <w:left w:val="nil"/>
              <w:bottom w:val="single" w:color="auto" w:sz="4" w:space="0"/>
              <w:right w:val="single" w:color="auto" w:sz="4" w:space="0"/>
            </w:tcBorders>
            <w:vAlign w:val="center"/>
          </w:tcPr>
          <w:p w14:paraId="015A32C5">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56D03895">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59EFBBBD">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56A6A528">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vAlign w:val="center"/>
          </w:tcPr>
          <w:p w14:paraId="2708C0D3">
            <w:pPr>
              <w:widowControl/>
              <w:jc w:val="left"/>
              <w:rPr>
                <w:color w:val="auto"/>
                <w:szCs w:val="21"/>
                <w:highlight w:val="none"/>
              </w:rPr>
            </w:pPr>
            <w:r>
              <w:rPr>
                <w:rFonts w:hint="eastAsia"/>
                <w:color w:val="auto"/>
                <w:szCs w:val="21"/>
                <w:highlight w:val="none"/>
              </w:rPr>
              <w:t>X＜20</w:t>
            </w:r>
          </w:p>
        </w:tc>
      </w:tr>
      <w:tr w14:paraId="279F7B9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DEDF316">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557A0AAB">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7AFA8F57">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6D20DE91">
            <w:pPr>
              <w:widowControl/>
              <w:jc w:val="left"/>
              <w:rPr>
                <w:color w:val="auto"/>
                <w:szCs w:val="21"/>
                <w:highlight w:val="none"/>
              </w:rPr>
            </w:pPr>
            <w:r>
              <w:rPr>
                <w:rFonts w:hint="eastAsia"/>
                <w:color w:val="auto"/>
                <w:szCs w:val="21"/>
                <w:highlight w:val="none"/>
              </w:rPr>
              <w:t>3000≤Y＜30000</w:t>
            </w:r>
          </w:p>
        </w:tc>
        <w:tc>
          <w:tcPr>
            <w:tcW w:w="1570" w:type="dxa"/>
            <w:tcBorders>
              <w:top w:val="nil"/>
              <w:left w:val="nil"/>
              <w:bottom w:val="single" w:color="auto" w:sz="4" w:space="0"/>
              <w:right w:val="single" w:color="auto" w:sz="4" w:space="0"/>
            </w:tcBorders>
            <w:vAlign w:val="center"/>
          </w:tcPr>
          <w:p w14:paraId="354AA874">
            <w:pPr>
              <w:widowControl/>
              <w:jc w:val="left"/>
              <w:rPr>
                <w:color w:val="auto"/>
                <w:szCs w:val="21"/>
                <w:highlight w:val="none"/>
              </w:rPr>
            </w:pPr>
            <w:r>
              <w:rPr>
                <w:rFonts w:hint="eastAsia"/>
                <w:color w:val="auto"/>
                <w:szCs w:val="21"/>
                <w:highlight w:val="none"/>
              </w:rPr>
              <w:t>200≤Y＜3000</w:t>
            </w:r>
          </w:p>
        </w:tc>
        <w:tc>
          <w:tcPr>
            <w:tcW w:w="1009" w:type="dxa"/>
            <w:tcBorders>
              <w:top w:val="nil"/>
              <w:left w:val="nil"/>
              <w:bottom w:val="single" w:color="auto" w:sz="4" w:space="0"/>
              <w:right w:val="single" w:color="auto" w:sz="4" w:space="0"/>
            </w:tcBorders>
            <w:vAlign w:val="center"/>
          </w:tcPr>
          <w:p w14:paraId="4AC4E743">
            <w:pPr>
              <w:widowControl/>
              <w:jc w:val="left"/>
              <w:rPr>
                <w:color w:val="auto"/>
                <w:szCs w:val="21"/>
                <w:highlight w:val="none"/>
              </w:rPr>
            </w:pPr>
            <w:r>
              <w:rPr>
                <w:rFonts w:hint="eastAsia"/>
                <w:color w:val="auto"/>
                <w:szCs w:val="21"/>
                <w:highlight w:val="none"/>
              </w:rPr>
              <w:t>Y＜200</w:t>
            </w:r>
          </w:p>
        </w:tc>
      </w:tr>
      <w:tr w14:paraId="32E0A79C">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67F2069">
            <w:pPr>
              <w:widowControl/>
              <w:jc w:val="center"/>
              <w:rPr>
                <w:color w:val="auto"/>
                <w:szCs w:val="21"/>
                <w:highlight w:val="none"/>
              </w:rPr>
            </w:pPr>
            <w:r>
              <w:rPr>
                <w:rFonts w:hint="eastAsia"/>
                <w:color w:val="auto"/>
                <w:szCs w:val="21"/>
                <w:highlight w:val="none"/>
              </w:rPr>
              <w:t>仓储业</w:t>
            </w:r>
          </w:p>
        </w:tc>
        <w:tc>
          <w:tcPr>
            <w:tcW w:w="1701" w:type="dxa"/>
            <w:tcBorders>
              <w:top w:val="nil"/>
              <w:left w:val="nil"/>
              <w:bottom w:val="single" w:color="auto" w:sz="4" w:space="0"/>
              <w:right w:val="single" w:color="auto" w:sz="4" w:space="0"/>
            </w:tcBorders>
            <w:vAlign w:val="center"/>
          </w:tcPr>
          <w:p w14:paraId="28E6C3E3">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74F21D7B">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047BD688">
            <w:pPr>
              <w:widowControl/>
              <w:jc w:val="left"/>
              <w:rPr>
                <w:color w:val="auto"/>
                <w:szCs w:val="21"/>
                <w:highlight w:val="none"/>
              </w:rPr>
            </w:pPr>
            <w:r>
              <w:rPr>
                <w:rFonts w:hint="eastAsia"/>
                <w:color w:val="auto"/>
                <w:szCs w:val="21"/>
                <w:highlight w:val="none"/>
              </w:rPr>
              <w:t>100≤X＜200</w:t>
            </w:r>
          </w:p>
        </w:tc>
        <w:tc>
          <w:tcPr>
            <w:tcW w:w="1570" w:type="dxa"/>
            <w:tcBorders>
              <w:top w:val="nil"/>
              <w:left w:val="nil"/>
              <w:bottom w:val="single" w:color="auto" w:sz="4" w:space="0"/>
              <w:right w:val="single" w:color="auto" w:sz="4" w:space="0"/>
            </w:tcBorders>
            <w:vAlign w:val="center"/>
          </w:tcPr>
          <w:p w14:paraId="6FFDEEAB">
            <w:pPr>
              <w:widowControl/>
              <w:jc w:val="left"/>
              <w:rPr>
                <w:color w:val="auto"/>
                <w:szCs w:val="21"/>
                <w:highlight w:val="none"/>
              </w:rPr>
            </w:pPr>
            <w:r>
              <w:rPr>
                <w:rFonts w:hint="eastAsia"/>
                <w:color w:val="auto"/>
                <w:szCs w:val="21"/>
                <w:highlight w:val="none"/>
              </w:rPr>
              <w:t>20≤X＜100</w:t>
            </w:r>
          </w:p>
        </w:tc>
        <w:tc>
          <w:tcPr>
            <w:tcW w:w="1009" w:type="dxa"/>
            <w:tcBorders>
              <w:top w:val="nil"/>
              <w:left w:val="nil"/>
              <w:bottom w:val="single" w:color="auto" w:sz="4" w:space="0"/>
              <w:right w:val="single" w:color="auto" w:sz="4" w:space="0"/>
            </w:tcBorders>
            <w:vAlign w:val="center"/>
          </w:tcPr>
          <w:p w14:paraId="2AE64F42">
            <w:pPr>
              <w:widowControl/>
              <w:jc w:val="left"/>
              <w:rPr>
                <w:color w:val="auto"/>
                <w:szCs w:val="21"/>
                <w:highlight w:val="none"/>
              </w:rPr>
            </w:pPr>
            <w:r>
              <w:rPr>
                <w:rFonts w:hint="eastAsia"/>
                <w:color w:val="auto"/>
                <w:szCs w:val="21"/>
                <w:highlight w:val="none"/>
              </w:rPr>
              <w:t>X＜20</w:t>
            </w:r>
          </w:p>
        </w:tc>
      </w:tr>
      <w:tr w14:paraId="7CE3C957">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3DA7C23B">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1595E45C">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5C103E08">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360E6C41">
            <w:pPr>
              <w:widowControl/>
              <w:jc w:val="left"/>
              <w:rPr>
                <w:color w:val="auto"/>
                <w:szCs w:val="21"/>
                <w:highlight w:val="none"/>
              </w:rPr>
            </w:pPr>
            <w:r>
              <w:rPr>
                <w:rFonts w:hint="eastAsia"/>
                <w:color w:val="auto"/>
                <w:szCs w:val="21"/>
                <w:highlight w:val="none"/>
              </w:rPr>
              <w:t>1000≤Y＜30000</w:t>
            </w:r>
          </w:p>
        </w:tc>
        <w:tc>
          <w:tcPr>
            <w:tcW w:w="1570" w:type="dxa"/>
            <w:tcBorders>
              <w:top w:val="nil"/>
              <w:left w:val="nil"/>
              <w:bottom w:val="single" w:color="auto" w:sz="4" w:space="0"/>
              <w:right w:val="single" w:color="auto" w:sz="4" w:space="0"/>
            </w:tcBorders>
            <w:vAlign w:val="center"/>
          </w:tcPr>
          <w:p w14:paraId="61EADC28">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vAlign w:val="center"/>
          </w:tcPr>
          <w:p w14:paraId="5F702DDD">
            <w:pPr>
              <w:widowControl/>
              <w:jc w:val="left"/>
              <w:rPr>
                <w:color w:val="auto"/>
                <w:szCs w:val="21"/>
                <w:highlight w:val="none"/>
              </w:rPr>
            </w:pPr>
            <w:r>
              <w:rPr>
                <w:rFonts w:hint="eastAsia"/>
                <w:color w:val="auto"/>
                <w:szCs w:val="21"/>
                <w:highlight w:val="none"/>
              </w:rPr>
              <w:t>Y＜100</w:t>
            </w:r>
          </w:p>
        </w:tc>
      </w:tr>
      <w:tr w14:paraId="1112D8D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6623B0C3">
            <w:pPr>
              <w:widowControl/>
              <w:jc w:val="center"/>
              <w:rPr>
                <w:color w:val="auto"/>
                <w:szCs w:val="21"/>
                <w:highlight w:val="none"/>
              </w:rPr>
            </w:pPr>
            <w:r>
              <w:rPr>
                <w:rFonts w:hint="eastAsia"/>
                <w:color w:val="auto"/>
                <w:szCs w:val="21"/>
                <w:highlight w:val="none"/>
              </w:rPr>
              <w:t>邮政业</w:t>
            </w:r>
          </w:p>
        </w:tc>
        <w:tc>
          <w:tcPr>
            <w:tcW w:w="1701" w:type="dxa"/>
            <w:tcBorders>
              <w:top w:val="nil"/>
              <w:left w:val="nil"/>
              <w:bottom w:val="single" w:color="auto" w:sz="4" w:space="0"/>
              <w:right w:val="single" w:color="auto" w:sz="4" w:space="0"/>
            </w:tcBorders>
            <w:vAlign w:val="center"/>
          </w:tcPr>
          <w:p w14:paraId="4F3262FC">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312DB491">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7567DBB4">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40C9A53B">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vAlign w:val="center"/>
          </w:tcPr>
          <w:p w14:paraId="0345430A">
            <w:pPr>
              <w:widowControl/>
              <w:jc w:val="left"/>
              <w:rPr>
                <w:color w:val="auto"/>
                <w:szCs w:val="21"/>
                <w:highlight w:val="none"/>
              </w:rPr>
            </w:pPr>
            <w:r>
              <w:rPr>
                <w:rFonts w:hint="eastAsia"/>
                <w:color w:val="auto"/>
                <w:szCs w:val="21"/>
                <w:highlight w:val="none"/>
              </w:rPr>
              <w:t>X＜20</w:t>
            </w:r>
          </w:p>
        </w:tc>
      </w:tr>
      <w:tr w14:paraId="2DFBD5F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6FF58F4E">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591AB108">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42C4EC55">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655E8555">
            <w:pPr>
              <w:widowControl/>
              <w:jc w:val="left"/>
              <w:rPr>
                <w:color w:val="auto"/>
                <w:szCs w:val="21"/>
                <w:highlight w:val="none"/>
              </w:rPr>
            </w:pPr>
            <w:r>
              <w:rPr>
                <w:rFonts w:hint="eastAsia"/>
                <w:color w:val="auto"/>
                <w:szCs w:val="21"/>
                <w:highlight w:val="none"/>
              </w:rPr>
              <w:t>2000≤Y＜30000</w:t>
            </w:r>
          </w:p>
        </w:tc>
        <w:tc>
          <w:tcPr>
            <w:tcW w:w="1570" w:type="dxa"/>
            <w:tcBorders>
              <w:top w:val="nil"/>
              <w:left w:val="nil"/>
              <w:bottom w:val="single" w:color="auto" w:sz="4" w:space="0"/>
              <w:right w:val="single" w:color="auto" w:sz="4" w:space="0"/>
            </w:tcBorders>
            <w:vAlign w:val="center"/>
          </w:tcPr>
          <w:p w14:paraId="13C5B0A9">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vAlign w:val="center"/>
          </w:tcPr>
          <w:p w14:paraId="6B0D7960">
            <w:pPr>
              <w:widowControl/>
              <w:jc w:val="left"/>
              <w:rPr>
                <w:color w:val="auto"/>
                <w:szCs w:val="21"/>
                <w:highlight w:val="none"/>
              </w:rPr>
            </w:pPr>
            <w:r>
              <w:rPr>
                <w:rFonts w:hint="eastAsia"/>
                <w:color w:val="auto"/>
                <w:szCs w:val="21"/>
                <w:highlight w:val="none"/>
              </w:rPr>
              <w:t>Y＜100</w:t>
            </w:r>
          </w:p>
        </w:tc>
      </w:tr>
      <w:tr w14:paraId="677DC20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98D1357">
            <w:pPr>
              <w:widowControl/>
              <w:jc w:val="center"/>
              <w:rPr>
                <w:color w:val="auto"/>
                <w:szCs w:val="21"/>
                <w:highlight w:val="none"/>
              </w:rPr>
            </w:pPr>
            <w:r>
              <w:rPr>
                <w:rFonts w:hint="eastAsia"/>
                <w:color w:val="auto"/>
                <w:szCs w:val="21"/>
                <w:highlight w:val="none"/>
              </w:rPr>
              <w:t>住宿业</w:t>
            </w:r>
          </w:p>
        </w:tc>
        <w:tc>
          <w:tcPr>
            <w:tcW w:w="1701" w:type="dxa"/>
            <w:tcBorders>
              <w:top w:val="nil"/>
              <w:left w:val="nil"/>
              <w:bottom w:val="single" w:color="auto" w:sz="4" w:space="0"/>
              <w:right w:val="single" w:color="auto" w:sz="4" w:space="0"/>
            </w:tcBorders>
            <w:vAlign w:val="center"/>
          </w:tcPr>
          <w:p w14:paraId="388381D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4DAB4217">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099745ED">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3AD0B5A5">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6472A1F8">
            <w:pPr>
              <w:widowControl/>
              <w:jc w:val="left"/>
              <w:rPr>
                <w:color w:val="auto"/>
                <w:szCs w:val="21"/>
                <w:highlight w:val="none"/>
              </w:rPr>
            </w:pPr>
            <w:r>
              <w:rPr>
                <w:rFonts w:hint="eastAsia"/>
                <w:color w:val="auto"/>
                <w:szCs w:val="21"/>
                <w:highlight w:val="none"/>
              </w:rPr>
              <w:t>X＜10</w:t>
            </w:r>
          </w:p>
        </w:tc>
      </w:tr>
      <w:tr w14:paraId="46BB7D0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61255200">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0545C04A">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1E3E357D">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33761125">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vAlign w:val="center"/>
          </w:tcPr>
          <w:p w14:paraId="4157398A">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vAlign w:val="center"/>
          </w:tcPr>
          <w:p w14:paraId="6945E095">
            <w:pPr>
              <w:widowControl/>
              <w:jc w:val="left"/>
              <w:rPr>
                <w:color w:val="auto"/>
                <w:szCs w:val="21"/>
                <w:highlight w:val="none"/>
              </w:rPr>
            </w:pPr>
            <w:r>
              <w:rPr>
                <w:rFonts w:hint="eastAsia"/>
                <w:color w:val="auto"/>
                <w:szCs w:val="21"/>
                <w:highlight w:val="none"/>
              </w:rPr>
              <w:t>Y＜100</w:t>
            </w:r>
          </w:p>
        </w:tc>
      </w:tr>
      <w:tr w14:paraId="51DF8C8C">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9FD4801">
            <w:pPr>
              <w:widowControl/>
              <w:jc w:val="center"/>
              <w:rPr>
                <w:color w:val="auto"/>
                <w:szCs w:val="21"/>
                <w:highlight w:val="none"/>
              </w:rPr>
            </w:pPr>
            <w:r>
              <w:rPr>
                <w:rFonts w:hint="eastAsia"/>
                <w:color w:val="auto"/>
                <w:szCs w:val="21"/>
                <w:highlight w:val="none"/>
              </w:rPr>
              <w:t>餐饮业</w:t>
            </w:r>
          </w:p>
        </w:tc>
        <w:tc>
          <w:tcPr>
            <w:tcW w:w="1701" w:type="dxa"/>
            <w:tcBorders>
              <w:top w:val="nil"/>
              <w:left w:val="nil"/>
              <w:bottom w:val="single" w:color="auto" w:sz="4" w:space="0"/>
              <w:right w:val="single" w:color="auto" w:sz="4" w:space="0"/>
            </w:tcBorders>
            <w:vAlign w:val="center"/>
          </w:tcPr>
          <w:p w14:paraId="6E94843E">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6CD48AD3">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6EBE096B">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3E580933">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7A1C4CCB">
            <w:pPr>
              <w:widowControl/>
              <w:jc w:val="left"/>
              <w:rPr>
                <w:color w:val="auto"/>
                <w:szCs w:val="21"/>
                <w:highlight w:val="none"/>
              </w:rPr>
            </w:pPr>
            <w:r>
              <w:rPr>
                <w:rFonts w:hint="eastAsia"/>
                <w:color w:val="auto"/>
                <w:szCs w:val="21"/>
                <w:highlight w:val="none"/>
              </w:rPr>
              <w:t>X＜10</w:t>
            </w:r>
          </w:p>
        </w:tc>
      </w:tr>
      <w:tr w14:paraId="5D7A1F5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AE6ABBD">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1039F049">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4B4BC8D3">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12255172">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vAlign w:val="center"/>
          </w:tcPr>
          <w:p w14:paraId="2D6BA816">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vAlign w:val="center"/>
          </w:tcPr>
          <w:p w14:paraId="16B86CB9">
            <w:pPr>
              <w:widowControl/>
              <w:jc w:val="left"/>
              <w:rPr>
                <w:color w:val="auto"/>
                <w:szCs w:val="21"/>
                <w:highlight w:val="none"/>
              </w:rPr>
            </w:pPr>
            <w:r>
              <w:rPr>
                <w:rFonts w:hint="eastAsia"/>
                <w:color w:val="auto"/>
                <w:szCs w:val="21"/>
                <w:highlight w:val="none"/>
              </w:rPr>
              <w:t>Y＜100</w:t>
            </w:r>
          </w:p>
        </w:tc>
      </w:tr>
      <w:tr w14:paraId="49D85C4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45D03A7">
            <w:pPr>
              <w:widowControl/>
              <w:jc w:val="center"/>
              <w:rPr>
                <w:color w:val="auto"/>
                <w:szCs w:val="21"/>
                <w:highlight w:val="none"/>
              </w:rPr>
            </w:pPr>
            <w:r>
              <w:rPr>
                <w:rFonts w:hint="eastAsia"/>
                <w:color w:val="auto"/>
                <w:szCs w:val="21"/>
                <w:highlight w:val="none"/>
              </w:rPr>
              <w:t>信息传输业</w:t>
            </w:r>
          </w:p>
        </w:tc>
        <w:tc>
          <w:tcPr>
            <w:tcW w:w="1701" w:type="dxa"/>
            <w:tcBorders>
              <w:top w:val="nil"/>
              <w:left w:val="nil"/>
              <w:bottom w:val="single" w:color="auto" w:sz="4" w:space="0"/>
              <w:right w:val="single" w:color="auto" w:sz="4" w:space="0"/>
            </w:tcBorders>
            <w:vAlign w:val="center"/>
          </w:tcPr>
          <w:p w14:paraId="2B22B781">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4CB39BD6">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7F4D46D5">
            <w:pPr>
              <w:widowControl/>
              <w:jc w:val="left"/>
              <w:rPr>
                <w:color w:val="auto"/>
                <w:szCs w:val="21"/>
                <w:highlight w:val="none"/>
              </w:rPr>
            </w:pPr>
            <w:r>
              <w:rPr>
                <w:rFonts w:hint="eastAsia"/>
                <w:color w:val="auto"/>
                <w:szCs w:val="21"/>
                <w:highlight w:val="none"/>
              </w:rPr>
              <w:t>100≤X＜2000</w:t>
            </w:r>
          </w:p>
        </w:tc>
        <w:tc>
          <w:tcPr>
            <w:tcW w:w="1570" w:type="dxa"/>
            <w:tcBorders>
              <w:top w:val="nil"/>
              <w:left w:val="nil"/>
              <w:bottom w:val="single" w:color="auto" w:sz="4" w:space="0"/>
              <w:right w:val="single" w:color="auto" w:sz="4" w:space="0"/>
            </w:tcBorders>
            <w:vAlign w:val="center"/>
          </w:tcPr>
          <w:p w14:paraId="61357EC8">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7B553376">
            <w:pPr>
              <w:widowControl/>
              <w:jc w:val="left"/>
              <w:rPr>
                <w:color w:val="auto"/>
                <w:szCs w:val="21"/>
                <w:highlight w:val="none"/>
              </w:rPr>
            </w:pPr>
            <w:r>
              <w:rPr>
                <w:rFonts w:hint="eastAsia"/>
                <w:color w:val="auto"/>
                <w:szCs w:val="21"/>
                <w:highlight w:val="none"/>
              </w:rPr>
              <w:t>X＜10</w:t>
            </w:r>
          </w:p>
        </w:tc>
      </w:tr>
      <w:tr w14:paraId="6EE7643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09FAD65">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0AA02869">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2937EAA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3153F976">
            <w:pPr>
              <w:widowControl/>
              <w:jc w:val="left"/>
              <w:rPr>
                <w:color w:val="auto"/>
                <w:szCs w:val="21"/>
                <w:highlight w:val="none"/>
              </w:rPr>
            </w:pPr>
            <w:r>
              <w:rPr>
                <w:rFonts w:hint="eastAsia"/>
                <w:color w:val="auto"/>
                <w:szCs w:val="21"/>
                <w:highlight w:val="none"/>
              </w:rPr>
              <w:t>1000≤Y＜100000</w:t>
            </w:r>
          </w:p>
        </w:tc>
        <w:tc>
          <w:tcPr>
            <w:tcW w:w="1570" w:type="dxa"/>
            <w:tcBorders>
              <w:top w:val="nil"/>
              <w:left w:val="nil"/>
              <w:bottom w:val="single" w:color="auto" w:sz="4" w:space="0"/>
              <w:right w:val="single" w:color="auto" w:sz="4" w:space="0"/>
            </w:tcBorders>
            <w:vAlign w:val="center"/>
          </w:tcPr>
          <w:p w14:paraId="3285EDCD">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vAlign w:val="center"/>
          </w:tcPr>
          <w:p w14:paraId="36BBEE5E">
            <w:pPr>
              <w:widowControl/>
              <w:jc w:val="left"/>
              <w:rPr>
                <w:color w:val="auto"/>
                <w:szCs w:val="21"/>
                <w:highlight w:val="none"/>
              </w:rPr>
            </w:pPr>
            <w:r>
              <w:rPr>
                <w:rFonts w:hint="eastAsia"/>
                <w:color w:val="auto"/>
                <w:szCs w:val="21"/>
                <w:highlight w:val="none"/>
              </w:rPr>
              <w:t>Y＜100</w:t>
            </w:r>
          </w:p>
        </w:tc>
      </w:tr>
      <w:tr w14:paraId="6D9F0C44">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E839450">
            <w:pPr>
              <w:widowControl/>
              <w:jc w:val="center"/>
              <w:rPr>
                <w:color w:val="auto"/>
                <w:szCs w:val="21"/>
                <w:highlight w:val="none"/>
              </w:rPr>
            </w:pPr>
            <w:r>
              <w:rPr>
                <w:rFonts w:hint="eastAsia"/>
                <w:color w:val="auto"/>
                <w:szCs w:val="21"/>
                <w:highlight w:val="none"/>
              </w:rPr>
              <w:t>软件和信息技术服务业</w:t>
            </w:r>
          </w:p>
        </w:tc>
        <w:tc>
          <w:tcPr>
            <w:tcW w:w="1701" w:type="dxa"/>
            <w:tcBorders>
              <w:top w:val="nil"/>
              <w:left w:val="nil"/>
              <w:bottom w:val="single" w:color="auto" w:sz="4" w:space="0"/>
              <w:right w:val="single" w:color="auto" w:sz="4" w:space="0"/>
            </w:tcBorders>
            <w:vAlign w:val="center"/>
          </w:tcPr>
          <w:p w14:paraId="20CAC7DA">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54311BE1">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78DB4384">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645DE0A7">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494DC77A">
            <w:pPr>
              <w:widowControl/>
              <w:jc w:val="left"/>
              <w:rPr>
                <w:color w:val="auto"/>
                <w:szCs w:val="21"/>
                <w:highlight w:val="none"/>
              </w:rPr>
            </w:pPr>
            <w:r>
              <w:rPr>
                <w:rFonts w:hint="eastAsia"/>
                <w:color w:val="auto"/>
                <w:szCs w:val="21"/>
                <w:highlight w:val="none"/>
              </w:rPr>
              <w:t>X＜10</w:t>
            </w:r>
          </w:p>
        </w:tc>
      </w:tr>
      <w:tr w14:paraId="5D6EED5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5B38D6D">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0CF25490">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3D4B9751">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63A917EB">
            <w:pPr>
              <w:widowControl/>
              <w:jc w:val="left"/>
              <w:rPr>
                <w:color w:val="auto"/>
                <w:szCs w:val="21"/>
                <w:highlight w:val="none"/>
              </w:rPr>
            </w:pPr>
            <w:r>
              <w:rPr>
                <w:rFonts w:hint="eastAsia"/>
                <w:color w:val="auto"/>
                <w:szCs w:val="21"/>
                <w:highlight w:val="none"/>
              </w:rPr>
              <w:t>1000≤Y＜10000</w:t>
            </w:r>
          </w:p>
        </w:tc>
        <w:tc>
          <w:tcPr>
            <w:tcW w:w="1570" w:type="dxa"/>
            <w:tcBorders>
              <w:top w:val="nil"/>
              <w:left w:val="nil"/>
              <w:bottom w:val="single" w:color="auto" w:sz="4" w:space="0"/>
              <w:right w:val="single" w:color="auto" w:sz="4" w:space="0"/>
            </w:tcBorders>
            <w:vAlign w:val="center"/>
          </w:tcPr>
          <w:p w14:paraId="7B2D5188">
            <w:pPr>
              <w:widowControl/>
              <w:jc w:val="left"/>
              <w:rPr>
                <w:color w:val="auto"/>
                <w:szCs w:val="21"/>
                <w:highlight w:val="none"/>
              </w:rPr>
            </w:pPr>
            <w:r>
              <w:rPr>
                <w:rFonts w:hint="eastAsia"/>
                <w:color w:val="auto"/>
                <w:szCs w:val="21"/>
                <w:highlight w:val="none"/>
              </w:rPr>
              <w:t>50≤Y＜1000</w:t>
            </w:r>
          </w:p>
        </w:tc>
        <w:tc>
          <w:tcPr>
            <w:tcW w:w="1009" w:type="dxa"/>
            <w:tcBorders>
              <w:top w:val="nil"/>
              <w:left w:val="nil"/>
              <w:bottom w:val="single" w:color="auto" w:sz="4" w:space="0"/>
              <w:right w:val="single" w:color="auto" w:sz="4" w:space="0"/>
            </w:tcBorders>
            <w:vAlign w:val="center"/>
          </w:tcPr>
          <w:p w14:paraId="1B273400">
            <w:pPr>
              <w:widowControl/>
              <w:jc w:val="left"/>
              <w:rPr>
                <w:color w:val="auto"/>
                <w:szCs w:val="21"/>
                <w:highlight w:val="none"/>
              </w:rPr>
            </w:pPr>
            <w:r>
              <w:rPr>
                <w:rFonts w:hint="eastAsia"/>
                <w:color w:val="auto"/>
                <w:szCs w:val="21"/>
                <w:highlight w:val="none"/>
              </w:rPr>
              <w:t>Y＜50</w:t>
            </w:r>
          </w:p>
        </w:tc>
      </w:tr>
      <w:tr w14:paraId="04697DF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2C7E18E">
            <w:pPr>
              <w:widowControl/>
              <w:jc w:val="center"/>
              <w:rPr>
                <w:color w:val="auto"/>
                <w:szCs w:val="21"/>
                <w:highlight w:val="none"/>
              </w:rPr>
            </w:pPr>
            <w:r>
              <w:rPr>
                <w:rFonts w:hint="eastAsia"/>
                <w:color w:val="auto"/>
                <w:szCs w:val="21"/>
                <w:highlight w:val="none"/>
              </w:rPr>
              <w:t>房地产开发经营</w:t>
            </w:r>
          </w:p>
        </w:tc>
        <w:tc>
          <w:tcPr>
            <w:tcW w:w="1701" w:type="dxa"/>
            <w:tcBorders>
              <w:top w:val="nil"/>
              <w:left w:val="nil"/>
              <w:bottom w:val="single" w:color="auto" w:sz="4" w:space="0"/>
              <w:right w:val="single" w:color="auto" w:sz="4" w:space="0"/>
            </w:tcBorders>
            <w:vAlign w:val="center"/>
          </w:tcPr>
          <w:p w14:paraId="1AB55B88">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76091E9D">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6D767A8D">
            <w:pPr>
              <w:widowControl/>
              <w:jc w:val="left"/>
              <w:rPr>
                <w:color w:val="auto"/>
                <w:szCs w:val="21"/>
                <w:highlight w:val="none"/>
              </w:rPr>
            </w:pPr>
            <w:r>
              <w:rPr>
                <w:rFonts w:hint="eastAsia"/>
                <w:color w:val="auto"/>
                <w:szCs w:val="21"/>
                <w:highlight w:val="none"/>
              </w:rPr>
              <w:t>1000≤Y＜200000</w:t>
            </w:r>
          </w:p>
        </w:tc>
        <w:tc>
          <w:tcPr>
            <w:tcW w:w="1570" w:type="dxa"/>
            <w:tcBorders>
              <w:top w:val="nil"/>
              <w:left w:val="nil"/>
              <w:bottom w:val="single" w:color="auto" w:sz="4" w:space="0"/>
              <w:right w:val="single" w:color="auto" w:sz="4" w:space="0"/>
            </w:tcBorders>
            <w:vAlign w:val="center"/>
          </w:tcPr>
          <w:p w14:paraId="227E85F1">
            <w:pPr>
              <w:widowControl/>
              <w:jc w:val="left"/>
              <w:rPr>
                <w:color w:val="auto"/>
                <w:szCs w:val="21"/>
                <w:highlight w:val="none"/>
              </w:rPr>
            </w:pPr>
            <w:r>
              <w:rPr>
                <w:rFonts w:hint="eastAsia"/>
                <w:color w:val="auto"/>
                <w:szCs w:val="21"/>
                <w:highlight w:val="none"/>
              </w:rPr>
              <w:t>100≤X＜1000</w:t>
            </w:r>
          </w:p>
        </w:tc>
        <w:tc>
          <w:tcPr>
            <w:tcW w:w="1009" w:type="dxa"/>
            <w:tcBorders>
              <w:top w:val="nil"/>
              <w:left w:val="nil"/>
              <w:bottom w:val="single" w:color="auto" w:sz="4" w:space="0"/>
              <w:right w:val="single" w:color="auto" w:sz="4" w:space="0"/>
            </w:tcBorders>
            <w:vAlign w:val="center"/>
          </w:tcPr>
          <w:p w14:paraId="0F0A0C90">
            <w:pPr>
              <w:widowControl/>
              <w:jc w:val="left"/>
              <w:rPr>
                <w:color w:val="auto"/>
                <w:szCs w:val="21"/>
                <w:highlight w:val="none"/>
              </w:rPr>
            </w:pPr>
            <w:r>
              <w:rPr>
                <w:rFonts w:hint="eastAsia"/>
                <w:color w:val="auto"/>
                <w:szCs w:val="21"/>
                <w:highlight w:val="none"/>
              </w:rPr>
              <w:t>X＜100</w:t>
            </w:r>
          </w:p>
        </w:tc>
      </w:tr>
      <w:tr w14:paraId="5D19C32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3987ECED">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693D87BD">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vAlign w:val="center"/>
          </w:tcPr>
          <w:p w14:paraId="663ADF5B">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45A5DB87">
            <w:pPr>
              <w:widowControl/>
              <w:jc w:val="left"/>
              <w:rPr>
                <w:color w:val="auto"/>
                <w:szCs w:val="21"/>
                <w:highlight w:val="none"/>
              </w:rPr>
            </w:pPr>
            <w:r>
              <w:rPr>
                <w:rFonts w:hint="eastAsia"/>
                <w:color w:val="auto"/>
                <w:szCs w:val="21"/>
                <w:highlight w:val="none"/>
              </w:rPr>
              <w:t>5000≤Z＜10000</w:t>
            </w:r>
          </w:p>
        </w:tc>
        <w:tc>
          <w:tcPr>
            <w:tcW w:w="1570" w:type="dxa"/>
            <w:tcBorders>
              <w:top w:val="nil"/>
              <w:left w:val="nil"/>
              <w:bottom w:val="single" w:color="auto" w:sz="4" w:space="0"/>
              <w:right w:val="single" w:color="auto" w:sz="4" w:space="0"/>
            </w:tcBorders>
            <w:vAlign w:val="center"/>
          </w:tcPr>
          <w:p w14:paraId="023C0F90">
            <w:pPr>
              <w:widowControl/>
              <w:jc w:val="left"/>
              <w:rPr>
                <w:color w:val="auto"/>
                <w:szCs w:val="21"/>
                <w:highlight w:val="none"/>
              </w:rPr>
            </w:pPr>
            <w:r>
              <w:rPr>
                <w:rFonts w:hint="eastAsia"/>
                <w:color w:val="auto"/>
                <w:szCs w:val="21"/>
                <w:highlight w:val="none"/>
              </w:rPr>
              <w:t>2000≤Y＜5000</w:t>
            </w:r>
          </w:p>
        </w:tc>
        <w:tc>
          <w:tcPr>
            <w:tcW w:w="1009" w:type="dxa"/>
            <w:tcBorders>
              <w:top w:val="nil"/>
              <w:left w:val="nil"/>
              <w:bottom w:val="single" w:color="auto" w:sz="4" w:space="0"/>
              <w:right w:val="single" w:color="auto" w:sz="4" w:space="0"/>
            </w:tcBorders>
            <w:vAlign w:val="center"/>
          </w:tcPr>
          <w:p w14:paraId="4916AE07">
            <w:pPr>
              <w:widowControl/>
              <w:jc w:val="left"/>
              <w:rPr>
                <w:color w:val="auto"/>
                <w:szCs w:val="21"/>
                <w:highlight w:val="none"/>
              </w:rPr>
            </w:pPr>
            <w:r>
              <w:rPr>
                <w:rFonts w:hint="eastAsia"/>
                <w:color w:val="auto"/>
                <w:szCs w:val="21"/>
                <w:highlight w:val="none"/>
              </w:rPr>
              <w:t>Y＜2000</w:t>
            </w:r>
          </w:p>
        </w:tc>
      </w:tr>
      <w:tr w14:paraId="0D87BA3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1DB3802">
            <w:pPr>
              <w:widowControl/>
              <w:jc w:val="center"/>
              <w:rPr>
                <w:color w:val="auto"/>
                <w:szCs w:val="21"/>
                <w:highlight w:val="none"/>
              </w:rPr>
            </w:pPr>
            <w:r>
              <w:rPr>
                <w:rFonts w:hint="eastAsia"/>
                <w:color w:val="auto"/>
                <w:szCs w:val="21"/>
                <w:highlight w:val="none"/>
              </w:rPr>
              <w:t>物业管理</w:t>
            </w:r>
          </w:p>
        </w:tc>
        <w:tc>
          <w:tcPr>
            <w:tcW w:w="1701" w:type="dxa"/>
            <w:tcBorders>
              <w:top w:val="nil"/>
              <w:left w:val="nil"/>
              <w:bottom w:val="single" w:color="auto" w:sz="4" w:space="0"/>
              <w:right w:val="single" w:color="auto" w:sz="4" w:space="0"/>
            </w:tcBorders>
            <w:vAlign w:val="center"/>
          </w:tcPr>
          <w:p w14:paraId="6C342D3A">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2C4F3220">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178B94DC">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549F4655">
            <w:pPr>
              <w:widowControl/>
              <w:jc w:val="left"/>
              <w:rPr>
                <w:color w:val="auto"/>
                <w:szCs w:val="21"/>
                <w:highlight w:val="none"/>
              </w:rPr>
            </w:pPr>
            <w:r>
              <w:rPr>
                <w:rFonts w:hint="eastAsia"/>
                <w:color w:val="auto"/>
                <w:szCs w:val="21"/>
                <w:highlight w:val="none"/>
              </w:rPr>
              <w:t>100≤X＜300</w:t>
            </w:r>
          </w:p>
        </w:tc>
        <w:tc>
          <w:tcPr>
            <w:tcW w:w="1009" w:type="dxa"/>
            <w:tcBorders>
              <w:top w:val="nil"/>
              <w:left w:val="nil"/>
              <w:bottom w:val="single" w:color="auto" w:sz="4" w:space="0"/>
              <w:right w:val="single" w:color="auto" w:sz="4" w:space="0"/>
            </w:tcBorders>
            <w:vAlign w:val="center"/>
          </w:tcPr>
          <w:p w14:paraId="62976549">
            <w:pPr>
              <w:widowControl/>
              <w:jc w:val="left"/>
              <w:rPr>
                <w:color w:val="auto"/>
                <w:szCs w:val="21"/>
                <w:highlight w:val="none"/>
              </w:rPr>
            </w:pPr>
            <w:r>
              <w:rPr>
                <w:rFonts w:hint="eastAsia"/>
                <w:color w:val="auto"/>
                <w:szCs w:val="21"/>
                <w:highlight w:val="none"/>
              </w:rPr>
              <w:t>X＜100</w:t>
            </w:r>
          </w:p>
        </w:tc>
      </w:tr>
      <w:tr w14:paraId="2CFD2E6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E727BF7">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3D12F92E">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1F9F2188">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1FA89F9B">
            <w:pPr>
              <w:widowControl/>
              <w:jc w:val="left"/>
              <w:rPr>
                <w:color w:val="auto"/>
                <w:szCs w:val="21"/>
                <w:highlight w:val="none"/>
              </w:rPr>
            </w:pPr>
            <w:r>
              <w:rPr>
                <w:rFonts w:hint="eastAsia"/>
                <w:color w:val="auto"/>
                <w:szCs w:val="21"/>
                <w:highlight w:val="none"/>
              </w:rPr>
              <w:t>1000≤Y＜5000</w:t>
            </w:r>
          </w:p>
        </w:tc>
        <w:tc>
          <w:tcPr>
            <w:tcW w:w="1570" w:type="dxa"/>
            <w:tcBorders>
              <w:top w:val="nil"/>
              <w:left w:val="nil"/>
              <w:bottom w:val="single" w:color="auto" w:sz="4" w:space="0"/>
              <w:right w:val="single" w:color="auto" w:sz="4" w:space="0"/>
            </w:tcBorders>
            <w:vAlign w:val="center"/>
          </w:tcPr>
          <w:p w14:paraId="6AC5822A">
            <w:pPr>
              <w:widowControl/>
              <w:jc w:val="left"/>
              <w:rPr>
                <w:color w:val="auto"/>
                <w:szCs w:val="21"/>
                <w:highlight w:val="none"/>
              </w:rPr>
            </w:pPr>
            <w:r>
              <w:rPr>
                <w:rFonts w:hint="eastAsia"/>
                <w:color w:val="auto"/>
                <w:szCs w:val="21"/>
                <w:highlight w:val="none"/>
              </w:rPr>
              <w:t>500≤Y＜1000</w:t>
            </w:r>
          </w:p>
        </w:tc>
        <w:tc>
          <w:tcPr>
            <w:tcW w:w="1009" w:type="dxa"/>
            <w:tcBorders>
              <w:top w:val="nil"/>
              <w:left w:val="nil"/>
              <w:bottom w:val="single" w:color="auto" w:sz="4" w:space="0"/>
              <w:right w:val="single" w:color="auto" w:sz="4" w:space="0"/>
            </w:tcBorders>
            <w:vAlign w:val="center"/>
          </w:tcPr>
          <w:p w14:paraId="71E61312">
            <w:pPr>
              <w:widowControl/>
              <w:jc w:val="left"/>
              <w:rPr>
                <w:color w:val="auto"/>
                <w:szCs w:val="21"/>
                <w:highlight w:val="none"/>
              </w:rPr>
            </w:pPr>
            <w:r>
              <w:rPr>
                <w:rFonts w:hint="eastAsia"/>
                <w:color w:val="auto"/>
                <w:szCs w:val="21"/>
                <w:highlight w:val="none"/>
              </w:rPr>
              <w:t>Y＜500</w:t>
            </w:r>
          </w:p>
        </w:tc>
      </w:tr>
      <w:tr w14:paraId="3E058CD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2636788">
            <w:pPr>
              <w:widowControl/>
              <w:jc w:val="center"/>
              <w:rPr>
                <w:color w:val="auto"/>
                <w:szCs w:val="21"/>
                <w:highlight w:val="none"/>
              </w:rPr>
            </w:pPr>
            <w:r>
              <w:rPr>
                <w:rFonts w:hint="eastAsia"/>
                <w:color w:val="auto"/>
                <w:szCs w:val="21"/>
                <w:highlight w:val="none"/>
              </w:rPr>
              <w:t>租赁和商务服务业</w:t>
            </w:r>
          </w:p>
        </w:tc>
        <w:tc>
          <w:tcPr>
            <w:tcW w:w="1701" w:type="dxa"/>
            <w:tcBorders>
              <w:top w:val="nil"/>
              <w:left w:val="nil"/>
              <w:bottom w:val="single" w:color="auto" w:sz="4" w:space="0"/>
              <w:right w:val="single" w:color="auto" w:sz="4" w:space="0"/>
            </w:tcBorders>
            <w:vAlign w:val="center"/>
          </w:tcPr>
          <w:p w14:paraId="3E74C519">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03D2AF78">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25FA8655">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165132F4">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213C9002">
            <w:pPr>
              <w:widowControl/>
              <w:jc w:val="left"/>
              <w:rPr>
                <w:color w:val="auto"/>
                <w:szCs w:val="21"/>
                <w:highlight w:val="none"/>
              </w:rPr>
            </w:pPr>
            <w:r>
              <w:rPr>
                <w:rFonts w:hint="eastAsia"/>
                <w:color w:val="auto"/>
                <w:szCs w:val="21"/>
                <w:highlight w:val="none"/>
              </w:rPr>
              <w:t>X＜10</w:t>
            </w:r>
          </w:p>
        </w:tc>
      </w:tr>
      <w:tr w14:paraId="005E32E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3954A0BC">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31F79CCA">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vAlign w:val="center"/>
          </w:tcPr>
          <w:p w14:paraId="162B9383">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0C9705D7">
            <w:pPr>
              <w:widowControl/>
              <w:jc w:val="left"/>
              <w:rPr>
                <w:color w:val="auto"/>
                <w:szCs w:val="21"/>
                <w:highlight w:val="none"/>
              </w:rPr>
            </w:pPr>
            <w:r>
              <w:rPr>
                <w:rFonts w:hint="eastAsia"/>
                <w:color w:val="auto"/>
                <w:szCs w:val="21"/>
                <w:highlight w:val="none"/>
              </w:rPr>
              <w:t>8000≤Z＜120000</w:t>
            </w:r>
          </w:p>
        </w:tc>
        <w:tc>
          <w:tcPr>
            <w:tcW w:w="1570" w:type="dxa"/>
            <w:tcBorders>
              <w:top w:val="nil"/>
              <w:left w:val="nil"/>
              <w:bottom w:val="single" w:color="auto" w:sz="4" w:space="0"/>
              <w:right w:val="single" w:color="auto" w:sz="4" w:space="0"/>
            </w:tcBorders>
            <w:vAlign w:val="center"/>
          </w:tcPr>
          <w:p w14:paraId="54A214B6">
            <w:pPr>
              <w:widowControl/>
              <w:jc w:val="left"/>
              <w:rPr>
                <w:color w:val="auto"/>
                <w:szCs w:val="21"/>
                <w:highlight w:val="none"/>
              </w:rPr>
            </w:pPr>
            <w:r>
              <w:rPr>
                <w:rFonts w:hint="eastAsia"/>
                <w:color w:val="auto"/>
                <w:szCs w:val="21"/>
                <w:highlight w:val="none"/>
              </w:rPr>
              <w:t>100≤Z＜8000</w:t>
            </w:r>
          </w:p>
        </w:tc>
        <w:tc>
          <w:tcPr>
            <w:tcW w:w="1009" w:type="dxa"/>
            <w:tcBorders>
              <w:top w:val="nil"/>
              <w:left w:val="nil"/>
              <w:bottom w:val="single" w:color="auto" w:sz="4" w:space="0"/>
              <w:right w:val="single" w:color="auto" w:sz="4" w:space="0"/>
            </w:tcBorders>
            <w:vAlign w:val="center"/>
          </w:tcPr>
          <w:p w14:paraId="5EB6F17B">
            <w:pPr>
              <w:widowControl/>
              <w:jc w:val="left"/>
              <w:rPr>
                <w:color w:val="auto"/>
                <w:szCs w:val="21"/>
                <w:highlight w:val="none"/>
              </w:rPr>
            </w:pPr>
            <w:r>
              <w:rPr>
                <w:rFonts w:hint="eastAsia"/>
                <w:color w:val="auto"/>
                <w:szCs w:val="21"/>
                <w:highlight w:val="none"/>
              </w:rPr>
              <w:t>Y＜100</w:t>
            </w:r>
          </w:p>
        </w:tc>
      </w:tr>
      <w:tr w14:paraId="6C3C9781">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78AE567D">
            <w:pPr>
              <w:widowControl/>
              <w:jc w:val="center"/>
              <w:rPr>
                <w:color w:val="auto"/>
                <w:szCs w:val="21"/>
                <w:highlight w:val="none"/>
              </w:rPr>
            </w:pPr>
            <w:r>
              <w:rPr>
                <w:rFonts w:hint="eastAsia"/>
                <w:color w:val="auto"/>
                <w:szCs w:val="21"/>
                <w:highlight w:val="none"/>
              </w:rPr>
              <w:t>其他未列明行业</w:t>
            </w:r>
          </w:p>
        </w:tc>
        <w:tc>
          <w:tcPr>
            <w:tcW w:w="1701" w:type="dxa"/>
            <w:tcBorders>
              <w:top w:val="nil"/>
              <w:left w:val="nil"/>
              <w:bottom w:val="single" w:color="auto" w:sz="4" w:space="0"/>
              <w:right w:val="single" w:color="auto" w:sz="4" w:space="0"/>
            </w:tcBorders>
            <w:vAlign w:val="center"/>
          </w:tcPr>
          <w:p w14:paraId="4272A8B1">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23C21DBD">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61E13DE8">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563C0B8B">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4CE3E8FA">
            <w:pPr>
              <w:widowControl/>
              <w:jc w:val="left"/>
              <w:rPr>
                <w:color w:val="auto"/>
                <w:szCs w:val="21"/>
                <w:highlight w:val="none"/>
              </w:rPr>
            </w:pPr>
            <w:r>
              <w:rPr>
                <w:rFonts w:hint="eastAsia"/>
                <w:color w:val="auto"/>
                <w:szCs w:val="21"/>
                <w:highlight w:val="none"/>
              </w:rPr>
              <w:t>X＜10</w:t>
            </w:r>
          </w:p>
        </w:tc>
      </w:tr>
    </w:tbl>
    <w:p w14:paraId="1325E42E">
      <w:pPr>
        <w:spacing w:line="360" w:lineRule="auto"/>
        <w:ind w:firstLine="525" w:firstLineChars="250"/>
        <w:rPr>
          <w:color w:val="auto"/>
          <w:szCs w:val="21"/>
          <w:highlight w:val="none"/>
        </w:rPr>
      </w:pPr>
      <w:r>
        <w:rPr>
          <w:rFonts w:hint="eastAsia"/>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bookmarkEnd w:id="24"/>
    <w:p w14:paraId="5D92435D">
      <w:pPr>
        <w:spacing w:line="360" w:lineRule="auto"/>
        <w:outlineLvl w:val="0"/>
        <w:rPr>
          <w:color w:val="auto"/>
          <w:szCs w:val="21"/>
          <w:highlight w:val="none"/>
        </w:rPr>
        <w:sectPr>
          <w:headerReference r:id="rId12" w:type="first"/>
          <w:footerReference r:id="rId14" w:type="first"/>
          <w:headerReference r:id="rId11" w:type="default"/>
          <w:footerReference r:id="rId13" w:type="default"/>
          <w:pgSz w:w="11906" w:h="16838"/>
          <w:pgMar w:top="993" w:right="1133" w:bottom="1246" w:left="1418" w:header="851" w:footer="992" w:gutter="0"/>
          <w:cols w:space="720" w:num="1"/>
          <w:titlePg/>
          <w:docGrid w:linePitch="312" w:charSpace="0"/>
        </w:sectPr>
      </w:pPr>
    </w:p>
    <w:p w14:paraId="63E791F5">
      <w:pPr>
        <w:spacing w:line="360" w:lineRule="auto"/>
        <w:ind w:firstLine="3520" w:firstLineChars="1100"/>
        <w:outlineLvl w:val="0"/>
        <w:rPr>
          <w:color w:val="auto"/>
          <w:sz w:val="32"/>
          <w:szCs w:val="32"/>
          <w:highlight w:val="none"/>
        </w:rPr>
      </w:pPr>
      <w:bookmarkStart w:id="25" w:name="_Toc19270"/>
      <w:r>
        <w:rPr>
          <w:rFonts w:hint="eastAsia"/>
          <w:color w:val="auto"/>
          <w:sz w:val="32"/>
          <w:szCs w:val="32"/>
          <w:highlight w:val="none"/>
        </w:rPr>
        <w:t>第</w:t>
      </w:r>
      <w:r>
        <w:rPr>
          <w:color w:val="auto"/>
          <w:sz w:val="32"/>
          <w:szCs w:val="32"/>
          <w:highlight w:val="none"/>
        </w:rPr>
        <w:t xml:space="preserve">三章  </w:t>
      </w:r>
      <w:bookmarkStart w:id="26" w:name="_Toc254970526"/>
      <w:bookmarkStart w:id="27" w:name="_Toc254970667"/>
      <w:r>
        <w:rPr>
          <w:rFonts w:hint="eastAsia"/>
          <w:color w:val="auto"/>
          <w:sz w:val="32"/>
          <w:szCs w:val="32"/>
          <w:highlight w:val="none"/>
        </w:rPr>
        <w:t>投标人须知</w:t>
      </w:r>
      <w:bookmarkEnd w:id="25"/>
    </w:p>
    <w:p w14:paraId="7C29E689">
      <w:pPr>
        <w:pStyle w:val="3"/>
        <w:spacing w:before="40" w:after="40"/>
        <w:jc w:val="center"/>
        <w:rPr>
          <w:rFonts w:ascii="Times New Roman" w:hAnsi="Times New Roman" w:eastAsia="宋体"/>
          <w:color w:val="auto"/>
          <w:sz w:val="24"/>
          <w:szCs w:val="24"/>
          <w:highlight w:val="none"/>
        </w:rPr>
      </w:pPr>
      <w:bookmarkStart w:id="28" w:name="_投标人须知前附表"/>
      <w:bookmarkEnd w:id="28"/>
      <w:bookmarkStart w:id="29" w:name="_Hlk89163557"/>
      <w:r>
        <w:rPr>
          <w:rFonts w:hint="eastAsia" w:ascii="Times New Roman" w:hAnsi="Times New Roman" w:eastAsia="宋体"/>
          <w:color w:val="auto"/>
          <w:sz w:val="24"/>
          <w:szCs w:val="24"/>
          <w:highlight w:val="none"/>
        </w:rPr>
        <w:t>投标人须知</w:t>
      </w:r>
      <w:r>
        <w:rPr>
          <w:rFonts w:ascii="Times New Roman" w:hAnsi="Times New Roman" w:eastAsia="宋体"/>
          <w:color w:val="auto"/>
          <w:sz w:val="24"/>
          <w:szCs w:val="24"/>
          <w:highlight w:val="none"/>
        </w:rPr>
        <w:t>前附表</w:t>
      </w:r>
      <w:bookmarkEnd w:id="26"/>
      <w:bookmarkEnd w:id="27"/>
    </w:p>
    <w:bookmarkEnd w:id="29"/>
    <w:tbl>
      <w:tblPr>
        <w:tblStyle w:val="51"/>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41A2B8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37" w:type="dxa"/>
            <w:tcBorders>
              <w:top w:val="single" w:color="auto" w:sz="4" w:space="0"/>
              <w:left w:val="single" w:color="auto" w:sz="4" w:space="0"/>
              <w:bottom w:val="single" w:color="auto" w:sz="4" w:space="0"/>
              <w:right w:val="single" w:color="auto" w:sz="4" w:space="0"/>
            </w:tcBorders>
            <w:vAlign w:val="center"/>
          </w:tcPr>
          <w:p w14:paraId="40901A7A">
            <w:pPr>
              <w:jc w:val="center"/>
              <w:rPr>
                <w:b/>
                <w:color w:val="auto"/>
                <w:szCs w:val="21"/>
                <w:highlight w:val="none"/>
              </w:rPr>
            </w:pPr>
            <w:r>
              <w:rPr>
                <w:b/>
                <w:color w:val="auto"/>
                <w:szCs w:val="21"/>
                <w:highlight w:val="none"/>
              </w:rPr>
              <w:t>条款号</w:t>
            </w:r>
          </w:p>
        </w:tc>
        <w:tc>
          <w:tcPr>
            <w:tcW w:w="1248" w:type="dxa"/>
            <w:tcBorders>
              <w:top w:val="single" w:color="auto" w:sz="4" w:space="0"/>
              <w:left w:val="single" w:color="auto" w:sz="4" w:space="0"/>
              <w:bottom w:val="single" w:color="auto" w:sz="4" w:space="0"/>
              <w:right w:val="single" w:color="auto" w:sz="4" w:space="0"/>
            </w:tcBorders>
            <w:vAlign w:val="center"/>
          </w:tcPr>
          <w:p w14:paraId="027E038A">
            <w:pPr>
              <w:jc w:val="center"/>
              <w:rPr>
                <w:b/>
                <w:color w:val="auto"/>
                <w:szCs w:val="21"/>
                <w:highlight w:val="none"/>
              </w:rPr>
            </w:pPr>
            <w:r>
              <w:rPr>
                <w:b/>
                <w:color w:val="auto"/>
                <w:szCs w:val="21"/>
                <w:highlight w:val="none"/>
              </w:rPr>
              <w:t>要点</w:t>
            </w:r>
          </w:p>
        </w:tc>
        <w:tc>
          <w:tcPr>
            <w:tcW w:w="7229" w:type="dxa"/>
            <w:tcBorders>
              <w:top w:val="single" w:color="auto" w:sz="4" w:space="0"/>
              <w:left w:val="single" w:color="auto" w:sz="4" w:space="0"/>
              <w:bottom w:val="single" w:color="auto" w:sz="4" w:space="0"/>
              <w:right w:val="single" w:color="auto" w:sz="4" w:space="0"/>
            </w:tcBorders>
            <w:vAlign w:val="center"/>
          </w:tcPr>
          <w:p w14:paraId="181699F3">
            <w:pPr>
              <w:jc w:val="center"/>
              <w:rPr>
                <w:b/>
                <w:color w:val="auto"/>
                <w:szCs w:val="21"/>
                <w:highlight w:val="none"/>
              </w:rPr>
            </w:pPr>
            <w:r>
              <w:rPr>
                <w:b/>
                <w:color w:val="auto"/>
                <w:szCs w:val="21"/>
                <w:highlight w:val="none"/>
              </w:rPr>
              <w:t>内容、要求</w:t>
            </w:r>
          </w:p>
        </w:tc>
      </w:tr>
      <w:tr w14:paraId="47D28A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vAlign w:val="center"/>
          </w:tcPr>
          <w:p w14:paraId="4402CD31">
            <w:pPr>
              <w:spacing w:line="300" w:lineRule="exact"/>
              <w:jc w:val="center"/>
              <w:rPr>
                <w:b/>
                <w:color w:val="auto"/>
                <w:szCs w:val="21"/>
                <w:highlight w:val="none"/>
              </w:rPr>
            </w:pPr>
            <w:r>
              <w:rPr>
                <w:b/>
                <w:color w:val="auto"/>
                <w:szCs w:val="21"/>
                <w:highlight w:val="none"/>
              </w:rPr>
              <w:t>1.3.1</w:t>
            </w:r>
          </w:p>
        </w:tc>
        <w:tc>
          <w:tcPr>
            <w:tcW w:w="1248" w:type="dxa"/>
            <w:tcBorders>
              <w:top w:val="single" w:color="auto" w:sz="4" w:space="0"/>
              <w:left w:val="single" w:color="auto" w:sz="4" w:space="0"/>
              <w:bottom w:val="single" w:color="auto" w:sz="4" w:space="0"/>
              <w:right w:val="single" w:color="auto" w:sz="4" w:space="0"/>
            </w:tcBorders>
            <w:vAlign w:val="center"/>
          </w:tcPr>
          <w:p w14:paraId="6A6DC4C7">
            <w:pPr>
              <w:spacing w:line="300" w:lineRule="exact"/>
              <w:jc w:val="center"/>
              <w:rPr>
                <w:color w:val="auto"/>
                <w:szCs w:val="21"/>
                <w:highlight w:val="none"/>
              </w:rPr>
            </w:pPr>
            <w:r>
              <w:rPr>
                <w:color w:val="auto"/>
                <w:szCs w:val="21"/>
                <w:highlight w:val="none"/>
              </w:rPr>
              <w:t>项目基本信息</w:t>
            </w:r>
          </w:p>
        </w:tc>
        <w:tc>
          <w:tcPr>
            <w:tcW w:w="7229" w:type="dxa"/>
            <w:tcBorders>
              <w:top w:val="single" w:color="auto" w:sz="4" w:space="0"/>
              <w:left w:val="single" w:color="auto" w:sz="4" w:space="0"/>
              <w:bottom w:val="single" w:color="auto" w:sz="4" w:space="0"/>
              <w:right w:val="single" w:color="auto" w:sz="4" w:space="0"/>
            </w:tcBorders>
            <w:vAlign w:val="center"/>
          </w:tcPr>
          <w:p w14:paraId="05E7E0F3">
            <w:pPr>
              <w:spacing w:line="300" w:lineRule="exact"/>
              <w:jc w:val="left"/>
              <w:rPr>
                <w:color w:val="auto"/>
                <w:szCs w:val="21"/>
                <w:highlight w:val="none"/>
              </w:rPr>
            </w:pPr>
            <w:r>
              <w:rPr>
                <w:color w:val="auto"/>
                <w:szCs w:val="21"/>
                <w:highlight w:val="none"/>
              </w:rPr>
              <w:t>项目名称：</w:t>
            </w:r>
            <w:r>
              <w:rPr>
                <w:rFonts w:hint="eastAsia"/>
                <w:color w:val="auto"/>
                <w:szCs w:val="21"/>
                <w:highlight w:val="none"/>
              </w:rPr>
              <w:t>广西新舟60增雨飞机托管服务</w:t>
            </w:r>
          </w:p>
          <w:p w14:paraId="7566A250">
            <w:pPr>
              <w:spacing w:line="300" w:lineRule="exact"/>
              <w:jc w:val="left"/>
              <w:rPr>
                <w:color w:val="auto"/>
                <w:szCs w:val="21"/>
                <w:highlight w:val="none"/>
              </w:rPr>
            </w:pPr>
            <w:r>
              <w:rPr>
                <w:color w:val="auto"/>
                <w:szCs w:val="21"/>
                <w:highlight w:val="none"/>
              </w:rPr>
              <w:t>项目编号</w:t>
            </w:r>
            <w:r>
              <w:rPr>
                <w:rFonts w:hint="eastAsia"/>
                <w:color w:val="auto"/>
                <w:szCs w:val="21"/>
                <w:highlight w:val="none"/>
              </w:rPr>
              <w:t xml:space="preserve">：GXZC2026-G3-002710-JDZB </w:t>
            </w:r>
          </w:p>
          <w:p w14:paraId="54551F5B">
            <w:pPr>
              <w:spacing w:line="300" w:lineRule="exact"/>
              <w:jc w:val="left"/>
              <w:rPr>
                <w:color w:val="auto"/>
                <w:szCs w:val="21"/>
                <w:highlight w:val="none"/>
              </w:rPr>
            </w:pPr>
            <w:r>
              <w:rPr>
                <w:rFonts w:hint="eastAsia"/>
                <w:color w:val="auto"/>
                <w:szCs w:val="21"/>
                <w:highlight w:val="none"/>
              </w:rPr>
              <w:t>采购计划号：广西政采[2026]16659号-001</w:t>
            </w:r>
            <w:r>
              <w:rPr>
                <w:rFonts w:hint="eastAsia"/>
                <w:color w:val="auto"/>
                <w:szCs w:val="21"/>
                <w:highlight w:val="none"/>
                <w:lang w:eastAsia="zh-CN"/>
              </w:rPr>
              <w:t>、广西政采[2026]16659号-00</w:t>
            </w:r>
            <w:r>
              <w:rPr>
                <w:rFonts w:hint="eastAsia"/>
                <w:color w:val="auto"/>
                <w:szCs w:val="21"/>
                <w:highlight w:val="none"/>
                <w:lang w:val="en-US" w:eastAsia="zh-CN"/>
              </w:rPr>
              <w:t>2</w:t>
            </w:r>
          </w:p>
        </w:tc>
      </w:tr>
      <w:tr w14:paraId="37F5F3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vAlign w:val="center"/>
          </w:tcPr>
          <w:p w14:paraId="4A46B7E3">
            <w:pPr>
              <w:spacing w:line="300" w:lineRule="exact"/>
              <w:jc w:val="center"/>
              <w:rPr>
                <w:b/>
                <w:color w:val="auto"/>
                <w:szCs w:val="21"/>
                <w:highlight w:val="none"/>
              </w:rPr>
            </w:pPr>
            <w:r>
              <w:rPr>
                <w:b/>
                <w:color w:val="auto"/>
                <w:szCs w:val="21"/>
                <w:highlight w:val="none"/>
              </w:rPr>
              <w:t>1.3.2</w:t>
            </w:r>
          </w:p>
        </w:tc>
        <w:tc>
          <w:tcPr>
            <w:tcW w:w="1248" w:type="dxa"/>
            <w:tcBorders>
              <w:top w:val="single" w:color="auto" w:sz="4" w:space="0"/>
              <w:left w:val="single" w:color="auto" w:sz="4" w:space="0"/>
              <w:bottom w:val="single" w:color="auto" w:sz="4" w:space="0"/>
              <w:right w:val="single" w:color="auto" w:sz="4" w:space="0"/>
            </w:tcBorders>
            <w:vAlign w:val="center"/>
          </w:tcPr>
          <w:p w14:paraId="42354C3F">
            <w:pPr>
              <w:spacing w:line="300" w:lineRule="exact"/>
              <w:jc w:val="center"/>
              <w:rPr>
                <w:color w:val="auto"/>
                <w:szCs w:val="21"/>
                <w:highlight w:val="none"/>
                <w:lang w:val="zh-CN"/>
              </w:rPr>
            </w:pPr>
            <w:r>
              <w:rPr>
                <w:rFonts w:hint="eastAsia"/>
                <w:color w:val="auto"/>
                <w:szCs w:val="21"/>
                <w:highlight w:val="none"/>
                <w:lang w:val="zh-CN"/>
              </w:rPr>
              <w:t>采购方式</w:t>
            </w:r>
          </w:p>
        </w:tc>
        <w:tc>
          <w:tcPr>
            <w:tcW w:w="7229" w:type="dxa"/>
            <w:tcBorders>
              <w:top w:val="single" w:color="auto" w:sz="4" w:space="0"/>
              <w:left w:val="single" w:color="auto" w:sz="4" w:space="0"/>
              <w:bottom w:val="single" w:color="auto" w:sz="4" w:space="0"/>
              <w:right w:val="single" w:color="auto" w:sz="4" w:space="0"/>
            </w:tcBorders>
            <w:vAlign w:val="center"/>
          </w:tcPr>
          <w:p w14:paraId="5DFC034D">
            <w:pPr>
              <w:spacing w:line="300" w:lineRule="exact"/>
              <w:jc w:val="left"/>
              <w:rPr>
                <w:color w:val="auto"/>
                <w:szCs w:val="21"/>
                <w:highlight w:val="none"/>
              </w:rPr>
            </w:pPr>
            <w:r>
              <w:rPr>
                <w:rFonts w:hint="eastAsia"/>
                <w:color w:val="auto"/>
                <w:szCs w:val="21"/>
                <w:highlight w:val="none"/>
              </w:rPr>
              <w:t>公开招标。</w:t>
            </w:r>
          </w:p>
        </w:tc>
      </w:tr>
      <w:tr w14:paraId="2D4D97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vAlign w:val="center"/>
          </w:tcPr>
          <w:p w14:paraId="605E16F0">
            <w:pPr>
              <w:spacing w:line="300" w:lineRule="exact"/>
              <w:jc w:val="center"/>
              <w:rPr>
                <w:b/>
                <w:color w:val="auto"/>
                <w:szCs w:val="21"/>
                <w:highlight w:val="none"/>
              </w:rPr>
            </w:pPr>
            <w:r>
              <w:rPr>
                <w:b/>
                <w:color w:val="auto"/>
                <w:szCs w:val="21"/>
                <w:highlight w:val="none"/>
              </w:rPr>
              <w:t>1.4</w:t>
            </w:r>
          </w:p>
        </w:tc>
        <w:tc>
          <w:tcPr>
            <w:tcW w:w="1248" w:type="dxa"/>
            <w:tcBorders>
              <w:top w:val="single" w:color="auto" w:sz="4" w:space="0"/>
              <w:left w:val="single" w:color="auto" w:sz="4" w:space="0"/>
              <w:bottom w:val="single" w:color="auto" w:sz="4" w:space="0"/>
              <w:right w:val="single" w:color="auto" w:sz="4" w:space="0"/>
            </w:tcBorders>
            <w:vAlign w:val="center"/>
          </w:tcPr>
          <w:p w14:paraId="16EAB051">
            <w:pPr>
              <w:spacing w:line="300" w:lineRule="exact"/>
              <w:jc w:val="center"/>
              <w:rPr>
                <w:color w:val="auto"/>
                <w:szCs w:val="21"/>
                <w:highlight w:val="none"/>
                <w:lang w:val="zh-CN"/>
              </w:rPr>
            </w:pPr>
            <w:r>
              <w:rPr>
                <w:rFonts w:hint="eastAsia"/>
                <w:color w:val="auto"/>
                <w:szCs w:val="21"/>
                <w:highlight w:val="none"/>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vAlign w:val="center"/>
          </w:tcPr>
          <w:p w14:paraId="53D305E5">
            <w:pPr>
              <w:spacing w:line="300" w:lineRule="exact"/>
              <w:jc w:val="left"/>
              <w:rPr>
                <w:color w:val="auto"/>
                <w:szCs w:val="21"/>
                <w:highlight w:val="none"/>
              </w:rPr>
            </w:pPr>
            <w:r>
              <w:rPr>
                <w:rFonts w:hint="eastAsia"/>
                <w:color w:val="auto"/>
                <w:szCs w:val="21"/>
                <w:highlight w:val="none"/>
              </w:rPr>
              <w:t>本项目非专门面向中小企业。</w:t>
            </w:r>
          </w:p>
        </w:tc>
      </w:tr>
      <w:tr w14:paraId="120A26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27B09425">
            <w:pPr>
              <w:spacing w:line="300" w:lineRule="exact"/>
              <w:jc w:val="center"/>
              <w:rPr>
                <w:b/>
                <w:color w:val="auto"/>
                <w:szCs w:val="21"/>
                <w:highlight w:val="none"/>
              </w:rPr>
            </w:pPr>
            <w:r>
              <w:rPr>
                <w:b/>
                <w:color w:val="auto"/>
                <w:szCs w:val="21"/>
                <w:highlight w:val="none"/>
              </w:rPr>
              <w:t>1.5.1</w:t>
            </w:r>
          </w:p>
        </w:tc>
        <w:tc>
          <w:tcPr>
            <w:tcW w:w="1248" w:type="dxa"/>
            <w:tcBorders>
              <w:top w:val="single" w:color="auto" w:sz="4" w:space="0"/>
              <w:left w:val="single" w:color="auto" w:sz="4" w:space="0"/>
              <w:bottom w:val="single" w:color="auto" w:sz="4" w:space="0"/>
              <w:right w:val="single" w:color="auto" w:sz="4" w:space="0"/>
            </w:tcBorders>
            <w:vAlign w:val="center"/>
          </w:tcPr>
          <w:p w14:paraId="212FA78D">
            <w:pPr>
              <w:spacing w:line="300" w:lineRule="exact"/>
              <w:jc w:val="center"/>
              <w:rPr>
                <w:color w:val="auto"/>
                <w:szCs w:val="21"/>
                <w:highlight w:val="none"/>
              </w:rPr>
            </w:pPr>
            <w:r>
              <w:rPr>
                <w:rFonts w:hint="eastAsia"/>
                <w:color w:val="auto"/>
                <w:szCs w:val="21"/>
                <w:highlight w:val="none"/>
              </w:rPr>
              <w:t>投标人</w:t>
            </w:r>
            <w:r>
              <w:rPr>
                <w:color w:val="auto"/>
                <w:szCs w:val="21"/>
                <w:highlight w:val="none"/>
                <w:lang w:val="zh-CN"/>
              </w:rPr>
              <w:t>资格条件</w:t>
            </w:r>
          </w:p>
        </w:tc>
        <w:tc>
          <w:tcPr>
            <w:tcW w:w="7229" w:type="dxa"/>
            <w:tcBorders>
              <w:top w:val="single" w:color="auto" w:sz="4" w:space="0"/>
              <w:left w:val="single" w:color="auto" w:sz="4" w:space="0"/>
              <w:bottom w:val="single" w:color="auto" w:sz="4" w:space="0"/>
              <w:right w:val="single" w:color="auto" w:sz="4" w:space="0"/>
            </w:tcBorders>
            <w:vAlign w:val="center"/>
          </w:tcPr>
          <w:p w14:paraId="2D3BBF34">
            <w:pPr>
              <w:spacing w:line="300" w:lineRule="exact"/>
              <w:jc w:val="left"/>
              <w:rPr>
                <w:color w:val="auto"/>
                <w:szCs w:val="21"/>
                <w:highlight w:val="none"/>
              </w:rPr>
            </w:pPr>
            <w:r>
              <w:rPr>
                <w:rFonts w:hint="eastAsia"/>
                <w:color w:val="auto"/>
                <w:szCs w:val="21"/>
                <w:highlight w:val="none"/>
              </w:rPr>
              <w:t>详</w:t>
            </w:r>
            <w:r>
              <w:rPr>
                <w:color w:val="auto"/>
                <w:szCs w:val="21"/>
                <w:highlight w:val="none"/>
              </w:rPr>
              <w:t>见招标公告</w:t>
            </w:r>
            <w:r>
              <w:rPr>
                <w:rFonts w:hint="eastAsia"/>
                <w:color w:val="auto"/>
                <w:szCs w:val="21"/>
                <w:highlight w:val="none"/>
              </w:rPr>
              <w:t>。</w:t>
            </w:r>
          </w:p>
        </w:tc>
      </w:tr>
      <w:tr w14:paraId="59F6A5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37" w:type="dxa"/>
            <w:tcBorders>
              <w:top w:val="single" w:color="auto" w:sz="4" w:space="0"/>
              <w:left w:val="single" w:color="auto" w:sz="4" w:space="0"/>
              <w:right w:val="single" w:color="auto" w:sz="4" w:space="0"/>
            </w:tcBorders>
            <w:vAlign w:val="center"/>
          </w:tcPr>
          <w:p w14:paraId="084FE909">
            <w:pPr>
              <w:spacing w:line="300" w:lineRule="exact"/>
              <w:jc w:val="center"/>
              <w:rPr>
                <w:b/>
                <w:color w:val="auto"/>
                <w:szCs w:val="21"/>
                <w:highlight w:val="none"/>
              </w:rPr>
            </w:pPr>
            <w:bookmarkStart w:id="30" w:name="_Hlk85555568"/>
            <w:r>
              <w:rPr>
                <w:b/>
                <w:color w:val="auto"/>
                <w:szCs w:val="21"/>
                <w:highlight w:val="none"/>
              </w:rPr>
              <w:t>1.</w:t>
            </w:r>
            <w:r>
              <w:rPr>
                <w:rFonts w:hint="eastAsia"/>
                <w:b/>
                <w:color w:val="auto"/>
                <w:szCs w:val="21"/>
                <w:highlight w:val="none"/>
              </w:rPr>
              <w:t>5</w:t>
            </w:r>
            <w:r>
              <w:rPr>
                <w:b/>
                <w:color w:val="auto"/>
                <w:szCs w:val="21"/>
                <w:highlight w:val="none"/>
              </w:rPr>
              <w:t>.3</w:t>
            </w:r>
          </w:p>
        </w:tc>
        <w:tc>
          <w:tcPr>
            <w:tcW w:w="1248" w:type="dxa"/>
            <w:tcBorders>
              <w:top w:val="single" w:color="auto" w:sz="4" w:space="0"/>
              <w:left w:val="single" w:color="auto" w:sz="4" w:space="0"/>
              <w:right w:val="single" w:color="auto" w:sz="4" w:space="0"/>
            </w:tcBorders>
            <w:vAlign w:val="center"/>
          </w:tcPr>
          <w:p w14:paraId="512DD998">
            <w:pPr>
              <w:spacing w:line="300" w:lineRule="exact"/>
              <w:jc w:val="center"/>
              <w:rPr>
                <w:color w:val="auto"/>
                <w:szCs w:val="21"/>
                <w:highlight w:val="none"/>
              </w:rPr>
            </w:pPr>
            <w:r>
              <w:rPr>
                <w:rFonts w:hint="eastAsia"/>
                <w:color w:val="auto"/>
                <w:szCs w:val="21"/>
                <w:highlight w:val="none"/>
              </w:rPr>
              <w:t>联合体</w:t>
            </w:r>
          </w:p>
        </w:tc>
        <w:tc>
          <w:tcPr>
            <w:tcW w:w="7229" w:type="dxa"/>
            <w:tcBorders>
              <w:top w:val="single" w:color="auto" w:sz="4" w:space="0"/>
              <w:left w:val="single" w:color="auto" w:sz="4" w:space="0"/>
              <w:right w:val="single" w:color="auto" w:sz="4" w:space="0"/>
            </w:tcBorders>
            <w:vAlign w:val="center"/>
          </w:tcPr>
          <w:p w14:paraId="23FA5319">
            <w:pPr>
              <w:spacing w:line="300" w:lineRule="exact"/>
              <w:jc w:val="left"/>
              <w:rPr>
                <w:color w:val="auto"/>
                <w:szCs w:val="21"/>
                <w:highlight w:val="none"/>
              </w:rPr>
            </w:pPr>
            <w:r>
              <w:rPr>
                <w:rFonts w:hint="eastAsia"/>
                <w:color w:val="auto"/>
                <w:szCs w:val="21"/>
                <w:highlight w:val="none"/>
              </w:rPr>
              <w:t>是否接受联合体详见招标公告</w:t>
            </w:r>
          </w:p>
        </w:tc>
      </w:tr>
      <w:bookmarkEnd w:id="30"/>
      <w:tr w14:paraId="689A2F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46A8A94B">
            <w:pPr>
              <w:spacing w:line="300" w:lineRule="exact"/>
              <w:jc w:val="center"/>
              <w:rPr>
                <w:b/>
                <w:color w:val="auto"/>
                <w:szCs w:val="21"/>
                <w:highlight w:val="none"/>
              </w:rPr>
            </w:pPr>
            <w:r>
              <w:rPr>
                <w:b/>
                <w:color w:val="auto"/>
                <w:szCs w:val="21"/>
                <w:highlight w:val="none"/>
              </w:rPr>
              <w:t>1.</w:t>
            </w:r>
            <w:r>
              <w:rPr>
                <w:rFonts w:hint="eastAsia"/>
                <w:b/>
                <w:color w:val="auto"/>
                <w:szCs w:val="21"/>
                <w:highlight w:val="none"/>
              </w:rPr>
              <w:t>6</w:t>
            </w:r>
          </w:p>
        </w:tc>
        <w:tc>
          <w:tcPr>
            <w:tcW w:w="1248" w:type="dxa"/>
            <w:tcBorders>
              <w:top w:val="single" w:color="auto" w:sz="4" w:space="0"/>
              <w:left w:val="single" w:color="auto" w:sz="4" w:space="0"/>
              <w:bottom w:val="single" w:color="auto" w:sz="4" w:space="0"/>
              <w:right w:val="single" w:color="auto" w:sz="4" w:space="0"/>
            </w:tcBorders>
            <w:vAlign w:val="center"/>
          </w:tcPr>
          <w:p w14:paraId="316F3068">
            <w:pPr>
              <w:spacing w:line="300" w:lineRule="exact"/>
              <w:jc w:val="center"/>
              <w:rPr>
                <w:color w:val="auto"/>
                <w:szCs w:val="21"/>
                <w:highlight w:val="none"/>
              </w:rPr>
            </w:pPr>
            <w:r>
              <w:rPr>
                <w:rFonts w:hint="eastAsia"/>
                <w:color w:val="auto"/>
                <w:szCs w:val="21"/>
                <w:highlight w:val="none"/>
              </w:rPr>
              <w:t>踏勘</w:t>
            </w:r>
          </w:p>
        </w:tc>
        <w:tc>
          <w:tcPr>
            <w:tcW w:w="7229" w:type="dxa"/>
            <w:tcBorders>
              <w:top w:val="single" w:color="auto" w:sz="4" w:space="0"/>
              <w:left w:val="single" w:color="auto" w:sz="4" w:space="0"/>
              <w:bottom w:val="single" w:color="auto" w:sz="4" w:space="0"/>
              <w:right w:val="single" w:color="auto" w:sz="4" w:space="0"/>
            </w:tcBorders>
            <w:vAlign w:val="center"/>
          </w:tcPr>
          <w:p w14:paraId="2DDEFEB6">
            <w:pPr>
              <w:pStyle w:val="17"/>
              <w:rPr>
                <w:color w:val="auto"/>
                <w:szCs w:val="21"/>
                <w:highlight w:val="none"/>
              </w:rPr>
            </w:pPr>
            <w:r>
              <w:rPr>
                <w:rFonts w:hint="eastAsia"/>
                <w:color w:val="auto"/>
                <w:szCs w:val="21"/>
                <w:highlight w:val="none"/>
              </w:rPr>
              <w:t xml:space="preserve">自行踏勘 </w:t>
            </w:r>
          </w:p>
        </w:tc>
      </w:tr>
      <w:tr w14:paraId="53D4D2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2D484262">
            <w:pPr>
              <w:spacing w:line="300" w:lineRule="exact"/>
              <w:jc w:val="center"/>
              <w:rPr>
                <w:b/>
                <w:color w:val="auto"/>
                <w:szCs w:val="21"/>
                <w:highlight w:val="none"/>
              </w:rPr>
            </w:pPr>
            <w:r>
              <w:rPr>
                <w:b/>
                <w:color w:val="auto"/>
                <w:szCs w:val="21"/>
                <w:highlight w:val="none"/>
              </w:rPr>
              <w:t>1.7.2</w:t>
            </w:r>
          </w:p>
        </w:tc>
        <w:tc>
          <w:tcPr>
            <w:tcW w:w="1248" w:type="dxa"/>
            <w:tcBorders>
              <w:top w:val="single" w:color="auto" w:sz="4" w:space="0"/>
              <w:left w:val="single" w:color="auto" w:sz="4" w:space="0"/>
              <w:bottom w:val="single" w:color="auto" w:sz="4" w:space="0"/>
              <w:right w:val="single" w:color="auto" w:sz="4" w:space="0"/>
            </w:tcBorders>
            <w:vAlign w:val="center"/>
          </w:tcPr>
          <w:p w14:paraId="08767FD6">
            <w:pPr>
              <w:spacing w:line="300" w:lineRule="exact"/>
              <w:jc w:val="center"/>
              <w:rPr>
                <w:color w:val="auto"/>
                <w:szCs w:val="21"/>
                <w:highlight w:val="none"/>
              </w:rPr>
            </w:pPr>
            <w:r>
              <w:rPr>
                <w:color w:val="auto"/>
                <w:szCs w:val="21"/>
                <w:highlight w:val="none"/>
              </w:rPr>
              <w:t>分包</w:t>
            </w:r>
          </w:p>
        </w:tc>
        <w:tc>
          <w:tcPr>
            <w:tcW w:w="7229" w:type="dxa"/>
            <w:tcBorders>
              <w:top w:val="single" w:color="auto" w:sz="4" w:space="0"/>
              <w:left w:val="single" w:color="auto" w:sz="4" w:space="0"/>
              <w:bottom w:val="single" w:color="auto" w:sz="4" w:space="0"/>
              <w:right w:val="single" w:color="auto" w:sz="4" w:space="0"/>
            </w:tcBorders>
            <w:vAlign w:val="center"/>
          </w:tcPr>
          <w:p w14:paraId="6CF4D8E4">
            <w:pPr>
              <w:spacing w:line="300" w:lineRule="exact"/>
              <w:jc w:val="left"/>
              <w:rPr>
                <w:color w:val="auto"/>
                <w:szCs w:val="21"/>
                <w:highlight w:val="none"/>
              </w:rPr>
            </w:pPr>
            <w:r>
              <w:rPr>
                <w:rFonts w:hint="eastAsia"/>
                <w:color w:val="auto"/>
                <w:szCs w:val="21"/>
                <w:highlight w:val="none"/>
              </w:rPr>
              <w:t>是否接受分包详见招标公告</w:t>
            </w:r>
          </w:p>
        </w:tc>
      </w:tr>
      <w:tr w14:paraId="08E7D4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shd w:val="clear" w:color="auto" w:fill="auto"/>
            <w:vAlign w:val="center"/>
          </w:tcPr>
          <w:p w14:paraId="25833CFD">
            <w:pPr>
              <w:spacing w:line="300" w:lineRule="exact"/>
              <w:jc w:val="center"/>
              <w:rPr>
                <w:b/>
                <w:color w:val="auto"/>
                <w:szCs w:val="21"/>
                <w:highlight w:val="none"/>
              </w:rPr>
            </w:pPr>
            <w:r>
              <w:rPr>
                <w:rFonts w:hint="eastAsia"/>
                <w:b/>
                <w:color w:val="auto"/>
                <w:szCs w:val="21"/>
                <w:highlight w:val="none"/>
              </w:rPr>
              <w:t>1.9</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53809417">
            <w:pPr>
              <w:spacing w:line="300" w:lineRule="exact"/>
              <w:jc w:val="center"/>
              <w:rPr>
                <w:color w:val="auto"/>
                <w:szCs w:val="21"/>
                <w:highlight w:val="none"/>
              </w:rPr>
            </w:pPr>
            <w:r>
              <w:rPr>
                <w:rFonts w:hint="eastAsia"/>
                <w:color w:val="auto"/>
                <w:szCs w:val="21"/>
                <w:highlight w:val="none"/>
              </w:rPr>
              <w:t>对本国产品的支持政策</w:t>
            </w:r>
          </w:p>
        </w:tc>
        <w:tc>
          <w:tcPr>
            <w:tcW w:w="7229" w:type="dxa"/>
            <w:tcBorders>
              <w:top w:val="single" w:color="auto" w:sz="4" w:space="0"/>
              <w:left w:val="single" w:color="auto" w:sz="4" w:space="0"/>
              <w:bottom w:val="single" w:color="auto" w:sz="4" w:space="0"/>
              <w:right w:val="single" w:color="auto" w:sz="4" w:space="0"/>
            </w:tcBorders>
            <w:shd w:val="clear" w:color="auto" w:fill="auto"/>
            <w:vAlign w:val="center"/>
          </w:tcPr>
          <w:p w14:paraId="58783D29">
            <w:pPr>
              <w:spacing w:line="300" w:lineRule="exact"/>
              <w:jc w:val="left"/>
              <w:rPr>
                <w:color w:val="auto"/>
                <w:szCs w:val="21"/>
                <w:highlight w:val="none"/>
              </w:rPr>
            </w:pPr>
            <w:r>
              <w:rPr>
                <w:rFonts w:hint="eastAsia"/>
                <w:color w:val="auto"/>
                <w:szCs w:val="21"/>
                <w:highlight w:val="none"/>
              </w:rPr>
              <w:t>不适用</w:t>
            </w:r>
          </w:p>
        </w:tc>
      </w:tr>
      <w:tr w14:paraId="3A911D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1CE270FC">
            <w:pPr>
              <w:spacing w:line="300" w:lineRule="exact"/>
              <w:jc w:val="center"/>
              <w:rPr>
                <w:b/>
                <w:color w:val="auto"/>
                <w:szCs w:val="21"/>
                <w:highlight w:val="none"/>
              </w:rPr>
            </w:pPr>
            <w:r>
              <w:rPr>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vAlign w:val="center"/>
          </w:tcPr>
          <w:p w14:paraId="658214D4">
            <w:pPr>
              <w:spacing w:line="300" w:lineRule="exact"/>
              <w:jc w:val="center"/>
              <w:rPr>
                <w:color w:val="auto"/>
                <w:szCs w:val="21"/>
                <w:highlight w:val="none"/>
              </w:rPr>
            </w:pPr>
            <w:r>
              <w:rPr>
                <w:color w:val="auto"/>
                <w:szCs w:val="21"/>
                <w:highlight w:val="none"/>
              </w:rPr>
              <w:t>招标文件澄清、修改</w:t>
            </w:r>
          </w:p>
        </w:tc>
        <w:tc>
          <w:tcPr>
            <w:tcW w:w="7229" w:type="dxa"/>
            <w:tcBorders>
              <w:top w:val="single" w:color="auto" w:sz="4" w:space="0"/>
              <w:left w:val="single" w:color="auto" w:sz="4" w:space="0"/>
              <w:bottom w:val="single" w:color="auto" w:sz="4" w:space="0"/>
              <w:right w:val="single" w:color="auto" w:sz="4" w:space="0"/>
            </w:tcBorders>
            <w:vAlign w:val="center"/>
          </w:tcPr>
          <w:p w14:paraId="129606DE">
            <w:pPr>
              <w:spacing w:line="300" w:lineRule="exact"/>
              <w:jc w:val="left"/>
              <w:rPr>
                <w:color w:val="auto"/>
                <w:szCs w:val="21"/>
                <w:highlight w:val="none"/>
              </w:rPr>
            </w:pPr>
            <w:r>
              <w:rPr>
                <w:color w:val="auto"/>
                <w:szCs w:val="21"/>
                <w:highlight w:val="none"/>
              </w:rPr>
              <w:t>在招标公告发布媒介发布</w:t>
            </w:r>
            <w:r>
              <w:rPr>
                <w:rFonts w:hint="eastAsia"/>
                <w:color w:val="auto"/>
                <w:szCs w:val="21"/>
                <w:highlight w:val="none"/>
              </w:rPr>
              <w:t>。</w:t>
            </w:r>
          </w:p>
        </w:tc>
      </w:tr>
      <w:tr w14:paraId="214DEA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vAlign w:val="center"/>
          </w:tcPr>
          <w:p w14:paraId="70773E13">
            <w:pPr>
              <w:spacing w:line="300" w:lineRule="exact"/>
              <w:jc w:val="center"/>
              <w:rPr>
                <w:b/>
                <w:color w:val="auto"/>
                <w:szCs w:val="21"/>
                <w:highlight w:val="none"/>
              </w:rPr>
            </w:pPr>
            <w:r>
              <w:rPr>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vAlign w:val="center"/>
          </w:tcPr>
          <w:p w14:paraId="197E887D">
            <w:pPr>
              <w:spacing w:line="300" w:lineRule="exact"/>
              <w:jc w:val="center"/>
              <w:rPr>
                <w:color w:val="auto"/>
                <w:szCs w:val="21"/>
                <w:highlight w:val="none"/>
              </w:rPr>
            </w:pPr>
            <w:r>
              <w:rPr>
                <w:color w:val="auto"/>
                <w:szCs w:val="21"/>
                <w:highlight w:val="none"/>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vAlign w:val="center"/>
          </w:tcPr>
          <w:p w14:paraId="7BD51CDC">
            <w:pPr>
              <w:spacing w:line="300" w:lineRule="exact"/>
              <w:jc w:val="left"/>
              <w:rPr>
                <w:color w:val="auto"/>
                <w:szCs w:val="21"/>
                <w:highlight w:val="none"/>
              </w:rPr>
            </w:pPr>
            <w:r>
              <w:rPr>
                <w:color w:val="auto"/>
                <w:szCs w:val="21"/>
                <w:highlight w:val="none"/>
              </w:rPr>
              <w:t>澄清、修改文件</w:t>
            </w:r>
            <w:r>
              <w:rPr>
                <w:rFonts w:hint="eastAsia"/>
                <w:color w:val="auto"/>
                <w:szCs w:val="21"/>
                <w:highlight w:val="none"/>
              </w:rPr>
              <w:t>自招标</w:t>
            </w:r>
            <w:r>
              <w:rPr>
                <w:color w:val="auto"/>
                <w:szCs w:val="21"/>
                <w:highlight w:val="none"/>
              </w:rPr>
              <w:t>公告发布媒</w:t>
            </w:r>
            <w:r>
              <w:rPr>
                <w:rFonts w:hint="eastAsia"/>
                <w:color w:val="auto"/>
                <w:szCs w:val="21"/>
                <w:highlight w:val="none"/>
              </w:rPr>
              <w:t>体</w:t>
            </w:r>
            <w:r>
              <w:rPr>
                <w:color w:val="auto"/>
                <w:szCs w:val="21"/>
                <w:highlight w:val="none"/>
              </w:rPr>
              <w:t>发布之日起，视为供应商已收到该澄清、修改。供应商未及时关注</w:t>
            </w:r>
            <w:r>
              <w:rPr>
                <w:rFonts w:hint="eastAsia"/>
                <w:color w:val="auto"/>
                <w:szCs w:val="21"/>
                <w:highlight w:val="none"/>
              </w:rPr>
              <w:t>招标</w:t>
            </w:r>
            <w:r>
              <w:rPr>
                <w:color w:val="auto"/>
                <w:szCs w:val="21"/>
                <w:highlight w:val="none"/>
              </w:rPr>
              <w:t>公告发布媒</w:t>
            </w:r>
            <w:r>
              <w:rPr>
                <w:rFonts w:hint="eastAsia"/>
                <w:color w:val="auto"/>
                <w:szCs w:val="21"/>
                <w:highlight w:val="none"/>
              </w:rPr>
              <w:t>体</w:t>
            </w:r>
            <w:r>
              <w:rPr>
                <w:color w:val="auto"/>
                <w:szCs w:val="21"/>
                <w:highlight w:val="none"/>
              </w:rPr>
              <w:t>造成的损失，由供应商自行负责。</w:t>
            </w:r>
          </w:p>
        </w:tc>
      </w:tr>
      <w:tr w14:paraId="54DA16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vAlign w:val="center"/>
          </w:tcPr>
          <w:p w14:paraId="0CB97271">
            <w:pPr>
              <w:spacing w:line="300" w:lineRule="exact"/>
              <w:jc w:val="center"/>
              <w:rPr>
                <w:b/>
                <w:color w:val="auto"/>
                <w:szCs w:val="21"/>
                <w:highlight w:val="none"/>
              </w:rPr>
            </w:pPr>
            <w:r>
              <w:rPr>
                <w:b/>
                <w:color w:val="auto"/>
                <w:szCs w:val="21"/>
                <w:highlight w:val="none"/>
              </w:rPr>
              <w:t>3.4.1</w:t>
            </w:r>
          </w:p>
        </w:tc>
        <w:tc>
          <w:tcPr>
            <w:tcW w:w="1248" w:type="dxa"/>
            <w:tcBorders>
              <w:top w:val="single" w:color="auto" w:sz="4" w:space="0"/>
              <w:left w:val="single" w:color="auto" w:sz="4" w:space="0"/>
              <w:bottom w:val="single" w:color="auto" w:sz="4" w:space="0"/>
              <w:right w:val="single" w:color="auto" w:sz="4" w:space="0"/>
            </w:tcBorders>
            <w:vAlign w:val="center"/>
          </w:tcPr>
          <w:p w14:paraId="1B34370B">
            <w:pPr>
              <w:spacing w:line="300" w:lineRule="exact"/>
              <w:jc w:val="center"/>
              <w:rPr>
                <w:color w:val="auto"/>
                <w:szCs w:val="21"/>
                <w:highlight w:val="none"/>
              </w:rPr>
            </w:pPr>
            <w:r>
              <w:rPr>
                <w:color w:val="auto"/>
                <w:szCs w:val="21"/>
                <w:highlight w:val="none"/>
              </w:rPr>
              <w:t>投标有效期</w:t>
            </w:r>
          </w:p>
        </w:tc>
        <w:tc>
          <w:tcPr>
            <w:tcW w:w="7229" w:type="dxa"/>
            <w:tcBorders>
              <w:top w:val="single" w:color="auto" w:sz="4" w:space="0"/>
              <w:left w:val="single" w:color="auto" w:sz="4" w:space="0"/>
              <w:bottom w:val="single" w:color="auto" w:sz="4" w:space="0"/>
              <w:right w:val="single" w:color="auto" w:sz="4" w:space="0"/>
            </w:tcBorders>
            <w:vAlign w:val="center"/>
          </w:tcPr>
          <w:p w14:paraId="7493CF7D">
            <w:pPr>
              <w:spacing w:line="300" w:lineRule="exact"/>
              <w:jc w:val="left"/>
              <w:rPr>
                <w:color w:val="auto"/>
                <w:szCs w:val="21"/>
                <w:highlight w:val="none"/>
              </w:rPr>
            </w:pPr>
            <w:r>
              <w:rPr>
                <w:color w:val="auto"/>
                <w:szCs w:val="21"/>
                <w:highlight w:val="none"/>
              </w:rPr>
              <w:t>投标截止之日起90天。</w:t>
            </w:r>
          </w:p>
        </w:tc>
      </w:tr>
      <w:tr w14:paraId="0F6B82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2666016A">
            <w:pPr>
              <w:spacing w:line="300" w:lineRule="exact"/>
              <w:jc w:val="center"/>
              <w:rPr>
                <w:b/>
                <w:color w:val="auto"/>
                <w:szCs w:val="21"/>
                <w:highlight w:val="none"/>
              </w:rPr>
            </w:pPr>
            <w:r>
              <w:rPr>
                <w:b/>
                <w:color w:val="auto"/>
                <w:szCs w:val="21"/>
                <w:highlight w:val="none"/>
              </w:rPr>
              <w:t>3.5</w:t>
            </w:r>
          </w:p>
        </w:tc>
        <w:tc>
          <w:tcPr>
            <w:tcW w:w="1248" w:type="dxa"/>
            <w:tcBorders>
              <w:top w:val="single" w:color="auto" w:sz="4" w:space="0"/>
              <w:left w:val="single" w:color="auto" w:sz="4" w:space="0"/>
              <w:bottom w:val="single" w:color="auto" w:sz="4" w:space="0"/>
              <w:right w:val="single" w:color="auto" w:sz="4" w:space="0"/>
            </w:tcBorders>
            <w:vAlign w:val="center"/>
          </w:tcPr>
          <w:p w14:paraId="5B3507A7">
            <w:pPr>
              <w:spacing w:line="300" w:lineRule="exact"/>
              <w:jc w:val="center"/>
              <w:rPr>
                <w:color w:val="auto"/>
                <w:szCs w:val="21"/>
                <w:highlight w:val="none"/>
              </w:rPr>
            </w:pPr>
            <w:r>
              <w:rPr>
                <w:color w:val="auto"/>
                <w:szCs w:val="21"/>
                <w:highlight w:val="none"/>
              </w:rPr>
              <w:t>投标保证金</w:t>
            </w:r>
          </w:p>
        </w:tc>
        <w:tc>
          <w:tcPr>
            <w:tcW w:w="7229" w:type="dxa"/>
            <w:tcBorders>
              <w:top w:val="single" w:color="auto" w:sz="4" w:space="0"/>
              <w:left w:val="single" w:color="auto" w:sz="4" w:space="0"/>
              <w:bottom w:val="single" w:color="auto" w:sz="4" w:space="0"/>
              <w:right w:val="single" w:color="auto" w:sz="4" w:space="0"/>
            </w:tcBorders>
            <w:vAlign w:val="center"/>
          </w:tcPr>
          <w:p w14:paraId="49A75CFB">
            <w:pPr>
              <w:spacing w:line="312" w:lineRule="auto"/>
              <w:jc w:val="left"/>
              <w:rPr>
                <w:color w:val="auto"/>
                <w:kern w:val="0"/>
                <w:szCs w:val="21"/>
                <w:highlight w:val="none"/>
              </w:rPr>
            </w:pPr>
            <w:r>
              <w:rPr>
                <w:color w:val="auto"/>
                <w:szCs w:val="21"/>
                <w:highlight w:val="none"/>
              </w:rPr>
              <w:t>投标保证</w:t>
            </w:r>
            <w:r>
              <w:rPr>
                <w:rFonts w:hint="eastAsia"/>
                <w:color w:val="auto"/>
                <w:szCs w:val="21"/>
                <w:highlight w:val="none"/>
              </w:rPr>
              <w:t>金金额：人民币陆万元整（</w:t>
            </w:r>
            <w:r>
              <w:rPr>
                <w:color w:val="auto"/>
                <w:szCs w:val="21"/>
                <w:highlight w:val="none"/>
              </w:rPr>
              <w:t>¥</w:t>
            </w:r>
            <w:r>
              <w:rPr>
                <w:rFonts w:hint="eastAsia"/>
                <w:color w:val="auto"/>
                <w:szCs w:val="21"/>
                <w:highlight w:val="none"/>
              </w:rPr>
              <w:t>6</w:t>
            </w:r>
            <w:r>
              <w:rPr>
                <w:color w:val="auto"/>
                <w:szCs w:val="21"/>
                <w:highlight w:val="none"/>
              </w:rPr>
              <w:t>0,000.00</w:t>
            </w:r>
            <w:r>
              <w:rPr>
                <w:rFonts w:hint="eastAsia"/>
                <w:color w:val="auto"/>
                <w:szCs w:val="21"/>
                <w:highlight w:val="none"/>
              </w:rPr>
              <w:t>）</w:t>
            </w:r>
          </w:p>
          <w:p w14:paraId="4CE2F729">
            <w:pPr>
              <w:spacing w:line="300" w:lineRule="exact"/>
              <w:jc w:val="left"/>
              <w:rPr>
                <w:color w:val="auto"/>
                <w:szCs w:val="21"/>
                <w:highlight w:val="none"/>
              </w:rPr>
            </w:pPr>
            <w:r>
              <w:rPr>
                <w:rFonts w:hint="eastAsia"/>
                <w:color w:val="auto"/>
                <w:szCs w:val="21"/>
                <w:highlight w:val="none"/>
              </w:rPr>
              <w:t>1、缴纳方式一：</w:t>
            </w:r>
          </w:p>
          <w:p w14:paraId="0D9FD92A">
            <w:pPr>
              <w:spacing w:line="300" w:lineRule="exact"/>
              <w:jc w:val="left"/>
              <w:rPr>
                <w:color w:val="auto"/>
                <w:szCs w:val="21"/>
                <w:highlight w:val="none"/>
              </w:rPr>
            </w:pPr>
            <w:r>
              <w:rPr>
                <w:rFonts w:hint="eastAsia" w:ascii="宋体" w:hAnsi="宋体"/>
                <w:color w:val="auto"/>
                <w:szCs w:val="21"/>
                <w:highlight w:val="none"/>
              </w:rPr>
              <w:t>（1）</w:t>
            </w:r>
            <w:r>
              <w:rPr>
                <w:color w:val="auto"/>
                <w:szCs w:val="21"/>
                <w:highlight w:val="none"/>
              </w:rPr>
              <w:t>供应商应于</w:t>
            </w:r>
            <w:r>
              <w:rPr>
                <w:rFonts w:hint="eastAsia"/>
                <w:color w:val="auto"/>
                <w:szCs w:val="21"/>
                <w:highlight w:val="none"/>
              </w:rPr>
              <w:t>投标截止</w:t>
            </w:r>
            <w:r>
              <w:rPr>
                <w:color w:val="auto"/>
                <w:szCs w:val="21"/>
                <w:highlight w:val="none"/>
              </w:rPr>
              <w:t>时间前将投标保证金以电汇、转账形式从供应商账户一次性足额</w:t>
            </w:r>
            <w:r>
              <w:rPr>
                <w:rFonts w:hint="eastAsia"/>
                <w:color w:val="auto"/>
                <w:szCs w:val="21"/>
                <w:highlight w:val="none"/>
              </w:rPr>
              <w:t>缴</w:t>
            </w:r>
            <w:r>
              <w:rPr>
                <w:color w:val="auto"/>
                <w:szCs w:val="21"/>
                <w:highlight w:val="none"/>
              </w:rPr>
              <w:t>纳至本项目（各</w:t>
            </w:r>
            <w:r>
              <w:rPr>
                <w:rFonts w:hint="eastAsia"/>
                <w:color w:val="auto"/>
                <w:szCs w:val="21"/>
                <w:highlight w:val="none"/>
              </w:rPr>
              <w:t>分标</w:t>
            </w:r>
            <w:r>
              <w:rPr>
                <w:color w:val="auto"/>
                <w:szCs w:val="21"/>
                <w:highlight w:val="none"/>
              </w:rPr>
              <w:t>）对应的专用虚拟账号，所交纳的投标保证金仅限当次项目（</w:t>
            </w:r>
            <w:r>
              <w:rPr>
                <w:rFonts w:hint="eastAsia"/>
                <w:color w:val="auto"/>
                <w:szCs w:val="21"/>
                <w:highlight w:val="none"/>
              </w:rPr>
              <w:t>分标</w:t>
            </w:r>
            <w:r>
              <w:rPr>
                <w:color w:val="auto"/>
                <w:szCs w:val="21"/>
                <w:highlight w:val="none"/>
              </w:rPr>
              <w:t>）有效，不得重复替代使用。本项目投标保证金</w:t>
            </w:r>
            <w:r>
              <w:rPr>
                <w:rFonts w:hint="eastAsia"/>
                <w:color w:val="auto"/>
                <w:szCs w:val="21"/>
                <w:highlight w:val="none"/>
              </w:rPr>
              <w:t>缴</w:t>
            </w:r>
            <w:r>
              <w:rPr>
                <w:color w:val="auto"/>
                <w:szCs w:val="21"/>
                <w:highlight w:val="none"/>
              </w:rPr>
              <w:t>纳专用虚拟账号信息</w:t>
            </w:r>
            <w:r>
              <w:rPr>
                <w:rFonts w:hint="eastAsia"/>
                <w:color w:val="auto"/>
                <w:szCs w:val="21"/>
                <w:highlight w:val="none"/>
              </w:rPr>
              <w:t>如下：</w:t>
            </w:r>
          </w:p>
          <w:p w14:paraId="4CCEF6AF">
            <w:pPr>
              <w:spacing w:line="300" w:lineRule="exact"/>
              <w:jc w:val="left"/>
              <w:rPr>
                <w:color w:val="auto"/>
                <w:szCs w:val="21"/>
                <w:highlight w:val="none"/>
              </w:rPr>
            </w:pPr>
            <w:r>
              <w:rPr>
                <w:rFonts w:hint="eastAsia"/>
                <w:color w:val="auto"/>
                <w:szCs w:val="21"/>
                <w:highlight w:val="none"/>
              </w:rPr>
              <w:t>开户银行：平安银行南宁分行营业部</w:t>
            </w:r>
          </w:p>
          <w:p w14:paraId="7B4DFCA3">
            <w:pPr>
              <w:spacing w:line="300" w:lineRule="exact"/>
              <w:jc w:val="left"/>
              <w:rPr>
                <w:color w:val="auto"/>
                <w:szCs w:val="21"/>
                <w:highlight w:val="none"/>
              </w:rPr>
            </w:pPr>
            <w:r>
              <w:rPr>
                <w:rFonts w:hint="eastAsia"/>
                <w:color w:val="auto"/>
                <w:szCs w:val="21"/>
                <w:highlight w:val="none"/>
              </w:rPr>
              <w:t>开户名称：广西机电设备招标有限公司</w:t>
            </w:r>
          </w:p>
          <w:p w14:paraId="1942A831">
            <w:pPr>
              <w:spacing w:line="300" w:lineRule="exact"/>
              <w:jc w:val="left"/>
              <w:rPr>
                <w:color w:val="auto"/>
                <w:szCs w:val="21"/>
                <w:highlight w:val="none"/>
              </w:rPr>
            </w:pPr>
            <w:r>
              <w:rPr>
                <w:rFonts w:hint="eastAsia"/>
                <w:color w:val="auto"/>
                <w:szCs w:val="21"/>
                <w:highlight w:val="none"/>
              </w:rPr>
              <w:t>开户账户：30210485256097</w:t>
            </w:r>
          </w:p>
          <w:p w14:paraId="780931AB">
            <w:pPr>
              <w:spacing w:line="300" w:lineRule="exact"/>
              <w:jc w:val="left"/>
              <w:rPr>
                <w:color w:val="auto"/>
                <w:szCs w:val="21"/>
                <w:highlight w:val="none"/>
              </w:rPr>
            </w:pPr>
            <w:r>
              <w:rPr>
                <w:color w:val="auto"/>
                <w:szCs w:val="21"/>
                <w:highlight w:val="none"/>
              </w:rPr>
              <w:t>特别说明：本项目保证金采用虚拟账号，为保证投标保证金与项目一一对应，供应商如</w:t>
            </w:r>
            <w:r>
              <w:rPr>
                <w:rFonts w:hint="eastAsia"/>
                <w:color w:val="auto"/>
                <w:szCs w:val="21"/>
                <w:highlight w:val="none"/>
              </w:rPr>
              <w:t>参加</w:t>
            </w:r>
            <w:r>
              <w:rPr>
                <w:color w:val="auto"/>
                <w:szCs w:val="21"/>
                <w:highlight w:val="none"/>
              </w:rPr>
              <w:t>本项目多个</w:t>
            </w:r>
            <w:r>
              <w:rPr>
                <w:rFonts w:hint="eastAsia"/>
                <w:color w:val="auto"/>
                <w:szCs w:val="21"/>
                <w:highlight w:val="none"/>
              </w:rPr>
              <w:t>分标</w:t>
            </w:r>
            <w:r>
              <w:rPr>
                <w:color w:val="auto"/>
                <w:szCs w:val="21"/>
                <w:highlight w:val="none"/>
              </w:rPr>
              <w:t>的</w:t>
            </w:r>
            <w:r>
              <w:rPr>
                <w:rFonts w:hint="eastAsia"/>
                <w:color w:val="auto"/>
                <w:szCs w:val="21"/>
                <w:highlight w:val="none"/>
              </w:rPr>
              <w:t>投标</w:t>
            </w:r>
            <w:r>
              <w:rPr>
                <w:color w:val="auto"/>
                <w:szCs w:val="21"/>
                <w:highlight w:val="none"/>
              </w:rPr>
              <w:t>，应按各</w:t>
            </w:r>
            <w:r>
              <w:rPr>
                <w:rFonts w:hint="eastAsia"/>
                <w:color w:val="auto"/>
                <w:szCs w:val="21"/>
                <w:highlight w:val="none"/>
              </w:rPr>
              <w:t>分标</w:t>
            </w:r>
            <w:r>
              <w:rPr>
                <w:color w:val="auto"/>
                <w:szCs w:val="21"/>
                <w:highlight w:val="none"/>
              </w:rPr>
              <w:t>对应的专用虚拟账号分别</w:t>
            </w:r>
            <w:r>
              <w:rPr>
                <w:rFonts w:hint="eastAsia"/>
                <w:color w:val="auto"/>
                <w:szCs w:val="21"/>
                <w:highlight w:val="none"/>
              </w:rPr>
              <w:t>缴纳</w:t>
            </w:r>
            <w:r>
              <w:rPr>
                <w:color w:val="auto"/>
                <w:szCs w:val="21"/>
                <w:highlight w:val="none"/>
              </w:rPr>
              <w:t>投标保证金。</w:t>
            </w:r>
          </w:p>
          <w:p w14:paraId="11834669">
            <w:pPr>
              <w:spacing w:line="300" w:lineRule="exact"/>
              <w:jc w:val="left"/>
              <w:rPr>
                <w:color w:val="auto"/>
                <w:szCs w:val="21"/>
                <w:highlight w:val="none"/>
              </w:rPr>
            </w:pPr>
            <w:r>
              <w:rPr>
                <w:rFonts w:hint="eastAsia" w:ascii="宋体" w:hAnsi="宋体"/>
                <w:color w:val="auto"/>
                <w:szCs w:val="21"/>
                <w:highlight w:val="none"/>
              </w:rPr>
              <w:t>（2）</w:t>
            </w:r>
            <w:r>
              <w:rPr>
                <w:color w:val="auto"/>
                <w:szCs w:val="21"/>
                <w:highlight w:val="none"/>
              </w:rPr>
              <w:t>投标保证金币种应与投标报价币种相同。</w:t>
            </w:r>
            <w:r>
              <w:rPr>
                <w:rFonts w:hint="eastAsia"/>
                <w:color w:val="auto"/>
                <w:szCs w:val="21"/>
                <w:highlight w:val="none"/>
              </w:rPr>
              <w:t>投标</w:t>
            </w:r>
            <w:r>
              <w:rPr>
                <w:color w:val="auto"/>
                <w:szCs w:val="21"/>
                <w:highlight w:val="none"/>
              </w:rPr>
              <w:t>保证金</w:t>
            </w:r>
            <w:r>
              <w:rPr>
                <w:rFonts w:hint="eastAsia"/>
                <w:color w:val="auto"/>
                <w:szCs w:val="21"/>
                <w:highlight w:val="none"/>
              </w:rPr>
              <w:t>缴纳</w:t>
            </w:r>
            <w:r>
              <w:rPr>
                <w:color w:val="auto"/>
                <w:szCs w:val="21"/>
                <w:highlight w:val="none"/>
              </w:rPr>
              <w:t>后无需开具收据，</w:t>
            </w:r>
            <w:r>
              <w:rPr>
                <w:rFonts w:hint="eastAsia"/>
                <w:color w:val="auto"/>
                <w:szCs w:val="21"/>
                <w:highlight w:val="none"/>
              </w:rPr>
              <w:t>供应商应在投标文件中放入转账底单或电汇凭证的复印件，</w:t>
            </w:r>
            <w:r>
              <w:rPr>
                <w:color w:val="auto"/>
                <w:szCs w:val="21"/>
                <w:highlight w:val="none"/>
              </w:rPr>
              <w:t>必须在</w:t>
            </w:r>
            <w:r>
              <w:rPr>
                <w:rFonts w:hint="eastAsia"/>
                <w:color w:val="auto"/>
                <w:szCs w:val="21"/>
                <w:highlight w:val="none"/>
              </w:rPr>
              <w:t>投标</w:t>
            </w:r>
            <w:r>
              <w:rPr>
                <w:color w:val="auto"/>
                <w:szCs w:val="21"/>
                <w:highlight w:val="none"/>
              </w:rPr>
              <w:t>截</w:t>
            </w:r>
            <w:r>
              <w:rPr>
                <w:rFonts w:hint="eastAsia"/>
                <w:color w:val="auto"/>
                <w:szCs w:val="21"/>
                <w:highlight w:val="none"/>
              </w:rPr>
              <w:t>止</w:t>
            </w:r>
            <w:r>
              <w:rPr>
                <w:color w:val="auto"/>
                <w:szCs w:val="21"/>
                <w:highlight w:val="none"/>
              </w:rPr>
              <w:t>时间之前到达指定账号，其到账时间以银行确认的到账时间为准。</w:t>
            </w:r>
          </w:p>
          <w:p w14:paraId="273176AA">
            <w:pPr>
              <w:spacing w:line="300" w:lineRule="exact"/>
              <w:jc w:val="left"/>
              <w:rPr>
                <w:color w:val="auto"/>
                <w:szCs w:val="21"/>
                <w:highlight w:val="none"/>
              </w:rPr>
            </w:pPr>
            <w:r>
              <w:rPr>
                <w:rFonts w:hint="eastAsia" w:ascii="宋体" w:hAnsi="宋体"/>
                <w:color w:val="auto"/>
                <w:szCs w:val="21"/>
                <w:highlight w:val="none"/>
              </w:rPr>
              <w:t>（3）</w:t>
            </w:r>
            <w:r>
              <w:rPr>
                <w:color w:val="auto"/>
                <w:szCs w:val="21"/>
                <w:highlight w:val="none"/>
              </w:rPr>
              <w:t>除</w:t>
            </w:r>
            <w:r>
              <w:rPr>
                <w:rFonts w:hint="eastAsia"/>
                <w:color w:val="auto"/>
                <w:szCs w:val="21"/>
                <w:highlight w:val="none"/>
              </w:rPr>
              <w:t>招标文件</w:t>
            </w:r>
            <w:r>
              <w:rPr>
                <w:color w:val="auto"/>
                <w:szCs w:val="21"/>
                <w:highlight w:val="none"/>
              </w:rPr>
              <w:t>规定不予退还保证金的情形外，采购代理机构</w:t>
            </w:r>
            <w:r>
              <w:rPr>
                <w:rFonts w:hint="eastAsia"/>
                <w:color w:val="auto"/>
                <w:szCs w:val="21"/>
                <w:highlight w:val="none"/>
              </w:rPr>
              <w:t>在法定时间内通过银行原路</w:t>
            </w:r>
            <w:r>
              <w:rPr>
                <w:color w:val="auto"/>
                <w:szCs w:val="21"/>
                <w:highlight w:val="none"/>
              </w:rPr>
              <w:t>退</w:t>
            </w:r>
            <w:r>
              <w:rPr>
                <w:rFonts w:hint="eastAsia"/>
                <w:color w:val="auto"/>
                <w:szCs w:val="21"/>
                <w:highlight w:val="none"/>
              </w:rPr>
              <w:t>还保证金至供应商缴纳账户。供应商</w:t>
            </w:r>
            <w:r>
              <w:rPr>
                <w:color w:val="auto"/>
                <w:szCs w:val="21"/>
                <w:highlight w:val="none"/>
              </w:rPr>
              <w:t>自行承担</w:t>
            </w:r>
            <w:r>
              <w:rPr>
                <w:rFonts w:hint="eastAsia"/>
                <w:color w:val="auto"/>
                <w:szCs w:val="21"/>
                <w:highlight w:val="none"/>
              </w:rPr>
              <w:t>交纳保证金后未参加投标活动或投标保证金缴纳错误而</w:t>
            </w:r>
            <w:r>
              <w:rPr>
                <w:color w:val="auto"/>
                <w:szCs w:val="21"/>
                <w:highlight w:val="none"/>
              </w:rPr>
              <w:t>导致</w:t>
            </w:r>
            <w:r>
              <w:rPr>
                <w:rFonts w:hint="eastAsia"/>
                <w:color w:val="auto"/>
                <w:szCs w:val="21"/>
                <w:highlight w:val="none"/>
              </w:rPr>
              <w:t>投标</w:t>
            </w:r>
            <w:r>
              <w:rPr>
                <w:color w:val="auto"/>
                <w:szCs w:val="21"/>
                <w:highlight w:val="none"/>
              </w:rPr>
              <w:t>保证金无法及时退还的责任</w:t>
            </w:r>
            <w:r>
              <w:rPr>
                <w:rFonts w:hint="eastAsia"/>
                <w:color w:val="auto"/>
                <w:szCs w:val="21"/>
                <w:highlight w:val="none"/>
              </w:rPr>
              <w:t>。</w:t>
            </w:r>
          </w:p>
          <w:p w14:paraId="74DC8785">
            <w:pPr>
              <w:spacing w:line="300" w:lineRule="exact"/>
              <w:jc w:val="left"/>
              <w:rPr>
                <w:color w:val="auto"/>
                <w:szCs w:val="21"/>
                <w:highlight w:val="none"/>
              </w:rPr>
            </w:pPr>
            <w:r>
              <w:rPr>
                <w:rFonts w:hint="eastAsia"/>
                <w:color w:val="auto"/>
                <w:szCs w:val="21"/>
                <w:highlight w:val="none"/>
              </w:rPr>
              <w:t>2、缴纳方式二：</w:t>
            </w:r>
          </w:p>
          <w:p w14:paraId="74087000">
            <w:pPr>
              <w:spacing w:line="300" w:lineRule="exact"/>
              <w:jc w:val="left"/>
              <w:rPr>
                <w:color w:val="auto"/>
                <w:szCs w:val="21"/>
                <w:highlight w:val="none"/>
              </w:rPr>
            </w:pPr>
            <w:r>
              <w:rPr>
                <w:rFonts w:hint="eastAsia"/>
                <w:color w:val="auto"/>
                <w:szCs w:val="21"/>
                <w:highlight w:val="none"/>
              </w:rPr>
              <w:t>供应商可于投标截止时间前选择支票、汇票、本票或金融机构、担保机构出具的保函等非现金形式缴纳的，供应商应在投标文件中放入支票、汇票、本票或金融机构、担保机构出具的保函的复印件，保函出具格式详见第六章投标文件格式，在投标截止时间前，供应商必须以现场提交或邮寄方式向采购代理机构递交支票、汇票、本票或者保函原件，保证金原件放入一个密封袋中，并在封口处加盖供应商公章或被授权人签字，在封套上标记“项目名称（项目编号）投标保证金”字样。具体收件地址、收件人及联系电话详见招标公告。</w:t>
            </w:r>
          </w:p>
          <w:p w14:paraId="12D7240A">
            <w:pPr>
              <w:spacing w:line="300" w:lineRule="exact"/>
              <w:jc w:val="left"/>
              <w:rPr>
                <w:color w:val="auto"/>
                <w:szCs w:val="21"/>
                <w:highlight w:val="none"/>
              </w:rPr>
            </w:pPr>
            <w:r>
              <w:rPr>
                <w:rFonts w:hint="eastAsia"/>
                <w:color w:val="auto"/>
                <w:szCs w:val="21"/>
                <w:highlight w:val="none"/>
              </w:rPr>
              <w:t>3、投标保证金有下列情形之一的，视为保证金无效：</w:t>
            </w:r>
          </w:p>
          <w:p w14:paraId="7F5715A9">
            <w:pPr>
              <w:spacing w:line="300" w:lineRule="exact"/>
              <w:jc w:val="left"/>
              <w:rPr>
                <w:color w:val="auto"/>
                <w:szCs w:val="21"/>
                <w:highlight w:val="none"/>
              </w:rPr>
            </w:pPr>
            <w:r>
              <w:rPr>
                <w:rFonts w:hint="eastAsia"/>
                <w:color w:val="auto"/>
                <w:szCs w:val="21"/>
                <w:highlight w:val="none"/>
              </w:rPr>
              <w:t>（1）保证金在投标截止时间后提交的，或者不按规定交纳方式交纳的，或者未足额交纳的（包含保函额度不足的）的；</w:t>
            </w:r>
          </w:p>
          <w:p w14:paraId="657B6C60">
            <w:pPr>
              <w:spacing w:line="300" w:lineRule="exact"/>
              <w:jc w:val="left"/>
              <w:rPr>
                <w:color w:val="auto"/>
                <w:szCs w:val="21"/>
                <w:highlight w:val="none"/>
              </w:rPr>
            </w:pPr>
            <w:r>
              <w:rPr>
                <w:rFonts w:hint="eastAsia"/>
                <w:color w:val="auto"/>
                <w:szCs w:val="21"/>
                <w:highlight w:val="none"/>
              </w:rPr>
              <w:t>（2）支票、汇票或者本票出现无效或者背书情形的；</w:t>
            </w:r>
          </w:p>
          <w:p w14:paraId="01406FEA">
            <w:pPr>
              <w:spacing w:line="300" w:lineRule="exact"/>
              <w:jc w:val="left"/>
              <w:rPr>
                <w:color w:val="auto"/>
                <w:szCs w:val="21"/>
                <w:highlight w:val="none"/>
              </w:rPr>
            </w:pPr>
            <w:r>
              <w:rPr>
                <w:rFonts w:hint="eastAsia"/>
                <w:color w:val="auto"/>
                <w:szCs w:val="21"/>
                <w:highlight w:val="none"/>
              </w:rPr>
              <w:t>（3）保函有效期低于投标有效期的；</w:t>
            </w:r>
          </w:p>
          <w:p w14:paraId="6209BE78">
            <w:pPr>
              <w:spacing w:line="300" w:lineRule="exact"/>
              <w:jc w:val="left"/>
              <w:rPr>
                <w:color w:val="auto"/>
                <w:szCs w:val="21"/>
                <w:highlight w:val="none"/>
              </w:rPr>
            </w:pPr>
            <w:r>
              <w:rPr>
                <w:rFonts w:hint="eastAsia"/>
                <w:color w:val="auto"/>
                <w:szCs w:val="21"/>
                <w:highlight w:val="none"/>
              </w:rPr>
              <w:t>（4）非金融机构、担保机构出具保函的、非无条件保函的。</w:t>
            </w:r>
          </w:p>
          <w:p w14:paraId="65FB13A1">
            <w:pPr>
              <w:spacing w:line="300" w:lineRule="exact"/>
              <w:jc w:val="left"/>
              <w:rPr>
                <w:color w:val="auto"/>
                <w:szCs w:val="21"/>
                <w:highlight w:val="none"/>
              </w:rPr>
            </w:pPr>
            <w:r>
              <w:rPr>
                <w:rFonts w:hint="eastAsia"/>
                <w:color w:val="auto"/>
                <w:szCs w:val="21"/>
                <w:highlight w:val="none"/>
              </w:rPr>
              <w:t>4、</w:t>
            </w:r>
            <w:r>
              <w:rPr>
                <w:color w:val="auto"/>
                <w:szCs w:val="21"/>
                <w:highlight w:val="none"/>
              </w:rPr>
              <w:t>财务部联系电话：0771-2821398</w:t>
            </w:r>
          </w:p>
          <w:p w14:paraId="125FA0B0">
            <w:pPr>
              <w:spacing w:line="300" w:lineRule="exact"/>
              <w:jc w:val="left"/>
              <w:rPr>
                <w:b/>
                <w:bCs/>
                <w:color w:val="auto"/>
                <w:szCs w:val="21"/>
                <w:highlight w:val="none"/>
              </w:rPr>
            </w:pPr>
            <w:r>
              <w:rPr>
                <w:rFonts w:hint="eastAsia"/>
                <w:b/>
                <w:bCs/>
                <w:color w:val="auto"/>
                <w:szCs w:val="21"/>
                <w:highlight w:val="none"/>
              </w:rPr>
              <w:t>注：为保证投标保证金退还的及时性与便利性，鼓励优先采用方式一递交投标保证金。</w:t>
            </w:r>
          </w:p>
        </w:tc>
      </w:tr>
      <w:tr w14:paraId="6FC229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vAlign w:val="center"/>
          </w:tcPr>
          <w:p w14:paraId="437FDE94">
            <w:pPr>
              <w:spacing w:line="300" w:lineRule="exact"/>
              <w:jc w:val="center"/>
              <w:rPr>
                <w:b/>
                <w:color w:val="auto"/>
                <w:szCs w:val="21"/>
                <w:highlight w:val="none"/>
              </w:rPr>
            </w:pPr>
            <w:r>
              <w:rPr>
                <w:rFonts w:hint="eastAsia"/>
                <w:b/>
                <w:color w:val="auto"/>
                <w:szCs w:val="21"/>
                <w:highlight w:val="none"/>
              </w:rPr>
              <w:t>3</w:t>
            </w:r>
            <w:r>
              <w:rPr>
                <w:b/>
                <w:color w:val="auto"/>
                <w:szCs w:val="21"/>
                <w:highlight w:val="none"/>
              </w:rPr>
              <w:t>.6</w:t>
            </w:r>
          </w:p>
        </w:tc>
        <w:tc>
          <w:tcPr>
            <w:tcW w:w="1248" w:type="dxa"/>
            <w:tcBorders>
              <w:top w:val="single" w:color="auto" w:sz="4" w:space="0"/>
              <w:left w:val="single" w:color="auto" w:sz="4" w:space="0"/>
              <w:right w:val="single" w:color="auto" w:sz="4" w:space="0"/>
            </w:tcBorders>
            <w:vAlign w:val="center"/>
          </w:tcPr>
          <w:p w14:paraId="6D582772">
            <w:pPr>
              <w:spacing w:line="300" w:lineRule="exact"/>
              <w:jc w:val="center"/>
              <w:rPr>
                <w:color w:val="auto"/>
                <w:szCs w:val="21"/>
                <w:highlight w:val="none"/>
              </w:rPr>
            </w:pPr>
            <w:r>
              <w:rPr>
                <w:rFonts w:hint="eastAsia"/>
                <w:color w:val="auto"/>
                <w:szCs w:val="21"/>
                <w:highlight w:val="none"/>
              </w:rPr>
              <w:t>投标文件的编制</w:t>
            </w:r>
          </w:p>
        </w:tc>
        <w:tc>
          <w:tcPr>
            <w:tcW w:w="7229" w:type="dxa"/>
            <w:tcBorders>
              <w:top w:val="single" w:color="auto" w:sz="4" w:space="0"/>
              <w:left w:val="single" w:color="auto" w:sz="4" w:space="0"/>
              <w:right w:val="single" w:color="auto" w:sz="4" w:space="0"/>
            </w:tcBorders>
            <w:vAlign w:val="center"/>
          </w:tcPr>
          <w:p w14:paraId="79BA8829">
            <w:pPr>
              <w:spacing w:line="300" w:lineRule="exact"/>
              <w:jc w:val="left"/>
              <w:rPr>
                <w:color w:val="auto"/>
                <w:szCs w:val="21"/>
                <w:highlight w:val="none"/>
              </w:rPr>
            </w:pPr>
            <w:r>
              <w:rPr>
                <w:rFonts w:hint="eastAsia" w:hAnsi="宋体"/>
                <w:color w:val="auto"/>
                <w:szCs w:val="21"/>
                <w:highlight w:val="none"/>
              </w:rPr>
              <w:t>投标文件应按第六章投标文件格式分别编制并使用下载的广西政府采购云平台新版客户端制作并上传。</w:t>
            </w:r>
          </w:p>
        </w:tc>
      </w:tr>
      <w:tr w14:paraId="68ECB7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vAlign w:val="center"/>
          </w:tcPr>
          <w:p w14:paraId="60B98C18">
            <w:pPr>
              <w:spacing w:line="300" w:lineRule="exact"/>
              <w:jc w:val="center"/>
              <w:rPr>
                <w:b/>
                <w:color w:val="auto"/>
                <w:szCs w:val="21"/>
                <w:highlight w:val="none"/>
              </w:rPr>
            </w:pPr>
            <w:r>
              <w:rPr>
                <w:b/>
                <w:color w:val="auto"/>
                <w:szCs w:val="21"/>
                <w:highlight w:val="none"/>
              </w:rPr>
              <w:t>3.7</w:t>
            </w:r>
          </w:p>
        </w:tc>
        <w:tc>
          <w:tcPr>
            <w:tcW w:w="1248" w:type="dxa"/>
            <w:tcBorders>
              <w:top w:val="single" w:color="auto" w:sz="4" w:space="0"/>
              <w:left w:val="single" w:color="auto" w:sz="4" w:space="0"/>
              <w:bottom w:val="single" w:color="auto" w:sz="4" w:space="0"/>
              <w:right w:val="single" w:color="auto" w:sz="4" w:space="0"/>
            </w:tcBorders>
            <w:vAlign w:val="center"/>
          </w:tcPr>
          <w:p w14:paraId="0DFA3238">
            <w:pPr>
              <w:spacing w:line="300" w:lineRule="exact"/>
              <w:jc w:val="center"/>
              <w:rPr>
                <w:color w:val="auto"/>
                <w:szCs w:val="21"/>
                <w:highlight w:val="none"/>
              </w:rPr>
            </w:pPr>
            <w:r>
              <w:rPr>
                <w:color w:val="auto"/>
                <w:szCs w:val="21"/>
                <w:highlight w:val="none"/>
              </w:rPr>
              <w:t>投标文件递交</w:t>
            </w:r>
            <w:r>
              <w:rPr>
                <w:rFonts w:hint="eastAsia"/>
                <w:color w:val="auto"/>
                <w:szCs w:val="21"/>
                <w:highlight w:val="none"/>
              </w:rPr>
              <w:t>截止时间及开标时间</w:t>
            </w:r>
          </w:p>
        </w:tc>
        <w:tc>
          <w:tcPr>
            <w:tcW w:w="7229" w:type="dxa"/>
            <w:tcBorders>
              <w:top w:val="single" w:color="auto" w:sz="4" w:space="0"/>
              <w:left w:val="single" w:color="auto" w:sz="4" w:space="0"/>
              <w:bottom w:val="single" w:color="auto" w:sz="4" w:space="0"/>
              <w:right w:val="single" w:color="auto" w:sz="4" w:space="0"/>
            </w:tcBorders>
            <w:vAlign w:val="center"/>
          </w:tcPr>
          <w:p w14:paraId="27581C67">
            <w:pPr>
              <w:spacing w:line="300" w:lineRule="exact"/>
              <w:jc w:val="left"/>
              <w:rPr>
                <w:color w:val="auto"/>
                <w:szCs w:val="21"/>
                <w:highlight w:val="none"/>
              </w:rPr>
            </w:pPr>
            <w:r>
              <w:rPr>
                <w:rFonts w:hint="eastAsia"/>
                <w:color w:val="auto"/>
                <w:kern w:val="0"/>
                <w:szCs w:val="21"/>
                <w:highlight w:val="none"/>
              </w:rPr>
              <w:t>见招标公告要求</w:t>
            </w:r>
            <w:r>
              <w:rPr>
                <w:rFonts w:hint="eastAsia"/>
                <w:color w:val="auto"/>
                <w:szCs w:val="21"/>
                <w:highlight w:val="none"/>
              </w:rPr>
              <w:t>。</w:t>
            </w:r>
          </w:p>
        </w:tc>
      </w:tr>
      <w:tr w14:paraId="31EA09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3962BCE7">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.2</w:t>
            </w:r>
          </w:p>
        </w:tc>
        <w:tc>
          <w:tcPr>
            <w:tcW w:w="1248" w:type="dxa"/>
            <w:tcBorders>
              <w:top w:val="single" w:color="auto" w:sz="4" w:space="0"/>
              <w:left w:val="single" w:color="auto" w:sz="4" w:space="0"/>
              <w:bottom w:val="single" w:color="auto" w:sz="4" w:space="0"/>
              <w:right w:val="single" w:color="auto" w:sz="4" w:space="0"/>
            </w:tcBorders>
            <w:vAlign w:val="center"/>
          </w:tcPr>
          <w:p w14:paraId="0478874A">
            <w:pPr>
              <w:spacing w:line="300" w:lineRule="exact"/>
              <w:jc w:val="center"/>
              <w:rPr>
                <w:color w:val="auto"/>
                <w:szCs w:val="20"/>
                <w:highlight w:val="none"/>
              </w:rPr>
            </w:pPr>
            <w:r>
              <w:rPr>
                <w:rFonts w:hint="eastAsia"/>
                <w:color w:val="auto"/>
                <w:szCs w:val="21"/>
                <w:highlight w:val="none"/>
              </w:rPr>
              <w:t>备份投标文件</w:t>
            </w:r>
          </w:p>
        </w:tc>
        <w:tc>
          <w:tcPr>
            <w:tcW w:w="7229" w:type="dxa"/>
            <w:tcBorders>
              <w:top w:val="single" w:color="auto" w:sz="4" w:space="0"/>
              <w:left w:val="single" w:color="auto" w:sz="4" w:space="0"/>
              <w:bottom w:val="single" w:color="auto" w:sz="4" w:space="0"/>
              <w:right w:val="single" w:color="auto" w:sz="4" w:space="0"/>
            </w:tcBorders>
            <w:vAlign w:val="center"/>
          </w:tcPr>
          <w:p w14:paraId="5426EE0E">
            <w:pPr>
              <w:spacing w:line="276" w:lineRule="auto"/>
              <w:rPr>
                <w:rFonts w:ascii="宋体" w:hAnsi="宋体"/>
                <w:color w:val="auto"/>
                <w:szCs w:val="21"/>
                <w:highlight w:val="none"/>
              </w:rPr>
            </w:pPr>
            <w:r>
              <w:rPr>
                <w:rFonts w:hint="eastAsia" w:ascii="宋体" w:hAnsi="宋体"/>
                <w:color w:val="auto"/>
                <w:szCs w:val="21"/>
                <w:highlight w:val="none"/>
              </w:rPr>
              <w:t>本项目</w:t>
            </w:r>
            <w:r>
              <w:rPr>
                <w:rFonts w:ascii="Wingdings 2" w:hAnsi="Wingdings 2"/>
                <w:color w:val="auto"/>
                <w:sz w:val="22"/>
                <w:szCs w:val="22"/>
                <w:highlight w:val="none"/>
              </w:rPr>
              <w:sym w:font="Wingdings 2" w:char="F052"/>
            </w:r>
            <w:r>
              <w:rPr>
                <w:rFonts w:hint="eastAsia"/>
                <w:color w:val="auto"/>
                <w:szCs w:val="21"/>
                <w:highlight w:val="none"/>
              </w:rPr>
              <w:t>接受   □不接受</w:t>
            </w:r>
            <w:r>
              <w:rPr>
                <w:rFonts w:hint="eastAsia" w:ascii="宋体" w:hAnsi="宋体"/>
                <w:color w:val="auto"/>
                <w:szCs w:val="21"/>
                <w:highlight w:val="none"/>
              </w:rPr>
              <w:t>备份投标文件</w:t>
            </w:r>
          </w:p>
          <w:p w14:paraId="6CF73EA6">
            <w:pPr>
              <w:spacing w:line="276" w:lineRule="auto"/>
              <w:rPr>
                <w:color w:val="auto"/>
                <w:sz w:val="22"/>
                <w:szCs w:val="22"/>
                <w:highlight w:val="none"/>
              </w:rPr>
            </w:pPr>
            <w:r>
              <w:rPr>
                <w:rFonts w:hint="eastAsia" w:ascii="宋体" w:hAnsi="宋体"/>
                <w:color w:val="auto"/>
                <w:szCs w:val="21"/>
                <w:highlight w:val="none"/>
              </w:rPr>
              <w:t>以广西政府采购云平台自动生成的备份文件为依据，当项目允许接受备份响应文件时，投标人才可以按规定上传备份响应文件。</w:t>
            </w:r>
          </w:p>
        </w:tc>
      </w:tr>
      <w:tr w14:paraId="444C7D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CAEAABA">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.3</w:t>
            </w:r>
          </w:p>
        </w:tc>
        <w:tc>
          <w:tcPr>
            <w:tcW w:w="1248" w:type="dxa"/>
            <w:tcBorders>
              <w:top w:val="single" w:color="auto" w:sz="4" w:space="0"/>
              <w:left w:val="single" w:color="auto" w:sz="4" w:space="0"/>
              <w:bottom w:val="single" w:color="auto" w:sz="4" w:space="0"/>
              <w:right w:val="single" w:color="auto" w:sz="4" w:space="0"/>
            </w:tcBorders>
            <w:vAlign w:val="center"/>
          </w:tcPr>
          <w:p w14:paraId="4CFFE656">
            <w:pPr>
              <w:spacing w:line="300" w:lineRule="exact"/>
              <w:jc w:val="center"/>
              <w:rPr>
                <w:color w:val="auto"/>
                <w:szCs w:val="21"/>
                <w:highlight w:val="none"/>
              </w:rPr>
            </w:pPr>
            <w:r>
              <w:rPr>
                <w:rFonts w:hint="eastAsia"/>
                <w:color w:val="auto"/>
                <w:szCs w:val="20"/>
                <w:highlight w:val="none"/>
              </w:rPr>
              <w:t>演示</w:t>
            </w:r>
          </w:p>
        </w:tc>
        <w:tc>
          <w:tcPr>
            <w:tcW w:w="7229" w:type="dxa"/>
            <w:tcBorders>
              <w:top w:val="single" w:color="auto" w:sz="4" w:space="0"/>
              <w:left w:val="single" w:color="auto" w:sz="4" w:space="0"/>
              <w:bottom w:val="single" w:color="auto" w:sz="4" w:space="0"/>
              <w:right w:val="single" w:color="auto" w:sz="4" w:space="0"/>
            </w:tcBorders>
            <w:vAlign w:val="center"/>
          </w:tcPr>
          <w:p w14:paraId="11A87075">
            <w:pPr>
              <w:spacing w:line="276" w:lineRule="auto"/>
              <w:rPr>
                <w:color w:val="auto"/>
                <w:szCs w:val="21"/>
                <w:highlight w:val="none"/>
              </w:rPr>
            </w:pPr>
            <w:r>
              <w:rPr>
                <w:rFonts w:ascii="Wingdings 2" w:hAnsi="Wingdings 2"/>
                <w:color w:val="auto"/>
                <w:sz w:val="22"/>
                <w:szCs w:val="22"/>
                <w:highlight w:val="none"/>
              </w:rPr>
              <w:sym w:font="Wingdings 2" w:char="F052"/>
            </w:r>
            <w:r>
              <w:rPr>
                <w:rFonts w:hint="eastAsia"/>
                <w:color w:val="auto"/>
                <w:szCs w:val="21"/>
                <w:highlight w:val="none"/>
              </w:rPr>
              <w:t>否   □是</w:t>
            </w:r>
          </w:p>
          <w:p w14:paraId="2D43CBE7">
            <w:pPr>
              <w:spacing w:line="276" w:lineRule="auto"/>
              <w:rPr>
                <w:color w:val="auto"/>
                <w:szCs w:val="21"/>
                <w:highlight w:val="none"/>
                <w:u w:val="single"/>
              </w:rPr>
            </w:pPr>
            <w:r>
              <w:rPr>
                <w:rFonts w:hint="eastAsia"/>
                <w:color w:val="auto"/>
                <w:szCs w:val="21"/>
                <w:highlight w:val="none"/>
              </w:rPr>
              <w:t>演示内容：</w:t>
            </w:r>
            <w:r>
              <w:rPr>
                <w:rFonts w:hint="eastAsia"/>
                <w:color w:val="auto"/>
                <w:szCs w:val="21"/>
                <w:highlight w:val="none"/>
                <w:u w:val="single"/>
              </w:rPr>
              <w:t xml:space="preserve"> </w:t>
            </w:r>
            <w:r>
              <w:rPr>
                <w:color w:val="auto"/>
                <w:szCs w:val="21"/>
                <w:highlight w:val="none"/>
                <w:u w:val="single"/>
              </w:rPr>
              <w:t xml:space="preserve">              </w:t>
            </w:r>
          </w:p>
          <w:p w14:paraId="3D438D41">
            <w:pPr>
              <w:spacing w:line="276" w:lineRule="auto"/>
              <w:rPr>
                <w:color w:val="auto"/>
                <w:szCs w:val="21"/>
                <w:highlight w:val="none"/>
              </w:rPr>
            </w:pPr>
            <w:r>
              <w:rPr>
                <w:rFonts w:hint="eastAsia"/>
                <w:color w:val="auto"/>
                <w:szCs w:val="21"/>
                <w:highlight w:val="none"/>
              </w:rPr>
              <w:t>演示形式：</w:t>
            </w:r>
            <w:r>
              <w:rPr>
                <w:color w:val="auto"/>
                <w:szCs w:val="21"/>
                <w:highlight w:val="none"/>
              </w:rPr>
              <w:t xml:space="preserve"> </w:t>
            </w:r>
          </w:p>
        </w:tc>
      </w:tr>
      <w:tr w14:paraId="00F9A9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066BB0F">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.4</w:t>
            </w:r>
          </w:p>
        </w:tc>
        <w:tc>
          <w:tcPr>
            <w:tcW w:w="1248" w:type="dxa"/>
            <w:tcBorders>
              <w:top w:val="single" w:color="auto" w:sz="4" w:space="0"/>
              <w:left w:val="single" w:color="auto" w:sz="4" w:space="0"/>
              <w:bottom w:val="single" w:color="auto" w:sz="4" w:space="0"/>
              <w:right w:val="single" w:color="auto" w:sz="4" w:space="0"/>
            </w:tcBorders>
            <w:vAlign w:val="center"/>
          </w:tcPr>
          <w:p w14:paraId="6FB8668E">
            <w:pPr>
              <w:spacing w:line="300" w:lineRule="exact"/>
              <w:jc w:val="center"/>
              <w:rPr>
                <w:color w:val="auto"/>
                <w:szCs w:val="21"/>
                <w:highlight w:val="none"/>
              </w:rPr>
            </w:pPr>
            <w:r>
              <w:rPr>
                <w:rFonts w:hint="eastAsia"/>
                <w:color w:val="auto"/>
                <w:szCs w:val="20"/>
                <w:highlight w:val="none"/>
              </w:rPr>
              <w:t>样品</w:t>
            </w:r>
          </w:p>
        </w:tc>
        <w:tc>
          <w:tcPr>
            <w:tcW w:w="7229" w:type="dxa"/>
            <w:tcBorders>
              <w:top w:val="single" w:color="auto" w:sz="4" w:space="0"/>
              <w:left w:val="single" w:color="auto" w:sz="4" w:space="0"/>
              <w:bottom w:val="single" w:color="auto" w:sz="4" w:space="0"/>
              <w:right w:val="single" w:color="auto" w:sz="4" w:space="0"/>
            </w:tcBorders>
            <w:vAlign w:val="center"/>
          </w:tcPr>
          <w:p w14:paraId="47BFA4C3">
            <w:pPr>
              <w:spacing w:line="276" w:lineRule="auto"/>
              <w:rPr>
                <w:color w:val="auto"/>
                <w:szCs w:val="21"/>
                <w:highlight w:val="none"/>
              </w:rPr>
            </w:pPr>
            <w:r>
              <w:rPr>
                <w:rFonts w:ascii="Wingdings 2" w:hAnsi="Wingdings 2"/>
                <w:color w:val="auto"/>
                <w:sz w:val="24"/>
                <w:highlight w:val="none"/>
              </w:rPr>
              <w:sym w:font="Wingdings 2" w:char="F052"/>
            </w:r>
            <w:r>
              <w:rPr>
                <w:rFonts w:hint="eastAsia"/>
                <w:color w:val="auto"/>
                <w:szCs w:val="21"/>
                <w:highlight w:val="none"/>
              </w:rPr>
              <w:t>否   □是</w:t>
            </w:r>
          </w:p>
          <w:p w14:paraId="05F7D08C">
            <w:pPr>
              <w:spacing w:line="276" w:lineRule="auto"/>
              <w:rPr>
                <w:color w:val="auto"/>
                <w:szCs w:val="21"/>
                <w:highlight w:val="none"/>
                <w:u w:val="single"/>
              </w:rPr>
            </w:pPr>
            <w:r>
              <w:rPr>
                <w:rFonts w:hint="eastAsia"/>
                <w:color w:val="auto"/>
                <w:szCs w:val="21"/>
                <w:highlight w:val="none"/>
              </w:rPr>
              <w:t>样品制作的标准和要求：</w:t>
            </w:r>
            <w:r>
              <w:rPr>
                <w:rFonts w:hint="eastAsia"/>
                <w:color w:val="auto"/>
                <w:szCs w:val="21"/>
                <w:highlight w:val="none"/>
                <w:u w:val="single"/>
              </w:rPr>
              <w:t xml:space="preserve"> </w:t>
            </w:r>
            <w:r>
              <w:rPr>
                <w:color w:val="auto"/>
                <w:szCs w:val="21"/>
                <w:highlight w:val="none"/>
                <w:u w:val="single"/>
              </w:rPr>
              <w:t xml:space="preserve">              </w:t>
            </w:r>
          </w:p>
          <w:p w14:paraId="1D10DEB5">
            <w:pPr>
              <w:spacing w:line="276" w:lineRule="auto"/>
              <w:rPr>
                <w:color w:val="auto"/>
                <w:szCs w:val="21"/>
                <w:highlight w:val="none"/>
                <w:u w:val="single"/>
              </w:rPr>
            </w:pPr>
            <w:r>
              <w:rPr>
                <w:rFonts w:hint="eastAsia"/>
                <w:color w:val="auto"/>
                <w:szCs w:val="21"/>
                <w:highlight w:val="none"/>
              </w:rPr>
              <w:t>样品检测机构的要求：</w:t>
            </w:r>
            <w:r>
              <w:rPr>
                <w:rFonts w:hint="eastAsia"/>
                <w:color w:val="auto"/>
                <w:szCs w:val="21"/>
                <w:highlight w:val="none"/>
                <w:u w:val="single"/>
              </w:rPr>
              <w:t xml:space="preserve"> </w:t>
            </w:r>
            <w:r>
              <w:rPr>
                <w:color w:val="auto"/>
                <w:szCs w:val="21"/>
                <w:highlight w:val="none"/>
                <w:u w:val="single"/>
              </w:rPr>
              <w:t xml:space="preserve">               </w:t>
            </w:r>
          </w:p>
          <w:p w14:paraId="098FD784">
            <w:pPr>
              <w:spacing w:line="276" w:lineRule="auto"/>
              <w:rPr>
                <w:color w:val="auto"/>
                <w:szCs w:val="21"/>
                <w:highlight w:val="none"/>
                <w:u w:val="single"/>
              </w:rPr>
            </w:pPr>
            <w:r>
              <w:rPr>
                <w:rFonts w:hint="eastAsia"/>
                <w:color w:val="auto"/>
                <w:szCs w:val="21"/>
                <w:highlight w:val="none"/>
              </w:rPr>
              <w:t>检测内容：</w:t>
            </w:r>
            <w:r>
              <w:rPr>
                <w:rFonts w:hint="eastAsia"/>
                <w:color w:val="auto"/>
                <w:szCs w:val="21"/>
                <w:highlight w:val="none"/>
                <w:u w:val="single"/>
              </w:rPr>
              <w:t xml:space="preserve"> </w:t>
            </w:r>
            <w:r>
              <w:rPr>
                <w:color w:val="auto"/>
                <w:szCs w:val="21"/>
                <w:highlight w:val="none"/>
                <w:u w:val="single"/>
              </w:rPr>
              <w:t xml:space="preserve">                    </w:t>
            </w:r>
          </w:p>
          <w:p w14:paraId="292DFF83">
            <w:pPr>
              <w:spacing w:line="276" w:lineRule="auto"/>
              <w:rPr>
                <w:color w:val="auto"/>
                <w:szCs w:val="21"/>
                <w:highlight w:val="none"/>
              </w:rPr>
            </w:pPr>
            <w:r>
              <w:rPr>
                <w:rFonts w:hint="eastAsia"/>
                <w:color w:val="auto"/>
                <w:szCs w:val="21"/>
                <w:highlight w:val="none"/>
              </w:rPr>
              <w:t>样品递交方式：</w:t>
            </w:r>
            <w:r>
              <w:rPr>
                <w:color w:val="auto"/>
                <w:szCs w:val="21"/>
                <w:highlight w:val="none"/>
              </w:rPr>
              <w:t xml:space="preserve"> </w:t>
            </w:r>
          </w:p>
        </w:tc>
      </w:tr>
      <w:tr w14:paraId="48C049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vAlign w:val="center"/>
          </w:tcPr>
          <w:p w14:paraId="0C41F4A1">
            <w:pPr>
              <w:spacing w:line="300" w:lineRule="exact"/>
              <w:jc w:val="center"/>
              <w:rPr>
                <w:b/>
                <w:color w:val="auto"/>
                <w:szCs w:val="21"/>
                <w:highlight w:val="none"/>
              </w:rPr>
            </w:pPr>
            <w:r>
              <w:rPr>
                <w:rFonts w:hint="eastAsia"/>
                <w:b/>
                <w:color w:val="auto"/>
                <w:szCs w:val="21"/>
                <w:highlight w:val="none"/>
              </w:rPr>
              <w:t>5.3.1</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408E3B88">
            <w:pPr>
              <w:spacing w:line="300" w:lineRule="exact"/>
              <w:jc w:val="center"/>
              <w:rPr>
                <w:color w:val="auto"/>
                <w:szCs w:val="21"/>
                <w:highlight w:val="none"/>
              </w:rPr>
            </w:pPr>
            <w:r>
              <w:rPr>
                <w:rFonts w:hint="eastAsia"/>
                <w:color w:val="auto"/>
                <w:szCs w:val="21"/>
                <w:highlight w:val="none"/>
              </w:rPr>
              <w:t>信用查询规则</w:t>
            </w:r>
          </w:p>
        </w:tc>
        <w:tc>
          <w:tcPr>
            <w:tcW w:w="7229" w:type="dxa"/>
            <w:tcBorders>
              <w:top w:val="single" w:color="auto" w:sz="4" w:space="0"/>
              <w:left w:val="single" w:color="auto" w:sz="4" w:space="0"/>
              <w:bottom w:val="single" w:color="auto" w:sz="4" w:space="0"/>
              <w:right w:val="single" w:color="auto" w:sz="4" w:space="0"/>
            </w:tcBorders>
            <w:shd w:val="clear" w:color="auto" w:fill="auto"/>
            <w:vAlign w:val="center"/>
          </w:tcPr>
          <w:p w14:paraId="2482CE60">
            <w:pPr>
              <w:snapToGrid w:val="0"/>
              <w:spacing w:line="380" w:lineRule="exact"/>
              <w:rPr>
                <w:rFonts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1683885E">
            <w:pPr>
              <w:snapToGrid w:val="0"/>
              <w:spacing w:line="380" w:lineRule="exact"/>
              <w:rPr>
                <w:rFonts w:ascii="宋体" w:hAnsi="宋体"/>
                <w:color w:val="auto"/>
                <w:szCs w:val="21"/>
                <w:highlight w:val="none"/>
              </w:rPr>
            </w:pPr>
            <w:r>
              <w:rPr>
                <w:rFonts w:hint="eastAsia" w:ascii="宋体" w:hAnsi="宋体"/>
                <w:color w:val="auto"/>
                <w:szCs w:val="21"/>
                <w:highlight w:val="none"/>
              </w:rPr>
              <w:t>（1）查询渠道：广西政府采购云平台“信用中国”网站(www.creditchina.gov.cn) 、中国政府采购网(www.ccgp.gov.cn)链接入口。</w:t>
            </w:r>
          </w:p>
          <w:p w14:paraId="36148787">
            <w:pPr>
              <w:snapToGrid w:val="0"/>
              <w:spacing w:line="380" w:lineRule="exact"/>
              <w:rPr>
                <w:rFonts w:ascii="宋体" w:hAnsi="宋体"/>
                <w:color w:val="auto"/>
                <w:szCs w:val="21"/>
                <w:highlight w:val="none"/>
              </w:rPr>
            </w:pPr>
            <w:r>
              <w:rPr>
                <w:rFonts w:hint="eastAsia" w:ascii="宋体" w:hAnsi="宋体"/>
                <w:color w:val="auto"/>
                <w:szCs w:val="21"/>
                <w:highlight w:val="none"/>
              </w:rPr>
              <w:t>（2）信用查询截止时点：资格审查结束前</w:t>
            </w:r>
          </w:p>
          <w:p w14:paraId="0F66B7B8">
            <w:pPr>
              <w:snapToGrid w:val="0"/>
              <w:spacing w:line="380" w:lineRule="exact"/>
              <w:rPr>
                <w:rFonts w:ascii="宋体" w:hAnsi="宋体"/>
                <w:color w:val="auto"/>
                <w:szCs w:val="21"/>
                <w:highlight w:val="none"/>
              </w:rPr>
            </w:pPr>
            <w:r>
              <w:rPr>
                <w:rFonts w:hint="eastAsia" w:ascii="宋体" w:hAnsi="宋体"/>
                <w:color w:val="auto"/>
                <w:szCs w:val="21"/>
                <w:highlight w:val="none"/>
              </w:rPr>
              <w:t>（3）查询记录和证据留存方式：在查询网站中直接截图查询记录，截图作为在“广西政府采购云”平台作为附件上传保存。</w:t>
            </w:r>
          </w:p>
          <w:p w14:paraId="514B9B0D">
            <w:pPr>
              <w:snapToGrid w:val="0"/>
              <w:spacing w:line="380" w:lineRule="exact"/>
              <w:rPr>
                <w:rFonts w:ascii="宋体" w:hAnsi="宋体"/>
                <w:color w:val="auto"/>
                <w:szCs w:val="21"/>
                <w:highlight w:val="none"/>
              </w:rPr>
            </w:pPr>
            <w:r>
              <w:rPr>
                <w:rFonts w:hint="eastAsia" w:ascii="宋体" w:hAnsi="宋体"/>
                <w:color w:val="auto"/>
                <w:szCs w:val="21"/>
                <w:highlight w:val="none"/>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color w:val="auto"/>
                <w:sz w:val="22"/>
                <w:highlight w:val="none"/>
              </w:rPr>
              <w:t>应当拒绝其参与政府采购活动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0F1C1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vAlign w:val="center"/>
          </w:tcPr>
          <w:p w14:paraId="34BDD678">
            <w:pPr>
              <w:spacing w:line="300" w:lineRule="exact"/>
              <w:jc w:val="center"/>
              <w:rPr>
                <w:b/>
                <w:color w:val="auto"/>
                <w:szCs w:val="21"/>
                <w:highlight w:val="none"/>
              </w:rPr>
            </w:pPr>
            <w:r>
              <w:rPr>
                <w:rFonts w:hint="eastAsia"/>
                <w:b/>
                <w:color w:val="auto"/>
                <w:szCs w:val="21"/>
                <w:highlight w:val="none"/>
              </w:rPr>
              <w:t>6.</w:t>
            </w:r>
            <w:r>
              <w:rPr>
                <w:b/>
                <w:color w:val="auto"/>
                <w:szCs w:val="21"/>
                <w:highlight w:val="none"/>
              </w:rPr>
              <w:t>3</w:t>
            </w:r>
            <w:r>
              <w:rPr>
                <w:rFonts w:hint="eastAsia"/>
                <w:b/>
                <w:color w:val="auto"/>
                <w:szCs w:val="21"/>
                <w:highlight w:val="none"/>
              </w:rPr>
              <w:t>.</w:t>
            </w:r>
            <w:r>
              <w:rPr>
                <w:b/>
                <w:color w:val="auto"/>
                <w:szCs w:val="21"/>
                <w:highlight w:val="none"/>
              </w:rPr>
              <w:t>5</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7ABD2AB3">
            <w:pPr>
              <w:spacing w:line="300" w:lineRule="exact"/>
              <w:jc w:val="center"/>
              <w:rPr>
                <w:color w:val="auto"/>
                <w:szCs w:val="21"/>
                <w:highlight w:val="none"/>
              </w:rPr>
            </w:pPr>
            <w:r>
              <w:rPr>
                <w:rFonts w:hint="eastAsia"/>
                <w:color w:val="auto"/>
                <w:szCs w:val="21"/>
                <w:highlight w:val="none"/>
              </w:rPr>
              <w:t>异常低价审查</w:t>
            </w:r>
          </w:p>
          <w:p w14:paraId="4C73135C">
            <w:pPr>
              <w:spacing w:line="300" w:lineRule="exact"/>
              <w:jc w:val="center"/>
              <w:rPr>
                <w:color w:val="auto"/>
                <w:szCs w:val="21"/>
                <w:highlight w:val="none"/>
              </w:rPr>
            </w:pPr>
          </w:p>
        </w:tc>
        <w:tc>
          <w:tcPr>
            <w:tcW w:w="7229" w:type="dxa"/>
            <w:tcBorders>
              <w:top w:val="single" w:color="auto" w:sz="4" w:space="0"/>
              <w:left w:val="single" w:color="auto" w:sz="4" w:space="0"/>
              <w:bottom w:val="single" w:color="auto" w:sz="4" w:space="0"/>
              <w:right w:val="single" w:color="auto" w:sz="4" w:space="0"/>
            </w:tcBorders>
            <w:shd w:val="clear" w:color="auto" w:fill="auto"/>
            <w:vAlign w:val="center"/>
          </w:tcPr>
          <w:p w14:paraId="107A1D2F">
            <w:pPr>
              <w:spacing w:line="300" w:lineRule="exact"/>
              <w:jc w:val="left"/>
              <w:rPr>
                <w:color w:val="auto"/>
                <w:szCs w:val="21"/>
                <w:highlight w:val="none"/>
              </w:rPr>
            </w:pPr>
            <w:r>
              <w:rPr>
                <w:rFonts w:hint="eastAsia"/>
                <w:color w:val="auto"/>
                <w:szCs w:val="21"/>
                <w:highlight w:val="none"/>
              </w:rPr>
              <w:t>☑评审中出现下列情形之一的，评审委员会应当启动异常低价响应审查程序：</w:t>
            </w:r>
          </w:p>
          <w:p w14:paraId="54499BEA">
            <w:pPr>
              <w:spacing w:line="276" w:lineRule="auto"/>
              <w:rPr>
                <w:color w:val="auto"/>
                <w:szCs w:val="21"/>
                <w:highlight w:val="none"/>
              </w:rPr>
            </w:pPr>
            <w:r>
              <w:rPr>
                <w:rFonts w:hint="eastAsia"/>
                <w:color w:val="auto"/>
                <w:szCs w:val="21"/>
                <w:highlight w:val="none"/>
              </w:rPr>
              <w:t>（1）投标（响应）报价低于全部通过符合性审查供应商投标（响应）报价平均值50%的，即投标（响应）报价&lt;全部通过符合性审查供应商投标（响应）报价平均值×50%；</w:t>
            </w:r>
          </w:p>
          <w:p w14:paraId="2076C069">
            <w:pPr>
              <w:spacing w:line="276" w:lineRule="auto"/>
              <w:rPr>
                <w:color w:val="auto"/>
                <w:szCs w:val="21"/>
                <w:highlight w:val="none"/>
              </w:rPr>
            </w:pPr>
            <w:r>
              <w:rPr>
                <w:rFonts w:hint="eastAsia"/>
                <w:color w:val="auto"/>
                <w:szCs w:val="21"/>
                <w:highlight w:val="none"/>
              </w:rPr>
              <w:t>（2）投标（响应）报价低于通过符合性审查的次低报价供应商投标（响应）报价50%的，即投标（响应）报价&lt;通过符合性审查的次低报价供应商投标（响应）报价×50%；</w:t>
            </w:r>
          </w:p>
          <w:p w14:paraId="2E72AAA1">
            <w:pPr>
              <w:spacing w:line="276" w:lineRule="auto"/>
              <w:rPr>
                <w:color w:val="auto"/>
                <w:szCs w:val="21"/>
                <w:highlight w:val="none"/>
              </w:rPr>
            </w:pPr>
            <w:r>
              <w:rPr>
                <w:rFonts w:hint="eastAsia"/>
                <w:color w:val="auto"/>
                <w:szCs w:val="21"/>
                <w:highlight w:val="none"/>
              </w:rPr>
              <w:t>（3）投标（响应）报价低于采购项目最高限价45%的，即投标（响应）报价&lt;采购项目最高限价×45%；</w:t>
            </w:r>
          </w:p>
          <w:p w14:paraId="277F7D8F">
            <w:pPr>
              <w:spacing w:line="276" w:lineRule="auto"/>
              <w:rPr>
                <w:color w:val="auto"/>
                <w:sz w:val="22"/>
                <w:szCs w:val="22"/>
                <w:highlight w:val="none"/>
              </w:rPr>
            </w:pPr>
            <w:r>
              <w:rPr>
                <w:rFonts w:hint="eastAsia"/>
                <w:color w:val="auto"/>
                <w:szCs w:val="21"/>
                <w:highlight w:val="none"/>
              </w:rPr>
              <w:t>（4）评审委员会基于专业判断，认为供应商报价过低，有可能影响产品质量或者不能诚信履约的其他情形。</w:t>
            </w:r>
          </w:p>
        </w:tc>
      </w:tr>
      <w:tr w14:paraId="2130B3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7C2F5689">
            <w:pPr>
              <w:spacing w:line="300" w:lineRule="exact"/>
              <w:jc w:val="center"/>
              <w:rPr>
                <w:b/>
                <w:color w:val="auto"/>
                <w:szCs w:val="21"/>
                <w:highlight w:val="none"/>
              </w:rPr>
            </w:pPr>
            <w:r>
              <w:rPr>
                <w:b/>
                <w:color w:val="auto"/>
                <w:szCs w:val="21"/>
                <w:highlight w:val="none"/>
              </w:rPr>
              <w:t>6.5</w:t>
            </w:r>
            <w:r>
              <w:rPr>
                <w:rFonts w:hint="eastAsia"/>
                <w:b/>
                <w:color w:val="auto"/>
                <w:szCs w:val="21"/>
                <w:highlight w:val="none"/>
              </w:rPr>
              <w:t>.1</w:t>
            </w:r>
          </w:p>
        </w:tc>
        <w:tc>
          <w:tcPr>
            <w:tcW w:w="1248" w:type="dxa"/>
            <w:tcBorders>
              <w:top w:val="single" w:color="auto" w:sz="4" w:space="0"/>
              <w:left w:val="single" w:color="auto" w:sz="4" w:space="0"/>
              <w:bottom w:val="single" w:color="auto" w:sz="4" w:space="0"/>
              <w:right w:val="single" w:color="auto" w:sz="4" w:space="0"/>
            </w:tcBorders>
            <w:vAlign w:val="center"/>
          </w:tcPr>
          <w:p w14:paraId="4213342C">
            <w:pPr>
              <w:spacing w:line="300" w:lineRule="exact"/>
              <w:jc w:val="center"/>
              <w:rPr>
                <w:color w:val="auto"/>
                <w:szCs w:val="21"/>
                <w:highlight w:val="none"/>
              </w:rPr>
            </w:pPr>
            <w:r>
              <w:rPr>
                <w:rFonts w:hint="eastAsia"/>
                <w:color w:val="auto"/>
                <w:szCs w:val="21"/>
                <w:highlight w:val="none"/>
              </w:rPr>
              <w:t>结果</w:t>
            </w:r>
            <w:r>
              <w:rPr>
                <w:color w:val="auto"/>
                <w:szCs w:val="21"/>
                <w:highlight w:val="none"/>
              </w:rPr>
              <w:t>公告</w:t>
            </w:r>
          </w:p>
        </w:tc>
        <w:tc>
          <w:tcPr>
            <w:tcW w:w="7229" w:type="dxa"/>
            <w:tcBorders>
              <w:top w:val="single" w:color="auto" w:sz="4" w:space="0"/>
              <w:left w:val="single" w:color="auto" w:sz="4" w:space="0"/>
              <w:bottom w:val="single" w:color="auto" w:sz="4" w:space="0"/>
              <w:right w:val="single" w:color="auto" w:sz="4" w:space="0"/>
            </w:tcBorders>
            <w:vAlign w:val="center"/>
          </w:tcPr>
          <w:p w14:paraId="34E4A43A">
            <w:pPr>
              <w:spacing w:line="300" w:lineRule="exact"/>
              <w:jc w:val="left"/>
              <w:rPr>
                <w:color w:val="auto"/>
                <w:szCs w:val="21"/>
                <w:highlight w:val="none"/>
              </w:rPr>
            </w:pPr>
            <w:r>
              <w:rPr>
                <w:color w:val="auto"/>
                <w:szCs w:val="21"/>
                <w:highlight w:val="none"/>
              </w:rPr>
              <w:t>采购代理机构在采购人依法确认中标人后2个工作日内在招标公告发布的媒体上发布</w:t>
            </w:r>
            <w:r>
              <w:rPr>
                <w:rFonts w:hint="eastAsia"/>
                <w:color w:val="auto"/>
                <w:szCs w:val="21"/>
                <w:highlight w:val="none"/>
              </w:rPr>
              <w:t>结果</w:t>
            </w:r>
            <w:r>
              <w:rPr>
                <w:color w:val="auto"/>
                <w:szCs w:val="21"/>
                <w:highlight w:val="none"/>
              </w:rPr>
              <w:t>公告</w:t>
            </w:r>
            <w:r>
              <w:rPr>
                <w:rFonts w:hint="eastAsia"/>
                <w:color w:val="auto"/>
                <w:szCs w:val="21"/>
                <w:highlight w:val="none"/>
              </w:rPr>
              <w:t>。</w:t>
            </w:r>
          </w:p>
        </w:tc>
      </w:tr>
      <w:tr w14:paraId="0C1E20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4D68DD2A">
            <w:pPr>
              <w:spacing w:line="300" w:lineRule="exact"/>
              <w:jc w:val="center"/>
              <w:rPr>
                <w:b/>
                <w:color w:val="auto"/>
                <w:szCs w:val="21"/>
                <w:highlight w:val="none"/>
              </w:rPr>
            </w:pPr>
            <w:r>
              <w:rPr>
                <w:b/>
                <w:color w:val="auto"/>
                <w:szCs w:val="21"/>
                <w:highlight w:val="none"/>
              </w:rPr>
              <w:t>6.5.2</w:t>
            </w:r>
          </w:p>
        </w:tc>
        <w:tc>
          <w:tcPr>
            <w:tcW w:w="1248" w:type="dxa"/>
            <w:tcBorders>
              <w:top w:val="single" w:color="auto" w:sz="4" w:space="0"/>
              <w:left w:val="single" w:color="auto" w:sz="4" w:space="0"/>
              <w:bottom w:val="single" w:color="auto" w:sz="4" w:space="0"/>
              <w:right w:val="single" w:color="auto" w:sz="4" w:space="0"/>
            </w:tcBorders>
            <w:vAlign w:val="center"/>
          </w:tcPr>
          <w:p w14:paraId="606B4681">
            <w:pPr>
              <w:spacing w:line="300" w:lineRule="exact"/>
              <w:jc w:val="center"/>
              <w:rPr>
                <w:color w:val="auto"/>
                <w:szCs w:val="21"/>
                <w:highlight w:val="none"/>
              </w:rPr>
            </w:pPr>
            <w:r>
              <w:rPr>
                <w:rFonts w:hint="eastAsia"/>
                <w:color w:val="auto"/>
                <w:szCs w:val="21"/>
                <w:highlight w:val="none"/>
              </w:rPr>
              <w:t>中标通知书</w:t>
            </w:r>
          </w:p>
        </w:tc>
        <w:tc>
          <w:tcPr>
            <w:tcW w:w="7229" w:type="dxa"/>
            <w:tcBorders>
              <w:top w:val="single" w:color="auto" w:sz="4" w:space="0"/>
              <w:left w:val="single" w:color="auto" w:sz="4" w:space="0"/>
              <w:bottom w:val="single" w:color="auto" w:sz="4" w:space="0"/>
              <w:right w:val="single" w:color="auto" w:sz="4" w:space="0"/>
            </w:tcBorders>
            <w:vAlign w:val="center"/>
          </w:tcPr>
          <w:p w14:paraId="74DC3B9B">
            <w:pPr>
              <w:spacing w:line="300" w:lineRule="exact"/>
              <w:jc w:val="left"/>
              <w:rPr>
                <w:color w:val="auto"/>
                <w:szCs w:val="21"/>
                <w:highlight w:val="none"/>
              </w:rPr>
            </w:pPr>
            <w:r>
              <w:rPr>
                <w:rFonts w:hint="eastAsia"/>
                <w:color w:val="auto"/>
                <w:szCs w:val="21"/>
                <w:highlight w:val="none"/>
              </w:rPr>
              <w:t>采购代理机构通过广西政府采购云平台发出</w:t>
            </w:r>
            <w:r>
              <w:rPr>
                <w:color w:val="auto"/>
                <w:szCs w:val="21"/>
                <w:highlight w:val="none"/>
              </w:rPr>
              <w:t>中标通知书。</w:t>
            </w:r>
          </w:p>
          <w:p w14:paraId="1D7509BC">
            <w:pPr>
              <w:spacing w:line="300" w:lineRule="exact"/>
              <w:jc w:val="left"/>
              <w:rPr>
                <w:color w:val="auto"/>
                <w:szCs w:val="21"/>
                <w:highlight w:val="none"/>
              </w:rPr>
            </w:pPr>
            <w:r>
              <w:rPr>
                <w:rFonts w:hint="eastAsia"/>
                <w:color w:val="auto"/>
                <w:szCs w:val="21"/>
                <w:highlight w:val="none"/>
              </w:rPr>
              <w:t>中标通知书在广西政府采购云平台推送之日起，视为中标人已收到，中标人自行承担未及时查收的后果。</w:t>
            </w:r>
          </w:p>
        </w:tc>
      </w:tr>
      <w:tr w14:paraId="6549C7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739A1E58">
            <w:pPr>
              <w:spacing w:line="300" w:lineRule="exact"/>
              <w:jc w:val="center"/>
              <w:rPr>
                <w:b/>
                <w:color w:val="auto"/>
                <w:szCs w:val="21"/>
                <w:highlight w:val="none"/>
              </w:rPr>
            </w:pPr>
            <w:r>
              <w:rPr>
                <w:b/>
                <w:color w:val="auto"/>
                <w:szCs w:val="21"/>
                <w:highlight w:val="none"/>
              </w:rPr>
              <w:t>6.5.3</w:t>
            </w:r>
          </w:p>
        </w:tc>
        <w:tc>
          <w:tcPr>
            <w:tcW w:w="1248" w:type="dxa"/>
            <w:tcBorders>
              <w:top w:val="single" w:color="auto" w:sz="4" w:space="0"/>
              <w:left w:val="single" w:color="auto" w:sz="4" w:space="0"/>
              <w:bottom w:val="single" w:color="auto" w:sz="4" w:space="0"/>
              <w:right w:val="single" w:color="auto" w:sz="4" w:space="0"/>
            </w:tcBorders>
            <w:vAlign w:val="center"/>
          </w:tcPr>
          <w:p w14:paraId="6CBCA1E3">
            <w:pPr>
              <w:spacing w:line="300" w:lineRule="exact"/>
              <w:jc w:val="center"/>
              <w:rPr>
                <w:color w:val="auto"/>
                <w:szCs w:val="21"/>
                <w:highlight w:val="none"/>
              </w:rPr>
            </w:pPr>
            <w:r>
              <w:rPr>
                <w:rFonts w:hint="eastAsia"/>
                <w:color w:val="auto"/>
                <w:szCs w:val="21"/>
                <w:highlight w:val="none"/>
              </w:rPr>
              <w:t>招标结果通知书</w:t>
            </w:r>
          </w:p>
        </w:tc>
        <w:tc>
          <w:tcPr>
            <w:tcW w:w="7229" w:type="dxa"/>
            <w:tcBorders>
              <w:top w:val="single" w:color="auto" w:sz="4" w:space="0"/>
              <w:left w:val="single" w:color="auto" w:sz="4" w:space="0"/>
              <w:bottom w:val="single" w:color="auto" w:sz="4" w:space="0"/>
              <w:right w:val="single" w:color="auto" w:sz="4" w:space="0"/>
            </w:tcBorders>
            <w:vAlign w:val="center"/>
          </w:tcPr>
          <w:p w14:paraId="26EB40AE">
            <w:pPr>
              <w:spacing w:line="300" w:lineRule="exact"/>
              <w:jc w:val="left"/>
              <w:rPr>
                <w:color w:val="auto"/>
                <w:szCs w:val="21"/>
                <w:highlight w:val="none"/>
              </w:rPr>
            </w:pPr>
            <w:r>
              <w:rPr>
                <w:rFonts w:hint="eastAsia"/>
                <w:color w:val="auto"/>
                <w:szCs w:val="21"/>
                <w:highlight w:val="none"/>
              </w:rPr>
              <w:t>采购代理机构通过广西政府采购云平台发出招标结果</w:t>
            </w:r>
            <w:r>
              <w:rPr>
                <w:color w:val="auto"/>
                <w:szCs w:val="21"/>
                <w:highlight w:val="none"/>
              </w:rPr>
              <w:t>通知书</w:t>
            </w:r>
          </w:p>
          <w:p w14:paraId="698C7796">
            <w:pPr>
              <w:spacing w:line="300" w:lineRule="exact"/>
              <w:jc w:val="left"/>
              <w:rPr>
                <w:color w:val="auto"/>
                <w:szCs w:val="21"/>
                <w:highlight w:val="none"/>
              </w:rPr>
            </w:pPr>
            <w:r>
              <w:rPr>
                <w:rFonts w:hint="eastAsia"/>
                <w:color w:val="auto"/>
                <w:szCs w:val="21"/>
                <w:highlight w:val="none"/>
              </w:rPr>
              <w:t>招标结果通知书在广西政府采购云平台推送之日起，视为中标人已收到，中标人自行承担未及时查收的后果。</w:t>
            </w:r>
            <w:r>
              <w:rPr>
                <w:color w:val="auto"/>
                <w:szCs w:val="21"/>
                <w:highlight w:val="none"/>
              </w:rPr>
              <w:t xml:space="preserve"> </w:t>
            </w:r>
          </w:p>
        </w:tc>
      </w:tr>
      <w:tr w14:paraId="02A8F1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3108FE6D">
            <w:pPr>
              <w:spacing w:line="300" w:lineRule="exact"/>
              <w:jc w:val="center"/>
              <w:rPr>
                <w:b/>
                <w:color w:val="auto"/>
                <w:szCs w:val="21"/>
                <w:highlight w:val="none"/>
              </w:rPr>
            </w:pPr>
            <w:r>
              <w:rPr>
                <w:b/>
                <w:color w:val="auto"/>
                <w:szCs w:val="21"/>
                <w:highlight w:val="none"/>
              </w:rPr>
              <w:t>8.1</w:t>
            </w:r>
          </w:p>
        </w:tc>
        <w:tc>
          <w:tcPr>
            <w:tcW w:w="1248" w:type="dxa"/>
            <w:tcBorders>
              <w:top w:val="single" w:color="auto" w:sz="4" w:space="0"/>
              <w:left w:val="single" w:color="auto" w:sz="4" w:space="0"/>
              <w:bottom w:val="single" w:color="auto" w:sz="4" w:space="0"/>
              <w:right w:val="single" w:color="auto" w:sz="4" w:space="0"/>
            </w:tcBorders>
            <w:vAlign w:val="center"/>
          </w:tcPr>
          <w:p w14:paraId="354B6172">
            <w:pPr>
              <w:spacing w:line="300" w:lineRule="exact"/>
              <w:jc w:val="center"/>
              <w:rPr>
                <w:color w:val="auto"/>
                <w:szCs w:val="21"/>
                <w:highlight w:val="none"/>
              </w:rPr>
            </w:pPr>
            <w:r>
              <w:rPr>
                <w:rFonts w:hint="eastAsia"/>
                <w:color w:val="auto"/>
                <w:szCs w:val="21"/>
                <w:highlight w:val="none"/>
              </w:rPr>
              <w:t>质疑</w:t>
            </w:r>
          </w:p>
        </w:tc>
        <w:tc>
          <w:tcPr>
            <w:tcW w:w="7229" w:type="dxa"/>
            <w:tcBorders>
              <w:top w:val="single" w:color="auto" w:sz="4" w:space="0"/>
              <w:left w:val="single" w:color="auto" w:sz="4" w:space="0"/>
              <w:bottom w:val="single" w:color="auto" w:sz="4" w:space="0"/>
              <w:right w:val="single" w:color="auto" w:sz="4" w:space="0"/>
            </w:tcBorders>
            <w:vAlign w:val="center"/>
          </w:tcPr>
          <w:p w14:paraId="60BD6362">
            <w:pPr>
              <w:spacing w:line="300" w:lineRule="exact"/>
              <w:jc w:val="left"/>
              <w:rPr>
                <w:color w:val="auto"/>
                <w:szCs w:val="21"/>
                <w:highlight w:val="none"/>
              </w:rPr>
            </w:pPr>
            <w:r>
              <w:rPr>
                <w:rFonts w:hint="eastAsia"/>
                <w:color w:val="auto"/>
                <w:szCs w:val="21"/>
                <w:highlight w:val="none"/>
              </w:rPr>
              <w:t>（1）供应商</w:t>
            </w:r>
            <w:r>
              <w:rPr>
                <w:color w:val="auto"/>
                <w:szCs w:val="21"/>
                <w:highlight w:val="none"/>
              </w:rPr>
              <w:t>认为</w:t>
            </w:r>
            <w:r>
              <w:rPr>
                <w:rFonts w:hint="eastAsia"/>
                <w:color w:val="auto"/>
                <w:szCs w:val="21"/>
                <w:highlight w:val="none"/>
              </w:rPr>
              <w:t>招标文件</w:t>
            </w:r>
            <w:r>
              <w:rPr>
                <w:color w:val="auto"/>
                <w:szCs w:val="21"/>
                <w:highlight w:val="none"/>
              </w:rPr>
              <w:t>、</w:t>
            </w:r>
            <w:r>
              <w:rPr>
                <w:rFonts w:hint="eastAsia"/>
                <w:color w:val="auto"/>
                <w:szCs w:val="21"/>
                <w:highlight w:val="none"/>
              </w:rPr>
              <w:t>采购</w:t>
            </w:r>
            <w:r>
              <w:rPr>
                <w:color w:val="auto"/>
                <w:szCs w:val="21"/>
                <w:highlight w:val="none"/>
              </w:rPr>
              <w:t>过程、中标</w:t>
            </w:r>
            <w:r>
              <w:rPr>
                <w:rFonts w:hint="eastAsia"/>
                <w:color w:val="auto"/>
                <w:szCs w:val="21"/>
                <w:highlight w:val="none"/>
              </w:rPr>
              <w:t>或者成交</w:t>
            </w:r>
            <w:r>
              <w:rPr>
                <w:color w:val="auto"/>
                <w:szCs w:val="21"/>
                <w:highlight w:val="none"/>
              </w:rPr>
              <w:t>结果使自己的权益受到损害的，可以在知道或者应知其权益受到损害之日起7个工作日内，</w:t>
            </w:r>
            <w:r>
              <w:rPr>
                <w:rFonts w:hint="eastAsia"/>
                <w:color w:val="auto"/>
                <w:szCs w:val="21"/>
                <w:highlight w:val="none"/>
              </w:rPr>
              <w:t>通过以下方式</w:t>
            </w:r>
            <w:r>
              <w:rPr>
                <w:color w:val="auto"/>
                <w:szCs w:val="21"/>
                <w:highlight w:val="none"/>
              </w:rPr>
              <w:t>向采购人、采购代理机构提出质疑。提出质疑的</w:t>
            </w:r>
            <w:r>
              <w:rPr>
                <w:rFonts w:hint="eastAsia"/>
                <w:color w:val="auto"/>
                <w:szCs w:val="21"/>
                <w:highlight w:val="none"/>
              </w:rPr>
              <w:t>供应商</w:t>
            </w:r>
            <w:r>
              <w:rPr>
                <w:color w:val="auto"/>
                <w:szCs w:val="21"/>
                <w:highlight w:val="none"/>
              </w:rPr>
              <w:t>必须是参与本项目采购活动的供应商</w:t>
            </w:r>
            <w:r>
              <w:rPr>
                <w:rFonts w:hint="eastAsia"/>
                <w:color w:val="auto"/>
                <w:szCs w:val="21"/>
                <w:highlight w:val="none"/>
              </w:rPr>
              <w:t>，并须在</w:t>
            </w:r>
            <w:r>
              <w:rPr>
                <w:color w:val="auto"/>
                <w:szCs w:val="21"/>
                <w:highlight w:val="none"/>
              </w:rPr>
              <w:t>法定质疑期内一次性提出针对同一采购程序环节的质疑。质疑函应使用财政部发布的</w:t>
            </w:r>
            <w:r>
              <w:rPr>
                <w:rFonts w:hint="eastAsia"/>
                <w:color w:val="auto"/>
                <w:szCs w:val="21"/>
                <w:highlight w:val="none"/>
              </w:rPr>
              <w:t>政府采购供应商质疑函范本，并应按照“质疑函制作说明”进行制作。</w:t>
            </w:r>
          </w:p>
          <w:p w14:paraId="6F4D49F4">
            <w:pPr>
              <w:spacing w:line="300" w:lineRule="exact"/>
              <w:jc w:val="left"/>
              <w:rPr>
                <w:color w:val="auto"/>
                <w:szCs w:val="21"/>
                <w:highlight w:val="none"/>
              </w:rPr>
            </w:pPr>
            <w:r>
              <w:rPr>
                <w:rFonts w:hint="eastAsia"/>
                <w:color w:val="auto"/>
                <w:szCs w:val="21"/>
                <w:highlight w:val="none"/>
              </w:rPr>
              <w:t>（2）</w:t>
            </w:r>
            <w:r>
              <w:rPr>
                <w:color w:val="auto"/>
                <w:szCs w:val="21"/>
                <w:highlight w:val="none"/>
              </w:rPr>
              <w:t>本项目不接受传真、移动通信</w:t>
            </w:r>
            <w:r>
              <w:rPr>
                <w:rFonts w:hint="eastAsia"/>
                <w:color w:val="auto"/>
                <w:szCs w:val="21"/>
                <w:highlight w:val="none"/>
              </w:rPr>
              <w:t>、广西政府采购云平台</w:t>
            </w:r>
            <w:r>
              <w:rPr>
                <w:color w:val="auto"/>
                <w:szCs w:val="21"/>
                <w:highlight w:val="none"/>
              </w:rPr>
              <w:t>等</w:t>
            </w:r>
            <w:r>
              <w:rPr>
                <w:rFonts w:hint="eastAsia"/>
                <w:color w:val="auto"/>
                <w:szCs w:val="21"/>
                <w:highlight w:val="none"/>
              </w:rPr>
              <w:t>方式</w:t>
            </w:r>
            <w:r>
              <w:rPr>
                <w:color w:val="auto"/>
                <w:szCs w:val="21"/>
                <w:highlight w:val="none"/>
              </w:rPr>
              <w:t>送达的质疑材料</w:t>
            </w:r>
            <w:r>
              <w:rPr>
                <w:rFonts w:hint="eastAsia"/>
                <w:color w:val="auto"/>
                <w:szCs w:val="21"/>
                <w:highlight w:val="none"/>
              </w:rPr>
              <w:t>，供应商可通过现场或邮寄方式递交书面质疑材料。供应商应于质疑有效期内将质疑函原件递交或邮寄至招标公告中采购代理机构信息中的联系人。</w:t>
            </w:r>
          </w:p>
        </w:tc>
      </w:tr>
      <w:tr w14:paraId="74A65A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2" w:hRule="atLeast"/>
        </w:trPr>
        <w:tc>
          <w:tcPr>
            <w:tcW w:w="737" w:type="dxa"/>
            <w:tcBorders>
              <w:top w:val="single" w:color="auto" w:sz="4" w:space="0"/>
              <w:left w:val="single" w:color="auto" w:sz="4" w:space="0"/>
              <w:bottom w:val="single" w:color="auto" w:sz="4" w:space="0"/>
              <w:right w:val="single" w:color="auto" w:sz="4" w:space="0"/>
            </w:tcBorders>
            <w:vAlign w:val="center"/>
          </w:tcPr>
          <w:p w14:paraId="0A7DA29A">
            <w:pPr>
              <w:spacing w:line="300" w:lineRule="exact"/>
              <w:jc w:val="center"/>
              <w:rPr>
                <w:b/>
                <w:color w:val="auto"/>
                <w:szCs w:val="21"/>
                <w:highlight w:val="none"/>
              </w:rPr>
            </w:pPr>
            <w:r>
              <w:rPr>
                <w:b/>
                <w:color w:val="auto"/>
                <w:szCs w:val="21"/>
                <w:highlight w:val="none"/>
              </w:rPr>
              <w:t>9.1</w:t>
            </w:r>
          </w:p>
        </w:tc>
        <w:tc>
          <w:tcPr>
            <w:tcW w:w="1248" w:type="dxa"/>
            <w:tcBorders>
              <w:top w:val="single" w:color="auto" w:sz="4" w:space="0"/>
              <w:left w:val="single" w:color="auto" w:sz="4" w:space="0"/>
              <w:bottom w:val="single" w:color="auto" w:sz="4" w:space="0"/>
              <w:right w:val="single" w:color="auto" w:sz="4" w:space="0"/>
            </w:tcBorders>
            <w:vAlign w:val="center"/>
          </w:tcPr>
          <w:p w14:paraId="7176C50F">
            <w:pPr>
              <w:spacing w:line="300" w:lineRule="exact"/>
              <w:jc w:val="center"/>
              <w:rPr>
                <w:color w:val="auto"/>
                <w:szCs w:val="21"/>
                <w:highlight w:val="none"/>
              </w:rPr>
            </w:pPr>
            <w:r>
              <w:rPr>
                <w:color w:val="auto"/>
                <w:szCs w:val="20"/>
                <w:highlight w:val="none"/>
              </w:rPr>
              <w:t>代理服务费</w:t>
            </w:r>
          </w:p>
        </w:tc>
        <w:tc>
          <w:tcPr>
            <w:tcW w:w="7229" w:type="dxa"/>
            <w:tcBorders>
              <w:top w:val="single" w:color="auto" w:sz="4" w:space="0"/>
              <w:left w:val="single" w:color="auto" w:sz="4" w:space="0"/>
              <w:bottom w:val="single" w:color="auto" w:sz="4" w:space="0"/>
              <w:right w:val="single" w:color="auto" w:sz="4" w:space="0"/>
            </w:tcBorders>
            <w:vAlign w:val="center"/>
          </w:tcPr>
          <w:p w14:paraId="0FD775B2">
            <w:pPr>
              <w:rPr>
                <w:color w:val="auto"/>
                <w:szCs w:val="21"/>
                <w:highlight w:val="none"/>
              </w:rPr>
            </w:pPr>
            <w:r>
              <w:rPr>
                <w:color w:val="auto"/>
                <w:szCs w:val="21"/>
                <w:highlight w:val="none"/>
              </w:rPr>
              <w:t>（1）</w:t>
            </w:r>
            <w:r>
              <w:rPr>
                <w:color w:val="auto"/>
                <w:szCs w:val="20"/>
                <w:highlight w:val="none"/>
              </w:rPr>
              <w:t>代理服务费</w:t>
            </w:r>
          </w:p>
          <w:p w14:paraId="1BA14DB7">
            <w:pPr>
              <w:spacing w:line="300" w:lineRule="exact"/>
              <w:jc w:val="left"/>
              <w:rPr>
                <w:color w:val="auto"/>
                <w:szCs w:val="21"/>
                <w:highlight w:val="none"/>
              </w:rPr>
            </w:pPr>
            <w:r>
              <w:rPr>
                <w:rFonts w:ascii="Wingdings 2" w:hAnsi="Wingdings 2"/>
                <w:color w:val="auto"/>
                <w:szCs w:val="21"/>
                <w:highlight w:val="none"/>
              </w:rPr>
              <w:sym w:font="Wingdings 2" w:char="F052"/>
            </w:r>
            <w:r>
              <w:rPr>
                <w:color w:val="auto"/>
                <w:szCs w:val="21"/>
                <w:highlight w:val="none"/>
              </w:rPr>
              <w:t>采购代理机构向中标人收取代理服务费。本项目代理服务费</w:t>
            </w:r>
            <w:r>
              <w:rPr>
                <w:rFonts w:hint="eastAsia"/>
                <w:color w:val="auto"/>
                <w:szCs w:val="21"/>
                <w:highlight w:val="none"/>
              </w:rPr>
              <w:t>按照</w:t>
            </w:r>
            <w:r>
              <w:rPr>
                <w:color w:val="auto"/>
                <w:szCs w:val="21"/>
                <w:highlight w:val="none"/>
              </w:rPr>
              <w:t>《招标代理服务费管理暂行办法》 (计价格﹝2002﹞1980号)、《国家发展改革委关于降低部分建设项目收费标准规范收费行为等有关问题的通知》(发改价格﹝2011﹞534号)</w:t>
            </w:r>
            <w:r>
              <w:rPr>
                <w:rFonts w:hint="eastAsia"/>
                <w:color w:val="auto"/>
                <w:szCs w:val="21"/>
                <w:highlight w:val="none"/>
              </w:rPr>
              <w:t>的</w:t>
            </w:r>
            <w:r>
              <w:rPr>
                <w:color w:val="auto"/>
                <w:szCs w:val="21"/>
                <w:highlight w:val="none"/>
              </w:rPr>
              <w:t>规定</w:t>
            </w:r>
            <w:r>
              <w:rPr>
                <w:rFonts w:hint="eastAsia"/>
                <w:color w:val="auto"/>
                <w:szCs w:val="21"/>
                <w:highlight w:val="none"/>
              </w:rPr>
              <w:t>采用</w:t>
            </w:r>
            <w:r>
              <w:rPr>
                <w:color w:val="auto"/>
                <w:szCs w:val="21"/>
                <w:highlight w:val="none"/>
              </w:rPr>
              <w:t>差额定率累进</w:t>
            </w:r>
            <w:r>
              <w:rPr>
                <w:rFonts w:hint="eastAsia"/>
                <w:color w:val="auto"/>
                <w:szCs w:val="21"/>
                <w:highlight w:val="none"/>
              </w:rPr>
              <w:t>法</w:t>
            </w:r>
            <w:r>
              <w:rPr>
                <w:color w:val="auto"/>
                <w:szCs w:val="21"/>
                <w:highlight w:val="none"/>
              </w:rPr>
              <w:t>计算</w:t>
            </w:r>
            <w:r>
              <w:rPr>
                <w:rFonts w:hint="eastAsia"/>
                <w:color w:val="auto"/>
                <w:szCs w:val="21"/>
                <w:highlight w:val="none"/>
              </w:rPr>
              <w:t>。</w:t>
            </w:r>
            <w:r>
              <w:rPr>
                <w:color w:val="auto"/>
                <w:szCs w:val="21"/>
                <w:highlight w:val="none"/>
              </w:rPr>
              <w:t>具体费率</w:t>
            </w:r>
            <w:r>
              <w:rPr>
                <w:rFonts w:hint="eastAsia"/>
                <w:color w:val="auto"/>
                <w:szCs w:val="21"/>
                <w:highlight w:val="none"/>
              </w:rPr>
              <w:t>如下：</w:t>
            </w:r>
          </w:p>
          <w:p w14:paraId="0A7B6AA4">
            <w:pPr>
              <w:spacing w:line="300" w:lineRule="exact"/>
              <w:jc w:val="left"/>
              <w:rPr>
                <w:color w:val="auto"/>
                <w:szCs w:val="21"/>
                <w:highlight w:val="none"/>
              </w:rPr>
            </w:pPr>
            <w:r>
              <w:rPr>
                <w:rFonts w:hint="eastAsia"/>
                <w:color w:val="auto"/>
                <w:szCs w:val="21"/>
                <w:highlight w:val="none"/>
              </w:rPr>
              <w:t>①中标金额在1</w:t>
            </w:r>
            <w:r>
              <w:rPr>
                <w:color w:val="auto"/>
                <w:szCs w:val="21"/>
                <w:highlight w:val="none"/>
              </w:rPr>
              <w:t>00</w:t>
            </w:r>
            <w:r>
              <w:rPr>
                <w:rFonts w:hint="eastAsia"/>
                <w:color w:val="auto"/>
                <w:szCs w:val="21"/>
                <w:highlight w:val="none"/>
              </w:rPr>
              <w:t>万元以下的：</w:t>
            </w:r>
          </w:p>
          <w:p w14:paraId="2857B20D">
            <w:pPr>
              <w:spacing w:line="300" w:lineRule="exact"/>
              <w:jc w:val="left"/>
              <w:rPr>
                <w:color w:val="auto"/>
                <w:szCs w:val="21"/>
                <w:highlight w:val="none"/>
              </w:rPr>
            </w:pPr>
            <w:r>
              <w:rPr>
                <w:rFonts w:hint="eastAsia"/>
                <w:color w:val="auto"/>
                <w:szCs w:val="21"/>
                <w:highlight w:val="none"/>
              </w:rPr>
              <w:t>货物</w:t>
            </w:r>
            <w:r>
              <w:rPr>
                <w:color w:val="auto"/>
                <w:szCs w:val="21"/>
                <w:highlight w:val="none"/>
              </w:rPr>
              <w:t>1.5％</w:t>
            </w:r>
            <w:r>
              <w:rPr>
                <w:rFonts w:hint="eastAsia"/>
                <w:color w:val="auto"/>
                <w:szCs w:val="21"/>
                <w:highlight w:val="none"/>
              </w:rPr>
              <w:t>；</w:t>
            </w:r>
            <w:r>
              <w:rPr>
                <w:color w:val="auto"/>
                <w:szCs w:val="21"/>
                <w:highlight w:val="none"/>
              </w:rPr>
              <w:t>服务招标1.5％</w:t>
            </w:r>
            <w:r>
              <w:rPr>
                <w:rFonts w:hint="eastAsia"/>
                <w:color w:val="auto"/>
                <w:szCs w:val="21"/>
                <w:highlight w:val="none"/>
              </w:rPr>
              <w:t>；</w:t>
            </w:r>
            <w:r>
              <w:rPr>
                <w:color w:val="auto"/>
                <w:szCs w:val="21"/>
                <w:highlight w:val="none"/>
              </w:rPr>
              <w:t>工程招标1.0％</w:t>
            </w:r>
            <w:r>
              <w:rPr>
                <w:rFonts w:hint="eastAsia"/>
                <w:color w:val="auto"/>
                <w:szCs w:val="21"/>
                <w:highlight w:val="none"/>
              </w:rPr>
              <w:t>；</w:t>
            </w:r>
          </w:p>
          <w:p w14:paraId="5CC54B93">
            <w:pPr>
              <w:spacing w:line="300" w:lineRule="exact"/>
              <w:jc w:val="left"/>
              <w:rPr>
                <w:color w:val="auto"/>
                <w:szCs w:val="21"/>
                <w:highlight w:val="none"/>
              </w:rPr>
            </w:pPr>
            <w:r>
              <w:rPr>
                <w:rFonts w:hint="eastAsia"/>
                <w:color w:val="auto"/>
                <w:szCs w:val="21"/>
                <w:highlight w:val="none"/>
              </w:rPr>
              <w:t>②中标金额在</w:t>
            </w:r>
            <w:r>
              <w:rPr>
                <w:color w:val="auto"/>
                <w:szCs w:val="21"/>
                <w:highlight w:val="none"/>
              </w:rPr>
              <w:t>100-500</w:t>
            </w:r>
            <w:r>
              <w:rPr>
                <w:rFonts w:hint="eastAsia"/>
                <w:color w:val="auto"/>
                <w:szCs w:val="21"/>
                <w:highlight w:val="none"/>
              </w:rPr>
              <w:t>万元之间：</w:t>
            </w:r>
          </w:p>
          <w:p w14:paraId="6799F021">
            <w:pPr>
              <w:spacing w:line="300" w:lineRule="exact"/>
              <w:jc w:val="left"/>
              <w:rPr>
                <w:color w:val="auto"/>
                <w:szCs w:val="21"/>
                <w:highlight w:val="none"/>
              </w:rPr>
            </w:pPr>
            <w:r>
              <w:rPr>
                <w:rFonts w:hint="eastAsia"/>
                <w:color w:val="auto"/>
                <w:szCs w:val="21"/>
                <w:highlight w:val="none"/>
              </w:rPr>
              <w:t>货物</w:t>
            </w:r>
            <w:r>
              <w:rPr>
                <w:color w:val="auto"/>
                <w:szCs w:val="21"/>
                <w:highlight w:val="none"/>
              </w:rPr>
              <w:t>1.1％</w:t>
            </w:r>
            <w:r>
              <w:rPr>
                <w:rFonts w:hint="eastAsia"/>
                <w:color w:val="auto"/>
                <w:szCs w:val="21"/>
                <w:highlight w:val="none"/>
              </w:rPr>
              <w:t>；</w:t>
            </w:r>
            <w:r>
              <w:rPr>
                <w:color w:val="auto"/>
                <w:szCs w:val="21"/>
                <w:highlight w:val="none"/>
              </w:rPr>
              <w:t>服务招标0.8％</w:t>
            </w:r>
            <w:r>
              <w:rPr>
                <w:rFonts w:hint="eastAsia"/>
                <w:color w:val="auto"/>
                <w:szCs w:val="21"/>
                <w:highlight w:val="none"/>
              </w:rPr>
              <w:t>；</w:t>
            </w:r>
            <w:r>
              <w:rPr>
                <w:color w:val="auto"/>
                <w:szCs w:val="21"/>
                <w:highlight w:val="none"/>
              </w:rPr>
              <w:t>工程招标0.7％</w:t>
            </w:r>
            <w:r>
              <w:rPr>
                <w:rFonts w:hint="eastAsia"/>
                <w:color w:val="auto"/>
                <w:szCs w:val="21"/>
                <w:highlight w:val="none"/>
              </w:rPr>
              <w:t>；</w:t>
            </w:r>
          </w:p>
          <w:p w14:paraId="30BEC5AD">
            <w:pPr>
              <w:spacing w:line="300" w:lineRule="exact"/>
              <w:jc w:val="left"/>
              <w:rPr>
                <w:color w:val="auto"/>
                <w:szCs w:val="21"/>
                <w:highlight w:val="none"/>
              </w:rPr>
            </w:pPr>
            <w:r>
              <w:rPr>
                <w:rFonts w:hint="eastAsia"/>
                <w:color w:val="auto"/>
                <w:szCs w:val="21"/>
                <w:highlight w:val="none"/>
              </w:rPr>
              <w:t>③中标金额在</w:t>
            </w:r>
            <w:r>
              <w:rPr>
                <w:color w:val="auto"/>
                <w:szCs w:val="21"/>
                <w:highlight w:val="none"/>
              </w:rPr>
              <w:t>5</w:t>
            </w:r>
            <w:r>
              <w:rPr>
                <w:rFonts w:hint="eastAsia"/>
                <w:color w:val="auto"/>
                <w:szCs w:val="21"/>
                <w:highlight w:val="none"/>
              </w:rPr>
              <w:t>0</w:t>
            </w:r>
            <w:r>
              <w:rPr>
                <w:color w:val="auto"/>
                <w:szCs w:val="21"/>
                <w:highlight w:val="none"/>
              </w:rPr>
              <w:t>0-1</w:t>
            </w:r>
            <w:r>
              <w:rPr>
                <w:rFonts w:hint="eastAsia"/>
                <w:color w:val="auto"/>
                <w:szCs w:val="21"/>
                <w:highlight w:val="none"/>
              </w:rPr>
              <w:t>00</w:t>
            </w:r>
            <w:r>
              <w:rPr>
                <w:color w:val="auto"/>
                <w:szCs w:val="21"/>
                <w:highlight w:val="none"/>
              </w:rPr>
              <w:t>0</w:t>
            </w:r>
            <w:r>
              <w:rPr>
                <w:rFonts w:hint="eastAsia"/>
                <w:color w:val="auto"/>
                <w:szCs w:val="21"/>
                <w:highlight w:val="none"/>
              </w:rPr>
              <w:t>万元之间：</w:t>
            </w:r>
          </w:p>
          <w:p w14:paraId="11568C16">
            <w:pPr>
              <w:spacing w:line="300" w:lineRule="exact"/>
              <w:jc w:val="left"/>
              <w:rPr>
                <w:color w:val="auto"/>
                <w:szCs w:val="21"/>
                <w:highlight w:val="none"/>
              </w:rPr>
            </w:pPr>
            <w:r>
              <w:rPr>
                <w:rFonts w:hint="eastAsia"/>
                <w:color w:val="auto"/>
                <w:szCs w:val="21"/>
                <w:highlight w:val="none"/>
              </w:rPr>
              <w:t>货物</w:t>
            </w:r>
            <w:r>
              <w:rPr>
                <w:color w:val="auto"/>
                <w:szCs w:val="21"/>
                <w:highlight w:val="none"/>
              </w:rPr>
              <w:t>0.8％</w:t>
            </w:r>
            <w:r>
              <w:rPr>
                <w:rFonts w:hint="eastAsia"/>
                <w:color w:val="auto"/>
                <w:szCs w:val="21"/>
                <w:highlight w:val="none"/>
              </w:rPr>
              <w:t>；</w:t>
            </w:r>
            <w:r>
              <w:rPr>
                <w:color w:val="auto"/>
                <w:szCs w:val="21"/>
                <w:highlight w:val="none"/>
              </w:rPr>
              <w:t>服务招标0.45％</w:t>
            </w:r>
            <w:r>
              <w:rPr>
                <w:rFonts w:hint="eastAsia"/>
                <w:color w:val="auto"/>
                <w:szCs w:val="21"/>
                <w:highlight w:val="none"/>
              </w:rPr>
              <w:t>；</w:t>
            </w:r>
            <w:r>
              <w:rPr>
                <w:color w:val="auto"/>
                <w:szCs w:val="21"/>
                <w:highlight w:val="none"/>
              </w:rPr>
              <w:t>工程招标0.55％</w:t>
            </w:r>
            <w:r>
              <w:rPr>
                <w:rFonts w:hint="eastAsia"/>
                <w:color w:val="auto"/>
                <w:szCs w:val="21"/>
                <w:highlight w:val="none"/>
              </w:rPr>
              <w:t>；</w:t>
            </w:r>
          </w:p>
          <w:p w14:paraId="5CA581E2">
            <w:pPr>
              <w:spacing w:line="300" w:lineRule="exact"/>
              <w:jc w:val="left"/>
              <w:rPr>
                <w:color w:val="auto"/>
                <w:szCs w:val="21"/>
                <w:highlight w:val="none"/>
              </w:rPr>
            </w:pPr>
            <w:r>
              <w:rPr>
                <w:rFonts w:hint="eastAsia"/>
                <w:color w:val="auto"/>
                <w:szCs w:val="21"/>
                <w:highlight w:val="none"/>
              </w:rPr>
              <w:t>④中标金额在</w:t>
            </w:r>
            <w:r>
              <w:rPr>
                <w:color w:val="auto"/>
                <w:szCs w:val="21"/>
                <w:highlight w:val="none"/>
              </w:rPr>
              <w:t>1000-5000</w:t>
            </w:r>
            <w:r>
              <w:rPr>
                <w:rFonts w:hint="eastAsia"/>
                <w:color w:val="auto"/>
                <w:szCs w:val="21"/>
                <w:highlight w:val="none"/>
              </w:rPr>
              <w:t>万元之间：</w:t>
            </w:r>
          </w:p>
          <w:p w14:paraId="5476D3B7">
            <w:pPr>
              <w:spacing w:line="300" w:lineRule="exact"/>
              <w:jc w:val="left"/>
              <w:rPr>
                <w:color w:val="auto"/>
                <w:szCs w:val="21"/>
                <w:highlight w:val="none"/>
              </w:rPr>
            </w:pPr>
            <w:r>
              <w:rPr>
                <w:rFonts w:hint="eastAsia"/>
                <w:color w:val="auto"/>
                <w:szCs w:val="21"/>
                <w:highlight w:val="none"/>
              </w:rPr>
              <w:t>货物</w:t>
            </w:r>
            <w:r>
              <w:rPr>
                <w:color w:val="auto"/>
                <w:szCs w:val="21"/>
                <w:highlight w:val="none"/>
              </w:rPr>
              <w:t>0.5％</w:t>
            </w:r>
            <w:r>
              <w:rPr>
                <w:rFonts w:hint="eastAsia"/>
                <w:color w:val="auto"/>
                <w:szCs w:val="21"/>
                <w:highlight w:val="none"/>
              </w:rPr>
              <w:t>；</w:t>
            </w:r>
            <w:r>
              <w:rPr>
                <w:color w:val="auto"/>
                <w:szCs w:val="21"/>
                <w:highlight w:val="none"/>
              </w:rPr>
              <w:t>服务招标0.25％</w:t>
            </w:r>
            <w:r>
              <w:rPr>
                <w:rFonts w:hint="eastAsia"/>
                <w:color w:val="auto"/>
                <w:szCs w:val="21"/>
                <w:highlight w:val="none"/>
              </w:rPr>
              <w:t>；</w:t>
            </w:r>
            <w:r>
              <w:rPr>
                <w:color w:val="auto"/>
                <w:szCs w:val="21"/>
                <w:highlight w:val="none"/>
              </w:rPr>
              <w:t>工程招标0.35％</w:t>
            </w:r>
            <w:r>
              <w:rPr>
                <w:rFonts w:hint="eastAsia"/>
                <w:color w:val="auto"/>
                <w:szCs w:val="21"/>
                <w:highlight w:val="none"/>
              </w:rPr>
              <w:t>；</w:t>
            </w:r>
          </w:p>
          <w:p w14:paraId="5937437A">
            <w:pPr>
              <w:spacing w:line="300" w:lineRule="exact"/>
              <w:jc w:val="left"/>
              <w:rPr>
                <w:color w:val="auto"/>
                <w:szCs w:val="21"/>
                <w:highlight w:val="none"/>
              </w:rPr>
            </w:pPr>
            <w:r>
              <w:rPr>
                <w:rFonts w:hint="eastAsia"/>
                <w:color w:val="auto"/>
                <w:szCs w:val="21"/>
                <w:highlight w:val="none"/>
              </w:rPr>
              <w:t>……</w:t>
            </w:r>
          </w:p>
          <w:p w14:paraId="607516DC">
            <w:pPr>
              <w:spacing w:line="300" w:lineRule="exact"/>
              <w:jc w:val="left"/>
              <w:rPr>
                <w:color w:val="auto"/>
                <w:szCs w:val="21"/>
                <w:highlight w:val="none"/>
              </w:rPr>
            </w:pPr>
            <w:r>
              <w:rPr>
                <w:color w:val="auto"/>
                <w:szCs w:val="21"/>
                <w:highlight w:val="none"/>
              </w:rPr>
              <w:t>差额定率累进</w:t>
            </w:r>
            <w:r>
              <w:rPr>
                <w:rFonts w:hint="eastAsia"/>
                <w:color w:val="auto"/>
                <w:szCs w:val="21"/>
                <w:highlight w:val="none"/>
              </w:rPr>
              <w:t>法</w:t>
            </w:r>
            <w:r>
              <w:rPr>
                <w:color w:val="auto"/>
                <w:szCs w:val="21"/>
                <w:highlight w:val="none"/>
              </w:rPr>
              <w:t>计算</w:t>
            </w:r>
            <w:r>
              <w:rPr>
                <w:rFonts w:hint="eastAsia"/>
                <w:color w:val="auto"/>
                <w:szCs w:val="21"/>
                <w:highlight w:val="none"/>
              </w:rPr>
              <w:t>过程示例：</w:t>
            </w:r>
          </w:p>
          <w:p w14:paraId="336A224A">
            <w:pPr>
              <w:spacing w:line="300" w:lineRule="exact"/>
              <w:jc w:val="left"/>
              <w:rPr>
                <w:color w:val="auto"/>
                <w:szCs w:val="21"/>
                <w:highlight w:val="none"/>
              </w:rPr>
            </w:pPr>
            <w:r>
              <w:rPr>
                <w:color w:val="auto"/>
                <w:szCs w:val="21"/>
                <w:highlight w:val="none"/>
              </w:rPr>
              <w:t>例如：某货物招标代理业务</w:t>
            </w:r>
            <w:r>
              <w:rPr>
                <w:rFonts w:hint="eastAsia"/>
                <w:color w:val="auto"/>
                <w:szCs w:val="21"/>
                <w:highlight w:val="none"/>
              </w:rPr>
              <w:t>中标</w:t>
            </w:r>
            <w:r>
              <w:rPr>
                <w:color w:val="auto"/>
                <w:szCs w:val="21"/>
                <w:highlight w:val="none"/>
              </w:rPr>
              <w:t>金额为300万元，招标代理服务费金额按如下计算：</w:t>
            </w:r>
          </w:p>
          <w:p w14:paraId="68A35873">
            <w:pPr>
              <w:spacing w:line="300" w:lineRule="exact"/>
              <w:jc w:val="left"/>
              <w:rPr>
                <w:color w:val="auto"/>
                <w:szCs w:val="21"/>
                <w:highlight w:val="none"/>
              </w:rPr>
            </w:pPr>
            <w:r>
              <w:rPr>
                <w:color w:val="auto"/>
                <w:szCs w:val="21"/>
                <w:highlight w:val="none"/>
              </w:rPr>
              <w:t>100万元×1.5%＝1.5万元</w:t>
            </w:r>
          </w:p>
          <w:p w14:paraId="530518E3">
            <w:pPr>
              <w:spacing w:line="300" w:lineRule="exact"/>
              <w:jc w:val="left"/>
              <w:rPr>
                <w:color w:val="auto"/>
                <w:szCs w:val="21"/>
                <w:highlight w:val="none"/>
              </w:rPr>
            </w:pPr>
            <w:r>
              <w:rPr>
                <w:color w:val="auto"/>
                <w:szCs w:val="21"/>
                <w:highlight w:val="none"/>
              </w:rPr>
              <w:t>（300－100）万元×1.1%＝2.2万元</w:t>
            </w:r>
          </w:p>
          <w:p w14:paraId="25EF2820">
            <w:pPr>
              <w:spacing w:line="300" w:lineRule="exact"/>
              <w:jc w:val="left"/>
              <w:rPr>
                <w:color w:val="auto"/>
                <w:szCs w:val="21"/>
                <w:highlight w:val="none"/>
              </w:rPr>
            </w:pPr>
            <w:r>
              <w:rPr>
                <w:color w:val="auto"/>
                <w:szCs w:val="21"/>
                <w:highlight w:val="none"/>
              </w:rPr>
              <w:t>合计收费＝1.5＋2.2=3.7万元</w:t>
            </w:r>
          </w:p>
          <w:p w14:paraId="6E9AC719">
            <w:pPr>
              <w:spacing w:line="300" w:lineRule="exact"/>
              <w:jc w:val="left"/>
              <w:rPr>
                <w:color w:val="auto"/>
                <w:szCs w:val="21"/>
                <w:highlight w:val="none"/>
                <w:u w:val="single"/>
              </w:rPr>
            </w:pPr>
            <w:r>
              <w:rPr>
                <w:rFonts w:ascii="Wingdings 2" w:hAnsi="Wingdings 2"/>
                <w:color w:val="auto"/>
                <w:szCs w:val="21"/>
                <w:highlight w:val="none"/>
              </w:rPr>
              <w:sym w:font="Wingdings 2" w:char="F0A3"/>
            </w:r>
            <w:r>
              <w:rPr>
                <w:color w:val="auto"/>
                <w:szCs w:val="21"/>
                <w:highlight w:val="none"/>
              </w:rPr>
              <w:t>采购代理机构</w:t>
            </w:r>
            <w:r>
              <w:rPr>
                <w:color w:val="auto"/>
                <w:szCs w:val="20"/>
                <w:highlight w:val="none"/>
              </w:rPr>
              <w:t>向中标人收取代理服务费</w:t>
            </w:r>
            <w:r>
              <w:rPr>
                <w:rFonts w:hint="eastAsia"/>
                <w:color w:val="auto"/>
                <w:szCs w:val="20"/>
                <w:highlight w:val="none"/>
              </w:rPr>
              <w:t>，</w:t>
            </w:r>
            <w:r>
              <w:rPr>
                <w:color w:val="auto"/>
                <w:szCs w:val="20"/>
                <w:highlight w:val="none"/>
              </w:rPr>
              <w:t>具体金额为</w:t>
            </w:r>
            <w:r>
              <w:rPr>
                <w:rFonts w:hint="eastAsia"/>
                <w:color w:val="auto"/>
                <w:szCs w:val="20"/>
                <w:highlight w:val="none"/>
                <w:u w:val="single"/>
              </w:rPr>
              <w:t xml:space="preserve">             </w:t>
            </w:r>
            <w:r>
              <w:rPr>
                <w:rFonts w:hint="eastAsia"/>
                <w:color w:val="auto"/>
                <w:szCs w:val="20"/>
                <w:highlight w:val="none"/>
              </w:rPr>
              <w:t>。</w:t>
            </w:r>
          </w:p>
          <w:p w14:paraId="02241416">
            <w:pPr>
              <w:spacing w:line="300" w:lineRule="exact"/>
              <w:jc w:val="left"/>
              <w:rPr>
                <w:color w:val="auto"/>
                <w:szCs w:val="21"/>
                <w:highlight w:val="none"/>
              </w:rPr>
            </w:pPr>
            <w:r>
              <w:rPr>
                <w:color w:val="auto"/>
                <w:szCs w:val="21"/>
                <w:highlight w:val="none"/>
              </w:rPr>
              <w:t>（2）中标人在中标通知书发出前以银行转账或现金形式支付代理服务费；采购代理机构也可以从中标人的投标保证金中扣除上述金额的代理服务费，余款按供应商所汇入投标保证金的账户原路退回，如无法原路返回，则按《代理服务费承诺书》列明的账户退回。</w:t>
            </w:r>
          </w:p>
          <w:p w14:paraId="432CBCB9">
            <w:pPr>
              <w:spacing w:line="300" w:lineRule="exact"/>
              <w:jc w:val="left"/>
              <w:rPr>
                <w:color w:val="auto"/>
                <w:kern w:val="0"/>
                <w:szCs w:val="21"/>
                <w:highlight w:val="none"/>
              </w:rPr>
            </w:pPr>
            <w:r>
              <w:rPr>
                <w:rFonts w:hint="eastAsia"/>
                <w:color w:val="auto"/>
                <w:kern w:val="0"/>
                <w:szCs w:val="21"/>
                <w:highlight w:val="none"/>
              </w:rPr>
              <w:t>开户银行：广西北部湾银行南宁市金湖支行</w:t>
            </w:r>
          </w:p>
          <w:p w14:paraId="2FE7155D">
            <w:pPr>
              <w:spacing w:line="300" w:lineRule="exact"/>
              <w:jc w:val="left"/>
              <w:rPr>
                <w:color w:val="auto"/>
                <w:kern w:val="0"/>
                <w:szCs w:val="21"/>
                <w:highlight w:val="none"/>
              </w:rPr>
            </w:pPr>
            <w:r>
              <w:rPr>
                <w:rFonts w:hint="eastAsia"/>
                <w:color w:val="auto"/>
                <w:kern w:val="0"/>
                <w:szCs w:val="21"/>
                <w:highlight w:val="none"/>
              </w:rPr>
              <w:t>（银行地址：南宁市金湖路57号文德大厦1楼）</w:t>
            </w:r>
          </w:p>
          <w:p w14:paraId="769BB38A">
            <w:pPr>
              <w:spacing w:line="300" w:lineRule="exact"/>
              <w:jc w:val="left"/>
              <w:rPr>
                <w:color w:val="auto"/>
                <w:kern w:val="0"/>
                <w:szCs w:val="21"/>
                <w:highlight w:val="none"/>
              </w:rPr>
            </w:pPr>
            <w:r>
              <w:rPr>
                <w:rFonts w:hint="eastAsia"/>
                <w:color w:val="auto"/>
                <w:kern w:val="0"/>
                <w:szCs w:val="21"/>
                <w:highlight w:val="none"/>
              </w:rPr>
              <w:t>开户名称：广西机电设备招标有限公司</w:t>
            </w:r>
          </w:p>
          <w:p w14:paraId="5F46644B">
            <w:pPr>
              <w:spacing w:line="300" w:lineRule="exact"/>
              <w:jc w:val="left"/>
              <w:rPr>
                <w:color w:val="auto"/>
                <w:kern w:val="0"/>
                <w:szCs w:val="21"/>
                <w:highlight w:val="none"/>
              </w:rPr>
            </w:pPr>
            <w:r>
              <w:rPr>
                <w:rFonts w:hint="eastAsia"/>
                <w:color w:val="auto"/>
                <w:kern w:val="0"/>
                <w:szCs w:val="21"/>
                <w:highlight w:val="none"/>
              </w:rPr>
              <w:t>银行账号：1705012090027723 (联行号 313611017053)</w:t>
            </w:r>
          </w:p>
          <w:p w14:paraId="40C9E7BF">
            <w:pPr>
              <w:spacing w:line="300" w:lineRule="exact"/>
              <w:jc w:val="left"/>
              <w:rPr>
                <w:color w:val="auto"/>
                <w:kern w:val="0"/>
                <w:szCs w:val="21"/>
                <w:highlight w:val="none"/>
              </w:rPr>
            </w:pPr>
            <w:r>
              <w:rPr>
                <w:rFonts w:hint="eastAsia"/>
                <w:color w:val="auto"/>
                <w:kern w:val="0"/>
                <w:szCs w:val="21"/>
                <w:highlight w:val="none"/>
              </w:rPr>
              <w:t>财务联系人：吴茜（电话：0771-2821398）</w:t>
            </w:r>
          </w:p>
        </w:tc>
      </w:tr>
      <w:tr w14:paraId="7AF96C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37" w:type="dxa"/>
            <w:tcBorders>
              <w:top w:val="single" w:color="auto" w:sz="4" w:space="0"/>
              <w:left w:val="single" w:color="auto" w:sz="4" w:space="0"/>
              <w:bottom w:val="single" w:color="auto" w:sz="4" w:space="0"/>
              <w:right w:val="single" w:color="auto" w:sz="4" w:space="0"/>
            </w:tcBorders>
            <w:vAlign w:val="center"/>
          </w:tcPr>
          <w:p w14:paraId="524988A8">
            <w:pPr>
              <w:spacing w:line="300" w:lineRule="exact"/>
              <w:jc w:val="center"/>
              <w:rPr>
                <w:b/>
                <w:color w:val="auto"/>
                <w:szCs w:val="21"/>
                <w:highlight w:val="none"/>
              </w:rPr>
            </w:pPr>
            <w:r>
              <w:rPr>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vAlign w:val="center"/>
          </w:tcPr>
          <w:p w14:paraId="5A2460FA">
            <w:pPr>
              <w:spacing w:line="300" w:lineRule="exact"/>
              <w:jc w:val="center"/>
              <w:rPr>
                <w:color w:val="auto"/>
                <w:szCs w:val="20"/>
                <w:highlight w:val="none"/>
              </w:rPr>
            </w:pPr>
            <w:r>
              <w:rPr>
                <w:rFonts w:hint="eastAsia"/>
                <w:color w:val="auto"/>
                <w:szCs w:val="20"/>
                <w:highlight w:val="none"/>
              </w:rPr>
              <w:t>附件</w:t>
            </w:r>
          </w:p>
        </w:tc>
        <w:tc>
          <w:tcPr>
            <w:tcW w:w="7229" w:type="dxa"/>
            <w:tcBorders>
              <w:top w:val="single" w:color="auto" w:sz="4" w:space="0"/>
              <w:left w:val="single" w:color="auto" w:sz="4" w:space="0"/>
              <w:bottom w:val="single" w:color="auto" w:sz="4" w:space="0"/>
              <w:right w:val="single" w:color="auto" w:sz="4" w:space="0"/>
            </w:tcBorders>
            <w:vAlign w:val="center"/>
          </w:tcPr>
          <w:p w14:paraId="3A5F6AA2">
            <w:pPr>
              <w:spacing w:line="276" w:lineRule="auto"/>
              <w:rPr>
                <w:color w:val="auto"/>
                <w:szCs w:val="21"/>
                <w:highlight w:val="none"/>
              </w:rPr>
            </w:pPr>
            <w:r>
              <w:rPr>
                <w:rFonts w:ascii="Wingdings 2" w:hAnsi="Wingdings 2"/>
                <w:color w:val="auto"/>
                <w:sz w:val="22"/>
                <w:szCs w:val="22"/>
                <w:highlight w:val="none"/>
              </w:rPr>
              <w:sym w:font="Wingdings 2" w:char="F052"/>
            </w:r>
            <w:r>
              <w:rPr>
                <w:rFonts w:hint="eastAsia"/>
                <w:color w:val="auto"/>
                <w:szCs w:val="21"/>
                <w:highlight w:val="none"/>
              </w:rPr>
              <w:t>无</w:t>
            </w:r>
          </w:p>
          <w:p w14:paraId="69EF9CE2">
            <w:pPr>
              <w:spacing w:line="276" w:lineRule="auto"/>
              <w:rPr>
                <w:color w:val="auto"/>
                <w:szCs w:val="21"/>
                <w:highlight w:val="none"/>
                <w:u w:val="single"/>
              </w:rPr>
            </w:pPr>
            <w:r>
              <w:rPr>
                <w:rFonts w:hint="eastAsia"/>
                <w:color w:val="auto"/>
                <w:szCs w:val="21"/>
                <w:highlight w:val="none"/>
              </w:rPr>
              <w:t>□有，详见：</w:t>
            </w:r>
            <w:r>
              <w:rPr>
                <w:rFonts w:hint="eastAsia"/>
                <w:color w:val="auto"/>
                <w:szCs w:val="21"/>
                <w:highlight w:val="none"/>
                <w:u w:val="single"/>
              </w:rPr>
              <w:t xml:space="preserve"> </w:t>
            </w:r>
            <w:r>
              <w:rPr>
                <w:color w:val="auto"/>
                <w:szCs w:val="21"/>
                <w:highlight w:val="none"/>
                <w:u w:val="single"/>
              </w:rPr>
              <w:t xml:space="preserve">         </w:t>
            </w:r>
          </w:p>
        </w:tc>
      </w:tr>
      <w:tr w14:paraId="5A1EC7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37" w:type="dxa"/>
            <w:tcBorders>
              <w:top w:val="single" w:color="auto" w:sz="4" w:space="0"/>
              <w:left w:val="single" w:color="auto" w:sz="4" w:space="0"/>
              <w:bottom w:val="single" w:color="auto" w:sz="4" w:space="0"/>
              <w:right w:val="single" w:color="auto" w:sz="4" w:space="0"/>
            </w:tcBorders>
            <w:vAlign w:val="center"/>
          </w:tcPr>
          <w:p w14:paraId="7A667AE5">
            <w:pPr>
              <w:spacing w:line="300" w:lineRule="exact"/>
              <w:jc w:val="center"/>
              <w:rPr>
                <w:b/>
                <w:color w:val="auto"/>
                <w:szCs w:val="21"/>
                <w:highlight w:val="none"/>
              </w:rPr>
            </w:pPr>
            <w:r>
              <w:rPr>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vAlign w:val="center"/>
          </w:tcPr>
          <w:p w14:paraId="729CA7D6">
            <w:pPr>
              <w:spacing w:line="300" w:lineRule="exact"/>
              <w:jc w:val="center"/>
              <w:rPr>
                <w:color w:val="auto"/>
                <w:szCs w:val="20"/>
                <w:highlight w:val="none"/>
              </w:rPr>
            </w:pPr>
            <w:r>
              <w:rPr>
                <w:rFonts w:hint="eastAsia"/>
                <w:color w:val="auto"/>
                <w:szCs w:val="20"/>
                <w:highlight w:val="none"/>
              </w:rPr>
              <w:t>图纸</w:t>
            </w:r>
          </w:p>
        </w:tc>
        <w:tc>
          <w:tcPr>
            <w:tcW w:w="7229" w:type="dxa"/>
            <w:tcBorders>
              <w:top w:val="single" w:color="auto" w:sz="4" w:space="0"/>
              <w:left w:val="single" w:color="auto" w:sz="4" w:space="0"/>
              <w:bottom w:val="single" w:color="auto" w:sz="4" w:space="0"/>
              <w:right w:val="single" w:color="auto" w:sz="4" w:space="0"/>
            </w:tcBorders>
            <w:vAlign w:val="center"/>
          </w:tcPr>
          <w:p w14:paraId="119C4076">
            <w:pPr>
              <w:spacing w:line="276" w:lineRule="auto"/>
              <w:rPr>
                <w:color w:val="auto"/>
                <w:szCs w:val="21"/>
                <w:highlight w:val="none"/>
              </w:rPr>
            </w:pPr>
            <w:r>
              <w:rPr>
                <w:rFonts w:ascii="Wingdings 2" w:hAnsi="Wingdings 2"/>
                <w:color w:val="auto"/>
                <w:sz w:val="22"/>
                <w:szCs w:val="22"/>
                <w:highlight w:val="none"/>
              </w:rPr>
              <w:sym w:font="Wingdings 2" w:char="F052"/>
            </w:r>
            <w:r>
              <w:rPr>
                <w:rFonts w:hint="eastAsia"/>
                <w:color w:val="auto"/>
                <w:szCs w:val="21"/>
                <w:highlight w:val="none"/>
              </w:rPr>
              <w:t>无</w:t>
            </w:r>
          </w:p>
          <w:p w14:paraId="34246B4D">
            <w:pPr>
              <w:spacing w:line="276" w:lineRule="auto"/>
              <w:rPr>
                <w:color w:val="auto"/>
                <w:szCs w:val="21"/>
                <w:highlight w:val="none"/>
                <w:u w:val="single"/>
              </w:rPr>
            </w:pPr>
            <w:r>
              <w:rPr>
                <w:rFonts w:hint="eastAsia"/>
                <w:color w:val="auto"/>
                <w:szCs w:val="21"/>
                <w:highlight w:val="none"/>
              </w:rPr>
              <w:t>□有，详见：</w:t>
            </w:r>
            <w:r>
              <w:rPr>
                <w:rFonts w:hint="eastAsia"/>
                <w:color w:val="auto"/>
                <w:szCs w:val="21"/>
                <w:highlight w:val="none"/>
                <w:u w:val="single"/>
              </w:rPr>
              <w:t xml:space="preserve"> </w:t>
            </w:r>
            <w:r>
              <w:rPr>
                <w:color w:val="auto"/>
                <w:szCs w:val="21"/>
                <w:highlight w:val="none"/>
                <w:u w:val="single"/>
              </w:rPr>
              <w:t xml:space="preserve">            </w:t>
            </w:r>
          </w:p>
        </w:tc>
      </w:tr>
      <w:tr w14:paraId="30366F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vAlign w:val="center"/>
          </w:tcPr>
          <w:p w14:paraId="14A40503">
            <w:pPr>
              <w:spacing w:line="300" w:lineRule="exact"/>
              <w:jc w:val="center"/>
              <w:rPr>
                <w:b/>
                <w:color w:val="auto"/>
                <w:szCs w:val="21"/>
                <w:highlight w:val="none"/>
              </w:rPr>
            </w:pPr>
            <w:r>
              <w:rPr>
                <w:b/>
                <w:color w:val="auto"/>
                <w:szCs w:val="21"/>
                <w:highlight w:val="none"/>
              </w:rPr>
              <w:t>9.4</w:t>
            </w:r>
          </w:p>
        </w:tc>
        <w:tc>
          <w:tcPr>
            <w:tcW w:w="1248" w:type="dxa"/>
            <w:tcBorders>
              <w:top w:val="single" w:color="auto" w:sz="4" w:space="0"/>
              <w:left w:val="single" w:color="auto" w:sz="4" w:space="0"/>
              <w:bottom w:val="single" w:color="auto" w:sz="4" w:space="0"/>
              <w:right w:val="single" w:color="auto" w:sz="4" w:space="0"/>
            </w:tcBorders>
            <w:vAlign w:val="center"/>
          </w:tcPr>
          <w:p w14:paraId="54D0B33A">
            <w:pPr>
              <w:spacing w:line="300" w:lineRule="exact"/>
              <w:jc w:val="center"/>
              <w:rPr>
                <w:color w:val="auto"/>
                <w:szCs w:val="20"/>
                <w:highlight w:val="none"/>
              </w:rPr>
            </w:pPr>
            <w:r>
              <w:rPr>
                <w:rFonts w:hint="eastAsia"/>
                <w:color w:val="auto"/>
                <w:szCs w:val="20"/>
                <w:highlight w:val="none"/>
              </w:rPr>
              <w:t>其他事项</w:t>
            </w:r>
          </w:p>
        </w:tc>
        <w:tc>
          <w:tcPr>
            <w:tcW w:w="7229" w:type="dxa"/>
            <w:tcBorders>
              <w:top w:val="single" w:color="auto" w:sz="4" w:space="0"/>
              <w:left w:val="single" w:color="auto" w:sz="4" w:space="0"/>
              <w:bottom w:val="single" w:color="auto" w:sz="4" w:space="0"/>
              <w:right w:val="single" w:color="auto" w:sz="4" w:space="0"/>
            </w:tcBorders>
            <w:vAlign w:val="center"/>
          </w:tcPr>
          <w:p w14:paraId="747A07E6">
            <w:pPr>
              <w:spacing w:line="276" w:lineRule="auto"/>
              <w:rPr>
                <w:color w:val="auto"/>
                <w:szCs w:val="21"/>
                <w:highlight w:val="none"/>
              </w:rPr>
            </w:pPr>
            <w:r>
              <w:rPr>
                <w:rFonts w:hint="eastAsia"/>
                <w:color w:val="auto"/>
                <w:szCs w:val="21"/>
                <w:highlight w:val="none"/>
              </w:rPr>
              <w:t>构成本招标文件的各个组成文件应互为解释，互为说明：</w:t>
            </w:r>
          </w:p>
          <w:p w14:paraId="02749EF7">
            <w:pPr>
              <w:spacing w:line="300" w:lineRule="exact"/>
              <w:rPr>
                <w:color w:val="auto"/>
                <w:sz w:val="24"/>
                <w:highlight w:val="none"/>
              </w:rPr>
            </w:pPr>
            <w:r>
              <w:rPr>
                <w:rFonts w:hint="eastAsia"/>
                <w:color w:val="auto"/>
                <w:szCs w:val="21"/>
                <w:highlight w:val="none"/>
              </w:rPr>
              <w:t>除招标文件中有特别规定外，仅适用于招标投标阶段的规定，按更正公告（澄清公告）、招标公告、采购需求、投标人须知、评审方法及标准、合同条款格式、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bl>
    <w:p w14:paraId="5E5DFCBE">
      <w:pPr>
        <w:spacing w:before="120" w:line="320" w:lineRule="atLeast"/>
        <w:outlineLvl w:val="1"/>
        <w:rPr>
          <w:bCs/>
          <w:color w:val="auto"/>
          <w:kern w:val="0"/>
          <w:sz w:val="28"/>
          <w:szCs w:val="28"/>
          <w:highlight w:val="none"/>
        </w:rPr>
        <w:sectPr>
          <w:pgSz w:w="11906" w:h="16838"/>
          <w:pgMar w:top="993" w:right="1133" w:bottom="1246" w:left="1418" w:header="851" w:footer="992" w:gutter="0"/>
          <w:cols w:space="720" w:num="1"/>
          <w:titlePg/>
          <w:docGrid w:linePitch="312" w:charSpace="0"/>
        </w:sectPr>
      </w:pPr>
    </w:p>
    <w:p w14:paraId="07C51CAF">
      <w:pPr>
        <w:spacing w:before="120" w:line="320" w:lineRule="atLeast"/>
        <w:outlineLvl w:val="1"/>
        <w:rPr>
          <w:b/>
          <w:color w:val="auto"/>
          <w:kern w:val="0"/>
          <w:szCs w:val="21"/>
          <w:highlight w:val="none"/>
        </w:rPr>
      </w:pPr>
      <w:bookmarkStart w:id="31" w:name="_Toc254970690"/>
      <w:bookmarkStart w:id="32" w:name="_Toc254970549"/>
      <w:r>
        <w:rPr>
          <w:color w:val="auto"/>
          <w:sz w:val="32"/>
          <w:szCs w:val="32"/>
          <w:highlight w:val="none"/>
        </w:rPr>
        <w:tab/>
      </w:r>
      <w:bookmarkStart w:id="33" w:name="_Hlk88949215"/>
      <w:r>
        <w:rPr>
          <w:b/>
          <w:color w:val="auto"/>
          <w:kern w:val="0"/>
          <w:szCs w:val="21"/>
          <w:highlight w:val="none"/>
        </w:rPr>
        <w:t>1</w:t>
      </w:r>
      <w:r>
        <w:rPr>
          <w:rFonts w:hint="eastAsia"/>
          <w:b/>
          <w:color w:val="auto"/>
          <w:kern w:val="0"/>
          <w:szCs w:val="21"/>
          <w:highlight w:val="none"/>
        </w:rPr>
        <w:t>．总则</w:t>
      </w:r>
    </w:p>
    <w:p w14:paraId="1540D747">
      <w:pPr>
        <w:spacing w:before="120" w:line="320" w:lineRule="atLeast"/>
        <w:ind w:firstLine="422" w:firstLineChars="200"/>
        <w:outlineLvl w:val="2"/>
        <w:rPr>
          <w:b/>
          <w:color w:val="auto"/>
          <w:kern w:val="0"/>
          <w:szCs w:val="21"/>
          <w:highlight w:val="none"/>
        </w:rPr>
      </w:pPr>
      <w:r>
        <w:rPr>
          <w:b/>
          <w:color w:val="auto"/>
          <w:kern w:val="0"/>
          <w:szCs w:val="21"/>
          <w:highlight w:val="none"/>
        </w:rPr>
        <w:t>1.1</w:t>
      </w:r>
      <w:r>
        <w:rPr>
          <w:rFonts w:hint="eastAsia"/>
          <w:b/>
          <w:color w:val="auto"/>
          <w:kern w:val="0"/>
          <w:szCs w:val="21"/>
          <w:highlight w:val="none"/>
        </w:rPr>
        <w:t>适用范围</w:t>
      </w:r>
    </w:p>
    <w:p w14:paraId="529B46F8">
      <w:pPr>
        <w:spacing w:before="120" w:line="320" w:lineRule="atLeast"/>
        <w:ind w:firstLine="420" w:firstLineChars="200"/>
        <w:rPr>
          <w:color w:val="auto"/>
          <w:szCs w:val="21"/>
          <w:highlight w:val="none"/>
        </w:rPr>
      </w:pPr>
      <w:r>
        <w:rPr>
          <w:rFonts w:hint="eastAsia"/>
          <w:color w:val="auto"/>
          <w:szCs w:val="21"/>
          <w:highlight w:val="none"/>
        </w:rPr>
        <w:t>本招标文件适用于投标人须知前附表所述项目的政府采购活动。</w:t>
      </w:r>
    </w:p>
    <w:p w14:paraId="26C8B3A8">
      <w:pPr>
        <w:spacing w:before="120" w:line="320" w:lineRule="atLeast"/>
        <w:ind w:firstLine="422" w:firstLineChars="200"/>
        <w:outlineLvl w:val="2"/>
        <w:rPr>
          <w:b/>
          <w:color w:val="auto"/>
          <w:kern w:val="0"/>
          <w:szCs w:val="21"/>
          <w:highlight w:val="none"/>
        </w:rPr>
      </w:pPr>
      <w:r>
        <w:rPr>
          <w:b/>
          <w:color w:val="auto"/>
          <w:kern w:val="0"/>
          <w:szCs w:val="21"/>
          <w:highlight w:val="none"/>
        </w:rPr>
        <w:t>1.2</w:t>
      </w:r>
      <w:r>
        <w:rPr>
          <w:rFonts w:hint="eastAsia"/>
          <w:b/>
          <w:color w:val="auto"/>
          <w:kern w:val="0"/>
          <w:szCs w:val="21"/>
          <w:highlight w:val="none"/>
        </w:rPr>
        <w:t>定义</w:t>
      </w:r>
    </w:p>
    <w:p w14:paraId="1F8DD65D">
      <w:pPr>
        <w:spacing w:before="120" w:line="320" w:lineRule="atLeast"/>
        <w:ind w:firstLine="420" w:firstLineChars="200"/>
        <w:rPr>
          <w:color w:val="auto"/>
          <w:szCs w:val="21"/>
          <w:highlight w:val="none"/>
        </w:rPr>
      </w:pPr>
      <w:r>
        <w:rPr>
          <w:color w:val="auto"/>
          <w:szCs w:val="21"/>
          <w:highlight w:val="none"/>
        </w:rPr>
        <w:t>1.2.1</w:t>
      </w:r>
      <w:r>
        <w:rPr>
          <w:rFonts w:hint="eastAsia"/>
          <w:color w:val="auto"/>
          <w:szCs w:val="21"/>
          <w:highlight w:val="none"/>
        </w:rPr>
        <w:t>“采购人”系指依法进行政府采购的国家机关、事业单位、团体组织。</w:t>
      </w:r>
    </w:p>
    <w:p w14:paraId="58E8476E">
      <w:pPr>
        <w:spacing w:before="120" w:line="320" w:lineRule="atLeast"/>
        <w:ind w:firstLine="420" w:firstLineChars="200"/>
        <w:rPr>
          <w:color w:val="auto"/>
          <w:szCs w:val="21"/>
          <w:highlight w:val="none"/>
        </w:rPr>
      </w:pPr>
      <w:r>
        <w:rPr>
          <w:rFonts w:hint="eastAsia"/>
          <w:color w:val="auto"/>
          <w:szCs w:val="21"/>
          <w:highlight w:val="none"/>
        </w:rPr>
        <w:t>1.2.2“供应商”系指向采购人提供货物、工程或者服务的法人、其他组织或者自然人。</w:t>
      </w:r>
    </w:p>
    <w:p w14:paraId="302FC541">
      <w:pP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3“投标人”系</w:t>
      </w:r>
      <w:r>
        <w:rPr>
          <w:rFonts w:hint="eastAsia"/>
          <w:color w:val="auto"/>
          <w:highlight w:val="none"/>
        </w:rPr>
        <w:t>指响应招标、参加投标竞争的法人、其他组织或者自然人</w:t>
      </w:r>
      <w:r>
        <w:rPr>
          <w:rFonts w:hint="eastAsia"/>
          <w:color w:val="auto"/>
          <w:szCs w:val="21"/>
          <w:highlight w:val="none"/>
        </w:rPr>
        <w:t>。</w:t>
      </w:r>
    </w:p>
    <w:p w14:paraId="74F32749">
      <w:pPr>
        <w:spacing w:before="120" w:line="360" w:lineRule="auto"/>
        <w:ind w:firstLine="420" w:firstLineChars="200"/>
        <w:rPr>
          <w:color w:val="auto"/>
          <w:highlight w:val="none"/>
        </w:rPr>
      </w:pPr>
      <w:r>
        <w:rPr>
          <w:rFonts w:hint="eastAsia"/>
          <w:color w:val="auto"/>
          <w:highlight w:val="none"/>
        </w:rPr>
        <w:t>1.2.4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6373296D">
      <w:pPr>
        <w:spacing w:before="120" w:line="360" w:lineRule="auto"/>
        <w:ind w:firstLine="420" w:firstLineChars="200"/>
        <w:rPr>
          <w:color w:val="auto"/>
          <w:highlight w:val="none"/>
        </w:rPr>
      </w:pPr>
      <w:r>
        <w:rPr>
          <w:rFonts w:hint="eastAsia"/>
          <w:color w:val="auto"/>
          <w:highlight w:val="none"/>
        </w:rPr>
        <w:t>1.2.5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4376F975">
      <w:pPr>
        <w:widowControl/>
        <w:spacing w:line="360" w:lineRule="auto"/>
        <w:ind w:firstLine="420" w:firstLineChars="200"/>
        <w:jc w:val="left"/>
        <w:rPr>
          <w:color w:val="auto"/>
          <w:szCs w:val="21"/>
          <w:highlight w:val="none"/>
        </w:rPr>
      </w:pPr>
      <w:r>
        <w:rPr>
          <w:color w:val="auto"/>
          <w:szCs w:val="21"/>
          <w:highlight w:val="none"/>
        </w:rPr>
        <w:t>1.2.</w:t>
      </w:r>
      <w:r>
        <w:rPr>
          <w:rFonts w:hint="eastAsia"/>
          <w:color w:val="auto"/>
          <w:szCs w:val="21"/>
          <w:highlight w:val="none"/>
        </w:rPr>
        <w:t>6</w:t>
      </w:r>
      <w:r>
        <w:rPr>
          <w:color w:val="auto"/>
          <w:szCs w:val="21"/>
          <w:highlight w:val="none"/>
        </w:rPr>
        <w:t>“</w:t>
      </w:r>
      <w:r>
        <w:rPr>
          <w:rFonts w:hint="eastAsia"/>
          <w:color w:val="auto"/>
          <w:szCs w:val="21"/>
          <w:highlight w:val="none"/>
        </w:rPr>
        <w:t xml:space="preserve">书面形式”如无特殊规定，书面形式是合同书、信件、电报、电传等可以有形地表现所载内容的形式。以电子数据交换、电子邮件等方式能够有形地表现所载内容，并可以随时调取查用的数据电文，视为书面形式。招标文件如有特殊规定，以招标文件规定为准。 </w:t>
      </w:r>
    </w:p>
    <w:p w14:paraId="43B3FAEC">
      <w:pP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7本项目的技术商务要求重要性分为“▲”（如有）、“#”（如有）和一般无标识指标。▲代表实质性要求指标，</w:t>
      </w:r>
      <w:r>
        <w:rPr>
          <w:rFonts w:hint="eastAsia"/>
          <w:b/>
          <w:color w:val="auto"/>
          <w:szCs w:val="21"/>
          <w:highlight w:val="none"/>
        </w:rPr>
        <w:t>不满足该指标项将导致投标被否决</w:t>
      </w:r>
      <w:r>
        <w:rPr>
          <w:rFonts w:hint="eastAsia"/>
          <w:color w:val="auto"/>
          <w:szCs w:val="21"/>
          <w:highlight w:val="none"/>
        </w:rPr>
        <w:t>，#代表重要指标，无标识则表示一般指标项。</w:t>
      </w:r>
    </w:p>
    <w:p w14:paraId="7435727E">
      <w:pP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8 本招标文件出现多种选项的条款，以“</w:t>
      </w:r>
      <w:r>
        <w:rPr>
          <w:rFonts w:ascii="Wingdings 2" w:hAnsi="Wingdings 2"/>
          <w:color w:val="auto"/>
          <w:highlight w:val="none"/>
        </w:rPr>
        <w:sym w:font="Wingdings 2" w:char="F052"/>
      </w:r>
      <w:r>
        <w:rPr>
          <w:rFonts w:hint="eastAsia"/>
          <w:color w:val="auto"/>
          <w:szCs w:val="21"/>
          <w:highlight w:val="none"/>
        </w:rPr>
        <w:t>”表示本条款所选择的方式。</w:t>
      </w:r>
    </w:p>
    <w:p w14:paraId="485E8CD8">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2</w:t>
      </w:r>
      <w:r>
        <w:rPr>
          <w:rFonts w:hint="eastAsia"/>
          <w:color w:val="auto"/>
          <w:szCs w:val="21"/>
          <w:highlight w:val="none"/>
        </w:rPr>
        <w:t>.9</w:t>
      </w:r>
      <w:r>
        <w:rPr>
          <w:color w:val="auto"/>
          <w:szCs w:val="21"/>
          <w:highlight w:val="none"/>
        </w:rPr>
        <w:t xml:space="preserve"> “</w:t>
      </w:r>
      <w:r>
        <w:rPr>
          <w:rFonts w:hint="eastAsia"/>
          <w:color w:val="auto"/>
          <w:szCs w:val="21"/>
          <w:highlight w:val="none"/>
        </w:rPr>
        <w:t>电子交易平台</w:t>
      </w:r>
      <w:r>
        <w:rPr>
          <w:color w:val="auto"/>
          <w:szCs w:val="21"/>
          <w:highlight w:val="none"/>
        </w:rPr>
        <w:t>”</w:t>
      </w:r>
      <w:r>
        <w:rPr>
          <w:rFonts w:hint="eastAsia"/>
          <w:color w:val="auto"/>
          <w:szCs w:val="21"/>
          <w:highlight w:val="none"/>
        </w:rPr>
        <w:t>是指以数据电文形式在线完成采购活动的信息平台，本招标文件中也称</w:t>
      </w:r>
      <w:r>
        <w:rPr>
          <w:color w:val="auto"/>
          <w:szCs w:val="21"/>
          <w:highlight w:val="none"/>
        </w:rPr>
        <w:t>“</w:t>
      </w:r>
      <w:r>
        <w:rPr>
          <w:rFonts w:hint="eastAsia"/>
          <w:color w:val="auto"/>
          <w:szCs w:val="21"/>
          <w:highlight w:val="none"/>
        </w:rPr>
        <w:t>广西政府采购云平台</w:t>
      </w:r>
      <w:r>
        <w:rPr>
          <w:color w:val="auto"/>
          <w:szCs w:val="21"/>
          <w:highlight w:val="none"/>
        </w:rPr>
        <w:t>”</w:t>
      </w:r>
      <w:r>
        <w:rPr>
          <w:rFonts w:hint="eastAsia"/>
          <w:color w:val="auto"/>
          <w:szCs w:val="21"/>
          <w:highlight w:val="none"/>
        </w:rPr>
        <w:t>。</w:t>
      </w:r>
    </w:p>
    <w:p w14:paraId="63BA526A">
      <w:pPr>
        <w:spacing w:before="120" w:line="320" w:lineRule="atLeast"/>
        <w:ind w:firstLine="422" w:firstLineChars="200"/>
        <w:outlineLvl w:val="2"/>
        <w:rPr>
          <w:b/>
          <w:color w:val="auto"/>
          <w:kern w:val="0"/>
          <w:szCs w:val="21"/>
          <w:highlight w:val="none"/>
        </w:rPr>
      </w:pPr>
      <w:r>
        <w:rPr>
          <w:rFonts w:hint="eastAsia"/>
          <w:b/>
          <w:color w:val="auto"/>
          <w:kern w:val="0"/>
          <w:szCs w:val="21"/>
          <w:highlight w:val="none"/>
        </w:rPr>
        <w:t>1</w:t>
      </w:r>
      <w:r>
        <w:rPr>
          <w:b/>
          <w:color w:val="auto"/>
          <w:kern w:val="0"/>
          <w:szCs w:val="21"/>
          <w:highlight w:val="none"/>
        </w:rPr>
        <w:t>.3</w:t>
      </w:r>
      <w:r>
        <w:rPr>
          <w:rFonts w:hint="eastAsia"/>
          <w:b/>
          <w:color w:val="auto"/>
          <w:kern w:val="0"/>
          <w:szCs w:val="21"/>
          <w:highlight w:val="none"/>
        </w:rPr>
        <w:t>项目信息</w:t>
      </w:r>
    </w:p>
    <w:p w14:paraId="75BD7699">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.3.1</w:t>
      </w:r>
      <w:r>
        <w:rPr>
          <w:rFonts w:hint="eastAsia"/>
          <w:color w:val="auto"/>
          <w:szCs w:val="21"/>
          <w:highlight w:val="none"/>
        </w:rPr>
        <w:t>项目名称及编号：详见投标人须知前附表</w:t>
      </w:r>
    </w:p>
    <w:p w14:paraId="2F7C01CA">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.3.2</w:t>
      </w:r>
      <w:r>
        <w:rPr>
          <w:rFonts w:hint="eastAsia"/>
          <w:color w:val="auto"/>
          <w:szCs w:val="21"/>
          <w:highlight w:val="none"/>
        </w:rPr>
        <w:t>采购方式：详见投标人须知前附表</w:t>
      </w:r>
    </w:p>
    <w:p w14:paraId="24A161A5">
      <w:pPr>
        <w:spacing w:before="120" w:line="320" w:lineRule="atLeast"/>
        <w:ind w:firstLine="422" w:firstLineChars="200"/>
        <w:outlineLvl w:val="2"/>
        <w:rPr>
          <w:b/>
          <w:color w:val="auto"/>
          <w:kern w:val="0"/>
          <w:szCs w:val="21"/>
          <w:highlight w:val="none"/>
        </w:rPr>
      </w:pPr>
      <w:bookmarkStart w:id="34" w:name="_Hlk132812137"/>
      <w:r>
        <w:rPr>
          <w:rFonts w:hint="eastAsia"/>
          <w:b/>
          <w:color w:val="auto"/>
          <w:kern w:val="0"/>
          <w:szCs w:val="21"/>
          <w:highlight w:val="none"/>
        </w:rPr>
        <w:t>1</w:t>
      </w:r>
      <w:r>
        <w:rPr>
          <w:b/>
          <w:color w:val="auto"/>
          <w:kern w:val="0"/>
          <w:szCs w:val="21"/>
          <w:highlight w:val="none"/>
        </w:rPr>
        <w:t>.4</w:t>
      </w:r>
      <w:r>
        <w:rPr>
          <w:rFonts w:hint="eastAsia"/>
          <w:b/>
          <w:color w:val="auto"/>
          <w:kern w:val="0"/>
          <w:szCs w:val="21"/>
          <w:highlight w:val="none"/>
        </w:rPr>
        <w:t>促进中小企业发展政策</w:t>
      </w:r>
    </w:p>
    <w:p w14:paraId="65635EFF">
      <w:pPr>
        <w:spacing w:before="120" w:line="320" w:lineRule="atLeast"/>
        <w:ind w:left="2" w:leftChars="1" w:firstLine="420" w:firstLineChars="200"/>
        <w:rPr>
          <w:color w:val="auto"/>
          <w:szCs w:val="21"/>
          <w:highlight w:val="none"/>
        </w:rPr>
      </w:pPr>
      <w:r>
        <w:rPr>
          <w:color w:val="auto"/>
          <w:szCs w:val="21"/>
          <w:highlight w:val="none"/>
        </w:rPr>
        <w:t>1.4.1</w:t>
      </w:r>
      <w:r>
        <w:rPr>
          <w:rFonts w:hint="eastAsia"/>
          <w:color w:val="auto"/>
          <w:szCs w:val="21"/>
          <w:highlight w:val="none"/>
        </w:rPr>
        <w:t>本项目落实促进中小企业发展政策措施在前附表规定。依据促进中小企业发展政策获得政府采购合同的，小微企业不得将合同分包给大中型企业，中型企业不得将合同分包给大型企业。</w:t>
      </w:r>
    </w:p>
    <w:p w14:paraId="4AF6D397">
      <w:pPr>
        <w:spacing w:before="120" w:line="320" w:lineRule="atLeast"/>
        <w:ind w:left="2" w:leftChars="1" w:firstLine="420" w:firstLineChars="200"/>
        <w:rPr>
          <w:color w:val="auto"/>
          <w:szCs w:val="21"/>
          <w:highlight w:val="none"/>
        </w:rPr>
      </w:pPr>
      <w:bookmarkStart w:id="35" w:name="_Hlk138842976"/>
      <w:r>
        <w:rPr>
          <w:rFonts w:hint="eastAsia"/>
          <w:color w:val="auto"/>
          <w:szCs w:val="21"/>
          <w:highlight w:val="none"/>
        </w:rPr>
        <w:t>根据《政府采购促进中小企业发展管理办法》（财库〔2020〕46号）第九条以及《广西壮族自治区财政厅 广西壮族自治区工业和信息化厅转发财政部 工业和信息化部政府采购促进中小企业发展管理办法的通知》（桂财采〔2021〕70号）规定，</w:t>
      </w:r>
      <w:bookmarkEnd w:id="35"/>
      <w:r>
        <w:rPr>
          <w:rFonts w:hint="eastAsia"/>
          <w:color w:val="auto"/>
          <w:szCs w:val="21"/>
          <w:highlight w:val="none"/>
        </w:rPr>
        <w:t>价格扣除比例在第四章评审方法及标准中规定，对小型企业和微型企业同等对待，不作区分。</w:t>
      </w:r>
    </w:p>
    <w:p w14:paraId="778FF29C">
      <w:pPr>
        <w:spacing w:before="120" w:line="320" w:lineRule="atLeast"/>
        <w:ind w:left="2" w:leftChars="1" w:firstLine="420" w:firstLineChars="200"/>
        <w:rPr>
          <w:color w:val="auto"/>
          <w:szCs w:val="21"/>
          <w:highlight w:val="none"/>
        </w:rPr>
      </w:pPr>
      <w:r>
        <w:rPr>
          <w:color w:val="auto"/>
          <w:szCs w:val="21"/>
          <w:highlight w:val="none"/>
        </w:rPr>
        <w:t>1.4.2</w:t>
      </w:r>
      <w:r>
        <w:rPr>
          <w:rFonts w:hint="eastAsia"/>
          <w:color w:val="auto"/>
          <w:szCs w:val="21"/>
          <w:highlight w:val="none"/>
        </w:rPr>
        <w:t>中小企业定义</w:t>
      </w:r>
    </w:p>
    <w:p w14:paraId="1263EA81">
      <w:pPr>
        <w:spacing w:before="120" w:line="320" w:lineRule="atLeast"/>
        <w:ind w:firstLine="420" w:firstLineChars="200"/>
        <w:rPr>
          <w:color w:val="auto"/>
          <w:szCs w:val="21"/>
          <w:highlight w:val="none"/>
        </w:rPr>
      </w:pPr>
      <w:r>
        <w:rPr>
          <w:color w:val="auto"/>
          <w:szCs w:val="21"/>
          <w:highlight w:val="none"/>
        </w:rPr>
        <w:t>1.4.2.1</w:t>
      </w:r>
      <w:r>
        <w:rPr>
          <w:rFonts w:hint="eastAsia"/>
          <w:color w:val="auto"/>
          <w:szCs w:val="21"/>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69D724D8">
      <w:pPr>
        <w:spacing w:before="120" w:line="320" w:lineRule="atLeast"/>
        <w:ind w:left="2" w:leftChars="1" w:firstLine="420" w:firstLineChars="200"/>
        <w:rPr>
          <w:color w:val="auto"/>
          <w:szCs w:val="21"/>
          <w:highlight w:val="none"/>
        </w:rPr>
      </w:pPr>
      <w:r>
        <w:rPr>
          <w:color w:val="auto"/>
          <w:szCs w:val="21"/>
          <w:highlight w:val="none"/>
        </w:rPr>
        <w:t>1.4.2.2</w:t>
      </w:r>
      <w:r>
        <w:rPr>
          <w:rFonts w:hint="eastAsia"/>
          <w:color w:val="auto"/>
          <w:szCs w:val="21"/>
          <w:highlight w:val="none"/>
        </w:rPr>
        <w:t>供应商提供的货物、工程或者服务符合下列情形的，享受本款规定的促进中小企业发展政策：</w:t>
      </w:r>
    </w:p>
    <w:p w14:paraId="28D39345">
      <w:pPr>
        <w:spacing w:before="120" w:line="320" w:lineRule="atLeast"/>
        <w:ind w:left="2" w:leftChars="1" w:firstLine="420" w:firstLineChars="200"/>
        <w:rPr>
          <w:color w:val="auto"/>
          <w:szCs w:val="21"/>
          <w:highlight w:val="none"/>
        </w:rPr>
      </w:pPr>
      <w:r>
        <w:rPr>
          <w:rFonts w:hint="eastAsia"/>
          <w:color w:val="auto"/>
          <w:szCs w:val="21"/>
          <w:highlight w:val="none"/>
        </w:rPr>
        <w:t>在货物采购项目中，货物由中小企业制造，即货物由中小企业生产且使用该中小企业商号或者注册商标；</w:t>
      </w:r>
    </w:p>
    <w:p w14:paraId="191F4F84">
      <w:pPr>
        <w:spacing w:before="120" w:line="320" w:lineRule="atLeast"/>
        <w:ind w:left="2" w:leftChars="1" w:firstLine="420" w:firstLineChars="200"/>
        <w:rPr>
          <w:color w:val="auto"/>
          <w:szCs w:val="21"/>
          <w:highlight w:val="none"/>
        </w:rPr>
      </w:pPr>
      <w:r>
        <w:rPr>
          <w:rFonts w:hint="eastAsia"/>
          <w:color w:val="auto"/>
          <w:szCs w:val="21"/>
          <w:highlight w:val="none"/>
        </w:rPr>
        <w:t>在工程采购项目中，工程由中小企业承建，即工程施工单位为中小企业；</w:t>
      </w:r>
    </w:p>
    <w:p w14:paraId="6500FB9B">
      <w:pPr>
        <w:spacing w:before="120" w:line="320" w:lineRule="atLeast"/>
        <w:ind w:left="2" w:leftChars="1" w:firstLine="420" w:firstLineChars="200"/>
        <w:rPr>
          <w:color w:val="auto"/>
          <w:szCs w:val="21"/>
          <w:highlight w:val="none"/>
        </w:rPr>
      </w:pPr>
      <w:r>
        <w:rPr>
          <w:rFonts w:hint="eastAsia"/>
          <w:color w:val="auto"/>
          <w:szCs w:val="21"/>
          <w:highlight w:val="none"/>
        </w:rPr>
        <w:t>在服务采购项目中，服务由中小企业承接，即提供服务的人员为中小企业依照《中华人民共和国劳动合同法》订立劳动合同的从业人员。</w:t>
      </w:r>
    </w:p>
    <w:p w14:paraId="3F00A080">
      <w:pPr>
        <w:spacing w:before="120" w:line="320" w:lineRule="atLeast"/>
        <w:ind w:left="2" w:leftChars="1" w:firstLine="420" w:firstLineChars="200"/>
        <w:rPr>
          <w:color w:val="auto"/>
          <w:szCs w:val="21"/>
          <w:highlight w:val="none"/>
        </w:rPr>
      </w:pPr>
      <w:r>
        <w:rPr>
          <w:rFonts w:hint="eastAsia"/>
          <w:color w:val="auto"/>
          <w:szCs w:val="21"/>
          <w:highlight w:val="none"/>
        </w:rPr>
        <w:t>在货物采购项目中，供应商提供的货物既有中小企业制造货物，也有大型企业制造货物的，不享受本款规定的促进中小企业发展政策。</w:t>
      </w:r>
    </w:p>
    <w:p w14:paraId="4D421FDF">
      <w:pPr>
        <w:spacing w:before="120" w:line="320" w:lineRule="atLeast"/>
        <w:ind w:firstLine="420" w:firstLineChars="200"/>
        <w:rPr>
          <w:color w:val="auto"/>
          <w:szCs w:val="21"/>
          <w:highlight w:val="none"/>
        </w:rPr>
      </w:pPr>
      <w:r>
        <w:rPr>
          <w:color w:val="auto"/>
          <w:szCs w:val="21"/>
          <w:highlight w:val="none"/>
        </w:rPr>
        <w:t>1.4.2</w:t>
      </w:r>
      <w:r>
        <w:rPr>
          <w:rFonts w:hint="eastAsia"/>
          <w:color w:val="auto"/>
          <w:szCs w:val="21"/>
          <w:highlight w:val="none"/>
        </w:rPr>
        <w:t>.</w:t>
      </w:r>
      <w:r>
        <w:rPr>
          <w:color w:val="auto"/>
          <w:szCs w:val="21"/>
          <w:highlight w:val="none"/>
        </w:rPr>
        <w:t>3</w:t>
      </w:r>
      <w:r>
        <w:rPr>
          <w:rFonts w:hint="eastAsia"/>
          <w:color w:val="auto"/>
          <w:szCs w:val="21"/>
          <w:highlight w:val="none"/>
        </w:rPr>
        <w:t>本项目标的所属行业在第二章采购需求中规定。供应商根据中小企业划分标准（《关于印发中小企业划型标准规定的通知》（工信部联企业〔2011〕300号）判断是否为中小企业。（见附件）</w:t>
      </w:r>
    </w:p>
    <w:p w14:paraId="74385958">
      <w:pPr>
        <w:spacing w:before="120" w:line="320" w:lineRule="atLeast"/>
        <w:ind w:firstLine="420" w:firstLineChars="200"/>
        <w:rPr>
          <w:color w:val="auto"/>
          <w:szCs w:val="21"/>
          <w:highlight w:val="none"/>
        </w:rPr>
      </w:pPr>
      <w:r>
        <w:rPr>
          <w:rFonts w:hint="eastAsia"/>
          <w:color w:val="auto"/>
          <w:szCs w:val="21"/>
          <w:highlight w:val="none"/>
        </w:rPr>
        <w:t>符合条件的货物制造商、工程施工单位、服务承接单位为中小企业的，应按招标文件规定在投标文件中提供声明函。</w:t>
      </w:r>
    </w:p>
    <w:p w14:paraId="5817A4B3">
      <w:pPr>
        <w:spacing w:before="120" w:line="320" w:lineRule="atLeast"/>
        <w:ind w:firstLine="420" w:firstLineChars="200"/>
        <w:rPr>
          <w:color w:val="auto"/>
          <w:szCs w:val="21"/>
          <w:highlight w:val="none"/>
        </w:rPr>
      </w:pPr>
      <w:r>
        <w:rPr>
          <w:color w:val="auto"/>
          <w:szCs w:val="21"/>
          <w:highlight w:val="none"/>
        </w:rPr>
        <w:t>1.4</w:t>
      </w:r>
      <w:r>
        <w:rPr>
          <w:rFonts w:hint="eastAsia"/>
          <w:color w:val="auto"/>
          <w:szCs w:val="21"/>
          <w:highlight w:val="none"/>
        </w:rPr>
        <w:t>.</w:t>
      </w:r>
      <w:r>
        <w:rPr>
          <w:color w:val="auto"/>
          <w:szCs w:val="21"/>
          <w:highlight w:val="none"/>
        </w:rPr>
        <w:t>2</w:t>
      </w:r>
      <w:r>
        <w:rPr>
          <w:rFonts w:hint="eastAsia"/>
          <w:color w:val="auto"/>
          <w:szCs w:val="21"/>
          <w:highlight w:val="none"/>
        </w:rPr>
        <w:t>.</w:t>
      </w:r>
      <w:r>
        <w:rPr>
          <w:color w:val="auto"/>
          <w:szCs w:val="21"/>
          <w:highlight w:val="none"/>
        </w:rPr>
        <w:t>4</w:t>
      </w:r>
      <w:r>
        <w:rPr>
          <w:rFonts w:hint="eastAsia"/>
          <w:color w:val="auto"/>
          <w:szCs w:val="21"/>
          <w:highlight w:val="none"/>
        </w:rPr>
        <w:t>视同中小企业情形</w:t>
      </w:r>
    </w:p>
    <w:p w14:paraId="465A7CFE">
      <w:pPr>
        <w:spacing w:before="120" w:line="320" w:lineRule="atLeast"/>
        <w:ind w:firstLine="420" w:firstLineChars="200"/>
        <w:rPr>
          <w:color w:val="auto"/>
          <w:szCs w:val="21"/>
          <w:highlight w:val="none"/>
        </w:rPr>
      </w:pPr>
      <w:r>
        <w:rPr>
          <w:rFonts w:hint="eastAsia"/>
          <w:color w:val="auto"/>
          <w:szCs w:val="21"/>
          <w:highlight w:val="none"/>
        </w:rPr>
        <w:t>（1）符合中小企业划分标准的个体工商户，视同中小企业。</w:t>
      </w:r>
    </w:p>
    <w:p w14:paraId="07BC2087">
      <w:pPr>
        <w:spacing w:before="120" w:line="320" w:lineRule="atLeast"/>
        <w:ind w:firstLine="420" w:firstLineChars="200"/>
        <w:rPr>
          <w:color w:val="auto"/>
          <w:szCs w:val="21"/>
          <w:highlight w:val="none"/>
        </w:rPr>
      </w:pPr>
      <w:r>
        <w:rPr>
          <w:rFonts w:hint="eastAsia"/>
          <w:color w:val="auto"/>
          <w:szCs w:val="21"/>
          <w:highlight w:val="none"/>
        </w:rPr>
        <w:t>（2）以联合体形式参加政府采购活动，联合体各方均为中小企业的，联合体视同中小企业。其中，联合体各方均为小微企业的，联合体视同小微企业。</w:t>
      </w:r>
    </w:p>
    <w:p w14:paraId="5226D594">
      <w:pPr>
        <w:spacing w:before="120" w:line="320" w:lineRule="atLeast"/>
        <w:ind w:firstLine="420" w:firstLineChars="200"/>
        <w:rPr>
          <w:color w:val="auto"/>
          <w:szCs w:val="21"/>
          <w:highlight w:val="none"/>
        </w:rPr>
      </w:pPr>
      <w:r>
        <w:rPr>
          <w:rFonts w:hint="eastAsia"/>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1BE07E2B">
      <w:pPr>
        <w:spacing w:before="120" w:line="320" w:lineRule="atLeast"/>
        <w:ind w:left="2" w:leftChars="1" w:firstLine="420" w:firstLineChars="200"/>
        <w:rPr>
          <w:color w:val="auto"/>
          <w:szCs w:val="21"/>
          <w:highlight w:val="none"/>
        </w:rPr>
      </w:pPr>
      <w:r>
        <w:rPr>
          <w:rFonts w:hint="eastAsia"/>
          <w:color w:val="auto"/>
          <w:szCs w:val="21"/>
          <w:highlight w:val="none"/>
        </w:rPr>
        <w:t>符合条件的货物制造商、工程施工单位、服务承接单位为监狱企业或残疾人福利性单位的，应按招标文件规定在投标文件中提供相关证明文件。</w:t>
      </w:r>
    </w:p>
    <w:bookmarkEnd w:id="34"/>
    <w:p w14:paraId="108D4D1E">
      <w:pPr>
        <w:spacing w:before="120" w:line="320" w:lineRule="atLeast"/>
        <w:ind w:firstLine="422" w:firstLineChars="200"/>
        <w:outlineLvl w:val="2"/>
        <w:rPr>
          <w:b/>
          <w:color w:val="auto"/>
          <w:kern w:val="0"/>
          <w:szCs w:val="21"/>
          <w:highlight w:val="none"/>
        </w:rPr>
      </w:pPr>
      <w:r>
        <w:rPr>
          <w:b/>
          <w:color w:val="auto"/>
          <w:kern w:val="0"/>
          <w:szCs w:val="21"/>
          <w:highlight w:val="none"/>
        </w:rPr>
        <w:t>1.5</w:t>
      </w:r>
      <w:r>
        <w:rPr>
          <w:rFonts w:hint="eastAsia"/>
          <w:b/>
          <w:color w:val="auto"/>
          <w:kern w:val="0"/>
          <w:szCs w:val="21"/>
          <w:highlight w:val="none"/>
        </w:rPr>
        <w:t>投标人资格要求</w:t>
      </w:r>
    </w:p>
    <w:p w14:paraId="6994C90E">
      <w:pPr>
        <w:spacing w:before="120" w:line="320" w:lineRule="atLeast"/>
        <w:ind w:firstLine="420" w:firstLineChars="200"/>
        <w:rPr>
          <w:color w:val="auto"/>
          <w:szCs w:val="21"/>
          <w:highlight w:val="none"/>
        </w:rPr>
      </w:pPr>
      <w:r>
        <w:rPr>
          <w:color w:val="auto"/>
          <w:szCs w:val="21"/>
          <w:highlight w:val="none"/>
        </w:rPr>
        <w:t>1.5.1</w:t>
      </w:r>
      <w:r>
        <w:rPr>
          <w:rFonts w:hint="eastAsia"/>
          <w:color w:val="auto"/>
          <w:szCs w:val="21"/>
          <w:highlight w:val="none"/>
        </w:rPr>
        <w:t>投标人资格要求：详见投标人须知前附表</w:t>
      </w:r>
    </w:p>
    <w:p w14:paraId="554086A5">
      <w:pPr>
        <w:spacing w:before="120" w:line="320" w:lineRule="atLeast"/>
        <w:ind w:firstLine="420" w:firstLineChars="200"/>
        <w:rPr>
          <w:color w:val="auto"/>
          <w:szCs w:val="21"/>
          <w:highlight w:val="none"/>
        </w:rPr>
      </w:pPr>
      <w:r>
        <w:rPr>
          <w:color w:val="auto"/>
          <w:szCs w:val="21"/>
          <w:highlight w:val="none"/>
        </w:rPr>
        <w:t>1.5.2</w:t>
      </w:r>
      <w:r>
        <w:rPr>
          <w:rFonts w:hint="eastAsia"/>
          <w:color w:val="auto"/>
          <w:szCs w:val="21"/>
          <w:highlight w:val="none"/>
        </w:rPr>
        <w:t>按照招标公告的规定获得招标文件。</w:t>
      </w:r>
    </w:p>
    <w:p w14:paraId="1E02397A">
      <w:pPr>
        <w:spacing w:before="120" w:line="320" w:lineRule="atLeast"/>
        <w:ind w:firstLine="420" w:firstLineChars="200"/>
        <w:rPr>
          <w:color w:val="auto"/>
          <w:szCs w:val="21"/>
          <w:highlight w:val="none"/>
        </w:rPr>
      </w:pPr>
      <w:r>
        <w:rPr>
          <w:color w:val="auto"/>
          <w:szCs w:val="21"/>
          <w:highlight w:val="none"/>
        </w:rPr>
        <w:t>1.5.3</w:t>
      </w:r>
      <w:r>
        <w:rPr>
          <w:rFonts w:hint="eastAsia"/>
          <w:color w:val="auto"/>
          <w:szCs w:val="21"/>
          <w:highlight w:val="none"/>
        </w:rPr>
        <w:t>本项目是否接受联合体投标，见“投标人须知前附表”规定。</w:t>
      </w:r>
    </w:p>
    <w:p w14:paraId="6F6EFC8A">
      <w:pPr>
        <w:spacing w:before="120" w:line="320" w:lineRule="atLeast"/>
        <w:ind w:firstLine="420" w:firstLineChars="200"/>
        <w:rPr>
          <w:color w:val="auto"/>
          <w:szCs w:val="21"/>
          <w:highlight w:val="none"/>
        </w:rPr>
      </w:pPr>
      <w:r>
        <w:rPr>
          <w:rFonts w:hint="eastAsia"/>
          <w:color w:val="auto"/>
          <w:szCs w:val="21"/>
          <w:highlight w:val="none"/>
        </w:rPr>
        <w:t xml:space="preserve">如接受联合体投标，联合体投标要求如下： </w:t>
      </w:r>
    </w:p>
    <w:p w14:paraId="138E3637">
      <w:pPr>
        <w:spacing w:before="120" w:line="320" w:lineRule="atLeast"/>
        <w:ind w:firstLine="420" w:firstLineChars="200"/>
        <w:rPr>
          <w:color w:val="auto"/>
          <w:szCs w:val="21"/>
          <w:highlight w:val="none"/>
        </w:rPr>
      </w:pPr>
      <w:r>
        <w:rPr>
          <w:rFonts w:hint="eastAsia"/>
          <w:color w:val="auto"/>
          <w:szCs w:val="21"/>
          <w:highlight w:val="none"/>
        </w:rPr>
        <w:t>（1）供应商可以组成一个投标联合体，以一个供应商的身份共同参加投标。联合体投标的，须提供《联合体协议书》（格式后附）</w:t>
      </w:r>
    </w:p>
    <w:p w14:paraId="18478113">
      <w:pPr>
        <w:spacing w:before="120" w:line="320" w:lineRule="atLeast"/>
        <w:ind w:firstLine="420" w:firstLineChars="200"/>
        <w:rPr>
          <w:color w:val="auto"/>
          <w:szCs w:val="21"/>
          <w:highlight w:val="none"/>
        </w:rPr>
      </w:pPr>
      <w:r>
        <w:rPr>
          <w:rFonts w:hint="eastAsia"/>
          <w:color w:val="auto"/>
          <w:szCs w:val="21"/>
          <w:highlight w:val="none"/>
        </w:rPr>
        <w:t>（2）以联合体形式参加投标的，联合体各方均必须具备《中华人民共和国政府采购法》第二十二条第一款规定的基本条件。本项目有特殊要求规定供应商特定条件的，联合体各方中至少有一方必须符合招标文件规定的特定条件。</w:t>
      </w:r>
    </w:p>
    <w:p w14:paraId="3C6A823E">
      <w:pPr>
        <w:spacing w:before="120" w:line="320" w:lineRule="atLeast"/>
        <w:ind w:firstLine="420" w:firstLineChars="200"/>
        <w:rPr>
          <w:color w:val="auto"/>
          <w:szCs w:val="21"/>
          <w:highlight w:val="none"/>
        </w:rPr>
      </w:pPr>
      <w:r>
        <w:rPr>
          <w:rFonts w:hint="eastAsia"/>
          <w:color w:val="auto"/>
          <w:szCs w:val="21"/>
          <w:highlight w:val="none"/>
        </w:rPr>
        <w:t>（3）联合体各方之间必须签订联合体协议，协议书必须明确主体方（或者牵头方）并明确约定联合体各方承担的工作和相应的责任，并将联合投标协议放入投标文件。联合体各方必须共同与采购人签订采购合同，就采购合同约定的事项对采购人承担连带责任。</w:t>
      </w:r>
    </w:p>
    <w:p w14:paraId="2B8B346A">
      <w:pPr>
        <w:spacing w:before="120" w:line="320" w:lineRule="atLeast"/>
        <w:ind w:firstLine="420" w:firstLineChars="200"/>
        <w:rPr>
          <w:color w:val="auto"/>
          <w:szCs w:val="21"/>
          <w:highlight w:val="none"/>
        </w:rPr>
      </w:pPr>
      <w:r>
        <w:rPr>
          <w:rFonts w:hint="eastAsia"/>
          <w:color w:val="auto"/>
          <w:szCs w:val="21"/>
          <w:highlight w:val="none"/>
        </w:rPr>
        <w:t>（4）以联合体形式参加政府采购活动的，联合体各方不得再单独参加或者与其他供应商另外组成联合体参加同一合同项下的政府采购活动。</w:t>
      </w:r>
    </w:p>
    <w:p w14:paraId="528669B5">
      <w:pPr>
        <w:spacing w:before="120" w:line="320" w:lineRule="atLeast"/>
        <w:ind w:firstLine="420" w:firstLineChars="200"/>
        <w:rPr>
          <w:color w:val="auto"/>
          <w:szCs w:val="21"/>
          <w:highlight w:val="none"/>
        </w:rPr>
      </w:pPr>
      <w:r>
        <w:rPr>
          <w:rFonts w:hint="eastAsia"/>
          <w:color w:val="auto"/>
          <w:szCs w:val="21"/>
          <w:highlight w:val="none"/>
        </w:rPr>
        <w:t>（5）联合体中有同类资质的供应商按照联合体分工承担相同工作的，应当按照资质等级较低的供应商确定资质等级。</w:t>
      </w:r>
    </w:p>
    <w:p w14:paraId="5280BDF0">
      <w:pPr>
        <w:spacing w:before="120" w:line="320" w:lineRule="atLeast"/>
        <w:ind w:firstLine="420" w:firstLineChars="200"/>
        <w:rPr>
          <w:color w:val="auto"/>
          <w:szCs w:val="21"/>
          <w:highlight w:val="none"/>
        </w:rPr>
      </w:pPr>
      <w:r>
        <w:rPr>
          <w:rFonts w:hint="eastAsia"/>
          <w:color w:val="auto"/>
          <w:szCs w:val="21"/>
          <w:highlight w:val="none"/>
        </w:rPr>
        <w:t>（6）联合体投标业绩、履约能力按照联合体各方其中较高的一方认定并计算（招标文件其他章节另有规定的除外）。</w:t>
      </w:r>
    </w:p>
    <w:p w14:paraId="1F0351F8">
      <w:pPr>
        <w:spacing w:before="120" w:line="320" w:lineRule="atLeast"/>
        <w:ind w:firstLine="420" w:firstLineChars="200"/>
        <w:rPr>
          <w:color w:val="auto"/>
          <w:szCs w:val="21"/>
          <w:highlight w:val="none"/>
        </w:rPr>
      </w:pPr>
      <w:r>
        <w:rPr>
          <w:rFonts w:hint="eastAsia"/>
          <w:color w:val="auto"/>
          <w:szCs w:val="21"/>
          <w:highlight w:val="none"/>
        </w:rPr>
        <w:t>（7）供应商为联合体的，可以由联合体中的一方或者多方共同交纳投标保证金，其交纳的保证金对联合体各方均具有约束力。</w:t>
      </w:r>
    </w:p>
    <w:p w14:paraId="2E43AE4E">
      <w:pPr>
        <w:spacing w:before="120" w:line="320" w:lineRule="atLeast"/>
        <w:ind w:firstLine="420" w:firstLineChars="200"/>
        <w:rPr>
          <w:color w:val="auto"/>
          <w:szCs w:val="21"/>
          <w:highlight w:val="none"/>
        </w:rPr>
      </w:pPr>
      <w:r>
        <w:rPr>
          <w:rFonts w:hint="eastAsia"/>
          <w:color w:val="auto"/>
          <w:szCs w:val="21"/>
          <w:highlight w:val="none"/>
        </w:rPr>
        <w:t>（8）联合体各方均应按照招标文件的规定提交资格证明文件。</w:t>
      </w:r>
    </w:p>
    <w:p w14:paraId="3120CFFE">
      <w:pPr>
        <w:spacing w:before="120" w:line="320" w:lineRule="atLeast"/>
        <w:ind w:firstLine="422" w:firstLineChars="200"/>
        <w:outlineLvl w:val="2"/>
        <w:rPr>
          <w:b/>
          <w:color w:val="auto"/>
          <w:kern w:val="0"/>
          <w:szCs w:val="21"/>
          <w:highlight w:val="none"/>
        </w:rPr>
      </w:pPr>
      <w:r>
        <w:rPr>
          <w:b/>
          <w:color w:val="auto"/>
          <w:kern w:val="0"/>
          <w:szCs w:val="21"/>
          <w:highlight w:val="none"/>
        </w:rPr>
        <w:t>1.6</w:t>
      </w:r>
      <w:r>
        <w:rPr>
          <w:rFonts w:hint="eastAsia"/>
          <w:b/>
          <w:color w:val="auto"/>
          <w:kern w:val="0"/>
          <w:szCs w:val="21"/>
          <w:highlight w:val="none"/>
        </w:rPr>
        <w:t>现场踏勘及投标费用</w:t>
      </w:r>
    </w:p>
    <w:p w14:paraId="22202C3B">
      <w:pPr>
        <w:spacing w:before="120" w:line="320" w:lineRule="atLeast"/>
        <w:ind w:firstLine="420" w:firstLineChars="200"/>
        <w:rPr>
          <w:color w:val="auto"/>
          <w:szCs w:val="21"/>
          <w:highlight w:val="none"/>
        </w:rPr>
      </w:pPr>
      <w:r>
        <w:rPr>
          <w:color w:val="auto"/>
          <w:szCs w:val="21"/>
          <w:highlight w:val="none"/>
        </w:rPr>
        <w:t>1.6.1</w:t>
      </w:r>
      <w:r>
        <w:rPr>
          <w:rFonts w:hint="eastAsia"/>
          <w:color w:val="auto"/>
          <w:szCs w:val="21"/>
          <w:highlight w:val="none"/>
        </w:rPr>
        <w:t>前附表如规定现场踏勘的，供应商应按规定时间地点参加踏勘。</w:t>
      </w:r>
    </w:p>
    <w:p w14:paraId="7DC6C271">
      <w:pPr>
        <w:spacing w:before="120" w:line="320" w:lineRule="atLeast"/>
        <w:ind w:firstLine="420" w:firstLineChars="200"/>
        <w:rPr>
          <w:color w:val="auto"/>
          <w:szCs w:val="21"/>
          <w:highlight w:val="none"/>
        </w:rPr>
      </w:pPr>
      <w:r>
        <w:rPr>
          <w:color w:val="auto"/>
          <w:szCs w:val="21"/>
          <w:highlight w:val="none"/>
        </w:rPr>
        <w:t>1.6.2</w:t>
      </w:r>
      <w:r>
        <w:rPr>
          <w:rFonts w:hint="eastAsia"/>
          <w:color w:val="auto"/>
          <w:szCs w:val="21"/>
          <w:highlight w:val="none"/>
        </w:rPr>
        <w:t>供应商均应自行承担所有与投标有关的全部费用（招标文件有相关的规定除外）。</w:t>
      </w:r>
    </w:p>
    <w:p w14:paraId="475AF177">
      <w:pPr>
        <w:spacing w:before="120" w:line="320" w:lineRule="atLeast"/>
        <w:ind w:firstLine="422" w:firstLineChars="200"/>
        <w:outlineLvl w:val="2"/>
        <w:rPr>
          <w:b/>
          <w:color w:val="auto"/>
          <w:kern w:val="0"/>
          <w:szCs w:val="21"/>
          <w:highlight w:val="none"/>
        </w:rPr>
      </w:pPr>
      <w:r>
        <w:rPr>
          <w:b/>
          <w:color w:val="auto"/>
          <w:kern w:val="0"/>
          <w:szCs w:val="21"/>
          <w:highlight w:val="none"/>
        </w:rPr>
        <w:t>1.7</w:t>
      </w:r>
      <w:r>
        <w:rPr>
          <w:rFonts w:hint="eastAsia"/>
          <w:b/>
          <w:color w:val="auto"/>
          <w:kern w:val="0"/>
          <w:szCs w:val="21"/>
          <w:highlight w:val="none"/>
        </w:rPr>
        <w:t>转包与分包</w:t>
      </w:r>
    </w:p>
    <w:p w14:paraId="7A1A3412">
      <w:pPr>
        <w:spacing w:before="120" w:line="320" w:lineRule="atLeast"/>
        <w:ind w:firstLine="420" w:firstLineChars="200"/>
        <w:rPr>
          <w:color w:val="auto"/>
          <w:szCs w:val="21"/>
          <w:highlight w:val="none"/>
        </w:rPr>
      </w:pPr>
      <w:r>
        <w:rPr>
          <w:color w:val="auto"/>
          <w:szCs w:val="21"/>
          <w:highlight w:val="none"/>
        </w:rPr>
        <w:t>1.7.1</w:t>
      </w:r>
      <w:r>
        <w:rPr>
          <w:rFonts w:hint="eastAsia"/>
          <w:color w:val="auto"/>
          <w:szCs w:val="21"/>
          <w:highlight w:val="none"/>
        </w:rPr>
        <w:t>如招标文件其他地方无特别规定，本项目不允许转包。</w:t>
      </w:r>
    </w:p>
    <w:p w14:paraId="04719604">
      <w:pPr>
        <w:spacing w:before="120" w:line="320" w:lineRule="atLeast"/>
        <w:ind w:firstLine="420" w:firstLineChars="200"/>
        <w:rPr>
          <w:color w:val="auto"/>
          <w:szCs w:val="21"/>
          <w:highlight w:val="none"/>
        </w:rPr>
      </w:pPr>
      <w:r>
        <w:rPr>
          <w:color w:val="auto"/>
          <w:szCs w:val="21"/>
          <w:highlight w:val="none"/>
        </w:rPr>
        <w:t>1.7.2</w:t>
      </w:r>
      <w:r>
        <w:rPr>
          <w:rFonts w:hint="eastAsia"/>
          <w:color w:val="auto"/>
          <w:szCs w:val="21"/>
          <w:highlight w:val="none"/>
        </w:rPr>
        <w:t>本项目是否允许分包详见“投标人须知前附表”，本项目不允许违法分包。供应商根据招标文件的规定和采购项目的实际情况，拟在中标后将中标项目的非主体、非关键性工作分包的，应当在投标文件中载明分包承担主体，分包承担主体应当具备相应资质条件且不得再次分包。</w:t>
      </w:r>
    </w:p>
    <w:p w14:paraId="0F4578AF">
      <w:pPr>
        <w:spacing w:before="120" w:line="276" w:lineRule="auto"/>
        <w:ind w:firstLine="422" w:firstLineChars="200"/>
        <w:outlineLvl w:val="2"/>
        <w:rPr>
          <w:b/>
          <w:color w:val="auto"/>
          <w:kern w:val="0"/>
          <w:szCs w:val="21"/>
          <w:highlight w:val="none"/>
        </w:rPr>
      </w:pPr>
      <w:r>
        <w:rPr>
          <w:b/>
          <w:color w:val="auto"/>
          <w:kern w:val="0"/>
          <w:szCs w:val="21"/>
          <w:highlight w:val="none"/>
        </w:rPr>
        <w:t>1.8</w:t>
      </w:r>
      <w:r>
        <w:rPr>
          <w:rFonts w:hint="eastAsia"/>
          <w:b/>
          <w:color w:val="auto"/>
          <w:kern w:val="0"/>
          <w:szCs w:val="21"/>
          <w:highlight w:val="none"/>
        </w:rPr>
        <w:t>特别说明</w:t>
      </w:r>
    </w:p>
    <w:p w14:paraId="4E2C151D">
      <w:pPr>
        <w:spacing w:line="276" w:lineRule="auto"/>
        <w:ind w:firstLine="420" w:firstLineChars="200"/>
        <w:rPr>
          <w:color w:val="auto"/>
          <w:szCs w:val="21"/>
          <w:highlight w:val="none"/>
        </w:rPr>
      </w:pPr>
      <w:r>
        <w:rPr>
          <w:color w:val="auto"/>
          <w:szCs w:val="21"/>
          <w:highlight w:val="none"/>
        </w:rPr>
        <w:t xml:space="preserve">1.8.1 </w:t>
      </w:r>
      <w:r>
        <w:rPr>
          <w:rFonts w:hint="eastAsia"/>
          <w:color w:val="auto"/>
          <w:szCs w:val="21"/>
          <w:highlight w:val="none"/>
        </w:rPr>
        <w:t>供应商应保证其提供的联系方式（电话、传真、电子邮件）有效，以保证往来函件（澄清、修改等）能及时通知供应商，并能及时反馈，否则采购人及代理机构不承担由此引起的一切后果。</w:t>
      </w:r>
    </w:p>
    <w:p w14:paraId="696534A0">
      <w:pPr>
        <w:spacing w:before="120" w:line="320" w:lineRule="atLeast"/>
        <w:ind w:firstLine="420" w:firstLineChars="200"/>
        <w:rPr>
          <w:color w:val="auto"/>
          <w:szCs w:val="21"/>
          <w:highlight w:val="none"/>
        </w:rPr>
      </w:pPr>
      <w:r>
        <w:rPr>
          <w:color w:val="auto"/>
          <w:szCs w:val="21"/>
          <w:highlight w:val="none"/>
        </w:rPr>
        <w:t>1.8.2</w:t>
      </w:r>
      <w:r>
        <w:rPr>
          <w:rFonts w:hint="eastAsia"/>
          <w:color w:val="auto"/>
          <w:szCs w:val="21"/>
          <w:highlight w:val="none"/>
        </w:rPr>
        <w:t>供应商应仔细阅读招标文件的所有内容，按照招标文件的要求提交投标文件，并对所提供的全部资料的真实性承担法律责任。</w:t>
      </w:r>
    </w:p>
    <w:p w14:paraId="6EE87A4D">
      <w:pPr>
        <w:spacing w:before="120" w:line="360" w:lineRule="auto"/>
        <w:ind w:firstLine="420" w:firstLineChars="200"/>
        <w:rPr>
          <w:color w:val="auto"/>
          <w:szCs w:val="21"/>
          <w:highlight w:val="none"/>
        </w:rPr>
      </w:pPr>
      <w:r>
        <w:rPr>
          <w:color w:val="auto"/>
          <w:szCs w:val="21"/>
          <w:highlight w:val="none"/>
        </w:rPr>
        <w:t>1.8.3</w:t>
      </w:r>
      <w:r>
        <w:rPr>
          <w:rFonts w:hint="eastAsia"/>
          <w:color w:val="auto"/>
          <w:szCs w:val="21"/>
          <w:highlight w:val="none"/>
        </w:rPr>
        <w:t xml:space="preserve">供应商在投标活动中提供任何虚假材料，将报监管部门查处； </w:t>
      </w:r>
    </w:p>
    <w:p w14:paraId="712E0AFA">
      <w:pPr>
        <w:spacing w:before="120" w:line="276" w:lineRule="auto"/>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w:t>
      </w:r>
      <w:r>
        <w:rPr>
          <w:rFonts w:hint="eastAsia"/>
          <w:b/>
          <w:bCs/>
          <w:color w:val="auto"/>
          <w:kern w:val="0"/>
          <w:szCs w:val="21"/>
          <w:highlight w:val="none"/>
        </w:rPr>
        <w:t>9 对本国产品的支持政策</w:t>
      </w:r>
    </w:p>
    <w:p w14:paraId="5F62AE70">
      <w:pPr>
        <w:spacing w:before="120" w:line="360" w:lineRule="auto"/>
        <w:ind w:left="819" w:leftChars="190" w:hanging="420" w:hangingChars="200"/>
        <w:rPr>
          <w:color w:val="auto"/>
          <w:szCs w:val="21"/>
          <w:highlight w:val="none"/>
        </w:rPr>
      </w:pPr>
      <w:r>
        <w:rPr>
          <w:rFonts w:hint="eastAsia"/>
          <w:color w:val="auto"/>
          <w:szCs w:val="21"/>
          <w:highlight w:val="none"/>
        </w:rPr>
        <w:t>1.9.1</w:t>
      </w:r>
      <w:r>
        <w:rPr>
          <w:color w:val="auto"/>
          <w:szCs w:val="21"/>
          <w:highlight w:val="none"/>
        </w:rPr>
        <w:t>本国产品标准</w:t>
      </w:r>
    </w:p>
    <w:p w14:paraId="618DF5B4">
      <w:pPr>
        <w:spacing w:line="276" w:lineRule="auto"/>
        <w:ind w:firstLine="420" w:firstLineChars="200"/>
        <w:rPr>
          <w:color w:val="auto"/>
          <w:szCs w:val="21"/>
          <w:highlight w:val="none"/>
        </w:rPr>
      </w:pPr>
      <w:r>
        <w:rPr>
          <w:rFonts w:hint="eastAsia"/>
          <w:color w:val="auto"/>
          <w:szCs w:val="21"/>
          <w:highlight w:val="none"/>
        </w:rPr>
        <w:t>“本国产品标准的产品”是指：符合《国务院办公厅关于在政府采购中实施本国产品标准及相关政策的通知》（国办发〔2025〕34号）规定的本国产品标准的产品。</w:t>
      </w:r>
    </w:p>
    <w:p w14:paraId="57582A43">
      <w:pPr>
        <w:spacing w:line="276" w:lineRule="auto"/>
        <w:ind w:firstLine="420" w:firstLineChars="200"/>
        <w:rPr>
          <w:color w:val="auto"/>
          <w:szCs w:val="21"/>
          <w:highlight w:val="none"/>
        </w:rPr>
      </w:pPr>
      <w:r>
        <w:rPr>
          <w:rFonts w:hint="eastAsia"/>
          <w:color w:val="auto"/>
          <w:szCs w:val="21"/>
          <w:highlight w:val="none"/>
        </w:rPr>
        <w:t>本国产品标准的产品应当符合以下条件：</w:t>
      </w:r>
    </w:p>
    <w:p w14:paraId="61DDA1D1">
      <w:pPr>
        <w:spacing w:line="276" w:lineRule="auto"/>
        <w:ind w:firstLine="420" w:firstLineChars="200"/>
        <w:rPr>
          <w:color w:val="auto"/>
          <w:szCs w:val="21"/>
          <w:highlight w:val="none"/>
        </w:rPr>
      </w:pPr>
      <w:r>
        <w:rPr>
          <w:rFonts w:hint="eastAsia"/>
          <w:color w:val="auto"/>
          <w:szCs w:val="21"/>
          <w:highlight w:val="none"/>
        </w:rPr>
        <w:t>（1）</w:t>
      </w:r>
      <w:r>
        <w:rPr>
          <w:color w:val="auto"/>
          <w:szCs w:val="21"/>
          <w:highlight w:val="none"/>
        </w:rPr>
        <w:t>在中国境内生产</w:t>
      </w:r>
      <w:r>
        <w:rPr>
          <w:rFonts w:hint="eastAsia"/>
          <w:color w:val="auto"/>
          <w:szCs w:val="21"/>
          <w:highlight w:val="none"/>
        </w:rPr>
        <w:t>。</w:t>
      </w:r>
      <w:r>
        <w:rPr>
          <w:color w:val="auto"/>
          <w:szCs w:val="21"/>
          <w:highlight w:val="none"/>
        </w:rPr>
        <w:t>产品应当在中国境内生产，即在中华人民共和国关境内</w:t>
      </w:r>
      <w:r>
        <w:rPr>
          <w:rFonts w:hint="eastAsia"/>
          <w:color w:val="auto"/>
          <w:szCs w:val="21"/>
          <w:highlight w:val="none"/>
        </w:rPr>
        <w:t>（含保税区、综合保税区等海关特殊监管区域）</w:t>
      </w:r>
      <w:r>
        <w:rPr>
          <w:color w:val="auto"/>
          <w:szCs w:val="21"/>
          <w:highlight w:val="none"/>
        </w:rPr>
        <w:t>实现从原材料、组件到产品的属性改变；属性改变是指经过制造、加工或者组装等工序，产生完全不同于原材料、组件的新产品，并具有新的名称和特征（用途），属性改变不包括以下细微操作：</w:t>
      </w:r>
    </w:p>
    <w:p w14:paraId="13BD1523">
      <w:pPr>
        <w:spacing w:line="276" w:lineRule="auto"/>
        <w:ind w:firstLine="420" w:firstLineChars="200"/>
        <w:rPr>
          <w:color w:val="auto"/>
          <w:szCs w:val="21"/>
          <w:highlight w:val="none"/>
        </w:rPr>
      </w:pPr>
      <w:r>
        <w:rPr>
          <w:color w:val="auto"/>
          <w:szCs w:val="21"/>
          <w:highlight w:val="none"/>
        </w:rPr>
        <w:t>①为确保产品在运输或者储存期间保持某种状态而进行的操作；</w:t>
      </w:r>
    </w:p>
    <w:p w14:paraId="6E1C01FF">
      <w:pPr>
        <w:spacing w:line="276" w:lineRule="auto"/>
        <w:ind w:firstLine="420" w:firstLineChars="200"/>
        <w:rPr>
          <w:color w:val="auto"/>
          <w:szCs w:val="21"/>
          <w:highlight w:val="none"/>
        </w:rPr>
      </w:pPr>
      <w:r>
        <w:rPr>
          <w:color w:val="auto"/>
          <w:szCs w:val="21"/>
          <w:highlight w:val="none"/>
        </w:rPr>
        <w:t>②为产品运输或者销售进行的包装或者展示；</w:t>
      </w:r>
    </w:p>
    <w:p w14:paraId="53A2B181">
      <w:pPr>
        <w:spacing w:line="276" w:lineRule="auto"/>
        <w:ind w:firstLine="420" w:firstLineChars="200"/>
        <w:rPr>
          <w:color w:val="auto"/>
          <w:szCs w:val="21"/>
          <w:highlight w:val="none"/>
        </w:rPr>
      </w:pPr>
      <w:r>
        <w:rPr>
          <w:color w:val="auto"/>
          <w:szCs w:val="21"/>
          <w:highlight w:val="none"/>
        </w:rPr>
        <w:t>③在产品或者其包装上粘贴或者印刷品牌、标志、标识以及其他用于区别的标记；</w:t>
      </w:r>
    </w:p>
    <w:p w14:paraId="6599A9BA">
      <w:pPr>
        <w:spacing w:line="276" w:lineRule="auto"/>
        <w:ind w:firstLine="420" w:firstLineChars="200"/>
        <w:rPr>
          <w:color w:val="auto"/>
          <w:szCs w:val="21"/>
          <w:highlight w:val="none"/>
        </w:rPr>
      </w:pPr>
      <w:r>
        <w:rPr>
          <w:color w:val="auto"/>
          <w:szCs w:val="21"/>
          <w:highlight w:val="none"/>
        </w:rPr>
        <w:t>④简单的上漆、磨光和分装；</w:t>
      </w:r>
    </w:p>
    <w:p w14:paraId="59A98989">
      <w:pPr>
        <w:spacing w:line="276" w:lineRule="auto"/>
        <w:ind w:firstLine="420" w:firstLineChars="200"/>
        <w:rPr>
          <w:color w:val="auto"/>
          <w:szCs w:val="21"/>
          <w:highlight w:val="none"/>
        </w:rPr>
      </w:pPr>
      <w:r>
        <w:rPr>
          <w:color w:val="auto"/>
          <w:szCs w:val="21"/>
          <w:highlight w:val="none"/>
        </w:rPr>
        <w:t>⑤其他不属于属性改变的情形；</w:t>
      </w:r>
    </w:p>
    <w:p w14:paraId="0F5D175A">
      <w:pPr>
        <w:spacing w:line="276" w:lineRule="auto"/>
        <w:ind w:firstLine="420" w:firstLineChars="200"/>
        <w:rPr>
          <w:color w:val="auto"/>
          <w:szCs w:val="21"/>
          <w:highlight w:val="none"/>
        </w:rPr>
      </w:pPr>
      <w:r>
        <w:rPr>
          <w:rFonts w:hint="eastAsia"/>
          <w:color w:val="auto"/>
          <w:szCs w:val="21"/>
          <w:highlight w:val="none"/>
        </w:rPr>
        <w:t>（2）</w:t>
      </w:r>
      <w:r>
        <w:rPr>
          <w:color w:val="auto"/>
          <w:szCs w:val="21"/>
          <w:highlight w:val="none"/>
        </w:rPr>
        <w:t>中国境内生产的组件成本占比达到规定比例</w:t>
      </w:r>
      <w:r>
        <w:rPr>
          <w:rFonts w:hint="eastAsia"/>
          <w:color w:val="auto"/>
          <w:szCs w:val="21"/>
          <w:highlight w:val="none"/>
        </w:rPr>
        <w:t>。</w:t>
      </w:r>
    </w:p>
    <w:p w14:paraId="0026F52F">
      <w:pPr>
        <w:spacing w:line="276" w:lineRule="auto"/>
        <w:ind w:firstLine="420" w:firstLineChars="200"/>
        <w:rPr>
          <w:color w:val="auto"/>
          <w:szCs w:val="21"/>
          <w:highlight w:val="none"/>
        </w:rPr>
      </w:pPr>
      <w:r>
        <w:rPr>
          <w:rFonts w:hint="eastAsia"/>
          <w:color w:val="auto"/>
          <w:szCs w:val="21"/>
          <w:highlight w:val="none"/>
        </w:rPr>
        <w:t>①产品在中国境内生产的组件成本占比应当达到规定比例，计算公式为：产品在中国境内生产的组件成本/产品总成本≥规定比例；</w:t>
      </w:r>
    </w:p>
    <w:p w14:paraId="52B5CEC1">
      <w:pPr>
        <w:spacing w:line="276" w:lineRule="auto"/>
        <w:ind w:firstLine="420" w:firstLineChars="200"/>
        <w:rPr>
          <w:color w:val="auto"/>
          <w:szCs w:val="21"/>
          <w:highlight w:val="none"/>
        </w:rPr>
      </w:pPr>
      <w:r>
        <w:rPr>
          <w:rFonts w:hint="eastAsia"/>
          <w:color w:val="auto"/>
          <w:szCs w:val="21"/>
          <w:highlight w:val="none"/>
        </w:rPr>
        <w:t>②产品在中国境内生产的组件成本，按照《中国境内生产的组件成本核算基本规则》计算；</w:t>
      </w:r>
    </w:p>
    <w:p w14:paraId="57F65958">
      <w:pPr>
        <w:spacing w:line="276" w:lineRule="auto"/>
        <w:ind w:firstLine="420" w:firstLineChars="200"/>
        <w:rPr>
          <w:color w:val="auto"/>
          <w:szCs w:val="21"/>
          <w:highlight w:val="none"/>
        </w:rPr>
      </w:pPr>
      <w:r>
        <w:rPr>
          <w:rFonts w:hint="eastAsia"/>
          <w:color w:val="auto"/>
          <w:szCs w:val="21"/>
          <w:highlight w:val="none"/>
        </w:rPr>
        <w:t>③中国境内生产的组件成本占比相关要求实施前，符合第（1）项条件的产品在政府采购活动中视同本国产品。</w:t>
      </w:r>
    </w:p>
    <w:p w14:paraId="447B2A18">
      <w:pPr>
        <w:spacing w:line="276" w:lineRule="auto"/>
        <w:ind w:firstLine="420" w:firstLineChars="200"/>
        <w:rPr>
          <w:color w:val="auto"/>
          <w:szCs w:val="21"/>
          <w:highlight w:val="none"/>
        </w:rPr>
      </w:pPr>
      <w:r>
        <w:rPr>
          <w:rFonts w:hint="eastAsia"/>
          <w:color w:val="auto"/>
          <w:szCs w:val="21"/>
          <w:highlight w:val="none"/>
        </w:rPr>
        <w:t>（3）</w:t>
      </w:r>
      <w:r>
        <w:rPr>
          <w:color w:val="auto"/>
          <w:szCs w:val="21"/>
          <w:highlight w:val="none"/>
        </w:rPr>
        <w:t>特定产品的关键组件和工序在中国境内完成。</w:t>
      </w:r>
    </w:p>
    <w:p w14:paraId="0C806602">
      <w:pPr>
        <w:spacing w:line="276" w:lineRule="auto"/>
        <w:ind w:firstLine="420" w:firstLineChars="200"/>
        <w:rPr>
          <w:color w:val="auto"/>
          <w:szCs w:val="21"/>
          <w:highlight w:val="none"/>
        </w:rPr>
      </w:pPr>
      <w:r>
        <w:rPr>
          <w:rFonts w:hint="eastAsia"/>
          <w:color w:val="auto"/>
          <w:szCs w:val="21"/>
          <w:highlight w:val="none"/>
        </w:rPr>
        <w:t>①对特定产品，在符合第（1）项和第（2）项条件的基础上，应当符合财政部会同有关行业主管部门确定的其关键组件、关键工序在中国境内生产、完成等要求；</w:t>
      </w:r>
    </w:p>
    <w:p w14:paraId="6B21B4E8">
      <w:pPr>
        <w:spacing w:line="276" w:lineRule="auto"/>
        <w:ind w:firstLine="420" w:firstLineChars="200"/>
        <w:rPr>
          <w:color w:val="auto"/>
          <w:szCs w:val="21"/>
          <w:highlight w:val="none"/>
        </w:rPr>
      </w:pPr>
      <w:r>
        <w:rPr>
          <w:rFonts w:hint="eastAsia"/>
          <w:color w:val="auto"/>
          <w:szCs w:val="21"/>
          <w:highlight w:val="none"/>
        </w:rPr>
        <w:t>②特定产品的关键组件、关键工序符合相关要求实施前，符合第（1）项和第（2）项条件的产品在政府采购活动中视同本国产品。</w:t>
      </w:r>
    </w:p>
    <w:p w14:paraId="1AB82CC7">
      <w:pPr>
        <w:spacing w:before="120" w:line="360" w:lineRule="auto"/>
        <w:ind w:left="819" w:leftChars="190" w:hanging="420" w:hangingChars="200"/>
        <w:rPr>
          <w:color w:val="auto"/>
          <w:szCs w:val="21"/>
          <w:highlight w:val="none"/>
        </w:rPr>
      </w:pPr>
      <w:r>
        <w:rPr>
          <w:rFonts w:hint="eastAsia"/>
          <w:color w:val="auto"/>
          <w:szCs w:val="21"/>
          <w:highlight w:val="none"/>
        </w:rPr>
        <w:t>1.9.2 本国产品标准的适用范围</w:t>
      </w:r>
    </w:p>
    <w:p w14:paraId="40EAE7F2">
      <w:pPr>
        <w:spacing w:line="276" w:lineRule="auto"/>
        <w:ind w:firstLine="420" w:firstLineChars="200"/>
        <w:rPr>
          <w:color w:val="auto"/>
          <w:szCs w:val="21"/>
          <w:highlight w:val="none"/>
        </w:rPr>
      </w:pPr>
      <w:r>
        <w:rPr>
          <w:color w:val="auto"/>
          <w:szCs w:val="21"/>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b/>
          <w:bCs/>
          <w:color w:val="auto"/>
          <w:szCs w:val="21"/>
          <w:highlight w:val="none"/>
        </w:rPr>
        <w:t>本项目是否适用对本国产品的支持政策详见投标人须知前附表。</w:t>
      </w:r>
    </w:p>
    <w:p w14:paraId="64FDF61F">
      <w:pPr>
        <w:spacing w:line="276" w:lineRule="auto"/>
        <w:ind w:firstLine="420" w:firstLineChars="200"/>
        <w:rPr>
          <w:color w:val="auto"/>
          <w:szCs w:val="21"/>
          <w:highlight w:val="none"/>
        </w:rPr>
      </w:pPr>
      <w:r>
        <w:rPr>
          <w:color w:val="auto"/>
          <w:szCs w:val="21"/>
          <w:highlight w:val="none"/>
        </w:rPr>
        <w:t>中华人民共和国缔结或者共同参加的国际条约、协定对政府采购中本国产品政策另有规定的，按照有关条约、协定执行。</w:t>
      </w:r>
    </w:p>
    <w:p w14:paraId="0C0C3BFD">
      <w:pPr>
        <w:spacing w:before="120" w:line="320" w:lineRule="atLeast"/>
        <w:ind w:firstLine="420" w:firstLineChars="200"/>
        <w:rPr>
          <w:color w:val="auto"/>
          <w:szCs w:val="21"/>
          <w:highlight w:val="none"/>
        </w:rPr>
      </w:pPr>
      <w:r>
        <w:rPr>
          <w:rFonts w:hint="eastAsia"/>
          <w:color w:val="auto"/>
          <w:szCs w:val="21"/>
          <w:highlight w:val="none"/>
        </w:rPr>
        <w:t>1.9.3 价格评审优惠</w:t>
      </w:r>
    </w:p>
    <w:p w14:paraId="1076980C">
      <w:pPr>
        <w:spacing w:before="120" w:line="320" w:lineRule="atLeast"/>
        <w:ind w:firstLine="420" w:firstLineChars="200"/>
        <w:rPr>
          <w:color w:val="auto"/>
          <w:szCs w:val="21"/>
          <w:highlight w:val="none"/>
        </w:rPr>
      </w:pPr>
      <w:r>
        <w:rPr>
          <w:rFonts w:hint="eastAsia"/>
          <w:color w:val="auto"/>
          <w:szCs w:val="21"/>
          <w:highlight w:val="none"/>
        </w:rPr>
        <w:t>既有本国产品又有非本国产品参与竞争的，依法对本国产品给予价格评审优惠，对本国产品的报价给予20%的价格扣除，用扣除后的价格参与评审。</w:t>
      </w:r>
    </w:p>
    <w:p w14:paraId="46F3CDF6">
      <w:pPr>
        <w:spacing w:before="120" w:line="320" w:lineRule="atLeast"/>
        <w:ind w:firstLine="420" w:firstLineChars="200"/>
        <w:rPr>
          <w:color w:val="auto"/>
          <w:szCs w:val="21"/>
          <w:highlight w:val="none"/>
        </w:rPr>
      </w:pPr>
      <w:r>
        <w:rPr>
          <w:rFonts w:hint="eastAsia"/>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ED53A25">
      <w:pPr>
        <w:spacing w:before="120" w:line="320" w:lineRule="atLeast"/>
        <w:ind w:firstLine="420" w:firstLineChars="200"/>
        <w:rPr>
          <w:color w:val="auto"/>
          <w:szCs w:val="21"/>
          <w:highlight w:val="none"/>
        </w:rPr>
      </w:pPr>
      <w:r>
        <w:rPr>
          <w:rFonts w:hint="eastAsia"/>
          <w:color w:val="auto"/>
          <w:szCs w:val="21"/>
          <w:highlight w:val="none"/>
        </w:rPr>
        <w:t>价格扣除比例在第四章评审方法及标准中规定。</w:t>
      </w:r>
    </w:p>
    <w:p w14:paraId="36F90E2F">
      <w:pPr>
        <w:spacing w:before="120" w:line="320" w:lineRule="atLeast"/>
        <w:ind w:firstLine="420" w:firstLineChars="200"/>
        <w:rPr>
          <w:color w:val="auto"/>
          <w:szCs w:val="21"/>
          <w:highlight w:val="none"/>
        </w:rPr>
      </w:pPr>
      <w:r>
        <w:rPr>
          <w:rFonts w:hint="eastAsia"/>
          <w:color w:val="auto"/>
          <w:szCs w:val="21"/>
          <w:highlight w:val="none"/>
        </w:rPr>
        <w:t>1.9.4政策执行要求</w:t>
      </w:r>
    </w:p>
    <w:p w14:paraId="448F016C">
      <w:pPr>
        <w:spacing w:before="120" w:line="320" w:lineRule="atLeast"/>
        <w:ind w:firstLine="420" w:firstLineChars="200"/>
        <w:rPr>
          <w:color w:val="auto"/>
          <w:szCs w:val="21"/>
          <w:highlight w:val="none"/>
        </w:rPr>
      </w:pPr>
      <w:r>
        <w:rPr>
          <w:rFonts w:hint="eastAsia"/>
          <w:color w:val="auto"/>
          <w:szCs w:val="21"/>
          <w:highlight w:val="none"/>
        </w:rPr>
        <w:t>1</w:t>
      </w:r>
      <w:r>
        <w:rPr>
          <w:rFonts w:hint="eastAsia"/>
          <w:color w:val="auto"/>
          <w:szCs w:val="21"/>
          <w:highlight w:val="none"/>
          <w:lang w:val="en-US" w:eastAsia="zh-CN"/>
        </w:rPr>
        <w:t>.</w:t>
      </w:r>
      <w:r>
        <w:rPr>
          <w:rFonts w:hint="eastAsia"/>
          <w:color w:val="auto"/>
          <w:szCs w:val="21"/>
          <w:highlight w:val="none"/>
        </w:rPr>
        <w:t>9.4.1产品在中国境内生产的组件成本核算规则：产品在中国境内生产的组件成本，按照《中国境内生产的组件成本核算基本规则》计算。</w:t>
      </w:r>
    </w:p>
    <w:p w14:paraId="420692C0">
      <w:pPr>
        <w:spacing w:before="120" w:line="360" w:lineRule="auto"/>
        <w:ind w:firstLine="2520" w:firstLineChars="1200"/>
        <w:rPr>
          <w:color w:val="auto"/>
          <w:szCs w:val="21"/>
          <w:highlight w:val="none"/>
        </w:rPr>
      </w:pPr>
      <w:r>
        <w:rPr>
          <w:rFonts w:hint="eastAsia"/>
          <w:color w:val="auto"/>
          <w:szCs w:val="21"/>
          <w:highlight w:val="none"/>
        </w:rPr>
        <w:t>《中国境内生产的组件成本核算基本规则》</w:t>
      </w:r>
    </w:p>
    <w:p w14:paraId="21C7DE0F">
      <w:pPr>
        <w:spacing w:before="120"/>
        <w:ind w:firstLine="420" w:firstLineChars="200"/>
        <w:rPr>
          <w:color w:val="auto"/>
          <w:szCs w:val="21"/>
          <w:highlight w:val="none"/>
        </w:rPr>
      </w:pPr>
      <w:r>
        <w:rPr>
          <w:rFonts w:hint="eastAsia"/>
          <w:color w:val="auto"/>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3744B05">
      <w:pPr>
        <w:spacing w:before="120"/>
        <w:ind w:firstLine="420" w:firstLineChars="200"/>
        <w:rPr>
          <w:color w:val="auto"/>
          <w:szCs w:val="21"/>
          <w:highlight w:val="none"/>
        </w:rPr>
      </w:pPr>
      <w:r>
        <w:rPr>
          <w:rFonts w:hint="eastAsia"/>
          <w:color w:val="auto"/>
          <w:szCs w:val="21"/>
          <w:highlight w:val="none"/>
        </w:rPr>
        <w:t>1.产品的一级组件是指直接组成产品的组件。产品的二级组件是指直接组成产品一级组件的组件。一级组件不可分解的，视同二级组件。</w:t>
      </w:r>
    </w:p>
    <w:p w14:paraId="459AACE5">
      <w:pPr>
        <w:spacing w:before="120"/>
        <w:ind w:firstLine="420" w:firstLineChars="200"/>
        <w:rPr>
          <w:color w:val="auto"/>
          <w:szCs w:val="21"/>
          <w:highlight w:val="none"/>
        </w:rPr>
      </w:pPr>
      <w:r>
        <w:rPr>
          <w:rFonts w:hint="eastAsia"/>
          <w:color w:val="auto"/>
          <w:szCs w:val="21"/>
          <w:highlight w:val="none"/>
        </w:rPr>
        <w:t>2.二级组件在中国境内生产的，其全部成本计入中国境内生产的组件成本；二级组件不在中国境内生产的，其成本不计入中国境内生产的组件成本。</w:t>
      </w:r>
    </w:p>
    <w:p w14:paraId="2B3FBD02">
      <w:pPr>
        <w:spacing w:before="120"/>
        <w:ind w:firstLine="420" w:firstLineChars="200"/>
        <w:rPr>
          <w:color w:val="auto"/>
          <w:szCs w:val="21"/>
          <w:highlight w:val="none"/>
        </w:rPr>
      </w:pPr>
      <w:r>
        <w:rPr>
          <w:rFonts w:hint="eastAsia"/>
          <w:color w:val="auto"/>
          <w:szCs w:val="21"/>
          <w:highlight w:val="none"/>
        </w:rPr>
        <w:t>3.产品总成本和组件成本以相关会计核算数据、采购合同、进货记录等为基础进行计算。</w:t>
      </w:r>
    </w:p>
    <w:p w14:paraId="58AD34C6">
      <w:pPr>
        <w:spacing w:before="120"/>
        <w:ind w:firstLine="420" w:firstLineChars="200"/>
        <w:rPr>
          <w:color w:val="auto"/>
          <w:szCs w:val="21"/>
          <w:highlight w:val="none"/>
        </w:rPr>
      </w:pPr>
      <w:r>
        <w:rPr>
          <w:rFonts w:hint="eastAsia"/>
          <w:color w:val="auto"/>
          <w:szCs w:val="21"/>
          <w:highlight w:val="none"/>
        </w:rPr>
        <w:t>4.需要对成本核算规则予以进一步明确的其他有关事项，由财政部会同有关部门另行规定。</w:t>
      </w:r>
    </w:p>
    <w:p w14:paraId="0036AB9D">
      <w:pPr>
        <w:spacing w:before="120" w:line="320" w:lineRule="atLeast"/>
        <w:ind w:firstLine="420" w:firstLineChars="200"/>
        <w:rPr>
          <w:color w:val="auto"/>
          <w:szCs w:val="21"/>
          <w:highlight w:val="none"/>
        </w:rPr>
      </w:pPr>
      <w:r>
        <w:rPr>
          <w:rFonts w:hint="eastAsia"/>
          <w:color w:val="auto"/>
          <w:szCs w:val="21"/>
          <w:highlight w:val="none"/>
        </w:rPr>
        <w:t>1.9.4.2证明材料提交与审查：供应商需在投标（响应）文件中对其提供的产品出具《关于符合本国产品标准的声明函》（样式见投标文件格式）或财政部会同有关部门规定的有关证明文件。</w:t>
      </w:r>
      <w:r>
        <w:rPr>
          <w:rFonts w:hint="eastAsia"/>
          <w:b/>
          <w:bCs/>
          <w:color w:val="auto"/>
          <w:szCs w:val="21"/>
          <w:highlight w:val="none"/>
        </w:rPr>
        <w:t>医疗器械产品凭药品监督管理部门授予的准字号注册证直接认定属于在中国境内生产的产品。</w:t>
      </w:r>
      <w:r>
        <w:rPr>
          <w:rFonts w:hint="eastAsia"/>
          <w:color w:val="auto"/>
          <w:szCs w:val="21"/>
          <w:highlight w:val="none"/>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449A8614">
      <w:pPr>
        <w:pStyle w:val="19"/>
        <w:ind w:firstLine="420" w:firstLineChars="200"/>
        <w:rPr>
          <w:color w:val="auto"/>
          <w:sz w:val="21"/>
          <w:szCs w:val="21"/>
          <w:highlight w:val="none"/>
        </w:rPr>
      </w:pPr>
      <w:r>
        <w:rPr>
          <w:rFonts w:hint="eastAsia"/>
          <w:color w:val="auto"/>
          <w:sz w:val="21"/>
          <w:szCs w:val="21"/>
          <w:highlight w:val="none"/>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不认定为本国产品。</w:t>
      </w:r>
    </w:p>
    <w:p w14:paraId="30A0F689">
      <w:pPr>
        <w:pStyle w:val="19"/>
        <w:ind w:firstLine="420" w:firstLineChars="200"/>
        <w:rPr>
          <w:color w:val="auto"/>
          <w:sz w:val="21"/>
          <w:szCs w:val="21"/>
          <w:highlight w:val="none"/>
        </w:rPr>
      </w:pPr>
      <w:r>
        <w:rPr>
          <w:rFonts w:hint="eastAsia"/>
          <w:color w:val="auto"/>
          <w:sz w:val="21"/>
          <w:szCs w:val="21"/>
          <w:highlight w:val="none"/>
        </w:rPr>
        <w:t>澄清补正应当按照“6.3.3澄清、说明或补正”的规定提交。</w:t>
      </w:r>
    </w:p>
    <w:p w14:paraId="68CFAD7B">
      <w:pPr>
        <w:pStyle w:val="19"/>
        <w:ind w:firstLine="420" w:firstLineChars="200"/>
        <w:rPr>
          <w:color w:val="auto"/>
          <w:sz w:val="21"/>
          <w:szCs w:val="21"/>
          <w:highlight w:val="none"/>
        </w:rPr>
      </w:pPr>
      <w:r>
        <w:rPr>
          <w:rFonts w:hint="eastAsia"/>
          <w:color w:val="auto"/>
          <w:sz w:val="21"/>
          <w:szCs w:val="21"/>
          <w:highlight w:val="none"/>
        </w:rPr>
        <w:t>1.9.4.3成本核算与承诺</w:t>
      </w:r>
    </w:p>
    <w:p w14:paraId="16EDF2D5">
      <w:pPr>
        <w:pStyle w:val="19"/>
        <w:ind w:firstLine="420" w:firstLineChars="200"/>
        <w:rPr>
          <w:color w:val="auto"/>
          <w:szCs w:val="21"/>
          <w:highlight w:val="none"/>
        </w:rPr>
      </w:pPr>
      <w:r>
        <w:rPr>
          <w:color w:val="auto"/>
          <w:sz w:val="21"/>
          <w:szCs w:val="21"/>
          <w:highlight w:val="none"/>
        </w:rPr>
        <w:t>供应商应依据《中国境内生产的组件成本核算基本规则》核算产品成本占比，并对核算结果负责，按要求提交《</w:t>
      </w:r>
      <w:r>
        <w:rPr>
          <w:rFonts w:hint="eastAsia"/>
          <w:color w:val="auto"/>
          <w:sz w:val="21"/>
          <w:szCs w:val="21"/>
          <w:highlight w:val="none"/>
        </w:rPr>
        <w:t>关于符合</w:t>
      </w:r>
      <w:r>
        <w:rPr>
          <w:color w:val="auto"/>
          <w:sz w:val="21"/>
          <w:szCs w:val="21"/>
          <w:highlight w:val="none"/>
        </w:rPr>
        <w:t>本国产品</w:t>
      </w:r>
      <w:r>
        <w:rPr>
          <w:rFonts w:hint="eastAsia"/>
          <w:color w:val="auto"/>
          <w:sz w:val="21"/>
          <w:szCs w:val="21"/>
          <w:highlight w:val="none"/>
        </w:rPr>
        <w:t>标准的</w:t>
      </w:r>
      <w:r>
        <w:rPr>
          <w:color w:val="auto"/>
          <w:sz w:val="21"/>
          <w:szCs w:val="21"/>
          <w:highlight w:val="none"/>
        </w:rPr>
        <w:t>成本占比承诺函》</w:t>
      </w:r>
      <w:r>
        <w:rPr>
          <w:rFonts w:hint="eastAsia"/>
          <w:color w:val="auto"/>
          <w:sz w:val="21"/>
          <w:szCs w:val="21"/>
          <w:highlight w:val="none"/>
        </w:rPr>
        <w:t>（如适用）</w:t>
      </w:r>
      <w:r>
        <w:rPr>
          <w:color w:val="auto"/>
          <w:sz w:val="21"/>
          <w:szCs w:val="21"/>
          <w:highlight w:val="none"/>
        </w:rPr>
        <w:t>（参考模板</w:t>
      </w:r>
      <w:r>
        <w:rPr>
          <w:rFonts w:hint="eastAsia"/>
          <w:color w:val="auto"/>
          <w:sz w:val="21"/>
          <w:szCs w:val="21"/>
          <w:highlight w:val="none"/>
        </w:rPr>
        <w:t>详见投标文件格式</w:t>
      </w:r>
      <w:r>
        <w:rPr>
          <w:color w:val="auto"/>
          <w:sz w:val="21"/>
          <w:szCs w:val="21"/>
          <w:highlight w:val="none"/>
        </w:rPr>
        <w:t>）。相关成本核算的原始凭证应妥善留存，以备核查。采购人可在履约验收环节对相关材料进行抽查。</w:t>
      </w:r>
    </w:p>
    <w:p w14:paraId="383A7B1A">
      <w:pPr>
        <w:spacing w:before="120" w:line="320" w:lineRule="atLeast"/>
        <w:ind w:firstLine="420" w:firstLineChars="200"/>
        <w:rPr>
          <w:color w:val="auto"/>
          <w:szCs w:val="21"/>
          <w:highlight w:val="none"/>
        </w:rPr>
      </w:pPr>
      <w:r>
        <w:rPr>
          <w:rFonts w:hint="eastAsia"/>
          <w:color w:val="auto"/>
          <w:szCs w:val="21"/>
          <w:highlight w:val="none"/>
        </w:rPr>
        <w:t>1.9.5 争议处理</w:t>
      </w:r>
    </w:p>
    <w:p w14:paraId="44AAA680">
      <w:pPr>
        <w:spacing w:before="120" w:line="320" w:lineRule="atLeast"/>
        <w:ind w:firstLine="420" w:firstLineChars="200"/>
        <w:rPr>
          <w:color w:val="auto"/>
          <w:szCs w:val="21"/>
          <w:highlight w:val="none"/>
        </w:rPr>
      </w:pPr>
      <w:r>
        <w:rPr>
          <w:rFonts w:hint="eastAsia"/>
          <w:color w:val="auto"/>
          <w:szCs w:val="21"/>
          <w:highlight w:val="none"/>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6F1123EE">
      <w:pPr>
        <w:spacing w:before="120" w:line="320" w:lineRule="atLeast"/>
        <w:ind w:left="2" w:leftChars="1" w:firstLine="422" w:firstLineChars="200"/>
        <w:outlineLvl w:val="1"/>
        <w:rPr>
          <w:b/>
          <w:color w:val="auto"/>
          <w:kern w:val="0"/>
          <w:szCs w:val="21"/>
          <w:highlight w:val="none"/>
        </w:rPr>
      </w:pPr>
      <w:r>
        <w:rPr>
          <w:b/>
          <w:color w:val="auto"/>
          <w:kern w:val="0"/>
          <w:szCs w:val="21"/>
          <w:highlight w:val="none"/>
        </w:rPr>
        <w:t>2</w:t>
      </w:r>
      <w:r>
        <w:rPr>
          <w:rFonts w:hint="eastAsia"/>
          <w:b/>
          <w:color w:val="auto"/>
          <w:kern w:val="0"/>
          <w:szCs w:val="21"/>
          <w:highlight w:val="none"/>
        </w:rPr>
        <w:t>．招标文件</w:t>
      </w:r>
    </w:p>
    <w:p w14:paraId="2B5DF0CD">
      <w:pPr>
        <w:spacing w:before="120" w:line="320" w:lineRule="atLeast"/>
        <w:ind w:firstLine="422" w:firstLineChars="200"/>
        <w:outlineLvl w:val="2"/>
        <w:rPr>
          <w:b/>
          <w:color w:val="auto"/>
          <w:kern w:val="0"/>
          <w:szCs w:val="21"/>
          <w:highlight w:val="none"/>
        </w:rPr>
      </w:pPr>
      <w:r>
        <w:rPr>
          <w:b/>
          <w:color w:val="auto"/>
          <w:kern w:val="0"/>
          <w:szCs w:val="21"/>
          <w:highlight w:val="none"/>
        </w:rPr>
        <w:t>2.1</w:t>
      </w:r>
      <w:r>
        <w:rPr>
          <w:rFonts w:hint="eastAsia"/>
          <w:b/>
          <w:color w:val="auto"/>
          <w:kern w:val="0"/>
          <w:szCs w:val="21"/>
          <w:highlight w:val="none"/>
        </w:rPr>
        <w:t>招标文件的构成</w:t>
      </w:r>
    </w:p>
    <w:p w14:paraId="00A5BC76">
      <w:pPr>
        <w:spacing w:before="120" w:line="320" w:lineRule="atLeast"/>
        <w:ind w:firstLine="420" w:firstLineChars="200"/>
        <w:rPr>
          <w:color w:val="auto"/>
          <w:szCs w:val="21"/>
          <w:highlight w:val="none"/>
        </w:rPr>
      </w:pPr>
      <w:r>
        <w:rPr>
          <w:rFonts w:hint="eastAsia"/>
          <w:color w:val="auto"/>
          <w:szCs w:val="21"/>
          <w:highlight w:val="none"/>
        </w:rPr>
        <w:t>第一章 招标公告</w:t>
      </w:r>
    </w:p>
    <w:p w14:paraId="32E69970">
      <w:pPr>
        <w:spacing w:before="120" w:line="320" w:lineRule="atLeast"/>
        <w:ind w:firstLine="420" w:firstLineChars="200"/>
        <w:rPr>
          <w:color w:val="auto"/>
          <w:szCs w:val="21"/>
          <w:highlight w:val="none"/>
        </w:rPr>
      </w:pPr>
      <w:r>
        <w:rPr>
          <w:rFonts w:hint="eastAsia"/>
          <w:color w:val="auto"/>
          <w:szCs w:val="21"/>
          <w:highlight w:val="none"/>
        </w:rPr>
        <w:t>第二章 采购需求</w:t>
      </w:r>
    </w:p>
    <w:p w14:paraId="3CB6337E">
      <w:pPr>
        <w:spacing w:before="120" w:line="320" w:lineRule="atLeast"/>
        <w:ind w:firstLine="420" w:firstLineChars="200"/>
        <w:rPr>
          <w:color w:val="auto"/>
          <w:szCs w:val="21"/>
          <w:highlight w:val="none"/>
        </w:rPr>
      </w:pPr>
      <w:r>
        <w:rPr>
          <w:rFonts w:hint="eastAsia"/>
          <w:color w:val="auto"/>
          <w:szCs w:val="21"/>
          <w:highlight w:val="none"/>
        </w:rPr>
        <w:t>第三章 投标人须知</w:t>
      </w:r>
    </w:p>
    <w:p w14:paraId="34E9796B">
      <w:pPr>
        <w:spacing w:before="120" w:line="320" w:lineRule="atLeast"/>
        <w:ind w:firstLine="420" w:firstLineChars="200"/>
        <w:rPr>
          <w:color w:val="auto"/>
          <w:szCs w:val="21"/>
          <w:highlight w:val="none"/>
        </w:rPr>
      </w:pPr>
      <w:r>
        <w:rPr>
          <w:rFonts w:hint="eastAsia"/>
          <w:color w:val="auto"/>
          <w:szCs w:val="21"/>
          <w:highlight w:val="none"/>
        </w:rPr>
        <w:t>第四章 评审方法及标准</w:t>
      </w:r>
    </w:p>
    <w:p w14:paraId="462C0200">
      <w:pPr>
        <w:spacing w:before="120" w:line="320" w:lineRule="atLeast"/>
        <w:ind w:firstLine="420" w:firstLineChars="200"/>
        <w:rPr>
          <w:color w:val="auto"/>
          <w:szCs w:val="21"/>
          <w:highlight w:val="none"/>
        </w:rPr>
      </w:pPr>
      <w:r>
        <w:rPr>
          <w:rFonts w:hint="eastAsia"/>
          <w:color w:val="auto"/>
          <w:szCs w:val="21"/>
          <w:highlight w:val="none"/>
        </w:rPr>
        <w:t>第五章 合同主要条款格式</w:t>
      </w:r>
    </w:p>
    <w:p w14:paraId="233FBF67">
      <w:pPr>
        <w:spacing w:before="120" w:line="320" w:lineRule="atLeast"/>
        <w:ind w:firstLine="420" w:firstLineChars="200"/>
        <w:rPr>
          <w:color w:val="auto"/>
          <w:szCs w:val="21"/>
          <w:highlight w:val="none"/>
        </w:rPr>
      </w:pPr>
      <w:r>
        <w:rPr>
          <w:rFonts w:hint="eastAsia"/>
          <w:color w:val="auto"/>
          <w:szCs w:val="21"/>
          <w:highlight w:val="none"/>
        </w:rPr>
        <w:t>第六章 投标文件格式</w:t>
      </w:r>
    </w:p>
    <w:p w14:paraId="658968A3">
      <w:pPr>
        <w:spacing w:before="120" w:line="320" w:lineRule="atLeast"/>
        <w:ind w:firstLine="422" w:firstLineChars="200"/>
        <w:outlineLvl w:val="2"/>
        <w:rPr>
          <w:b/>
          <w:color w:val="auto"/>
          <w:kern w:val="0"/>
          <w:szCs w:val="21"/>
          <w:highlight w:val="none"/>
        </w:rPr>
      </w:pPr>
      <w:r>
        <w:rPr>
          <w:b/>
          <w:color w:val="auto"/>
          <w:kern w:val="0"/>
          <w:szCs w:val="21"/>
          <w:highlight w:val="none"/>
        </w:rPr>
        <w:t>2.2</w:t>
      </w:r>
      <w:r>
        <w:rPr>
          <w:rFonts w:hint="eastAsia"/>
          <w:b/>
          <w:color w:val="auto"/>
          <w:kern w:val="0"/>
          <w:szCs w:val="21"/>
          <w:highlight w:val="none"/>
        </w:rPr>
        <w:t>投标人的风险</w:t>
      </w:r>
    </w:p>
    <w:p w14:paraId="4FE86C3C">
      <w:pPr>
        <w:spacing w:before="120" w:line="320" w:lineRule="atLeast"/>
        <w:ind w:firstLine="420" w:firstLineChars="200"/>
        <w:rPr>
          <w:color w:val="auto"/>
          <w:szCs w:val="21"/>
          <w:highlight w:val="none"/>
        </w:rPr>
      </w:pPr>
      <w:r>
        <w:rPr>
          <w:rFonts w:hint="eastAsia"/>
          <w:color w:val="auto"/>
          <w:szCs w:val="21"/>
          <w:highlight w:val="none"/>
        </w:rPr>
        <w:t>投标人没有按照招标文件要求提供全部资料，或者投标人没有对招标文件在各方面作出实质性响应是投标人的风险，并可能导致其投标被否决。</w:t>
      </w:r>
    </w:p>
    <w:p w14:paraId="7FDB04E9">
      <w:pPr>
        <w:spacing w:before="120" w:line="320" w:lineRule="atLeast"/>
        <w:ind w:firstLine="422" w:firstLineChars="200"/>
        <w:outlineLvl w:val="2"/>
        <w:rPr>
          <w:b/>
          <w:color w:val="auto"/>
          <w:szCs w:val="21"/>
          <w:highlight w:val="none"/>
        </w:rPr>
      </w:pPr>
      <w:r>
        <w:rPr>
          <w:b/>
          <w:color w:val="auto"/>
          <w:kern w:val="0"/>
          <w:szCs w:val="21"/>
          <w:highlight w:val="none"/>
        </w:rPr>
        <w:t>2.3</w:t>
      </w:r>
      <w:r>
        <w:rPr>
          <w:rFonts w:hint="eastAsia"/>
          <w:b/>
          <w:color w:val="auto"/>
          <w:kern w:val="0"/>
          <w:szCs w:val="21"/>
          <w:highlight w:val="none"/>
        </w:rPr>
        <w:t>招标文件的澄清与修改</w:t>
      </w:r>
    </w:p>
    <w:p w14:paraId="1A61319D">
      <w:pPr>
        <w:spacing w:before="120" w:line="320" w:lineRule="atLeast"/>
        <w:ind w:firstLine="420" w:firstLineChars="200"/>
        <w:rPr>
          <w:color w:val="auto"/>
          <w:szCs w:val="21"/>
          <w:highlight w:val="none"/>
        </w:rPr>
      </w:pPr>
      <w:r>
        <w:rPr>
          <w:color w:val="auto"/>
          <w:szCs w:val="21"/>
          <w:highlight w:val="none"/>
        </w:rPr>
        <w:t>2.3.1</w:t>
      </w:r>
      <w:r>
        <w:rPr>
          <w:rFonts w:hint="eastAsia"/>
          <w:color w:val="auto"/>
          <w:szCs w:val="21"/>
          <w:highlight w:val="none"/>
        </w:rPr>
        <w:t>任何已获得招标文件的潜在投标人，均可以书面形式要求采购代理机构作出书面解释、澄清。</w:t>
      </w:r>
    </w:p>
    <w:p w14:paraId="5CBC8766">
      <w:pPr>
        <w:spacing w:before="120" w:line="320" w:lineRule="atLeast"/>
        <w:ind w:firstLine="420" w:firstLineChars="200"/>
        <w:rPr>
          <w:color w:val="auto"/>
          <w:szCs w:val="21"/>
          <w:highlight w:val="none"/>
        </w:rPr>
      </w:pPr>
      <w:r>
        <w:rPr>
          <w:color w:val="auto"/>
          <w:szCs w:val="21"/>
          <w:highlight w:val="none"/>
        </w:rPr>
        <w:t>2.3.2</w:t>
      </w:r>
      <w:r>
        <w:rPr>
          <w:rFonts w:hint="eastAsia"/>
          <w:color w:val="auto"/>
          <w:szCs w:val="21"/>
          <w:highlight w:val="none"/>
        </w:rPr>
        <w:t>采购人或者采购代理机构可以对已发出的招标文件进行必要的澄清或者修改。澄清或者修改的内容可能影响投标文件编制的，采购人或者采购代理机构应当在投标截止时间至少15日前，</w:t>
      </w:r>
      <w:bookmarkStart w:id="36" w:name="_Hlk132790706"/>
      <w:r>
        <w:rPr>
          <w:rFonts w:hint="eastAsia"/>
          <w:color w:val="auto"/>
          <w:szCs w:val="21"/>
          <w:highlight w:val="none"/>
        </w:rPr>
        <w:t>在投标人须知前附表规定的方式通知所有获取招标文件的潜在投标人</w:t>
      </w:r>
      <w:bookmarkEnd w:id="36"/>
      <w:r>
        <w:rPr>
          <w:rFonts w:hint="eastAsia"/>
          <w:color w:val="auto"/>
          <w:szCs w:val="21"/>
          <w:highlight w:val="none"/>
        </w:rPr>
        <w:t>；不足15日的，采购人或者采购代理机构应当顺延提交投标文件的截止时间。</w:t>
      </w:r>
    </w:p>
    <w:p w14:paraId="7297DE44">
      <w:pPr>
        <w:spacing w:before="120" w:line="320" w:lineRule="atLeast"/>
        <w:ind w:firstLine="420" w:firstLineChars="200"/>
        <w:rPr>
          <w:color w:val="auto"/>
          <w:szCs w:val="21"/>
          <w:highlight w:val="none"/>
        </w:rPr>
      </w:pPr>
      <w:r>
        <w:rPr>
          <w:color w:val="auto"/>
          <w:szCs w:val="21"/>
          <w:highlight w:val="none"/>
        </w:rPr>
        <w:t>2.3.3</w:t>
      </w:r>
      <w:r>
        <w:rPr>
          <w:rFonts w:hint="eastAsia"/>
          <w:color w:val="auto"/>
          <w:szCs w:val="21"/>
          <w:highlight w:val="none"/>
        </w:rPr>
        <w:t>招标文件澄清、答复、修改、补充的内容为招标文件的组成部分。当招标文件与招标文件的答复、澄清、修改、补充通知就同一内容的表述不一致时，以最后发出的公告或书面文件为准。</w:t>
      </w:r>
    </w:p>
    <w:p w14:paraId="1C810E0F">
      <w:pPr>
        <w:spacing w:before="120" w:line="320" w:lineRule="atLeast"/>
        <w:ind w:left="2" w:leftChars="1" w:firstLine="422" w:firstLineChars="200"/>
        <w:outlineLvl w:val="1"/>
        <w:rPr>
          <w:b/>
          <w:color w:val="auto"/>
          <w:kern w:val="0"/>
          <w:szCs w:val="21"/>
          <w:highlight w:val="none"/>
        </w:rPr>
      </w:pPr>
      <w:r>
        <w:rPr>
          <w:b/>
          <w:color w:val="auto"/>
          <w:kern w:val="0"/>
          <w:szCs w:val="21"/>
          <w:highlight w:val="none"/>
        </w:rPr>
        <w:t>3</w:t>
      </w:r>
      <w:r>
        <w:rPr>
          <w:rFonts w:hint="eastAsia"/>
          <w:b/>
          <w:color w:val="auto"/>
          <w:kern w:val="0"/>
          <w:szCs w:val="21"/>
          <w:highlight w:val="none"/>
        </w:rPr>
        <w:t>．投标文件</w:t>
      </w:r>
    </w:p>
    <w:p w14:paraId="37633872">
      <w:pPr>
        <w:spacing w:before="120" w:line="320" w:lineRule="atLeast"/>
        <w:ind w:firstLine="422" w:firstLineChars="200"/>
        <w:outlineLvl w:val="2"/>
        <w:rPr>
          <w:b/>
          <w:color w:val="auto"/>
          <w:kern w:val="0"/>
          <w:szCs w:val="21"/>
          <w:highlight w:val="none"/>
        </w:rPr>
      </w:pPr>
      <w:r>
        <w:rPr>
          <w:b/>
          <w:color w:val="auto"/>
          <w:kern w:val="0"/>
          <w:szCs w:val="21"/>
          <w:highlight w:val="none"/>
        </w:rPr>
        <w:t>3.1</w:t>
      </w:r>
      <w:r>
        <w:rPr>
          <w:rFonts w:hint="eastAsia"/>
          <w:b/>
          <w:color w:val="auto"/>
          <w:kern w:val="0"/>
          <w:szCs w:val="21"/>
          <w:highlight w:val="none"/>
        </w:rPr>
        <w:t>投标文件的组成</w:t>
      </w:r>
    </w:p>
    <w:p w14:paraId="252CE3DF">
      <w:pPr>
        <w:spacing w:before="120" w:line="320" w:lineRule="atLeast"/>
        <w:ind w:firstLine="420" w:firstLineChars="200"/>
        <w:rPr>
          <w:color w:val="auto"/>
          <w:szCs w:val="21"/>
          <w:highlight w:val="none"/>
        </w:rPr>
      </w:pPr>
      <w:r>
        <w:rPr>
          <w:rFonts w:hint="eastAsia"/>
          <w:color w:val="auto"/>
          <w:szCs w:val="21"/>
          <w:highlight w:val="none"/>
        </w:rPr>
        <w:t>投标文件由第六章“投标文件格式”规定的内容和投标人所作的一切有效补充、修改和承诺等文件组成。</w:t>
      </w:r>
    </w:p>
    <w:p w14:paraId="4ED48836">
      <w:pPr>
        <w:spacing w:before="120" w:line="320" w:lineRule="atLeast"/>
        <w:ind w:firstLine="422" w:firstLineChars="200"/>
        <w:outlineLvl w:val="2"/>
        <w:rPr>
          <w:b/>
          <w:color w:val="auto"/>
          <w:kern w:val="0"/>
          <w:szCs w:val="21"/>
          <w:highlight w:val="none"/>
        </w:rPr>
      </w:pPr>
      <w:r>
        <w:rPr>
          <w:b/>
          <w:color w:val="auto"/>
          <w:szCs w:val="21"/>
          <w:highlight w:val="none"/>
        </w:rPr>
        <w:t>3.2</w:t>
      </w:r>
      <w:r>
        <w:rPr>
          <w:rFonts w:hint="eastAsia"/>
          <w:b/>
          <w:color w:val="auto"/>
          <w:kern w:val="0"/>
          <w:szCs w:val="21"/>
          <w:highlight w:val="none"/>
        </w:rPr>
        <w:t>投标文件的语言及计量</w:t>
      </w:r>
    </w:p>
    <w:p w14:paraId="36CB71DC">
      <w:pPr>
        <w:spacing w:before="120" w:line="320" w:lineRule="atLeast"/>
        <w:ind w:firstLine="420" w:firstLineChars="200"/>
        <w:rPr>
          <w:color w:val="auto"/>
          <w:szCs w:val="21"/>
          <w:highlight w:val="none"/>
        </w:rPr>
      </w:pPr>
      <w:r>
        <w:rPr>
          <w:color w:val="auto"/>
          <w:szCs w:val="21"/>
          <w:highlight w:val="none"/>
        </w:rPr>
        <w:t>3.2.1</w:t>
      </w:r>
      <w:r>
        <w:rPr>
          <w:rFonts w:hint="eastAsia"/>
          <w:color w:val="auto"/>
          <w:szCs w:val="21"/>
          <w:highlight w:val="none"/>
        </w:rPr>
        <w:t>投标文件以及投标人与采购人就有关投标事宜的所有来往函电，均应以中文书写（除专用术语外，与招标投标有关的语言均使用中文。必要时专用术语应附有中文注释）。供应商提交的支持文件和印刷的文献可以使用别的语言，但其相应内容应同时附中文翻译文本，在解释投标文件时以中文翻译文本为主。对不同文字文本投标文件的解释发生异议的，以中文文本为准。</w:t>
      </w:r>
    </w:p>
    <w:p w14:paraId="1297EA16">
      <w:pPr>
        <w:spacing w:before="120" w:line="320" w:lineRule="atLeast"/>
        <w:ind w:firstLine="420" w:firstLineChars="200"/>
        <w:rPr>
          <w:color w:val="auto"/>
          <w:szCs w:val="21"/>
          <w:highlight w:val="none"/>
        </w:rPr>
      </w:pPr>
      <w:r>
        <w:rPr>
          <w:color w:val="auto"/>
          <w:szCs w:val="21"/>
          <w:highlight w:val="none"/>
        </w:rPr>
        <w:t>3.2.2</w:t>
      </w:r>
      <w:r>
        <w:rPr>
          <w:rFonts w:hint="eastAsia"/>
          <w:color w:val="auto"/>
          <w:szCs w:val="21"/>
          <w:highlight w:val="none"/>
        </w:rPr>
        <w:t>计量单位招标文件已有明确规定的，投标使用招标文件规定的计量单位；招标文件没有规定的，应采用中华人民共和国法定计量单位。</w:t>
      </w:r>
    </w:p>
    <w:p w14:paraId="4A858F3E">
      <w:pPr>
        <w:spacing w:before="120" w:line="320" w:lineRule="atLeast"/>
        <w:ind w:firstLine="422" w:firstLineChars="200"/>
        <w:outlineLvl w:val="2"/>
        <w:rPr>
          <w:b/>
          <w:color w:val="auto"/>
          <w:kern w:val="0"/>
          <w:szCs w:val="21"/>
          <w:highlight w:val="none"/>
        </w:rPr>
      </w:pPr>
      <w:r>
        <w:rPr>
          <w:b/>
          <w:color w:val="auto"/>
          <w:kern w:val="0"/>
          <w:szCs w:val="21"/>
          <w:highlight w:val="none"/>
        </w:rPr>
        <w:t>3.3</w:t>
      </w:r>
      <w:r>
        <w:rPr>
          <w:rFonts w:hint="eastAsia"/>
          <w:b/>
          <w:color w:val="auto"/>
          <w:kern w:val="0"/>
          <w:szCs w:val="21"/>
          <w:highlight w:val="none"/>
        </w:rPr>
        <w:t>投标报价</w:t>
      </w:r>
    </w:p>
    <w:p w14:paraId="55298328">
      <w:pPr>
        <w:spacing w:before="120" w:line="320" w:lineRule="atLeast"/>
        <w:ind w:firstLine="420" w:firstLineChars="200"/>
        <w:rPr>
          <w:color w:val="auto"/>
          <w:szCs w:val="21"/>
          <w:highlight w:val="none"/>
        </w:rPr>
      </w:pPr>
      <w:r>
        <w:rPr>
          <w:color w:val="auto"/>
          <w:szCs w:val="21"/>
          <w:highlight w:val="none"/>
        </w:rPr>
        <w:t>3.3.1</w:t>
      </w:r>
      <w:r>
        <w:rPr>
          <w:rFonts w:hint="eastAsia"/>
          <w:color w:val="auto"/>
          <w:szCs w:val="21"/>
          <w:highlight w:val="none"/>
        </w:rPr>
        <w:t>投标报价应按招标文件中相关附表格式填写。</w:t>
      </w:r>
    </w:p>
    <w:p w14:paraId="1F5A9DBD">
      <w:pPr>
        <w:spacing w:before="120" w:line="320" w:lineRule="atLeast"/>
        <w:ind w:firstLine="420" w:firstLineChars="200"/>
        <w:rPr>
          <w:color w:val="auto"/>
          <w:szCs w:val="21"/>
          <w:highlight w:val="none"/>
        </w:rPr>
      </w:pPr>
      <w:r>
        <w:rPr>
          <w:color w:val="auto"/>
          <w:szCs w:val="21"/>
          <w:highlight w:val="none"/>
        </w:rPr>
        <w:t>3.3.2</w:t>
      </w:r>
      <w:r>
        <w:rPr>
          <w:rFonts w:hint="eastAsia"/>
          <w:color w:val="auto"/>
          <w:szCs w:val="21"/>
          <w:highlight w:val="none"/>
        </w:rPr>
        <w:t>投标文件只允许有一个报价，有选择的或有条件的报价将不予接受。</w:t>
      </w:r>
    </w:p>
    <w:p w14:paraId="57AC9EFD">
      <w:pPr>
        <w:suppressAutoHyphens/>
        <w:spacing w:before="120" w:line="320" w:lineRule="atLeast"/>
        <w:ind w:firstLine="420" w:firstLineChars="200"/>
        <w:rPr>
          <w:color w:val="auto"/>
          <w:kern w:val="1"/>
          <w:szCs w:val="21"/>
          <w:highlight w:val="none"/>
        </w:rPr>
      </w:pPr>
      <w:r>
        <w:rPr>
          <w:color w:val="auto"/>
          <w:kern w:val="1"/>
          <w:szCs w:val="21"/>
          <w:highlight w:val="none"/>
        </w:rPr>
        <w:t>3.3.3</w:t>
      </w:r>
      <w:r>
        <w:rPr>
          <w:rFonts w:hint="eastAsia"/>
          <w:color w:val="auto"/>
          <w:kern w:val="1"/>
          <w:szCs w:val="21"/>
          <w:highlight w:val="none"/>
        </w:rPr>
        <w:t>对于本文件中未列明，而投标人认为必需的费用也需列入投标报价。在合同实施时，采购人将不予支付中标人没有列入的项目费用，并认为此项目的费用已包括在投标报价中。</w:t>
      </w:r>
    </w:p>
    <w:p w14:paraId="6FA9A387">
      <w:pPr>
        <w:suppressAutoHyphens/>
        <w:spacing w:before="120" w:line="320" w:lineRule="atLeast"/>
        <w:ind w:firstLine="420" w:firstLineChars="200"/>
        <w:rPr>
          <w:b/>
          <w:color w:val="auto"/>
          <w:kern w:val="1"/>
          <w:szCs w:val="21"/>
          <w:highlight w:val="none"/>
        </w:rPr>
      </w:pPr>
      <w:r>
        <w:rPr>
          <w:rFonts w:hint="eastAsia"/>
          <w:color w:val="auto"/>
          <w:kern w:val="1"/>
          <w:szCs w:val="21"/>
          <w:highlight w:val="none"/>
        </w:rPr>
        <w:t>3</w:t>
      </w:r>
      <w:r>
        <w:rPr>
          <w:color w:val="auto"/>
          <w:kern w:val="1"/>
          <w:szCs w:val="21"/>
          <w:highlight w:val="none"/>
        </w:rPr>
        <w:t>.3.4</w:t>
      </w:r>
      <w:r>
        <w:rPr>
          <w:rFonts w:hint="eastAsia"/>
          <w:color w:val="auto"/>
          <w:kern w:val="1"/>
          <w:szCs w:val="21"/>
          <w:highlight w:val="none"/>
        </w:rPr>
        <w:t>采购人不接受供应商给予的赠品、回扣或者与采购无关的其他商品、服务。</w:t>
      </w:r>
    </w:p>
    <w:p w14:paraId="6E6E6042">
      <w:pPr>
        <w:spacing w:before="120" w:line="320" w:lineRule="atLeast"/>
        <w:ind w:firstLine="422" w:firstLineChars="200"/>
        <w:outlineLvl w:val="2"/>
        <w:rPr>
          <w:b/>
          <w:color w:val="auto"/>
          <w:kern w:val="0"/>
          <w:szCs w:val="21"/>
          <w:highlight w:val="none"/>
        </w:rPr>
      </w:pPr>
      <w:r>
        <w:rPr>
          <w:b/>
          <w:color w:val="auto"/>
          <w:kern w:val="0"/>
          <w:szCs w:val="21"/>
          <w:highlight w:val="none"/>
        </w:rPr>
        <w:t>3.4</w:t>
      </w:r>
      <w:r>
        <w:rPr>
          <w:rFonts w:hint="eastAsia"/>
          <w:b/>
          <w:color w:val="auto"/>
          <w:kern w:val="0"/>
          <w:szCs w:val="21"/>
          <w:highlight w:val="none"/>
        </w:rPr>
        <w:t>投标有效期</w:t>
      </w:r>
    </w:p>
    <w:p w14:paraId="653E1175">
      <w:pPr>
        <w:spacing w:before="120" w:line="320" w:lineRule="atLeast"/>
        <w:ind w:firstLine="420" w:firstLineChars="200"/>
        <w:rPr>
          <w:color w:val="auto"/>
          <w:szCs w:val="21"/>
          <w:highlight w:val="none"/>
        </w:rPr>
      </w:pPr>
      <w:r>
        <w:rPr>
          <w:color w:val="auto"/>
          <w:szCs w:val="21"/>
          <w:highlight w:val="none"/>
        </w:rPr>
        <w:t>3.4.1</w:t>
      </w:r>
      <w:r>
        <w:rPr>
          <w:rFonts w:hint="eastAsia"/>
          <w:color w:val="auto"/>
          <w:szCs w:val="21"/>
          <w:highlight w:val="none"/>
        </w:rPr>
        <w:t>如招标文件其他地方无特别规定，投标有效期则为投标截止之日起90天。在投标有效期内投标文件应保持有效。</w:t>
      </w:r>
      <w:r>
        <w:rPr>
          <w:rFonts w:hint="eastAsia"/>
          <w:b/>
          <w:color w:val="auto"/>
          <w:szCs w:val="21"/>
          <w:highlight w:val="none"/>
        </w:rPr>
        <w:t>有效期不足的投标文件将被否决</w:t>
      </w:r>
      <w:r>
        <w:rPr>
          <w:rFonts w:hint="eastAsia"/>
          <w:color w:val="auto"/>
          <w:szCs w:val="21"/>
          <w:highlight w:val="none"/>
        </w:rPr>
        <w:t>。</w:t>
      </w:r>
    </w:p>
    <w:p w14:paraId="39291BE4">
      <w:pPr>
        <w:spacing w:before="120" w:line="320" w:lineRule="atLeast"/>
        <w:ind w:firstLine="420" w:firstLineChars="200"/>
        <w:rPr>
          <w:color w:val="auto"/>
          <w:szCs w:val="21"/>
          <w:highlight w:val="none"/>
        </w:rPr>
      </w:pPr>
      <w:r>
        <w:rPr>
          <w:color w:val="auto"/>
          <w:szCs w:val="21"/>
          <w:highlight w:val="none"/>
        </w:rPr>
        <w:t>3.4.2</w:t>
      </w:r>
      <w:r>
        <w:rPr>
          <w:rFonts w:hint="eastAsia"/>
          <w:color w:val="auto"/>
          <w:szCs w:val="21"/>
          <w:highlight w:val="none"/>
        </w:rPr>
        <w:t>在特殊情况下，采购人可与投标人协商延长投标文件的有效期，这种要求和答复均以书面形式进行。</w:t>
      </w:r>
    </w:p>
    <w:p w14:paraId="535F630F">
      <w:pPr>
        <w:spacing w:before="120" w:line="320" w:lineRule="atLeast"/>
        <w:ind w:firstLine="420" w:firstLineChars="200"/>
        <w:rPr>
          <w:color w:val="auto"/>
          <w:szCs w:val="21"/>
          <w:highlight w:val="none"/>
        </w:rPr>
      </w:pPr>
      <w:r>
        <w:rPr>
          <w:color w:val="auto"/>
          <w:szCs w:val="21"/>
          <w:highlight w:val="none"/>
        </w:rPr>
        <w:t>3.4.3</w:t>
      </w:r>
      <w:r>
        <w:rPr>
          <w:rFonts w:hint="eastAsia"/>
          <w:color w:val="auto"/>
          <w:szCs w:val="21"/>
          <w:highlight w:val="none"/>
        </w:rPr>
        <w:t>投标人同意延长的投标有效期的，如本项目要求提交保证金则应相应延长其投标保证金的有效期，但不得要求或被允许修改或撤销其投标文件；投标人拒绝延长的，其投标无效，但投标人有权收回其投标保证金。</w:t>
      </w:r>
    </w:p>
    <w:p w14:paraId="667C282D">
      <w:pPr>
        <w:spacing w:before="120" w:line="320" w:lineRule="atLeast"/>
        <w:ind w:firstLine="422" w:firstLineChars="200"/>
        <w:outlineLvl w:val="2"/>
        <w:rPr>
          <w:b/>
          <w:color w:val="auto"/>
          <w:kern w:val="0"/>
          <w:szCs w:val="21"/>
          <w:highlight w:val="none"/>
        </w:rPr>
      </w:pPr>
      <w:r>
        <w:rPr>
          <w:b/>
          <w:color w:val="auto"/>
          <w:kern w:val="0"/>
          <w:szCs w:val="21"/>
          <w:highlight w:val="none"/>
        </w:rPr>
        <w:t>3.5</w:t>
      </w:r>
      <w:r>
        <w:rPr>
          <w:rFonts w:hint="eastAsia"/>
          <w:b/>
          <w:color w:val="auto"/>
          <w:kern w:val="0"/>
          <w:szCs w:val="21"/>
          <w:highlight w:val="none"/>
        </w:rPr>
        <w:t>投标保证金</w:t>
      </w:r>
    </w:p>
    <w:p w14:paraId="7F907505">
      <w:pPr>
        <w:spacing w:before="120" w:line="320" w:lineRule="atLeast"/>
        <w:ind w:firstLine="420" w:firstLineChars="200"/>
        <w:rPr>
          <w:color w:val="auto"/>
          <w:szCs w:val="21"/>
          <w:highlight w:val="none"/>
        </w:rPr>
      </w:pPr>
      <w:r>
        <w:rPr>
          <w:color w:val="auto"/>
          <w:szCs w:val="21"/>
          <w:highlight w:val="none"/>
        </w:rPr>
        <w:t>3.5.1</w:t>
      </w:r>
      <w:r>
        <w:rPr>
          <w:rFonts w:hint="eastAsia"/>
          <w:color w:val="auto"/>
          <w:szCs w:val="21"/>
          <w:highlight w:val="none"/>
        </w:rPr>
        <w:t>投标人须按须知前附表规定提交投标保证金，</w:t>
      </w:r>
      <w:r>
        <w:rPr>
          <w:rFonts w:hint="eastAsia"/>
          <w:b/>
          <w:color w:val="auto"/>
          <w:szCs w:val="21"/>
          <w:highlight w:val="none"/>
        </w:rPr>
        <w:t>否则其投标将被否决</w:t>
      </w:r>
      <w:r>
        <w:rPr>
          <w:rFonts w:hint="eastAsia"/>
          <w:color w:val="auto"/>
          <w:szCs w:val="21"/>
          <w:highlight w:val="none"/>
        </w:rPr>
        <w:t>。除招标文件规定不予退还保证金的情形外，代理机构在规定时间内退回投标人的投标保证金（投标人自行承担因未按投标人须知前附表要求交纳导致投标保证金无法及时退还的责任）。</w:t>
      </w:r>
    </w:p>
    <w:p w14:paraId="5E750D47">
      <w:pPr>
        <w:spacing w:before="120" w:line="320" w:lineRule="atLeast"/>
        <w:ind w:firstLine="420" w:firstLineChars="200"/>
        <w:rPr>
          <w:color w:val="auto"/>
          <w:szCs w:val="21"/>
          <w:highlight w:val="none"/>
        </w:rPr>
      </w:pPr>
      <w:r>
        <w:rPr>
          <w:color w:val="auto"/>
          <w:szCs w:val="21"/>
          <w:highlight w:val="none"/>
        </w:rPr>
        <w:t>3.5.2</w:t>
      </w:r>
      <w:r>
        <w:rPr>
          <w:rFonts w:hint="eastAsia"/>
          <w:color w:val="auto"/>
          <w:szCs w:val="21"/>
          <w:highlight w:val="none"/>
        </w:rPr>
        <w:t>投标保证金币种应与投标报价币种相同。</w:t>
      </w:r>
    </w:p>
    <w:p w14:paraId="3D1A7873">
      <w:pPr>
        <w:spacing w:before="120" w:line="320" w:lineRule="atLeast"/>
        <w:ind w:firstLine="420" w:firstLineChars="200"/>
        <w:rPr>
          <w:color w:val="auto"/>
          <w:szCs w:val="21"/>
          <w:highlight w:val="none"/>
        </w:rPr>
      </w:pPr>
      <w:r>
        <w:rPr>
          <w:color w:val="auto"/>
          <w:szCs w:val="21"/>
          <w:highlight w:val="none"/>
        </w:rPr>
        <w:t>3.5.3</w:t>
      </w:r>
      <w:r>
        <w:rPr>
          <w:rFonts w:hint="eastAsia"/>
          <w:color w:val="auto"/>
          <w:szCs w:val="21"/>
          <w:highlight w:val="none"/>
        </w:rPr>
        <w:t>未中标人的投标保证金在中标通知书发出后5个工作日内退还。中标人的投标保证金在合同签订后5个工作日内退还（办理退还手续时需要向采购代理机构提供两份合同复印件）。</w:t>
      </w:r>
    </w:p>
    <w:p w14:paraId="7EC3E275">
      <w:pPr>
        <w:spacing w:before="120" w:line="320" w:lineRule="atLeast"/>
        <w:ind w:firstLine="420" w:firstLineChars="200"/>
        <w:rPr>
          <w:color w:val="auto"/>
          <w:szCs w:val="21"/>
          <w:highlight w:val="none"/>
        </w:rPr>
      </w:pPr>
      <w:r>
        <w:rPr>
          <w:color w:val="auto"/>
          <w:szCs w:val="21"/>
          <w:highlight w:val="none"/>
        </w:rPr>
        <w:t>3.5.4</w:t>
      </w:r>
      <w:r>
        <w:rPr>
          <w:rFonts w:hint="eastAsia"/>
          <w:color w:val="auto"/>
          <w:szCs w:val="21"/>
          <w:highlight w:val="none"/>
        </w:rPr>
        <w:t>投标人有下列情形之一的，投标保证金将不予退还：</w:t>
      </w:r>
    </w:p>
    <w:p w14:paraId="211CB427">
      <w:pPr>
        <w:numPr>
          <w:ilvl w:val="0"/>
          <w:numId w:val="2"/>
        </w:numPr>
        <w:spacing w:before="120" w:line="320" w:lineRule="atLeast"/>
        <w:rPr>
          <w:color w:val="auto"/>
          <w:szCs w:val="21"/>
          <w:highlight w:val="none"/>
        </w:rPr>
      </w:pPr>
      <w:r>
        <w:rPr>
          <w:rFonts w:hint="eastAsia"/>
          <w:color w:val="auto"/>
          <w:szCs w:val="21"/>
          <w:highlight w:val="none"/>
        </w:rPr>
        <w:t>投标人在投标有效期内撤销投标文件的；</w:t>
      </w:r>
    </w:p>
    <w:p w14:paraId="5D1F2597">
      <w:pPr>
        <w:numPr>
          <w:ilvl w:val="0"/>
          <w:numId w:val="2"/>
        </w:numPr>
        <w:spacing w:before="120" w:line="320" w:lineRule="atLeast"/>
        <w:rPr>
          <w:color w:val="auto"/>
          <w:szCs w:val="21"/>
          <w:highlight w:val="none"/>
        </w:rPr>
      </w:pPr>
      <w:r>
        <w:rPr>
          <w:rFonts w:hint="eastAsia"/>
          <w:color w:val="auto"/>
          <w:szCs w:val="21"/>
          <w:highlight w:val="none"/>
        </w:rPr>
        <w:t>投标人在投标过程中弄虚作假，提供虚假材料的；</w:t>
      </w:r>
    </w:p>
    <w:p w14:paraId="110024E9">
      <w:pPr>
        <w:numPr>
          <w:ilvl w:val="0"/>
          <w:numId w:val="2"/>
        </w:numPr>
        <w:spacing w:before="120" w:line="320" w:lineRule="atLeast"/>
        <w:rPr>
          <w:color w:val="auto"/>
          <w:szCs w:val="21"/>
          <w:highlight w:val="none"/>
        </w:rPr>
      </w:pPr>
      <w:r>
        <w:rPr>
          <w:rFonts w:hint="eastAsia"/>
          <w:color w:val="auto"/>
          <w:szCs w:val="21"/>
          <w:highlight w:val="none"/>
        </w:rPr>
        <w:t>中标人无正当理由不与采购人签订合同的；</w:t>
      </w:r>
    </w:p>
    <w:p w14:paraId="06B14383">
      <w:pPr>
        <w:numPr>
          <w:ilvl w:val="0"/>
          <w:numId w:val="2"/>
        </w:numPr>
        <w:spacing w:before="120" w:line="320" w:lineRule="atLeast"/>
        <w:rPr>
          <w:color w:val="auto"/>
          <w:szCs w:val="21"/>
          <w:highlight w:val="none"/>
        </w:rPr>
      </w:pPr>
      <w:r>
        <w:rPr>
          <w:rFonts w:hint="eastAsia"/>
          <w:color w:val="auto"/>
          <w:szCs w:val="21"/>
          <w:highlight w:val="none"/>
        </w:rPr>
        <w:t>将中标项目转让给他人或者在投标文件中未说明且未经采购人同意，将中标项目分包给他人的；</w:t>
      </w:r>
    </w:p>
    <w:p w14:paraId="29D093E0">
      <w:pPr>
        <w:numPr>
          <w:ilvl w:val="0"/>
          <w:numId w:val="2"/>
        </w:numPr>
        <w:spacing w:before="120" w:line="320" w:lineRule="atLeast"/>
        <w:rPr>
          <w:color w:val="auto"/>
          <w:szCs w:val="21"/>
          <w:highlight w:val="none"/>
        </w:rPr>
      </w:pPr>
      <w:r>
        <w:rPr>
          <w:rFonts w:hint="eastAsia"/>
          <w:color w:val="auto"/>
          <w:szCs w:val="21"/>
          <w:highlight w:val="none"/>
        </w:rPr>
        <w:t>拒绝履行合同义务的；</w:t>
      </w:r>
    </w:p>
    <w:p w14:paraId="24CD68D3">
      <w:pPr>
        <w:numPr>
          <w:ilvl w:val="0"/>
          <w:numId w:val="2"/>
        </w:numPr>
        <w:spacing w:before="120" w:line="320" w:lineRule="atLeast"/>
        <w:rPr>
          <w:color w:val="auto"/>
          <w:szCs w:val="21"/>
          <w:highlight w:val="none"/>
        </w:rPr>
      </w:pPr>
      <w:r>
        <w:rPr>
          <w:rFonts w:hint="eastAsia"/>
          <w:color w:val="auto"/>
          <w:szCs w:val="21"/>
          <w:highlight w:val="none"/>
        </w:rPr>
        <w:t>其他严重扰乱招投标程序的。</w:t>
      </w:r>
    </w:p>
    <w:p w14:paraId="180E8AC2">
      <w:pPr>
        <w:spacing w:before="120" w:line="320" w:lineRule="atLeast"/>
        <w:ind w:firstLine="422" w:firstLineChars="200"/>
        <w:outlineLvl w:val="2"/>
        <w:rPr>
          <w:b/>
          <w:color w:val="auto"/>
          <w:kern w:val="0"/>
          <w:szCs w:val="21"/>
          <w:highlight w:val="none"/>
        </w:rPr>
      </w:pPr>
      <w:r>
        <w:rPr>
          <w:b/>
          <w:color w:val="auto"/>
          <w:kern w:val="0"/>
          <w:szCs w:val="21"/>
          <w:highlight w:val="none"/>
        </w:rPr>
        <w:t>3.6</w:t>
      </w:r>
      <w:r>
        <w:rPr>
          <w:rFonts w:hint="eastAsia"/>
          <w:b/>
          <w:color w:val="auto"/>
          <w:kern w:val="0"/>
          <w:szCs w:val="21"/>
          <w:highlight w:val="none"/>
        </w:rPr>
        <w:t>投标文件的编制要求</w:t>
      </w:r>
    </w:p>
    <w:p w14:paraId="4D594433">
      <w:pPr>
        <w:spacing w:before="120" w:line="320" w:lineRule="atLeast"/>
        <w:ind w:firstLine="420" w:firstLineChars="200"/>
        <w:rPr>
          <w:b/>
          <w:color w:val="auto"/>
          <w:kern w:val="0"/>
          <w:szCs w:val="21"/>
          <w:highlight w:val="none"/>
        </w:rPr>
      </w:pPr>
      <w:r>
        <w:rPr>
          <w:rFonts w:hint="eastAsia"/>
          <w:color w:val="auto"/>
          <w:kern w:val="0"/>
          <w:szCs w:val="21"/>
          <w:highlight w:val="none"/>
        </w:rPr>
        <w:t>3</w:t>
      </w:r>
      <w:r>
        <w:rPr>
          <w:color w:val="auto"/>
          <w:kern w:val="0"/>
          <w:szCs w:val="21"/>
          <w:highlight w:val="none"/>
        </w:rPr>
        <w:t>.6.1</w:t>
      </w:r>
      <w:r>
        <w:rPr>
          <w:rFonts w:hint="eastAsia"/>
          <w:color w:val="auto"/>
          <w:szCs w:val="21"/>
          <w:highlight w:val="none"/>
        </w:rPr>
        <w:t>投标人应先安装</w:t>
      </w:r>
      <w:bookmarkStart w:id="37" w:name="_Hlk160184301"/>
      <w:r>
        <w:rPr>
          <w:rFonts w:hint="eastAsia"/>
          <w:color w:val="auto"/>
          <w:szCs w:val="21"/>
          <w:highlight w:val="none"/>
        </w:rPr>
        <w:t>广西政府采购云平台新版客户端</w:t>
      </w:r>
      <w:bookmarkEnd w:id="37"/>
      <w:r>
        <w:rPr>
          <w:rFonts w:hint="eastAsia"/>
          <w:color w:val="auto"/>
          <w:szCs w:val="21"/>
          <w:highlight w:val="none"/>
        </w:rPr>
        <w:t>，通过账号密码或C</w:t>
      </w:r>
      <w:r>
        <w:rPr>
          <w:color w:val="auto"/>
          <w:szCs w:val="21"/>
          <w:highlight w:val="none"/>
        </w:rPr>
        <w:t>A</w:t>
      </w:r>
      <w:r>
        <w:rPr>
          <w:rFonts w:hint="eastAsia"/>
          <w:color w:val="auto"/>
          <w:szCs w:val="21"/>
          <w:highlight w:val="none"/>
        </w:rPr>
        <w:t>登录客户端制作投标文件。</w:t>
      </w:r>
    </w:p>
    <w:p w14:paraId="434B9F82">
      <w:pPr>
        <w:spacing w:before="120" w:line="320" w:lineRule="atLeast"/>
        <w:ind w:firstLine="420" w:firstLineChars="200"/>
        <w:rPr>
          <w:color w:val="auto"/>
          <w:szCs w:val="21"/>
          <w:highlight w:val="none"/>
        </w:rPr>
      </w:pPr>
      <w:bookmarkStart w:id="38" w:name="_Hlk132791136"/>
      <w:r>
        <w:rPr>
          <w:color w:val="auto"/>
          <w:szCs w:val="21"/>
          <w:highlight w:val="none"/>
        </w:rPr>
        <w:t>3.6.2</w:t>
      </w:r>
      <w:r>
        <w:rPr>
          <w:rFonts w:hint="eastAsia"/>
          <w:color w:val="auto"/>
          <w:szCs w:val="21"/>
          <w:highlight w:val="none"/>
        </w:rPr>
        <w:t>投标人应按本招标文件规定的格式和顺序编制投标文件并进行关联定位，以便评审委员会在评审时，点击评分项可直接定位到该评分项内容。如对招标文件的某项要求，投标人的投标文件未能关联定位提供相应的内容与其对应，则评审委员会在评审时如做出对投标人不利的评审由投标人自行承担。投标文件如内容不完整、编排混乱导致投标文件被误读、漏读，或者在按招标文件规定的部位查找不到相关内容的，由投标人自行承担。</w:t>
      </w:r>
    </w:p>
    <w:p w14:paraId="3C521B37">
      <w:pPr>
        <w:spacing w:before="120" w:line="320" w:lineRule="atLeast"/>
        <w:ind w:firstLine="420" w:firstLineChars="200"/>
        <w:rPr>
          <w:color w:val="auto"/>
          <w:szCs w:val="21"/>
          <w:highlight w:val="none"/>
        </w:rPr>
      </w:pPr>
      <w:bookmarkStart w:id="39" w:name="_Hlk93046800"/>
      <w:r>
        <w:rPr>
          <w:color w:val="auto"/>
          <w:szCs w:val="21"/>
          <w:highlight w:val="none"/>
        </w:rPr>
        <w:t xml:space="preserve">3.6.3 </w:t>
      </w:r>
      <w:r>
        <w:rPr>
          <w:rFonts w:hint="eastAsia"/>
          <w:color w:val="auto"/>
          <w:szCs w:val="21"/>
          <w:highlight w:val="none"/>
        </w:rPr>
        <w:t>投标人的投标文件未按照招标文件要求签署、盖章的，</w:t>
      </w:r>
      <w:r>
        <w:rPr>
          <w:rFonts w:hint="eastAsia"/>
          <w:b/>
          <w:color w:val="auto"/>
          <w:szCs w:val="21"/>
          <w:highlight w:val="none"/>
        </w:rPr>
        <w:t>其投标无效</w:t>
      </w:r>
      <w:r>
        <w:rPr>
          <w:rFonts w:hint="eastAsia"/>
          <w:color w:val="auto"/>
          <w:szCs w:val="21"/>
          <w:highlight w:val="none"/>
        </w:rPr>
        <w:t>。</w:t>
      </w:r>
    </w:p>
    <w:bookmarkEnd w:id="38"/>
    <w:bookmarkEnd w:id="39"/>
    <w:p w14:paraId="46137D52">
      <w:pPr>
        <w:spacing w:before="120" w:line="320" w:lineRule="atLeast"/>
        <w:ind w:firstLine="420" w:firstLineChars="200"/>
        <w:rPr>
          <w:color w:val="auto"/>
          <w:szCs w:val="21"/>
          <w:highlight w:val="none"/>
        </w:rPr>
      </w:pPr>
      <w:r>
        <w:rPr>
          <w:color w:val="auto"/>
          <w:szCs w:val="21"/>
          <w:highlight w:val="none"/>
        </w:rPr>
        <w:t>3.6.4</w:t>
      </w:r>
      <w:r>
        <w:rPr>
          <w:rFonts w:hint="eastAsia"/>
          <w:color w:val="auto"/>
          <w:szCs w:val="21"/>
          <w:highlight w:val="none"/>
        </w:rPr>
        <w:t>为确保网上操作合法、有效和安全，投标人应当在投标截止时间前完成在广西政府采购云平台的身份认证，确保在电子投标过程中能够对相关数据电文进行加密和使用电子签名。</w:t>
      </w:r>
    </w:p>
    <w:p w14:paraId="54D9A64C">
      <w:pPr>
        <w:spacing w:before="120" w:line="320" w:lineRule="atLeast"/>
        <w:ind w:firstLine="420" w:firstLineChars="200"/>
        <w:rPr>
          <w:b/>
          <w:color w:val="auto"/>
          <w:szCs w:val="21"/>
          <w:highlight w:val="none"/>
        </w:rPr>
      </w:pPr>
      <w:r>
        <w:rPr>
          <w:rFonts w:hint="eastAsia"/>
          <w:color w:val="auto"/>
          <w:szCs w:val="21"/>
          <w:highlight w:val="none"/>
        </w:rPr>
        <w:t>3</w:t>
      </w:r>
      <w:r>
        <w:rPr>
          <w:color w:val="auto"/>
          <w:szCs w:val="21"/>
          <w:highlight w:val="none"/>
        </w:rPr>
        <w:t>.6.5</w:t>
      </w:r>
      <w:r>
        <w:rPr>
          <w:rFonts w:hint="eastAsia"/>
          <w:color w:val="auto"/>
          <w:szCs w:val="21"/>
          <w:highlight w:val="none"/>
        </w:rPr>
        <w:t>投标文件中标注的投标人名称应与主体资格证明（如营业执照、事业单位法人证书、执业许可证、个体工商户营业执照、自然人身份证等）和公章/电子签章一致，</w:t>
      </w:r>
      <w:r>
        <w:rPr>
          <w:rFonts w:hint="eastAsia"/>
          <w:b/>
          <w:color w:val="auto"/>
          <w:szCs w:val="21"/>
          <w:highlight w:val="none"/>
        </w:rPr>
        <w:t>否则作无效投标处理。</w:t>
      </w:r>
    </w:p>
    <w:p w14:paraId="06788DFB">
      <w:pPr>
        <w:spacing w:before="120" w:line="320" w:lineRule="atLeast"/>
        <w:ind w:firstLine="422" w:firstLineChars="200"/>
        <w:outlineLvl w:val="2"/>
        <w:rPr>
          <w:b/>
          <w:color w:val="auto"/>
          <w:kern w:val="0"/>
          <w:szCs w:val="21"/>
          <w:highlight w:val="none"/>
        </w:rPr>
      </w:pPr>
      <w:r>
        <w:rPr>
          <w:b/>
          <w:color w:val="auto"/>
          <w:kern w:val="0"/>
          <w:szCs w:val="21"/>
          <w:highlight w:val="none"/>
        </w:rPr>
        <w:t>3.7</w:t>
      </w:r>
      <w:r>
        <w:rPr>
          <w:rFonts w:hint="eastAsia"/>
          <w:b/>
          <w:color w:val="auto"/>
          <w:kern w:val="0"/>
          <w:szCs w:val="21"/>
          <w:highlight w:val="none"/>
        </w:rPr>
        <w:t>投标文件的递交、修改和撤回</w:t>
      </w:r>
    </w:p>
    <w:p w14:paraId="57151E70">
      <w:pPr>
        <w:spacing w:before="120" w:line="320" w:lineRule="atLeast"/>
        <w:ind w:firstLine="420" w:firstLineChars="200"/>
        <w:rPr>
          <w:color w:val="auto"/>
          <w:szCs w:val="21"/>
          <w:highlight w:val="none"/>
        </w:rPr>
      </w:pPr>
      <w:r>
        <w:rPr>
          <w:color w:val="auto"/>
          <w:szCs w:val="21"/>
          <w:highlight w:val="none"/>
        </w:rPr>
        <w:t>3.7.1</w:t>
      </w:r>
      <w:r>
        <w:rPr>
          <w:rFonts w:hint="eastAsia"/>
          <w:color w:val="auto"/>
          <w:szCs w:val="21"/>
          <w:highlight w:val="none"/>
        </w:rPr>
        <w:t>投标人必须在投标人须知前附表规定的投标文件开标时间和投标地点提交电子版投标文件。电子投标文件应在制作完成后，在投标截止时间前通过有效数字证书（CA认证锁）进行电子签章、加密，然后通过网络将加密的电子投标文件递交至广西政府采购云平台。</w:t>
      </w:r>
    </w:p>
    <w:p w14:paraId="45C69046">
      <w:pPr>
        <w:spacing w:before="120" w:line="320" w:lineRule="atLeast"/>
        <w:ind w:firstLine="420" w:firstLineChars="200"/>
        <w:rPr>
          <w:color w:val="auto"/>
          <w:szCs w:val="21"/>
          <w:highlight w:val="none"/>
        </w:rPr>
      </w:pPr>
      <w:r>
        <w:rPr>
          <w:rFonts w:hint="eastAsia"/>
          <w:color w:val="auto"/>
          <w:szCs w:val="21"/>
          <w:highlight w:val="none"/>
        </w:rPr>
        <w:t>3</w:t>
      </w:r>
      <w:r>
        <w:rPr>
          <w:color w:val="auto"/>
          <w:szCs w:val="21"/>
          <w:highlight w:val="none"/>
        </w:rPr>
        <w:t>.7.2</w:t>
      </w:r>
      <w:r>
        <w:rPr>
          <w:rFonts w:hint="eastAsia"/>
          <w:color w:val="auto"/>
          <w:szCs w:val="21"/>
          <w:highlight w:val="none"/>
        </w:rPr>
        <w:t xml:space="preserve">未在规定时间内提交或者未按照招标文件要求签章、加密的电子投标文件，广西政府采购云平台将拒收。 </w:t>
      </w:r>
    </w:p>
    <w:p w14:paraId="1D3FBB2C">
      <w:pPr>
        <w:spacing w:before="120" w:line="320" w:lineRule="atLeast"/>
        <w:ind w:left="2" w:leftChars="1" w:firstLine="420" w:firstLineChars="200"/>
        <w:rPr>
          <w:color w:val="auto"/>
          <w:szCs w:val="21"/>
          <w:highlight w:val="none"/>
        </w:rPr>
      </w:pPr>
      <w:r>
        <w:rPr>
          <w:rFonts w:hint="eastAsia"/>
          <w:color w:val="auto"/>
          <w:szCs w:val="21"/>
          <w:highlight w:val="none"/>
        </w:rPr>
        <w:t>3</w:t>
      </w:r>
      <w:r>
        <w:rPr>
          <w:color w:val="auto"/>
          <w:szCs w:val="21"/>
          <w:highlight w:val="none"/>
        </w:rPr>
        <w:t>.7.3</w:t>
      </w:r>
      <w:r>
        <w:rPr>
          <w:rFonts w:hint="eastAsia"/>
          <w:color w:val="auto"/>
          <w:szCs w:val="21"/>
          <w:highlight w:val="none"/>
        </w:rPr>
        <w:t>投标人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w:t>
      </w:r>
    </w:p>
    <w:p w14:paraId="5B64049D">
      <w:pPr>
        <w:spacing w:before="120" w:line="320" w:lineRule="atLeast"/>
        <w:ind w:left="2" w:leftChars="1" w:firstLine="420" w:firstLineChars="200"/>
        <w:rPr>
          <w:color w:val="auto"/>
          <w:szCs w:val="21"/>
          <w:highlight w:val="none"/>
        </w:rPr>
      </w:pPr>
      <w:r>
        <w:rPr>
          <w:color w:val="auto"/>
          <w:szCs w:val="21"/>
          <w:highlight w:val="none"/>
        </w:rPr>
        <w:t>3.7.4</w:t>
      </w:r>
      <w:r>
        <w:rPr>
          <w:rFonts w:hint="eastAsia"/>
          <w:color w:val="auto"/>
          <w:szCs w:val="21"/>
          <w:highlight w:val="none"/>
        </w:rPr>
        <w:t>在投标截止时间前，除投标人补充、修改或者撤回投标文件外，任何单位和个人不得解密或提取投标文件。</w:t>
      </w:r>
    </w:p>
    <w:p w14:paraId="63DAB1C8">
      <w:pPr>
        <w:spacing w:before="120" w:line="320" w:lineRule="atLeast"/>
        <w:ind w:left="2" w:leftChars="1" w:firstLine="420" w:firstLineChars="200"/>
        <w:rPr>
          <w:color w:val="auto"/>
          <w:szCs w:val="21"/>
          <w:highlight w:val="none"/>
        </w:rPr>
      </w:pPr>
      <w:r>
        <w:rPr>
          <w:color w:val="auto"/>
          <w:szCs w:val="21"/>
          <w:highlight w:val="none"/>
        </w:rPr>
        <w:t>3.7.5</w:t>
      </w:r>
      <w:r>
        <w:rPr>
          <w:rFonts w:hint="eastAsia"/>
          <w:color w:val="auto"/>
          <w:szCs w:val="21"/>
          <w:highlight w:val="none"/>
        </w:rPr>
        <w:t>在投标截止时间止提交电子版投标文件的投标人不足3家时，电子版投标文件由代理机构在广西政府采购云平台操作退回，除此之外采购人和采购代理机构对已提交的投标文件概不退回。</w:t>
      </w:r>
    </w:p>
    <w:p w14:paraId="1D00EA7F">
      <w:pPr>
        <w:spacing w:before="120" w:line="320" w:lineRule="atLeast"/>
        <w:ind w:left="2" w:leftChars="1" w:firstLine="420" w:firstLineChars="200"/>
        <w:rPr>
          <w:color w:val="auto"/>
          <w:szCs w:val="21"/>
          <w:highlight w:val="none"/>
        </w:rPr>
      </w:pPr>
      <w:bookmarkStart w:id="40" w:name="_Hlk93046827"/>
      <w:r>
        <w:rPr>
          <w:rFonts w:hint="eastAsia"/>
          <w:color w:val="auto"/>
          <w:szCs w:val="21"/>
          <w:highlight w:val="none"/>
        </w:rPr>
        <w:t>3</w:t>
      </w:r>
      <w:r>
        <w:rPr>
          <w:color w:val="auto"/>
          <w:szCs w:val="21"/>
          <w:highlight w:val="none"/>
        </w:rPr>
        <w:t>.7.6</w:t>
      </w:r>
      <w:r>
        <w:rPr>
          <w:rFonts w:hint="eastAsia"/>
          <w:color w:val="auto"/>
          <w:szCs w:val="21"/>
          <w:highlight w:val="none"/>
        </w:rPr>
        <w:t>招标文件未允许同一投标人提交两个或以上不同的响应文件，但存在</w:t>
      </w:r>
      <w:r>
        <w:rPr>
          <w:rFonts w:hint="eastAsia"/>
          <w:color w:val="auto"/>
          <w:highlight w:val="none"/>
        </w:rPr>
        <w:t>同</w:t>
      </w:r>
      <w:r>
        <w:rPr>
          <w:rFonts w:hint="eastAsia"/>
          <w:color w:val="auto"/>
          <w:szCs w:val="21"/>
          <w:highlight w:val="none"/>
        </w:rPr>
        <w:t>一投标人提交两个或以上不同的响应文件的，</w:t>
      </w:r>
      <w:r>
        <w:rPr>
          <w:rFonts w:hint="eastAsia"/>
          <w:b/>
          <w:color w:val="auto"/>
          <w:szCs w:val="21"/>
          <w:highlight w:val="none"/>
        </w:rPr>
        <w:t>其投标无效。</w:t>
      </w:r>
      <w:r>
        <w:rPr>
          <w:rFonts w:hint="eastAsia"/>
          <w:color w:val="auto"/>
          <w:szCs w:val="21"/>
          <w:highlight w:val="none"/>
        </w:rPr>
        <w:t>投标人在同一投标文件中对某项技术、商务要求提供有选择性的响应参数或方案等同于提交两个或以上不同的投标文件。</w:t>
      </w:r>
    </w:p>
    <w:bookmarkEnd w:id="40"/>
    <w:p w14:paraId="3BC564D7">
      <w:pPr>
        <w:spacing w:before="120" w:line="320" w:lineRule="atLeast"/>
        <w:ind w:left="2" w:leftChars="1" w:firstLine="422" w:firstLineChars="200"/>
        <w:outlineLvl w:val="1"/>
        <w:rPr>
          <w:b/>
          <w:color w:val="auto"/>
          <w:kern w:val="0"/>
          <w:szCs w:val="21"/>
          <w:highlight w:val="none"/>
        </w:rPr>
      </w:pPr>
      <w:r>
        <w:rPr>
          <w:b/>
          <w:color w:val="auto"/>
          <w:kern w:val="0"/>
          <w:szCs w:val="21"/>
          <w:highlight w:val="none"/>
        </w:rPr>
        <w:t>4</w:t>
      </w:r>
      <w:r>
        <w:rPr>
          <w:rFonts w:hint="eastAsia"/>
          <w:b/>
          <w:color w:val="auto"/>
          <w:kern w:val="0"/>
          <w:szCs w:val="21"/>
          <w:highlight w:val="none"/>
        </w:rPr>
        <w:t>．开标</w:t>
      </w:r>
    </w:p>
    <w:p w14:paraId="6768C3AE">
      <w:pPr>
        <w:spacing w:before="120" w:line="320" w:lineRule="atLeast"/>
        <w:ind w:firstLine="422" w:firstLineChars="200"/>
        <w:outlineLvl w:val="2"/>
        <w:rPr>
          <w:b/>
          <w:color w:val="auto"/>
          <w:kern w:val="0"/>
          <w:szCs w:val="21"/>
          <w:highlight w:val="none"/>
        </w:rPr>
      </w:pPr>
      <w:r>
        <w:rPr>
          <w:b/>
          <w:color w:val="auto"/>
          <w:kern w:val="0"/>
          <w:szCs w:val="21"/>
          <w:highlight w:val="none"/>
        </w:rPr>
        <w:t>4.1</w:t>
      </w:r>
      <w:r>
        <w:rPr>
          <w:rFonts w:hint="eastAsia"/>
          <w:b/>
          <w:color w:val="auto"/>
          <w:kern w:val="0"/>
          <w:szCs w:val="21"/>
          <w:highlight w:val="none"/>
        </w:rPr>
        <w:t>开标准备</w:t>
      </w:r>
    </w:p>
    <w:p w14:paraId="1C5AD409">
      <w:pPr>
        <w:spacing w:before="120" w:line="276" w:lineRule="auto"/>
        <w:ind w:firstLine="420" w:firstLineChars="200"/>
        <w:rPr>
          <w:color w:val="auto"/>
          <w:szCs w:val="21"/>
          <w:highlight w:val="none"/>
        </w:rPr>
      </w:pPr>
      <w:r>
        <w:rPr>
          <w:rFonts w:hint="eastAsia"/>
          <w:color w:val="auto"/>
          <w:szCs w:val="21"/>
          <w:highlight w:val="none"/>
        </w:rPr>
        <w:t>本项目投标截止时间及地点见“投标人须知前附表”规定。</w:t>
      </w:r>
    </w:p>
    <w:p w14:paraId="0625B328">
      <w:pPr>
        <w:autoSpaceDE w:val="0"/>
        <w:autoSpaceDN w:val="0"/>
        <w:adjustRightInd w:val="0"/>
        <w:spacing w:line="276" w:lineRule="auto"/>
        <w:ind w:firstLine="420" w:firstLineChars="200"/>
        <w:rPr>
          <w:color w:val="auto"/>
          <w:szCs w:val="21"/>
          <w:highlight w:val="none"/>
        </w:rPr>
      </w:pPr>
      <w:r>
        <w:rPr>
          <w:rFonts w:hint="eastAsia"/>
          <w:color w:val="auto"/>
          <w:szCs w:val="21"/>
          <w:highlight w:val="none"/>
        </w:rPr>
        <w:t>全流程电子化项目没有现场递交投标文件及现场开标环节。采购代理机构将按照招标文件规定的时间通过广西政府采购云平台组织线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5C33691D">
      <w:pPr>
        <w:spacing w:before="120" w:line="276" w:lineRule="auto"/>
        <w:ind w:firstLine="420" w:firstLineChars="200"/>
        <w:rPr>
          <w:color w:val="auto"/>
          <w:szCs w:val="21"/>
          <w:highlight w:val="none"/>
        </w:rPr>
      </w:pPr>
      <w:r>
        <w:rPr>
          <w:rFonts w:hint="eastAsia"/>
          <w:color w:val="auto"/>
          <w:szCs w:val="21"/>
          <w:highlight w:val="none"/>
        </w:rPr>
        <w:t xml:space="preserve">如投标人成功解密投标文件，但未在广西政府采购云平台电子开标大厅参加开标的，视同认可开标过程和结果，由此产生的后果由投标人自行负责。 </w:t>
      </w:r>
    </w:p>
    <w:p w14:paraId="04C06C46">
      <w:pPr>
        <w:spacing w:before="120" w:line="320" w:lineRule="atLeast"/>
        <w:ind w:firstLine="422" w:firstLineChars="200"/>
        <w:outlineLvl w:val="2"/>
        <w:rPr>
          <w:b/>
          <w:color w:val="auto"/>
          <w:kern w:val="0"/>
          <w:szCs w:val="21"/>
          <w:highlight w:val="none"/>
        </w:rPr>
      </w:pPr>
      <w:r>
        <w:rPr>
          <w:b/>
          <w:color w:val="auto"/>
          <w:kern w:val="0"/>
          <w:szCs w:val="21"/>
          <w:highlight w:val="none"/>
        </w:rPr>
        <w:t>4.2</w:t>
      </w:r>
      <w:r>
        <w:rPr>
          <w:rFonts w:hint="eastAsia"/>
          <w:b/>
          <w:color w:val="auto"/>
          <w:kern w:val="0"/>
          <w:szCs w:val="21"/>
          <w:highlight w:val="none"/>
        </w:rPr>
        <w:t>开标程序</w:t>
      </w:r>
    </w:p>
    <w:p w14:paraId="12BCFC45">
      <w:pPr>
        <w:spacing w:before="120" w:line="320" w:lineRule="atLeast"/>
        <w:ind w:firstLine="420" w:firstLineChars="200"/>
        <w:rPr>
          <w:color w:val="auto"/>
          <w:szCs w:val="21"/>
          <w:highlight w:val="none"/>
        </w:rPr>
      </w:pPr>
      <w:r>
        <w:rPr>
          <w:color w:val="auto"/>
          <w:szCs w:val="21"/>
          <w:highlight w:val="none"/>
        </w:rPr>
        <w:t>4.2.1</w:t>
      </w:r>
      <w:r>
        <w:rPr>
          <w:rFonts w:hint="eastAsia"/>
          <w:color w:val="auto"/>
          <w:szCs w:val="21"/>
          <w:highlight w:val="none"/>
        </w:rPr>
        <w:t>投标人登录广西政府采购云平台进入开标大厅签到。</w:t>
      </w:r>
    </w:p>
    <w:p w14:paraId="60E38E62">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.2.2</w:t>
      </w:r>
      <w:r>
        <w:rPr>
          <w:rFonts w:hint="eastAsia"/>
          <w:color w:val="auto"/>
          <w:szCs w:val="21"/>
          <w:highlight w:val="none"/>
        </w:rPr>
        <w:t>解密电子投标文件。广西政府采购云平台按开标时间自动提取所有投标文件。采购代理机构在广西政府采购云平台向各投标人发出电子加密投标文件开始解密通知，由投标人在平台设置时间内自行进行投标文件解密。投标人须使用加密时所用的CA锁准时登录到广西政府采购云平台电子开标大厅签到并对电子投标文件解密。开标后投标人未及时进行解密的，代理机构可通知投标人。</w:t>
      </w:r>
      <w:r>
        <w:rPr>
          <w:rFonts w:hint="eastAsia"/>
          <w:color w:val="auto"/>
          <w:highlight w:val="none"/>
        </w:rPr>
        <w:t>通知后投标人仍未在上述规定时间内解密响应文件</w:t>
      </w:r>
      <w:r>
        <w:rPr>
          <w:rFonts w:hint="eastAsia"/>
          <w:color w:val="auto"/>
          <w:szCs w:val="21"/>
          <w:highlight w:val="none"/>
        </w:rPr>
        <w:t>，或者投标人没预留联系方式或预留联系方式无效导致代理机构无法联系到投标人进行解密的，均视为无效投标。</w:t>
      </w:r>
    </w:p>
    <w:p w14:paraId="2DA3390F">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.2.3</w:t>
      </w:r>
      <w:r>
        <w:rPr>
          <w:rFonts w:hint="eastAsia"/>
          <w:color w:val="auto"/>
          <w:szCs w:val="21"/>
          <w:highlight w:val="none"/>
        </w:rPr>
        <w:t>广西政府采购云平台设置有备份响应文件功能。备份响应文件是指平台设置为接受备份响应文件时，如出现投标人上传的响应文件存在问题或其他投标人原因引起解密异常时，投标人可以在规定时间内将备份响应文件通过邮箱发送至采购代理机构，由代理机构上传备份响应文件后自动解密从而避免被视为无效响应。是否接受备份响应文件详见投标人须知前附表，如接受备份文件，投标人未在规定时间内发送备份响应文件的将视为无效响应。</w:t>
      </w:r>
    </w:p>
    <w:p w14:paraId="5650878B">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.2.4</w:t>
      </w:r>
      <w:r>
        <w:rPr>
          <w:rFonts w:hint="eastAsia"/>
          <w:color w:val="auto"/>
          <w:szCs w:val="21"/>
          <w:highlight w:val="none"/>
        </w:rPr>
        <w:t>解密异常情况处理：详见本章</w:t>
      </w:r>
      <w:r>
        <w:rPr>
          <w:color w:val="auto"/>
          <w:szCs w:val="21"/>
          <w:highlight w:val="none"/>
        </w:rPr>
        <w:t>9.2</w:t>
      </w:r>
      <w:r>
        <w:rPr>
          <w:rFonts w:hint="eastAsia"/>
          <w:color w:val="auto"/>
          <w:szCs w:val="21"/>
          <w:highlight w:val="none"/>
        </w:rPr>
        <w:t>电子交易活动的中止。</w:t>
      </w:r>
    </w:p>
    <w:p w14:paraId="630EBB94">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.2.5</w:t>
      </w:r>
      <w:r>
        <w:rPr>
          <w:rFonts w:hint="eastAsia"/>
          <w:color w:val="auto"/>
          <w:szCs w:val="21"/>
          <w:highlight w:val="none"/>
        </w:rPr>
        <w:t>投标人对报价进行确认。</w:t>
      </w:r>
    </w:p>
    <w:p w14:paraId="6BBF9C30">
      <w:pPr>
        <w:spacing w:before="120" w:line="320" w:lineRule="atLeast"/>
        <w:ind w:firstLine="420" w:firstLineChars="200"/>
        <w:rPr>
          <w:color w:val="auto"/>
          <w:szCs w:val="21"/>
          <w:highlight w:val="none"/>
        </w:rPr>
      </w:pPr>
      <w:r>
        <w:rPr>
          <w:color w:val="auto"/>
          <w:szCs w:val="21"/>
          <w:highlight w:val="none"/>
        </w:rPr>
        <w:t>4.2.6</w:t>
      </w:r>
      <w:r>
        <w:rPr>
          <w:rFonts w:hint="eastAsia"/>
          <w:color w:val="auto"/>
          <w:szCs w:val="21"/>
          <w:highlight w:val="none"/>
        </w:rPr>
        <w:t>开标结束。</w:t>
      </w:r>
    </w:p>
    <w:p w14:paraId="7FF9432A">
      <w:pPr>
        <w:pStyle w:val="26"/>
        <w:snapToGrid w:val="0"/>
        <w:spacing w:line="440" w:lineRule="exact"/>
        <w:ind w:firstLine="422" w:firstLineChars="200"/>
        <w:rPr>
          <w:rFonts w:hAnsi="宋体"/>
          <w:color w:val="auto"/>
          <w:highlight w:val="none"/>
        </w:rPr>
      </w:pPr>
      <w:r>
        <w:rPr>
          <w:rFonts w:hint="eastAsia" w:hAnsi="宋体"/>
          <w:b/>
          <w:color w:val="auto"/>
          <w:highlight w:val="none"/>
        </w:rPr>
        <w:t>特别说明：</w:t>
      </w:r>
      <w:r>
        <w:rPr>
          <w:rFonts w:hint="eastAsia" w:hAnsi="宋体"/>
          <w:color w:val="auto"/>
          <w:highlight w:val="none"/>
        </w:rPr>
        <w:t>如遇</w:t>
      </w:r>
      <w:r>
        <w:rPr>
          <w:rFonts w:hint="eastAsia"/>
          <w:color w:val="auto"/>
          <w:highlight w:val="none"/>
        </w:rPr>
        <w:t>广西政府采购云平台</w:t>
      </w:r>
      <w:r>
        <w:rPr>
          <w:rFonts w:hint="eastAsia" w:hAnsi="宋体"/>
          <w:color w:val="auto"/>
          <w:highlight w:val="none"/>
        </w:rPr>
        <w:t>电子化开标或评审程序调整的，按调整后的程序执行。</w:t>
      </w:r>
    </w:p>
    <w:p w14:paraId="0622FF24">
      <w:pPr>
        <w:spacing w:before="120" w:line="320" w:lineRule="atLeast"/>
        <w:ind w:firstLine="422" w:firstLineChars="200"/>
        <w:outlineLvl w:val="2"/>
        <w:rPr>
          <w:b/>
          <w:color w:val="auto"/>
          <w:kern w:val="0"/>
          <w:szCs w:val="21"/>
          <w:highlight w:val="none"/>
        </w:rPr>
      </w:pPr>
      <w:r>
        <w:rPr>
          <w:b/>
          <w:color w:val="auto"/>
          <w:kern w:val="0"/>
          <w:szCs w:val="21"/>
          <w:highlight w:val="none"/>
        </w:rPr>
        <w:t>4.3</w:t>
      </w:r>
      <w:r>
        <w:rPr>
          <w:rFonts w:hint="eastAsia"/>
          <w:b/>
          <w:color w:val="auto"/>
          <w:kern w:val="0"/>
          <w:szCs w:val="21"/>
          <w:highlight w:val="none"/>
        </w:rPr>
        <w:t>演示</w:t>
      </w:r>
    </w:p>
    <w:p w14:paraId="7C83E8DE">
      <w:pPr>
        <w:spacing w:before="120" w:line="320" w:lineRule="atLeast"/>
        <w:ind w:firstLine="420" w:firstLineChars="200"/>
        <w:rPr>
          <w:color w:val="auto"/>
          <w:szCs w:val="21"/>
          <w:highlight w:val="none"/>
        </w:rPr>
      </w:pPr>
      <w:r>
        <w:rPr>
          <w:color w:val="auto"/>
          <w:szCs w:val="21"/>
          <w:highlight w:val="none"/>
        </w:rPr>
        <w:t>4.3.1“</w:t>
      </w:r>
      <w:r>
        <w:rPr>
          <w:rFonts w:hint="eastAsia"/>
          <w:color w:val="auto"/>
          <w:szCs w:val="21"/>
          <w:highlight w:val="none"/>
        </w:rPr>
        <w:t>投标人须知前附表”规定在开标会议结束后进行演示的，投标人应按规定进行演示。</w:t>
      </w:r>
    </w:p>
    <w:p w14:paraId="1319356A">
      <w:pPr>
        <w:spacing w:before="120" w:line="320" w:lineRule="atLeast"/>
        <w:ind w:firstLine="420" w:firstLineChars="200"/>
        <w:rPr>
          <w:color w:val="auto"/>
          <w:szCs w:val="21"/>
          <w:highlight w:val="none"/>
        </w:rPr>
      </w:pPr>
      <w:r>
        <w:rPr>
          <w:color w:val="auto"/>
          <w:szCs w:val="21"/>
          <w:highlight w:val="none"/>
        </w:rPr>
        <w:t>4.3.2</w:t>
      </w:r>
      <w:r>
        <w:rPr>
          <w:rFonts w:hint="eastAsia"/>
          <w:color w:val="auto"/>
          <w:szCs w:val="21"/>
          <w:highlight w:val="none"/>
        </w:rPr>
        <w:t>未按规定时间进行演示可能引起的演示分数被计为0分或投标无效等后果由投标人自行承担。</w:t>
      </w:r>
    </w:p>
    <w:p w14:paraId="5748F3B1">
      <w:pPr>
        <w:spacing w:before="120" w:line="320" w:lineRule="atLeast"/>
        <w:ind w:firstLine="422" w:firstLineChars="200"/>
        <w:outlineLvl w:val="2"/>
        <w:rPr>
          <w:color w:val="auto"/>
          <w:szCs w:val="21"/>
          <w:highlight w:val="none"/>
        </w:rPr>
      </w:pPr>
      <w:r>
        <w:rPr>
          <w:b/>
          <w:color w:val="auto"/>
          <w:kern w:val="0"/>
          <w:szCs w:val="21"/>
          <w:highlight w:val="none"/>
        </w:rPr>
        <w:t>4.4</w:t>
      </w:r>
      <w:r>
        <w:rPr>
          <w:rFonts w:hint="eastAsia"/>
          <w:b/>
          <w:color w:val="auto"/>
          <w:kern w:val="0"/>
          <w:szCs w:val="21"/>
          <w:highlight w:val="none"/>
        </w:rPr>
        <w:t>样品</w:t>
      </w:r>
    </w:p>
    <w:p w14:paraId="01B82ACF">
      <w:pPr>
        <w:spacing w:before="120" w:line="320" w:lineRule="atLeast"/>
        <w:ind w:firstLine="420" w:firstLineChars="200"/>
        <w:rPr>
          <w:color w:val="auto"/>
          <w:szCs w:val="21"/>
          <w:highlight w:val="none"/>
        </w:rPr>
      </w:pPr>
      <w:r>
        <w:rPr>
          <w:color w:val="auto"/>
          <w:szCs w:val="21"/>
          <w:highlight w:val="none"/>
        </w:rPr>
        <w:t>4.4.1“</w:t>
      </w:r>
      <w:r>
        <w:rPr>
          <w:rFonts w:hint="eastAsia"/>
          <w:color w:val="auto"/>
          <w:szCs w:val="21"/>
          <w:highlight w:val="none"/>
        </w:rPr>
        <w:t>投标人须知前附表”规定递交样品的，投标人应按前附表规定递交样品，递交样品时应附样品递交表（格式见第六章）。</w:t>
      </w:r>
    </w:p>
    <w:p w14:paraId="461B03EC">
      <w:pPr>
        <w:spacing w:before="120" w:line="320" w:lineRule="atLeast"/>
        <w:ind w:firstLine="420" w:firstLineChars="200"/>
        <w:rPr>
          <w:color w:val="auto"/>
          <w:szCs w:val="21"/>
          <w:highlight w:val="none"/>
        </w:rPr>
      </w:pPr>
      <w:r>
        <w:rPr>
          <w:color w:val="auto"/>
          <w:szCs w:val="21"/>
          <w:highlight w:val="none"/>
        </w:rPr>
        <w:t>4.4.2</w:t>
      </w:r>
      <w:r>
        <w:rPr>
          <w:rFonts w:hint="eastAsia"/>
          <w:color w:val="auto"/>
          <w:szCs w:val="21"/>
          <w:highlight w:val="none"/>
        </w:rPr>
        <w:t>未按规定时间递交样品可能引起的样品分数被计为0分或投标无效等后果由投标人自行承担。</w:t>
      </w:r>
    </w:p>
    <w:p w14:paraId="303FDEE0">
      <w:pPr>
        <w:spacing w:before="120" w:line="320" w:lineRule="atLeast"/>
        <w:ind w:firstLine="420" w:firstLineChars="200"/>
        <w:rPr>
          <w:color w:val="auto"/>
          <w:szCs w:val="21"/>
          <w:highlight w:val="none"/>
        </w:rPr>
      </w:pPr>
      <w:r>
        <w:rPr>
          <w:color w:val="auto"/>
          <w:szCs w:val="21"/>
          <w:highlight w:val="none"/>
        </w:rPr>
        <w:t>4.4.3</w:t>
      </w:r>
      <w:r>
        <w:rPr>
          <w:rFonts w:hint="eastAsia"/>
          <w:color w:val="auto"/>
          <w:szCs w:val="21"/>
          <w:highlight w:val="none"/>
        </w:rPr>
        <w:t>样品封存或退还的说明请见第六章投标文件格式所附样品递交表。</w:t>
      </w:r>
    </w:p>
    <w:p w14:paraId="55781625">
      <w:pPr>
        <w:spacing w:before="120" w:line="320" w:lineRule="atLeast"/>
        <w:ind w:left="2" w:leftChars="1" w:firstLine="422" w:firstLineChars="200"/>
        <w:outlineLvl w:val="1"/>
        <w:rPr>
          <w:b/>
          <w:color w:val="auto"/>
          <w:kern w:val="0"/>
          <w:szCs w:val="21"/>
          <w:highlight w:val="none"/>
        </w:rPr>
      </w:pPr>
      <w:bookmarkStart w:id="41" w:name="_Hlk93420947"/>
      <w:r>
        <w:rPr>
          <w:b/>
          <w:color w:val="auto"/>
          <w:kern w:val="0"/>
          <w:szCs w:val="21"/>
          <w:highlight w:val="none"/>
        </w:rPr>
        <w:t>5</w:t>
      </w:r>
      <w:r>
        <w:rPr>
          <w:rFonts w:hint="eastAsia"/>
          <w:b/>
          <w:color w:val="auto"/>
          <w:kern w:val="0"/>
          <w:szCs w:val="21"/>
          <w:highlight w:val="none"/>
        </w:rPr>
        <w:t>．资格审查</w:t>
      </w:r>
    </w:p>
    <w:p w14:paraId="3A7BAFC4">
      <w:pPr>
        <w:spacing w:before="120" w:line="320" w:lineRule="atLeast"/>
        <w:ind w:left="2" w:leftChars="1" w:firstLine="420" w:firstLineChars="200"/>
        <w:outlineLvl w:val="1"/>
        <w:rPr>
          <w:color w:val="auto"/>
          <w:kern w:val="0"/>
          <w:szCs w:val="21"/>
          <w:highlight w:val="none"/>
        </w:rPr>
      </w:pPr>
      <w:r>
        <w:rPr>
          <w:rFonts w:hint="eastAsia"/>
          <w:color w:val="auto"/>
          <w:kern w:val="0"/>
          <w:szCs w:val="21"/>
          <w:highlight w:val="none"/>
        </w:rPr>
        <w:t>5</w:t>
      </w:r>
      <w:r>
        <w:rPr>
          <w:color w:val="auto"/>
          <w:kern w:val="0"/>
          <w:szCs w:val="21"/>
          <w:highlight w:val="none"/>
        </w:rPr>
        <w:t>.1</w:t>
      </w:r>
      <w:r>
        <w:rPr>
          <w:rFonts w:hint="eastAsia" w:ascii="宋体" w:hAnsi="宋体"/>
          <w:color w:val="auto"/>
          <w:szCs w:val="21"/>
          <w:highlight w:val="none"/>
        </w:rPr>
        <w:t>开标结束后，采购人或者采购代理机构通过电子交易平台对投标人的资格进行审查。资格审查</w:t>
      </w:r>
      <w:r>
        <w:rPr>
          <w:rFonts w:hint="eastAsia"/>
          <w:color w:val="auto"/>
          <w:kern w:val="0"/>
          <w:szCs w:val="21"/>
          <w:highlight w:val="none"/>
        </w:rPr>
        <w:t>是根据法律法规和招标文件的规定，对投标人的基本资格条件、特定资格条件进行审查。</w:t>
      </w:r>
    </w:p>
    <w:p w14:paraId="28325933">
      <w:pPr>
        <w:spacing w:before="120" w:line="320" w:lineRule="atLeast"/>
        <w:ind w:left="2" w:leftChars="1" w:firstLine="420" w:firstLineChars="200"/>
        <w:outlineLvl w:val="1"/>
        <w:rPr>
          <w:color w:val="auto"/>
          <w:kern w:val="0"/>
          <w:szCs w:val="21"/>
          <w:highlight w:val="none"/>
        </w:rPr>
      </w:pPr>
      <w:r>
        <w:rPr>
          <w:rFonts w:hint="eastAsia"/>
          <w:color w:val="auto"/>
          <w:kern w:val="0"/>
          <w:szCs w:val="21"/>
          <w:highlight w:val="none"/>
        </w:rPr>
        <w:t>5.</w:t>
      </w:r>
      <w:r>
        <w:rPr>
          <w:color w:val="auto"/>
          <w:kern w:val="0"/>
          <w:szCs w:val="21"/>
          <w:highlight w:val="none"/>
        </w:rPr>
        <w:t>2</w:t>
      </w:r>
      <w:r>
        <w:rPr>
          <w:rFonts w:hint="eastAsia"/>
          <w:color w:val="auto"/>
          <w:kern w:val="0"/>
          <w:szCs w:val="21"/>
          <w:highlight w:val="none"/>
        </w:rPr>
        <w:t>资格审查标准在第四章评审方法及标准中规定，符合资格审查标准要求的投标人即为资格审查合格。</w:t>
      </w:r>
    </w:p>
    <w:p w14:paraId="122CA67A">
      <w:pPr>
        <w:spacing w:before="120" w:line="276" w:lineRule="auto"/>
        <w:ind w:left="2" w:leftChars="1" w:firstLine="420" w:firstLineChars="200"/>
        <w:outlineLvl w:val="1"/>
        <w:rPr>
          <w:color w:val="auto"/>
          <w:kern w:val="0"/>
          <w:szCs w:val="21"/>
          <w:highlight w:val="none"/>
        </w:rPr>
      </w:pPr>
      <w:r>
        <w:rPr>
          <w:color w:val="auto"/>
          <w:kern w:val="0"/>
          <w:szCs w:val="21"/>
          <w:highlight w:val="none"/>
        </w:rPr>
        <w:t>5.3</w:t>
      </w:r>
      <w:r>
        <w:rPr>
          <w:rFonts w:hint="eastAsia"/>
          <w:color w:val="auto"/>
          <w:kern w:val="0"/>
          <w:szCs w:val="21"/>
          <w:highlight w:val="none"/>
        </w:rPr>
        <w:t>投标人有下列情形之一的，资格审查不合格，作无效投标处理：</w:t>
      </w:r>
    </w:p>
    <w:p w14:paraId="60DEFDD8">
      <w:pPr>
        <w:spacing w:line="276" w:lineRule="auto"/>
        <w:ind w:firstLine="420" w:firstLineChars="200"/>
        <w:rPr>
          <w:rFonts w:hAnsi="宋体"/>
          <w:color w:val="auto"/>
          <w:szCs w:val="21"/>
          <w:highlight w:val="none"/>
        </w:rPr>
      </w:pPr>
      <w:r>
        <w:rPr>
          <w:rFonts w:hint="eastAsia"/>
          <w:color w:val="auto"/>
          <w:szCs w:val="21"/>
          <w:highlight w:val="none"/>
        </w:rPr>
        <w:t>5</w:t>
      </w:r>
      <w:r>
        <w:rPr>
          <w:color w:val="auto"/>
          <w:szCs w:val="21"/>
          <w:highlight w:val="none"/>
        </w:rPr>
        <w:t>.3.1</w:t>
      </w:r>
      <w:r>
        <w:rPr>
          <w:rFonts w:hint="eastAsia"/>
          <w:color w:val="auto"/>
          <w:szCs w:val="21"/>
          <w:highlight w:val="none"/>
        </w:rPr>
        <w:t>不具备招标文件中规定的资格要求或资格条件的； （注：其中信用查询规则见“投标人须知前附表”，广西政府采购云平台已与“信用中国”平台做接口，可直接在线查询）</w:t>
      </w:r>
    </w:p>
    <w:p w14:paraId="30EDFCD3">
      <w:pPr>
        <w:spacing w:before="120" w:line="276" w:lineRule="auto"/>
        <w:ind w:firstLine="420" w:firstLineChars="200"/>
        <w:rPr>
          <w:color w:val="auto"/>
          <w:szCs w:val="21"/>
          <w:highlight w:val="none"/>
        </w:rPr>
      </w:pPr>
      <w:r>
        <w:rPr>
          <w:rFonts w:hint="eastAsia"/>
          <w:color w:val="auto"/>
          <w:szCs w:val="21"/>
          <w:highlight w:val="none"/>
        </w:rPr>
        <w:t>5</w:t>
      </w:r>
      <w:r>
        <w:rPr>
          <w:color w:val="auto"/>
          <w:szCs w:val="21"/>
          <w:highlight w:val="none"/>
        </w:rPr>
        <w:t>.3.2</w:t>
      </w:r>
      <w:r>
        <w:rPr>
          <w:rFonts w:hint="eastAsia"/>
          <w:color w:val="auto"/>
          <w:szCs w:val="21"/>
          <w:highlight w:val="none"/>
        </w:rPr>
        <w:t>投标文件缺少任何一项资格证明文件或不符合第四章评审方法及标准中资格审查标准规定的评审内容的；</w:t>
      </w:r>
    </w:p>
    <w:p w14:paraId="2A0EE172">
      <w:pPr>
        <w:spacing w:before="120" w:line="276" w:lineRule="auto"/>
        <w:ind w:left="2" w:leftChars="1" w:firstLine="420" w:firstLineChars="200"/>
        <w:outlineLvl w:val="1"/>
        <w:rPr>
          <w:color w:val="auto"/>
          <w:kern w:val="0"/>
          <w:szCs w:val="21"/>
          <w:highlight w:val="none"/>
        </w:rPr>
      </w:pPr>
      <w:r>
        <w:rPr>
          <w:color w:val="auto"/>
          <w:kern w:val="0"/>
          <w:szCs w:val="21"/>
          <w:highlight w:val="none"/>
        </w:rPr>
        <w:t>5.4</w:t>
      </w:r>
      <w:r>
        <w:rPr>
          <w:rFonts w:hint="eastAsia"/>
          <w:color w:val="auto"/>
          <w:kern w:val="0"/>
          <w:szCs w:val="21"/>
          <w:highlight w:val="none"/>
        </w:rPr>
        <w:t>资格审查合格的投标人不足3家的，不得评审。</w:t>
      </w:r>
    </w:p>
    <w:bookmarkEnd w:id="41"/>
    <w:p w14:paraId="1E506170">
      <w:pPr>
        <w:spacing w:before="120" w:line="320" w:lineRule="atLeast"/>
        <w:ind w:left="2" w:leftChars="1" w:firstLine="422" w:firstLineChars="200"/>
        <w:outlineLvl w:val="1"/>
        <w:rPr>
          <w:b/>
          <w:color w:val="auto"/>
          <w:kern w:val="0"/>
          <w:szCs w:val="21"/>
          <w:highlight w:val="none"/>
        </w:rPr>
      </w:pPr>
      <w:bookmarkStart w:id="42" w:name="_Hlk93420990"/>
      <w:r>
        <w:rPr>
          <w:b/>
          <w:color w:val="auto"/>
          <w:kern w:val="0"/>
          <w:szCs w:val="21"/>
          <w:highlight w:val="none"/>
        </w:rPr>
        <w:t>6</w:t>
      </w:r>
      <w:r>
        <w:rPr>
          <w:rFonts w:hint="eastAsia"/>
          <w:b/>
          <w:color w:val="auto"/>
          <w:kern w:val="0"/>
          <w:szCs w:val="21"/>
          <w:highlight w:val="none"/>
        </w:rPr>
        <w:t>．评审</w:t>
      </w:r>
    </w:p>
    <w:p w14:paraId="0CD70AF3">
      <w:pPr>
        <w:spacing w:before="120" w:line="320" w:lineRule="atLeast"/>
        <w:ind w:firstLine="422" w:firstLineChars="200"/>
        <w:outlineLvl w:val="2"/>
        <w:rPr>
          <w:b/>
          <w:color w:val="auto"/>
          <w:kern w:val="0"/>
          <w:szCs w:val="21"/>
          <w:highlight w:val="none"/>
        </w:rPr>
      </w:pPr>
      <w:r>
        <w:rPr>
          <w:b/>
          <w:color w:val="auto"/>
          <w:kern w:val="0"/>
          <w:szCs w:val="21"/>
          <w:highlight w:val="none"/>
        </w:rPr>
        <w:t>6.1</w:t>
      </w:r>
      <w:r>
        <w:rPr>
          <w:rFonts w:hint="eastAsia"/>
          <w:b/>
          <w:color w:val="auto"/>
          <w:kern w:val="0"/>
          <w:szCs w:val="21"/>
          <w:highlight w:val="none"/>
        </w:rPr>
        <w:t>评审委员会及评审原则</w:t>
      </w:r>
    </w:p>
    <w:p w14:paraId="45F37409">
      <w:pPr>
        <w:spacing w:before="120" w:line="320" w:lineRule="atLeast"/>
        <w:ind w:firstLine="420" w:firstLineChars="200"/>
        <w:rPr>
          <w:color w:val="auto"/>
          <w:szCs w:val="21"/>
          <w:highlight w:val="none"/>
        </w:rPr>
      </w:pPr>
      <w:bookmarkStart w:id="43" w:name="_Hlk91249317"/>
      <w:r>
        <w:rPr>
          <w:rFonts w:hint="eastAsia"/>
          <w:color w:val="auto"/>
          <w:szCs w:val="21"/>
          <w:highlight w:val="none"/>
        </w:rPr>
        <w:t>6.1.1本项目评审工作由评审委员会负责，评审委员会由评审专家和采购人代表（如有）组成。评审委员会评审时必须公平、公正、客观，不带任何倾向性和启发性；不得向外界透露任何与评审有关的内容；任何单位和个人不得干扰、影响评标的正常进行；评审委员会及有关工作人员不得私下与投标人接触，不得收受利害关系人的财物或者其他好处；评审专家发现本人与参加采购活动的投标人有利害关系的，应当主动提出回避。</w:t>
      </w:r>
    </w:p>
    <w:p w14:paraId="60A0CB7F">
      <w:pPr>
        <w:spacing w:before="120" w:line="320" w:lineRule="atLeast"/>
        <w:ind w:firstLine="420" w:firstLineChars="200"/>
        <w:rPr>
          <w:color w:val="auto"/>
          <w:szCs w:val="21"/>
          <w:highlight w:val="none"/>
        </w:rPr>
      </w:pPr>
      <w:r>
        <w:rPr>
          <w:rFonts w:hint="eastAsia"/>
          <w:color w:val="auto"/>
          <w:szCs w:val="21"/>
          <w:highlight w:val="none"/>
        </w:rPr>
        <w:t>6.1.2评审委员会成员应当通过电子交易平台进行独立评审，评审委员会成员对需要共同认定的事项存在争议的，应当按照少数服从多数的原则作出结论。持不同意见的评审委员会成员应当在评审报告上签署不同意见及理由，否则视为同意评审报告。如果在评审过程中出现法律法规和招标文件均没有明确规定的情形时，由评审委员会现场协商确定，协商不一致的，由全体评审委员会成员投票表决，应当按照少数服从多数的原则作出结论并记录在评审报告中。</w:t>
      </w:r>
    </w:p>
    <w:p w14:paraId="4DD001F2">
      <w:pPr>
        <w:spacing w:before="120" w:line="320" w:lineRule="atLeast"/>
        <w:ind w:firstLine="420" w:firstLineChars="200"/>
        <w:rPr>
          <w:color w:val="auto"/>
          <w:szCs w:val="21"/>
          <w:highlight w:val="none"/>
        </w:rPr>
      </w:pPr>
      <w:r>
        <w:rPr>
          <w:rFonts w:hint="eastAsia"/>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3A82F91F">
      <w:pPr>
        <w:spacing w:before="120" w:line="320" w:lineRule="atLeast"/>
        <w:ind w:firstLine="420" w:firstLineChars="200"/>
        <w:rPr>
          <w:color w:val="auto"/>
          <w:szCs w:val="21"/>
          <w:highlight w:val="none"/>
        </w:rPr>
      </w:pPr>
      <w:r>
        <w:rPr>
          <w:rFonts w:hint="eastAsia"/>
          <w:color w:val="auto"/>
          <w:szCs w:val="21"/>
          <w:highlight w:val="none"/>
        </w:rPr>
        <w:t>6.1.4本项目评审过程实行全程网上留痕及录音、录像监控，投标人在评审过程中所进行的试图影响评审结果的不公正活动，可能导致其投标按无效处理。</w:t>
      </w:r>
    </w:p>
    <w:bookmarkEnd w:id="43"/>
    <w:p w14:paraId="1DFE6D9B">
      <w:pPr>
        <w:spacing w:before="120" w:line="320" w:lineRule="atLeast"/>
        <w:ind w:firstLine="422" w:firstLineChars="200"/>
        <w:outlineLvl w:val="2"/>
        <w:rPr>
          <w:b/>
          <w:color w:val="auto"/>
          <w:kern w:val="0"/>
          <w:szCs w:val="21"/>
          <w:highlight w:val="none"/>
        </w:rPr>
      </w:pPr>
      <w:bookmarkStart w:id="44" w:name="_Hlk91324148"/>
      <w:r>
        <w:rPr>
          <w:b/>
          <w:color w:val="auto"/>
          <w:kern w:val="0"/>
          <w:szCs w:val="21"/>
          <w:highlight w:val="none"/>
        </w:rPr>
        <w:t>6.2</w:t>
      </w:r>
      <w:r>
        <w:rPr>
          <w:rFonts w:hint="eastAsia"/>
          <w:b/>
          <w:color w:val="auto"/>
          <w:kern w:val="0"/>
          <w:szCs w:val="21"/>
          <w:highlight w:val="none"/>
        </w:rPr>
        <w:t>评审方法及依据</w:t>
      </w:r>
    </w:p>
    <w:p w14:paraId="3158C62C">
      <w:pPr>
        <w:spacing w:before="120" w:line="320" w:lineRule="atLeast"/>
        <w:ind w:firstLine="420" w:firstLineChars="200"/>
        <w:rPr>
          <w:color w:val="auto"/>
          <w:kern w:val="0"/>
          <w:szCs w:val="21"/>
          <w:highlight w:val="none"/>
        </w:rPr>
      </w:pPr>
      <w:r>
        <w:rPr>
          <w:color w:val="auto"/>
          <w:kern w:val="0"/>
          <w:szCs w:val="21"/>
          <w:highlight w:val="none"/>
        </w:rPr>
        <w:t>6.2.1</w:t>
      </w:r>
      <w:r>
        <w:rPr>
          <w:rFonts w:hint="eastAsia"/>
          <w:color w:val="auto"/>
          <w:kern w:val="0"/>
          <w:szCs w:val="21"/>
          <w:highlight w:val="none"/>
        </w:rPr>
        <w:t>本项目采用第四章评审方法及标准规定的方法进行评审。</w:t>
      </w:r>
    </w:p>
    <w:p w14:paraId="2001BD4A">
      <w:pPr>
        <w:suppressAutoHyphens/>
        <w:spacing w:before="120" w:line="320" w:lineRule="atLeast"/>
        <w:ind w:firstLine="420" w:firstLineChars="200"/>
        <w:rPr>
          <w:color w:val="auto"/>
          <w:kern w:val="0"/>
          <w:szCs w:val="21"/>
          <w:highlight w:val="none"/>
        </w:rPr>
      </w:pPr>
      <w:r>
        <w:rPr>
          <w:color w:val="auto"/>
          <w:kern w:val="0"/>
          <w:szCs w:val="21"/>
          <w:highlight w:val="none"/>
        </w:rPr>
        <w:t>6.2.2</w:t>
      </w:r>
      <w:r>
        <w:rPr>
          <w:rFonts w:hint="eastAsia"/>
          <w:color w:val="auto"/>
          <w:highlight w:val="none"/>
        </w:rPr>
        <w:t>评审委员会以招标文件、补充文件、投标文件、澄清及答复为评审依据，</w:t>
      </w:r>
      <w:r>
        <w:rPr>
          <w:rFonts w:hint="eastAsia"/>
          <w:color w:val="auto"/>
          <w:kern w:val="0"/>
          <w:szCs w:val="21"/>
          <w:highlight w:val="none"/>
        </w:rPr>
        <w:t>第四章评审方法及标准没有规定的评审方法、标准及因素，不得作为评审依据。</w:t>
      </w:r>
    </w:p>
    <w:bookmarkEnd w:id="44"/>
    <w:p w14:paraId="58C35A13">
      <w:pPr>
        <w:spacing w:before="120" w:line="320" w:lineRule="atLeast"/>
        <w:ind w:firstLine="422" w:firstLineChars="200"/>
        <w:outlineLvl w:val="2"/>
        <w:rPr>
          <w:b/>
          <w:color w:val="auto"/>
          <w:kern w:val="0"/>
          <w:szCs w:val="21"/>
          <w:highlight w:val="none"/>
        </w:rPr>
      </w:pPr>
      <w:bookmarkStart w:id="45" w:name="_Hlk91324322"/>
      <w:r>
        <w:rPr>
          <w:b/>
          <w:color w:val="auto"/>
          <w:kern w:val="0"/>
          <w:szCs w:val="21"/>
          <w:highlight w:val="none"/>
        </w:rPr>
        <w:t>6.3</w:t>
      </w:r>
      <w:r>
        <w:rPr>
          <w:rFonts w:hint="eastAsia"/>
          <w:b/>
          <w:color w:val="auto"/>
          <w:kern w:val="0"/>
          <w:szCs w:val="21"/>
          <w:highlight w:val="none"/>
        </w:rPr>
        <w:t>评审程序</w:t>
      </w:r>
    </w:p>
    <w:p w14:paraId="5F70D186">
      <w:pPr>
        <w:spacing w:before="120" w:line="320" w:lineRule="atLeast"/>
        <w:ind w:firstLine="420" w:firstLineChars="200"/>
        <w:rPr>
          <w:color w:val="auto"/>
          <w:highlight w:val="none"/>
        </w:rPr>
      </w:pPr>
      <w:r>
        <w:rPr>
          <w:color w:val="auto"/>
          <w:highlight w:val="none"/>
        </w:rPr>
        <w:t>6.</w:t>
      </w:r>
      <w:bookmarkStart w:id="46" w:name="_Hlk80956880"/>
      <w:bookmarkStart w:id="47" w:name="_Hlk19175507"/>
      <w:r>
        <w:rPr>
          <w:color w:val="auto"/>
          <w:highlight w:val="none"/>
        </w:rPr>
        <w:t>3.1</w:t>
      </w:r>
      <w:r>
        <w:rPr>
          <w:rFonts w:hint="eastAsia"/>
          <w:color w:val="auto"/>
          <w:highlight w:val="none"/>
        </w:rPr>
        <w:t>符合性审查</w:t>
      </w:r>
    </w:p>
    <w:p w14:paraId="2A4FF6E3">
      <w:pPr>
        <w:spacing w:before="120" w:line="320" w:lineRule="atLeast"/>
        <w:ind w:firstLine="420" w:firstLineChars="200"/>
        <w:rPr>
          <w:color w:val="auto"/>
          <w:szCs w:val="21"/>
          <w:highlight w:val="none"/>
        </w:rPr>
      </w:pPr>
      <w:r>
        <w:rPr>
          <w:rFonts w:hint="eastAsia"/>
          <w:color w:val="auto"/>
          <w:kern w:val="1"/>
          <w:szCs w:val="21"/>
          <w:highlight w:val="none"/>
        </w:rPr>
        <w:t>资格审查结束后，</w:t>
      </w:r>
      <w:r>
        <w:rPr>
          <w:rFonts w:hint="eastAsia" w:hAnsi="宋体"/>
          <w:color w:val="auto"/>
          <w:highlight w:val="none"/>
        </w:rPr>
        <w:t>评审委员会对</w:t>
      </w:r>
      <w:r>
        <w:rPr>
          <w:rFonts w:hint="eastAsia"/>
          <w:color w:val="auto"/>
          <w:highlight w:val="none"/>
        </w:rPr>
        <w:t>通过资格审查的投标人</w:t>
      </w:r>
      <w:r>
        <w:rPr>
          <w:rFonts w:hint="eastAsia" w:hAnsi="宋体"/>
          <w:color w:val="auto"/>
          <w:highlight w:val="none"/>
        </w:rPr>
        <w:t>的投标文件报价、商务资信、技术等方面实质性内容进行符合性审查，</w:t>
      </w:r>
      <w:r>
        <w:rPr>
          <w:rFonts w:hint="eastAsia"/>
          <w:color w:val="auto"/>
          <w:szCs w:val="21"/>
          <w:highlight w:val="none"/>
        </w:rPr>
        <w:t>符合性审查标准详见第四章评审方法及标准。</w:t>
      </w:r>
    </w:p>
    <w:bookmarkEnd w:id="46"/>
    <w:bookmarkEnd w:id="47"/>
    <w:p w14:paraId="0F50C16C">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.3.2</w:t>
      </w:r>
      <w:r>
        <w:rPr>
          <w:rFonts w:hint="eastAsia" w:hAnsi="宋体"/>
          <w:color w:val="auto"/>
          <w:highlight w:val="none"/>
        </w:rPr>
        <w:t>强制性</w:t>
      </w:r>
      <w:r>
        <w:rPr>
          <w:rFonts w:hint="eastAsia"/>
          <w:color w:val="auto"/>
          <w:szCs w:val="21"/>
          <w:highlight w:val="none"/>
        </w:rPr>
        <w:t>采购要求（仅适用于货物采购项目）</w:t>
      </w:r>
    </w:p>
    <w:p w14:paraId="4A3B0C90">
      <w:pPr>
        <w:suppressAutoHyphens/>
        <w:spacing w:before="120" w:line="320" w:lineRule="atLeast"/>
        <w:ind w:firstLine="422" w:firstLineChars="201"/>
        <w:rPr>
          <w:color w:val="auto"/>
          <w:szCs w:val="21"/>
          <w:highlight w:val="none"/>
        </w:rPr>
      </w:pPr>
      <w:bookmarkStart w:id="48" w:name="_Hlk47714684"/>
      <w:r>
        <w:rPr>
          <w:rFonts w:hint="eastAsia"/>
          <w:color w:val="auto"/>
          <w:szCs w:val="21"/>
          <w:highlight w:val="none"/>
        </w:rPr>
        <w:t>（1）</w:t>
      </w:r>
      <w:bookmarkEnd w:id="48"/>
      <w:r>
        <w:rPr>
          <w:rFonts w:hint="eastAsia"/>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投标人的投标货物必须使用政府强制采购的节能产品，否则投标文件作无效处理；属于品目清单内非标注“★”的产品时，应优先采购。</w:t>
      </w:r>
    </w:p>
    <w:p w14:paraId="7B1EBC9C">
      <w:pPr>
        <w:spacing w:before="120" w:line="276" w:lineRule="auto"/>
        <w:ind w:firstLine="420" w:firstLineChars="200"/>
        <w:rPr>
          <w:color w:val="auto"/>
          <w:szCs w:val="21"/>
          <w:highlight w:val="none"/>
        </w:rPr>
      </w:pPr>
      <w:bookmarkStart w:id="49" w:name="_Hlk138843020"/>
      <w:r>
        <w:rPr>
          <w:rFonts w:hint="eastAsia"/>
          <w:color w:val="auto"/>
          <w:szCs w:val="21"/>
          <w:highlight w:val="none"/>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483FD3F2">
      <w:pPr>
        <w:spacing w:before="120" w:line="276" w:lineRule="auto"/>
        <w:ind w:firstLine="420" w:firstLineChars="200"/>
        <w:rPr>
          <w:color w:val="auto"/>
          <w:szCs w:val="21"/>
          <w:highlight w:val="none"/>
        </w:rPr>
      </w:pPr>
      <w:r>
        <w:rPr>
          <w:rFonts w:hint="eastAsia"/>
          <w:color w:val="auto"/>
          <w:szCs w:val="21"/>
          <w:highlight w:val="none"/>
        </w:rPr>
        <w:t>注：网络安全专用产品在中共中央网络安全和信息化委员会办公室网站上发布的《网络关键设备和网络安全专用产品目录》中查询。</w:t>
      </w:r>
      <w:r>
        <w:rPr>
          <w:color w:val="auto"/>
          <w:szCs w:val="21"/>
          <w:highlight w:val="none"/>
        </w:rPr>
        <w:t xml:space="preserve"> </w:t>
      </w:r>
      <w:r>
        <w:rPr>
          <w:rFonts w:hint="eastAsia"/>
          <w:color w:val="auto"/>
          <w:szCs w:val="21"/>
          <w:highlight w:val="none"/>
        </w:rPr>
        <w:t>“网络安全专用产品”内“产品类别”共34类：数据备份与恢复产品、防火墙、入侵检测系统（I</w:t>
      </w:r>
      <w:r>
        <w:rPr>
          <w:color w:val="auto"/>
          <w:szCs w:val="21"/>
          <w:highlight w:val="none"/>
        </w:rPr>
        <w:t>DS</w:t>
      </w:r>
      <w:r>
        <w:rPr>
          <w:rFonts w:hint="eastAsia"/>
          <w:color w:val="auto"/>
          <w:szCs w:val="21"/>
          <w:highlight w:val="none"/>
        </w:rPr>
        <w:t>）、入侵防御系统（</w:t>
      </w:r>
      <w:r>
        <w:rPr>
          <w:color w:val="auto"/>
          <w:szCs w:val="21"/>
          <w:highlight w:val="none"/>
        </w:rPr>
        <w:t>IPS</w:t>
      </w:r>
      <w:r>
        <w:rPr>
          <w:rFonts w:hint="eastAsia"/>
          <w:color w:val="auto"/>
          <w:szCs w:val="21"/>
          <w:highlight w:val="none"/>
        </w:rPr>
        <w:t>）、网络和终端隔离产品、反垃圾邮件产品、网络综合审计产品、网络脆弱性扫描产品、安全数据库系统、网站恢复产品、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bookmarkEnd w:id="49"/>
    <w:p w14:paraId="2DA36DE4">
      <w:pPr>
        <w:spacing w:before="120" w:line="320" w:lineRule="atLeast"/>
        <w:ind w:firstLine="420" w:firstLineChars="200"/>
        <w:rPr>
          <w:color w:val="auto"/>
          <w:highlight w:val="none"/>
        </w:rPr>
      </w:pPr>
      <w:r>
        <w:rPr>
          <w:color w:val="auto"/>
          <w:highlight w:val="none"/>
        </w:rPr>
        <w:t>6.3.3</w:t>
      </w:r>
      <w:r>
        <w:rPr>
          <w:rFonts w:hint="eastAsia"/>
          <w:color w:val="auto"/>
          <w:highlight w:val="none"/>
        </w:rPr>
        <w:t>澄清、说明或补正</w:t>
      </w:r>
    </w:p>
    <w:p w14:paraId="50EAF9F2">
      <w:pPr>
        <w:spacing w:before="120" w:line="320" w:lineRule="atLeast"/>
        <w:ind w:firstLine="420" w:firstLineChars="200"/>
        <w:rPr>
          <w:color w:val="auto"/>
          <w:highlight w:val="none"/>
        </w:rPr>
      </w:pPr>
      <w:r>
        <w:rPr>
          <w:rFonts w:hint="eastAsia"/>
          <w:color w:val="auto"/>
          <w:highlight w:val="none"/>
        </w:rPr>
        <w:t>（1）对投标文件中含义不明确、同类问题表述不一致或者有明显文字和计算错误的内容，评审委员会应在</w:t>
      </w:r>
      <w:r>
        <w:rPr>
          <w:rFonts w:hint="eastAsia"/>
          <w:color w:val="auto"/>
          <w:szCs w:val="21"/>
          <w:highlight w:val="none"/>
        </w:rPr>
        <w:t>广西政府采购云平台</w:t>
      </w:r>
      <w:r>
        <w:rPr>
          <w:rFonts w:hint="eastAsia"/>
          <w:color w:val="auto"/>
          <w:highlight w:val="none"/>
        </w:rPr>
        <w:t>发布电子澄清函，要求投标人在平台设置的时间内作出必要的澄清、说明或者补正。投标人在</w:t>
      </w:r>
      <w:r>
        <w:rPr>
          <w:rFonts w:hint="eastAsia"/>
          <w:color w:val="auto"/>
          <w:szCs w:val="21"/>
          <w:highlight w:val="none"/>
        </w:rPr>
        <w:t>广西政府采购云平台</w:t>
      </w:r>
      <w:r>
        <w:rPr>
          <w:rFonts w:hint="eastAsia"/>
          <w:color w:val="auto"/>
          <w:highlight w:val="none"/>
        </w:rPr>
        <w:t>接收到电子澄清函后根据澄清函内容直接在线编辑或上传PDF格式回函，电子澄清答复函使用CA证书加盖单位电子签章后提交至评审委员会。投标人的澄清、说明或者补正不得超出投标文件的范围或者改变投标文件的实质性内容。投标人未在规定时间内进行澄清、说明或者补正的，按无效投标处理。</w:t>
      </w:r>
    </w:p>
    <w:p w14:paraId="671EEB13">
      <w:pPr>
        <w:spacing w:before="120" w:line="320" w:lineRule="atLeast"/>
        <w:ind w:firstLine="420" w:firstLineChars="200"/>
        <w:rPr>
          <w:color w:val="auto"/>
          <w:highlight w:val="none"/>
        </w:rPr>
      </w:pPr>
      <w:r>
        <w:rPr>
          <w:rFonts w:hint="eastAsia"/>
          <w:color w:val="auto"/>
          <w:highlight w:val="none"/>
        </w:rPr>
        <w:t>（2）异常情况处理：如遇无法正常使用线上发送澄清函的情况，将以书面形式执行。评审委员会以书面形式要求投标人在规定时间内作出必要的澄清、说明或者补正。投标人的澄清、说明或者补正必须采用书面形式，并加盖公章或者由法定代表人或者其授权的代表签字。</w:t>
      </w:r>
    </w:p>
    <w:p w14:paraId="68968F1A">
      <w:pPr>
        <w:spacing w:before="120" w:line="320" w:lineRule="atLeast"/>
        <w:ind w:firstLine="420" w:firstLineChars="200"/>
        <w:rPr>
          <w:color w:val="auto"/>
          <w:highlight w:val="none"/>
        </w:rPr>
      </w:pPr>
      <w:r>
        <w:rPr>
          <w:color w:val="auto"/>
          <w:highlight w:val="none"/>
        </w:rPr>
        <w:t>6.3.4</w:t>
      </w:r>
      <w:r>
        <w:rPr>
          <w:rFonts w:hint="eastAsia"/>
          <w:color w:val="auto"/>
          <w:highlight w:val="none"/>
        </w:rPr>
        <w:t>报价修正</w:t>
      </w:r>
    </w:p>
    <w:p w14:paraId="36612624">
      <w:pPr>
        <w:spacing w:before="120" w:line="320" w:lineRule="atLeast"/>
        <w:ind w:firstLine="420" w:firstLineChars="200"/>
        <w:rPr>
          <w:color w:val="auto"/>
          <w:highlight w:val="none"/>
        </w:rPr>
      </w:pPr>
      <w:r>
        <w:rPr>
          <w:rFonts w:hint="eastAsia"/>
          <w:color w:val="auto"/>
          <w:highlight w:val="none"/>
        </w:rPr>
        <w:t>（1）报价出现前后不一致的，按照下列规定修正：</w:t>
      </w:r>
    </w:p>
    <w:p w14:paraId="2B560E04">
      <w:pPr>
        <w:spacing w:before="120" w:line="320" w:lineRule="atLeast"/>
        <w:ind w:firstLine="420" w:firstLineChars="200"/>
        <w:rPr>
          <w:color w:val="auto"/>
          <w:szCs w:val="21"/>
          <w:highlight w:val="none"/>
        </w:rPr>
      </w:pPr>
      <w:r>
        <w:rPr>
          <w:rFonts w:hint="eastAsia" w:ascii="宋体" w:hAnsi="宋体"/>
          <w:color w:val="auto"/>
          <w:szCs w:val="21"/>
          <w:highlight w:val="none"/>
        </w:rPr>
        <w:t>①</w:t>
      </w:r>
      <w:r>
        <w:rPr>
          <w:rFonts w:hint="eastAsia"/>
          <w:color w:val="auto"/>
          <w:szCs w:val="21"/>
          <w:highlight w:val="none"/>
        </w:rPr>
        <w:t>投标文件中开标一览表（报价表）内容与投标文件中相应内容不一致的，以开标一览表（报价表）为准；</w:t>
      </w:r>
    </w:p>
    <w:p w14:paraId="162035EA">
      <w:pPr>
        <w:spacing w:before="120" w:line="320" w:lineRule="atLeast"/>
        <w:ind w:firstLine="420" w:firstLineChars="200"/>
        <w:rPr>
          <w:color w:val="auto"/>
          <w:szCs w:val="21"/>
          <w:highlight w:val="none"/>
        </w:rPr>
      </w:pPr>
      <w:r>
        <w:rPr>
          <w:rFonts w:hint="eastAsia" w:ascii="宋体" w:hAnsi="宋体"/>
          <w:color w:val="auto"/>
          <w:szCs w:val="21"/>
          <w:highlight w:val="none"/>
        </w:rPr>
        <w:t>②</w:t>
      </w:r>
      <w:r>
        <w:rPr>
          <w:rFonts w:hint="eastAsia"/>
          <w:color w:val="auto"/>
          <w:szCs w:val="21"/>
          <w:highlight w:val="none"/>
        </w:rPr>
        <w:t>大写金额和小写金额不一致的，以大写金额为准；</w:t>
      </w:r>
    </w:p>
    <w:p w14:paraId="77253A5A">
      <w:pPr>
        <w:spacing w:before="120" w:line="320" w:lineRule="atLeast"/>
        <w:ind w:firstLine="420" w:firstLineChars="200"/>
        <w:rPr>
          <w:color w:val="auto"/>
          <w:szCs w:val="21"/>
          <w:highlight w:val="none"/>
        </w:rPr>
      </w:pPr>
      <w:r>
        <w:rPr>
          <w:rFonts w:hint="eastAsia"/>
          <w:color w:val="auto"/>
          <w:szCs w:val="21"/>
          <w:highlight w:val="none"/>
        </w:rPr>
        <w:t>③单价金额小数点或者百分比有明显错位的，以开标一览表的总价为准，并修改单价；</w:t>
      </w:r>
    </w:p>
    <w:p w14:paraId="2B526FBA">
      <w:pPr>
        <w:spacing w:before="120" w:line="320" w:lineRule="atLeast"/>
        <w:ind w:firstLine="420" w:firstLineChars="200"/>
        <w:rPr>
          <w:color w:val="auto"/>
          <w:szCs w:val="21"/>
          <w:highlight w:val="none"/>
        </w:rPr>
      </w:pPr>
      <w:r>
        <w:rPr>
          <w:rFonts w:hint="eastAsia"/>
          <w:color w:val="auto"/>
          <w:szCs w:val="21"/>
          <w:highlight w:val="none"/>
        </w:rPr>
        <w:t>④总价金额与按单价汇总金额不一致的，以单价金额计算结果为准。</w:t>
      </w:r>
    </w:p>
    <w:p w14:paraId="3C5A7207">
      <w:pPr>
        <w:spacing w:before="120" w:line="320" w:lineRule="atLeast"/>
        <w:ind w:firstLine="420" w:firstLineChars="200"/>
        <w:rPr>
          <w:color w:val="auto"/>
          <w:szCs w:val="21"/>
          <w:highlight w:val="none"/>
        </w:rPr>
      </w:pPr>
      <w:r>
        <w:rPr>
          <w:rFonts w:hint="eastAsia"/>
          <w:color w:val="auto"/>
          <w:szCs w:val="21"/>
          <w:highlight w:val="none"/>
        </w:rPr>
        <w:t>同时出现两种以上不一致的，按照上述</w:t>
      </w:r>
      <w:r>
        <w:rPr>
          <w:rFonts w:hint="eastAsia" w:ascii="宋体" w:hAnsi="宋体"/>
          <w:color w:val="auto"/>
          <w:szCs w:val="21"/>
          <w:highlight w:val="none"/>
        </w:rPr>
        <w:t>①-</w:t>
      </w:r>
      <w:r>
        <w:rPr>
          <w:rFonts w:hint="eastAsia"/>
          <w:color w:val="auto"/>
          <w:szCs w:val="21"/>
          <w:highlight w:val="none"/>
        </w:rPr>
        <w:t>④顺序修正。修正后的报价按照上述“</w:t>
      </w:r>
      <w:r>
        <w:rPr>
          <w:color w:val="auto"/>
          <w:szCs w:val="21"/>
          <w:highlight w:val="none"/>
        </w:rPr>
        <w:t>6.3.3</w:t>
      </w:r>
      <w:r>
        <w:rPr>
          <w:rFonts w:hint="eastAsia"/>
          <w:color w:val="auto"/>
          <w:szCs w:val="21"/>
          <w:highlight w:val="none"/>
        </w:rPr>
        <w:t>澄清、说明或补正”的规定经投标人确认后产生约束力，投标人不确认的，其投标无效。</w:t>
      </w:r>
    </w:p>
    <w:p w14:paraId="2B70E76F">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2</w:t>
      </w:r>
      <w:r>
        <w:rPr>
          <w:rFonts w:hint="eastAsia"/>
          <w:color w:val="auto"/>
          <w:szCs w:val="21"/>
          <w:highlight w:val="none"/>
        </w:rPr>
        <w:t>）评审委员会认为投标人的报价明显低于其他通过符合性审查投标人的报价，有可能影响产品质量或者不能诚信履约的，应当要求其在合理的时间内提交相关书面证明材料；评审委员会可以要求投标人就提供货物的主要成本、销售费用、管理费用、财务费用、履约费用、计划利润、税金及附加等成本构成事项进行详细陈述。书面证明应当按照上述“</w:t>
      </w:r>
      <w:r>
        <w:rPr>
          <w:color w:val="auto"/>
          <w:szCs w:val="21"/>
          <w:highlight w:val="none"/>
        </w:rPr>
        <w:t>6.3.3</w:t>
      </w:r>
      <w:r>
        <w:rPr>
          <w:rFonts w:hint="eastAsia"/>
          <w:color w:val="auto"/>
          <w:szCs w:val="21"/>
          <w:highlight w:val="none"/>
        </w:rPr>
        <w:t>澄清、说明或补正”的规定提交。投标人未按规定提交或不能证明其报价合理性的，评审委员会应当将其作为无效投标处理。</w:t>
      </w:r>
    </w:p>
    <w:p w14:paraId="57B4DF48">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）经投标人确认修正后的报价若超过采购预算金额或者最高限价，其投标文件作无效投标处理。</w:t>
      </w:r>
    </w:p>
    <w:p w14:paraId="6A32A30F">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）经投标人确认修正后的报价作为签订合同的依据，并以此报价计算价格分。</w:t>
      </w:r>
    </w:p>
    <w:p w14:paraId="54EF968B">
      <w:pPr>
        <w:spacing w:before="120" w:line="320" w:lineRule="atLeast"/>
        <w:ind w:firstLine="420" w:firstLineChars="200"/>
        <w:rPr>
          <w:color w:val="auto"/>
          <w:szCs w:val="21"/>
          <w:highlight w:val="none"/>
        </w:rPr>
      </w:pPr>
      <w:r>
        <w:rPr>
          <w:rFonts w:hint="eastAsia"/>
          <w:color w:val="auto"/>
          <w:szCs w:val="21"/>
          <w:highlight w:val="none"/>
        </w:rPr>
        <w:t>6.3.5异常低价审查</w:t>
      </w:r>
    </w:p>
    <w:p w14:paraId="6190B57A">
      <w:pPr>
        <w:spacing w:before="120" w:line="320" w:lineRule="atLeast"/>
        <w:ind w:firstLine="420" w:firstLineChars="200"/>
        <w:rPr>
          <w:color w:val="auto"/>
          <w:szCs w:val="21"/>
          <w:highlight w:val="none"/>
        </w:rPr>
      </w:pPr>
      <w:r>
        <w:rPr>
          <w:color w:val="auto"/>
          <w:szCs w:val="21"/>
          <w:highlight w:val="none"/>
        </w:rPr>
        <w:t>本项目</w:t>
      </w:r>
      <w:r>
        <w:rPr>
          <w:rFonts w:hint="eastAsia"/>
          <w:color w:val="auto"/>
          <w:szCs w:val="21"/>
          <w:highlight w:val="none"/>
        </w:rPr>
        <w:t>异常低价审查情形见</w:t>
      </w:r>
      <w:r>
        <w:rPr>
          <w:color w:val="auto"/>
          <w:szCs w:val="21"/>
          <w:highlight w:val="none"/>
        </w:rPr>
        <w:t>“</w:t>
      </w:r>
      <w:r>
        <w:rPr>
          <w:rFonts w:hint="eastAsia"/>
          <w:color w:val="auto"/>
          <w:szCs w:val="21"/>
          <w:highlight w:val="none"/>
        </w:rPr>
        <w:t>投标人须知</w:t>
      </w:r>
      <w:r>
        <w:rPr>
          <w:color w:val="auto"/>
          <w:szCs w:val="21"/>
          <w:highlight w:val="none"/>
        </w:rPr>
        <w:t>前附表”规定。</w:t>
      </w:r>
    </w:p>
    <w:p w14:paraId="0EA76FCA">
      <w:pPr>
        <w:spacing w:before="120" w:line="320" w:lineRule="atLeast"/>
        <w:ind w:firstLine="420" w:firstLineChars="200"/>
        <w:rPr>
          <w:color w:val="auto"/>
          <w:szCs w:val="21"/>
          <w:highlight w:val="none"/>
        </w:rPr>
      </w:pPr>
      <w:r>
        <w:rPr>
          <w:rFonts w:hint="eastAsia"/>
          <w:color w:val="auto"/>
          <w:szCs w:val="21"/>
          <w:highlight w:val="none"/>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BCD26A4">
      <w:pPr>
        <w:spacing w:before="120" w:line="320" w:lineRule="atLeast"/>
        <w:ind w:firstLine="420" w:firstLineChars="200"/>
        <w:rPr>
          <w:strike/>
          <w:color w:val="auto"/>
          <w:szCs w:val="21"/>
          <w:highlight w:val="none"/>
        </w:rPr>
      </w:pPr>
      <w:r>
        <w:rPr>
          <w:rFonts w:hint="eastAsia"/>
          <w:color w:val="auto"/>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处理。</w:t>
      </w:r>
    </w:p>
    <w:p w14:paraId="6CBE6E50">
      <w:pPr>
        <w:spacing w:before="120" w:line="320" w:lineRule="atLeast"/>
        <w:ind w:firstLine="420" w:firstLineChars="200"/>
        <w:rPr>
          <w:color w:val="auto"/>
          <w:szCs w:val="21"/>
          <w:highlight w:val="none"/>
        </w:rPr>
      </w:pPr>
      <w:r>
        <w:rPr>
          <w:rFonts w:hint="eastAsia"/>
          <w:color w:val="auto"/>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0CA9F7B6">
      <w:pPr>
        <w:spacing w:before="120" w:line="320" w:lineRule="atLeast"/>
        <w:ind w:firstLine="420" w:firstLineChars="200"/>
        <w:rPr>
          <w:color w:val="auto"/>
          <w:szCs w:val="21"/>
          <w:highlight w:val="none"/>
        </w:rPr>
      </w:pPr>
      <w:r>
        <w:rPr>
          <w:rFonts w:hint="eastAsia"/>
          <w:color w:val="auto"/>
          <w:szCs w:val="21"/>
          <w:highlight w:val="none"/>
        </w:rPr>
        <w:t>异常低价投标审查的启动原因、审查意见和审查结果应当在评审报告中记录，并随供应商提供的相关书面说明及证明材料，以及评审委员会有关互联网浏览、查询历史一并归档。</w:t>
      </w:r>
    </w:p>
    <w:p w14:paraId="6C249E24">
      <w:pPr>
        <w:spacing w:before="120" w:line="320" w:lineRule="atLeast"/>
        <w:ind w:firstLine="420" w:firstLineChars="200"/>
        <w:rPr>
          <w:color w:val="auto"/>
          <w:szCs w:val="21"/>
          <w:highlight w:val="none"/>
        </w:rPr>
      </w:pPr>
      <w:r>
        <w:rPr>
          <w:rFonts w:hint="eastAsia"/>
          <w:color w:val="auto"/>
          <w:szCs w:val="21"/>
          <w:highlight w:val="none"/>
        </w:rPr>
        <w:t>书面证明应当按照上述“</w:t>
      </w:r>
      <w:r>
        <w:rPr>
          <w:color w:val="auto"/>
          <w:szCs w:val="21"/>
          <w:highlight w:val="none"/>
        </w:rPr>
        <w:t>6.3.3</w:t>
      </w:r>
      <w:r>
        <w:rPr>
          <w:rFonts w:hint="eastAsia"/>
          <w:color w:val="auto"/>
          <w:szCs w:val="21"/>
          <w:highlight w:val="none"/>
        </w:rPr>
        <w:t>澄清、说明或补正”的规定提交。</w:t>
      </w:r>
    </w:p>
    <w:p w14:paraId="3D5817C3">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w:t>
      </w:r>
      <w:r>
        <w:rPr>
          <w:rFonts w:hint="eastAsia"/>
          <w:color w:val="auto"/>
          <w:szCs w:val="21"/>
          <w:highlight w:val="none"/>
        </w:rPr>
        <w:t>6相同品牌认定（仅适用于货物采购项目）</w:t>
      </w:r>
    </w:p>
    <w:p w14:paraId="098E9CB2">
      <w:pPr>
        <w:spacing w:before="120" w:line="320" w:lineRule="atLeast"/>
        <w:ind w:firstLine="420" w:firstLineChars="200"/>
        <w:rPr>
          <w:color w:val="auto"/>
          <w:szCs w:val="21"/>
          <w:highlight w:val="none"/>
        </w:rPr>
      </w:pPr>
      <w:r>
        <w:rPr>
          <w:rFonts w:hint="eastAsia"/>
          <w:color w:val="auto"/>
          <w:szCs w:val="21"/>
          <w:highlight w:val="none"/>
        </w:rPr>
        <w:t>（1）单一产品采购项目，</w:t>
      </w:r>
      <w:r>
        <w:rPr>
          <w:rFonts w:hint="eastAsia"/>
          <w:color w:val="auto"/>
          <w:highlight w:val="none"/>
        </w:rPr>
        <w:t>不同投标人提供的产品品牌相同时，按以下规定确定</w:t>
      </w:r>
      <w:r>
        <w:rPr>
          <w:rFonts w:hint="eastAsia"/>
          <w:color w:val="auto"/>
          <w:kern w:val="0"/>
          <w:szCs w:val="21"/>
          <w:highlight w:val="none"/>
        </w:rPr>
        <w:t>相同品牌的投标有效性</w:t>
      </w:r>
      <w:r>
        <w:rPr>
          <w:rFonts w:hint="eastAsia"/>
          <w:color w:val="auto"/>
          <w:highlight w:val="none"/>
        </w:rPr>
        <w:t>。</w:t>
      </w:r>
    </w:p>
    <w:p w14:paraId="6CFC4236">
      <w:pPr>
        <w:spacing w:before="120" w:line="320" w:lineRule="atLeast"/>
        <w:ind w:firstLine="420" w:firstLineChars="200"/>
        <w:rPr>
          <w:color w:val="auto"/>
          <w:szCs w:val="21"/>
          <w:highlight w:val="none"/>
        </w:rPr>
      </w:pPr>
      <w:r>
        <w:rPr>
          <w:rFonts w:hint="eastAsia" w:ascii="宋体" w:hAnsi="宋体"/>
          <w:color w:val="auto"/>
          <w:szCs w:val="21"/>
          <w:highlight w:val="none"/>
        </w:rPr>
        <w:t>①采</w:t>
      </w:r>
      <w:r>
        <w:rPr>
          <w:rFonts w:hint="eastAsia"/>
          <w:color w:val="auto"/>
          <w:szCs w:val="21"/>
          <w:highlight w:val="none"/>
        </w:rPr>
        <w:t>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54880D08">
      <w:pPr>
        <w:spacing w:before="120" w:line="320" w:lineRule="atLeast"/>
        <w:ind w:firstLine="420" w:firstLineChars="200"/>
        <w:rPr>
          <w:color w:val="auto"/>
          <w:szCs w:val="21"/>
          <w:highlight w:val="none"/>
        </w:rPr>
      </w:pPr>
      <w:r>
        <w:rPr>
          <w:rFonts w:hint="eastAsia" w:ascii="宋体" w:hAnsi="宋体"/>
          <w:color w:val="auto"/>
          <w:szCs w:val="21"/>
          <w:highlight w:val="none"/>
        </w:rPr>
        <w:t>②</w:t>
      </w:r>
      <w:r>
        <w:rPr>
          <w:rFonts w:hint="eastAsia"/>
          <w:color w:val="auto"/>
          <w:szCs w:val="21"/>
          <w:highlight w:val="none"/>
        </w:rPr>
        <w:t>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标的投标人，招标文件未规定的采取随机抽取方式确定，其他投标无效。</w:t>
      </w:r>
    </w:p>
    <w:p w14:paraId="0C37FB96">
      <w:pPr>
        <w:spacing w:before="120" w:line="320" w:lineRule="atLeast"/>
        <w:ind w:firstLine="420" w:firstLineChars="200"/>
        <w:rPr>
          <w:color w:val="auto"/>
          <w:highlight w:val="none"/>
        </w:rPr>
      </w:pPr>
      <w:r>
        <w:rPr>
          <w:rFonts w:hint="eastAsia"/>
          <w:color w:val="auto"/>
          <w:szCs w:val="21"/>
          <w:highlight w:val="none"/>
        </w:rPr>
        <w:t>（2）非单一产品采购项目，采购人应当确定核心产品，并在招标文件中载明。不同投标人提供的核心产品品牌相同的，按上述规定处理。核心产品在第二章采购需求规定。</w:t>
      </w:r>
    </w:p>
    <w:p w14:paraId="60F71309">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rPr>
        <w:t>7串通投标认定</w:t>
      </w:r>
    </w:p>
    <w:p w14:paraId="456256D3">
      <w:pPr>
        <w:spacing w:before="120" w:line="320" w:lineRule="atLeast"/>
        <w:ind w:firstLine="420" w:firstLineChars="200"/>
        <w:rPr>
          <w:color w:val="auto"/>
          <w:highlight w:val="none"/>
        </w:rPr>
      </w:pPr>
      <w:r>
        <w:rPr>
          <w:rFonts w:hint="eastAsia"/>
          <w:color w:val="auto"/>
          <w:szCs w:val="21"/>
          <w:highlight w:val="none"/>
        </w:rPr>
        <w:t>评审委员会须根据以下规定认定投标人是否有</w:t>
      </w:r>
      <w:r>
        <w:rPr>
          <w:rFonts w:hint="eastAsia"/>
          <w:color w:val="auto"/>
          <w:kern w:val="0"/>
          <w:szCs w:val="21"/>
          <w:highlight w:val="none"/>
        </w:rPr>
        <w:t>串通投标的行为</w:t>
      </w:r>
      <w:r>
        <w:rPr>
          <w:rFonts w:hint="eastAsia"/>
          <w:color w:val="auto"/>
          <w:highlight w:val="none"/>
        </w:rPr>
        <w:t>。</w:t>
      </w:r>
    </w:p>
    <w:p w14:paraId="6189C7E0">
      <w:pPr>
        <w:spacing w:before="120" w:line="320" w:lineRule="atLeast"/>
        <w:ind w:firstLine="420" w:firstLineChars="200"/>
        <w:rPr>
          <w:color w:val="auto"/>
          <w:szCs w:val="21"/>
          <w:highlight w:val="none"/>
        </w:rPr>
      </w:pPr>
      <w:r>
        <w:rPr>
          <w:rFonts w:hint="eastAsia"/>
          <w:color w:val="auto"/>
          <w:szCs w:val="21"/>
          <w:highlight w:val="none"/>
        </w:rPr>
        <w:t>（1）根据《关于防治政府采购招标中串通投标行为的通知》（桂财采〔2016〕42号）规定，出现下述情况的，相关供应商的投标作无效投标处理。</w:t>
      </w:r>
    </w:p>
    <w:p w14:paraId="0E63C165">
      <w:pPr>
        <w:spacing w:before="120" w:line="320" w:lineRule="atLeast"/>
        <w:ind w:firstLine="420" w:firstLineChars="200"/>
        <w:rPr>
          <w:color w:val="auto"/>
          <w:szCs w:val="21"/>
          <w:highlight w:val="none"/>
        </w:rPr>
      </w:pPr>
      <w:r>
        <w:rPr>
          <w:rFonts w:hint="eastAsia" w:ascii="宋体" w:hAnsi="宋体" w:cs="宋体"/>
          <w:color w:val="auto"/>
          <w:szCs w:val="21"/>
          <w:highlight w:val="none"/>
        </w:rPr>
        <w:t>①</w:t>
      </w:r>
      <w:r>
        <w:rPr>
          <w:rFonts w:hint="eastAsia"/>
          <w:color w:val="auto"/>
          <w:szCs w:val="21"/>
          <w:highlight w:val="none"/>
        </w:rPr>
        <w:t>单位负责人为同一人或者存在直接控股、管理关系，参加同一合同项下政府采购活动的不同供应商。</w:t>
      </w:r>
    </w:p>
    <w:p w14:paraId="0C16DA32">
      <w:pPr>
        <w:spacing w:before="120" w:line="320" w:lineRule="atLeast"/>
        <w:ind w:firstLine="420" w:firstLineChars="200"/>
        <w:rPr>
          <w:color w:val="auto"/>
          <w:szCs w:val="21"/>
          <w:highlight w:val="none"/>
        </w:rPr>
      </w:pPr>
      <w:r>
        <w:rPr>
          <w:rFonts w:hint="eastAsia"/>
          <w:color w:val="auto"/>
          <w:szCs w:val="21"/>
          <w:highlight w:val="none"/>
        </w:rPr>
        <w:t>②授权给供应商后参加同一合同项（分标、分包）投标的生产厂商。</w:t>
      </w:r>
    </w:p>
    <w:p w14:paraId="7739C427">
      <w:pPr>
        <w:spacing w:before="120" w:line="320" w:lineRule="atLeast"/>
        <w:ind w:firstLine="420" w:firstLineChars="200"/>
        <w:rPr>
          <w:color w:val="auto"/>
          <w:szCs w:val="21"/>
          <w:highlight w:val="none"/>
        </w:rPr>
      </w:pPr>
      <w:r>
        <w:rPr>
          <w:rFonts w:hint="eastAsia"/>
          <w:color w:val="auto"/>
          <w:szCs w:val="21"/>
          <w:highlight w:val="none"/>
        </w:rPr>
        <w:t>③视为或被认定为串通投标的相关供应商。</w:t>
      </w:r>
    </w:p>
    <w:p w14:paraId="37ABB4A5">
      <w:pPr>
        <w:spacing w:before="120" w:line="320" w:lineRule="atLeast"/>
        <w:ind w:firstLine="420" w:firstLineChars="200"/>
        <w:rPr>
          <w:color w:val="auto"/>
          <w:szCs w:val="21"/>
          <w:highlight w:val="none"/>
        </w:rPr>
      </w:pPr>
      <w:r>
        <w:rPr>
          <w:rFonts w:hint="eastAsia"/>
          <w:color w:val="auto"/>
          <w:szCs w:val="21"/>
          <w:highlight w:val="none"/>
        </w:rPr>
        <w:t>（2）根据《关于防治政府采购招标中串通投标行为的通知》（桂财采〔2016〕42号）规定，有下列情形之一的视为投标人相互串通投标，投标文件将被视为无效。</w:t>
      </w:r>
    </w:p>
    <w:p w14:paraId="3D26988E">
      <w:pPr>
        <w:spacing w:before="120" w:line="320" w:lineRule="atLeast"/>
        <w:ind w:firstLine="420" w:firstLineChars="200"/>
        <w:rPr>
          <w:color w:val="auto"/>
          <w:szCs w:val="21"/>
          <w:highlight w:val="none"/>
        </w:rPr>
      </w:pPr>
      <w:r>
        <w:rPr>
          <w:rFonts w:hint="eastAsia" w:ascii="宋体" w:hAnsi="宋体" w:cs="宋体"/>
          <w:color w:val="auto"/>
          <w:szCs w:val="21"/>
          <w:highlight w:val="none"/>
        </w:rPr>
        <w:t>①</w:t>
      </w:r>
      <w:r>
        <w:rPr>
          <w:rFonts w:hint="eastAsia"/>
          <w:color w:val="auto"/>
          <w:szCs w:val="21"/>
          <w:highlight w:val="none"/>
        </w:rPr>
        <w:t>不同投标人的投标文件由同一单位或者个人编制；或不同投标人报名的IP地址一致的；</w:t>
      </w:r>
    </w:p>
    <w:p w14:paraId="20456DB2">
      <w:pPr>
        <w:spacing w:before="120" w:line="320" w:lineRule="atLeast"/>
        <w:ind w:firstLine="420" w:firstLineChars="200"/>
        <w:rPr>
          <w:color w:val="auto"/>
          <w:szCs w:val="21"/>
          <w:highlight w:val="none"/>
        </w:rPr>
      </w:pPr>
      <w:r>
        <w:rPr>
          <w:rFonts w:hint="eastAsia"/>
          <w:color w:val="auto"/>
          <w:szCs w:val="21"/>
          <w:highlight w:val="none"/>
        </w:rPr>
        <w:t>②不同投标人委托同一单位或者个人办理投标事宜；</w:t>
      </w:r>
    </w:p>
    <w:p w14:paraId="046C5438">
      <w:pPr>
        <w:spacing w:before="120" w:line="320" w:lineRule="atLeast"/>
        <w:ind w:firstLine="420" w:firstLineChars="200"/>
        <w:rPr>
          <w:color w:val="auto"/>
          <w:szCs w:val="21"/>
          <w:highlight w:val="none"/>
        </w:rPr>
      </w:pPr>
      <w:r>
        <w:rPr>
          <w:rFonts w:hint="eastAsia"/>
          <w:color w:val="auto"/>
          <w:szCs w:val="21"/>
          <w:highlight w:val="none"/>
        </w:rPr>
        <w:t>③不同的投标人的投标文件载明的项目管理员为同一个人；</w:t>
      </w:r>
    </w:p>
    <w:p w14:paraId="0F03BAA6">
      <w:pPr>
        <w:spacing w:before="120" w:line="320" w:lineRule="atLeast"/>
        <w:ind w:firstLine="420" w:firstLineChars="200"/>
        <w:rPr>
          <w:color w:val="auto"/>
          <w:szCs w:val="21"/>
          <w:highlight w:val="none"/>
        </w:rPr>
      </w:pPr>
      <w:r>
        <w:rPr>
          <w:rFonts w:hint="eastAsia"/>
          <w:color w:val="auto"/>
          <w:szCs w:val="21"/>
          <w:highlight w:val="none"/>
        </w:rPr>
        <w:t>④不同投标人的投标文件异常一致或投标报价呈规律性差异；</w:t>
      </w:r>
    </w:p>
    <w:p w14:paraId="4A741C90">
      <w:pPr>
        <w:spacing w:before="120" w:line="320" w:lineRule="atLeast"/>
        <w:ind w:firstLine="420" w:firstLineChars="200"/>
        <w:rPr>
          <w:color w:val="auto"/>
          <w:szCs w:val="21"/>
          <w:highlight w:val="none"/>
        </w:rPr>
      </w:pPr>
      <w:r>
        <w:rPr>
          <w:rFonts w:hint="eastAsia"/>
          <w:color w:val="auto"/>
          <w:szCs w:val="21"/>
          <w:highlight w:val="none"/>
        </w:rPr>
        <w:t>⑤不同投标人的投标文件相互混装；</w:t>
      </w:r>
    </w:p>
    <w:p w14:paraId="1E02C620">
      <w:pPr>
        <w:spacing w:before="120" w:line="320" w:lineRule="atLeast"/>
        <w:ind w:firstLine="420" w:firstLineChars="200"/>
        <w:rPr>
          <w:color w:val="auto"/>
          <w:szCs w:val="21"/>
          <w:highlight w:val="none"/>
        </w:rPr>
      </w:pPr>
      <w:r>
        <w:rPr>
          <w:rFonts w:hint="eastAsia"/>
          <w:color w:val="auto"/>
          <w:szCs w:val="21"/>
          <w:highlight w:val="none"/>
        </w:rPr>
        <w:t>⑥不同投标人的保证金从同一单位或者个人账户转出。</w:t>
      </w:r>
    </w:p>
    <w:p w14:paraId="2A508E59">
      <w:pPr>
        <w:spacing w:before="120" w:line="320" w:lineRule="atLeast"/>
        <w:ind w:firstLine="420" w:firstLineChars="200"/>
        <w:rPr>
          <w:color w:val="auto"/>
          <w:szCs w:val="21"/>
          <w:highlight w:val="none"/>
        </w:rPr>
      </w:pPr>
      <w:r>
        <w:rPr>
          <w:rFonts w:hint="eastAsia"/>
          <w:color w:val="auto"/>
          <w:szCs w:val="21"/>
          <w:highlight w:val="none"/>
        </w:rPr>
        <w:t>（3）根据《关于防治政府采购招标中串通投标行为的通知》（桂财采〔2016〕42号）规定，供应商有下列情形之一的，属于恶意串通行为，投标文件将被视为无效。</w:t>
      </w:r>
    </w:p>
    <w:p w14:paraId="6E5974B6">
      <w:pPr>
        <w:spacing w:before="120" w:line="320" w:lineRule="atLeast"/>
        <w:ind w:firstLine="420" w:firstLineChars="200"/>
        <w:rPr>
          <w:color w:val="auto"/>
          <w:szCs w:val="21"/>
          <w:highlight w:val="none"/>
        </w:rPr>
      </w:pPr>
      <w:r>
        <w:rPr>
          <w:rFonts w:hint="eastAsia"/>
          <w:color w:val="auto"/>
          <w:szCs w:val="21"/>
          <w:highlight w:val="none"/>
        </w:rPr>
        <w:t>①供应商直接或者间接从采购人或者采购代理机构处获得其他供应商的相关信息并修改其投标文件或者响应文件；</w:t>
      </w:r>
    </w:p>
    <w:p w14:paraId="3E7CEC53">
      <w:pPr>
        <w:spacing w:before="120" w:line="320" w:lineRule="atLeast"/>
        <w:ind w:firstLine="420" w:firstLineChars="200"/>
        <w:rPr>
          <w:color w:val="auto"/>
          <w:szCs w:val="21"/>
          <w:highlight w:val="none"/>
        </w:rPr>
      </w:pPr>
      <w:r>
        <w:rPr>
          <w:rFonts w:hint="eastAsia"/>
          <w:color w:val="auto"/>
          <w:szCs w:val="21"/>
          <w:highlight w:val="none"/>
        </w:rPr>
        <w:t>②供应商按照采购人或者采购代理机构的授意撤换、修改投标文件或者响应文件;</w:t>
      </w:r>
    </w:p>
    <w:p w14:paraId="080F1A09">
      <w:pPr>
        <w:spacing w:before="120" w:line="320" w:lineRule="atLeast"/>
        <w:ind w:firstLine="420" w:firstLineChars="200"/>
        <w:rPr>
          <w:color w:val="auto"/>
          <w:szCs w:val="21"/>
          <w:highlight w:val="none"/>
        </w:rPr>
      </w:pPr>
      <w:r>
        <w:rPr>
          <w:rFonts w:hint="eastAsia"/>
          <w:color w:val="auto"/>
          <w:szCs w:val="21"/>
          <w:highlight w:val="none"/>
        </w:rPr>
        <w:t>③供应商之间协商报价、技术方案等投标文件或者响应文件的实质性内容；</w:t>
      </w:r>
    </w:p>
    <w:p w14:paraId="0ECBB9FF">
      <w:pPr>
        <w:spacing w:before="120" w:line="320" w:lineRule="atLeast"/>
        <w:ind w:firstLine="420" w:firstLineChars="200"/>
        <w:rPr>
          <w:color w:val="auto"/>
          <w:szCs w:val="21"/>
          <w:highlight w:val="none"/>
        </w:rPr>
      </w:pPr>
      <w:r>
        <w:rPr>
          <w:rFonts w:hint="eastAsia"/>
          <w:color w:val="auto"/>
          <w:szCs w:val="21"/>
          <w:highlight w:val="none"/>
        </w:rPr>
        <w:t>④属于同一集团、协会、商会等组织成员的供应商按照该组织要求协同参加政府采购活动；</w:t>
      </w:r>
    </w:p>
    <w:p w14:paraId="102545AB">
      <w:pPr>
        <w:spacing w:before="120" w:line="320" w:lineRule="atLeast"/>
        <w:ind w:firstLine="420" w:firstLineChars="200"/>
        <w:rPr>
          <w:color w:val="auto"/>
          <w:szCs w:val="21"/>
          <w:highlight w:val="none"/>
        </w:rPr>
      </w:pPr>
      <w:r>
        <w:rPr>
          <w:rFonts w:hint="eastAsia"/>
          <w:color w:val="auto"/>
          <w:szCs w:val="21"/>
          <w:highlight w:val="none"/>
        </w:rPr>
        <w:t>⑤供应商之间事先约定一致抬高或者压低投标报价，或者在招标项目中事先约定轮流以高价位或者低价位中标，或者事先约定由某一特定供应商中标，然后再参加投标；</w:t>
      </w:r>
    </w:p>
    <w:p w14:paraId="50AD9C28">
      <w:pPr>
        <w:spacing w:before="120" w:line="320" w:lineRule="atLeast"/>
        <w:ind w:firstLine="420" w:firstLineChars="200"/>
        <w:rPr>
          <w:color w:val="auto"/>
          <w:szCs w:val="21"/>
          <w:highlight w:val="none"/>
        </w:rPr>
      </w:pPr>
      <w:r>
        <w:rPr>
          <w:rFonts w:hint="eastAsia"/>
          <w:color w:val="auto"/>
          <w:szCs w:val="21"/>
          <w:highlight w:val="none"/>
        </w:rPr>
        <w:t>⑥供应商之间商定部分供应商放弃参加政府采购活动或者放弃中标；</w:t>
      </w:r>
    </w:p>
    <w:p w14:paraId="7CCFA8B4">
      <w:pPr>
        <w:spacing w:before="120" w:line="320" w:lineRule="atLeast"/>
        <w:ind w:firstLine="420" w:firstLineChars="200"/>
        <w:rPr>
          <w:color w:val="auto"/>
          <w:szCs w:val="21"/>
          <w:highlight w:val="none"/>
        </w:rPr>
      </w:pPr>
      <w:r>
        <w:rPr>
          <w:rFonts w:hint="eastAsia"/>
          <w:color w:val="auto"/>
          <w:szCs w:val="21"/>
          <w:highlight w:val="none"/>
        </w:rPr>
        <w:t>⑦供应商与采购人或者采购代理机构之间、供应商相互之间，为谋求特定供应商中标或者排斥其他供应商的其他串通行为。</w:t>
      </w:r>
    </w:p>
    <w:p w14:paraId="7110854D">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rPr>
        <w:t>8投标无效认定</w:t>
      </w:r>
    </w:p>
    <w:p w14:paraId="2229239E">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）在评审过程中如发现下列情形之一的，投标文件将被视为无效：</w:t>
      </w:r>
    </w:p>
    <w:p w14:paraId="49BA5234">
      <w:pPr>
        <w:spacing w:before="120" w:line="320" w:lineRule="atLeast"/>
        <w:ind w:firstLine="420" w:firstLineChars="200"/>
        <w:rPr>
          <w:color w:val="auto"/>
          <w:highlight w:val="none"/>
        </w:rPr>
      </w:pPr>
      <w:r>
        <w:rPr>
          <w:rFonts w:hint="eastAsia"/>
          <w:color w:val="auto"/>
          <w:szCs w:val="21"/>
          <w:highlight w:val="none"/>
        </w:rPr>
        <w:t>①投标文件存在法律、法规及监督部门有关文件规定的无效情形。</w:t>
      </w:r>
    </w:p>
    <w:p w14:paraId="75F84835">
      <w:pPr>
        <w:spacing w:before="120" w:line="320" w:lineRule="atLeast"/>
        <w:ind w:firstLine="420" w:firstLineChars="200"/>
        <w:rPr>
          <w:color w:val="auto"/>
          <w:szCs w:val="21"/>
          <w:highlight w:val="none"/>
        </w:rPr>
      </w:pPr>
      <w:r>
        <w:rPr>
          <w:rFonts w:hint="eastAsia"/>
          <w:color w:val="auto"/>
          <w:szCs w:val="21"/>
          <w:highlight w:val="none"/>
        </w:rPr>
        <w:t>②投标文件存在招标文件规定的无效情形。</w:t>
      </w:r>
    </w:p>
    <w:p w14:paraId="3D70D917">
      <w:pPr>
        <w:spacing w:before="120" w:line="320" w:lineRule="atLeast"/>
        <w:ind w:firstLine="420" w:firstLineChars="200"/>
        <w:rPr>
          <w:color w:val="auto"/>
          <w:szCs w:val="21"/>
          <w:highlight w:val="none"/>
        </w:rPr>
      </w:pPr>
      <w:r>
        <w:rPr>
          <w:rFonts w:hint="eastAsia"/>
          <w:color w:val="auto"/>
          <w:szCs w:val="21"/>
          <w:highlight w:val="none"/>
        </w:rPr>
        <w:t>（2）根据财库《关于促进政府采购公平竞争优化营商环境的通知》（〔2019〕38号）以及《广西壮族自治区财政厅转发财政部关于促进政府采购公平竞争优化营商环境的通知》（桂财采〔2019〕41号）规定，评审委员会不得因装订、纸张、文件排序等非实质性的格式、形式问题认定投标无效或否决投标，从而限制和影响供应商投标（响应）。</w:t>
      </w:r>
    </w:p>
    <w:p w14:paraId="23967AA6">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rPr>
        <w:t>9比较与评价</w:t>
      </w:r>
    </w:p>
    <w:p w14:paraId="2EEDF92A">
      <w:pPr>
        <w:spacing w:before="120" w:line="320" w:lineRule="atLeast"/>
        <w:ind w:firstLine="420" w:firstLineChars="200"/>
        <w:rPr>
          <w:color w:val="auto"/>
          <w:szCs w:val="21"/>
          <w:highlight w:val="none"/>
        </w:rPr>
      </w:pPr>
      <w:r>
        <w:rPr>
          <w:rFonts w:hint="eastAsia"/>
          <w:color w:val="auto"/>
          <w:szCs w:val="21"/>
          <w:highlight w:val="none"/>
        </w:rPr>
        <w:t>（1）评审委员会按招标文件中规定的评审方法和标准，对符合性审查合格的投标文件进行综合比较与评价。</w:t>
      </w:r>
    </w:p>
    <w:p w14:paraId="362679AD">
      <w:pPr>
        <w:spacing w:before="120" w:line="320" w:lineRule="atLeast"/>
        <w:ind w:firstLine="420" w:firstLineChars="200"/>
        <w:rPr>
          <w:color w:val="auto"/>
          <w:szCs w:val="21"/>
          <w:highlight w:val="none"/>
        </w:rPr>
      </w:pPr>
      <w:r>
        <w:rPr>
          <w:rFonts w:hint="eastAsia"/>
          <w:color w:val="auto"/>
          <w:szCs w:val="21"/>
          <w:highlight w:val="none"/>
        </w:rPr>
        <w:t>（2）评审委员会各成员独立对每个有效供应商的投标文件进行评价。评价有误的应及时进行修正。评分标准如有客观分定义，评审委员会所有成员的客观分评分分值应当一致。</w:t>
      </w:r>
    </w:p>
    <w:p w14:paraId="16C9EB1D">
      <w:pPr>
        <w:spacing w:before="120" w:line="320" w:lineRule="atLeast"/>
        <w:ind w:firstLine="420" w:firstLineChars="200"/>
        <w:rPr>
          <w:color w:val="auto"/>
          <w:szCs w:val="21"/>
          <w:highlight w:val="none"/>
        </w:rPr>
      </w:pPr>
      <w:r>
        <w:rPr>
          <w:rFonts w:hint="eastAsia"/>
          <w:color w:val="auto"/>
          <w:szCs w:val="21"/>
          <w:highlight w:val="none"/>
        </w:rPr>
        <w:t>（3）评审委员会按综合评分由高到低的排列顺序推荐中标候选人，中标候选人最多不超过3名。若中标候选人综合评分相同的，按投标报价由低到高顺序排列；综合评分且投标报价相同的</w:t>
      </w:r>
      <w:r>
        <w:rPr>
          <w:rFonts w:hint="eastAsia"/>
          <w:color w:val="auto"/>
          <w:highlight w:val="none"/>
        </w:rPr>
        <w:t>并列</w:t>
      </w:r>
      <w:r>
        <w:rPr>
          <w:rFonts w:hint="eastAsia"/>
          <w:color w:val="auto"/>
          <w:szCs w:val="21"/>
          <w:highlight w:val="none"/>
        </w:rPr>
        <w:t>；中标候选人并列的，按技术部分得分由高到低顺序排列，若综合评分、投标报价、技术部分均相同的，按商务部分得分由高到低顺序排列。</w:t>
      </w:r>
    </w:p>
    <w:p w14:paraId="4F0AEF8B">
      <w:pPr>
        <w:spacing w:before="120" w:line="320" w:lineRule="atLeast"/>
        <w:ind w:firstLine="420" w:firstLineChars="200"/>
        <w:rPr>
          <w:color w:val="auto"/>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）评审委员会根据评审记录及评审结果编写评审报告，评审委员会成员均应当在评审报告上签字，对自己的评审意见承担法律责任。</w:t>
      </w:r>
      <w:r>
        <w:rPr>
          <w:rFonts w:hint="eastAsia"/>
          <w:color w:val="auto"/>
          <w:highlight w:val="none"/>
        </w:rPr>
        <w:t>评审报告签署前，经复核发现存在以下情形之一的，评审委员会应当当场修改评审结果，并在评审报告中记载；评审报告签署后，采购人或者采购代理机构发现存在以下情形之一的，应当组织原评审委员会进行重新评审。</w:t>
      </w:r>
    </w:p>
    <w:p w14:paraId="395AF162">
      <w:pPr>
        <w:spacing w:before="120" w:line="320" w:lineRule="atLeast"/>
        <w:ind w:firstLine="420" w:firstLineChars="200"/>
        <w:rPr>
          <w:color w:val="auto"/>
          <w:highlight w:val="none"/>
        </w:rPr>
      </w:pPr>
      <w:r>
        <w:rPr>
          <w:rFonts w:hint="eastAsia"/>
          <w:color w:val="auto"/>
          <w:highlight w:val="none"/>
        </w:rPr>
        <w:t>分值汇总计算错误的；分项评分超出评分标准范围的；评审委员会成员对客观评审因素评分不一致的；经评审委员会认定评分畸高、畸低的。</w:t>
      </w:r>
    </w:p>
    <w:p w14:paraId="302B470A">
      <w:pPr>
        <w:spacing w:before="120" w:line="320" w:lineRule="atLeast"/>
        <w:ind w:firstLine="422" w:firstLineChars="200"/>
        <w:outlineLvl w:val="2"/>
        <w:rPr>
          <w:b/>
          <w:color w:val="auto"/>
          <w:kern w:val="0"/>
          <w:szCs w:val="21"/>
          <w:highlight w:val="none"/>
        </w:rPr>
      </w:pPr>
      <w:r>
        <w:rPr>
          <w:b/>
          <w:color w:val="auto"/>
          <w:kern w:val="0"/>
          <w:szCs w:val="21"/>
          <w:highlight w:val="none"/>
        </w:rPr>
        <w:t>6.4</w:t>
      </w:r>
      <w:r>
        <w:rPr>
          <w:rFonts w:hint="eastAsia"/>
          <w:b/>
          <w:color w:val="auto"/>
          <w:kern w:val="0"/>
          <w:szCs w:val="21"/>
          <w:highlight w:val="none"/>
        </w:rPr>
        <w:t>确定中标人</w:t>
      </w:r>
    </w:p>
    <w:p w14:paraId="393B0629">
      <w:pPr>
        <w:spacing w:before="120" w:line="276" w:lineRule="auto"/>
        <w:ind w:firstLine="420" w:firstLineChars="200"/>
        <w:rPr>
          <w:color w:val="auto"/>
          <w:szCs w:val="21"/>
          <w:highlight w:val="none"/>
        </w:rPr>
      </w:pPr>
      <w:r>
        <w:rPr>
          <w:rFonts w:hint="eastAsia"/>
          <w:color w:val="auto"/>
          <w:szCs w:val="21"/>
          <w:highlight w:val="none"/>
        </w:rPr>
        <w:t>6.4</w:t>
      </w:r>
      <w:r>
        <w:rPr>
          <w:color w:val="auto"/>
          <w:szCs w:val="21"/>
          <w:highlight w:val="none"/>
        </w:rPr>
        <w:t>.1</w:t>
      </w:r>
      <w:r>
        <w:rPr>
          <w:rFonts w:hint="eastAsia"/>
          <w:color w:val="auto"/>
          <w:szCs w:val="21"/>
          <w:highlight w:val="none"/>
        </w:rPr>
        <w:t>采购代理机构在评审结束后2个工作日内将评审报告送采购人，采购人在5个工作日内按照评审报告中推荐的中标候选人顺序确定中标人。中标候选人并列的，由采购人或者采购人委托评标委员会按照招标文件规定的方式确定中标人；招标文件未规定的，采取随机抽取的方式确定。</w:t>
      </w:r>
    </w:p>
    <w:p w14:paraId="3056FD0A">
      <w:pPr>
        <w:spacing w:before="120" w:line="276" w:lineRule="auto"/>
        <w:ind w:firstLine="420" w:firstLineChars="200"/>
        <w:rPr>
          <w:color w:val="auto"/>
          <w:szCs w:val="21"/>
          <w:highlight w:val="none"/>
        </w:rPr>
      </w:pPr>
      <w:r>
        <w:rPr>
          <w:color w:val="auto"/>
          <w:szCs w:val="21"/>
          <w:highlight w:val="none"/>
        </w:rPr>
        <w:t>6.4.2</w:t>
      </w:r>
      <w:r>
        <w:rPr>
          <w:rFonts w:hint="eastAsia"/>
          <w:color w:val="auto"/>
          <w:szCs w:val="21"/>
          <w:highlight w:val="none"/>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12C54493">
      <w:pPr>
        <w:spacing w:before="120" w:line="320" w:lineRule="atLeast"/>
        <w:ind w:firstLine="422" w:firstLineChars="200"/>
        <w:outlineLvl w:val="2"/>
        <w:rPr>
          <w:b/>
          <w:color w:val="auto"/>
          <w:kern w:val="0"/>
          <w:szCs w:val="21"/>
          <w:highlight w:val="none"/>
        </w:rPr>
      </w:pPr>
      <w:r>
        <w:rPr>
          <w:b/>
          <w:color w:val="auto"/>
          <w:kern w:val="0"/>
          <w:szCs w:val="21"/>
          <w:highlight w:val="none"/>
        </w:rPr>
        <w:t>6.5</w:t>
      </w:r>
      <w:r>
        <w:rPr>
          <w:rFonts w:hint="eastAsia"/>
          <w:b/>
          <w:color w:val="auto"/>
          <w:kern w:val="0"/>
          <w:szCs w:val="21"/>
          <w:highlight w:val="none"/>
        </w:rPr>
        <w:t>结果公告</w:t>
      </w:r>
    </w:p>
    <w:p w14:paraId="4D5B5EF9">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.5.1</w:t>
      </w:r>
      <w:r>
        <w:rPr>
          <w:rFonts w:hint="eastAsia"/>
          <w:color w:val="auto"/>
          <w:szCs w:val="21"/>
          <w:highlight w:val="none"/>
        </w:rPr>
        <w:t>自中标人确定后2个工作日内，采购代理机构按照投标人须知前附表的规定公告中标结果，</w:t>
      </w:r>
      <w:r>
        <w:rPr>
          <w:rFonts w:hint="eastAsia"/>
          <w:color w:val="auto"/>
          <w:highlight w:val="none"/>
        </w:rPr>
        <w:t>中标结果公告期限为1个工作日，发布中标结果公告的同时向中标人发出中标通知书。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以上信息查询记录及相关证据与采购文件一并保存。</w:t>
      </w:r>
    </w:p>
    <w:p w14:paraId="6A95746F">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.5.2</w:t>
      </w:r>
      <w:r>
        <w:rPr>
          <w:rFonts w:hint="eastAsia"/>
          <w:color w:val="auto"/>
          <w:szCs w:val="21"/>
          <w:highlight w:val="none"/>
        </w:rPr>
        <w:t>在发布结果公告的同时，采购代理机构以投标人须知前附表规定的形式向中标人发出中标通知书。中标通知书发出后，采购人改变中标结果，或者中标人放弃中标，应当承担相应的法律责任。</w:t>
      </w:r>
    </w:p>
    <w:p w14:paraId="61CBBE07">
      <w:pPr>
        <w:spacing w:before="120" w:line="320" w:lineRule="atLeast"/>
        <w:ind w:firstLine="420" w:firstLineChars="200"/>
        <w:rPr>
          <w:b/>
          <w:color w:val="auto"/>
          <w:kern w:val="0"/>
          <w:szCs w:val="21"/>
          <w:highlight w:val="none"/>
        </w:rPr>
      </w:pPr>
      <w:r>
        <w:rPr>
          <w:rFonts w:hint="eastAsia"/>
          <w:color w:val="auto"/>
          <w:szCs w:val="21"/>
          <w:highlight w:val="none"/>
        </w:rPr>
        <w:t>6</w:t>
      </w:r>
      <w:r>
        <w:rPr>
          <w:color w:val="auto"/>
          <w:szCs w:val="21"/>
          <w:highlight w:val="none"/>
        </w:rPr>
        <w:t>.5.3</w:t>
      </w:r>
      <w:r>
        <w:rPr>
          <w:rFonts w:hint="eastAsia"/>
          <w:color w:val="auto"/>
          <w:szCs w:val="21"/>
          <w:highlight w:val="none"/>
        </w:rPr>
        <w:t>在发布结果公告的同时，采购代理机构以投标人须知前附表规定的形式向未中标人发出招标结果通知书，供应商自行承担未及时查收的后果。</w:t>
      </w:r>
    </w:p>
    <w:p w14:paraId="027DAC9F">
      <w:pPr>
        <w:suppressAutoHyphens/>
        <w:spacing w:before="120" w:line="320" w:lineRule="atLeast"/>
        <w:ind w:firstLine="422" w:firstLineChars="200"/>
        <w:outlineLvl w:val="2"/>
        <w:rPr>
          <w:b/>
          <w:color w:val="auto"/>
          <w:kern w:val="0"/>
          <w:szCs w:val="21"/>
          <w:highlight w:val="none"/>
        </w:rPr>
      </w:pPr>
      <w:r>
        <w:rPr>
          <w:b/>
          <w:color w:val="auto"/>
          <w:kern w:val="0"/>
          <w:szCs w:val="21"/>
          <w:highlight w:val="none"/>
        </w:rPr>
        <w:t>6.6</w:t>
      </w:r>
      <w:r>
        <w:rPr>
          <w:rFonts w:hint="eastAsia"/>
          <w:b/>
          <w:color w:val="auto"/>
          <w:kern w:val="0"/>
          <w:szCs w:val="21"/>
          <w:highlight w:val="none"/>
        </w:rPr>
        <w:t>废标</w:t>
      </w:r>
    </w:p>
    <w:p w14:paraId="78EC3B21">
      <w:pPr>
        <w:spacing w:before="120" w:line="320" w:lineRule="atLeast"/>
        <w:ind w:firstLine="420" w:firstLineChars="200"/>
        <w:rPr>
          <w:color w:val="auto"/>
          <w:kern w:val="1"/>
          <w:szCs w:val="21"/>
          <w:highlight w:val="none"/>
        </w:rPr>
      </w:pPr>
      <w:r>
        <w:rPr>
          <w:color w:val="auto"/>
          <w:kern w:val="1"/>
          <w:szCs w:val="21"/>
          <w:highlight w:val="none"/>
        </w:rPr>
        <w:t>6.6.1</w:t>
      </w:r>
      <w:r>
        <w:rPr>
          <w:rFonts w:hint="eastAsia"/>
          <w:color w:val="auto"/>
          <w:kern w:val="1"/>
          <w:szCs w:val="21"/>
          <w:highlight w:val="none"/>
        </w:rPr>
        <w:t xml:space="preserve">出现下列情形之一，将导致项目废标： </w:t>
      </w:r>
    </w:p>
    <w:p w14:paraId="18E41342">
      <w:pPr>
        <w:spacing w:before="120" w:line="320" w:lineRule="atLeast"/>
        <w:ind w:firstLine="420" w:firstLineChars="200"/>
        <w:rPr>
          <w:color w:val="auto"/>
          <w:szCs w:val="21"/>
          <w:highlight w:val="none"/>
        </w:rPr>
      </w:pPr>
      <w:r>
        <w:rPr>
          <w:rFonts w:hint="eastAsia"/>
          <w:color w:val="auto"/>
          <w:kern w:val="1"/>
          <w:szCs w:val="21"/>
          <w:highlight w:val="none"/>
        </w:rPr>
        <w:t>（1</w:t>
      </w:r>
      <w:r>
        <w:rPr>
          <w:rFonts w:hint="eastAsia"/>
          <w:color w:val="auto"/>
          <w:szCs w:val="21"/>
          <w:highlight w:val="none"/>
        </w:rPr>
        <w:t>）符合专业条件的供应商或者对招标文件做实质性响应的供应商不足三家；</w:t>
      </w:r>
    </w:p>
    <w:p w14:paraId="4ADED486">
      <w:pPr>
        <w:spacing w:before="120" w:line="320" w:lineRule="atLeast"/>
        <w:ind w:firstLine="420" w:firstLineChars="200"/>
        <w:rPr>
          <w:color w:val="auto"/>
          <w:szCs w:val="21"/>
          <w:highlight w:val="none"/>
        </w:rPr>
      </w:pPr>
      <w:r>
        <w:rPr>
          <w:rFonts w:hint="eastAsia"/>
          <w:color w:val="auto"/>
          <w:szCs w:val="21"/>
          <w:highlight w:val="none"/>
        </w:rPr>
        <w:t>（2）出现影响采购公正的违法、违规行为的；</w:t>
      </w:r>
    </w:p>
    <w:p w14:paraId="620B8A2B">
      <w:pPr>
        <w:spacing w:before="120" w:line="320" w:lineRule="atLeast"/>
        <w:ind w:firstLine="420" w:firstLineChars="200"/>
        <w:rPr>
          <w:color w:val="auto"/>
          <w:szCs w:val="21"/>
          <w:highlight w:val="none"/>
        </w:rPr>
      </w:pPr>
      <w:r>
        <w:rPr>
          <w:rFonts w:hint="eastAsia"/>
          <w:color w:val="auto"/>
          <w:szCs w:val="21"/>
          <w:highlight w:val="none"/>
        </w:rPr>
        <w:t>（3）供应商的报价均超过了采购预算，采购人不能支付的；</w:t>
      </w:r>
    </w:p>
    <w:p w14:paraId="6D933493">
      <w:pPr>
        <w:spacing w:before="120" w:line="320" w:lineRule="atLeast"/>
        <w:ind w:firstLine="420" w:firstLineChars="200"/>
        <w:rPr>
          <w:color w:val="auto"/>
          <w:highlight w:val="none"/>
        </w:rPr>
      </w:pPr>
      <w:r>
        <w:rPr>
          <w:rFonts w:hint="eastAsia"/>
          <w:color w:val="auto"/>
          <w:szCs w:val="21"/>
          <w:highlight w:val="none"/>
        </w:rPr>
        <w:t>（4）</w:t>
      </w:r>
      <w:r>
        <w:rPr>
          <w:rFonts w:hint="eastAsia"/>
          <w:color w:val="auto"/>
          <w:highlight w:val="none"/>
        </w:rPr>
        <w:t>因发生重大变故或采购任务取消的。</w:t>
      </w:r>
    </w:p>
    <w:p w14:paraId="1B2D2961">
      <w:pPr>
        <w:spacing w:before="120" w:line="320" w:lineRule="atLeast"/>
        <w:ind w:firstLine="420" w:firstLineChars="200"/>
        <w:rPr>
          <w:color w:val="auto"/>
          <w:szCs w:val="21"/>
          <w:highlight w:val="none"/>
        </w:rPr>
      </w:pPr>
      <w:r>
        <w:rPr>
          <w:color w:val="auto"/>
          <w:kern w:val="1"/>
          <w:szCs w:val="21"/>
          <w:highlight w:val="none"/>
        </w:rPr>
        <w:t>6.6.2</w:t>
      </w:r>
      <w:r>
        <w:rPr>
          <w:rFonts w:hint="eastAsia"/>
          <w:color w:val="auto"/>
          <w:kern w:val="1"/>
          <w:szCs w:val="21"/>
          <w:highlight w:val="none"/>
        </w:rPr>
        <w:t>废标后</w:t>
      </w:r>
      <w:r>
        <w:rPr>
          <w:rFonts w:hint="eastAsia"/>
          <w:color w:val="auto"/>
          <w:szCs w:val="21"/>
          <w:highlight w:val="none"/>
        </w:rPr>
        <w:t>采购</w:t>
      </w:r>
      <w:r>
        <w:rPr>
          <w:rFonts w:hint="eastAsia"/>
          <w:color w:val="auto"/>
          <w:kern w:val="1"/>
          <w:szCs w:val="21"/>
          <w:highlight w:val="none"/>
        </w:rPr>
        <w:t>代理机构将发布废标公告通知供应商。</w:t>
      </w:r>
      <w:bookmarkEnd w:id="45"/>
    </w:p>
    <w:bookmarkEnd w:id="42"/>
    <w:p w14:paraId="12C72CC9">
      <w:pPr>
        <w:spacing w:before="120" w:line="320" w:lineRule="atLeast"/>
        <w:ind w:left="2" w:leftChars="1" w:firstLine="422" w:firstLineChars="200"/>
        <w:outlineLvl w:val="1"/>
        <w:rPr>
          <w:b/>
          <w:color w:val="auto"/>
          <w:kern w:val="0"/>
          <w:szCs w:val="21"/>
          <w:highlight w:val="none"/>
        </w:rPr>
      </w:pPr>
      <w:r>
        <w:rPr>
          <w:b/>
          <w:color w:val="auto"/>
          <w:kern w:val="0"/>
          <w:szCs w:val="21"/>
          <w:highlight w:val="none"/>
        </w:rPr>
        <w:t>7</w:t>
      </w:r>
      <w:r>
        <w:rPr>
          <w:rFonts w:hint="eastAsia"/>
          <w:b/>
          <w:color w:val="auto"/>
          <w:kern w:val="0"/>
          <w:szCs w:val="21"/>
          <w:highlight w:val="none"/>
        </w:rPr>
        <w:t>．合同</w:t>
      </w:r>
    </w:p>
    <w:p w14:paraId="29F4C9CA">
      <w:pPr>
        <w:spacing w:before="120" w:line="320" w:lineRule="atLeast"/>
        <w:ind w:firstLine="422" w:firstLineChars="200"/>
        <w:outlineLvl w:val="2"/>
        <w:rPr>
          <w:b/>
          <w:color w:val="auto"/>
          <w:kern w:val="0"/>
          <w:szCs w:val="21"/>
          <w:highlight w:val="none"/>
        </w:rPr>
      </w:pPr>
      <w:r>
        <w:rPr>
          <w:b/>
          <w:color w:val="auto"/>
          <w:kern w:val="0"/>
          <w:szCs w:val="21"/>
          <w:highlight w:val="none"/>
        </w:rPr>
        <w:t>7.1</w:t>
      </w:r>
      <w:r>
        <w:rPr>
          <w:rFonts w:hint="eastAsia"/>
          <w:b/>
          <w:color w:val="auto"/>
          <w:kern w:val="0"/>
          <w:szCs w:val="21"/>
          <w:highlight w:val="none"/>
        </w:rPr>
        <w:t>合同授予标准</w:t>
      </w:r>
    </w:p>
    <w:p w14:paraId="3A5896A5">
      <w:pPr>
        <w:spacing w:before="120" w:line="320" w:lineRule="atLeast"/>
        <w:ind w:firstLine="420" w:firstLineChars="200"/>
        <w:rPr>
          <w:color w:val="auto"/>
          <w:szCs w:val="21"/>
          <w:highlight w:val="none"/>
        </w:rPr>
      </w:pPr>
      <w:r>
        <w:rPr>
          <w:rFonts w:hint="eastAsia"/>
          <w:color w:val="auto"/>
          <w:szCs w:val="21"/>
          <w:highlight w:val="none"/>
        </w:rPr>
        <w:t>合同将授予被确定实质上响应招标文件要求，具备履行合同能力，综合评分排名第一的供应商。在中标通知书发出前或签订合同前，如果中标人的组织机构、经营、财务状况发生较大变化，可能造成不能履行合同、无法按照招标文件要求提交履约保证金等情形，不符合中标条件或不满足供应商资格条件要求 ，应在中标通知书发出前或签订合同前及时书面告知采购人，未主动告知，给采购人造成损失的，采购人有权取消其中标资格并没收投标保证金。</w:t>
      </w:r>
    </w:p>
    <w:p w14:paraId="00689E10">
      <w:pPr>
        <w:spacing w:before="120" w:line="320" w:lineRule="atLeast"/>
        <w:ind w:firstLine="422" w:firstLineChars="200"/>
        <w:outlineLvl w:val="2"/>
        <w:rPr>
          <w:b/>
          <w:color w:val="auto"/>
          <w:kern w:val="0"/>
          <w:szCs w:val="21"/>
          <w:highlight w:val="none"/>
        </w:rPr>
      </w:pPr>
      <w:r>
        <w:rPr>
          <w:b/>
          <w:color w:val="auto"/>
          <w:kern w:val="0"/>
          <w:szCs w:val="21"/>
          <w:highlight w:val="none"/>
        </w:rPr>
        <w:t>7.2</w:t>
      </w:r>
      <w:r>
        <w:rPr>
          <w:rFonts w:hint="eastAsia"/>
          <w:b/>
          <w:color w:val="auto"/>
          <w:kern w:val="0"/>
          <w:szCs w:val="21"/>
          <w:highlight w:val="none"/>
        </w:rPr>
        <w:t>签订合同</w:t>
      </w:r>
    </w:p>
    <w:p w14:paraId="6BB3C355">
      <w:pPr>
        <w:spacing w:before="120" w:line="320" w:lineRule="atLeast"/>
        <w:ind w:firstLine="420" w:firstLineChars="200"/>
        <w:rPr>
          <w:color w:val="auto"/>
          <w:szCs w:val="21"/>
          <w:highlight w:val="none"/>
        </w:rPr>
      </w:pPr>
      <w:bookmarkStart w:id="50" w:name="_Hlk93421039"/>
      <w:r>
        <w:rPr>
          <w:color w:val="auto"/>
          <w:szCs w:val="21"/>
          <w:highlight w:val="none"/>
        </w:rPr>
        <w:t>7.2.1</w:t>
      </w:r>
      <w:r>
        <w:rPr>
          <w:rFonts w:hint="eastAsia"/>
          <w:color w:val="auto"/>
          <w:szCs w:val="21"/>
          <w:highlight w:val="none"/>
        </w:rPr>
        <w:t>如招标文件无特别规定，中标人按招标文件确定的事项签订政府采购合同。</w:t>
      </w:r>
    </w:p>
    <w:p w14:paraId="2CB3FDE7">
      <w:pPr>
        <w:spacing w:before="120" w:line="320" w:lineRule="atLeast"/>
        <w:ind w:firstLine="420" w:firstLineChars="200"/>
        <w:rPr>
          <w:color w:val="auto"/>
          <w:szCs w:val="21"/>
          <w:highlight w:val="none"/>
        </w:rPr>
      </w:pPr>
      <w:r>
        <w:rPr>
          <w:color w:val="auto"/>
          <w:szCs w:val="21"/>
          <w:highlight w:val="none"/>
        </w:rPr>
        <w:t>7.2.2</w:t>
      </w:r>
      <w:r>
        <w:rPr>
          <w:rFonts w:hint="eastAsia"/>
          <w:color w:val="auto"/>
          <w:szCs w:val="21"/>
          <w:highlight w:val="none"/>
        </w:rPr>
        <w:t>政府采购合同应当包括采购人与中标人的名称和住所、标的、数量、质量、价款或者报酬、履行期限及地点和方式、验收要求、违约责任、解决争议的方法等内容。招标文件、中标人的投标文件及澄清文件等，均为签订政府采购合同的依据。</w:t>
      </w:r>
    </w:p>
    <w:p w14:paraId="4017885F">
      <w:pPr>
        <w:spacing w:before="120" w:line="320" w:lineRule="atLeast"/>
        <w:ind w:firstLine="420" w:firstLineChars="200"/>
        <w:rPr>
          <w:color w:val="auto"/>
          <w:szCs w:val="21"/>
          <w:highlight w:val="none"/>
        </w:rPr>
      </w:pPr>
      <w:r>
        <w:rPr>
          <w:color w:val="auto"/>
          <w:szCs w:val="21"/>
          <w:highlight w:val="none"/>
        </w:rPr>
        <w:t>7.2.3</w:t>
      </w:r>
      <w:r>
        <w:rPr>
          <w:rFonts w:hint="eastAsia"/>
          <w:color w:val="auto"/>
          <w:szCs w:val="21"/>
          <w:highlight w:val="none"/>
        </w:rPr>
        <w:t>如中标人不按中标通知书的规定签订合同，其投标保证金将不予退还，并报由同级政府采购监督管理部门处理。</w:t>
      </w:r>
    </w:p>
    <w:p w14:paraId="477FD6C7">
      <w:pPr>
        <w:spacing w:before="120" w:line="320" w:lineRule="atLeast"/>
        <w:ind w:firstLine="420" w:firstLineChars="200"/>
        <w:rPr>
          <w:color w:val="auto"/>
          <w:szCs w:val="21"/>
          <w:highlight w:val="none"/>
        </w:rPr>
      </w:pPr>
      <w:r>
        <w:rPr>
          <w:rFonts w:hint="eastAsia"/>
          <w:color w:val="auto"/>
          <w:szCs w:val="21"/>
          <w:highlight w:val="none"/>
        </w:rPr>
        <w:t>7</w:t>
      </w:r>
      <w:r>
        <w:rPr>
          <w:color w:val="auto"/>
          <w:szCs w:val="21"/>
          <w:highlight w:val="none"/>
        </w:rPr>
        <w:t>.2.4</w:t>
      </w:r>
      <w:r>
        <w:rPr>
          <w:rFonts w:hint="eastAsia"/>
          <w:color w:val="auto"/>
          <w:szCs w:val="21"/>
          <w:highlight w:val="none"/>
        </w:rPr>
        <w:t>中标人拒绝与采购人签订合同的，采购人可以按照评审报告推荐的中标候选人名单排序，确定下一候选人为中标人，也可以重新开展政府采购活动。</w:t>
      </w:r>
    </w:p>
    <w:p w14:paraId="6BAF4B07">
      <w:pPr>
        <w:spacing w:before="120" w:line="320" w:lineRule="atLeast"/>
        <w:ind w:firstLine="420" w:firstLineChars="200"/>
        <w:rPr>
          <w:color w:val="auto"/>
          <w:szCs w:val="21"/>
          <w:highlight w:val="none"/>
        </w:rPr>
      </w:pPr>
      <w:r>
        <w:rPr>
          <w:rFonts w:hint="eastAsia"/>
          <w:color w:val="auto"/>
          <w:szCs w:val="21"/>
          <w:highlight w:val="none"/>
        </w:rPr>
        <w:t>7</w:t>
      </w:r>
      <w:r>
        <w:rPr>
          <w:color w:val="auto"/>
          <w:szCs w:val="21"/>
          <w:highlight w:val="none"/>
        </w:rPr>
        <w:t>.2.5</w:t>
      </w:r>
      <w:r>
        <w:rPr>
          <w:rFonts w:hint="eastAsia"/>
          <w:color w:val="auto"/>
          <w:szCs w:val="21"/>
          <w:highlight w:val="none"/>
        </w:rPr>
        <w:t>采购人因不可抗力原因迟延签订合同的，应当自不可抗力事由消除之日起5个工作日内完成合同签订事宜。</w:t>
      </w:r>
    </w:p>
    <w:bookmarkEnd w:id="50"/>
    <w:p w14:paraId="595A5F51">
      <w:pPr>
        <w:spacing w:before="120" w:line="320" w:lineRule="atLeast"/>
        <w:ind w:firstLine="422" w:firstLineChars="200"/>
        <w:outlineLvl w:val="2"/>
        <w:rPr>
          <w:b/>
          <w:color w:val="auto"/>
          <w:kern w:val="0"/>
          <w:szCs w:val="21"/>
          <w:highlight w:val="none"/>
        </w:rPr>
      </w:pPr>
      <w:r>
        <w:rPr>
          <w:b/>
          <w:color w:val="auto"/>
          <w:kern w:val="0"/>
          <w:szCs w:val="21"/>
          <w:highlight w:val="none"/>
        </w:rPr>
        <w:t>7.3</w:t>
      </w:r>
      <w:r>
        <w:rPr>
          <w:rFonts w:hint="eastAsia"/>
          <w:b/>
          <w:color w:val="auto"/>
          <w:kern w:val="0"/>
          <w:szCs w:val="21"/>
          <w:highlight w:val="none"/>
        </w:rPr>
        <w:t>合同公告</w:t>
      </w:r>
    </w:p>
    <w:p w14:paraId="4D358032">
      <w:pPr>
        <w:spacing w:before="120" w:line="320" w:lineRule="atLeast"/>
        <w:ind w:firstLine="420" w:firstLineChars="200"/>
        <w:rPr>
          <w:color w:val="auto"/>
          <w:szCs w:val="21"/>
          <w:highlight w:val="none"/>
        </w:rPr>
      </w:pPr>
      <w:bookmarkStart w:id="51" w:name="_Hlk93421052"/>
      <w:r>
        <w:rPr>
          <w:color w:val="auto"/>
          <w:szCs w:val="21"/>
          <w:highlight w:val="none"/>
        </w:rPr>
        <w:t>7.3.1</w:t>
      </w:r>
      <w:r>
        <w:rPr>
          <w:rFonts w:hint="eastAsia"/>
          <w:color w:val="auto"/>
          <w:szCs w:val="21"/>
          <w:highlight w:val="none"/>
        </w:rPr>
        <w:t>如招标文件无特殊规定，中标人应在签订合同后1个工作日内，将政府采购合同副本送采购代理机构存档。</w:t>
      </w:r>
    </w:p>
    <w:p w14:paraId="452A5EA5">
      <w:pPr>
        <w:spacing w:before="120" w:line="320" w:lineRule="atLeast"/>
        <w:ind w:firstLine="420" w:firstLineChars="200"/>
        <w:rPr>
          <w:color w:val="auto"/>
          <w:szCs w:val="21"/>
          <w:highlight w:val="none"/>
        </w:rPr>
      </w:pPr>
      <w:r>
        <w:rPr>
          <w:color w:val="auto"/>
          <w:szCs w:val="21"/>
          <w:highlight w:val="none"/>
        </w:rPr>
        <w:t>7.3.2</w:t>
      </w:r>
      <w:r>
        <w:rPr>
          <w:rFonts w:hint="eastAsia"/>
          <w:color w:val="auto"/>
          <w:szCs w:val="21"/>
          <w:highlight w:val="none"/>
        </w:rPr>
        <w:t>采购人应当自政府采购合同签订之日起2个工作日内，将政府采购合同在省级以上人民政府财政部门指定的媒体上公告，但政府采购合同中涉及国家秘密、商业秘密的内容除外。</w:t>
      </w:r>
    </w:p>
    <w:p w14:paraId="2AC6FBDD">
      <w:pPr>
        <w:spacing w:before="120" w:line="320" w:lineRule="atLeast"/>
        <w:ind w:firstLine="420" w:firstLineChars="200"/>
        <w:rPr>
          <w:color w:val="auto"/>
          <w:szCs w:val="21"/>
          <w:highlight w:val="none"/>
        </w:rPr>
      </w:pPr>
      <w:r>
        <w:rPr>
          <w:rFonts w:hint="eastAsia"/>
          <w:color w:val="auto"/>
          <w:szCs w:val="21"/>
          <w:highlight w:val="none"/>
        </w:rPr>
        <w:t>7</w:t>
      </w:r>
      <w:r>
        <w:rPr>
          <w:color w:val="auto"/>
          <w:szCs w:val="21"/>
          <w:highlight w:val="none"/>
        </w:rPr>
        <w:t xml:space="preserve">.3.3 </w:t>
      </w:r>
      <w:r>
        <w:rPr>
          <w:rFonts w:hint="eastAsia"/>
          <w:color w:val="auto"/>
          <w:szCs w:val="21"/>
          <w:highlight w:val="none"/>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p>
    <w:bookmarkEnd w:id="51"/>
    <w:p w14:paraId="4DEDA602">
      <w:pPr>
        <w:spacing w:before="120" w:line="320" w:lineRule="atLeast"/>
        <w:ind w:firstLine="422" w:firstLineChars="200"/>
        <w:outlineLvl w:val="2"/>
        <w:rPr>
          <w:b/>
          <w:color w:val="auto"/>
          <w:kern w:val="0"/>
          <w:szCs w:val="21"/>
          <w:highlight w:val="none"/>
        </w:rPr>
      </w:pPr>
      <w:r>
        <w:rPr>
          <w:b/>
          <w:color w:val="auto"/>
          <w:kern w:val="0"/>
          <w:szCs w:val="21"/>
          <w:highlight w:val="none"/>
        </w:rPr>
        <w:t xml:space="preserve">7.4 </w:t>
      </w:r>
      <w:r>
        <w:rPr>
          <w:rFonts w:hint="eastAsia"/>
          <w:b/>
          <w:color w:val="auto"/>
          <w:kern w:val="0"/>
          <w:szCs w:val="21"/>
          <w:highlight w:val="none"/>
        </w:rPr>
        <w:t>履行合同</w:t>
      </w:r>
    </w:p>
    <w:p w14:paraId="17E47957">
      <w:pPr>
        <w:spacing w:before="120" w:line="320" w:lineRule="atLeast"/>
        <w:ind w:firstLine="420" w:firstLineChars="200"/>
        <w:rPr>
          <w:color w:val="auto"/>
          <w:szCs w:val="21"/>
          <w:highlight w:val="none"/>
        </w:rPr>
      </w:pPr>
      <w:bookmarkStart w:id="52" w:name="_Hlk93421061"/>
      <w:r>
        <w:rPr>
          <w:color w:val="auto"/>
          <w:szCs w:val="21"/>
          <w:highlight w:val="none"/>
        </w:rPr>
        <w:t>7.4.1</w:t>
      </w:r>
      <w:r>
        <w:rPr>
          <w:rFonts w:hint="eastAsia"/>
          <w:color w:val="auto"/>
          <w:szCs w:val="21"/>
          <w:highlight w:val="none"/>
        </w:rPr>
        <w:t>采购人与中标人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bookmarkEnd w:id="52"/>
    <w:p w14:paraId="6CB1544D">
      <w:pPr>
        <w:spacing w:before="120" w:line="320" w:lineRule="atLeast"/>
        <w:ind w:firstLine="422" w:firstLineChars="200"/>
        <w:rPr>
          <w:b/>
          <w:color w:val="auto"/>
          <w:kern w:val="0"/>
          <w:szCs w:val="21"/>
          <w:highlight w:val="none"/>
        </w:rPr>
      </w:pPr>
      <w:r>
        <w:rPr>
          <w:b/>
          <w:color w:val="auto"/>
          <w:kern w:val="0"/>
          <w:szCs w:val="21"/>
          <w:highlight w:val="none"/>
        </w:rPr>
        <w:t>7.5</w:t>
      </w:r>
      <w:r>
        <w:rPr>
          <w:rFonts w:hint="eastAsia"/>
          <w:b/>
          <w:color w:val="auto"/>
          <w:kern w:val="0"/>
          <w:szCs w:val="21"/>
          <w:highlight w:val="none"/>
        </w:rPr>
        <w:t>履约验收</w:t>
      </w:r>
    </w:p>
    <w:p w14:paraId="2DC1A068">
      <w:pPr>
        <w:spacing w:before="120" w:line="320" w:lineRule="atLeast"/>
        <w:ind w:firstLine="420" w:firstLineChars="200"/>
        <w:rPr>
          <w:color w:val="auto"/>
          <w:szCs w:val="21"/>
          <w:highlight w:val="none"/>
        </w:rPr>
      </w:pPr>
      <w:bookmarkStart w:id="53" w:name="_Hlk93421069"/>
      <w:r>
        <w:rPr>
          <w:color w:val="auto"/>
          <w:szCs w:val="21"/>
          <w:highlight w:val="none"/>
        </w:rPr>
        <w:t>7.5.1</w:t>
      </w:r>
      <w:r>
        <w:rPr>
          <w:rFonts w:hint="eastAsia"/>
          <w:color w:val="auto"/>
          <w:szCs w:val="21"/>
          <w:highlight w:val="none"/>
        </w:rPr>
        <w:t>采购人可以根据政府采购项目具体情况自行组织验收，或者委托政府采购代理机构、国家认可的质量检测机构开展采购项目履约验收工作。</w:t>
      </w:r>
    </w:p>
    <w:p w14:paraId="019E2AE8">
      <w:pPr>
        <w:spacing w:before="120" w:line="320" w:lineRule="atLeast"/>
        <w:ind w:firstLine="420" w:firstLineChars="200"/>
        <w:rPr>
          <w:color w:val="auto"/>
          <w:szCs w:val="21"/>
          <w:highlight w:val="none"/>
        </w:rPr>
      </w:pPr>
      <w:r>
        <w:rPr>
          <w:color w:val="auto"/>
          <w:szCs w:val="21"/>
          <w:highlight w:val="none"/>
        </w:rPr>
        <w:t>7.5.2</w:t>
      </w:r>
      <w:r>
        <w:rPr>
          <w:rFonts w:hint="eastAsia"/>
          <w:color w:val="auto"/>
          <w:szCs w:val="21"/>
          <w:highlight w:val="none"/>
        </w:rPr>
        <w:t>验收结果合格的，中标人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1EAA10D0">
      <w:pPr>
        <w:spacing w:before="120" w:line="320" w:lineRule="atLeast"/>
        <w:ind w:firstLine="420" w:firstLineChars="200"/>
        <w:rPr>
          <w:color w:val="auto"/>
          <w:szCs w:val="21"/>
          <w:highlight w:val="none"/>
        </w:rPr>
      </w:pPr>
      <w:r>
        <w:rPr>
          <w:color w:val="auto"/>
          <w:szCs w:val="21"/>
          <w:highlight w:val="none"/>
        </w:rPr>
        <w:t>7.5.3</w:t>
      </w:r>
      <w:r>
        <w:rPr>
          <w:rFonts w:hint="eastAsia"/>
          <w:color w:val="auto"/>
          <w:szCs w:val="21"/>
          <w:highlight w:val="none"/>
        </w:rPr>
        <w:t>采购合同项目完成验收后，采购人应当将验收原始记录、验收书等资料作为该采购项目档案妥善保管，不得伪造、变造、隐匿或者销毁，验收资料保存期为采购结束之日起至少保存15年。</w:t>
      </w:r>
    </w:p>
    <w:p w14:paraId="18103A54">
      <w:pPr>
        <w:spacing w:before="120" w:line="320" w:lineRule="atLeast"/>
        <w:ind w:firstLine="420" w:firstLineChars="200"/>
        <w:rPr>
          <w:color w:val="auto"/>
          <w:szCs w:val="21"/>
          <w:highlight w:val="none"/>
        </w:rPr>
      </w:pPr>
      <w:r>
        <w:rPr>
          <w:color w:val="auto"/>
          <w:szCs w:val="21"/>
          <w:highlight w:val="none"/>
        </w:rPr>
        <w:t>7.5.4</w:t>
      </w:r>
      <w:r>
        <w:rPr>
          <w:rFonts w:hint="eastAsia"/>
          <w:color w:val="auto"/>
          <w:szCs w:val="21"/>
          <w:highlight w:val="none"/>
        </w:rPr>
        <w:t>本项目将严格按照本招标文件及合同有关规定进行合同履约验收。招标文件或合同未规定的按财政部关于进一步加强政府采购需求和履约验收管理的指导意见（财库〔2016〕205号）以及《广西壮族自治区政府采购项目履约验收管理办法》（桂财采〔2015〕22号）的规定执行。</w:t>
      </w:r>
    </w:p>
    <w:bookmarkEnd w:id="53"/>
    <w:p w14:paraId="545D3511">
      <w:pPr>
        <w:spacing w:before="120" w:line="320" w:lineRule="atLeast"/>
        <w:ind w:left="2" w:leftChars="1" w:firstLine="422" w:firstLineChars="200"/>
        <w:outlineLvl w:val="1"/>
        <w:rPr>
          <w:b/>
          <w:color w:val="auto"/>
          <w:kern w:val="0"/>
          <w:szCs w:val="21"/>
          <w:highlight w:val="none"/>
        </w:rPr>
      </w:pPr>
      <w:r>
        <w:rPr>
          <w:b/>
          <w:color w:val="auto"/>
          <w:kern w:val="0"/>
          <w:szCs w:val="21"/>
          <w:highlight w:val="none"/>
        </w:rPr>
        <w:t>8</w:t>
      </w:r>
      <w:r>
        <w:rPr>
          <w:rFonts w:hint="eastAsia"/>
          <w:b/>
          <w:color w:val="auto"/>
          <w:kern w:val="0"/>
          <w:szCs w:val="21"/>
          <w:highlight w:val="none"/>
        </w:rPr>
        <w:t>．质疑和投诉</w:t>
      </w:r>
    </w:p>
    <w:p w14:paraId="1B0A0893">
      <w:pPr>
        <w:spacing w:before="120" w:line="320" w:lineRule="atLeast"/>
        <w:ind w:firstLine="422" w:firstLineChars="200"/>
        <w:outlineLvl w:val="2"/>
        <w:rPr>
          <w:b/>
          <w:color w:val="auto"/>
          <w:kern w:val="0"/>
          <w:szCs w:val="21"/>
          <w:highlight w:val="none"/>
        </w:rPr>
      </w:pPr>
      <w:r>
        <w:rPr>
          <w:b/>
          <w:color w:val="auto"/>
          <w:kern w:val="0"/>
          <w:szCs w:val="21"/>
          <w:highlight w:val="none"/>
        </w:rPr>
        <w:t>8.1</w:t>
      </w:r>
      <w:r>
        <w:rPr>
          <w:rFonts w:hint="eastAsia"/>
          <w:b/>
          <w:color w:val="auto"/>
          <w:kern w:val="0"/>
          <w:szCs w:val="21"/>
          <w:highlight w:val="none"/>
        </w:rPr>
        <w:t>质疑</w:t>
      </w:r>
    </w:p>
    <w:p w14:paraId="136BB32B">
      <w:pPr>
        <w:spacing w:before="120" w:line="320" w:lineRule="atLeast"/>
        <w:ind w:firstLine="420" w:firstLineChars="200"/>
        <w:rPr>
          <w:color w:val="auto"/>
          <w:szCs w:val="21"/>
          <w:highlight w:val="none"/>
        </w:rPr>
      </w:pPr>
      <w:r>
        <w:rPr>
          <w:color w:val="auto"/>
          <w:szCs w:val="21"/>
          <w:highlight w:val="none"/>
        </w:rPr>
        <w:t>8.1.1</w:t>
      </w:r>
      <w:r>
        <w:rPr>
          <w:rFonts w:hint="eastAsia"/>
          <w:color w:val="auto"/>
          <w:szCs w:val="21"/>
          <w:highlight w:val="none"/>
        </w:rPr>
        <w:t>质疑内容、时限</w:t>
      </w:r>
    </w:p>
    <w:p w14:paraId="2352BD28">
      <w:pPr>
        <w:spacing w:before="120" w:line="320" w:lineRule="atLeast"/>
        <w:ind w:firstLine="420" w:firstLineChars="200"/>
        <w:rPr>
          <w:color w:val="auto"/>
          <w:szCs w:val="21"/>
          <w:highlight w:val="none"/>
        </w:rPr>
      </w:pPr>
      <w:r>
        <w:rPr>
          <w:rFonts w:hint="eastAsia"/>
          <w:color w:val="auto"/>
          <w:szCs w:val="21"/>
          <w:highlight w:val="none"/>
        </w:rPr>
        <w:t>（1）供应商对政府采购活动有疑问的，可以向采购人或采购代理机构提出询问。采购人或者采购代理机构应当在3个工作日内对供应商依法提出的询问作出答复。</w:t>
      </w:r>
    </w:p>
    <w:p w14:paraId="0059CA6B">
      <w:pPr>
        <w:spacing w:before="120" w:line="320" w:lineRule="atLeast"/>
        <w:ind w:firstLine="420" w:firstLineChars="200"/>
        <w:rPr>
          <w:color w:val="auto"/>
          <w:szCs w:val="21"/>
          <w:highlight w:val="none"/>
        </w:rPr>
      </w:pPr>
      <w:r>
        <w:rPr>
          <w:rFonts w:hint="eastAsia"/>
          <w:color w:val="auto"/>
          <w:szCs w:val="21"/>
          <w:highlight w:val="none"/>
        </w:rPr>
        <w:t>（2）供应商认为招标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0893C033">
      <w:pPr>
        <w:spacing w:before="120" w:line="320" w:lineRule="atLeast"/>
        <w:ind w:firstLine="420" w:firstLineChars="200"/>
        <w:rPr>
          <w:color w:val="auto"/>
          <w:szCs w:val="21"/>
          <w:highlight w:val="none"/>
        </w:rPr>
      </w:pPr>
      <w:r>
        <w:rPr>
          <w:color w:val="auto"/>
          <w:szCs w:val="21"/>
          <w:highlight w:val="none"/>
        </w:rPr>
        <w:t>8.1.2</w:t>
      </w:r>
      <w:r>
        <w:rPr>
          <w:rFonts w:hint="eastAsia"/>
          <w:color w:val="auto"/>
          <w:szCs w:val="21"/>
          <w:highlight w:val="none"/>
        </w:rPr>
        <w:t>质疑形式</w:t>
      </w:r>
    </w:p>
    <w:p w14:paraId="36089EC0">
      <w:pPr>
        <w:spacing w:before="120" w:line="320" w:lineRule="atLeast"/>
        <w:ind w:firstLine="420" w:firstLineChars="200"/>
        <w:rPr>
          <w:color w:val="auto"/>
          <w:szCs w:val="21"/>
          <w:highlight w:val="none"/>
        </w:rPr>
      </w:pPr>
      <w:r>
        <w:rPr>
          <w:rFonts w:hint="eastAsia"/>
          <w:color w:val="auto"/>
          <w:szCs w:val="21"/>
          <w:highlight w:val="none"/>
        </w:rPr>
        <w:t>质疑应当采用投标人须知前附表所规定的形式，质疑书应明确阐述招标文件、采购过程或中标结果中使自己合法权益受到损害的实质性内容，提供相关事实、依据和证据及其来源或线索，便于有关单位调查、答复和处理。</w:t>
      </w:r>
    </w:p>
    <w:p w14:paraId="37239A9E">
      <w:pPr>
        <w:spacing w:before="120" w:line="320" w:lineRule="atLeast"/>
        <w:ind w:firstLine="420" w:firstLineChars="200"/>
        <w:rPr>
          <w:color w:val="auto"/>
          <w:szCs w:val="21"/>
          <w:highlight w:val="none"/>
        </w:rPr>
      </w:pPr>
      <w:r>
        <w:rPr>
          <w:rFonts w:hint="eastAsia"/>
          <w:color w:val="auto"/>
          <w:szCs w:val="21"/>
          <w:highlight w:val="none"/>
        </w:rPr>
        <w:t>8</w:t>
      </w:r>
      <w:r>
        <w:rPr>
          <w:color w:val="auto"/>
          <w:szCs w:val="21"/>
          <w:highlight w:val="none"/>
        </w:rPr>
        <w:t>.1.3</w:t>
      </w:r>
      <w:r>
        <w:rPr>
          <w:rFonts w:hint="eastAsia"/>
          <w:color w:val="auto"/>
          <w:highlight w:val="none"/>
        </w:rPr>
        <w:t xml:space="preserve"> </w:t>
      </w:r>
      <w:r>
        <w:rPr>
          <w:rFonts w:hint="eastAsia"/>
          <w:color w:val="auto"/>
          <w:szCs w:val="21"/>
          <w:highlight w:val="none"/>
        </w:rPr>
        <w:t>供应商提出质疑应当提交质疑函和必要的证明材料。质疑函应当包括下列内容：</w:t>
      </w:r>
    </w:p>
    <w:p w14:paraId="1D812F8B">
      <w:pPr>
        <w:spacing w:before="120" w:line="320" w:lineRule="atLeast"/>
        <w:ind w:firstLine="420" w:firstLineChars="200"/>
        <w:rPr>
          <w:color w:val="auto"/>
          <w:szCs w:val="21"/>
          <w:highlight w:val="none"/>
        </w:rPr>
      </w:pPr>
      <w:r>
        <w:rPr>
          <w:rFonts w:hint="eastAsia"/>
          <w:color w:val="auto"/>
          <w:szCs w:val="21"/>
          <w:highlight w:val="none"/>
        </w:rPr>
        <w:t>（1）</w:t>
      </w:r>
      <w:r>
        <w:rPr>
          <w:rFonts w:hint="eastAsia"/>
          <w:color w:val="auto"/>
          <w:szCs w:val="21"/>
          <w:highlight w:val="none"/>
        </w:rPr>
        <w:tab/>
      </w:r>
      <w:r>
        <w:rPr>
          <w:rFonts w:hint="eastAsia"/>
          <w:color w:val="auto"/>
          <w:szCs w:val="21"/>
          <w:highlight w:val="none"/>
        </w:rPr>
        <w:t>供应商的姓名或者名称、地址、邮编、联系人及联系电话；</w:t>
      </w:r>
    </w:p>
    <w:p w14:paraId="71BA0D90">
      <w:pPr>
        <w:spacing w:before="120" w:line="320" w:lineRule="atLeast"/>
        <w:ind w:firstLine="420" w:firstLineChars="200"/>
        <w:rPr>
          <w:color w:val="auto"/>
          <w:szCs w:val="21"/>
          <w:highlight w:val="none"/>
        </w:rPr>
      </w:pPr>
      <w:r>
        <w:rPr>
          <w:rFonts w:hint="eastAsia"/>
          <w:color w:val="auto"/>
          <w:szCs w:val="21"/>
          <w:highlight w:val="none"/>
        </w:rPr>
        <w:t>（2）</w:t>
      </w:r>
      <w:r>
        <w:rPr>
          <w:rFonts w:hint="eastAsia"/>
          <w:color w:val="auto"/>
          <w:szCs w:val="21"/>
          <w:highlight w:val="none"/>
        </w:rPr>
        <w:tab/>
      </w:r>
      <w:r>
        <w:rPr>
          <w:rFonts w:hint="eastAsia"/>
          <w:color w:val="auto"/>
          <w:szCs w:val="21"/>
          <w:highlight w:val="none"/>
        </w:rPr>
        <w:t>质疑项目的名称、编号；</w:t>
      </w:r>
    </w:p>
    <w:p w14:paraId="4F3C652C">
      <w:pPr>
        <w:spacing w:before="120" w:line="320" w:lineRule="atLeast"/>
        <w:ind w:firstLine="420" w:firstLineChars="200"/>
        <w:rPr>
          <w:color w:val="auto"/>
          <w:szCs w:val="21"/>
          <w:highlight w:val="none"/>
        </w:rPr>
      </w:pPr>
      <w:r>
        <w:rPr>
          <w:rFonts w:hint="eastAsia"/>
          <w:color w:val="auto"/>
          <w:szCs w:val="21"/>
          <w:highlight w:val="none"/>
        </w:rPr>
        <w:t>（3）</w:t>
      </w:r>
      <w:r>
        <w:rPr>
          <w:rFonts w:hint="eastAsia"/>
          <w:color w:val="auto"/>
          <w:szCs w:val="21"/>
          <w:highlight w:val="none"/>
        </w:rPr>
        <w:tab/>
      </w:r>
      <w:r>
        <w:rPr>
          <w:rFonts w:hint="eastAsia"/>
          <w:color w:val="auto"/>
          <w:szCs w:val="21"/>
          <w:highlight w:val="none"/>
        </w:rPr>
        <w:t>具体、明确的质疑事项和与质疑事项相关的请求；</w:t>
      </w:r>
    </w:p>
    <w:p w14:paraId="5FC3DC91">
      <w:pPr>
        <w:spacing w:before="120" w:line="320" w:lineRule="atLeast"/>
        <w:ind w:firstLine="420" w:firstLineChars="200"/>
        <w:rPr>
          <w:color w:val="auto"/>
          <w:szCs w:val="21"/>
          <w:highlight w:val="none"/>
        </w:rPr>
      </w:pPr>
      <w:r>
        <w:rPr>
          <w:rFonts w:hint="eastAsia"/>
          <w:color w:val="auto"/>
          <w:szCs w:val="21"/>
          <w:highlight w:val="none"/>
        </w:rPr>
        <w:t>（4）</w:t>
      </w:r>
      <w:r>
        <w:rPr>
          <w:rFonts w:hint="eastAsia"/>
          <w:color w:val="auto"/>
          <w:szCs w:val="21"/>
          <w:highlight w:val="none"/>
        </w:rPr>
        <w:tab/>
      </w:r>
      <w:r>
        <w:rPr>
          <w:rFonts w:hint="eastAsia"/>
          <w:color w:val="auto"/>
          <w:szCs w:val="21"/>
          <w:highlight w:val="none"/>
        </w:rPr>
        <w:t>事实依据；</w:t>
      </w:r>
    </w:p>
    <w:p w14:paraId="7C8364A4">
      <w:pPr>
        <w:spacing w:before="120" w:line="320" w:lineRule="atLeast"/>
        <w:ind w:firstLine="420" w:firstLineChars="200"/>
        <w:rPr>
          <w:color w:val="auto"/>
          <w:szCs w:val="21"/>
          <w:highlight w:val="none"/>
        </w:rPr>
      </w:pPr>
      <w:r>
        <w:rPr>
          <w:rFonts w:hint="eastAsia"/>
          <w:color w:val="auto"/>
          <w:szCs w:val="21"/>
          <w:highlight w:val="none"/>
        </w:rPr>
        <w:t>（5）</w:t>
      </w:r>
      <w:r>
        <w:rPr>
          <w:rFonts w:hint="eastAsia"/>
          <w:color w:val="auto"/>
          <w:szCs w:val="21"/>
          <w:highlight w:val="none"/>
        </w:rPr>
        <w:tab/>
      </w:r>
      <w:r>
        <w:rPr>
          <w:rFonts w:hint="eastAsia"/>
          <w:color w:val="auto"/>
          <w:szCs w:val="21"/>
          <w:highlight w:val="none"/>
        </w:rPr>
        <w:t>必要的法律依据；</w:t>
      </w:r>
    </w:p>
    <w:p w14:paraId="618B1150">
      <w:pPr>
        <w:spacing w:before="120" w:line="320" w:lineRule="atLeast"/>
        <w:ind w:firstLine="420" w:firstLineChars="200"/>
        <w:rPr>
          <w:color w:val="auto"/>
          <w:szCs w:val="21"/>
          <w:highlight w:val="none"/>
        </w:rPr>
      </w:pPr>
      <w:r>
        <w:rPr>
          <w:rFonts w:hint="eastAsia"/>
          <w:color w:val="auto"/>
          <w:szCs w:val="21"/>
          <w:highlight w:val="none"/>
        </w:rPr>
        <w:t>（6）</w:t>
      </w:r>
      <w:r>
        <w:rPr>
          <w:rFonts w:hint="eastAsia"/>
          <w:color w:val="auto"/>
          <w:szCs w:val="21"/>
          <w:highlight w:val="none"/>
        </w:rPr>
        <w:tab/>
      </w:r>
      <w:r>
        <w:rPr>
          <w:rFonts w:hint="eastAsia"/>
          <w:color w:val="auto"/>
          <w:szCs w:val="21"/>
          <w:highlight w:val="none"/>
        </w:rPr>
        <w:t>提出质疑的日期。</w:t>
      </w:r>
    </w:p>
    <w:p w14:paraId="0B5DE3AA">
      <w:pPr>
        <w:spacing w:before="120" w:line="320" w:lineRule="atLeast"/>
        <w:ind w:firstLine="420" w:firstLineChars="200"/>
        <w:rPr>
          <w:color w:val="auto"/>
          <w:szCs w:val="21"/>
          <w:highlight w:val="none"/>
        </w:rPr>
      </w:pPr>
      <w:r>
        <w:rPr>
          <w:rFonts w:hint="eastAsia"/>
          <w:color w:val="auto"/>
          <w:szCs w:val="21"/>
          <w:highlight w:val="none"/>
        </w:rPr>
        <w:t>供应商为自然人的，应当由本人签字；供应商为法人或者其他组织的，应当由法定代表人、主要负责人，或者其授权代表签字或者盖章，并加盖公章。</w:t>
      </w:r>
      <w:r>
        <w:rPr>
          <w:color w:val="auto"/>
          <w:szCs w:val="21"/>
          <w:highlight w:val="none"/>
        </w:rPr>
        <w:t xml:space="preserve"> </w:t>
      </w:r>
    </w:p>
    <w:p w14:paraId="44A3AF27">
      <w:pPr>
        <w:spacing w:before="120" w:line="320" w:lineRule="atLeast"/>
        <w:ind w:firstLine="422" w:firstLineChars="200"/>
        <w:outlineLvl w:val="2"/>
        <w:rPr>
          <w:b/>
          <w:color w:val="auto"/>
          <w:kern w:val="0"/>
          <w:szCs w:val="21"/>
          <w:highlight w:val="none"/>
        </w:rPr>
      </w:pPr>
      <w:r>
        <w:rPr>
          <w:b/>
          <w:color w:val="auto"/>
          <w:kern w:val="0"/>
          <w:szCs w:val="21"/>
          <w:highlight w:val="none"/>
        </w:rPr>
        <w:t>8.2</w:t>
      </w:r>
      <w:r>
        <w:rPr>
          <w:rFonts w:hint="eastAsia"/>
          <w:b/>
          <w:color w:val="auto"/>
          <w:kern w:val="0"/>
          <w:szCs w:val="21"/>
          <w:highlight w:val="none"/>
        </w:rPr>
        <w:t>投诉</w:t>
      </w:r>
    </w:p>
    <w:p w14:paraId="0B3C0066">
      <w:pPr>
        <w:spacing w:before="120" w:line="320" w:lineRule="atLeast"/>
        <w:ind w:firstLine="420" w:firstLineChars="200"/>
        <w:rPr>
          <w:color w:val="auto"/>
          <w:szCs w:val="21"/>
          <w:highlight w:val="none"/>
        </w:rPr>
      </w:pPr>
      <w:r>
        <w:rPr>
          <w:color w:val="auto"/>
          <w:szCs w:val="21"/>
          <w:highlight w:val="none"/>
        </w:rPr>
        <w:t>8.2.1</w:t>
      </w:r>
      <w:r>
        <w:rPr>
          <w:rFonts w:hint="eastAsia"/>
          <w:color w:val="auto"/>
          <w:szCs w:val="21"/>
          <w:highlight w:val="none"/>
        </w:rPr>
        <w:t>供应商对采购人、采购代理机构的答复不满意，或者采购人、采购代理机构未在规定时间内答复的，可在答复期满后15个工作日内按有关规定，向同级财政部门投诉。</w:t>
      </w:r>
    </w:p>
    <w:p w14:paraId="60170EA8">
      <w:pPr>
        <w:spacing w:before="120" w:line="320" w:lineRule="atLeast"/>
        <w:ind w:firstLine="420" w:firstLineChars="200"/>
        <w:rPr>
          <w:color w:val="auto"/>
          <w:szCs w:val="21"/>
          <w:highlight w:val="none"/>
        </w:rPr>
      </w:pPr>
      <w:r>
        <w:rPr>
          <w:color w:val="auto"/>
          <w:szCs w:val="21"/>
          <w:highlight w:val="none"/>
        </w:rPr>
        <w:t>8.2.</w:t>
      </w:r>
      <w:r>
        <w:rPr>
          <w:rFonts w:hint="eastAsia"/>
          <w:color w:val="auto"/>
          <w:szCs w:val="21"/>
          <w:highlight w:val="none"/>
        </w:rPr>
        <w:t>2投诉书应使用财政部发布的政府采购供应投诉书范本，并应按照“投诉书制作说明”进行编写。</w:t>
      </w:r>
    </w:p>
    <w:p w14:paraId="06084176">
      <w:pPr>
        <w:spacing w:before="120" w:line="320" w:lineRule="atLeast"/>
        <w:ind w:left="2" w:leftChars="1" w:firstLine="422" w:firstLineChars="200"/>
        <w:outlineLvl w:val="1"/>
        <w:rPr>
          <w:b/>
          <w:color w:val="auto"/>
          <w:kern w:val="0"/>
          <w:szCs w:val="21"/>
          <w:highlight w:val="none"/>
        </w:rPr>
      </w:pPr>
      <w:r>
        <w:rPr>
          <w:b/>
          <w:color w:val="auto"/>
          <w:kern w:val="0"/>
          <w:szCs w:val="21"/>
          <w:highlight w:val="none"/>
        </w:rPr>
        <w:t>9</w:t>
      </w:r>
      <w:r>
        <w:rPr>
          <w:rFonts w:hint="eastAsia"/>
          <w:b/>
          <w:color w:val="auto"/>
          <w:kern w:val="0"/>
          <w:szCs w:val="21"/>
          <w:highlight w:val="none"/>
        </w:rPr>
        <w:t>．其他事项</w:t>
      </w:r>
    </w:p>
    <w:p w14:paraId="3DB6CB70">
      <w:pPr>
        <w:spacing w:before="120" w:line="320" w:lineRule="atLeast"/>
        <w:ind w:left="2" w:leftChars="1" w:firstLine="420" w:firstLineChars="200"/>
        <w:rPr>
          <w:color w:val="auto"/>
          <w:szCs w:val="21"/>
          <w:highlight w:val="none"/>
        </w:rPr>
      </w:pPr>
      <w:r>
        <w:rPr>
          <w:color w:val="auto"/>
          <w:szCs w:val="21"/>
          <w:highlight w:val="none"/>
        </w:rPr>
        <w:t>9.1</w:t>
      </w:r>
      <w:r>
        <w:rPr>
          <w:rFonts w:hint="eastAsia"/>
          <w:color w:val="auto"/>
          <w:szCs w:val="21"/>
          <w:highlight w:val="none"/>
        </w:rPr>
        <w:t>代理服务收费由采购代理机构向中标人收取。签订合同前，中标人应向采购代理机构一次付清代理服务费。</w:t>
      </w:r>
    </w:p>
    <w:p w14:paraId="3930940B">
      <w:pPr>
        <w:spacing w:before="120" w:line="320" w:lineRule="atLeast"/>
        <w:ind w:left="2" w:leftChars="1" w:firstLine="420" w:firstLineChars="200"/>
        <w:rPr>
          <w:color w:val="auto"/>
          <w:szCs w:val="21"/>
          <w:highlight w:val="none"/>
        </w:rPr>
      </w:pPr>
      <w:r>
        <w:rPr>
          <w:color w:val="auto"/>
          <w:szCs w:val="21"/>
          <w:highlight w:val="none"/>
        </w:rPr>
        <w:t>9.2</w:t>
      </w:r>
      <w:r>
        <w:rPr>
          <w:rFonts w:hint="eastAsia"/>
          <w:color w:val="auto"/>
          <w:szCs w:val="21"/>
          <w:highlight w:val="none"/>
        </w:rPr>
        <w:t>电子交易活动的中止。采购过程中出现以下情形，导致电子交易平台无法正常运行，或者无法保证电子交易的公平、公正和安全时，采购机构可中止电子交易活动：</w:t>
      </w:r>
    </w:p>
    <w:p w14:paraId="3A9908BD">
      <w:pPr>
        <w:spacing w:before="120" w:line="276" w:lineRule="auto"/>
        <w:ind w:firstLine="420" w:firstLineChars="200"/>
        <w:rPr>
          <w:color w:val="auto"/>
          <w:szCs w:val="21"/>
          <w:highlight w:val="none"/>
        </w:rPr>
      </w:pPr>
      <w:r>
        <w:rPr>
          <w:rFonts w:hint="eastAsia"/>
          <w:color w:val="auto"/>
          <w:szCs w:val="21"/>
          <w:highlight w:val="none"/>
        </w:rPr>
        <w:t xml:space="preserve">（1）电子交易平台发生故障而无法登录访问的； </w:t>
      </w:r>
    </w:p>
    <w:p w14:paraId="50C986FC">
      <w:pPr>
        <w:spacing w:before="120" w:line="276" w:lineRule="auto"/>
        <w:ind w:firstLine="420" w:firstLineChars="200"/>
        <w:rPr>
          <w:color w:val="auto"/>
          <w:szCs w:val="21"/>
          <w:highlight w:val="none"/>
        </w:rPr>
      </w:pPr>
      <w:r>
        <w:rPr>
          <w:rFonts w:hint="eastAsia"/>
          <w:color w:val="auto"/>
          <w:szCs w:val="21"/>
          <w:highlight w:val="none"/>
        </w:rPr>
        <w:t>（2）电子交易平台应用或数据库出现错误，不能进行正常操作的；</w:t>
      </w:r>
    </w:p>
    <w:p w14:paraId="7942CF8B">
      <w:pPr>
        <w:spacing w:before="120" w:line="276" w:lineRule="auto"/>
        <w:ind w:firstLine="420" w:firstLineChars="200"/>
        <w:rPr>
          <w:color w:val="auto"/>
          <w:szCs w:val="21"/>
          <w:highlight w:val="none"/>
        </w:rPr>
      </w:pPr>
      <w:r>
        <w:rPr>
          <w:rFonts w:hint="eastAsia"/>
          <w:color w:val="auto"/>
          <w:szCs w:val="21"/>
          <w:highlight w:val="none"/>
        </w:rPr>
        <w:t>（3）电子交易平台发现严重安全漏洞，有潜在泄密危险的；</w:t>
      </w:r>
    </w:p>
    <w:p w14:paraId="2971CBB6">
      <w:pPr>
        <w:spacing w:before="120" w:line="276" w:lineRule="auto"/>
        <w:ind w:firstLine="420" w:firstLineChars="200"/>
        <w:rPr>
          <w:color w:val="auto"/>
          <w:szCs w:val="21"/>
          <w:highlight w:val="none"/>
        </w:rPr>
      </w:pPr>
      <w:r>
        <w:rPr>
          <w:rFonts w:hint="eastAsia"/>
          <w:color w:val="auto"/>
          <w:szCs w:val="21"/>
          <w:highlight w:val="none"/>
        </w:rPr>
        <w:t xml:space="preserve">（4）病毒发作导致不能进行正常操作的； </w:t>
      </w:r>
    </w:p>
    <w:p w14:paraId="597EED57">
      <w:pPr>
        <w:spacing w:before="120" w:line="276" w:lineRule="auto"/>
        <w:ind w:firstLine="420" w:firstLineChars="200"/>
        <w:rPr>
          <w:color w:val="auto"/>
          <w:szCs w:val="21"/>
          <w:highlight w:val="none"/>
        </w:rPr>
      </w:pPr>
      <w:r>
        <w:rPr>
          <w:rFonts w:hint="eastAsia"/>
          <w:color w:val="auto"/>
          <w:szCs w:val="21"/>
          <w:highlight w:val="none"/>
        </w:rPr>
        <w:t>（</w:t>
      </w:r>
      <w:r>
        <w:rPr>
          <w:color w:val="auto"/>
          <w:szCs w:val="21"/>
          <w:highlight w:val="none"/>
        </w:rPr>
        <w:t>5</w:t>
      </w:r>
      <w:r>
        <w:rPr>
          <w:rFonts w:hint="eastAsia"/>
          <w:color w:val="auto"/>
          <w:szCs w:val="21"/>
          <w:highlight w:val="none"/>
        </w:rPr>
        <w:t>）其他无法保证电子交易的公平、公正和安全的情况。</w:t>
      </w:r>
    </w:p>
    <w:p w14:paraId="14F86022">
      <w:pPr>
        <w:tabs>
          <w:tab w:val="left" w:pos="4820"/>
        </w:tabs>
        <w:spacing w:before="120" w:line="360" w:lineRule="auto"/>
        <w:ind w:firstLine="420" w:firstLineChars="200"/>
        <w:rPr>
          <w:color w:val="auto"/>
          <w:szCs w:val="21"/>
          <w:highlight w:val="none"/>
        </w:rPr>
      </w:pPr>
      <w:r>
        <w:rPr>
          <w:rFonts w:hint="eastAsia"/>
          <w:color w:val="auto"/>
          <w:szCs w:val="21"/>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color w:val="auto"/>
          <w:szCs w:val="21"/>
          <w:highlight w:val="none"/>
        </w:rPr>
        <w:t xml:space="preserve"> </w:t>
      </w:r>
    </w:p>
    <w:p w14:paraId="644FB429">
      <w:pPr>
        <w:spacing w:before="120" w:line="320" w:lineRule="atLeast"/>
        <w:ind w:left="2" w:leftChars="1" w:firstLine="420" w:firstLineChars="200"/>
        <w:rPr>
          <w:color w:val="auto"/>
          <w:szCs w:val="21"/>
          <w:highlight w:val="none"/>
        </w:rPr>
      </w:pPr>
      <w:r>
        <w:rPr>
          <w:color w:val="auto"/>
          <w:szCs w:val="21"/>
          <w:highlight w:val="none"/>
        </w:rPr>
        <w:t>9.3</w:t>
      </w:r>
      <w:r>
        <w:rPr>
          <w:rFonts w:hint="eastAsia"/>
          <w:color w:val="auto"/>
          <w:szCs w:val="21"/>
          <w:highlight w:val="none"/>
        </w:rPr>
        <w:t>本项目的附件及图纸详见投标人须知前附表。</w:t>
      </w:r>
    </w:p>
    <w:p w14:paraId="091D4913">
      <w:pPr>
        <w:spacing w:before="120" w:line="320" w:lineRule="atLeast"/>
        <w:ind w:left="2" w:leftChars="1" w:firstLine="420" w:firstLineChars="200"/>
        <w:rPr>
          <w:color w:val="auto"/>
          <w:szCs w:val="21"/>
          <w:highlight w:val="none"/>
        </w:rPr>
      </w:pPr>
      <w:r>
        <w:rPr>
          <w:color w:val="auto"/>
          <w:szCs w:val="21"/>
          <w:highlight w:val="none"/>
        </w:rPr>
        <w:t>9.4</w:t>
      </w:r>
      <w:r>
        <w:rPr>
          <w:rFonts w:hint="eastAsia"/>
          <w:color w:val="auto"/>
          <w:szCs w:val="21"/>
          <w:highlight w:val="none"/>
        </w:rPr>
        <w:t>本项目的其他事项详见投标人须知前附表。</w:t>
      </w:r>
    </w:p>
    <w:p w14:paraId="4A36A0F0">
      <w:pPr>
        <w:spacing w:before="120" w:line="320" w:lineRule="atLeast"/>
        <w:ind w:left="2" w:leftChars="1" w:firstLine="422" w:firstLineChars="200"/>
        <w:outlineLvl w:val="1"/>
        <w:rPr>
          <w:b/>
          <w:color w:val="auto"/>
          <w:kern w:val="0"/>
          <w:szCs w:val="21"/>
          <w:highlight w:val="none"/>
        </w:rPr>
      </w:pPr>
      <w:r>
        <w:rPr>
          <w:b/>
          <w:color w:val="auto"/>
          <w:kern w:val="0"/>
          <w:szCs w:val="21"/>
          <w:highlight w:val="none"/>
        </w:rPr>
        <w:t>10</w:t>
      </w:r>
      <w:r>
        <w:rPr>
          <w:rFonts w:hint="eastAsia"/>
          <w:b/>
          <w:color w:val="auto"/>
          <w:kern w:val="0"/>
          <w:szCs w:val="21"/>
          <w:highlight w:val="none"/>
        </w:rPr>
        <w:t>．其他说明</w:t>
      </w:r>
    </w:p>
    <w:p w14:paraId="29DF9857">
      <w:pPr>
        <w:spacing w:before="120" w:line="320" w:lineRule="atLeast"/>
        <w:ind w:left="2" w:leftChars="1" w:firstLine="420" w:firstLineChars="200"/>
        <w:rPr>
          <w:color w:val="auto"/>
          <w:kern w:val="0"/>
          <w:szCs w:val="21"/>
          <w:highlight w:val="none"/>
        </w:rPr>
      </w:pPr>
      <w:r>
        <w:rPr>
          <w:rFonts w:hint="eastAsia"/>
          <w:color w:val="auto"/>
          <w:kern w:val="0"/>
          <w:szCs w:val="21"/>
          <w:highlight w:val="none"/>
        </w:rPr>
        <w:t>1</w:t>
      </w:r>
      <w:r>
        <w:rPr>
          <w:color w:val="auto"/>
          <w:kern w:val="0"/>
          <w:szCs w:val="21"/>
          <w:highlight w:val="none"/>
        </w:rPr>
        <w:t>0.1</w:t>
      </w:r>
      <w:r>
        <w:rPr>
          <w:rFonts w:hint="eastAsia"/>
          <w:color w:val="auto"/>
          <w:kern w:val="0"/>
          <w:szCs w:val="21"/>
          <w:highlight w:val="none"/>
        </w:rPr>
        <w:t>其余未尽事宜按《中华人民共和国政府采购法》、《中华人民共和国政府采购法实施条例》的相关规定执行。</w:t>
      </w:r>
    </w:p>
    <w:p w14:paraId="0F37C67D">
      <w:pPr>
        <w:spacing w:before="120" w:line="320" w:lineRule="atLeast"/>
        <w:ind w:left="2" w:leftChars="1" w:firstLine="420" w:firstLineChars="200"/>
        <w:outlineLvl w:val="1"/>
        <w:rPr>
          <w:color w:val="auto"/>
          <w:sz w:val="32"/>
          <w:szCs w:val="32"/>
          <w:highlight w:val="none"/>
        </w:rPr>
      </w:pPr>
      <w:r>
        <w:rPr>
          <w:color w:val="auto"/>
          <w:kern w:val="0"/>
          <w:szCs w:val="21"/>
          <w:highlight w:val="none"/>
        </w:rPr>
        <w:t>10.2</w:t>
      </w:r>
      <w:r>
        <w:rPr>
          <w:rFonts w:hint="eastAsia"/>
          <w:color w:val="auto"/>
          <w:highlight w:val="none"/>
        </w:rPr>
        <w:t>本招标文件是根据国家有关法律及有关政策、法规和参照国际惯例编制，解释权属采购代理机构。</w:t>
      </w:r>
      <w:bookmarkEnd w:id="33"/>
    </w:p>
    <w:p w14:paraId="0AFF5E3B">
      <w:pPr>
        <w:pStyle w:val="26"/>
        <w:snapToGrid w:val="0"/>
        <w:spacing w:before="120" w:after="120" w:line="320" w:lineRule="exact"/>
        <w:jc w:val="center"/>
        <w:outlineLvl w:val="0"/>
        <w:rPr>
          <w:rFonts w:ascii="Times New Roman" w:hAnsi="Times New Roman" w:cs="Times New Roman"/>
          <w:color w:val="auto"/>
          <w:sz w:val="32"/>
          <w:szCs w:val="32"/>
          <w:highlight w:val="none"/>
        </w:rPr>
      </w:pPr>
      <w:r>
        <w:rPr>
          <w:color w:val="auto"/>
          <w:highlight w:val="none"/>
        </w:rPr>
        <w:br w:type="page"/>
      </w:r>
      <w:bookmarkStart w:id="54" w:name="_Toc12934"/>
      <w:r>
        <w:rPr>
          <w:rFonts w:ascii="Times New Roman" w:hAnsi="Times New Roman" w:cs="Times New Roman"/>
          <w:color w:val="auto"/>
          <w:sz w:val="32"/>
          <w:szCs w:val="32"/>
          <w:highlight w:val="none"/>
        </w:rPr>
        <w:t>第四章  评审方法及标准</w:t>
      </w:r>
      <w:bookmarkEnd w:id="54"/>
    </w:p>
    <w:p w14:paraId="3DF97012">
      <w:pPr>
        <w:spacing w:before="120" w:line="320" w:lineRule="atLeast"/>
        <w:ind w:firstLine="413" w:firstLineChars="196"/>
        <w:outlineLvl w:val="1"/>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评审方法</w:t>
      </w:r>
    </w:p>
    <w:p w14:paraId="42656A0D">
      <w:pPr>
        <w:suppressAutoHyphens/>
        <w:spacing w:before="120" w:line="320" w:lineRule="atLeast"/>
        <w:ind w:firstLine="420" w:firstLineChars="200"/>
        <w:rPr>
          <w:color w:val="auto"/>
          <w:highlight w:val="none"/>
        </w:rPr>
      </w:pPr>
      <w:r>
        <w:rPr>
          <w:rFonts w:ascii="Wingdings 2" w:hAnsi="Wingdings 2"/>
          <w:color w:val="auto"/>
          <w:szCs w:val="21"/>
          <w:highlight w:val="none"/>
        </w:rPr>
        <w:sym w:font="Wingdings 2" w:char="F052"/>
      </w:r>
      <w:r>
        <w:rPr>
          <w:color w:val="auto"/>
          <w:highlight w:val="none"/>
        </w:rPr>
        <w:t>本项目采用综合评分法进行评审。</w:t>
      </w:r>
    </w:p>
    <w:p w14:paraId="6D6AD51F">
      <w:pPr>
        <w:suppressAutoHyphens/>
        <w:spacing w:before="120" w:line="320" w:lineRule="atLeast"/>
        <w:ind w:firstLine="420" w:firstLineChars="200"/>
        <w:rPr>
          <w:color w:val="auto"/>
          <w:highlight w:val="none"/>
        </w:rPr>
      </w:pPr>
      <w:r>
        <w:rPr>
          <w:color w:val="auto"/>
          <w:highlight w:val="none"/>
        </w:rPr>
        <w:t>综合评分法，是指投标文件满足招标文件全部实质性要求且按照评审因素的量化指标评审得分最高的</w:t>
      </w:r>
      <w:r>
        <w:rPr>
          <w:rFonts w:hint="eastAsia"/>
          <w:color w:val="auto"/>
          <w:highlight w:val="none"/>
        </w:rPr>
        <w:t>投标人</w:t>
      </w:r>
      <w:r>
        <w:rPr>
          <w:color w:val="auto"/>
          <w:highlight w:val="none"/>
        </w:rPr>
        <w:t>为中标候选人的评审方法。</w:t>
      </w:r>
    </w:p>
    <w:p w14:paraId="7338423B">
      <w:pPr>
        <w:suppressAutoHyphens/>
        <w:spacing w:before="120" w:line="320" w:lineRule="atLeast"/>
        <w:ind w:firstLine="420" w:firstLineChars="200"/>
        <w:rPr>
          <w:color w:val="auto"/>
          <w:highlight w:val="none"/>
        </w:rPr>
      </w:pPr>
      <w:r>
        <w:rPr>
          <w:rFonts w:hint="eastAsia" w:hAnsi="宋体"/>
          <w:color w:val="auto"/>
          <w:highlight w:val="none"/>
        </w:rPr>
        <w:t>□</w:t>
      </w:r>
      <w:r>
        <w:rPr>
          <w:color w:val="auto"/>
          <w:highlight w:val="none"/>
        </w:rPr>
        <w:t>本项目采用</w:t>
      </w:r>
      <w:r>
        <w:rPr>
          <w:rFonts w:hint="eastAsia"/>
          <w:color w:val="auto"/>
          <w:highlight w:val="none"/>
        </w:rPr>
        <w:t>最低评标价</w:t>
      </w:r>
      <w:r>
        <w:rPr>
          <w:color w:val="auto"/>
          <w:highlight w:val="none"/>
        </w:rPr>
        <w:t>法进行评审。</w:t>
      </w:r>
    </w:p>
    <w:p w14:paraId="743A51B5">
      <w:pPr>
        <w:suppressAutoHyphens/>
        <w:spacing w:before="120" w:line="320" w:lineRule="atLeast"/>
        <w:ind w:firstLine="420" w:firstLineChars="200"/>
        <w:rPr>
          <w:color w:val="auto"/>
          <w:highlight w:val="none"/>
        </w:rPr>
      </w:pPr>
      <w:r>
        <w:rPr>
          <w:rFonts w:hint="eastAsia"/>
          <w:color w:val="auto"/>
          <w:highlight w:val="none"/>
        </w:rPr>
        <w:t>最低评标价法，是指投标文件满足招标文件全部实质性要求且投标报价最低的投标人为中标候选人的评标方法。</w:t>
      </w:r>
    </w:p>
    <w:p w14:paraId="2E661615">
      <w:pPr>
        <w:suppressAutoHyphens/>
        <w:spacing w:before="120" w:line="320" w:lineRule="atLeast"/>
        <w:ind w:firstLine="420" w:firstLineChars="200"/>
        <w:rPr>
          <w:color w:val="auto"/>
          <w:highlight w:val="none"/>
        </w:rPr>
      </w:pPr>
      <w:r>
        <w:rPr>
          <w:rFonts w:hint="eastAsia"/>
          <w:color w:val="auto"/>
          <w:highlight w:val="none"/>
        </w:rPr>
        <w:t>本项目评审的其他详细规定在第三章投标人须知中规定。</w:t>
      </w:r>
    </w:p>
    <w:p w14:paraId="2D598954">
      <w:pPr>
        <w:spacing w:before="120" w:line="320" w:lineRule="atLeast"/>
        <w:ind w:firstLine="413" w:firstLineChars="196"/>
        <w:outlineLvl w:val="1"/>
        <w:rPr>
          <w:b/>
          <w:color w:val="auto"/>
          <w:kern w:val="0"/>
          <w:szCs w:val="21"/>
          <w:highlight w:val="none"/>
        </w:rPr>
      </w:pPr>
      <w:r>
        <w:rPr>
          <w:b/>
          <w:color w:val="auto"/>
          <w:kern w:val="0"/>
          <w:szCs w:val="21"/>
          <w:highlight w:val="none"/>
        </w:rPr>
        <w:t>2</w:t>
      </w:r>
      <w:r>
        <w:rPr>
          <w:rFonts w:hint="eastAsia"/>
          <w:b/>
          <w:color w:val="auto"/>
          <w:kern w:val="0"/>
          <w:szCs w:val="21"/>
          <w:highlight w:val="none"/>
        </w:rPr>
        <w:t>.资格审查标准</w:t>
      </w:r>
      <w:r>
        <w:rPr>
          <w:rFonts w:hint="eastAsia"/>
          <w:b/>
          <w:bCs/>
          <w:color w:val="auto"/>
          <w:kern w:val="0"/>
          <w:szCs w:val="21"/>
          <w:highlight w:val="none"/>
        </w:rPr>
        <w:t>（不满足任何一项审查内容要求，资格审查即为不合格；</w:t>
      </w:r>
      <w:bookmarkStart w:id="55" w:name="_Hlk160525103"/>
      <w:r>
        <w:rPr>
          <w:rFonts w:hint="eastAsia"/>
          <w:b/>
          <w:bCs/>
          <w:color w:val="auto"/>
          <w:kern w:val="0"/>
          <w:szCs w:val="21"/>
          <w:highlight w:val="none"/>
        </w:rPr>
        <w:t>联合体投标的，联合体各方均应提交第一项基本资格要求的资格证明文件）</w:t>
      </w:r>
      <w:bookmarkEnd w:id="55"/>
    </w:p>
    <w:tbl>
      <w:tblPr>
        <w:tblStyle w:val="51"/>
        <w:tblW w:w="893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45AD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46" w:type="dxa"/>
            <w:vAlign w:val="center"/>
          </w:tcPr>
          <w:p w14:paraId="575362B2">
            <w:pPr>
              <w:spacing w:line="240" w:lineRule="exact"/>
              <w:jc w:val="center"/>
              <w:rPr>
                <w:b/>
                <w:color w:val="auto"/>
                <w:kern w:val="0"/>
                <w:szCs w:val="21"/>
                <w:highlight w:val="none"/>
              </w:rPr>
            </w:pPr>
            <w:r>
              <w:rPr>
                <w:rFonts w:hint="eastAsia"/>
                <w:b/>
                <w:color w:val="auto"/>
                <w:kern w:val="0"/>
                <w:szCs w:val="21"/>
                <w:highlight w:val="none"/>
              </w:rPr>
              <w:t>审查</w:t>
            </w:r>
            <w:r>
              <w:rPr>
                <w:b/>
                <w:color w:val="auto"/>
                <w:kern w:val="0"/>
                <w:szCs w:val="21"/>
                <w:highlight w:val="none"/>
              </w:rPr>
              <w:t>因素</w:t>
            </w:r>
          </w:p>
        </w:tc>
        <w:tc>
          <w:tcPr>
            <w:tcW w:w="1843" w:type="dxa"/>
            <w:vAlign w:val="center"/>
          </w:tcPr>
          <w:p w14:paraId="0951A528">
            <w:pPr>
              <w:spacing w:line="240" w:lineRule="exact"/>
              <w:jc w:val="center"/>
              <w:rPr>
                <w:b/>
                <w:color w:val="auto"/>
                <w:kern w:val="0"/>
                <w:szCs w:val="21"/>
                <w:highlight w:val="none"/>
              </w:rPr>
            </w:pPr>
            <w:r>
              <w:rPr>
                <w:rFonts w:hint="eastAsia"/>
                <w:b/>
                <w:color w:val="auto"/>
                <w:kern w:val="0"/>
                <w:szCs w:val="21"/>
                <w:highlight w:val="none"/>
              </w:rPr>
              <w:t>审查</w:t>
            </w:r>
            <w:r>
              <w:rPr>
                <w:b/>
                <w:color w:val="auto"/>
                <w:kern w:val="0"/>
                <w:szCs w:val="21"/>
                <w:highlight w:val="none"/>
              </w:rPr>
              <w:t>内容</w:t>
            </w:r>
          </w:p>
        </w:tc>
        <w:tc>
          <w:tcPr>
            <w:tcW w:w="6242" w:type="dxa"/>
            <w:vAlign w:val="center"/>
          </w:tcPr>
          <w:p w14:paraId="3799581E">
            <w:pPr>
              <w:spacing w:line="240" w:lineRule="exact"/>
              <w:jc w:val="center"/>
              <w:rPr>
                <w:b/>
                <w:color w:val="auto"/>
                <w:kern w:val="0"/>
                <w:szCs w:val="21"/>
                <w:highlight w:val="none"/>
              </w:rPr>
            </w:pPr>
            <w:r>
              <w:rPr>
                <w:rFonts w:hint="eastAsia"/>
                <w:b/>
                <w:color w:val="auto"/>
                <w:kern w:val="0"/>
                <w:szCs w:val="21"/>
                <w:highlight w:val="none"/>
              </w:rPr>
              <w:t>说明</w:t>
            </w:r>
          </w:p>
        </w:tc>
      </w:tr>
      <w:tr w14:paraId="470C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7" w:hRule="atLeast"/>
        </w:trPr>
        <w:tc>
          <w:tcPr>
            <w:tcW w:w="846" w:type="dxa"/>
            <w:vMerge w:val="restart"/>
            <w:vAlign w:val="center"/>
          </w:tcPr>
          <w:p w14:paraId="48D985DA">
            <w:pPr>
              <w:spacing w:line="240" w:lineRule="exact"/>
              <w:rPr>
                <w:color w:val="auto"/>
                <w:szCs w:val="21"/>
                <w:highlight w:val="none"/>
                <w:lang w:val="zh-CN"/>
              </w:rPr>
            </w:pPr>
            <w:r>
              <w:rPr>
                <w:rFonts w:hint="eastAsia"/>
                <w:color w:val="auto"/>
                <w:szCs w:val="21"/>
                <w:highlight w:val="none"/>
                <w:lang w:val="zh-CN"/>
              </w:rPr>
              <w:t>投标人</w:t>
            </w:r>
            <w:r>
              <w:rPr>
                <w:color w:val="auto"/>
                <w:szCs w:val="21"/>
                <w:highlight w:val="none"/>
                <w:lang w:val="zh-CN"/>
              </w:rPr>
              <w:t>应</w:t>
            </w:r>
            <w:r>
              <w:rPr>
                <w:rFonts w:hint="eastAsia"/>
                <w:color w:val="auto"/>
                <w:szCs w:val="21"/>
                <w:highlight w:val="none"/>
                <w:lang w:val="zh-CN"/>
              </w:rPr>
              <w:t>符合基本</w:t>
            </w:r>
            <w:r>
              <w:rPr>
                <w:color w:val="auto"/>
                <w:szCs w:val="21"/>
                <w:highlight w:val="none"/>
              </w:rPr>
              <w:t>资格</w:t>
            </w:r>
            <w:r>
              <w:rPr>
                <w:rFonts w:hint="eastAsia"/>
                <w:color w:val="auto"/>
                <w:szCs w:val="21"/>
                <w:highlight w:val="none"/>
              </w:rPr>
              <w:t>要求</w:t>
            </w:r>
          </w:p>
        </w:tc>
        <w:tc>
          <w:tcPr>
            <w:tcW w:w="1843" w:type="dxa"/>
            <w:vAlign w:val="center"/>
          </w:tcPr>
          <w:p w14:paraId="2C82A4C7">
            <w:pPr>
              <w:spacing w:line="240" w:lineRule="exact"/>
              <w:jc w:val="left"/>
              <w:rPr>
                <w:color w:val="auto"/>
                <w:szCs w:val="21"/>
                <w:highlight w:val="none"/>
              </w:rPr>
            </w:pPr>
            <w:r>
              <w:rPr>
                <w:color w:val="auto"/>
                <w:szCs w:val="21"/>
                <w:highlight w:val="none"/>
              </w:rPr>
              <w:t>（1）具有独立承担民事责任的能力</w:t>
            </w:r>
          </w:p>
        </w:tc>
        <w:tc>
          <w:tcPr>
            <w:tcW w:w="6242" w:type="dxa"/>
          </w:tcPr>
          <w:p w14:paraId="23355D08">
            <w:pPr>
              <w:spacing w:line="240" w:lineRule="exact"/>
              <w:jc w:val="left"/>
              <w:rPr>
                <w:color w:val="auto"/>
                <w:szCs w:val="21"/>
                <w:highlight w:val="none"/>
              </w:rPr>
            </w:pPr>
            <w:r>
              <w:rPr>
                <w:rFonts w:hint="eastAsia"/>
                <w:color w:val="auto"/>
                <w:szCs w:val="21"/>
                <w:highlight w:val="none"/>
              </w:rPr>
              <w:t>审查供应商为法人或者其他组织的，提供营业执照等证明文件（如营业执照或者事业单位法人证书或者执业许可证等），供应商为自然人的，提供身份证复印件</w:t>
            </w:r>
          </w:p>
        </w:tc>
      </w:tr>
      <w:tr w14:paraId="21FC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2EB38979">
            <w:pPr>
              <w:spacing w:line="240" w:lineRule="exact"/>
              <w:rPr>
                <w:color w:val="auto"/>
                <w:szCs w:val="21"/>
                <w:highlight w:val="none"/>
                <w:lang w:val="zh-CN"/>
              </w:rPr>
            </w:pPr>
          </w:p>
        </w:tc>
        <w:tc>
          <w:tcPr>
            <w:tcW w:w="1843" w:type="dxa"/>
            <w:vAlign w:val="center"/>
          </w:tcPr>
          <w:p w14:paraId="6CCBA27E">
            <w:pPr>
              <w:spacing w:line="240" w:lineRule="exact"/>
              <w:jc w:val="left"/>
              <w:rPr>
                <w:color w:val="auto"/>
                <w:szCs w:val="21"/>
                <w:highlight w:val="none"/>
              </w:rPr>
            </w:pPr>
            <w:r>
              <w:rPr>
                <w:color w:val="auto"/>
                <w:szCs w:val="21"/>
                <w:highlight w:val="none"/>
                <w:lang w:val="zh-CN"/>
              </w:rPr>
              <w:t>（2）</w:t>
            </w:r>
            <w:r>
              <w:rPr>
                <w:color w:val="auto"/>
                <w:szCs w:val="21"/>
                <w:highlight w:val="none"/>
              </w:rPr>
              <w:t>具有良好的商业信誉和健全的财务会计制度</w:t>
            </w:r>
          </w:p>
        </w:tc>
        <w:tc>
          <w:tcPr>
            <w:tcW w:w="6242" w:type="dxa"/>
          </w:tcPr>
          <w:p w14:paraId="0EC9803E">
            <w:pPr>
              <w:spacing w:line="240" w:lineRule="exact"/>
              <w:jc w:val="left"/>
              <w:rPr>
                <w:color w:val="auto"/>
                <w:szCs w:val="21"/>
                <w:highlight w:val="none"/>
              </w:rPr>
            </w:pPr>
            <w:r>
              <w:rPr>
                <w:rFonts w:hint="eastAsia" w:ascii="宋体" w:hAnsi="宋体" w:cs="宋体"/>
                <w:color w:val="auto"/>
                <w:szCs w:val="21"/>
                <w:highlight w:val="none"/>
              </w:rPr>
              <w:t>①</w:t>
            </w:r>
            <w:r>
              <w:rPr>
                <w:color w:val="auto"/>
                <w:szCs w:val="21"/>
                <w:highlight w:val="none"/>
              </w:rPr>
              <w:t>审查商业信誉声明。须提供，格式见第六章投标文件格式“投标声明书”。</w:t>
            </w:r>
          </w:p>
          <w:p w14:paraId="33CE03E9">
            <w:pPr>
              <w:spacing w:line="240" w:lineRule="exact"/>
              <w:jc w:val="left"/>
              <w:rPr>
                <w:color w:val="auto"/>
                <w:szCs w:val="21"/>
                <w:highlight w:val="none"/>
              </w:rPr>
            </w:pPr>
            <w:r>
              <w:rPr>
                <w:rFonts w:hint="eastAsia" w:ascii="宋体" w:hAnsi="宋体" w:cs="宋体"/>
                <w:color w:val="auto"/>
                <w:szCs w:val="21"/>
                <w:highlight w:val="none"/>
              </w:rPr>
              <w:t>②</w:t>
            </w:r>
            <w:r>
              <w:rPr>
                <w:color w:val="auto"/>
                <w:szCs w:val="21"/>
                <w:highlight w:val="none"/>
              </w:rPr>
              <w:t>审查</w:t>
            </w:r>
            <w:r>
              <w:rPr>
                <w:rFonts w:hint="eastAsia"/>
                <w:color w:val="auto"/>
                <w:szCs w:val="21"/>
                <w:highlight w:val="none"/>
              </w:rPr>
              <w:t>2025年度</w:t>
            </w:r>
            <w:r>
              <w:rPr>
                <w:color w:val="auto"/>
                <w:szCs w:val="21"/>
                <w:highlight w:val="none"/>
              </w:rPr>
              <w:t>财务状况报告（表）复印件或银行出具的资信证明复印件，</w:t>
            </w:r>
            <w:r>
              <w:rPr>
                <w:color w:val="auto"/>
                <w:highlight w:val="none"/>
              </w:rPr>
              <w:t>对于从取得营业执照时间起到投标文件递交截止时间为止不足1年的供应商，只需提交</w:t>
            </w:r>
            <w:r>
              <w:rPr>
                <w:color w:val="auto"/>
                <w:szCs w:val="21"/>
                <w:highlight w:val="none"/>
              </w:rPr>
              <w:t>投标文件递交截止时间前一个月的财务状况报告（表）复印件。</w:t>
            </w:r>
          </w:p>
        </w:tc>
      </w:tr>
      <w:tr w14:paraId="38F7B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28B84A5A">
            <w:pPr>
              <w:spacing w:line="240" w:lineRule="exact"/>
              <w:rPr>
                <w:color w:val="auto"/>
                <w:szCs w:val="21"/>
                <w:highlight w:val="none"/>
                <w:lang w:val="zh-CN"/>
              </w:rPr>
            </w:pPr>
          </w:p>
        </w:tc>
        <w:tc>
          <w:tcPr>
            <w:tcW w:w="1843" w:type="dxa"/>
            <w:vAlign w:val="center"/>
          </w:tcPr>
          <w:p w14:paraId="1B3A67FE">
            <w:pPr>
              <w:spacing w:line="240" w:lineRule="exact"/>
              <w:jc w:val="left"/>
              <w:rPr>
                <w:color w:val="auto"/>
                <w:szCs w:val="21"/>
                <w:highlight w:val="none"/>
              </w:rPr>
            </w:pPr>
            <w:r>
              <w:rPr>
                <w:color w:val="auto"/>
                <w:szCs w:val="21"/>
                <w:highlight w:val="none"/>
                <w:lang w:val="zh-CN"/>
              </w:rPr>
              <w:t>（3）具有履行合同所必需的设备和专业技术能力</w:t>
            </w:r>
          </w:p>
        </w:tc>
        <w:tc>
          <w:tcPr>
            <w:tcW w:w="6242" w:type="dxa"/>
          </w:tcPr>
          <w:p w14:paraId="52CE9EAC">
            <w:pPr>
              <w:spacing w:line="240" w:lineRule="exact"/>
              <w:jc w:val="left"/>
              <w:rPr>
                <w:color w:val="auto"/>
                <w:szCs w:val="21"/>
                <w:highlight w:val="none"/>
              </w:rPr>
            </w:pPr>
            <w:r>
              <w:rPr>
                <w:rFonts w:hint="eastAsia" w:ascii="宋体" w:hAnsi="宋体" w:cs="宋体"/>
                <w:color w:val="auto"/>
                <w:szCs w:val="21"/>
                <w:highlight w:val="none"/>
              </w:rPr>
              <w:t>①</w:t>
            </w:r>
            <w:r>
              <w:rPr>
                <w:color w:val="auto"/>
                <w:szCs w:val="21"/>
                <w:highlight w:val="none"/>
              </w:rPr>
              <w:t xml:space="preserve">审查供应商营业执照，须有效； </w:t>
            </w:r>
          </w:p>
          <w:p w14:paraId="0D5CAAEF">
            <w:pPr>
              <w:spacing w:line="240" w:lineRule="exact"/>
              <w:jc w:val="left"/>
              <w:rPr>
                <w:color w:val="auto"/>
                <w:szCs w:val="21"/>
                <w:highlight w:val="none"/>
              </w:rPr>
            </w:pPr>
            <w:r>
              <w:rPr>
                <w:rFonts w:hint="eastAsia" w:ascii="宋体" w:hAnsi="宋体" w:cs="宋体"/>
                <w:color w:val="auto"/>
                <w:szCs w:val="21"/>
                <w:highlight w:val="none"/>
              </w:rPr>
              <w:t>②</w:t>
            </w:r>
            <w:r>
              <w:rPr>
                <w:color w:val="auto"/>
                <w:szCs w:val="21"/>
                <w:highlight w:val="none"/>
              </w:rPr>
              <w:t>审查书面声明。须提供，格式见第六章投标文件格式“</w:t>
            </w:r>
            <w:r>
              <w:rPr>
                <w:color w:val="auto"/>
                <w:highlight w:val="none"/>
              </w:rPr>
              <w:t>投标声明书</w:t>
            </w:r>
            <w:r>
              <w:rPr>
                <w:color w:val="auto"/>
                <w:szCs w:val="21"/>
                <w:highlight w:val="none"/>
              </w:rPr>
              <w:t>”。</w:t>
            </w:r>
          </w:p>
          <w:p w14:paraId="305533D5">
            <w:pPr>
              <w:spacing w:line="240" w:lineRule="exact"/>
              <w:jc w:val="left"/>
              <w:rPr>
                <w:color w:val="auto"/>
                <w:szCs w:val="21"/>
                <w:highlight w:val="none"/>
              </w:rPr>
            </w:pPr>
            <w:r>
              <w:rPr>
                <w:color w:val="auto"/>
                <w:szCs w:val="21"/>
                <w:highlight w:val="none"/>
              </w:rPr>
              <w:t>审查</w:t>
            </w:r>
            <w:r>
              <w:rPr>
                <w:rFonts w:hint="eastAsia" w:ascii="宋体" w:hAnsi="宋体" w:cs="宋体"/>
                <w:color w:val="auto"/>
                <w:szCs w:val="21"/>
                <w:highlight w:val="none"/>
              </w:rPr>
              <w:t>①</w:t>
            </w:r>
            <w:r>
              <w:rPr>
                <w:color w:val="auto"/>
                <w:szCs w:val="21"/>
                <w:highlight w:val="none"/>
              </w:rPr>
              <w:t>或</w:t>
            </w:r>
            <w:r>
              <w:rPr>
                <w:rFonts w:hint="eastAsia" w:ascii="宋体" w:hAnsi="宋体" w:cs="宋体"/>
                <w:color w:val="auto"/>
                <w:szCs w:val="21"/>
                <w:highlight w:val="none"/>
              </w:rPr>
              <w:t>②</w:t>
            </w:r>
            <w:r>
              <w:rPr>
                <w:color w:val="auto"/>
                <w:szCs w:val="21"/>
                <w:highlight w:val="none"/>
              </w:rPr>
              <w:t>，满足其一，即为符合要求。</w:t>
            </w:r>
          </w:p>
        </w:tc>
      </w:tr>
      <w:tr w14:paraId="3871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2F2081C6">
            <w:pPr>
              <w:spacing w:line="240" w:lineRule="exact"/>
              <w:rPr>
                <w:color w:val="auto"/>
                <w:szCs w:val="21"/>
                <w:highlight w:val="none"/>
                <w:lang w:val="zh-CN"/>
              </w:rPr>
            </w:pPr>
          </w:p>
        </w:tc>
        <w:tc>
          <w:tcPr>
            <w:tcW w:w="1843" w:type="dxa"/>
            <w:vAlign w:val="center"/>
          </w:tcPr>
          <w:p w14:paraId="14261F23">
            <w:pPr>
              <w:spacing w:line="240" w:lineRule="exact"/>
              <w:jc w:val="left"/>
              <w:rPr>
                <w:color w:val="auto"/>
                <w:szCs w:val="21"/>
                <w:highlight w:val="none"/>
              </w:rPr>
            </w:pPr>
            <w:r>
              <w:rPr>
                <w:color w:val="auto"/>
                <w:szCs w:val="21"/>
                <w:highlight w:val="none"/>
                <w:lang w:val="zh-CN"/>
              </w:rPr>
              <w:t>（4）有依法缴纳税收和社会保障金的良好记录</w:t>
            </w:r>
          </w:p>
        </w:tc>
        <w:tc>
          <w:tcPr>
            <w:tcW w:w="6242" w:type="dxa"/>
          </w:tcPr>
          <w:p w14:paraId="68F71451">
            <w:pPr>
              <w:spacing w:line="240" w:lineRule="exact"/>
              <w:jc w:val="left"/>
              <w:rPr>
                <w:color w:val="auto"/>
                <w:szCs w:val="21"/>
                <w:highlight w:val="none"/>
              </w:rPr>
            </w:pPr>
            <w:r>
              <w:rPr>
                <w:rFonts w:hint="eastAsia" w:ascii="宋体" w:hAnsi="宋体" w:cs="宋体"/>
                <w:color w:val="auto"/>
                <w:szCs w:val="21"/>
                <w:highlight w:val="none"/>
              </w:rPr>
              <w:t>①</w:t>
            </w:r>
            <w:r>
              <w:rPr>
                <w:color w:val="auto"/>
                <w:szCs w:val="21"/>
                <w:highlight w:val="none"/>
              </w:rPr>
              <w:t>审查投标截止时间前6个月内，</w:t>
            </w:r>
            <w:r>
              <w:rPr>
                <w:rFonts w:hint="eastAsia"/>
                <w:color w:val="auto"/>
                <w:highlight w:val="none"/>
              </w:rPr>
              <w:t>供应商</w:t>
            </w:r>
            <w:r>
              <w:rPr>
                <w:color w:val="auto"/>
                <w:highlight w:val="none"/>
              </w:rPr>
              <w:t>任意</w:t>
            </w:r>
            <w:r>
              <w:rPr>
                <w:rFonts w:hint="eastAsia"/>
                <w:color w:val="auto"/>
                <w:highlight w:val="none"/>
              </w:rPr>
              <w:t>1个月</w:t>
            </w:r>
            <w:r>
              <w:rPr>
                <w:color w:val="auto"/>
                <w:szCs w:val="21"/>
                <w:highlight w:val="none"/>
              </w:rPr>
              <w:t>依法缴纳税费证明复印件加盖供应商</w:t>
            </w:r>
            <w:r>
              <w:rPr>
                <w:rFonts w:hint="eastAsia"/>
                <w:color w:val="auto"/>
                <w:szCs w:val="21"/>
                <w:highlight w:val="none"/>
              </w:rPr>
              <w:t>电子签章</w:t>
            </w:r>
            <w:r>
              <w:rPr>
                <w:color w:val="auto"/>
                <w:szCs w:val="21"/>
                <w:highlight w:val="none"/>
              </w:rPr>
              <w:t>。</w:t>
            </w:r>
          </w:p>
          <w:p w14:paraId="0A0D619D">
            <w:pPr>
              <w:spacing w:line="240" w:lineRule="exact"/>
              <w:jc w:val="left"/>
              <w:rPr>
                <w:color w:val="auto"/>
                <w:szCs w:val="21"/>
                <w:highlight w:val="none"/>
              </w:rPr>
            </w:pPr>
            <w:r>
              <w:rPr>
                <w:rFonts w:hint="eastAsia" w:ascii="宋体" w:hAnsi="宋体" w:cs="宋体"/>
                <w:color w:val="auto"/>
                <w:szCs w:val="21"/>
                <w:highlight w:val="none"/>
              </w:rPr>
              <w:t>②</w:t>
            </w:r>
            <w:r>
              <w:rPr>
                <w:color w:val="auto"/>
                <w:szCs w:val="21"/>
                <w:highlight w:val="none"/>
              </w:rPr>
              <w:t>审查投标截止时间前6个月内，</w:t>
            </w:r>
            <w:r>
              <w:rPr>
                <w:rFonts w:hint="eastAsia"/>
                <w:color w:val="auto"/>
                <w:highlight w:val="none"/>
              </w:rPr>
              <w:t>供应商</w:t>
            </w:r>
            <w:r>
              <w:rPr>
                <w:color w:val="auto"/>
                <w:highlight w:val="none"/>
              </w:rPr>
              <w:t>任意</w:t>
            </w:r>
            <w:r>
              <w:rPr>
                <w:rFonts w:hint="eastAsia"/>
                <w:color w:val="auto"/>
                <w:highlight w:val="none"/>
              </w:rPr>
              <w:t>1个月</w:t>
            </w:r>
            <w:r>
              <w:rPr>
                <w:color w:val="auto"/>
                <w:szCs w:val="21"/>
                <w:highlight w:val="none"/>
              </w:rPr>
              <w:t>的社保缴费证明记录复印件加盖供应商</w:t>
            </w:r>
            <w:r>
              <w:rPr>
                <w:rFonts w:hint="eastAsia"/>
                <w:color w:val="auto"/>
                <w:szCs w:val="21"/>
                <w:highlight w:val="none"/>
              </w:rPr>
              <w:t>电子签章</w:t>
            </w:r>
            <w:r>
              <w:rPr>
                <w:color w:val="auto"/>
                <w:szCs w:val="21"/>
                <w:highlight w:val="none"/>
              </w:rPr>
              <w:t>。</w:t>
            </w:r>
          </w:p>
          <w:p w14:paraId="2A971938">
            <w:pPr>
              <w:spacing w:line="240" w:lineRule="exact"/>
              <w:jc w:val="left"/>
              <w:rPr>
                <w:color w:val="auto"/>
                <w:szCs w:val="21"/>
                <w:highlight w:val="none"/>
              </w:rPr>
            </w:pPr>
            <w:r>
              <w:rPr>
                <w:color w:val="auto"/>
                <w:szCs w:val="21"/>
                <w:highlight w:val="none"/>
              </w:rPr>
              <w:t>供应商成立不足</w:t>
            </w:r>
            <w:r>
              <w:rPr>
                <w:rFonts w:hint="eastAsia"/>
                <w:color w:val="auto"/>
                <w:szCs w:val="21"/>
                <w:highlight w:val="none"/>
              </w:rPr>
              <w:t>1个月的，无须提供</w:t>
            </w:r>
            <w:r>
              <w:rPr>
                <w:color w:val="auto"/>
                <w:szCs w:val="21"/>
                <w:highlight w:val="none"/>
              </w:rPr>
              <w:t>缴纳税费证明及社保缴费证明加盖供应商电子签章</w:t>
            </w:r>
            <w:r>
              <w:rPr>
                <w:rFonts w:hint="eastAsia"/>
                <w:color w:val="auto"/>
                <w:szCs w:val="21"/>
                <w:highlight w:val="none"/>
              </w:rPr>
              <w:t>。</w:t>
            </w:r>
          </w:p>
          <w:p w14:paraId="5D407FBF">
            <w:pPr>
              <w:spacing w:line="240" w:lineRule="exact"/>
              <w:jc w:val="left"/>
              <w:rPr>
                <w:color w:val="auto"/>
                <w:szCs w:val="21"/>
                <w:highlight w:val="none"/>
              </w:rPr>
            </w:pPr>
            <w:r>
              <w:rPr>
                <w:color w:val="auto"/>
                <w:szCs w:val="21"/>
                <w:highlight w:val="none"/>
              </w:rPr>
              <w:t>依法免税或不需要缴纳社会保障资金的供应商，须提供相应文件证明其依法免税或不需要缴纳社会保障资金。</w:t>
            </w:r>
          </w:p>
        </w:tc>
      </w:tr>
      <w:tr w14:paraId="031F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6B46A8BA">
            <w:pPr>
              <w:spacing w:line="240" w:lineRule="exact"/>
              <w:rPr>
                <w:color w:val="auto"/>
                <w:szCs w:val="21"/>
                <w:highlight w:val="none"/>
                <w:lang w:val="zh-CN"/>
              </w:rPr>
            </w:pPr>
          </w:p>
        </w:tc>
        <w:tc>
          <w:tcPr>
            <w:tcW w:w="1843" w:type="dxa"/>
            <w:vAlign w:val="center"/>
          </w:tcPr>
          <w:p w14:paraId="123FC4B3">
            <w:pPr>
              <w:spacing w:line="240" w:lineRule="exact"/>
              <w:jc w:val="left"/>
              <w:rPr>
                <w:color w:val="auto"/>
                <w:szCs w:val="21"/>
                <w:highlight w:val="none"/>
              </w:rPr>
            </w:pPr>
            <w:r>
              <w:rPr>
                <w:color w:val="auto"/>
                <w:szCs w:val="21"/>
                <w:highlight w:val="none"/>
              </w:rPr>
              <w:t>（5）参加政府采购活动前三年内，在经营活动中没有重大违法记录</w:t>
            </w:r>
            <w:r>
              <w:rPr>
                <w:rFonts w:hint="eastAsia"/>
                <w:color w:val="auto"/>
                <w:szCs w:val="21"/>
                <w:highlight w:val="none"/>
              </w:rPr>
              <w:t>。</w:t>
            </w:r>
          </w:p>
        </w:tc>
        <w:tc>
          <w:tcPr>
            <w:tcW w:w="6242" w:type="dxa"/>
            <w:vAlign w:val="center"/>
          </w:tcPr>
          <w:p w14:paraId="10336DAB">
            <w:pPr>
              <w:spacing w:line="240" w:lineRule="exact"/>
              <w:jc w:val="left"/>
              <w:rPr>
                <w:color w:val="auto"/>
                <w:szCs w:val="21"/>
                <w:highlight w:val="none"/>
              </w:rPr>
            </w:pPr>
            <w:r>
              <w:rPr>
                <w:color w:val="auto"/>
                <w:szCs w:val="21"/>
                <w:highlight w:val="none"/>
              </w:rPr>
              <w:t xml:space="preserve">审查无重大违法记录声明。须提供，格式见第六章投标文件格式“投标声明书”。 </w:t>
            </w:r>
          </w:p>
        </w:tc>
      </w:tr>
      <w:tr w14:paraId="7951E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0A2DE616">
            <w:pPr>
              <w:spacing w:line="240" w:lineRule="exact"/>
              <w:rPr>
                <w:color w:val="auto"/>
                <w:szCs w:val="21"/>
                <w:highlight w:val="none"/>
                <w:lang w:val="zh-CN"/>
              </w:rPr>
            </w:pPr>
          </w:p>
        </w:tc>
        <w:tc>
          <w:tcPr>
            <w:tcW w:w="1843" w:type="dxa"/>
            <w:vAlign w:val="center"/>
          </w:tcPr>
          <w:p w14:paraId="06225B12">
            <w:pPr>
              <w:spacing w:line="240" w:lineRule="exact"/>
              <w:jc w:val="left"/>
              <w:rPr>
                <w:color w:val="auto"/>
                <w:szCs w:val="21"/>
                <w:highlight w:val="none"/>
              </w:rPr>
            </w:pPr>
            <w:r>
              <w:rPr>
                <w:color w:val="auto"/>
                <w:szCs w:val="21"/>
                <w:highlight w:val="none"/>
              </w:rPr>
              <w:t>（6）具备法律、行政法规规定的其他要求</w:t>
            </w:r>
          </w:p>
        </w:tc>
        <w:tc>
          <w:tcPr>
            <w:tcW w:w="6242" w:type="dxa"/>
            <w:vAlign w:val="center"/>
          </w:tcPr>
          <w:p w14:paraId="7082E6D9">
            <w:pPr>
              <w:spacing w:line="240" w:lineRule="exact"/>
              <w:jc w:val="left"/>
              <w:rPr>
                <w:color w:val="auto"/>
                <w:szCs w:val="21"/>
                <w:highlight w:val="none"/>
              </w:rPr>
            </w:pPr>
            <w:r>
              <w:rPr>
                <w:color w:val="auto"/>
                <w:szCs w:val="21"/>
                <w:highlight w:val="none"/>
              </w:rPr>
              <w:t>无。</w:t>
            </w:r>
          </w:p>
        </w:tc>
      </w:tr>
      <w:tr w14:paraId="263D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Align w:val="center"/>
          </w:tcPr>
          <w:p w14:paraId="06B15A36">
            <w:pPr>
              <w:spacing w:line="240" w:lineRule="exact"/>
              <w:rPr>
                <w:color w:val="auto"/>
                <w:szCs w:val="21"/>
                <w:highlight w:val="none"/>
                <w:lang w:val="zh-CN"/>
              </w:rPr>
            </w:pPr>
            <w:r>
              <w:rPr>
                <w:rFonts w:hint="eastAsia"/>
                <w:color w:val="auto"/>
                <w:kern w:val="0"/>
                <w:szCs w:val="21"/>
                <w:highlight w:val="none"/>
              </w:rPr>
              <w:t>采购政策</w:t>
            </w:r>
          </w:p>
        </w:tc>
        <w:tc>
          <w:tcPr>
            <w:tcW w:w="1843" w:type="dxa"/>
            <w:vAlign w:val="center"/>
          </w:tcPr>
          <w:p w14:paraId="28771CDC">
            <w:pPr>
              <w:spacing w:line="240" w:lineRule="exact"/>
              <w:jc w:val="left"/>
              <w:rPr>
                <w:color w:val="auto"/>
                <w:szCs w:val="21"/>
                <w:highlight w:val="none"/>
              </w:rPr>
            </w:pPr>
            <w:r>
              <w:rPr>
                <w:rFonts w:hint="eastAsia"/>
                <w:color w:val="auto"/>
                <w:szCs w:val="21"/>
                <w:highlight w:val="none"/>
              </w:rPr>
              <w:t>落实政府采购政策需满足的资格要求</w:t>
            </w:r>
          </w:p>
        </w:tc>
        <w:tc>
          <w:tcPr>
            <w:tcW w:w="6242" w:type="dxa"/>
            <w:vAlign w:val="center"/>
          </w:tcPr>
          <w:p w14:paraId="6A96AAEC">
            <w:pPr>
              <w:spacing w:line="240" w:lineRule="exact"/>
              <w:jc w:val="left"/>
              <w:rPr>
                <w:color w:val="auto"/>
                <w:szCs w:val="21"/>
                <w:highlight w:val="none"/>
              </w:rPr>
            </w:pPr>
            <w:r>
              <w:rPr>
                <w:rFonts w:hint="eastAsia"/>
                <w:color w:val="auto"/>
                <w:szCs w:val="21"/>
                <w:highlight w:val="none"/>
              </w:rPr>
              <w:t>无。</w:t>
            </w:r>
          </w:p>
        </w:tc>
      </w:tr>
      <w:tr w14:paraId="3E8D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846" w:type="dxa"/>
            <w:vMerge w:val="restart"/>
            <w:vAlign w:val="center"/>
          </w:tcPr>
          <w:p w14:paraId="3E427D8D">
            <w:pPr>
              <w:spacing w:line="240" w:lineRule="exact"/>
              <w:rPr>
                <w:color w:val="auto"/>
                <w:szCs w:val="21"/>
                <w:highlight w:val="none"/>
              </w:rPr>
            </w:pPr>
            <w:r>
              <w:rPr>
                <w:rFonts w:hint="eastAsia"/>
                <w:color w:val="auto"/>
                <w:szCs w:val="21"/>
                <w:highlight w:val="none"/>
              </w:rPr>
              <w:t>投标人</w:t>
            </w:r>
            <w:r>
              <w:rPr>
                <w:color w:val="auto"/>
                <w:szCs w:val="21"/>
                <w:highlight w:val="none"/>
                <w:lang w:val="zh-CN"/>
              </w:rPr>
              <w:t>应</w:t>
            </w:r>
            <w:r>
              <w:rPr>
                <w:rFonts w:hint="eastAsia"/>
                <w:color w:val="auto"/>
                <w:szCs w:val="21"/>
                <w:highlight w:val="none"/>
                <w:lang w:val="zh-CN"/>
              </w:rPr>
              <w:t>符合</w:t>
            </w:r>
            <w:r>
              <w:rPr>
                <w:color w:val="auto"/>
                <w:szCs w:val="21"/>
                <w:highlight w:val="none"/>
              </w:rPr>
              <w:t>特定资格</w:t>
            </w:r>
            <w:r>
              <w:rPr>
                <w:rFonts w:hint="eastAsia"/>
                <w:color w:val="auto"/>
                <w:szCs w:val="21"/>
                <w:highlight w:val="none"/>
              </w:rPr>
              <w:t>要求</w:t>
            </w:r>
          </w:p>
        </w:tc>
        <w:tc>
          <w:tcPr>
            <w:tcW w:w="1843" w:type="dxa"/>
            <w:vAlign w:val="center"/>
          </w:tcPr>
          <w:p w14:paraId="1C648CCF">
            <w:pPr>
              <w:spacing w:line="240" w:lineRule="exact"/>
              <w:jc w:val="left"/>
              <w:rPr>
                <w:color w:val="auto"/>
                <w:szCs w:val="21"/>
                <w:highlight w:val="none"/>
              </w:rPr>
            </w:pPr>
            <w:r>
              <w:rPr>
                <w:color w:val="auto"/>
                <w:szCs w:val="21"/>
                <w:highlight w:val="none"/>
              </w:rPr>
              <w:t>（1）资质</w:t>
            </w:r>
            <w:r>
              <w:rPr>
                <w:rFonts w:hint="eastAsia"/>
                <w:color w:val="auto"/>
                <w:szCs w:val="21"/>
                <w:highlight w:val="none"/>
              </w:rPr>
              <w:t>要求</w:t>
            </w:r>
          </w:p>
        </w:tc>
        <w:tc>
          <w:tcPr>
            <w:tcW w:w="6242" w:type="dxa"/>
            <w:vAlign w:val="center"/>
          </w:tcPr>
          <w:p w14:paraId="68B7B94A">
            <w:pPr>
              <w:spacing w:line="240" w:lineRule="exact"/>
              <w:jc w:val="left"/>
              <w:rPr>
                <w:color w:val="auto"/>
                <w:szCs w:val="21"/>
                <w:highlight w:val="none"/>
              </w:rPr>
            </w:pPr>
            <w:r>
              <w:rPr>
                <w:color w:val="auto"/>
                <w:szCs w:val="21"/>
                <w:highlight w:val="none"/>
              </w:rPr>
              <w:t>须符合</w:t>
            </w:r>
            <w:r>
              <w:rPr>
                <w:rFonts w:hint="eastAsia"/>
                <w:color w:val="auto"/>
                <w:szCs w:val="21"/>
                <w:highlight w:val="none"/>
              </w:rPr>
              <w:t>“招标公告”</w:t>
            </w:r>
            <w:r>
              <w:rPr>
                <w:color w:val="auto"/>
                <w:szCs w:val="21"/>
                <w:highlight w:val="none"/>
              </w:rPr>
              <w:t>的要求</w:t>
            </w:r>
          </w:p>
        </w:tc>
      </w:tr>
      <w:tr w14:paraId="3B59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1498BD53">
            <w:pPr>
              <w:spacing w:line="240" w:lineRule="exact"/>
              <w:rPr>
                <w:color w:val="auto"/>
                <w:szCs w:val="21"/>
                <w:highlight w:val="none"/>
              </w:rPr>
            </w:pPr>
          </w:p>
        </w:tc>
        <w:tc>
          <w:tcPr>
            <w:tcW w:w="1843" w:type="dxa"/>
            <w:vAlign w:val="center"/>
          </w:tcPr>
          <w:p w14:paraId="2F7B7171">
            <w:pPr>
              <w:spacing w:line="240" w:lineRule="exact"/>
              <w:jc w:val="left"/>
              <w:rPr>
                <w:color w:val="auto"/>
                <w:szCs w:val="21"/>
                <w:highlight w:val="none"/>
              </w:rPr>
            </w:pPr>
            <w:r>
              <w:rPr>
                <w:color w:val="auto"/>
                <w:szCs w:val="21"/>
                <w:highlight w:val="none"/>
              </w:rPr>
              <w:t>（2）业绩要求</w:t>
            </w:r>
          </w:p>
        </w:tc>
        <w:tc>
          <w:tcPr>
            <w:tcW w:w="6242" w:type="dxa"/>
            <w:vAlign w:val="center"/>
          </w:tcPr>
          <w:p w14:paraId="14F0A5FF">
            <w:pPr>
              <w:spacing w:line="240" w:lineRule="exact"/>
              <w:jc w:val="left"/>
              <w:rPr>
                <w:color w:val="auto"/>
                <w:szCs w:val="21"/>
                <w:highlight w:val="none"/>
              </w:rPr>
            </w:pPr>
            <w:r>
              <w:rPr>
                <w:color w:val="auto"/>
                <w:szCs w:val="21"/>
                <w:highlight w:val="none"/>
              </w:rPr>
              <w:t>须符合</w:t>
            </w:r>
            <w:r>
              <w:rPr>
                <w:rFonts w:hint="eastAsia"/>
                <w:color w:val="auto"/>
                <w:szCs w:val="21"/>
                <w:highlight w:val="none"/>
              </w:rPr>
              <w:t>“招标公告”</w:t>
            </w:r>
            <w:r>
              <w:rPr>
                <w:color w:val="auto"/>
                <w:szCs w:val="21"/>
                <w:highlight w:val="none"/>
              </w:rPr>
              <w:t>的要求</w:t>
            </w:r>
          </w:p>
        </w:tc>
      </w:tr>
      <w:tr w14:paraId="19A7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8" w:hRule="atLeast"/>
        </w:trPr>
        <w:tc>
          <w:tcPr>
            <w:tcW w:w="846" w:type="dxa"/>
            <w:vMerge w:val="continue"/>
            <w:vAlign w:val="center"/>
          </w:tcPr>
          <w:p w14:paraId="29FBF8C3">
            <w:pPr>
              <w:spacing w:line="240" w:lineRule="exact"/>
              <w:jc w:val="left"/>
              <w:rPr>
                <w:color w:val="auto"/>
                <w:szCs w:val="21"/>
                <w:highlight w:val="none"/>
              </w:rPr>
            </w:pPr>
          </w:p>
        </w:tc>
        <w:tc>
          <w:tcPr>
            <w:tcW w:w="1843" w:type="dxa"/>
            <w:vAlign w:val="center"/>
          </w:tcPr>
          <w:p w14:paraId="6F340108">
            <w:pPr>
              <w:spacing w:line="240" w:lineRule="exact"/>
              <w:jc w:val="left"/>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）供应商不得参加投标的情形</w:t>
            </w:r>
          </w:p>
        </w:tc>
        <w:tc>
          <w:tcPr>
            <w:tcW w:w="6242" w:type="dxa"/>
            <w:vAlign w:val="center"/>
          </w:tcPr>
          <w:p w14:paraId="47E86185">
            <w:pPr>
              <w:spacing w:line="240" w:lineRule="exact"/>
              <w:jc w:val="left"/>
              <w:rPr>
                <w:color w:val="auto"/>
                <w:kern w:val="0"/>
                <w:szCs w:val="21"/>
                <w:highlight w:val="none"/>
              </w:rPr>
            </w:pP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p>
          <w:p w14:paraId="7365DA2A">
            <w:pPr>
              <w:spacing w:line="240" w:lineRule="exact"/>
              <w:jc w:val="left"/>
              <w:rPr>
                <w:color w:val="auto"/>
                <w:szCs w:val="21"/>
                <w:highlight w:val="none"/>
              </w:rPr>
            </w:pPr>
            <w:r>
              <w:rPr>
                <w:color w:val="auto"/>
                <w:szCs w:val="21"/>
                <w:highlight w:val="none"/>
              </w:rPr>
              <w:t>须提供，格式见第六章投标文件格式“</w:t>
            </w:r>
            <w:r>
              <w:rPr>
                <w:rFonts w:hint="eastAsia"/>
                <w:color w:val="auto"/>
                <w:szCs w:val="21"/>
                <w:highlight w:val="none"/>
              </w:rPr>
              <w:t>投标人直接控股股东、管理关系信息表</w:t>
            </w:r>
            <w:r>
              <w:rPr>
                <w:color w:val="auto"/>
                <w:szCs w:val="21"/>
                <w:highlight w:val="none"/>
              </w:rPr>
              <w:t>”。</w:t>
            </w:r>
          </w:p>
        </w:tc>
      </w:tr>
      <w:tr w14:paraId="062BB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400B6A3A">
            <w:pPr>
              <w:spacing w:line="240" w:lineRule="exact"/>
              <w:jc w:val="left"/>
              <w:rPr>
                <w:color w:val="auto"/>
                <w:kern w:val="0"/>
                <w:szCs w:val="21"/>
                <w:highlight w:val="none"/>
              </w:rPr>
            </w:pPr>
          </w:p>
        </w:tc>
        <w:tc>
          <w:tcPr>
            <w:tcW w:w="1843" w:type="dxa"/>
            <w:vAlign w:val="center"/>
          </w:tcPr>
          <w:p w14:paraId="7E40C8FD">
            <w:pPr>
              <w:spacing w:line="240" w:lineRule="exact"/>
              <w:jc w:val="left"/>
              <w:rPr>
                <w:color w:val="auto"/>
                <w:kern w:val="0"/>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）诚信要求</w:t>
            </w:r>
          </w:p>
        </w:tc>
        <w:tc>
          <w:tcPr>
            <w:tcW w:w="6242" w:type="dxa"/>
          </w:tcPr>
          <w:p w14:paraId="69EB1EEC">
            <w:pPr>
              <w:spacing w:line="312" w:lineRule="auto"/>
              <w:jc w:val="left"/>
              <w:rPr>
                <w:color w:val="auto"/>
                <w:kern w:val="0"/>
                <w:szCs w:val="21"/>
                <w:highlight w:val="none"/>
              </w:rPr>
            </w:pPr>
            <w:r>
              <w:rPr>
                <w:color w:val="auto"/>
                <w:kern w:val="0"/>
                <w:szCs w:val="21"/>
                <w:highlight w:val="none"/>
              </w:rPr>
              <w:t>未被列入失信被执行人、重大税收违法失信主体、政府采购严重违法失信行为记录名单。</w:t>
            </w:r>
          </w:p>
        </w:tc>
      </w:tr>
      <w:tr w14:paraId="43EE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3F798582">
            <w:pPr>
              <w:spacing w:line="240" w:lineRule="exact"/>
              <w:jc w:val="left"/>
              <w:rPr>
                <w:color w:val="auto"/>
                <w:kern w:val="0"/>
                <w:szCs w:val="21"/>
                <w:highlight w:val="none"/>
              </w:rPr>
            </w:pPr>
          </w:p>
        </w:tc>
        <w:tc>
          <w:tcPr>
            <w:tcW w:w="1843" w:type="dxa"/>
            <w:vAlign w:val="center"/>
          </w:tcPr>
          <w:p w14:paraId="5B8485CE">
            <w:pPr>
              <w:spacing w:line="240" w:lineRule="exact"/>
              <w:jc w:val="left"/>
              <w:rPr>
                <w:color w:val="auto"/>
                <w:szCs w:val="21"/>
                <w:highlight w:val="none"/>
              </w:rPr>
            </w:pPr>
            <w:r>
              <w:rPr>
                <w:rFonts w:hint="eastAsia"/>
                <w:color w:val="auto"/>
                <w:szCs w:val="21"/>
                <w:highlight w:val="none"/>
              </w:rPr>
              <w:t>（5）分公司</w:t>
            </w:r>
          </w:p>
        </w:tc>
        <w:tc>
          <w:tcPr>
            <w:tcW w:w="6242" w:type="dxa"/>
            <w:vAlign w:val="center"/>
          </w:tcPr>
          <w:p w14:paraId="45111E26">
            <w:pPr>
              <w:spacing w:line="240" w:lineRule="exact"/>
              <w:rPr>
                <w:color w:val="auto"/>
                <w:szCs w:val="21"/>
                <w:highlight w:val="none"/>
              </w:rPr>
            </w:pPr>
            <w:r>
              <w:rPr>
                <w:color w:val="auto"/>
                <w:szCs w:val="21"/>
                <w:highlight w:val="none"/>
              </w:rPr>
              <w:t>须符合</w:t>
            </w:r>
            <w:r>
              <w:rPr>
                <w:rFonts w:hint="eastAsia"/>
                <w:color w:val="auto"/>
                <w:szCs w:val="21"/>
                <w:highlight w:val="none"/>
              </w:rPr>
              <w:t>“招标公告”</w:t>
            </w:r>
            <w:r>
              <w:rPr>
                <w:color w:val="auto"/>
                <w:szCs w:val="21"/>
                <w:highlight w:val="none"/>
              </w:rPr>
              <w:t>的要求</w:t>
            </w:r>
            <w:r>
              <w:rPr>
                <w:rFonts w:hint="eastAsia"/>
                <w:color w:val="auto"/>
                <w:szCs w:val="21"/>
                <w:highlight w:val="none"/>
              </w:rPr>
              <w:t>。</w:t>
            </w:r>
          </w:p>
        </w:tc>
      </w:tr>
      <w:tr w14:paraId="1AD2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846" w:type="dxa"/>
            <w:vMerge w:val="continue"/>
            <w:vAlign w:val="center"/>
          </w:tcPr>
          <w:p w14:paraId="2A8E50BB">
            <w:pPr>
              <w:spacing w:line="240" w:lineRule="exact"/>
              <w:jc w:val="left"/>
              <w:rPr>
                <w:color w:val="auto"/>
                <w:kern w:val="0"/>
                <w:szCs w:val="21"/>
                <w:highlight w:val="none"/>
              </w:rPr>
            </w:pPr>
          </w:p>
        </w:tc>
        <w:tc>
          <w:tcPr>
            <w:tcW w:w="1843" w:type="dxa"/>
            <w:vAlign w:val="center"/>
          </w:tcPr>
          <w:p w14:paraId="10418EDC">
            <w:pPr>
              <w:spacing w:line="240" w:lineRule="exact"/>
              <w:jc w:val="left"/>
              <w:rPr>
                <w:color w:val="auto"/>
                <w:szCs w:val="21"/>
                <w:highlight w:val="none"/>
              </w:rPr>
            </w:pPr>
            <w:r>
              <w:rPr>
                <w:rFonts w:hint="eastAsia"/>
                <w:color w:val="auto"/>
                <w:szCs w:val="21"/>
                <w:highlight w:val="none"/>
              </w:rPr>
              <w:t>（</w:t>
            </w:r>
            <w:r>
              <w:rPr>
                <w:color w:val="auto"/>
                <w:szCs w:val="21"/>
                <w:highlight w:val="none"/>
              </w:rPr>
              <w:t>6</w:t>
            </w:r>
            <w:r>
              <w:rPr>
                <w:rFonts w:hint="eastAsia"/>
                <w:color w:val="auto"/>
                <w:szCs w:val="21"/>
                <w:highlight w:val="none"/>
              </w:rPr>
              <w:t>）分包</w:t>
            </w:r>
          </w:p>
        </w:tc>
        <w:tc>
          <w:tcPr>
            <w:tcW w:w="6242" w:type="dxa"/>
            <w:vAlign w:val="center"/>
          </w:tcPr>
          <w:p w14:paraId="458BB838">
            <w:pPr>
              <w:spacing w:line="240" w:lineRule="exact"/>
              <w:rPr>
                <w:color w:val="auto"/>
                <w:szCs w:val="21"/>
                <w:highlight w:val="none"/>
                <w:lang w:val="zh-CN"/>
              </w:rPr>
            </w:pPr>
            <w:r>
              <w:rPr>
                <w:color w:val="auto"/>
                <w:szCs w:val="21"/>
                <w:highlight w:val="none"/>
              </w:rPr>
              <w:t>须符合</w:t>
            </w:r>
            <w:r>
              <w:rPr>
                <w:rFonts w:hint="eastAsia"/>
                <w:color w:val="auto"/>
                <w:szCs w:val="21"/>
                <w:highlight w:val="none"/>
              </w:rPr>
              <w:t>“招标公告”</w:t>
            </w:r>
            <w:r>
              <w:rPr>
                <w:color w:val="auto"/>
                <w:szCs w:val="21"/>
                <w:highlight w:val="none"/>
              </w:rPr>
              <w:t>的要求</w:t>
            </w:r>
            <w:r>
              <w:rPr>
                <w:rFonts w:hint="eastAsia"/>
                <w:color w:val="auto"/>
                <w:szCs w:val="21"/>
                <w:highlight w:val="none"/>
              </w:rPr>
              <w:t>。</w:t>
            </w:r>
          </w:p>
        </w:tc>
      </w:tr>
      <w:tr w14:paraId="6E322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846" w:type="dxa"/>
            <w:vMerge w:val="continue"/>
            <w:vAlign w:val="center"/>
          </w:tcPr>
          <w:p w14:paraId="7A4723A5">
            <w:pPr>
              <w:spacing w:line="240" w:lineRule="exact"/>
              <w:jc w:val="left"/>
              <w:rPr>
                <w:color w:val="auto"/>
                <w:kern w:val="0"/>
                <w:szCs w:val="21"/>
                <w:highlight w:val="none"/>
              </w:rPr>
            </w:pPr>
          </w:p>
        </w:tc>
        <w:tc>
          <w:tcPr>
            <w:tcW w:w="1843" w:type="dxa"/>
            <w:vAlign w:val="center"/>
          </w:tcPr>
          <w:p w14:paraId="2D9C7E41">
            <w:pPr>
              <w:spacing w:line="240" w:lineRule="exact"/>
              <w:jc w:val="left"/>
              <w:rPr>
                <w:color w:val="auto"/>
                <w:szCs w:val="21"/>
                <w:highlight w:val="none"/>
              </w:rPr>
            </w:pPr>
            <w:r>
              <w:rPr>
                <w:rFonts w:hint="eastAsia"/>
                <w:color w:val="auto"/>
                <w:szCs w:val="21"/>
                <w:highlight w:val="none"/>
              </w:rPr>
              <w:t>（</w:t>
            </w:r>
            <w:r>
              <w:rPr>
                <w:color w:val="auto"/>
                <w:szCs w:val="21"/>
                <w:highlight w:val="none"/>
              </w:rPr>
              <w:t>7</w:t>
            </w:r>
            <w:r>
              <w:rPr>
                <w:rFonts w:hint="eastAsia"/>
                <w:color w:val="auto"/>
                <w:szCs w:val="21"/>
                <w:highlight w:val="none"/>
              </w:rPr>
              <w:t>）联合体</w:t>
            </w:r>
          </w:p>
        </w:tc>
        <w:tc>
          <w:tcPr>
            <w:tcW w:w="6242" w:type="dxa"/>
            <w:vAlign w:val="center"/>
          </w:tcPr>
          <w:p w14:paraId="311D2C35">
            <w:pPr>
              <w:spacing w:line="240" w:lineRule="exact"/>
              <w:rPr>
                <w:color w:val="auto"/>
                <w:szCs w:val="21"/>
                <w:highlight w:val="none"/>
              </w:rPr>
            </w:pPr>
            <w:r>
              <w:rPr>
                <w:rFonts w:hint="eastAsia"/>
                <w:color w:val="auto"/>
                <w:szCs w:val="21"/>
                <w:highlight w:val="none"/>
                <w:lang w:val="zh-CN"/>
              </w:rPr>
              <w:t>须符合“招标公告”的要求。</w:t>
            </w:r>
          </w:p>
        </w:tc>
      </w:tr>
      <w:tr w14:paraId="6CFB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846" w:type="dxa"/>
            <w:vMerge w:val="continue"/>
            <w:vAlign w:val="center"/>
          </w:tcPr>
          <w:p w14:paraId="5987B844">
            <w:pPr>
              <w:spacing w:line="240" w:lineRule="exact"/>
              <w:jc w:val="left"/>
              <w:rPr>
                <w:color w:val="auto"/>
                <w:kern w:val="0"/>
                <w:szCs w:val="21"/>
                <w:highlight w:val="none"/>
              </w:rPr>
            </w:pPr>
          </w:p>
        </w:tc>
        <w:tc>
          <w:tcPr>
            <w:tcW w:w="1843" w:type="dxa"/>
            <w:vAlign w:val="center"/>
          </w:tcPr>
          <w:p w14:paraId="2D35B80C">
            <w:pPr>
              <w:spacing w:line="240" w:lineRule="exact"/>
              <w:jc w:val="left"/>
              <w:rPr>
                <w:color w:val="auto"/>
                <w:szCs w:val="21"/>
                <w:highlight w:val="none"/>
              </w:rPr>
            </w:pPr>
            <w:r>
              <w:rPr>
                <w:rFonts w:hint="eastAsia"/>
                <w:color w:val="auto"/>
                <w:szCs w:val="21"/>
                <w:highlight w:val="none"/>
              </w:rPr>
              <w:t>（</w:t>
            </w:r>
            <w:r>
              <w:rPr>
                <w:color w:val="auto"/>
                <w:szCs w:val="21"/>
                <w:highlight w:val="none"/>
              </w:rPr>
              <w:t>8</w:t>
            </w:r>
            <w:r>
              <w:rPr>
                <w:rFonts w:hint="eastAsia"/>
                <w:color w:val="auto"/>
                <w:szCs w:val="21"/>
                <w:highlight w:val="none"/>
              </w:rPr>
              <w:t>）其他要求</w:t>
            </w:r>
          </w:p>
        </w:tc>
        <w:tc>
          <w:tcPr>
            <w:tcW w:w="6242" w:type="dxa"/>
          </w:tcPr>
          <w:p w14:paraId="62259A80">
            <w:pPr>
              <w:spacing w:line="312" w:lineRule="auto"/>
              <w:jc w:val="left"/>
              <w:rPr>
                <w:color w:val="auto"/>
                <w:kern w:val="0"/>
                <w:szCs w:val="21"/>
                <w:highlight w:val="none"/>
              </w:rPr>
            </w:pPr>
            <w:r>
              <w:rPr>
                <w:rFonts w:hint="eastAsia"/>
                <w:color w:val="auto"/>
                <w:kern w:val="0"/>
                <w:szCs w:val="21"/>
                <w:highlight w:val="none"/>
              </w:rPr>
              <w:t>按</w:t>
            </w:r>
            <w:r>
              <w:rPr>
                <w:color w:val="auto"/>
                <w:kern w:val="0"/>
                <w:szCs w:val="21"/>
                <w:highlight w:val="none"/>
              </w:rPr>
              <w:t>照招标公告规定获得招标文件。</w:t>
            </w:r>
            <w:r>
              <w:rPr>
                <w:rFonts w:hint="eastAsia"/>
                <w:color w:val="auto"/>
                <w:kern w:val="0"/>
                <w:szCs w:val="21"/>
                <w:highlight w:val="none"/>
              </w:rPr>
              <w:t>足额、及时缴纳投标保证金。</w:t>
            </w:r>
          </w:p>
        </w:tc>
      </w:tr>
    </w:tbl>
    <w:p w14:paraId="43B38D3B">
      <w:pPr>
        <w:spacing w:before="120" w:line="320" w:lineRule="atLeast"/>
        <w:ind w:firstLine="413" w:firstLineChars="196"/>
        <w:outlineLvl w:val="1"/>
        <w:rPr>
          <w:b/>
          <w:bCs/>
          <w:color w:val="auto"/>
          <w:kern w:val="0"/>
          <w:szCs w:val="21"/>
          <w:highlight w:val="none"/>
        </w:rPr>
      </w:pPr>
      <w:r>
        <w:rPr>
          <w:b/>
          <w:bCs/>
          <w:color w:val="auto"/>
          <w:kern w:val="0"/>
          <w:szCs w:val="21"/>
          <w:highlight w:val="none"/>
        </w:rPr>
        <w:t>3</w:t>
      </w:r>
      <w:r>
        <w:rPr>
          <w:rFonts w:hint="eastAsia"/>
          <w:b/>
          <w:bCs/>
          <w:color w:val="auto"/>
          <w:kern w:val="0"/>
          <w:szCs w:val="21"/>
          <w:highlight w:val="none"/>
        </w:rPr>
        <w:t>.</w:t>
      </w:r>
      <w:r>
        <w:rPr>
          <w:b/>
          <w:bCs/>
          <w:color w:val="auto"/>
          <w:kern w:val="0"/>
          <w:szCs w:val="21"/>
          <w:highlight w:val="none"/>
        </w:rPr>
        <w:t>符合性审查</w:t>
      </w:r>
      <w:r>
        <w:rPr>
          <w:rFonts w:hint="eastAsia"/>
          <w:b/>
          <w:bCs/>
          <w:color w:val="auto"/>
          <w:kern w:val="0"/>
          <w:szCs w:val="21"/>
          <w:highlight w:val="none"/>
        </w:rPr>
        <w:t>标准（不满足任何一项审查内容要求，符合性审查即为不合格）</w:t>
      </w:r>
    </w:p>
    <w:tbl>
      <w:tblPr>
        <w:tblStyle w:val="51"/>
        <w:tblW w:w="888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322"/>
        <w:gridCol w:w="5061"/>
      </w:tblGrid>
      <w:tr w14:paraId="5075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1505" w:type="dxa"/>
            <w:vAlign w:val="center"/>
          </w:tcPr>
          <w:p w14:paraId="131687BB">
            <w:pPr>
              <w:spacing w:line="240" w:lineRule="exact"/>
              <w:jc w:val="center"/>
              <w:rPr>
                <w:b/>
                <w:color w:val="auto"/>
                <w:kern w:val="0"/>
                <w:szCs w:val="21"/>
                <w:highlight w:val="none"/>
              </w:rPr>
            </w:pPr>
            <w:bookmarkStart w:id="56" w:name="_Hlk92966680"/>
            <w:r>
              <w:rPr>
                <w:rFonts w:hint="eastAsia"/>
                <w:b/>
                <w:color w:val="auto"/>
                <w:kern w:val="0"/>
                <w:szCs w:val="21"/>
                <w:highlight w:val="none"/>
              </w:rPr>
              <w:t>审查</w:t>
            </w:r>
            <w:r>
              <w:rPr>
                <w:b/>
                <w:color w:val="auto"/>
                <w:kern w:val="0"/>
                <w:szCs w:val="21"/>
                <w:highlight w:val="none"/>
              </w:rPr>
              <w:t>因素</w:t>
            </w:r>
          </w:p>
        </w:tc>
        <w:tc>
          <w:tcPr>
            <w:tcW w:w="2322" w:type="dxa"/>
            <w:vAlign w:val="center"/>
          </w:tcPr>
          <w:p w14:paraId="658DE7F6">
            <w:pPr>
              <w:spacing w:line="240" w:lineRule="exact"/>
              <w:jc w:val="center"/>
              <w:rPr>
                <w:b/>
                <w:color w:val="auto"/>
                <w:kern w:val="0"/>
                <w:szCs w:val="21"/>
                <w:highlight w:val="none"/>
              </w:rPr>
            </w:pPr>
            <w:r>
              <w:rPr>
                <w:rFonts w:hint="eastAsia"/>
                <w:b/>
                <w:color w:val="auto"/>
                <w:kern w:val="0"/>
                <w:szCs w:val="21"/>
                <w:highlight w:val="none"/>
              </w:rPr>
              <w:t>审查内容</w:t>
            </w:r>
          </w:p>
        </w:tc>
        <w:tc>
          <w:tcPr>
            <w:tcW w:w="5061" w:type="dxa"/>
          </w:tcPr>
          <w:p w14:paraId="3D0B45BF">
            <w:pPr>
              <w:spacing w:line="240" w:lineRule="exact"/>
              <w:jc w:val="center"/>
              <w:rPr>
                <w:b/>
                <w:color w:val="auto"/>
                <w:kern w:val="0"/>
                <w:szCs w:val="21"/>
                <w:highlight w:val="none"/>
              </w:rPr>
            </w:pPr>
          </w:p>
          <w:p w14:paraId="78F0C219">
            <w:pPr>
              <w:spacing w:line="240" w:lineRule="exact"/>
              <w:jc w:val="center"/>
              <w:rPr>
                <w:b/>
                <w:color w:val="auto"/>
                <w:kern w:val="0"/>
                <w:szCs w:val="21"/>
                <w:highlight w:val="none"/>
              </w:rPr>
            </w:pPr>
            <w:r>
              <w:rPr>
                <w:rFonts w:hint="eastAsia"/>
                <w:b/>
                <w:color w:val="auto"/>
                <w:kern w:val="0"/>
                <w:szCs w:val="21"/>
                <w:highlight w:val="none"/>
              </w:rPr>
              <w:t>说明</w:t>
            </w:r>
          </w:p>
        </w:tc>
      </w:tr>
      <w:tr w14:paraId="7333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1505" w:type="dxa"/>
            <w:vMerge w:val="restart"/>
            <w:vAlign w:val="center"/>
          </w:tcPr>
          <w:p w14:paraId="3775123A">
            <w:pPr>
              <w:spacing w:line="240" w:lineRule="exact"/>
              <w:jc w:val="center"/>
              <w:rPr>
                <w:color w:val="auto"/>
                <w:kern w:val="0"/>
                <w:szCs w:val="21"/>
                <w:highlight w:val="none"/>
              </w:rPr>
            </w:pPr>
            <w:r>
              <w:rPr>
                <w:rFonts w:hint="eastAsia"/>
                <w:color w:val="auto"/>
                <w:kern w:val="0"/>
                <w:szCs w:val="21"/>
                <w:highlight w:val="none"/>
              </w:rPr>
              <w:t>商务资信</w:t>
            </w:r>
          </w:p>
        </w:tc>
        <w:tc>
          <w:tcPr>
            <w:tcW w:w="2322" w:type="dxa"/>
            <w:vAlign w:val="center"/>
          </w:tcPr>
          <w:p w14:paraId="4F3B08CA">
            <w:pPr>
              <w:spacing w:line="240" w:lineRule="exact"/>
              <w:rPr>
                <w:color w:val="auto"/>
                <w:highlight w:val="none"/>
              </w:rPr>
            </w:pPr>
            <w:r>
              <w:rPr>
                <w:rFonts w:hint="eastAsia"/>
                <w:color w:val="auto"/>
                <w:highlight w:val="none"/>
              </w:rPr>
              <w:t>法定代表人身份证明及授权委托书</w:t>
            </w:r>
          </w:p>
        </w:tc>
        <w:tc>
          <w:tcPr>
            <w:tcW w:w="5061" w:type="dxa"/>
            <w:vAlign w:val="center"/>
          </w:tcPr>
          <w:p w14:paraId="108C7478">
            <w:pPr>
              <w:spacing w:line="240" w:lineRule="exact"/>
              <w:rPr>
                <w:color w:val="auto"/>
                <w:szCs w:val="21"/>
                <w:highlight w:val="none"/>
              </w:rPr>
            </w:pPr>
            <w:r>
              <w:rPr>
                <w:rFonts w:hint="eastAsia"/>
                <w:color w:val="auto"/>
                <w:szCs w:val="21"/>
                <w:highlight w:val="none"/>
              </w:rPr>
              <w:t>授权</w:t>
            </w:r>
            <w:r>
              <w:rPr>
                <w:color w:val="auto"/>
                <w:szCs w:val="21"/>
                <w:highlight w:val="none"/>
              </w:rPr>
              <w:t>代表</w:t>
            </w:r>
            <w:r>
              <w:rPr>
                <w:rFonts w:hint="eastAsia"/>
                <w:color w:val="auto"/>
                <w:szCs w:val="21"/>
                <w:highlight w:val="none"/>
              </w:rPr>
              <w:t>参加投标</w:t>
            </w:r>
            <w:r>
              <w:rPr>
                <w:color w:val="auto"/>
                <w:szCs w:val="21"/>
                <w:highlight w:val="none"/>
              </w:rPr>
              <w:t>时审查</w:t>
            </w:r>
            <w:r>
              <w:rPr>
                <w:color w:val="auto"/>
                <w:highlight w:val="none"/>
              </w:rPr>
              <w:t>：</w:t>
            </w:r>
            <w:r>
              <w:rPr>
                <w:rFonts w:ascii="宋体" w:hAnsi="宋体"/>
                <w:color w:val="auto"/>
                <w:szCs w:val="21"/>
                <w:highlight w:val="none"/>
              </w:rPr>
              <w:t>法定代表人授权委托书及附件</w:t>
            </w:r>
            <w:r>
              <w:rPr>
                <w:color w:val="auto"/>
                <w:szCs w:val="21"/>
                <w:highlight w:val="none"/>
              </w:rPr>
              <w:t xml:space="preserve"> </w:t>
            </w:r>
          </w:p>
          <w:p w14:paraId="3F45B5F9">
            <w:pPr>
              <w:spacing w:line="240" w:lineRule="exact"/>
              <w:rPr>
                <w:rFonts w:ascii="宋体" w:hAnsi="宋体"/>
                <w:color w:val="auto"/>
                <w:szCs w:val="21"/>
                <w:highlight w:val="none"/>
              </w:rPr>
            </w:pPr>
            <w:r>
              <w:rPr>
                <w:rFonts w:hint="eastAsia"/>
                <w:color w:val="auto"/>
                <w:szCs w:val="21"/>
                <w:highlight w:val="none"/>
              </w:rPr>
              <w:t>法定代表人直接参加投标</w:t>
            </w:r>
            <w:r>
              <w:rPr>
                <w:color w:val="auto"/>
                <w:szCs w:val="21"/>
                <w:highlight w:val="none"/>
              </w:rPr>
              <w:t>时审查</w:t>
            </w:r>
            <w:r>
              <w:rPr>
                <w:color w:val="auto"/>
                <w:highlight w:val="none"/>
              </w:rPr>
              <w:t>：</w:t>
            </w:r>
            <w:r>
              <w:rPr>
                <w:rFonts w:ascii="宋体" w:hAnsi="宋体"/>
                <w:color w:val="auto"/>
                <w:szCs w:val="21"/>
                <w:highlight w:val="none"/>
              </w:rPr>
              <w:t>法定代表人身份证明</w:t>
            </w:r>
            <w:r>
              <w:rPr>
                <w:rFonts w:hint="eastAsia" w:ascii="宋体" w:hAnsi="宋体"/>
                <w:color w:val="auto"/>
                <w:szCs w:val="21"/>
                <w:highlight w:val="none"/>
              </w:rPr>
              <w:t>及</w:t>
            </w:r>
            <w:r>
              <w:rPr>
                <w:rFonts w:ascii="宋体" w:hAnsi="宋体"/>
                <w:color w:val="auto"/>
                <w:szCs w:val="21"/>
                <w:highlight w:val="none"/>
              </w:rPr>
              <w:t>附件</w:t>
            </w:r>
          </w:p>
          <w:p w14:paraId="717B965C">
            <w:pPr>
              <w:spacing w:line="240" w:lineRule="exact"/>
              <w:rPr>
                <w:color w:val="auto"/>
                <w:highlight w:val="none"/>
              </w:rPr>
            </w:pPr>
            <w:r>
              <w:rPr>
                <w:rFonts w:ascii="宋体" w:hAnsi="宋体"/>
                <w:color w:val="auto"/>
                <w:szCs w:val="21"/>
                <w:highlight w:val="none"/>
              </w:rPr>
              <w:t>格式及附件见第六章投标文件格式要求</w:t>
            </w:r>
          </w:p>
        </w:tc>
      </w:tr>
      <w:tr w14:paraId="1ED05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505" w:type="dxa"/>
            <w:vMerge w:val="continue"/>
            <w:vAlign w:val="center"/>
          </w:tcPr>
          <w:p w14:paraId="4CC9AFB7">
            <w:pPr>
              <w:spacing w:line="240" w:lineRule="exact"/>
              <w:jc w:val="center"/>
              <w:rPr>
                <w:color w:val="auto"/>
                <w:kern w:val="0"/>
                <w:szCs w:val="21"/>
                <w:highlight w:val="none"/>
              </w:rPr>
            </w:pPr>
          </w:p>
        </w:tc>
        <w:tc>
          <w:tcPr>
            <w:tcW w:w="2322" w:type="dxa"/>
            <w:vAlign w:val="center"/>
          </w:tcPr>
          <w:p w14:paraId="5AF237FF">
            <w:pPr>
              <w:spacing w:line="240" w:lineRule="exact"/>
              <w:rPr>
                <w:color w:val="auto"/>
                <w:szCs w:val="21"/>
                <w:highlight w:val="none"/>
              </w:rPr>
            </w:pPr>
            <w:r>
              <w:rPr>
                <w:rFonts w:hint="eastAsia"/>
                <w:color w:val="auto"/>
                <w:szCs w:val="21"/>
                <w:highlight w:val="none"/>
              </w:rPr>
              <w:t>实质性条款响应</w:t>
            </w:r>
          </w:p>
        </w:tc>
        <w:tc>
          <w:tcPr>
            <w:tcW w:w="5061" w:type="dxa"/>
            <w:vAlign w:val="center"/>
          </w:tcPr>
          <w:p w14:paraId="3EAF54CD">
            <w:pPr>
              <w:spacing w:line="240" w:lineRule="exact"/>
              <w:rPr>
                <w:color w:val="auto"/>
                <w:szCs w:val="21"/>
                <w:highlight w:val="none"/>
              </w:rPr>
            </w:pPr>
            <w:r>
              <w:rPr>
                <w:rFonts w:hint="eastAsia" w:ascii="宋体" w:hAnsi="宋体"/>
                <w:color w:val="auto"/>
                <w:szCs w:val="21"/>
                <w:highlight w:val="none"/>
              </w:rPr>
              <w:t>招标文件实质性要求响应均无负偏离</w:t>
            </w:r>
          </w:p>
        </w:tc>
      </w:tr>
      <w:tr w14:paraId="3F4B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505" w:type="dxa"/>
            <w:vMerge w:val="continue"/>
            <w:vAlign w:val="center"/>
          </w:tcPr>
          <w:p w14:paraId="3267F957">
            <w:pPr>
              <w:spacing w:line="240" w:lineRule="exact"/>
              <w:jc w:val="center"/>
              <w:rPr>
                <w:color w:val="auto"/>
                <w:kern w:val="0"/>
                <w:szCs w:val="21"/>
                <w:highlight w:val="none"/>
              </w:rPr>
            </w:pPr>
          </w:p>
        </w:tc>
        <w:tc>
          <w:tcPr>
            <w:tcW w:w="2322" w:type="dxa"/>
            <w:vAlign w:val="center"/>
          </w:tcPr>
          <w:p w14:paraId="7A25839C">
            <w:pPr>
              <w:spacing w:line="240" w:lineRule="exact"/>
              <w:rPr>
                <w:color w:val="auto"/>
                <w:szCs w:val="21"/>
                <w:highlight w:val="none"/>
              </w:rPr>
            </w:pPr>
            <w:r>
              <w:rPr>
                <w:rFonts w:hint="eastAsia"/>
                <w:color w:val="auto"/>
                <w:szCs w:val="21"/>
                <w:highlight w:val="none"/>
              </w:rPr>
              <w:t>串通投标</w:t>
            </w:r>
          </w:p>
        </w:tc>
        <w:tc>
          <w:tcPr>
            <w:tcW w:w="5061" w:type="dxa"/>
            <w:vAlign w:val="center"/>
          </w:tcPr>
          <w:p w14:paraId="6AA33563">
            <w:pPr>
              <w:spacing w:line="240" w:lineRule="exact"/>
              <w:rPr>
                <w:color w:val="auto"/>
                <w:szCs w:val="21"/>
                <w:highlight w:val="none"/>
              </w:rPr>
            </w:pPr>
            <w:r>
              <w:rPr>
                <w:rFonts w:hint="eastAsia" w:ascii="宋体" w:hAnsi="宋体"/>
                <w:color w:val="auto"/>
                <w:szCs w:val="21"/>
                <w:highlight w:val="none"/>
              </w:rPr>
              <w:t>不属于投标人须知正文第</w:t>
            </w:r>
            <w:r>
              <w:rPr>
                <w:rFonts w:ascii="宋体" w:hAnsi="宋体"/>
                <w:color w:val="auto"/>
                <w:szCs w:val="21"/>
                <w:highlight w:val="none"/>
              </w:rPr>
              <w:t>6</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.7规定的串通投标情形，见</w:t>
            </w:r>
            <w:r>
              <w:rPr>
                <w:rFonts w:ascii="宋体" w:hAnsi="宋体"/>
                <w:color w:val="auto"/>
                <w:szCs w:val="21"/>
                <w:highlight w:val="none"/>
              </w:rPr>
              <w:t>第六章投标文件格式要求</w:t>
            </w:r>
          </w:p>
        </w:tc>
      </w:tr>
      <w:tr w14:paraId="4194C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505" w:type="dxa"/>
            <w:vMerge w:val="restart"/>
            <w:vAlign w:val="center"/>
          </w:tcPr>
          <w:p w14:paraId="4D986472">
            <w:pPr>
              <w:spacing w:line="240" w:lineRule="exact"/>
              <w:jc w:val="center"/>
              <w:rPr>
                <w:color w:val="auto"/>
                <w:kern w:val="0"/>
                <w:szCs w:val="21"/>
                <w:highlight w:val="none"/>
              </w:rPr>
            </w:pPr>
            <w:r>
              <w:rPr>
                <w:rFonts w:hint="eastAsia"/>
                <w:color w:val="auto"/>
                <w:kern w:val="0"/>
                <w:szCs w:val="21"/>
                <w:highlight w:val="none"/>
              </w:rPr>
              <w:t>报价</w:t>
            </w:r>
          </w:p>
        </w:tc>
        <w:tc>
          <w:tcPr>
            <w:tcW w:w="2322" w:type="dxa"/>
            <w:vAlign w:val="center"/>
          </w:tcPr>
          <w:p w14:paraId="0D7C3325">
            <w:pPr>
              <w:spacing w:line="240" w:lineRule="exact"/>
              <w:rPr>
                <w:color w:val="auto"/>
                <w:szCs w:val="21"/>
                <w:highlight w:val="none"/>
              </w:rPr>
            </w:pPr>
            <w:r>
              <w:rPr>
                <w:rFonts w:hint="eastAsia"/>
                <w:color w:val="auto"/>
                <w:szCs w:val="21"/>
                <w:highlight w:val="none"/>
              </w:rPr>
              <w:t>有效报价</w:t>
            </w:r>
          </w:p>
        </w:tc>
        <w:tc>
          <w:tcPr>
            <w:tcW w:w="5061" w:type="dxa"/>
            <w:vAlign w:val="center"/>
          </w:tcPr>
          <w:p w14:paraId="5BB89877">
            <w:pPr>
              <w:spacing w:line="240" w:lineRule="exact"/>
              <w:rPr>
                <w:bCs/>
                <w:color w:val="auto"/>
                <w:kern w:val="0"/>
                <w:szCs w:val="21"/>
                <w:highlight w:val="none"/>
              </w:rPr>
            </w:pPr>
            <w:r>
              <w:rPr>
                <w:rFonts w:hint="eastAsia"/>
                <w:color w:val="auto"/>
                <w:highlight w:val="none"/>
              </w:rPr>
              <w:t>报价未超出采购预算金额，也未超出最高限价（如有）</w:t>
            </w:r>
          </w:p>
        </w:tc>
      </w:tr>
      <w:tr w14:paraId="6301A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505" w:type="dxa"/>
            <w:vMerge w:val="continue"/>
            <w:vAlign w:val="center"/>
          </w:tcPr>
          <w:p w14:paraId="53613C24">
            <w:pPr>
              <w:spacing w:line="240" w:lineRule="exact"/>
              <w:jc w:val="center"/>
              <w:rPr>
                <w:color w:val="auto"/>
                <w:kern w:val="0"/>
                <w:szCs w:val="21"/>
                <w:highlight w:val="none"/>
              </w:rPr>
            </w:pPr>
          </w:p>
        </w:tc>
        <w:tc>
          <w:tcPr>
            <w:tcW w:w="2322" w:type="dxa"/>
            <w:vAlign w:val="center"/>
          </w:tcPr>
          <w:p w14:paraId="064B7560">
            <w:pPr>
              <w:spacing w:line="240" w:lineRule="exact"/>
              <w:rPr>
                <w:bCs/>
                <w:color w:val="auto"/>
                <w:kern w:val="0"/>
                <w:szCs w:val="21"/>
                <w:highlight w:val="none"/>
              </w:rPr>
            </w:pPr>
            <w:r>
              <w:rPr>
                <w:rFonts w:hint="eastAsia"/>
                <w:bCs/>
                <w:color w:val="auto"/>
                <w:kern w:val="0"/>
                <w:szCs w:val="21"/>
                <w:highlight w:val="none"/>
              </w:rPr>
              <w:t>漏项报价</w:t>
            </w:r>
          </w:p>
        </w:tc>
        <w:tc>
          <w:tcPr>
            <w:tcW w:w="5061" w:type="dxa"/>
            <w:vAlign w:val="center"/>
          </w:tcPr>
          <w:p w14:paraId="70272E1F">
            <w:pPr>
              <w:spacing w:line="240" w:lineRule="exact"/>
              <w:rPr>
                <w:rFonts w:hAnsi="宋体"/>
                <w:color w:val="auto"/>
                <w:szCs w:val="21"/>
                <w:highlight w:val="none"/>
              </w:rPr>
            </w:pPr>
            <w:r>
              <w:rPr>
                <w:rFonts w:hint="eastAsia" w:ascii="宋体" w:hAnsi="宋体"/>
                <w:color w:val="auto"/>
                <w:szCs w:val="21"/>
                <w:highlight w:val="none"/>
              </w:rPr>
              <w:t>未就所投分标进行报价或者存在漏项报价；</w:t>
            </w:r>
          </w:p>
        </w:tc>
      </w:tr>
      <w:tr w14:paraId="62B50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505" w:type="dxa"/>
            <w:vMerge w:val="continue"/>
            <w:vAlign w:val="center"/>
          </w:tcPr>
          <w:p w14:paraId="6CF80E1F">
            <w:pPr>
              <w:spacing w:line="240" w:lineRule="exact"/>
              <w:jc w:val="center"/>
              <w:rPr>
                <w:color w:val="auto"/>
                <w:kern w:val="0"/>
                <w:szCs w:val="21"/>
                <w:highlight w:val="none"/>
              </w:rPr>
            </w:pPr>
          </w:p>
        </w:tc>
        <w:tc>
          <w:tcPr>
            <w:tcW w:w="2322" w:type="dxa"/>
            <w:vAlign w:val="center"/>
          </w:tcPr>
          <w:p w14:paraId="1A8EDDC6">
            <w:pPr>
              <w:spacing w:line="240" w:lineRule="exact"/>
              <w:rPr>
                <w:rFonts w:hAnsi="宋体"/>
                <w:color w:val="auto"/>
                <w:szCs w:val="21"/>
                <w:highlight w:val="none"/>
              </w:rPr>
            </w:pPr>
            <w:r>
              <w:rPr>
                <w:rFonts w:hint="eastAsia" w:hAnsi="宋体"/>
                <w:color w:val="auto"/>
                <w:szCs w:val="21"/>
                <w:highlight w:val="none"/>
              </w:rPr>
              <w:t>投标报价唯一性</w:t>
            </w:r>
          </w:p>
        </w:tc>
        <w:tc>
          <w:tcPr>
            <w:tcW w:w="5061" w:type="dxa"/>
            <w:vAlign w:val="center"/>
          </w:tcPr>
          <w:p w14:paraId="452997C2">
            <w:pPr>
              <w:spacing w:line="240" w:lineRule="exact"/>
              <w:rPr>
                <w:color w:val="auto"/>
                <w:szCs w:val="21"/>
                <w:highlight w:val="none"/>
              </w:rPr>
            </w:pPr>
            <w:r>
              <w:rPr>
                <w:rFonts w:hint="eastAsia" w:ascii="宋体" w:hAnsi="宋体"/>
                <w:color w:val="auto"/>
                <w:szCs w:val="21"/>
                <w:highlight w:val="none"/>
              </w:rPr>
              <w:t>不存在有选择、有条件报价（招标文件允许有备选方案或者其他约定的除外）</w:t>
            </w:r>
          </w:p>
        </w:tc>
      </w:tr>
      <w:tr w14:paraId="2F49D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505" w:type="dxa"/>
            <w:vMerge w:val="continue"/>
            <w:vAlign w:val="center"/>
          </w:tcPr>
          <w:p w14:paraId="1EDBF1A0">
            <w:pPr>
              <w:spacing w:line="240" w:lineRule="exact"/>
              <w:jc w:val="center"/>
              <w:rPr>
                <w:color w:val="auto"/>
                <w:kern w:val="0"/>
                <w:szCs w:val="21"/>
                <w:highlight w:val="none"/>
              </w:rPr>
            </w:pPr>
          </w:p>
        </w:tc>
        <w:tc>
          <w:tcPr>
            <w:tcW w:w="2322" w:type="dxa"/>
            <w:vAlign w:val="center"/>
          </w:tcPr>
          <w:p w14:paraId="527632BF">
            <w:pPr>
              <w:spacing w:line="240" w:lineRule="exact"/>
              <w:rPr>
                <w:color w:val="auto"/>
                <w:szCs w:val="21"/>
                <w:highlight w:val="none"/>
                <w:lang w:val="zh-CN"/>
              </w:rPr>
            </w:pPr>
            <w:r>
              <w:rPr>
                <w:rFonts w:hint="eastAsia"/>
                <w:color w:val="auto"/>
                <w:szCs w:val="21"/>
                <w:highlight w:val="none"/>
                <w:lang w:val="zh-CN"/>
              </w:rPr>
              <w:t>过低报价合理性</w:t>
            </w:r>
          </w:p>
        </w:tc>
        <w:tc>
          <w:tcPr>
            <w:tcW w:w="5061" w:type="dxa"/>
            <w:vAlign w:val="center"/>
          </w:tcPr>
          <w:p w14:paraId="624294FF">
            <w:pPr>
              <w:spacing w:line="240" w:lineRule="exact"/>
              <w:rPr>
                <w:rFonts w:hAnsi="宋体"/>
                <w:color w:val="auto"/>
                <w:szCs w:val="21"/>
                <w:highlight w:val="none"/>
              </w:rPr>
            </w:pPr>
            <w:r>
              <w:rPr>
                <w:rFonts w:hint="eastAsia"/>
                <w:color w:val="auto"/>
                <w:highlight w:val="none"/>
              </w:rPr>
              <w:t>投标人的报价存在异常低价问题的情形，评审委员会</w:t>
            </w:r>
            <w:r>
              <w:rPr>
                <w:rFonts w:hint="eastAsia"/>
                <w:color w:val="auto"/>
                <w:szCs w:val="21"/>
                <w:highlight w:val="none"/>
              </w:rPr>
              <w:t>应当要求其在评标现场合理的时间内提供报价合理性相关的书面说明及必要的证明材料。</w:t>
            </w:r>
            <w:r>
              <w:rPr>
                <w:rFonts w:hint="eastAsia"/>
                <w:color w:val="auto"/>
                <w:highlight w:val="none"/>
              </w:rPr>
              <w:t>投标人不能证明其报价合理性的，评审委员会应当将其作为无效投标处理。</w:t>
            </w:r>
          </w:p>
        </w:tc>
      </w:tr>
      <w:tr w14:paraId="25A9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505" w:type="dxa"/>
            <w:vMerge w:val="continue"/>
            <w:vAlign w:val="center"/>
          </w:tcPr>
          <w:p w14:paraId="308BF752">
            <w:pPr>
              <w:spacing w:line="240" w:lineRule="exact"/>
              <w:jc w:val="center"/>
              <w:rPr>
                <w:color w:val="auto"/>
                <w:kern w:val="0"/>
                <w:szCs w:val="21"/>
                <w:highlight w:val="none"/>
              </w:rPr>
            </w:pPr>
          </w:p>
        </w:tc>
        <w:tc>
          <w:tcPr>
            <w:tcW w:w="2322" w:type="dxa"/>
            <w:vAlign w:val="center"/>
          </w:tcPr>
          <w:p w14:paraId="7B35129D">
            <w:pPr>
              <w:spacing w:line="240" w:lineRule="exact"/>
              <w:rPr>
                <w:rFonts w:ascii="宋体" w:hAnsi="宋体"/>
                <w:color w:val="auto"/>
                <w:szCs w:val="21"/>
                <w:highlight w:val="none"/>
              </w:rPr>
            </w:pPr>
            <w:r>
              <w:rPr>
                <w:rFonts w:hint="eastAsia"/>
                <w:color w:val="auto"/>
                <w:szCs w:val="21"/>
                <w:highlight w:val="none"/>
              </w:rPr>
              <w:t>投标有效期</w:t>
            </w:r>
          </w:p>
        </w:tc>
        <w:tc>
          <w:tcPr>
            <w:tcW w:w="5061" w:type="dxa"/>
            <w:vAlign w:val="center"/>
          </w:tcPr>
          <w:p w14:paraId="1E444CF5">
            <w:pPr>
              <w:spacing w:line="240" w:lineRule="exact"/>
              <w:rPr>
                <w:color w:val="auto"/>
                <w:szCs w:val="21"/>
                <w:highlight w:val="none"/>
              </w:rPr>
            </w:pPr>
            <w:r>
              <w:rPr>
                <w:rFonts w:hint="eastAsia" w:ascii="宋体" w:hAnsi="宋体"/>
                <w:color w:val="auto"/>
                <w:szCs w:val="21"/>
                <w:highlight w:val="none"/>
              </w:rPr>
              <w:t>满足招标文件规定</w:t>
            </w:r>
          </w:p>
        </w:tc>
      </w:tr>
      <w:bookmarkEnd w:id="56"/>
    </w:tbl>
    <w:p w14:paraId="6173CDB8">
      <w:pPr>
        <w:spacing w:before="120" w:line="320" w:lineRule="atLeast"/>
        <w:outlineLvl w:val="1"/>
        <w:rPr>
          <w:b/>
          <w:bCs/>
          <w:color w:val="auto"/>
          <w:kern w:val="0"/>
          <w:szCs w:val="21"/>
          <w:highlight w:val="none"/>
        </w:rPr>
      </w:pPr>
      <w:r>
        <w:rPr>
          <w:b/>
          <w:bCs/>
          <w:color w:val="auto"/>
          <w:kern w:val="0"/>
          <w:szCs w:val="21"/>
          <w:highlight w:val="none"/>
        </w:rPr>
        <w:br w:type="page"/>
      </w:r>
      <w:r>
        <w:rPr>
          <w:b/>
          <w:bCs/>
          <w:color w:val="auto"/>
          <w:kern w:val="0"/>
          <w:szCs w:val="21"/>
          <w:highlight w:val="none"/>
        </w:rPr>
        <w:t>4.</w:t>
      </w:r>
      <w:r>
        <w:rPr>
          <w:rFonts w:hint="eastAsia"/>
          <w:b/>
          <w:bCs/>
          <w:color w:val="auto"/>
          <w:kern w:val="0"/>
          <w:szCs w:val="21"/>
          <w:highlight w:val="none"/>
        </w:rPr>
        <w:t>评分</w:t>
      </w:r>
      <w:r>
        <w:rPr>
          <w:b/>
          <w:bCs/>
          <w:color w:val="auto"/>
          <w:kern w:val="0"/>
          <w:szCs w:val="21"/>
          <w:highlight w:val="none"/>
        </w:rPr>
        <w:t>标准</w:t>
      </w:r>
    </w:p>
    <w:p w14:paraId="3B484C25">
      <w:pPr>
        <w:pStyle w:val="26"/>
        <w:snapToGrid w:val="0"/>
        <w:jc w:val="center"/>
        <w:rPr>
          <w:rFonts w:ascii="Times New Roman" w:hAnsi="Times New Roman" w:cs="Times New Roman"/>
          <w:b/>
          <w:color w:val="auto"/>
          <w:sz w:val="24"/>
          <w:szCs w:val="24"/>
          <w:highlight w:val="none"/>
        </w:rPr>
      </w:pPr>
    </w:p>
    <w:bookmarkEnd w:id="31"/>
    <w:bookmarkEnd w:id="32"/>
    <w:tbl>
      <w:tblPr>
        <w:tblStyle w:val="51"/>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134"/>
        <w:gridCol w:w="7983"/>
      </w:tblGrid>
      <w:tr w14:paraId="32F1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1" w:type="dxa"/>
            <w:tcBorders>
              <w:top w:val="single" w:color="auto" w:sz="4" w:space="0"/>
              <w:left w:val="single" w:color="auto" w:sz="4" w:space="0"/>
              <w:bottom w:val="single" w:color="auto" w:sz="4" w:space="0"/>
              <w:right w:val="single" w:color="auto" w:sz="4" w:space="0"/>
            </w:tcBorders>
            <w:noWrap/>
            <w:vAlign w:val="center"/>
          </w:tcPr>
          <w:p w14:paraId="258456C0">
            <w:pPr>
              <w:widowControl/>
              <w:tabs>
                <w:tab w:val="left" w:pos="8460"/>
              </w:tabs>
              <w:adjustRightInd w:val="0"/>
              <w:spacing w:line="360" w:lineRule="auto"/>
              <w:jc w:val="center"/>
              <w:textAlignment w:val="baseline"/>
              <w:rPr>
                <w:rFonts w:ascii="宋体" w:hAnsi="宋体" w:cs="宋体"/>
                <w:color w:val="auto"/>
                <w:kern w:val="0"/>
                <w:szCs w:val="21"/>
                <w:highlight w:val="none"/>
              </w:rPr>
            </w:pPr>
            <w:bookmarkStart w:id="57" w:name="_Hlk132881438"/>
            <w:bookmarkStart w:id="58" w:name="_Hlk132879714"/>
            <w:bookmarkStart w:id="59" w:name="_Hlk132879681"/>
            <w:r>
              <w:rPr>
                <w:rFonts w:hint="eastAsia" w:ascii="宋体" w:hAnsi="宋体" w:cs="宋体"/>
                <w:color w:val="auto"/>
                <w:kern w:val="0"/>
                <w:szCs w:val="21"/>
                <w:highlight w:val="none"/>
              </w:rPr>
              <w:t>序号</w:t>
            </w:r>
          </w:p>
        </w:tc>
        <w:tc>
          <w:tcPr>
            <w:tcW w:w="1134" w:type="dxa"/>
            <w:tcBorders>
              <w:top w:val="single" w:color="auto" w:sz="4" w:space="0"/>
              <w:left w:val="single" w:color="auto" w:sz="4" w:space="0"/>
              <w:bottom w:val="single" w:color="auto" w:sz="4" w:space="0"/>
              <w:right w:val="single" w:color="auto" w:sz="4" w:space="0"/>
            </w:tcBorders>
            <w:noWrap/>
            <w:vAlign w:val="center"/>
          </w:tcPr>
          <w:p w14:paraId="03B03DD8">
            <w:pPr>
              <w:widowControl/>
              <w:tabs>
                <w:tab w:val="left" w:pos="8460"/>
              </w:tabs>
              <w:adjustRightInd w:val="0"/>
              <w:spacing w:line="360" w:lineRule="auto"/>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评分因素</w:t>
            </w:r>
          </w:p>
        </w:tc>
        <w:tc>
          <w:tcPr>
            <w:tcW w:w="7983" w:type="dxa"/>
            <w:tcBorders>
              <w:top w:val="single" w:color="auto" w:sz="4" w:space="0"/>
              <w:left w:val="single" w:color="auto" w:sz="4" w:space="0"/>
              <w:bottom w:val="single" w:color="auto" w:sz="4" w:space="0"/>
              <w:right w:val="single" w:color="auto" w:sz="4" w:space="0"/>
            </w:tcBorders>
            <w:noWrap/>
            <w:vAlign w:val="center"/>
          </w:tcPr>
          <w:p w14:paraId="791DE0A9">
            <w:pPr>
              <w:widowControl/>
              <w:tabs>
                <w:tab w:val="left" w:pos="8460"/>
              </w:tabs>
              <w:adjustRightInd w:val="0"/>
              <w:spacing w:line="360" w:lineRule="auto"/>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评分标准</w:t>
            </w:r>
          </w:p>
        </w:tc>
      </w:tr>
      <w:tr w14:paraId="5FB1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1" w:type="dxa"/>
            <w:tcBorders>
              <w:top w:val="single" w:color="auto" w:sz="4" w:space="0"/>
              <w:left w:val="single" w:color="auto" w:sz="4" w:space="0"/>
              <w:bottom w:val="single" w:color="auto" w:sz="4" w:space="0"/>
              <w:right w:val="single" w:color="auto" w:sz="4" w:space="0"/>
            </w:tcBorders>
            <w:noWrap/>
            <w:vAlign w:val="center"/>
          </w:tcPr>
          <w:p w14:paraId="338CE124">
            <w:pPr>
              <w:widowControl/>
              <w:tabs>
                <w:tab w:val="left" w:pos="8460"/>
              </w:tabs>
              <w:adjustRightInd w:val="0"/>
              <w:spacing w:line="360" w:lineRule="auto"/>
              <w:jc w:val="center"/>
              <w:textAlignment w:val="baseline"/>
              <w:rPr>
                <w:rFonts w:ascii="宋体" w:hAnsi="宋体" w:cs="宋体"/>
                <w:bCs/>
                <w:color w:val="auto"/>
                <w:kern w:val="0"/>
                <w:szCs w:val="21"/>
                <w:highlight w:val="none"/>
              </w:rPr>
            </w:pPr>
            <w:r>
              <w:rPr>
                <w:rFonts w:hint="eastAsia" w:ascii="宋体" w:hAnsi="宋体" w:cs="宋体"/>
                <w:color w:val="auto"/>
                <w:kern w:val="0"/>
                <w:szCs w:val="21"/>
                <w:highlight w:val="none"/>
              </w:rPr>
              <w:t>1</w:t>
            </w:r>
          </w:p>
        </w:tc>
        <w:tc>
          <w:tcPr>
            <w:tcW w:w="1134" w:type="dxa"/>
            <w:tcBorders>
              <w:top w:val="single" w:color="auto" w:sz="4" w:space="0"/>
              <w:left w:val="single" w:color="auto" w:sz="4" w:space="0"/>
              <w:bottom w:val="single" w:color="auto" w:sz="4" w:space="0"/>
              <w:right w:val="single" w:color="auto" w:sz="4" w:space="0"/>
            </w:tcBorders>
            <w:noWrap/>
            <w:vAlign w:val="center"/>
          </w:tcPr>
          <w:p w14:paraId="447A7AEE">
            <w:pPr>
              <w:widowControl/>
              <w:tabs>
                <w:tab w:val="left" w:pos="8460"/>
              </w:tabs>
              <w:adjustRightInd w:val="0"/>
              <w:spacing w:line="360" w:lineRule="auto"/>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价格分</w:t>
            </w:r>
          </w:p>
          <w:p w14:paraId="57F02019">
            <w:pPr>
              <w:widowControl/>
              <w:tabs>
                <w:tab w:val="left" w:pos="8460"/>
              </w:tabs>
              <w:adjustRightInd w:val="0"/>
              <w:spacing w:line="360" w:lineRule="auto"/>
              <w:jc w:val="center"/>
              <w:textAlignment w:val="baseline"/>
              <w:rPr>
                <w:rFonts w:ascii="宋体" w:hAnsi="宋体" w:cs="宋体"/>
                <w:color w:val="auto"/>
                <w:kern w:val="0"/>
                <w:szCs w:val="21"/>
                <w:highlight w:val="none"/>
              </w:rPr>
            </w:pPr>
            <w:r>
              <w:rPr>
                <w:rFonts w:hint="eastAsia" w:ascii="宋体" w:hAnsi="宋体" w:cs="宋体"/>
                <w:bCs/>
                <w:color w:val="auto"/>
                <w:kern w:val="0"/>
                <w:szCs w:val="21"/>
                <w:highlight w:val="none"/>
              </w:rPr>
              <w:t>（10分）</w:t>
            </w:r>
          </w:p>
        </w:tc>
        <w:tc>
          <w:tcPr>
            <w:tcW w:w="7983" w:type="dxa"/>
            <w:tcBorders>
              <w:top w:val="single" w:color="auto" w:sz="4" w:space="0"/>
              <w:left w:val="single" w:color="auto" w:sz="4" w:space="0"/>
              <w:bottom w:val="single" w:color="auto" w:sz="4" w:space="0"/>
              <w:right w:val="single" w:color="auto" w:sz="4" w:space="0"/>
            </w:tcBorders>
            <w:noWrap/>
            <w:vAlign w:val="center"/>
          </w:tcPr>
          <w:p w14:paraId="1DE360AF">
            <w:pPr>
              <w:widowControl/>
              <w:spacing w:line="420" w:lineRule="exact"/>
              <w:ind w:firstLine="420" w:firstLineChars="200"/>
              <w:rPr>
                <w:rFonts w:ascii="宋体" w:hAnsi="宋体"/>
                <w:bCs/>
                <w:color w:val="auto"/>
                <w:szCs w:val="21"/>
                <w:highlight w:val="none"/>
              </w:rPr>
            </w:pPr>
            <w:r>
              <w:rPr>
                <w:rFonts w:hint="eastAsia" w:ascii="宋体" w:hAnsi="宋体"/>
                <w:bCs/>
                <w:color w:val="auto"/>
                <w:szCs w:val="21"/>
                <w:highlight w:val="none"/>
              </w:rPr>
              <w:t>（1）评标报价为投标人的投标报价进行政策性扣除后的价格，评标报价只是作为评标时使用。最终中标人的中标价等于投标报价。</w:t>
            </w:r>
          </w:p>
          <w:p w14:paraId="06B3DEEB">
            <w:pPr>
              <w:widowControl/>
              <w:spacing w:line="420" w:lineRule="exact"/>
              <w:ind w:firstLine="420" w:firstLineChars="200"/>
              <w:rPr>
                <w:rFonts w:ascii="宋体" w:hAnsi="宋体"/>
                <w:bCs/>
                <w:color w:val="auto"/>
                <w:szCs w:val="21"/>
                <w:highlight w:val="none"/>
              </w:rPr>
            </w:pPr>
            <w:r>
              <w:rPr>
                <w:rFonts w:hint="eastAsia" w:ascii="宋体" w:hAnsi="宋体"/>
                <w:bCs/>
                <w:color w:val="auto"/>
                <w:szCs w:val="21"/>
                <w:highlight w:val="none"/>
              </w:rPr>
              <w:t>（2）政策性扣除计算方法。</w:t>
            </w:r>
          </w:p>
          <w:p w14:paraId="335D3DF4">
            <w:pPr>
              <w:widowControl/>
              <w:snapToGrid w:val="0"/>
              <w:spacing w:line="420" w:lineRule="exact"/>
              <w:ind w:firstLine="420" w:firstLineChars="200"/>
              <w:rPr>
                <w:rFonts w:ascii="宋体" w:hAnsi="宋体"/>
                <w:color w:val="auto"/>
                <w:szCs w:val="21"/>
                <w:highlight w:val="none"/>
              </w:rPr>
            </w:pPr>
            <w:r>
              <w:rPr>
                <w:rFonts w:hint="eastAsia" w:ascii="宋体" w:hAnsi="宋体"/>
                <w:bCs/>
                <w:color w:val="auto"/>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且服务全部由小微企业承接对其投标报价给予20%的扣除，扣除后的价格为评标报价，即评标报价=投标报价×（1-</w:t>
            </w:r>
            <w:r>
              <w:rPr>
                <w:rFonts w:hint="eastAsia" w:ascii="宋体" w:hAnsi="宋体"/>
                <w:bCs/>
                <w:color w:val="auto"/>
                <w:szCs w:val="21"/>
                <w:highlight w:val="none"/>
                <w:u w:val="single"/>
              </w:rPr>
              <w:t xml:space="preserve"> 2</w:t>
            </w:r>
            <w:r>
              <w:rPr>
                <w:rFonts w:ascii="宋体" w:hAnsi="宋体"/>
                <w:bCs/>
                <w:color w:val="auto"/>
                <w:szCs w:val="21"/>
                <w:highlight w:val="none"/>
                <w:u w:val="single"/>
              </w:rPr>
              <w:t>0</w:t>
            </w:r>
            <w:r>
              <w:rPr>
                <w:rFonts w:hint="eastAsia" w:ascii="宋体" w:hAnsi="宋体"/>
                <w:bCs/>
                <w:color w:val="auto"/>
                <w:szCs w:val="21"/>
                <w:highlight w:val="none"/>
                <w:u w:val="single"/>
              </w:rPr>
              <w:t xml:space="preserve">  </w:t>
            </w:r>
            <w:r>
              <w:rPr>
                <w:rFonts w:hint="eastAsia" w:ascii="宋体" w:hAnsi="宋体"/>
                <w:bCs/>
                <w:color w:val="auto"/>
                <w:szCs w:val="21"/>
                <w:highlight w:val="none"/>
              </w:rPr>
              <w:t>%）。除上述情况外，评标报价=投标报价。</w:t>
            </w:r>
          </w:p>
          <w:p w14:paraId="154B083D">
            <w:pPr>
              <w:widowControl/>
              <w:spacing w:line="420" w:lineRule="exact"/>
              <w:ind w:firstLine="420" w:firstLineChars="200"/>
              <w:rPr>
                <w:rFonts w:ascii="宋体" w:hAnsi="宋体"/>
                <w:bCs/>
                <w:color w:val="auto"/>
                <w:szCs w:val="21"/>
                <w:highlight w:val="none"/>
              </w:rPr>
            </w:pPr>
            <w:r>
              <w:rPr>
                <w:rFonts w:hint="eastAsia" w:ascii="宋体" w:hAnsi="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Cs w:val="21"/>
                <w:highlight w:val="none"/>
              </w:rPr>
              <w:t>监狱企业参加政府采购活动时，应当提供由省级以上监狱管理局、戒毒管理局（含新疆生产建设兵团）出具的属于监狱企业的证明文件。</w:t>
            </w:r>
            <w:r>
              <w:rPr>
                <w:rFonts w:hint="eastAsia" w:ascii="宋体" w:hAnsi="宋体"/>
                <w:bCs/>
                <w:color w:val="auto"/>
                <w:szCs w:val="21"/>
                <w:highlight w:val="none"/>
              </w:rPr>
              <w:t>监狱企业属于小型、微型企业的，不重复享受政策。</w:t>
            </w:r>
          </w:p>
          <w:p w14:paraId="53EF10A9">
            <w:pPr>
              <w:widowControl/>
              <w:spacing w:line="420" w:lineRule="exact"/>
              <w:ind w:firstLine="420" w:firstLineChars="200"/>
              <w:rPr>
                <w:rFonts w:ascii="宋体" w:hAnsi="宋体"/>
                <w:bCs/>
                <w:color w:val="auto"/>
                <w:szCs w:val="21"/>
                <w:highlight w:val="none"/>
              </w:rPr>
            </w:pPr>
            <w:r>
              <w:rPr>
                <w:rFonts w:hint="eastAsia" w:ascii="宋体" w:hAnsi="宋体"/>
                <w:color w:val="auto"/>
                <w:szCs w:val="21"/>
                <w:highlight w:val="none"/>
              </w:rPr>
              <w:t>（4）按照</w:t>
            </w:r>
            <w:r>
              <w:rPr>
                <w:rFonts w:hint="eastAsia" w:ascii="宋体" w:hAnsi="宋体"/>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Cs w:val="21"/>
                <w:highlight w:val="none"/>
              </w:rPr>
              <w:t>残疾人福利性单位参加政府采购活动时，应当提供该通知规定的《残疾人福利性单位声明函》，并对声明的真实性负责。</w:t>
            </w:r>
            <w:r>
              <w:rPr>
                <w:rFonts w:hint="eastAsia" w:ascii="宋体" w:hAnsi="宋体"/>
                <w:bCs/>
                <w:color w:val="auto"/>
                <w:szCs w:val="21"/>
                <w:highlight w:val="none"/>
              </w:rPr>
              <w:t>残疾人福利性单位属于小型、微型企业的，不重复享受政策。</w:t>
            </w:r>
          </w:p>
          <w:p w14:paraId="6E7D03FE">
            <w:pPr>
              <w:widowControl/>
              <w:spacing w:line="420" w:lineRule="exact"/>
              <w:ind w:firstLine="420" w:firstLineChars="200"/>
              <w:rPr>
                <w:rFonts w:ascii="宋体" w:hAnsi="宋体"/>
                <w:bCs/>
                <w:color w:val="auto"/>
                <w:szCs w:val="21"/>
                <w:highlight w:val="none"/>
              </w:rPr>
            </w:pPr>
            <w:r>
              <w:rPr>
                <w:rFonts w:hint="eastAsia" w:ascii="宋体" w:hAnsi="宋体"/>
                <w:bCs/>
                <w:color w:val="auto"/>
                <w:szCs w:val="21"/>
                <w:highlight w:val="none"/>
              </w:rPr>
              <w:t>（</w:t>
            </w:r>
            <w:r>
              <w:rPr>
                <w:rFonts w:ascii="宋体" w:hAnsi="宋体"/>
                <w:bCs/>
                <w:color w:val="auto"/>
                <w:szCs w:val="21"/>
                <w:highlight w:val="none"/>
              </w:rPr>
              <w:t>5</w:t>
            </w:r>
            <w:r>
              <w:rPr>
                <w:rFonts w:hint="eastAsia" w:ascii="宋体" w:hAnsi="宋体"/>
                <w:bCs/>
                <w:color w:val="auto"/>
                <w:szCs w:val="21"/>
                <w:highlight w:val="none"/>
              </w:rPr>
              <w:t>）本项目报价包含两部分内容，分别为：投标总报价和超时小时费报价。</w:t>
            </w:r>
          </w:p>
          <w:p w14:paraId="5AE14730">
            <w:pPr>
              <w:widowControl/>
              <w:spacing w:line="420" w:lineRule="exact"/>
              <w:ind w:firstLine="420" w:firstLineChars="200"/>
              <w:rPr>
                <w:rFonts w:ascii="宋体" w:hAnsi="宋体"/>
                <w:bCs/>
                <w:color w:val="auto"/>
                <w:szCs w:val="21"/>
                <w:highlight w:val="none"/>
              </w:rPr>
            </w:pPr>
            <w:r>
              <w:rPr>
                <w:rFonts w:hint="eastAsia" w:ascii="宋体" w:hAnsi="宋体"/>
                <w:bCs/>
                <w:color w:val="auto"/>
                <w:szCs w:val="21"/>
                <w:highlight w:val="none"/>
              </w:rPr>
              <w:t>1、投标总报价（</w:t>
            </w:r>
            <w:r>
              <w:rPr>
                <w:rFonts w:hint="eastAsia" w:ascii="宋体" w:hAnsi="宋体"/>
                <w:bCs/>
                <w:color w:val="auto"/>
                <w:szCs w:val="21"/>
                <w:highlight w:val="none"/>
                <w:lang w:val="en-US" w:eastAsia="zh-CN"/>
              </w:rPr>
              <w:t>8</w:t>
            </w:r>
            <w:r>
              <w:rPr>
                <w:rFonts w:hint="eastAsia" w:ascii="宋体" w:hAnsi="宋体"/>
                <w:bCs/>
                <w:color w:val="auto"/>
                <w:szCs w:val="21"/>
                <w:highlight w:val="none"/>
              </w:rPr>
              <w:t>分）：</w:t>
            </w:r>
          </w:p>
          <w:p w14:paraId="71E673E0">
            <w:pPr>
              <w:widowControl/>
              <w:spacing w:line="420" w:lineRule="exact"/>
              <w:ind w:firstLine="420" w:firstLineChars="200"/>
              <w:rPr>
                <w:rFonts w:ascii="宋体" w:hAnsi="宋体"/>
                <w:color w:val="auto"/>
                <w:szCs w:val="21"/>
                <w:highlight w:val="none"/>
              </w:rPr>
            </w:pPr>
            <w:r>
              <w:rPr>
                <w:rFonts w:hint="eastAsia" w:ascii="微软雅黑" w:hAnsi="微软雅黑" w:eastAsia="微软雅黑" w:cs="微软雅黑"/>
                <w:color w:val="auto"/>
                <w:szCs w:val="21"/>
                <w:highlight w:val="none"/>
              </w:rPr>
              <w:t>①</w:t>
            </w:r>
            <w:r>
              <w:rPr>
                <w:rFonts w:hint="eastAsia" w:ascii="宋体" w:hAnsi="宋体"/>
                <w:color w:val="auto"/>
                <w:szCs w:val="21"/>
                <w:highlight w:val="none"/>
              </w:rPr>
              <w:t>满足招标文件要求且评标报价最低的评标报价为评标基准价，其价格分为满分。</w:t>
            </w:r>
          </w:p>
          <w:p w14:paraId="4262BC4A">
            <w:pPr>
              <w:widowControl/>
              <w:spacing w:line="420" w:lineRule="exact"/>
              <w:ind w:firstLine="420" w:firstLineChars="200"/>
              <w:rPr>
                <w:rFonts w:ascii="宋体" w:hAnsi="宋体" w:cs="宋体"/>
                <w:bCs/>
                <w:color w:val="auto"/>
                <w:szCs w:val="21"/>
                <w:highlight w:val="none"/>
              </w:rPr>
            </w:pPr>
            <w:r>
              <w:rPr>
                <w:rFonts w:hint="eastAsia" w:ascii="微软雅黑" w:hAnsi="微软雅黑" w:eastAsia="微软雅黑" w:cs="微软雅黑"/>
                <w:bCs/>
                <w:color w:val="auto"/>
                <w:szCs w:val="21"/>
                <w:highlight w:val="none"/>
              </w:rPr>
              <w:t>②</w:t>
            </w:r>
            <w:r>
              <w:rPr>
                <w:rFonts w:hint="eastAsia" w:ascii="宋体" w:hAnsi="宋体"/>
                <w:bCs/>
                <w:color w:val="auto"/>
                <w:szCs w:val="21"/>
                <w:highlight w:val="none"/>
              </w:rPr>
              <w:t>价格分计算公式：价格分</w:t>
            </w:r>
            <w:r>
              <w:rPr>
                <w:rFonts w:hint="eastAsia" w:ascii="宋体" w:hAnsi="宋体" w:cs="Courier New"/>
                <w:bCs/>
                <w:color w:val="auto"/>
                <w:szCs w:val="21"/>
                <w:highlight w:val="none"/>
              </w:rPr>
              <w:t>=（评标基准价／评标报价）×</w:t>
            </w:r>
            <w:r>
              <w:rPr>
                <w:rFonts w:hint="eastAsia" w:ascii="宋体" w:hAnsi="宋体"/>
                <w:bCs/>
                <w:color w:val="auto"/>
                <w:szCs w:val="21"/>
                <w:highlight w:val="none"/>
                <w:u w:val="none"/>
              </w:rPr>
              <w:t xml:space="preserve"> </w:t>
            </w:r>
            <w:r>
              <w:rPr>
                <w:rFonts w:hint="eastAsia" w:ascii="宋体" w:hAnsi="宋体"/>
                <w:bCs/>
                <w:color w:val="auto"/>
                <w:szCs w:val="21"/>
                <w:highlight w:val="none"/>
                <w:u w:val="none"/>
                <w:lang w:val="en-US" w:eastAsia="zh-CN"/>
              </w:rPr>
              <w:t>8</w:t>
            </w:r>
            <w:r>
              <w:rPr>
                <w:rFonts w:hint="eastAsia" w:ascii="宋体" w:hAnsi="宋体" w:cs="Courier New"/>
                <w:bCs/>
                <w:color w:val="auto"/>
                <w:szCs w:val="21"/>
                <w:highlight w:val="none"/>
              </w:rPr>
              <w:t>分</w:t>
            </w:r>
            <w:r>
              <w:rPr>
                <w:rFonts w:hint="eastAsia" w:ascii="宋体" w:hAnsi="宋体" w:cs="宋体"/>
                <w:bCs/>
                <w:color w:val="auto"/>
                <w:szCs w:val="21"/>
                <w:highlight w:val="none"/>
              </w:rPr>
              <w:t>。</w:t>
            </w:r>
          </w:p>
          <w:p w14:paraId="31BFE555">
            <w:pPr>
              <w:widowControl/>
              <w:numPr>
                <w:ilvl w:val="0"/>
                <w:numId w:val="3"/>
              </w:numPr>
              <w:spacing w:line="42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超时小时费报价（</w:t>
            </w:r>
            <w:r>
              <w:rPr>
                <w:rFonts w:hint="eastAsia" w:ascii="宋体" w:hAnsi="宋体"/>
                <w:bCs/>
                <w:color w:val="auto"/>
                <w:szCs w:val="21"/>
                <w:highlight w:val="none"/>
                <w:lang w:val="en-US" w:eastAsia="zh-CN"/>
              </w:rPr>
              <w:t>2</w:t>
            </w:r>
            <w:r>
              <w:rPr>
                <w:rFonts w:hint="eastAsia" w:ascii="宋体" w:hAnsi="宋体"/>
                <w:bCs/>
                <w:color w:val="auto"/>
                <w:szCs w:val="21"/>
                <w:highlight w:val="none"/>
              </w:rPr>
              <w:t>分）：单小时费用最高限价为1.5万元</w:t>
            </w:r>
          </w:p>
          <w:p w14:paraId="5BDFF930">
            <w:pPr>
              <w:widowControl/>
              <w:spacing w:line="420" w:lineRule="exact"/>
              <w:ind w:firstLine="420" w:firstLineChars="200"/>
              <w:rPr>
                <w:rFonts w:ascii="宋体" w:hAnsi="宋体"/>
                <w:bCs/>
                <w:color w:val="auto"/>
                <w:szCs w:val="21"/>
                <w:highlight w:val="none"/>
              </w:rPr>
            </w:pPr>
            <w:r>
              <w:rPr>
                <w:rFonts w:hint="eastAsia" w:ascii="宋体" w:hAnsi="宋体"/>
                <w:bCs/>
                <w:color w:val="auto"/>
                <w:szCs w:val="21"/>
                <w:highlight w:val="none"/>
              </w:rPr>
              <w:t>①满足招标文件要求且评标报价最低的评标报价为评标基准价，其价格分为满分。</w:t>
            </w:r>
          </w:p>
          <w:p w14:paraId="66EF0E9F">
            <w:pPr>
              <w:widowControl/>
              <w:spacing w:line="420" w:lineRule="exact"/>
              <w:ind w:firstLine="420" w:firstLineChars="200"/>
              <w:rPr>
                <w:rFonts w:ascii="宋体" w:hAnsi="宋体"/>
                <w:bCs/>
                <w:color w:val="auto"/>
                <w:szCs w:val="21"/>
                <w:highlight w:val="none"/>
              </w:rPr>
            </w:pPr>
            <w:r>
              <w:rPr>
                <w:rFonts w:hint="eastAsia" w:ascii="宋体" w:hAnsi="宋体"/>
                <w:bCs/>
                <w:color w:val="auto"/>
                <w:szCs w:val="21"/>
                <w:highlight w:val="none"/>
              </w:rPr>
              <w:t xml:space="preserve">②价格分计算公式：价格分=（评标基准价／评标报价）× </w:t>
            </w:r>
            <w:r>
              <w:rPr>
                <w:rFonts w:hint="eastAsia" w:ascii="宋体" w:hAnsi="宋体"/>
                <w:bCs/>
                <w:color w:val="auto"/>
                <w:szCs w:val="21"/>
                <w:highlight w:val="none"/>
                <w:lang w:val="en-US" w:eastAsia="zh-CN"/>
              </w:rPr>
              <w:t>2</w:t>
            </w:r>
            <w:r>
              <w:rPr>
                <w:rFonts w:hint="eastAsia" w:ascii="宋体" w:hAnsi="宋体"/>
                <w:bCs/>
                <w:color w:val="auto"/>
                <w:szCs w:val="21"/>
                <w:highlight w:val="none"/>
              </w:rPr>
              <w:t>分。</w:t>
            </w:r>
          </w:p>
          <w:p w14:paraId="6823A26F">
            <w:pPr>
              <w:widowControl/>
              <w:spacing w:line="420" w:lineRule="exact"/>
              <w:ind w:firstLine="420" w:firstLineChars="200"/>
              <w:rPr>
                <w:color w:val="auto"/>
                <w:highlight w:val="none"/>
              </w:rPr>
            </w:pPr>
            <w:r>
              <w:rPr>
                <w:rFonts w:hint="eastAsia" w:ascii="宋体" w:hAnsi="宋体"/>
                <w:bCs/>
                <w:color w:val="auto"/>
                <w:szCs w:val="21"/>
                <w:highlight w:val="none"/>
              </w:rPr>
              <w:t>（6）价格分=投标总报价+超时小时费报价</w:t>
            </w:r>
          </w:p>
        </w:tc>
      </w:tr>
      <w:tr w14:paraId="35F5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1" w:type="dxa"/>
            <w:vMerge w:val="restart"/>
            <w:tcBorders>
              <w:top w:val="single" w:color="auto" w:sz="4" w:space="0"/>
              <w:left w:val="single" w:color="auto" w:sz="4" w:space="0"/>
              <w:right w:val="single" w:color="auto" w:sz="4" w:space="0"/>
            </w:tcBorders>
            <w:noWrap/>
            <w:vAlign w:val="center"/>
          </w:tcPr>
          <w:p w14:paraId="36BC9A0E">
            <w:pPr>
              <w:pStyle w:val="31"/>
              <w:spacing w:line="360" w:lineRule="auto"/>
              <w:rPr>
                <w:rFonts w:ascii="宋体" w:hAnsi="宋体"/>
                <w:color w:val="auto"/>
                <w:sz w:val="21"/>
                <w:szCs w:val="21"/>
                <w:highlight w:val="none"/>
              </w:rPr>
            </w:pPr>
            <w:r>
              <w:rPr>
                <w:rFonts w:hint="eastAsia" w:ascii="宋体" w:hAnsi="宋体" w:cs="宋体"/>
                <w:color w:val="auto"/>
                <w:sz w:val="21"/>
                <w:szCs w:val="21"/>
                <w:highlight w:val="none"/>
              </w:rPr>
              <w:t>2</w:t>
            </w:r>
          </w:p>
        </w:tc>
        <w:tc>
          <w:tcPr>
            <w:tcW w:w="1134" w:type="dxa"/>
            <w:vMerge w:val="restart"/>
            <w:tcBorders>
              <w:top w:val="single" w:color="auto" w:sz="4" w:space="0"/>
              <w:left w:val="single" w:color="auto" w:sz="4" w:space="0"/>
              <w:right w:val="single" w:color="auto" w:sz="4" w:space="0"/>
            </w:tcBorders>
            <w:noWrap/>
            <w:vAlign w:val="center"/>
          </w:tcPr>
          <w:p w14:paraId="02694B6C">
            <w:pPr>
              <w:widowControl/>
              <w:tabs>
                <w:tab w:val="left" w:pos="8460"/>
              </w:tabs>
              <w:adjustRightInd w:val="0"/>
              <w:spacing w:line="360" w:lineRule="auto"/>
              <w:jc w:val="center"/>
              <w:textAlignment w:val="baseline"/>
              <w:rPr>
                <w:rFonts w:ascii="宋体" w:hAnsi="宋体" w:cs="宋体"/>
                <w:bCs/>
                <w:color w:val="auto"/>
                <w:kern w:val="0"/>
                <w:szCs w:val="21"/>
                <w:highlight w:val="none"/>
              </w:rPr>
            </w:pPr>
            <w:r>
              <w:rPr>
                <w:rFonts w:hint="eastAsia" w:ascii="宋体" w:hAnsi="宋体"/>
                <w:bCs/>
                <w:color w:val="auto"/>
                <w:szCs w:val="21"/>
                <w:highlight w:val="none"/>
              </w:rPr>
              <w:t>技术分</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38</w:t>
            </w:r>
            <w:r>
              <w:rPr>
                <w:rFonts w:hint="eastAsia" w:ascii="宋体" w:hAnsi="宋体" w:cs="宋体"/>
                <w:bCs/>
                <w:color w:val="auto"/>
                <w:szCs w:val="21"/>
                <w:highlight w:val="none"/>
              </w:rPr>
              <w:t>分）</w:t>
            </w:r>
          </w:p>
        </w:tc>
        <w:tc>
          <w:tcPr>
            <w:tcW w:w="7983" w:type="dxa"/>
            <w:tcBorders>
              <w:top w:val="single" w:color="auto" w:sz="4" w:space="0"/>
              <w:left w:val="single" w:color="auto" w:sz="4" w:space="0"/>
              <w:right w:val="single" w:color="auto" w:sz="4" w:space="0"/>
            </w:tcBorders>
            <w:noWrap/>
          </w:tcPr>
          <w:p w14:paraId="64222438">
            <w:pPr>
              <w:pStyle w:val="26"/>
              <w:spacing w:line="420" w:lineRule="exact"/>
              <w:jc w:val="left"/>
              <w:rPr>
                <w:rFonts w:hAnsi="宋体" w:cs="宋体"/>
                <w:b/>
                <w:color w:val="auto"/>
                <w:highlight w:val="none"/>
              </w:rPr>
            </w:pPr>
            <w:r>
              <w:rPr>
                <w:rFonts w:hint="eastAsia" w:hAnsi="宋体" w:cs="宋体"/>
                <w:b/>
                <w:color w:val="auto"/>
                <w:highlight w:val="none"/>
              </w:rPr>
              <w:t xml:space="preserve">1.运行保障方案（15分） </w:t>
            </w:r>
          </w:p>
          <w:p w14:paraId="4C6619EF">
            <w:pPr>
              <w:snapToGrid w:val="0"/>
              <w:spacing w:line="360" w:lineRule="auto"/>
              <w:ind w:firstLine="420" w:firstLineChars="200"/>
              <w:rPr>
                <w:bCs/>
                <w:color w:val="auto"/>
                <w:highlight w:val="none"/>
              </w:rPr>
            </w:pPr>
            <w:r>
              <w:rPr>
                <w:rFonts w:hint="eastAsia"/>
                <w:bCs/>
                <w:color w:val="auto"/>
                <w:highlight w:val="none"/>
              </w:rPr>
              <w:t>一档（5分）：提供的运行保障方案包含有航务保障、飞行保障等内容，能满足采购文件需求。</w:t>
            </w:r>
          </w:p>
          <w:p w14:paraId="64BD65BD">
            <w:pPr>
              <w:snapToGrid w:val="0"/>
              <w:spacing w:line="360" w:lineRule="auto"/>
              <w:ind w:firstLine="420" w:firstLineChars="200"/>
              <w:rPr>
                <w:bCs/>
                <w:color w:val="auto"/>
                <w:highlight w:val="none"/>
              </w:rPr>
            </w:pPr>
            <w:r>
              <w:rPr>
                <w:rFonts w:hint="eastAsia"/>
                <w:bCs/>
                <w:color w:val="auto"/>
                <w:highlight w:val="none"/>
              </w:rPr>
              <w:t>二档（10分）：在满足一档的基础上，提供的航务保障内容包含空域协调、军民航沟通、机场使用许可、航线保障、转场勤务等内容；提供的飞行保障内容包含机组人员配置、飞行任务执行、飞行计划落实、无故拒飞/延误防控、空进场防范等保障内容。</w:t>
            </w:r>
          </w:p>
          <w:p w14:paraId="457CE0FE">
            <w:pPr>
              <w:snapToGrid w:val="0"/>
              <w:spacing w:line="360" w:lineRule="auto"/>
              <w:ind w:firstLine="420" w:firstLineChars="200"/>
              <w:rPr>
                <w:rFonts w:ascii="宋体" w:hAnsi="宋体" w:cs="Tahoma"/>
                <w:color w:val="auto"/>
                <w:kern w:val="0"/>
                <w:szCs w:val="21"/>
                <w:highlight w:val="none"/>
              </w:rPr>
            </w:pPr>
            <w:r>
              <w:rPr>
                <w:rFonts w:hint="eastAsia"/>
                <w:bCs/>
                <w:color w:val="auto"/>
                <w:highlight w:val="none"/>
              </w:rPr>
              <w:t>三档（15分）：在满足二档的基础上，提供的运行保障方案包含航油保障（含油料供给、油料质量管控、油料补给时效、驻场/转场油料保障）；维修保障（含新舟60机型定检计划、日常维护、适航管理、航材储备与供应、单机技术档案管理、备用机保障策略）；安全管理（含安全生产责任、适航责任落实、保险办理与理赔、安全防控体系、人员培训、不定期检查配合）等内容</w:t>
            </w:r>
            <w:r>
              <w:rPr>
                <w:rFonts w:hint="eastAsia" w:ascii="宋体" w:hAnsi="宋体" w:cs="Tahoma"/>
                <w:color w:val="auto"/>
                <w:kern w:val="0"/>
                <w:szCs w:val="21"/>
                <w:highlight w:val="none"/>
              </w:rPr>
              <w:t>。对项目难点有针对性地提出应对措施的建议，对项目整体实施有合理化建议和解决措施。</w:t>
            </w:r>
          </w:p>
          <w:p w14:paraId="1FAFEB03">
            <w:pPr>
              <w:snapToGrid w:val="0"/>
              <w:spacing w:line="360" w:lineRule="auto"/>
              <w:ind w:firstLine="420" w:firstLineChars="200"/>
              <w:rPr>
                <w:color w:val="auto"/>
                <w:highlight w:val="none"/>
              </w:rPr>
            </w:pPr>
            <w:r>
              <w:rPr>
                <w:rFonts w:hint="eastAsia" w:ascii="宋体" w:hAnsi="宋体" w:cs="宋体"/>
                <w:color w:val="auto"/>
                <w:szCs w:val="21"/>
                <w:highlight w:val="none"/>
              </w:rPr>
              <w:t>注：未提供方案的或经评委评审所提供的方案内容未达一档标准的，得0分。</w:t>
            </w:r>
          </w:p>
        </w:tc>
      </w:tr>
      <w:tr w14:paraId="49D9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1" w:type="dxa"/>
            <w:vMerge w:val="continue"/>
            <w:tcBorders>
              <w:left w:val="single" w:color="auto" w:sz="4" w:space="0"/>
              <w:right w:val="single" w:color="auto" w:sz="4" w:space="0"/>
            </w:tcBorders>
            <w:noWrap/>
            <w:vAlign w:val="center"/>
          </w:tcPr>
          <w:p w14:paraId="40C6DAE4">
            <w:pPr>
              <w:adjustRightInd w:val="0"/>
              <w:spacing w:line="360" w:lineRule="auto"/>
              <w:ind w:left="-105" w:leftChars="-50" w:right="-105" w:rightChars="-50"/>
              <w:jc w:val="center"/>
              <w:textAlignment w:val="baseline"/>
              <w:rPr>
                <w:rFonts w:ascii="宋体" w:hAnsi="宋体" w:cs="宋体"/>
                <w:color w:val="auto"/>
                <w:szCs w:val="21"/>
                <w:highlight w:val="none"/>
              </w:rPr>
            </w:pPr>
          </w:p>
        </w:tc>
        <w:tc>
          <w:tcPr>
            <w:tcW w:w="1134" w:type="dxa"/>
            <w:vMerge w:val="continue"/>
            <w:tcBorders>
              <w:left w:val="single" w:color="auto" w:sz="4" w:space="0"/>
              <w:right w:val="single" w:color="auto" w:sz="4" w:space="0"/>
            </w:tcBorders>
            <w:noWrap/>
            <w:vAlign w:val="center"/>
          </w:tcPr>
          <w:p w14:paraId="72C351F6">
            <w:pPr>
              <w:spacing w:line="360" w:lineRule="auto"/>
              <w:jc w:val="center"/>
              <w:rPr>
                <w:rFonts w:ascii="宋体" w:hAnsi="宋体" w:cs="宋体"/>
                <w:bCs/>
                <w:color w:val="auto"/>
                <w:szCs w:val="21"/>
                <w:highlight w:val="none"/>
              </w:rPr>
            </w:pPr>
          </w:p>
        </w:tc>
        <w:tc>
          <w:tcPr>
            <w:tcW w:w="7983" w:type="dxa"/>
            <w:tcBorders>
              <w:top w:val="single" w:color="auto" w:sz="4" w:space="0"/>
              <w:left w:val="single" w:color="auto" w:sz="4" w:space="0"/>
              <w:bottom w:val="single" w:color="auto" w:sz="4" w:space="0"/>
              <w:right w:val="single" w:color="auto" w:sz="4" w:space="0"/>
            </w:tcBorders>
            <w:noWrap/>
            <w:vAlign w:val="center"/>
          </w:tcPr>
          <w:p w14:paraId="39916491">
            <w:pPr>
              <w:spacing w:line="360" w:lineRule="auto"/>
              <w:rPr>
                <w:rFonts w:hAnsi="宋体" w:cs="宋体"/>
                <w:bCs/>
                <w:color w:val="auto"/>
                <w:highlight w:val="none"/>
              </w:rPr>
            </w:pPr>
            <w:r>
              <w:rPr>
                <w:rFonts w:hint="eastAsia" w:hAnsi="宋体" w:cs="宋体"/>
                <w:b/>
                <w:color w:val="auto"/>
                <w:highlight w:val="none"/>
              </w:rPr>
              <w:t>2.应急预案（15分）</w:t>
            </w:r>
            <w:r>
              <w:rPr>
                <w:rFonts w:hint="eastAsia" w:hAnsi="宋体" w:cs="宋体"/>
                <w:bCs/>
                <w:color w:val="auto"/>
                <w:highlight w:val="none"/>
              </w:rPr>
              <w:t xml:space="preserve"> </w:t>
            </w:r>
          </w:p>
          <w:p w14:paraId="530B8F9E">
            <w:pPr>
              <w:spacing w:line="360" w:lineRule="auto"/>
              <w:ind w:firstLine="420" w:firstLineChars="200"/>
              <w:jc w:val="left"/>
              <w:rPr>
                <w:rFonts w:hAnsi="宋体" w:cs="宋体"/>
                <w:color w:val="auto"/>
                <w:szCs w:val="21"/>
                <w:highlight w:val="none"/>
              </w:rPr>
            </w:pPr>
            <w:r>
              <w:rPr>
                <w:rFonts w:hint="eastAsia" w:hAnsi="宋体" w:cs="宋体"/>
                <w:color w:val="auto"/>
                <w:szCs w:val="21"/>
                <w:highlight w:val="none"/>
              </w:rPr>
              <w:t>一档（5分）：提供的</w:t>
            </w:r>
            <w:r>
              <w:rPr>
                <w:rFonts w:hint="eastAsia" w:hAnsi="宋体" w:cs="宋体"/>
                <w:bCs/>
                <w:color w:val="auto"/>
                <w:highlight w:val="none"/>
              </w:rPr>
              <w:t>应急预案</w:t>
            </w:r>
            <w:r>
              <w:rPr>
                <w:rFonts w:hint="eastAsia" w:hAnsi="宋体" w:cs="宋体"/>
                <w:color w:val="auto"/>
                <w:szCs w:val="21"/>
                <w:highlight w:val="none"/>
              </w:rPr>
              <w:t>包含有</w:t>
            </w:r>
            <w:r>
              <w:rPr>
                <w:rFonts w:hint="eastAsia" w:hAnsi="宋体" w:cs="宋体"/>
                <w:bCs/>
                <w:color w:val="auto"/>
                <w:highlight w:val="none"/>
              </w:rPr>
              <w:t>应急团队保障</w:t>
            </w:r>
            <w:r>
              <w:rPr>
                <w:rFonts w:hint="eastAsia" w:hAnsi="宋体" w:cs="宋体"/>
                <w:color w:val="auto"/>
                <w:szCs w:val="21"/>
                <w:highlight w:val="none"/>
              </w:rPr>
              <w:t>、</w:t>
            </w:r>
            <w:r>
              <w:rPr>
                <w:rFonts w:hint="eastAsia" w:hAnsi="宋体" w:cs="宋体"/>
                <w:bCs/>
                <w:color w:val="auto"/>
                <w:highlight w:val="none"/>
              </w:rPr>
              <w:t>应急处置程序</w:t>
            </w:r>
            <w:r>
              <w:rPr>
                <w:rFonts w:hint="eastAsia" w:hAnsi="宋体" w:cs="宋体"/>
                <w:color w:val="auto"/>
                <w:szCs w:val="21"/>
                <w:highlight w:val="none"/>
              </w:rPr>
              <w:t>等内容，能满足采购文件需求。</w:t>
            </w:r>
          </w:p>
          <w:p w14:paraId="55C89779">
            <w:pPr>
              <w:spacing w:line="360" w:lineRule="auto"/>
              <w:ind w:firstLine="420" w:firstLineChars="200"/>
              <w:jc w:val="left"/>
              <w:rPr>
                <w:rFonts w:hAnsi="宋体" w:cs="宋体"/>
                <w:color w:val="auto"/>
                <w:szCs w:val="21"/>
                <w:highlight w:val="none"/>
              </w:rPr>
            </w:pPr>
            <w:r>
              <w:rPr>
                <w:rFonts w:hint="eastAsia" w:hAnsi="宋体" w:cs="宋体"/>
                <w:color w:val="auto"/>
                <w:szCs w:val="21"/>
                <w:highlight w:val="none"/>
              </w:rPr>
              <w:t>二档（10分）：</w:t>
            </w:r>
            <w:r>
              <w:rPr>
                <w:rFonts w:hint="eastAsia"/>
                <w:bCs/>
                <w:color w:val="auto"/>
                <w:highlight w:val="none"/>
              </w:rPr>
              <w:t>在满足一档的基础上，提供的</w:t>
            </w:r>
            <w:r>
              <w:rPr>
                <w:rFonts w:hint="eastAsia" w:hAnsi="宋体" w:cs="宋体"/>
                <w:bCs/>
                <w:color w:val="auto"/>
                <w:highlight w:val="none"/>
              </w:rPr>
              <w:t>应急团队保障含专属应急小组配置、应急人员常驻响应</w:t>
            </w:r>
            <w:r>
              <w:rPr>
                <w:rFonts w:hint="eastAsia" w:hAnsi="宋体" w:cs="宋体"/>
                <w:color w:val="auto"/>
                <w:szCs w:val="21"/>
                <w:highlight w:val="none"/>
              </w:rPr>
              <w:t>机制；</w:t>
            </w:r>
            <w:r>
              <w:rPr>
                <w:rFonts w:hint="eastAsia" w:hAnsi="宋体" w:cs="宋体"/>
                <w:bCs/>
                <w:color w:val="auto"/>
                <w:highlight w:val="none"/>
              </w:rPr>
              <w:t>应急处置程序包含飞机故障、飞行异常、空进场、安全事故、转场受阻、定检延误等场景的处置流程、合规报批流程，与采购人及民航/气象部门联动流程）；</w:t>
            </w:r>
            <w:r>
              <w:rPr>
                <w:rFonts w:hint="eastAsia" w:hAnsi="宋体" w:cs="宋体"/>
                <w:color w:val="auto"/>
                <w:szCs w:val="21"/>
                <w:highlight w:val="none"/>
              </w:rPr>
              <w:t>对日常可能出现的故障进行分析，提供有可行性的应对措施。</w:t>
            </w:r>
          </w:p>
          <w:p w14:paraId="784127FA">
            <w:pPr>
              <w:spacing w:line="360" w:lineRule="auto"/>
              <w:ind w:firstLine="420" w:firstLineChars="200"/>
              <w:jc w:val="left"/>
              <w:rPr>
                <w:rFonts w:hAnsi="宋体" w:cs="宋体"/>
                <w:bCs/>
                <w:color w:val="auto"/>
                <w:highlight w:val="none"/>
              </w:rPr>
            </w:pPr>
            <w:r>
              <w:rPr>
                <w:rFonts w:hint="eastAsia" w:hAnsi="宋体" w:cs="宋体"/>
                <w:color w:val="auto"/>
                <w:szCs w:val="21"/>
                <w:highlight w:val="none"/>
              </w:rPr>
              <w:t>三档（15分）：在满足二档基础上，</w:t>
            </w:r>
            <w:r>
              <w:rPr>
                <w:rFonts w:hint="eastAsia"/>
                <w:bCs/>
                <w:color w:val="auto"/>
                <w:highlight w:val="none"/>
              </w:rPr>
              <w:t>提供的</w:t>
            </w:r>
            <w:r>
              <w:rPr>
                <w:rFonts w:hint="eastAsia" w:hAnsi="宋体" w:cs="宋体"/>
                <w:bCs/>
                <w:color w:val="auto"/>
                <w:highlight w:val="none"/>
              </w:rPr>
              <w:t>应急预案</w:t>
            </w:r>
            <w:r>
              <w:rPr>
                <w:rFonts w:hint="eastAsia"/>
                <w:bCs/>
                <w:color w:val="auto"/>
                <w:highlight w:val="none"/>
              </w:rPr>
              <w:t>方案包含</w:t>
            </w:r>
            <w:r>
              <w:rPr>
                <w:rFonts w:hint="eastAsia" w:hAnsi="宋体" w:cs="宋体"/>
                <w:bCs/>
                <w:color w:val="auto"/>
                <w:highlight w:val="none"/>
              </w:rPr>
              <w:t>应急响应和时效（含应急启动时限、故障处置时效、人员到场时效、备用机调派时效、问题反馈闭环时效，明确不可抗力外的响应时限承诺等内容）；应急航材保障（含应急航材储备、紧急调拨/租用流程、维修工具保障、快速维修放行机制等内容）；全场景应急预案与善后（含飞行事故应急、飞机损坏理赔、作业中断补救、人员伤亡处置、技术档案保全、合同终止相关应急衔接等内容），内容从实际出发与服务需求吻合，切合项目背景、项目需求。</w:t>
            </w:r>
          </w:p>
          <w:p w14:paraId="433ACF16">
            <w:pPr>
              <w:spacing w:line="360" w:lineRule="auto"/>
              <w:ind w:firstLine="420" w:firstLineChars="200"/>
              <w:jc w:val="left"/>
              <w:rPr>
                <w:rFonts w:hAnsi="宋体" w:cs="宋体"/>
                <w:bCs/>
                <w:color w:val="auto"/>
                <w:highlight w:val="none"/>
              </w:rPr>
            </w:pPr>
            <w:r>
              <w:rPr>
                <w:rFonts w:hint="eastAsia" w:ascii="宋体" w:hAnsi="宋体" w:cs="宋体"/>
                <w:color w:val="auto"/>
                <w:szCs w:val="21"/>
                <w:highlight w:val="none"/>
              </w:rPr>
              <w:t>注：未提供方案的或经评委评审所提供的方案内容未达一档标准的，得0分。</w:t>
            </w:r>
          </w:p>
        </w:tc>
      </w:tr>
      <w:tr w14:paraId="646A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71" w:type="dxa"/>
            <w:vMerge w:val="continue"/>
            <w:tcBorders>
              <w:left w:val="single" w:color="auto" w:sz="4" w:space="0"/>
              <w:right w:val="single" w:color="auto" w:sz="4" w:space="0"/>
            </w:tcBorders>
            <w:noWrap/>
            <w:vAlign w:val="center"/>
          </w:tcPr>
          <w:p w14:paraId="47E6FE49">
            <w:pPr>
              <w:adjustRightInd w:val="0"/>
              <w:spacing w:line="360" w:lineRule="auto"/>
              <w:jc w:val="center"/>
              <w:textAlignment w:val="baseline"/>
              <w:rPr>
                <w:rFonts w:ascii="宋体" w:hAnsi="宋体" w:cs="宋体"/>
                <w:color w:val="auto"/>
                <w:szCs w:val="21"/>
                <w:highlight w:val="none"/>
              </w:rPr>
            </w:pPr>
          </w:p>
        </w:tc>
        <w:tc>
          <w:tcPr>
            <w:tcW w:w="1134" w:type="dxa"/>
            <w:vMerge w:val="continue"/>
            <w:tcBorders>
              <w:left w:val="single" w:color="auto" w:sz="4" w:space="0"/>
              <w:right w:val="single" w:color="auto" w:sz="4" w:space="0"/>
            </w:tcBorders>
            <w:noWrap/>
            <w:vAlign w:val="center"/>
          </w:tcPr>
          <w:p w14:paraId="4828CC57">
            <w:pPr>
              <w:spacing w:line="360" w:lineRule="auto"/>
              <w:jc w:val="center"/>
              <w:rPr>
                <w:rFonts w:ascii="宋体" w:hAnsi="宋体" w:cs="宋体"/>
                <w:bCs/>
                <w:color w:val="auto"/>
                <w:szCs w:val="21"/>
                <w:highlight w:val="none"/>
              </w:rPr>
            </w:pPr>
          </w:p>
        </w:tc>
        <w:tc>
          <w:tcPr>
            <w:tcW w:w="7983" w:type="dxa"/>
            <w:tcBorders>
              <w:top w:val="single" w:color="auto" w:sz="4" w:space="0"/>
              <w:left w:val="single" w:color="auto" w:sz="4" w:space="0"/>
              <w:bottom w:val="single" w:color="auto" w:sz="4" w:space="0"/>
              <w:right w:val="single" w:color="auto" w:sz="4" w:space="0"/>
            </w:tcBorders>
            <w:noWrap/>
            <w:vAlign w:val="center"/>
          </w:tcPr>
          <w:p w14:paraId="5C198BC1">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3.培训方案（</w:t>
            </w:r>
            <w:r>
              <w:rPr>
                <w:rFonts w:hint="eastAsia" w:ascii="宋体" w:hAnsi="宋体" w:cs="宋体"/>
                <w:b/>
                <w:bCs/>
                <w:color w:val="auto"/>
                <w:szCs w:val="21"/>
                <w:highlight w:val="none"/>
                <w:lang w:val="en-US" w:eastAsia="zh-CN"/>
              </w:rPr>
              <w:t>8</w:t>
            </w:r>
            <w:r>
              <w:rPr>
                <w:rFonts w:hint="eastAsia" w:ascii="宋体" w:hAnsi="宋体" w:cs="宋体"/>
                <w:b/>
                <w:bCs/>
                <w:color w:val="auto"/>
                <w:szCs w:val="21"/>
                <w:highlight w:val="none"/>
              </w:rPr>
              <w:t>分）</w:t>
            </w:r>
          </w:p>
          <w:p w14:paraId="15A59645">
            <w:pPr>
              <w:widowControl/>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一档（</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分）：投标人提供的培训方案有培训时间和内容安排，能满足采购文件要求。</w:t>
            </w:r>
          </w:p>
          <w:p w14:paraId="0C5325B5">
            <w:pPr>
              <w:widowControl/>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二档（</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分）：满足一档的基础上，提供的培训方案包含了培训计划、培训流程等内容，且承诺培训课时不少于2小时，拟投入1名及以上培训讲师且具有相关项目经验，培训讲师从业年限不低于3年。(以供应商出具的承诺函或项目合同复印件为准)。</w:t>
            </w:r>
          </w:p>
          <w:p w14:paraId="0094890B">
            <w:pPr>
              <w:widowControl/>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三档（</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分）：满足二档的基础上，针对采购需求特点定制培训方案、并制定培训计划表，有明确的课程及培训内容安排（包含但不限于技术培训计划、培训内容、培训效果等），对系统的操作过程中注意事项有指引，培训方式能结合线上线下，且承诺培训课时不少于3小时，拟投入2名及以上培训讲师且具有相关项目经验，培训讲师从业年限不低于5年。(以供应商出具的承诺函或项目合同复印件为准)。</w:t>
            </w:r>
          </w:p>
          <w:p w14:paraId="1DB4131C">
            <w:pPr>
              <w:spacing w:line="360" w:lineRule="auto"/>
              <w:ind w:firstLine="420" w:firstLineChars="200"/>
              <w:rPr>
                <w:rFonts w:hAnsi="宋体"/>
                <w:bCs/>
                <w:color w:val="auto"/>
                <w:szCs w:val="21"/>
                <w:highlight w:val="none"/>
              </w:rPr>
            </w:pPr>
            <w:r>
              <w:rPr>
                <w:rFonts w:hint="eastAsia" w:ascii="宋体" w:hAnsi="宋体" w:cs="宋体"/>
                <w:color w:val="auto"/>
                <w:szCs w:val="21"/>
                <w:highlight w:val="none"/>
              </w:rPr>
              <w:t>注：未提供方案的或经评委评审所提供的方案内容未达一档标准的，得0分。</w:t>
            </w:r>
          </w:p>
        </w:tc>
      </w:tr>
      <w:tr w14:paraId="6618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3" w:hRule="atLeast"/>
          <w:jc w:val="center"/>
        </w:trPr>
        <w:tc>
          <w:tcPr>
            <w:tcW w:w="671" w:type="dxa"/>
            <w:vMerge w:val="restart"/>
            <w:tcBorders>
              <w:top w:val="single" w:color="auto" w:sz="4" w:space="0"/>
              <w:left w:val="single" w:color="auto" w:sz="4" w:space="0"/>
              <w:right w:val="single" w:color="auto" w:sz="4" w:space="0"/>
            </w:tcBorders>
            <w:noWrap/>
            <w:vAlign w:val="center"/>
          </w:tcPr>
          <w:p w14:paraId="7CC675F3">
            <w:pPr>
              <w:jc w:val="center"/>
              <w:rPr>
                <w:color w:val="auto"/>
                <w:highlight w:val="none"/>
              </w:rPr>
            </w:pPr>
            <w:r>
              <w:rPr>
                <w:rFonts w:hint="eastAsia"/>
                <w:color w:val="auto"/>
                <w:highlight w:val="none"/>
              </w:rPr>
              <w:t>3</w:t>
            </w:r>
          </w:p>
        </w:tc>
        <w:tc>
          <w:tcPr>
            <w:tcW w:w="1134" w:type="dxa"/>
            <w:vMerge w:val="restart"/>
            <w:tcBorders>
              <w:top w:val="single" w:color="auto" w:sz="4" w:space="0"/>
              <w:left w:val="single" w:color="auto" w:sz="4" w:space="0"/>
              <w:right w:val="single" w:color="auto" w:sz="4" w:space="0"/>
            </w:tcBorders>
            <w:noWrap/>
            <w:vAlign w:val="center"/>
          </w:tcPr>
          <w:p w14:paraId="549446FE">
            <w:pPr>
              <w:jc w:val="center"/>
              <w:rPr>
                <w:color w:val="auto"/>
                <w:highlight w:val="none"/>
              </w:rPr>
            </w:pPr>
            <w:r>
              <w:rPr>
                <w:rFonts w:hint="eastAsia"/>
                <w:color w:val="auto"/>
                <w:highlight w:val="none"/>
              </w:rPr>
              <w:t>商务分（</w:t>
            </w:r>
            <w:r>
              <w:rPr>
                <w:rFonts w:hint="eastAsia"/>
                <w:color w:val="auto"/>
                <w:highlight w:val="none"/>
                <w:lang w:val="en-US" w:eastAsia="zh-CN"/>
              </w:rPr>
              <w:t>52</w:t>
            </w:r>
            <w:r>
              <w:rPr>
                <w:rFonts w:hint="eastAsia"/>
                <w:color w:val="auto"/>
                <w:highlight w:val="none"/>
              </w:rPr>
              <w:t>分）</w:t>
            </w:r>
          </w:p>
          <w:p w14:paraId="05DCC833">
            <w:pPr>
              <w:spacing w:line="360" w:lineRule="auto"/>
              <w:jc w:val="center"/>
              <w:rPr>
                <w:rFonts w:ascii="宋体" w:hAnsi="宋体" w:cs="宋体"/>
                <w:bCs/>
                <w:color w:val="auto"/>
                <w:szCs w:val="21"/>
                <w:highlight w:val="none"/>
              </w:rPr>
            </w:pPr>
          </w:p>
        </w:tc>
        <w:tc>
          <w:tcPr>
            <w:tcW w:w="7983" w:type="dxa"/>
            <w:tcBorders>
              <w:top w:val="single" w:color="auto" w:sz="4" w:space="0"/>
              <w:left w:val="single" w:color="auto" w:sz="4" w:space="0"/>
              <w:right w:val="single" w:color="auto" w:sz="4" w:space="0"/>
            </w:tcBorders>
            <w:noWrap/>
            <w:vAlign w:val="center"/>
          </w:tcPr>
          <w:p w14:paraId="78F343F3">
            <w:pPr>
              <w:pStyle w:val="50"/>
              <w:spacing w:after="0" w:line="420" w:lineRule="exact"/>
              <w:ind w:left="0" w:leftChars="0" w:firstLine="0" w:firstLineChars="0"/>
              <w:rPr>
                <w:rFonts w:hAnsi="宋体" w:cs="宋体"/>
                <w:b/>
                <w:color w:val="auto"/>
                <w:highlight w:val="none"/>
              </w:rPr>
            </w:pPr>
            <w:r>
              <w:rPr>
                <w:rFonts w:hint="eastAsia" w:hAnsi="宋体" w:cs="宋体"/>
                <w:b/>
                <w:color w:val="auto"/>
                <w:highlight w:val="none"/>
              </w:rPr>
              <w:t>1.飞机托管服务经验（</w:t>
            </w:r>
            <w:r>
              <w:rPr>
                <w:rFonts w:hint="eastAsia" w:hAnsi="宋体" w:cs="宋体"/>
                <w:b/>
                <w:color w:val="auto"/>
                <w:highlight w:val="none"/>
                <w:lang w:val="en-US" w:eastAsia="zh-CN"/>
              </w:rPr>
              <w:t>10</w:t>
            </w:r>
            <w:r>
              <w:rPr>
                <w:rFonts w:hint="eastAsia" w:hAnsi="宋体" w:cs="宋体"/>
                <w:b/>
                <w:color w:val="auto"/>
                <w:highlight w:val="none"/>
              </w:rPr>
              <w:t>分）</w:t>
            </w:r>
          </w:p>
          <w:p w14:paraId="7BFA3116">
            <w:pPr>
              <w:pStyle w:val="50"/>
              <w:spacing w:after="0" w:line="420" w:lineRule="exact"/>
              <w:ind w:left="0" w:leftChars="0" w:firstLine="0" w:firstLineChars="0"/>
              <w:rPr>
                <w:rFonts w:hAnsi="宋体" w:cs="宋体"/>
                <w:bCs/>
                <w:color w:val="auto"/>
                <w:highlight w:val="none"/>
              </w:rPr>
            </w:pPr>
            <w:r>
              <w:rPr>
                <w:rFonts w:hint="eastAsia" w:hAnsi="宋体" w:cs="宋体"/>
                <w:bCs/>
                <w:color w:val="auto"/>
                <w:highlight w:val="none"/>
              </w:rPr>
              <w:t xml:space="preserve">   自2023年1月1日以来，投标人具有新舟60飞机或其他涡轮多发固定翼飞机的人工影响天气托管服务项目履约经验的，每提供1个项目的证明材料</w:t>
            </w:r>
            <w:r>
              <w:rPr>
                <w:rFonts w:hint="eastAsia" w:hAnsi="宋体" w:cs="宋体"/>
                <w:bCs/>
                <w:color w:val="auto"/>
                <w:highlight w:val="none"/>
                <w:lang w:val="en-US" w:eastAsia="zh-CN"/>
              </w:rPr>
              <w:t>得2分，</w:t>
            </w:r>
            <w:r>
              <w:rPr>
                <w:rFonts w:hint="eastAsia" w:hAnsi="宋体" w:cs="宋体"/>
                <w:bCs/>
                <w:color w:val="auto"/>
                <w:highlight w:val="none"/>
              </w:rPr>
              <w:t>本项最多得</w:t>
            </w:r>
            <w:r>
              <w:rPr>
                <w:rFonts w:hint="eastAsia" w:hAnsi="宋体" w:cs="宋体"/>
                <w:bCs/>
                <w:color w:val="auto"/>
                <w:highlight w:val="none"/>
                <w:lang w:val="en-US" w:eastAsia="zh-CN"/>
              </w:rPr>
              <w:t>10</w:t>
            </w:r>
            <w:r>
              <w:rPr>
                <w:rFonts w:hint="eastAsia" w:hAnsi="宋体" w:cs="宋体"/>
                <w:bCs/>
                <w:color w:val="auto"/>
                <w:highlight w:val="none"/>
              </w:rPr>
              <w:t xml:space="preserve">分。 </w:t>
            </w:r>
          </w:p>
          <w:p w14:paraId="56EBE632">
            <w:pPr>
              <w:pStyle w:val="50"/>
              <w:spacing w:after="0" w:line="420" w:lineRule="exact"/>
              <w:ind w:left="0" w:leftChars="0" w:firstLine="0" w:firstLineChars="0"/>
              <w:rPr>
                <w:rFonts w:hint="eastAsia" w:ascii="宋体" w:hAnsi="宋体" w:eastAsia="宋体" w:cs="宋体"/>
                <w:bCs/>
                <w:color w:val="auto"/>
                <w:szCs w:val="21"/>
                <w:highlight w:val="none"/>
                <w:lang w:eastAsia="zh-CN"/>
              </w:rPr>
            </w:pPr>
            <w:r>
              <w:rPr>
                <w:rFonts w:hint="eastAsia" w:hAnsi="宋体" w:cs="宋体"/>
                <w:b/>
                <w:color w:val="auto"/>
                <w:highlight w:val="none"/>
              </w:rPr>
              <w:t>注：（1）提供托管服务中标（成交）通知书或合同扫描件（至少包含合同首页、合同标的页、签署时间页）证明。 （2）同一</w:t>
            </w:r>
            <w:r>
              <w:rPr>
                <w:rFonts w:hint="eastAsia" w:hAnsi="宋体" w:cs="宋体"/>
                <w:b/>
                <w:color w:val="auto"/>
                <w:highlight w:val="none"/>
                <w:lang w:val="en-US" w:eastAsia="zh-CN"/>
              </w:rPr>
              <w:t>区域</w:t>
            </w:r>
            <w:r>
              <w:rPr>
                <w:rFonts w:hint="eastAsia" w:hAnsi="宋体" w:cs="宋体"/>
                <w:b/>
                <w:color w:val="auto"/>
                <w:highlight w:val="none"/>
              </w:rPr>
              <w:t>在不同年份的合同，只计一次分，不重复计分。</w:t>
            </w:r>
          </w:p>
        </w:tc>
      </w:tr>
      <w:tr w14:paraId="521AE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1" w:type="dxa"/>
            <w:vMerge w:val="continue"/>
            <w:tcBorders>
              <w:left w:val="single" w:color="auto" w:sz="4" w:space="0"/>
              <w:right w:val="single" w:color="auto" w:sz="4" w:space="0"/>
            </w:tcBorders>
            <w:noWrap/>
            <w:vAlign w:val="center"/>
          </w:tcPr>
          <w:p w14:paraId="35E191DC">
            <w:pPr>
              <w:pStyle w:val="26"/>
              <w:spacing w:line="360" w:lineRule="auto"/>
              <w:jc w:val="center"/>
              <w:outlineLvl w:val="0"/>
              <w:rPr>
                <w:rFonts w:hAnsi="宋体" w:cs="宋体"/>
                <w:color w:val="auto"/>
                <w:highlight w:val="none"/>
              </w:rPr>
            </w:pPr>
          </w:p>
        </w:tc>
        <w:tc>
          <w:tcPr>
            <w:tcW w:w="1134" w:type="dxa"/>
            <w:vMerge w:val="continue"/>
            <w:tcBorders>
              <w:left w:val="single" w:color="auto" w:sz="4" w:space="0"/>
              <w:right w:val="single" w:color="auto" w:sz="4" w:space="0"/>
            </w:tcBorders>
            <w:noWrap/>
            <w:vAlign w:val="center"/>
          </w:tcPr>
          <w:p w14:paraId="64B507AE">
            <w:pPr>
              <w:spacing w:line="360" w:lineRule="auto"/>
              <w:jc w:val="center"/>
              <w:rPr>
                <w:rFonts w:ascii="宋体" w:hAnsi="宋体" w:cs="宋体"/>
                <w:bCs/>
                <w:color w:val="auto"/>
                <w:szCs w:val="21"/>
                <w:highlight w:val="none"/>
              </w:rPr>
            </w:pPr>
          </w:p>
        </w:tc>
        <w:tc>
          <w:tcPr>
            <w:tcW w:w="7983" w:type="dxa"/>
            <w:tcBorders>
              <w:top w:val="single" w:color="auto" w:sz="4" w:space="0"/>
              <w:left w:val="single" w:color="auto" w:sz="4" w:space="0"/>
              <w:right w:val="single" w:color="auto" w:sz="4" w:space="0"/>
            </w:tcBorders>
            <w:noWrap/>
            <w:vAlign w:val="center"/>
          </w:tcPr>
          <w:p w14:paraId="64AFDB69">
            <w:pPr>
              <w:pStyle w:val="50"/>
              <w:spacing w:after="0" w:line="360" w:lineRule="auto"/>
              <w:ind w:left="105" w:leftChars="0" w:firstLine="0" w:firstLineChars="0"/>
              <w:rPr>
                <w:rFonts w:ascii="宋体" w:hAnsi="宋体"/>
                <w:b/>
                <w:bCs/>
                <w:color w:val="auto"/>
                <w:szCs w:val="21"/>
                <w:highlight w:val="none"/>
              </w:rPr>
            </w:pPr>
            <w:r>
              <w:rPr>
                <w:rFonts w:hint="eastAsia" w:ascii="宋体" w:hAnsi="宋体"/>
                <w:b/>
                <w:bCs/>
                <w:color w:val="auto"/>
                <w:szCs w:val="21"/>
                <w:highlight w:val="none"/>
              </w:rPr>
              <w:t>2.机队配置（2</w:t>
            </w:r>
            <w:r>
              <w:rPr>
                <w:rFonts w:hint="eastAsia" w:ascii="宋体" w:hAnsi="宋体"/>
                <w:b/>
                <w:bCs/>
                <w:color w:val="auto"/>
                <w:szCs w:val="21"/>
                <w:highlight w:val="none"/>
                <w:lang w:val="en-US" w:eastAsia="zh-CN"/>
              </w:rPr>
              <w:t>4</w:t>
            </w:r>
            <w:r>
              <w:rPr>
                <w:rFonts w:hint="eastAsia" w:ascii="宋体" w:hAnsi="宋体"/>
                <w:b/>
                <w:bCs/>
                <w:color w:val="auto"/>
                <w:szCs w:val="21"/>
                <w:highlight w:val="none"/>
              </w:rPr>
              <w:t>分）</w:t>
            </w:r>
          </w:p>
          <w:p w14:paraId="69867654">
            <w:pPr>
              <w:pStyle w:val="50"/>
              <w:spacing w:after="0" w:line="360" w:lineRule="auto"/>
              <w:ind w:left="0" w:leftChars="0" w:firstLine="0" w:firstLineChars="0"/>
              <w:rPr>
                <w:rFonts w:ascii="宋体" w:hAnsi="宋体"/>
                <w:color w:val="auto"/>
                <w:szCs w:val="21"/>
                <w:highlight w:val="none"/>
              </w:rPr>
            </w:pPr>
            <w:r>
              <w:rPr>
                <w:rFonts w:hint="eastAsia" w:ascii="宋体" w:hAnsi="宋体"/>
                <w:color w:val="auto"/>
                <w:szCs w:val="21"/>
                <w:highlight w:val="none"/>
              </w:rPr>
              <w:t xml:space="preserve"> （1）投标人为本项目配备的飞行人员在满足招标文件要求（配备2名）的基础上，每增加1名符合招标文件第二章采购需求要求“（6）常驻运行团队人员配置要求：①飞行人员”机长资质要求的飞行人员得2分，满分</w:t>
            </w:r>
            <w:r>
              <w:rPr>
                <w:rFonts w:hint="eastAsia" w:ascii="宋体" w:hAnsi="宋体"/>
                <w:color w:val="auto"/>
                <w:szCs w:val="21"/>
                <w:highlight w:val="none"/>
                <w:lang w:val="en-US" w:eastAsia="zh-CN"/>
              </w:rPr>
              <w:t>10</w:t>
            </w:r>
            <w:r>
              <w:rPr>
                <w:rFonts w:hint="eastAsia" w:ascii="宋体" w:hAnsi="宋体"/>
                <w:color w:val="auto"/>
                <w:szCs w:val="21"/>
                <w:highlight w:val="none"/>
              </w:rPr>
              <w:t>分；拟投入的飞行人员中每有1名具有不少于200小时人工影响天气作业飞行经验的得2分，满分</w:t>
            </w:r>
            <w:r>
              <w:rPr>
                <w:rFonts w:hint="eastAsia" w:ascii="宋体" w:hAnsi="宋体"/>
                <w:color w:val="auto"/>
                <w:szCs w:val="21"/>
                <w:highlight w:val="none"/>
                <w:lang w:val="en-US" w:eastAsia="zh-CN"/>
              </w:rPr>
              <w:t>10</w:t>
            </w:r>
            <w:r>
              <w:rPr>
                <w:rFonts w:hint="eastAsia" w:ascii="宋体" w:hAnsi="宋体"/>
                <w:color w:val="auto"/>
                <w:szCs w:val="21"/>
                <w:highlight w:val="none"/>
              </w:rPr>
              <w:t>分。</w:t>
            </w:r>
          </w:p>
          <w:p w14:paraId="2D7C3DC6">
            <w:pPr>
              <w:pStyle w:val="50"/>
              <w:spacing w:after="0" w:line="360" w:lineRule="auto"/>
              <w:ind w:left="0" w:leftChars="0" w:firstLine="0" w:firstLineChars="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b/>
                <w:bCs/>
                <w:color w:val="auto"/>
                <w:szCs w:val="21"/>
                <w:highlight w:val="none"/>
              </w:rPr>
              <w:t>注：</w:t>
            </w:r>
            <w:r>
              <w:rPr>
                <w:rFonts w:ascii="Calibri" w:hAnsi="Calibri" w:cs="Calibri"/>
                <w:b/>
                <w:bCs/>
                <w:color w:val="auto"/>
                <w:szCs w:val="21"/>
                <w:highlight w:val="none"/>
              </w:rPr>
              <w:t>①</w:t>
            </w:r>
            <w:r>
              <w:rPr>
                <w:rFonts w:hint="eastAsia" w:ascii="宋体" w:hAnsi="宋体"/>
                <w:b/>
                <w:bCs/>
                <w:color w:val="auto"/>
                <w:szCs w:val="21"/>
                <w:highlight w:val="none"/>
              </w:rPr>
              <w:t>针对“人员资质”，同时提供飞行人员有效的</w:t>
            </w:r>
            <w:r>
              <w:rPr>
                <w:rFonts w:hint="eastAsia"/>
                <w:b/>
                <w:bCs/>
                <w:color w:val="auto"/>
                <w:szCs w:val="21"/>
                <w:highlight w:val="none"/>
              </w:rPr>
              <w:t>①驾驶员执照扫描件②在职证明材料(投标截止时间前半年内任意一个月社保证明材料或劳动合同）等证明材料</w:t>
            </w:r>
            <w:r>
              <w:rPr>
                <w:rFonts w:hint="eastAsia" w:ascii="宋体" w:hAnsi="宋体"/>
                <w:b/>
                <w:bCs/>
                <w:color w:val="auto"/>
                <w:szCs w:val="21"/>
                <w:highlight w:val="none"/>
              </w:rPr>
              <w:t>。</w:t>
            </w:r>
            <w:r>
              <w:rPr>
                <w:rFonts w:hint="eastAsia" w:ascii="宋体" w:hAnsi="宋体"/>
                <w:color w:val="auto"/>
                <w:szCs w:val="21"/>
                <w:highlight w:val="none"/>
              </w:rPr>
              <w:t xml:space="preserve"> </w:t>
            </w:r>
            <w:r>
              <w:rPr>
                <w:rFonts w:ascii="Calibri" w:hAnsi="Calibri" w:cs="Calibri"/>
                <w:b/>
                <w:bCs/>
                <w:color w:val="auto"/>
                <w:szCs w:val="21"/>
                <w:highlight w:val="none"/>
              </w:rPr>
              <w:t>②</w:t>
            </w:r>
            <w:r>
              <w:rPr>
                <w:rFonts w:hint="eastAsia" w:ascii="宋体" w:hAnsi="宋体"/>
                <w:b/>
                <w:bCs/>
                <w:color w:val="auto"/>
                <w:szCs w:val="21"/>
                <w:highlight w:val="none"/>
              </w:rPr>
              <w:t>针对“机长资质”，提供由原或现任职的航空公司或通航企业出具的该飞行人员具备MA60机型机长资质的书面证明文件复印件或承诺函进行证明。</w:t>
            </w:r>
            <w:r>
              <w:rPr>
                <w:rFonts w:hint="eastAsia" w:ascii="宋体" w:hAnsi="宋体"/>
                <w:color w:val="auto"/>
                <w:szCs w:val="21"/>
                <w:highlight w:val="none"/>
              </w:rPr>
              <w:t xml:space="preserve"> </w:t>
            </w:r>
          </w:p>
          <w:p w14:paraId="31B23F7C">
            <w:pPr>
              <w:pStyle w:val="50"/>
              <w:spacing w:after="0" w:line="360" w:lineRule="auto"/>
              <w:ind w:left="0" w:leftChars="0" w:firstLine="0" w:firstLineChars="0"/>
              <w:rPr>
                <w:rFonts w:ascii="宋体" w:hAnsi="宋体"/>
                <w:b/>
                <w:bCs/>
                <w:color w:val="auto"/>
                <w:szCs w:val="21"/>
                <w:highlight w:val="none"/>
              </w:rPr>
            </w:pPr>
            <w:r>
              <w:rPr>
                <w:rFonts w:hint="eastAsia" w:ascii="宋体" w:hAnsi="宋体"/>
                <w:b/>
                <w:bCs/>
                <w:color w:val="auto"/>
                <w:szCs w:val="21"/>
                <w:highlight w:val="none"/>
              </w:rPr>
              <w:t>③针对“飞行经验”，由原或现任职的航空公司或通航企业提供执飞任务列表及对应的飞行记录本。</w:t>
            </w:r>
          </w:p>
          <w:p w14:paraId="3DF31380">
            <w:pPr>
              <w:pStyle w:val="50"/>
              <w:spacing w:after="0" w:line="360" w:lineRule="auto"/>
              <w:ind w:left="0" w:leftChars="0" w:firstLine="0" w:firstLineChars="0"/>
              <w:rPr>
                <w:rFonts w:ascii="宋体" w:hAnsi="宋体"/>
                <w:color w:val="auto"/>
                <w:szCs w:val="21"/>
                <w:highlight w:val="none"/>
              </w:rPr>
            </w:pPr>
            <w:r>
              <w:rPr>
                <w:rFonts w:hint="eastAsia" w:ascii="宋体" w:hAnsi="宋体"/>
                <w:color w:val="auto"/>
                <w:szCs w:val="21"/>
                <w:highlight w:val="none"/>
              </w:rPr>
              <w:t>（2）投标人为本项目配备的机务维修人员在满足招标文件要求（配备5名，其中1名具有放行人员资质）的基础上，每增加1名符合招标文件第二章采购需求要求“</w:t>
            </w:r>
            <w:r>
              <w:rPr>
                <w:rFonts w:hint="eastAsia"/>
                <w:color w:val="auto"/>
                <w:szCs w:val="21"/>
                <w:highlight w:val="none"/>
              </w:rPr>
              <w:t>（6）常驻运行团队人员配置要求：</w:t>
            </w:r>
            <w:r>
              <w:rPr>
                <w:rFonts w:hint="eastAsia" w:ascii="宋体" w:hAnsi="宋体"/>
                <w:color w:val="auto"/>
                <w:szCs w:val="21"/>
                <w:highlight w:val="none"/>
              </w:rPr>
              <w:t xml:space="preserve">②机务维修人员：”放行人员资质要求的机务维修人员得1分，满分4分。 </w:t>
            </w:r>
          </w:p>
          <w:p w14:paraId="2CFFE2C3">
            <w:pPr>
              <w:pStyle w:val="50"/>
              <w:spacing w:after="0" w:line="360" w:lineRule="auto"/>
              <w:ind w:left="0" w:leftChars="0" w:firstLine="422"/>
              <w:rPr>
                <w:rFonts w:ascii="宋体" w:hAnsi="宋体"/>
                <w:color w:val="auto"/>
                <w:szCs w:val="21"/>
                <w:highlight w:val="none"/>
              </w:rPr>
            </w:pPr>
            <w:r>
              <w:rPr>
                <w:rFonts w:hint="eastAsia" w:ascii="宋体" w:hAnsi="宋体"/>
                <w:b/>
                <w:bCs/>
                <w:color w:val="auto"/>
                <w:szCs w:val="21"/>
                <w:highlight w:val="none"/>
              </w:rPr>
              <w:t>注：同时提供机务维修人员有效的①民用航空器维修人员执照复印件（维修执照“机型签署”页应体现“MA60”机型）及②在职证明材料(</w:t>
            </w:r>
            <w:r>
              <w:rPr>
                <w:rFonts w:hint="eastAsia"/>
                <w:b/>
                <w:bCs/>
                <w:color w:val="auto"/>
                <w:szCs w:val="21"/>
                <w:highlight w:val="none"/>
              </w:rPr>
              <w:t>投标截止时间前半年内任意一个月社保证明材料或劳动合同）复印件进行证明</w:t>
            </w:r>
            <w:r>
              <w:rPr>
                <w:rFonts w:hint="eastAsia" w:ascii="宋体" w:hAnsi="宋体"/>
                <w:b/>
                <w:bCs/>
                <w:color w:val="auto"/>
                <w:szCs w:val="21"/>
                <w:highlight w:val="none"/>
              </w:rPr>
              <w:t>。</w:t>
            </w:r>
          </w:p>
        </w:tc>
      </w:tr>
      <w:tr w14:paraId="02983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1" w:type="dxa"/>
            <w:vMerge w:val="continue"/>
            <w:tcBorders>
              <w:left w:val="single" w:color="auto" w:sz="4" w:space="0"/>
              <w:right w:val="single" w:color="auto" w:sz="4" w:space="0"/>
            </w:tcBorders>
            <w:noWrap/>
            <w:vAlign w:val="center"/>
          </w:tcPr>
          <w:p w14:paraId="138CEE7C">
            <w:pPr>
              <w:pStyle w:val="26"/>
              <w:spacing w:line="360" w:lineRule="auto"/>
              <w:jc w:val="center"/>
              <w:outlineLvl w:val="0"/>
              <w:rPr>
                <w:rFonts w:hAnsi="宋体" w:cs="宋体"/>
                <w:color w:val="auto"/>
                <w:highlight w:val="none"/>
              </w:rPr>
            </w:pPr>
          </w:p>
        </w:tc>
        <w:tc>
          <w:tcPr>
            <w:tcW w:w="1134" w:type="dxa"/>
            <w:vMerge w:val="continue"/>
            <w:tcBorders>
              <w:left w:val="single" w:color="auto" w:sz="4" w:space="0"/>
              <w:right w:val="single" w:color="auto" w:sz="4" w:space="0"/>
            </w:tcBorders>
            <w:noWrap/>
            <w:vAlign w:val="center"/>
          </w:tcPr>
          <w:p w14:paraId="74297958">
            <w:pPr>
              <w:spacing w:line="360" w:lineRule="auto"/>
              <w:jc w:val="center"/>
              <w:rPr>
                <w:rFonts w:ascii="宋体" w:hAnsi="宋体" w:cs="宋体"/>
                <w:bCs/>
                <w:color w:val="auto"/>
                <w:szCs w:val="21"/>
                <w:highlight w:val="none"/>
              </w:rPr>
            </w:pPr>
          </w:p>
        </w:tc>
        <w:tc>
          <w:tcPr>
            <w:tcW w:w="7983" w:type="dxa"/>
            <w:tcBorders>
              <w:top w:val="single" w:color="auto" w:sz="4" w:space="0"/>
              <w:left w:val="single" w:color="auto" w:sz="4" w:space="0"/>
              <w:right w:val="single" w:color="auto" w:sz="4" w:space="0"/>
            </w:tcBorders>
            <w:noWrap/>
            <w:vAlign w:val="center"/>
          </w:tcPr>
          <w:p w14:paraId="7F2C325C">
            <w:pPr>
              <w:spacing w:line="360" w:lineRule="auto"/>
              <w:ind w:left="105"/>
              <w:rPr>
                <w:rFonts w:ascii="宋体" w:hAnsi="宋体"/>
                <w:b/>
                <w:bCs/>
                <w:color w:val="auto"/>
                <w:szCs w:val="21"/>
                <w:highlight w:val="none"/>
              </w:rPr>
            </w:pPr>
            <w:r>
              <w:rPr>
                <w:rFonts w:hint="eastAsia" w:ascii="宋体" w:hAnsi="宋体"/>
                <w:b/>
                <w:bCs/>
                <w:color w:val="auto"/>
                <w:szCs w:val="21"/>
                <w:highlight w:val="none"/>
              </w:rPr>
              <w:t>3.</w:t>
            </w:r>
            <w:r>
              <w:rPr>
                <w:rFonts w:hint="eastAsia" w:ascii="宋体" w:hAnsi="宋体"/>
                <w:b/>
                <w:bCs/>
                <w:color w:val="auto"/>
                <w:szCs w:val="21"/>
                <w:highlight w:val="none"/>
                <w:lang w:val="en-US" w:eastAsia="zh-CN"/>
              </w:rPr>
              <w:t>备用飞机</w:t>
            </w:r>
            <w:r>
              <w:rPr>
                <w:rFonts w:hint="eastAsia" w:ascii="宋体" w:hAnsi="宋体"/>
                <w:b/>
                <w:bCs/>
                <w:color w:val="auto"/>
                <w:szCs w:val="21"/>
                <w:highlight w:val="none"/>
              </w:rPr>
              <w:t>保障能力（</w:t>
            </w:r>
            <w:r>
              <w:rPr>
                <w:rFonts w:hint="eastAsia" w:ascii="宋体" w:hAnsi="宋体"/>
                <w:b/>
                <w:bCs/>
                <w:color w:val="auto"/>
                <w:szCs w:val="21"/>
                <w:highlight w:val="none"/>
                <w:lang w:val="en-US" w:eastAsia="zh-CN"/>
              </w:rPr>
              <w:t>4</w:t>
            </w:r>
            <w:r>
              <w:rPr>
                <w:rFonts w:hint="eastAsia" w:ascii="宋体" w:hAnsi="宋体"/>
                <w:b/>
                <w:bCs/>
                <w:color w:val="auto"/>
                <w:szCs w:val="21"/>
                <w:highlight w:val="none"/>
              </w:rPr>
              <w:t xml:space="preserve">分） </w:t>
            </w:r>
          </w:p>
          <w:p w14:paraId="5EEA987F">
            <w:pPr>
              <w:spacing w:line="360" w:lineRule="auto"/>
              <w:ind w:left="105" w:firstLine="420" w:firstLineChars="200"/>
              <w:rPr>
                <w:rFonts w:ascii="宋体" w:hAnsi="宋体"/>
                <w:color w:val="auto"/>
                <w:szCs w:val="21"/>
                <w:highlight w:val="none"/>
              </w:rPr>
            </w:pPr>
            <w:r>
              <w:rPr>
                <w:rFonts w:hint="eastAsia" w:ascii="宋体" w:hAnsi="宋体"/>
                <w:color w:val="auto"/>
                <w:szCs w:val="21"/>
                <w:highlight w:val="none"/>
              </w:rPr>
              <w:t>本项目托管的新舟60飞机需要大修、定检或定期维护、零部件维修时，投标人提供的备用飞机在满足招标文件要求（配备1架）基础上，每多增加1架涡轮双发及以上、带机舱增压、已完成人影作业改装的备用飞机的</w:t>
            </w:r>
            <w:r>
              <w:rPr>
                <w:rFonts w:hint="eastAsia" w:hAnsi="宋体" w:cs="宋体"/>
                <w:bCs/>
                <w:color w:val="auto"/>
                <w:highlight w:val="none"/>
              </w:rPr>
              <w:t>新舟60飞机的得</w:t>
            </w:r>
            <w:r>
              <w:rPr>
                <w:rFonts w:hint="eastAsia" w:hAnsi="宋体" w:cs="宋体"/>
                <w:bCs/>
                <w:color w:val="auto"/>
                <w:highlight w:val="none"/>
                <w:lang w:val="en-US" w:eastAsia="zh-CN"/>
              </w:rPr>
              <w:t>2</w:t>
            </w:r>
            <w:r>
              <w:rPr>
                <w:rFonts w:hint="eastAsia" w:hAnsi="宋体" w:cs="宋体"/>
                <w:bCs/>
                <w:color w:val="auto"/>
                <w:highlight w:val="none"/>
              </w:rPr>
              <w:t>分，其他涡轮多发固定翼飞机的得</w:t>
            </w:r>
            <w:r>
              <w:rPr>
                <w:rFonts w:hint="eastAsia" w:hAnsi="宋体" w:cs="宋体"/>
                <w:bCs/>
                <w:color w:val="auto"/>
                <w:highlight w:val="none"/>
                <w:lang w:val="en-US" w:eastAsia="zh-CN"/>
              </w:rPr>
              <w:t>1</w:t>
            </w:r>
            <w:r>
              <w:rPr>
                <w:rFonts w:hint="eastAsia" w:hAnsi="宋体" w:cs="宋体"/>
                <w:bCs/>
                <w:color w:val="auto"/>
                <w:highlight w:val="none"/>
              </w:rPr>
              <w:t>分</w:t>
            </w:r>
            <w:r>
              <w:rPr>
                <w:rFonts w:hint="eastAsia" w:ascii="宋体" w:hAnsi="宋体"/>
                <w:color w:val="auto"/>
                <w:szCs w:val="21"/>
                <w:highlight w:val="none"/>
              </w:rPr>
              <w:t>，本项最多得</w:t>
            </w:r>
            <w:r>
              <w:rPr>
                <w:rFonts w:hint="eastAsia" w:ascii="宋体" w:hAnsi="宋体"/>
                <w:color w:val="auto"/>
                <w:szCs w:val="21"/>
                <w:highlight w:val="none"/>
                <w:lang w:val="en-US" w:eastAsia="zh-CN"/>
              </w:rPr>
              <w:t>4</w:t>
            </w:r>
            <w:r>
              <w:rPr>
                <w:rFonts w:hint="eastAsia" w:ascii="宋体" w:hAnsi="宋体"/>
                <w:color w:val="auto"/>
                <w:szCs w:val="21"/>
                <w:highlight w:val="none"/>
              </w:rPr>
              <w:t xml:space="preserve">分。 </w:t>
            </w:r>
          </w:p>
          <w:p w14:paraId="1A1D11AB">
            <w:pPr>
              <w:spacing w:line="360" w:lineRule="auto"/>
              <w:ind w:firstLine="632" w:firstLineChars="300"/>
              <w:rPr>
                <w:rFonts w:ascii="宋体" w:hAnsi="宋体"/>
                <w:color w:val="auto"/>
                <w:szCs w:val="21"/>
                <w:highlight w:val="none"/>
              </w:rPr>
            </w:pPr>
            <w:r>
              <w:rPr>
                <w:rFonts w:hint="eastAsia" w:ascii="宋体" w:hAnsi="宋体"/>
                <w:b/>
                <w:bCs/>
                <w:color w:val="auto"/>
                <w:szCs w:val="21"/>
                <w:highlight w:val="none"/>
              </w:rPr>
              <w:t>注：提供承诺函进行响应，格式自拟。</w:t>
            </w:r>
          </w:p>
        </w:tc>
      </w:tr>
      <w:tr w14:paraId="0FEC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1" w:type="dxa"/>
            <w:vMerge w:val="continue"/>
            <w:tcBorders>
              <w:left w:val="single" w:color="auto" w:sz="4" w:space="0"/>
              <w:right w:val="single" w:color="auto" w:sz="4" w:space="0"/>
            </w:tcBorders>
            <w:noWrap/>
            <w:vAlign w:val="center"/>
          </w:tcPr>
          <w:p w14:paraId="4BE0A2E0">
            <w:pPr>
              <w:pStyle w:val="26"/>
              <w:spacing w:line="360" w:lineRule="auto"/>
              <w:jc w:val="center"/>
              <w:outlineLvl w:val="0"/>
              <w:rPr>
                <w:rFonts w:hAnsi="宋体" w:cs="宋体"/>
                <w:color w:val="auto"/>
                <w:highlight w:val="none"/>
              </w:rPr>
            </w:pPr>
          </w:p>
        </w:tc>
        <w:tc>
          <w:tcPr>
            <w:tcW w:w="1134" w:type="dxa"/>
            <w:vMerge w:val="continue"/>
            <w:tcBorders>
              <w:left w:val="single" w:color="auto" w:sz="4" w:space="0"/>
              <w:right w:val="single" w:color="auto" w:sz="4" w:space="0"/>
            </w:tcBorders>
            <w:noWrap/>
            <w:vAlign w:val="center"/>
          </w:tcPr>
          <w:p w14:paraId="374E7CBD">
            <w:pPr>
              <w:spacing w:line="360" w:lineRule="auto"/>
              <w:jc w:val="center"/>
              <w:rPr>
                <w:rFonts w:ascii="宋体" w:hAnsi="宋体" w:cs="宋体"/>
                <w:bCs/>
                <w:color w:val="auto"/>
                <w:szCs w:val="21"/>
                <w:highlight w:val="none"/>
              </w:rPr>
            </w:pPr>
          </w:p>
        </w:tc>
        <w:tc>
          <w:tcPr>
            <w:tcW w:w="7983" w:type="dxa"/>
            <w:tcBorders>
              <w:top w:val="single" w:color="auto" w:sz="4" w:space="0"/>
              <w:left w:val="single" w:color="auto" w:sz="4" w:space="0"/>
              <w:right w:val="single" w:color="auto" w:sz="4" w:space="0"/>
            </w:tcBorders>
            <w:noWrap/>
            <w:vAlign w:val="center"/>
          </w:tcPr>
          <w:p w14:paraId="0F8391D8">
            <w:pPr>
              <w:pStyle w:val="19"/>
              <w:ind w:firstLine="0"/>
              <w:rPr>
                <w:rFonts w:hint="eastAsia" w:ascii="宋体" w:hAnsi="宋体" w:eastAsia="宋体" w:cs="Times New Roman"/>
                <w:b/>
                <w:bCs/>
                <w:color w:val="auto"/>
                <w:kern w:val="2"/>
                <w:sz w:val="21"/>
                <w:szCs w:val="21"/>
                <w:highlight w:val="none"/>
                <w:lang w:val="en-US" w:eastAsia="zh-CN" w:bidi="ar-SA"/>
              </w:rPr>
            </w:pPr>
            <w:r>
              <w:rPr>
                <w:rFonts w:hint="eastAsia" w:ascii="宋体" w:hAnsi="宋体"/>
                <w:b/>
                <w:bCs/>
                <w:color w:val="auto"/>
                <w:sz w:val="21"/>
                <w:szCs w:val="21"/>
                <w:highlight w:val="none"/>
                <w:lang w:val="en-US" w:eastAsia="zh-CN"/>
              </w:rPr>
              <w:t>4.具备新舟60机型维修</w:t>
            </w:r>
            <w:r>
              <w:rPr>
                <w:rFonts w:hint="eastAsia" w:ascii="宋体" w:hAnsi="宋体"/>
                <w:b/>
                <w:bCs/>
                <w:color w:val="auto"/>
                <w:sz w:val="21"/>
                <w:szCs w:val="21"/>
                <w:highlight w:val="none"/>
              </w:rPr>
              <w:t>能力</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8分</w:t>
            </w:r>
            <w:r>
              <w:rPr>
                <w:rFonts w:hint="eastAsia" w:ascii="宋体" w:hAnsi="宋体"/>
                <w:b/>
                <w:bCs/>
                <w:color w:val="auto"/>
                <w:sz w:val="21"/>
                <w:szCs w:val="21"/>
                <w:highlight w:val="none"/>
                <w:lang w:eastAsia="zh-CN"/>
              </w:rPr>
              <w:t>）</w:t>
            </w:r>
          </w:p>
          <w:p w14:paraId="5E61EB4A">
            <w:pPr>
              <w:pStyle w:val="19"/>
              <w:ind w:firstLine="420" w:firstLineChars="200"/>
              <w:rPr>
                <w:rFonts w:hint="default" w:ascii="宋体" w:hAnsi="宋体"/>
                <w:b/>
                <w:bCs/>
                <w:color w:val="auto"/>
                <w:sz w:val="21"/>
                <w:szCs w:val="21"/>
                <w:highlight w:val="none"/>
                <w:lang w:val="en-US"/>
              </w:rPr>
            </w:pPr>
            <w:r>
              <w:rPr>
                <w:rFonts w:hint="eastAsia" w:ascii="宋体" w:hAnsi="宋体"/>
                <w:b w:val="0"/>
                <w:bCs w:val="0"/>
                <w:color w:val="auto"/>
                <w:sz w:val="21"/>
                <w:szCs w:val="21"/>
                <w:highlight w:val="none"/>
                <w:lang w:val="en-US" w:eastAsia="zh-CN"/>
              </w:rPr>
              <w:t>具备新舟60飞机定检维修能力得2分，具备3个日历月（含）级别的定检维修能力得4分；具备6个日历月（含）级别的定检维修能力得6分；具备12个日历月（含）级别的定检维修能力得8分。提供相关证明材料。</w:t>
            </w:r>
          </w:p>
        </w:tc>
      </w:tr>
      <w:tr w14:paraId="0D1E1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671" w:type="dxa"/>
            <w:vMerge w:val="continue"/>
            <w:tcBorders>
              <w:left w:val="single" w:color="auto" w:sz="4" w:space="0"/>
              <w:right w:val="single" w:color="auto" w:sz="4" w:space="0"/>
            </w:tcBorders>
            <w:noWrap/>
            <w:vAlign w:val="center"/>
          </w:tcPr>
          <w:p w14:paraId="24B41123">
            <w:pPr>
              <w:pStyle w:val="26"/>
              <w:spacing w:line="360" w:lineRule="auto"/>
              <w:jc w:val="center"/>
              <w:outlineLvl w:val="0"/>
              <w:rPr>
                <w:rFonts w:hAnsi="宋体" w:cs="宋体"/>
                <w:color w:val="auto"/>
                <w:highlight w:val="none"/>
              </w:rPr>
            </w:pPr>
          </w:p>
        </w:tc>
        <w:tc>
          <w:tcPr>
            <w:tcW w:w="1134" w:type="dxa"/>
            <w:vMerge w:val="continue"/>
            <w:tcBorders>
              <w:left w:val="single" w:color="auto" w:sz="4" w:space="0"/>
              <w:right w:val="single" w:color="auto" w:sz="4" w:space="0"/>
            </w:tcBorders>
            <w:noWrap/>
            <w:vAlign w:val="center"/>
          </w:tcPr>
          <w:p w14:paraId="6E3B8F6E">
            <w:pPr>
              <w:spacing w:line="360" w:lineRule="auto"/>
              <w:jc w:val="center"/>
              <w:rPr>
                <w:rFonts w:ascii="宋体" w:hAnsi="宋体" w:cs="宋体"/>
                <w:bCs/>
                <w:color w:val="auto"/>
                <w:szCs w:val="21"/>
                <w:highlight w:val="none"/>
              </w:rPr>
            </w:pPr>
          </w:p>
        </w:tc>
        <w:tc>
          <w:tcPr>
            <w:tcW w:w="7983" w:type="dxa"/>
            <w:tcBorders>
              <w:top w:val="single" w:color="auto" w:sz="4" w:space="0"/>
              <w:left w:val="single" w:color="auto" w:sz="4" w:space="0"/>
              <w:right w:val="single" w:color="auto" w:sz="4" w:space="0"/>
            </w:tcBorders>
            <w:noWrap/>
            <w:vAlign w:val="center"/>
          </w:tcPr>
          <w:p w14:paraId="00023D40">
            <w:pPr>
              <w:pStyle w:val="19"/>
              <w:rPr>
                <w:rFonts w:ascii="宋体" w:hAnsi="宋体"/>
                <w:b/>
                <w:bCs/>
                <w:color w:val="auto"/>
                <w:sz w:val="21"/>
                <w:szCs w:val="21"/>
                <w:highlight w:val="none"/>
              </w:rPr>
            </w:pPr>
            <w:r>
              <w:rPr>
                <w:rFonts w:hint="eastAsia" w:ascii="宋体" w:hAnsi="宋体"/>
                <w:b/>
                <w:bCs/>
                <w:color w:val="auto"/>
                <w:sz w:val="21"/>
                <w:szCs w:val="21"/>
                <w:highlight w:val="none"/>
                <w:lang w:val="en-US" w:eastAsia="zh-CN"/>
              </w:rPr>
              <w:t>5</w:t>
            </w:r>
            <w:r>
              <w:rPr>
                <w:rFonts w:hint="eastAsia" w:ascii="宋体" w:hAnsi="宋体"/>
                <w:b/>
                <w:bCs/>
                <w:color w:val="auto"/>
                <w:sz w:val="21"/>
                <w:szCs w:val="21"/>
                <w:highlight w:val="none"/>
              </w:rPr>
              <w:t>.信誉实力分（6分）</w:t>
            </w:r>
          </w:p>
          <w:p w14:paraId="7D22CE1B">
            <w:pPr>
              <w:pStyle w:val="19"/>
              <w:numPr>
                <w:ilvl w:val="12"/>
                <w:numId w:val="0"/>
              </w:numPr>
              <w:ind w:firstLine="420" w:firstLineChars="200"/>
              <w:rPr>
                <w:rFonts w:ascii="宋体" w:hAnsi="宋体"/>
                <w:b/>
                <w:bCs/>
                <w:color w:val="auto"/>
                <w:sz w:val="21"/>
                <w:szCs w:val="21"/>
                <w:highlight w:val="none"/>
              </w:rPr>
            </w:pPr>
            <w:r>
              <w:rPr>
                <w:rFonts w:hint="eastAsia" w:ascii="宋体" w:hAnsi="宋体"/>
                <w:color w:val="auto"/>
                <w:sz w:val="21"/>
                <w:szCs w:val="21"/>
                <w:highlight w:val="none"/>
              </w:rPr>
              <w:t>投标人</w:t>
            </w:r>
            <w:r>
              <w:rPr>
                <w:rFonts w:ascii="宋体" w:hAnsi="宋体"/>
                <w:color w:val="auto"/>
                <w:sz w:val="21"/>
                <w:szCs w:val="21"/>
                <w:highlight w:val="none"/>
              </w:rPr>
              <w:t>具有质量管理体系ISO9001认证证书、环境管理体系ISO14001认证证书、职业健康安全管理体系ISO45001认证证书</w:t>
            </w:r>
            <w:r>
              <w:rPr>
                <w:rFonts w:hint="eastAsia" w:ascii="宋体" w:hAnsi="宋体"/>
                <w:color w:val="auto"/>
                <w:sz w:val="21"/>
                <w:szCs w:val="21"/>
                <w:highlight w:val="none"/>
              </w:rPr>
              <w:t>，每提供一个得2分，满分6分。</w:t>
            </w:r>
          </w:p>
        </w:tc>
      </w:tr>
      <w:tr w14:paraId="5535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88" w:type="dxa"/>
            <w:gridSpan w:val="3"/>
            <w:tcBorders>
              <w:top w:val="single" w:color="auto" w:sz="4" w:space="0"/>
              <w:left w:val="single" w:color="auto" w:sz="4" w:space="0"/>
              <w:bottom w:val="single" w:color="auto" w:sz="4" w:space="0"/>
              <w:right w:val="single" w:color="auto" w:sz="4" w:space="0"/>
            </w:tcBorders>
            <w:noWrap/>
            <w:vAlign w:val="center"/>
          </w:tcPr>
          <w:p w14:paraId="6384F132">
            <w:pPr>
              <w:tabs>
                <w:tab w:val="left" w:pos="8460"/>
              </w:tabs>
              <w:spacing w:line="360" w:lineRule="auto"/>
              <w:rPr>
                <w:rFonts w:ascii="宋体" w:hAnsi="宋体" w:cs="宋体"/>
                <w:bCs/>
                <w:color w:val="auto"/>
                <w:szCs w:val="21"/>
                <w:highlight w:val="none"/>
              </w:rPr>
            </w:pPr>
            <w:r>
              <w:rPr>
                <w:rFonts w:hint="eastAsia" w:ascii="宋体" w:hAnsi="宋体" w:cs="宋体"/>
                <w:bCs/>
                <w:color w:val="auto"/>
                <w:szCs w:val="21"/>
                <w:highlight w:val="none"/>
              </w:rPr>
              <w:t>总得分=1+2+3。</w:t>
            </w:r>
          </w:p>
          <w:p w14:paraId="6DF34486">
            <w:pPr>
              <w:tabs>
                <w:tab w:val="left" w:pos="8460"/>
              </w:tabs>
              <w:spacing w:line="360" w:lineRule="auto"/>
              <w:rPr>
                <w:rFonts w:ascii="宋体" w:hAnsi="宋体" w:cs="宋体"/>
                <w:bCs/>
                <w:color w:val="auto"/>
                <w:szCs w:val="21"/>
                <w:highlight w:val="none"/>
              </w:rPr>
            </w:pPr>
            <w:r>
              <w:rPr>
                <w:rFonts w:hint="eastAsia" w:ascii="宋体" w:hAnsi="宋体" w:cs="宋体"/>
                <w:bCs/>
                <w:color w:val="auto"/>
                <w:szCs w:val="21"/>
                <w:highlight w:val="none"/>
              </w:rPr>
              <w:t>本项目为服务项目，不适用于</w:t>
            </w:r>
            <w:r>
              <w:rPr>
                <w:rFonts w:hint="eastAsia" w:ascii="宋体" w:hAnsi="宋体" w:cs="宋体"/>
                <w:color w:val="auto"/>
                <w:kern w:val="0"/>
                <w:szCs w:val="21"/>
                <w:highlight w:val="none"/>
              </w:rPr>
              <w:t>节能、环保产品加分。</w:t>
            </w:r>
          </w:p>
        </w:tc>
      </w:tr>
    </w:tbl>
    <w:p w14:paraId="0ADBEC73">
      <w:pPr>
        <w:rPr>
          <w:color w:val="auto"/>
          <w:sz w:val="32"/>
          <w:szCs w:val="32"/>
          <w:highlight w:val="none"/>
        </w:rPr>
      </w:pPr>
      <w:r>
        <w:rPr>
          <w:color w:val="auto"/>
          <w:sz w:val="32"/>
          <w:szCs w:val="32"/>
          <w:highlight w:val="none"/>
        </w:rPr>
        <w:br w:type="page"/>
      </w:r>
    </w:p>
    <w:p w14:paraId="547AD80D">
      <w:pPr>
        <w:pStyle w:val="26"/>
        <w:snapToGrid w:val="0"/>
        <w:spacing w:before="120" w:after="120" w:line="320" w:lineRule="exact"/>
        <w:jc w:val="center"/>
        <w:outlineLvl w:val="0"/>
        <w:rPr>
          <w:rFonts w:ascii="Times New Roman" w:hAnsi="Times New Roman" w:cs="Times New Roman"/>
          <w:b/>
          <w:color w:val="auto"/>
          <w:sz w:val="24"/>
          <w:szCs w:val="24"/>
          <w:highlight w:val="none"/>
        </w:rPr>
      </w:pPr>
      <w:bookmarkStart w:id="60" w:name="_Toc6751"/>
      <w:r>
        <w:rPr>
          <w:rFonts w:ascii="Times New Roman" w:hAnsi="Times New Roman" w:cs="Times New Roman"/>
          <w:color w:val="auto"/>
          <w:sz w:val="32"/>
          <w:szCs w:val="32"/>
          <w:highlight w:val="none"/>
        </w:rPr>
        <w:t>第五章  合同主要条款格式</w:t>
      </w:r>
      <w:bookmarkEnd w:id="60"/>
      <w:bookmarkStart w:id="61" w:name="_Hlk77611300"/>
    </w:p>
    <w:bookmarkEnd w:id="61"/>
    <w:p w14:paraId="3C3A2F85">
      <w:pPr>
        <w:spacing w:before="120" w:line="360" w:lineRule="auto"/>
        <w:ind w:firstLine="422" w:firstLineChars="200"/>
        <w:jc w:val="center"/>
        <w:outlineLvl w:val="1"/>
        <w:rPr>
          <w:b/>
          <w:bCs/>
          <w:color w:val="auto"/>
          <w:kern w:val="0"/>
          <w:szCs w:val="21"/>
          <w:highlight w:val="none"/>
        </w:rPr>
      </w:pPr>
      <w:r>
        <w:rPr>
          <w:b/>
          <w:bCs/>
          <w:color w:val="auto"/>
          <w:kern w:val="0"/>
          <w:szCs w:val="21"/>
          <w:highlight w:val="none"/>
        </w:rPr>
        <w:t>广西壮族自治区政府采购合同</w:t>
      </w:r>
    </w:p>
    <w:tbl>
      <w:tblPr>
        <w:tblStyle w:val="51"/>
        <w:tblW w:w="0" w:type="auto"/>
        <w:tblInd w:w="0" w:type="dxa"/>
        <w:tblLayout w:type="autofit"/>
        <w:tblCellMar>
          <w:top w:w="0" w:type="dxa"/>
          <w:left w:w="108" w:type="dxa"/>
          <w:bottom w:w="0" w:type="dxa"/>
          <w:right w:w="108" w:type="dxa"/>
        </w:tblCellMar>
      </w:tblPr>
      <w:tblGrid>
        <w:gridCol w:w="2336"/>
        <w:gridCol w:w="2336"/>
        <w:gridCol w:w="2336"/>
        <w:gridCol w:w="2337"/>
      </w:tblGrid>
      <w:tr w14:paraId="4756119A">
        <w:tblPrEx>
          <w:tblCellMar>
            <w:top w:w="0" w:type="dxa"/>
            <w:left w:w="108" w:type="dxa"/>
            <w:bottom w:w="0" w:type="dxa"/>
            <w:right w:w="108" w:type="dxa"/>
          </w:tblCellMar>
        </w:tblPrEx>
        <w:tc>
          <w:tcPr>
            <w:tcW w:w="2336" w:type="dxa"/>
          </w:tcPr>
          <w:p w14:paraId="382EBA28">
            <w:pPr>
              <w:snapToGrid w:val="0"/>
              <w:spacing w:line="360" w:lineRule="auto"/>
              <w:ind w:right="480"/>
              <w:jc w:val="left"/>
              <w:rPr>
                <w:bCs/>
                <w:color w:val="auto"/>
                <w:szCs w:val="21"/>
                <w:highlight w:val="none"/>
              </w:rPr>
            </w:pPr>
            <w:r>
              <w:rPr>
                <w:rFonts w:hint="eastAsia"/>
                <w:bCs/>
                <w:color w:val="auto"/>
                <w:szCs w:val="21"/>
                <w:highlight w:val="none"/>
              </w:rPr>
              <w:t>合同编号：</w:t>
            </w:r>
          </w:p>
        </w:tc>
        <w:tc>
          <w:tcPr>
            <w:tcW w:w="2336" w:type="dxa"/>
          </w:tcPr>
          <w:p w14:paraId="6788B865">
            <w:pPr>
              <w:snapToGrid w:val="0"/>
              <w:spacing w:line="360" w:lineRule="auto"/>
              <w:ind w:right="480"/>
              <w:jc w:val="left"/>
              <w:rPr>
                <w:bCs/>
                <w:color w:val="auto"/>
                <w:szCs w:val="21"/>
                <w:highlight w:val="none"/>
              </w:rPr>
            </w:pPr>
          </w:p>
        </w:tc>
        <w:tc>
          <w:tcPr>
            <w:tcW w:w="2336" w:type="dxa"/>
          </w:tcPr>
          <w:p w14:paraId="437BE0E9">
            <w:pPr>
              <w:snapToGrid w:val="0"/>
              <w:spacing w:line="360" w:lineRule="auto"/>
              <w:ind w:right="480"/>
              <w:jc w:val="left"/>
              <w:rPr>
                <w:bCs/>
                <w:color w:val="auto"/>
                <w:szCs w:val="21"/>
                <w:highlight w:val="none"/>
              </w:rPr>
            </w:pPr>
            <w:r>
              <w:rPr>
                <w:rFonts w:hint="eastAsia"/>
                <w:bCs/>
                <w:color w:val="auto"/>
                <w:szCs w:val="21"/>
                <w:highlight w:val="none"/>
              </w:rPr>
              <w:t>采购计划号：</w:t>
            </w:r>
          </w:p>
        </w:tc>
        <w:tc>
          <w:tcPr>
            <w:tcW w:w="2337" w:type="dxa"/>
          </w:tcPr>
          <w:p w14:paraId="400CB169">
            <w:pPr>
              <w:snapToGrid w:val="0"/>
              <w:spacing w:line="360" w:lineRule="auto"/>
              <w:ind w:right="480"/>
              <w:jc w:val="left"/>
              <w:rPr>
                <w:bCs/>
                <w:color w:val="auto"/>
                <w:szCs w:val="21"/>
                <w:highlight w:val="none"/>
              </w:rPr>
            </w:pPr>
          </w:p>
        </w:tc>
      </w:tr>
      <w:tr w14:paraId="1EE90FD8">
        <w:tblPrEx>
          <w:tblCellMar>
            <w:top w:w="0" w:type="dxa"/>
            <w:left w:w="108" w:type="dxa"/>
            <w:bottom w:w="0" w:type="dxa"/>
            <w:right w:w="108" w:type="dxa"/>
          </w:tblCellMar>
        </w:tblPrEx>
        <w:tc>
          <w:tcPr>
            <w:tcW w:w="2336" w:type="dxa"/>
          </w:tcPr>
          <w:p w14:paraId="5EDC0107">
            <w:pPr>
              <w:snapToGrid w:val="0"/>
              <w:spacing w:line="360" w:lineRule="auto"/>
              <w:ind w:right="480"/>
              <w:jc w:val="left"/>
              <w:rPr>
                <w:bCs/>
                <w:color w:val="auto"/>
                <w:szCs w:val="21"/>
                <w:highlight w:val="none"/>
              </w:rPr>
            </w:pPr>
            <w:r>
              <w:rPr>
                <w:rFonts w:hint="eastAsia"/>
                <w:bCs/>
                <w:color w:val="auto"/>
                <w:szCs w:val="21"/>
                <w:highlight w:val="none"/>
              </w:rPr>
              <w:t>项目名称：</w:t>
            </w:r>
          </w:p>
        </w:tc>
        <w:tc>
          <w:tcPr>
            <w:tcW w:w="2336" w:type="dxa"/>
          </w:tcPr>
          <w:p w14:paraId="143D9A33">
            <w:pPr>
              <w:snapToGrid w:val="0"/>
              <w:spacing w:line="360" w:lineRule="auto"/>
              <w:ind w:right="480"/>
              <w:jc w:val="left"/>
              <w:rPr>
                <w:bCs/>
                <w:color w:val="auto"/>
                <w:szCs w:val="21"/>
                <w:highlight w:val="none"/>
              </w:rPr>
            </w:pPr>
          </w:p>
        </w:tc>
        <w:tc>
          <w:tcPr>
            <w:tcW w:w="2336" w:type="dxa"/>
          </w:tcPr>
          <w:p w14:paraId="32680A8A">
            <w:pPr>
              <w:snapToGrid w:val="0"/>
              <w:spacing w:line="360" w:lineRule="auto"/>
              <w:ind w:right="480"/>
              <w:jc w:val="left"/>
              <w:rPr>
                <w:bCs/>
                <w:color w:val="auto"/>
                <w:szCs w:val="21"/>
                <w:highlight w:val="none"/>
              </w:rPr>
            </w:pPr>
            <w:r>
              <w:rPr>
                <w:rFonts w:hint="eastAsia"/>
                <w:bCs/>
                <w:color w:val="auto"/>
                <w:szCs w:val="21"/>
                <w:highlight w:val="none"/>
              </w:rPr>
              <w:t>项目编号：</w:t>
            </w:r>
          </w:p>
        </w:tc>
        <w:tc>
          <w:tcPr>
            <w:tcW w:w="2337" w:type="dxa"/>
          </w:tcPr>
          <w:p w14:paraId="2E7E2D44">
            <w:pPr>
              <w:snapToGrid w:val="0"/>
              <w:spacing w:line="360" w:lineRule="auto"/>
              <w:ind w:right="480"/>
              <w:jc w:val="left"/>
              <w:rPr>
                <w:bCs/>
                <w:color w:val="auto"/>
                <w:szCs w:val="21"/>
                <w:highlight w:val="none"/>
              </w:rPr>
            </w:pPr>
          </w:p>
        </w:tc>
      </w:tr>
      <w:tr w14:paraId="7CE8CBF0">
        <w:tblPrEx>
          <w:tblCellMar>
            <w:top w:w="0" w:type="dxa"/>
            <w:left w:w="108" w:type="dxa"/>
            <w:bottom w:w="0" w:type="dxa"/>
            <w:right w:w="108" w:type="dxa"/>
          </w:tblCellMar>
        </w:tblPrEx>
        <w:tc>
          <w:tcPr>
            <w:tcW w:w="2336" w:type="dxa"/>
          </w:tcPr>
          <w:p w14:paraId="3E71C1EE">
            <w:pPr>
              <w:snapToGrid w:val="0"/>
              <w:spacing w:line="360" w:lineRule="auto"/>
              <w:jc w:val="left"/>
              <w:rPr>
                <w:bCs/>
                <w:color w:val="auto"/>
                <w:szCs w:val="21"/>
                <w:highlight w:val="none"/>
              </w:rPr>
            </w:pPr>
            <w:r>
              <w:rPr>
                <w:rFonts w:hint="eastAsia"/>
                <w:bCs/>
                <w:color w:val="auto"/>
                <w:szCs w:val="21"/>
                <w:highlight w:val="none"/>
              </w:rPr>
              <w:t>采购人（甲方）：</w:t>
            </w:r>
          </w:p>
        </w:tc>
        <w:tc>
          <w:tcPr>
            <w:tcW w:w="2336" w:type="dxa"/>
          </w:tcPr>
          <w:p w14:paraId="3F5C6B49">
            <w:pPr>
              <w:snapToGrid w:val="0"/>
              <w:spacing w:line="360" w:lineRule="auto"/>
              <w:ind w:right="480"/>
              <w:jc w:val="left"/>
              <w:rPr>
                <w:bCs/>
                <w:color w:val="auto"/>
                <w:szCs w:val="21"/>
                <w:highlight w:val="none"/>
              </w:rPr>
            </w:pPr>
          </w:p>
        </w:tc>
        <w:tc>
          <w:tcPr>
            <w:tcW w:w="2336" w:type="dxa"/>
          </w:tcPr>
          <w:p w14:paraId="56AADEA5">
            <w:pPr>
              <w:snapToGrid w:val="0"/>
              <w:spacing w:line="360" w:lineRule="auto"/>
              <w:jc w:val="left"/>
              <w:rPr>
                <w:bCs/>
                <w:color w:val="auto"/>
                <w:szCs w:val="21"/>
                <w:highlight w:val="none"/>
              </w:rPr>
            </w:pPr>
            <w:r>
              <w:rPr>
                <w:rFonts w:hint="eastAsia"/>
                <w:bCs/>
                <w:color w:val="auto"/>
                <w:szCs w:val="21"/>
                <w:highlight w:val="none"/>
              </w:rPr>
              <w:t>供应商（乙方）：</w:t>
            </w:r>
          </w:p>
        </w:tc>
        <w:tc>
          <w:tcPr>
            <w:tcW w:w="2337" w:type="dxa"/>
          </w:tcPr>
          <w:p w14:paraId="67469449">
            <w:pPr>
              <w:snapToGrid w:val="0"/>
              <w:spacing w:line="360" w:lineRule="auto"/>
              <w:ind w:right="480"/>
              <w:jc w:val="left"/>
              <w:rPr>
                <w:bCs/>
                <w:color w:val="auto"/>
                <w:szCs w:val="21"/>
                <w:highlight w:val="none"/>
              </w:rPr>
            </w:pPr>
          </w:p>
        </w:tc>
      </w:tr>
      <w:tr w14:paraId="5E6C4402">
        <w:tblPrEx>
          <w:tblCellMar>
            <w:top w:w="0" w:type="dxa"/>
            <w:left w:w="108" w:type="dxa"/>
            <w:bottom w:w="0" w:type="dxa"/>
            <w:right w:w="108" w:type="dxa"/>
          </w:tblCellMar>
        </w:tblPrEx>
        <w:tc>
          <w:tcPr>
            <w:tcW w:w="2336" w:type="dxa"/>
          </w:tcPr>
          <w:p w14:paraId="6F3F5EA7">
            <w:pPr>
              <w:snapToGrid w:val="0"/>
              <w:spacing w:line="360" w:lineRule="auto"/>
              <w:ind w:right="480"/>
              <w:jc w:val="left"/>
              <w:rPr>
                <w:bCs/>
                <w:color w:val="auto"/>
                <w:szCs w:val="21"/>
                <w:highlight w:val="none"/>
              </w:rPr>
            </w:pPr>
            <w:r>
              <w:rPr>
                <w:rFonts w:hint="eastAsia"/>
                <w:bCs/>
                <w:color w:val="auto"/>
                <w:szCs w:val="21"/>
                <w:highlight w:val="none"/>
              </w:rPr>
              <w:t>签订地点：</w:t>
            </w:r>
          </w:p>
        </w:tc>
        <w:tc>
          <w:tcPr>
            <w:tcW w:w="2336" w:type="dxa"/>
          </w:tcPr>
          <w:p w14:paraId="6FCF29B3">
            <w:pPr>
              <w:snapToGrid w:val="0"/>
              <w:spacing w:line="360" w:lineRule="auto"/>
              <w:ind w:right="480"/>
              <w:jc w:val="left"/>
              <w:rPr>
                <w:bCs/>
                <w:color w:val="auto"/>
                <w:szCs w:val="21"/>
                <w:highlight w:val="none"/>
              </w:rPr>
            </w:pPr>
          </w:p>
        </w:tc>
        <w:tc>
          <w:tcPr>
            <w:tcW w:w="2336" w:type="dxa"/>
          </w:tcPr>
          <w:p w14:paraId="01318A35">
            <w:pPr>
              <w:snapToGrid w:val="0"/>
              <w:spacing w:line="360" w:lineRule="auto"/>
              <w:ind w:right="480"/>
              <w:jc w:val="left"/>
              <w:rPr>
                <w:bCs/>
                <w:color w:val="auto"/>
                <w:szCs w:val="21"/>
                <w:highlight w:val="none"/>
              </w:rPr>
            </w:pPr>
            <w:r>
              <w:rPr>
                <w:rFonts w:hint="eastAsia"/>
                <w:bCs/>
                <w:color w:val="auto"/>
                <w:szCs w:val="21"/>
                <w:highlight w:val="none"/>
              </w:rPr>
              <w:t>签订时间：</w:t>
            </w:r>
          </w:p>
        </w:tc>
        <w:tc>
          <w:tcPr>
            <w:tcW w:w="2337" w:type="dxa"/>
          </w:tcPr>
          <w:p w14:paraId="3B313AB6">
            <w:pPr>
              <w:snapToGrid w:val="0"/>
              <w:spacing w:line="360" w:lineRule="auto"/>
              <w:ind w:right="480"/>
              <w:jc w:val="left"/>
              <w:rPr>
                <w:bCs/>
                <w:color w:val="auto"/>
                <w:szCs w:val="21"/>
                <w:highlight w:val="none"/>
              </w:rPr>
            </w:pPr>
          </w:p>
        </w:tc>
      </w:tr>
    </w:tbl>
    <w:p w14:paraId="0BBE4A06">
      <w:pPr>
        <w:snapToGrid w:val="0"/>
        <w:spacing w:line="360" w:lineRule="exact"/>
        <w:ind w:right="480" w:firstLine="5985" w:firstLineChars="2850"/>
        <w:rPr>
          <w:bCs/>
          <w:color w:val="auto"/>
          <w:szCs w:val="21"/>
          <w:highlight w:val="none"/>
        </w:rPr>
      </w:pPr>
    </w:p>
    <w:p w14:paraId="2AB6E7F9">
      <w:pPr>
        <w:pStyle w:val="26"/>
        <w:spacing w:line="360" w:lineRule="auto"/>
        <w:ind w:firstLine="420" w:firstLineChars="200"/>
        <w:rPr>
          <w:rFonts w:ascii="Times New Roman" w:hAnsi="Times New Roman" w:cs="Times New Roman"/>
          <w:color w:val="auto"/>
          <w:highlight w:val="none"/>
        </w:rPr>
      </w:pPr>
      <w:r>
        <w:rPr>
          <w:rFonts w:ascii="Times New Roman" w:hAnsi="Times New Roman" w:cs="Times New Roman"/>
          <w:color w:val="auto"/>
          <w:highlight w:val="none"/>
        </w:rPr>
        <w:t>根据《中华人民共和国政府采购法》</w:t>
      </w:r>
      <w:r>
        <w:rPr>
          <w:rFonts w:hint="eastAsia" w:ascii="Times New Roman" w:hAnsi="Times New Roman" w:cs="Times New Roman"/>
          <w:color w:val="auto"/>
          <w:highlight w:val="none"/>
        </w:rPr>
        <w:t>、</w:t>
      </w:r>
      <w:r>
        <w:rPr>
          <w:rFonts w:ascii="Times New Roman" w:hAnsi="Times New Roman" w:cs="Times New Roman"/>
          <w:color w:val="auto"/>
          <w:highlight w:val="none"/>
        </w:rPr>
        <w:t>《中华人民共和国政府采购法</w:t>
      </w:r>
      <w:r>
        <w:rPr>
          <w:rFonts w:hint="eastAsia" w:ascii="Times New Roman" w:hAnsi="Times New Roman" w:cs="Times New Roman"/>
          <w:color w:val="auto"/>
          <w:highlight w:val="none"/>
        </w:rPr>
        <w:t>实施条例</w:t>
      </w:r>
      <w:r>
        <w:rPr>
          <w:rFonts w:ascii="Times New Roman" w:hAnsi="Times New Roman" w:cs="Times New Roman"/>
          <w:color w:val="auto"/>
          <w:highlight w:val="none"/>
        </w:rPr>
        <w:t>》等法律、法规规定，按照招标文件规定</w:t>
      </w:r>
      <w:r>
        <w:rPr>
          <w:rFonts w:hint="eastAsia" w:ascii="Times New Roman" w:hAnsi="Times New Roman" w:cs="Times New Roman"/>
          <w:color w:val="auto"/>
          <w:highlight w:val="none"/>
        </w:rPr>
        <w:t>、</w:t>
      </w:r>
      <w:r>
        <w:rPr>
          <w:rFonts w:ascii="Times New Roman" w:hAnsi="Times New Roman" w:cs="Times New Roman"/>
          <w:color w:val="auto"/>
          <w:highlight w:val="none"/>
        </w:rPr>
        <w:t>乙方投标文件及其承诺</w:t>
      </w:r>
      <w:r>
        <w:rPr>
          <w:rFonts w:hint="eastAsia" w:ascii="Times New Roman" w:hAnsi="Times New Roman" w:cs="Times New Roman"/>
          <w:color w:val="auto"/>
          <w:highlight w:val="none"/>
        </w:rPr>
        <w:t>和中标通知书</w:t>
      </w:r>
      <w:r>
        <w:rPr>
          <w:rFonts w:ascii="Times New Roman" w:hAnsi="Times New Roman" w:cs="Times New Roman"/>
          <w:color w:val="auto"/>
          <w:highlight w:val="none"/>
        </w:rPr>
        <w:t>，甲乙双方签订本合同。</w:t>
      </w:r>
    </w:p>
    <w:p w14:paraId="7487546A">
      <w:pPr>
        <w:snapToGrid w:val="0"/>
        <w:spacing w:line="360" w:lineRule="auto"/>
        <w:ind w:firstLine="422" w:firstLineChars="200"/>
        <w:rPr>
          <w:b/>
          <w:color w:val="auto"/>
          <w:szCs w:val="21"/>
          <w:highlight w:val="none"/>
        </w:rPr>
      </w:pPr>
      <w:r>
        <w:rPr>
          <w:b/>
          <w:color w:val="auto"/>
          <w:szCs w:val="21"/>
          <w:highlight w:val="none"/>
        </w:rPr>
        <w:t>第一条　项目概况及服务范围</w:t>
      </w:r>
    </w:p>
    <w:p w14:paraId="588146A5">
      <w:pPr>
        <w:snapToGrid w:val="0"/>
        <w:spacing w:line="360" w:lineRule="auto"/>
        <w:ind w:firstLine="420" w:firstLineChars="200"/>
        <w:rPr>
          <w:color w:val="auto"/>
          <w:szCs w:val="21"/>
          <w:highlight w:val="none"/>
        </w:rPr>
      </w:pPr>
      <w:r>
        <w:rPr>
          <w:color w:val="auto"/>
          <w:szCs w:val="21"/>
          <w:highlight w:val="none"/>
        </w:rPr>
        <w:t>1.项目名称：</w:t>
      </w:r>
      <w:r>
        <w:rPr>
          <w:rFonts w:hint="eastAsia"/>
          <w:color w:val="auto"/>
          <w:kern w:val="0"/>
          <w:szCs w:val="21"/>
          <w:highlight w:val="none"/>
        </w:rPr>
        <w:t>广西新舟60增雨飞机托管服务；</w:t>
      </w:r>
    </w:p>
    <w:p w14:paraId="3C4F2D06">
      <w:pPr>
        <w:snapToGrid w:val="0"/>
        <w:spacing w:line="360" w:lineRule="auto"/>
        <w:ind w:firstLine="420" w:firstLineChars="200"/>
        <w:rPr>
          <w:color w:val="auto"/>
          <w:szCs w:val="21"/>
          <w:highlight w:val="none"/>
        </w:rPr>
      </w:pPr>
      <w:r>
        <w:rPr>
          <w:color w:val="auto"/>
          <w:szCs w:val="21"/>
          <w:highlight w:val="none"/>
        </w:rPr>
        <w:t>2.服务内容及范围：</w:t>
      </w:r>
      <w:r>
        <w:rPr>
          <w:color w:val="auto"/>
          <w:szCs w:val="21"/>
          <w:highlight w:val="none"/>
          <w:u w:val="single"/>
        </w:rPr>
        <w:t xml:space="preserve">                                                    ；</w:t>
      </w:r>
      <w:r>
        <w:rPr>
          <w:color w:val="auto"/>
          <w:szCs w:val="21"/>
          <w:highlight w:val="none"/>
        </w:rPr>
        <w:t xml:space="preserve">  </w:t>
      </w:r>
    </w:p>
    <w:p w14:paraId="78DBC987">
      <w:pPr>
        <w:snapToGrid w:val="0"/>
        <w:spacing w:line="360" w:lineRule="auto"/>
        <w:ind w:firstLine="420" w:firstLineChars="200"/>
        <w:rPr>
          <w:color w:val="auto"/>
          <w:szCs w:val="21"/>
          <w:highlight w:val="none"/>
        </w:rPr>
      </w:pPr>
      <w:r>
        <w:rPr>
          <w:color w:val="auto"/>
          <w:szCs w:val="21"/>
          <w:highlight w:val="none"/>
        </w:rPr>
        <w:t>3.服务期：</w:t>
      </w:r>
      <w:r>
        <w:rPr>
          <w:color w:val="auto"/>
          <w:szCs w:val="21"/>
          <w:highlight w:val="none"/>
          <w:u w:val="single"/>
        </w:rPr>
        <w:t xml:space="preserve">                                                            </w:t>
      </w:r>
      <w:r>
        <w:rPr>
          <w:color w:val="auto"/>
          <w:szCs w:val="21"/>
          <w:highlight w:val="none"/>
        </w:rPr>
        <w:t>；</w:t>
      </w:r>
    </w:p>
    <w:p w14:paraId="2189A839">
      <w:pPr>
        <w:snapToGrid w:val="0"/>
        <w:spacing w:line="360" w:lineRule="auto"/>
        <w:ind w:firstLine="420" w:firstLineChars="200"/>
        <w:rPr>
          <w:color w:val="auto"/>
          <w:szCs w:val="21"/>
          <w:highlight w:val="none"/>
        </w:rPr>
      </w:pPr>
      <w:r>
        <w:rPr>
          <w:color w:val="auto"/>
          <w:szCs w:val="21"/>
          <w:highlight w:val="none"/>
        </w:rPr>
        <w:t>4.交付时间及地点：</w:t>
      </w:r>
      <w:r>
        <w:rPr>
          <w:color w:val="auto"/>
          <w:szCs w:val="21"/>
          <w:highlight w:val="none"/>
          <w:u w:val="single"/>
        </w:rPr>
        <w:t xml:space="preserve">                                                    </w:t>
      </w:r>
      <w:r>
        <w:rPr>
          <w:color w:val="auto"/>
          <w:szCs w:val="21"/>
          <w:highlight w:val="none"/>
        </w:rPr>
        <w:t xml:space="preserve">； </w:t>
      </w:r>
    </w:p>
    <w:p w14:paraId="6D3C519D">
      <w:pPr>
        <w:snapToGrid w:val="0"/>
        <w:spacing w:line="360" w:lineRule="auto"/>
        <w:ind w:firstLine="420" w:firstLineChars="200"/>
        <w:rPr>
          <w:color w:val="auto"/>
          <w:szCs w:val="21"/>
          <w:highlight w:val="none"/>
        </w:rPr>
      </w:pPr>
      <w:r>
        <w:rPr>
          <w:color w:val="auto"/>
          <w:szCs w:val="21"/>
          <w:highlight w:val="none"/>
        </w:rPr>
        <w:t>5.报价要求：</w:t>
      </w:r>
      <w:r>
        <w:rPr>
          <w:rFonts w:hint="eastAsia"/>
          <w:color w:val="auto"/>
          <w:szCs w:val="21"/>
          <w:highlight w:val="none"/>
        </w:rPr>
        <w:t>报价须包含以下费用（含税）：实施本项目可能产生人员工资、保险、培训、代理费等费用；实现未在招标文件中明确的全部服务的费用；实现中标人在投标文件中承诺的服务的所有费用</w:t>
      </w:r>
      <w:r>
        <w:rPr>
          <w:color w:val="auto"/>
          <w:szCs w:val="21"/>
          <w:highlight w:val="none"/>
        </w:rPr>
        <w:t>。</w:t>
      </w:r>
    </w:p>
    <w:p w14:paraId="4BE6307B">
      <w:pPr>
        <w:pStyle w:val="26"/>
        <w:spacing w:line="360" w:lineRule="auto"/>
        <w:ind w:firstLine="420" w:firstLineChars="200"/>
        <w:rPr>
          <w:rFonts w:ascii="Times New Roman" w:hAnsi="Times New Roman" w:cs="Times New Roman"/>
          <w:color w:val="auto"/>
          <w:highlight w:val="none"/>
        </w:rPr>
      </w:pPr>
      <w:bookmarkStart w:id="62" w:name="_Hlk77611311"/>
      <w:r>
        <w:rPr>
          <w:rFonts w:ascii="Times New Roman" w:hAnsi="Times New Roman" w:cs="Times New Roman"/>
          <w:color w:val="auto"/>
          <w:highlight w:val="none"/>
        </w:rPr>
        <w:t>6</w:t>
      </w:r>
      <w:r>
        <w:rPr>
          <w:rFonts w:hint="eastAsia" w:ascii="Times New Roman" w:hAnsi="Times New Roman" w:cs="Times New Roman"/>
          <w:color w:val="auto"/>
          <w:highlight w:val="none"/>
        </w:rPr>
        <w:t>.合同价格形式：固定总价</w:t>
      </w:r>
    </w:p>
    <w:bookmarkEnd w:id="62"/>
    <w:p w14:paraId="6764308C">
      <w:pPr>
        <w:snapToGrid w:val="0"/>
        <w:spacing w:line="360" w:lineRule="auto"/>
        <w:ind w:firstLine="422" w:firstLineChars="200"/>
        <w:rPr>
          <w:b/>
          <w:color w:val="auto"/>
          <w:szCs w:val="21"/>
          <w:highlight w:val="none"/>
        </w:rPr>
      </w:pPr>
      <w:r>
        <w:rPr>
          <w:b/>
          <w:color w:val="auto"/>
          <w:szCs w:val="21"/>
          <w:highlight w:val="none"/>
        </w:rPr>
        <w:t>第二条　服务交付成果（产品）清单</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04"/>
        <w:gridCol w:w="1411"/>
        <w:gridCol w:w="2640"/>
        <w:gridCol w:w="3144"/>
        <w:gridCol w:w="1166"/>
      </w:tblGrid>
      <w:tr w14:paraId="709BFD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1004" w:type="dxa"/>
            <w:tcBorders>
              <w:top w:val="single" w:color="auto" w:sz="4" w:space="0"/>
              <w:left w:val="single" w:color="auto" w:sz="4" w:space="0"/>
              <w:bottom w:val="single" w:color="auto" w:sz="4" w:space="0"/>
              <w:right w:val="single" w:color="auto" w:sz="4" w:space="0"/>
            </w:tcBorders>
            <w:vAlign w:val="center"/>
          </w:tcPr>
          <w:p w14:paraId="0507539D">
            <w:pPr>
              <w:jc w:val="center"/>
              <w:rPr>
                <w:color w:val="auto"/>
                <w:spacing w:val="20"/>
                <w:szCs w:val="21"/>
                <w:highlight w:val="none"/>
              </w:rPr>
            </w:pPr>
            <w:r>
              <w:rPr>
                <w:color w:val="auto"/>
                <w:szCs w:val="21"/>
                <w:highlight w:val="none"/>
              </w:rPr>
              <w:t>序号</w:t>
            </w:r>
          </w:p>
        </w:tc>
        <w:tc>
          <w:tcPr>
            <w:tcW w:w="1411" w:type="dxa"/>
            <w:tcBorders>
              <w:top w:val="single" w:color="auto" w:sz="4" w:space="0"/>
              <w:left w:val="single" w:color="auto" w:sz="4" w:space="0"/>
              <w:bottom w:val="single" w:color="auto" w:sz="4" w:space="0"/>
              <w:right w:val="single" w:color="auto" w:sz="4" w:space="0"/>
            </w:tcBorders>
            <w:vAlign w:val="center"/>
          </w:tcPr>
          <w:p w14:paraId="07413BA9">
            <w:pPr>
              <w:jc w:val="center"/>
              <w:rPr>
                <w:color w:val="auto"/>
                <w:szCs w:val="21"/>
                <w:highlight w:val="none"/>
              </w:rPr>
            </w:pPr>
            <w:r>
              <w:rPr>
                <w:color w:val="auto"/>
                <w:szCs w:val="21"/>
                <w:highlight w:val="none"/>
              </w:rPr>
              <w:t>服务名称</w:t>
            </w:r>
          </w:p>
        </w:tc>
        <w:tc>
          <w:tcPr>
            <w:tcW w:w="5784" w:type="dxa"/>
            <w:gridSpan w:val="2"/>
            <w:tcBorders>
              <w:top w:val="single" w:color="auto" w:sz="4" w:space="0"/>
              <w:left w:val="single" w:color="auto" w:sz="4" w:space="0"/>
              <w:bottom w:val="single" w:color="auto" w:sz="4" w:space="0"/>
              <w:right w:val="single" w:color="auto" w:sz="4" w:space="0"/>
            </w:tcBorders>
            <w:vAlign w:val="center"/>
          </w:tcPr>
          <w:p w14:paraId="708466AC">
            <w:pPr>
              <w:jc w:val="center"/>
              <w:rPr>
                <w:color w:val="auto"/>
                <w:szCs w:val="21"/>
                <w:highlight w:val="none"/>
              </w:rPr>
            </w:pPr>
            <w:r>
              <w:rPr>
                <w:rFonts w:hint="eastAsia"/>
                <w:color w:val="auto"/>
                <w:szCs w:val="21"/>
                <w:highlight w:val="none"/>
              </w:rPr>
              <w:t>投标</w:t>
            </w:r>
            <w:r>
              <w:rPr>
                <w:color w:val="auto"/>
                <w:szCs w:val="21"/>
                <w:highlight w:val="none"/>
              </w:rPr>
              <w:t>报价</w:t>
            </w:r>
          </w:p>
        </w:tc>
        <w:tc>
          <w:tcPr>
            <w:tcW w:w="1166" w:type="dxa"/>
            <w:tcBorders>
              <w:top w:val="single" w:color="auto" w:sz="4" w:space="0"/>
              <w:left w:val="single" w:color="auto" w:sz="4" w:space="0"/>
              <w:bottom w:val="single" w:color="auto" w:sz="4" w:space="0"/>
              <w:right w:val="single" w:color="auto" w:sz="4" w:space="0"/>
            </w:tcBorders>
            <w:vAlign w:val="center"/>
          </w:tcPr>
          <w:p w14:paraId="1669BB6A">
            <w:pPr>
              <w:jc w:val="center"/>
              <w:rPr>
                <w:color w:val="auto"/>
                <w:szCs w:val="21"/>
                <w:highlight w:val="none"/>
              </w:rPr>
            </w:pPr>
            <w:r>
              <w:rPr>
                <w:color w:val="auto"/>
                <w:szCs w:val="21"/>
                <w:highlight w:val="none"/>
              </w:rPr>
              <w:t>备注</w:t>
            </w:r>
          </w:p>
        </w:tc>
      </w:tr>
      <w:tr w14:paraId="02A856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1004" w:type="dxa"/>
            <w:vMerge w:val="restart"/>
            <w:tcBorders>
              <w:top w:val="single" w:color="auto" w:sz="4" w:space="0"/>
              <w:left w:val="single" w:color="auto" w:sz="4" w:space="0"/>
              <w:right w:val="single" w:color="auto" w:sz="4" w:space="0"/>
            </w:tcBorders>
            <w:vAlign w:val="center"/>
          </w:tcPr>
          <w:p w14:paraId="5B024DF1">
            <w:pPr>
              <w:jc w:val="center"/>
              <w:rPr>
                <w:color w:val="auto"/>
                <w:spacing w:val="20"/>
                <w:szCs w:val="21"/>
                <w:highlight w:val="none"/>
              </w:rPr>
            </w:pPr>
            <w:r>
              <w:rPr>
                <w:rFonts w:hint="eastAsia"/>
                <w:color w:val="auto"/>
                <w:spacing w:val="20"/>
                <w:szCs w:val="21"/>
                <w:highlight w:val="none"/>
              </w:rPr>
              <w:t>1.</w:t>
            </w:r>
          </w:p>
        </w:tc>
        <w:tc>
          <w:tcPr>
            <w:tcW w:w="1411" w:type="dxa"/>
            <w:vMerge w:val="restart"/>
            <w:tcBorders>
              <w:top w:val="single" w:color="auto" w:sz="4" w:space="0"/>
              <w:left w:val="single" w:color="auto" w:sz="4" w:space="0"/>
              <w:right w:val="single" w:color="auto" w:sz="4" w:space="0"/>
            </w:tcBorders>
            <w:vAlign w:val="center"/>
          </w:tcPr>
          <w:p w14:paraId="55CEE927">
            <w:pPr>
              <w:jc w:val="center"/>
              <w:rPr>
                <w:color w:val="auto"/>
                <w:szCs w:val="21"/>
                <w:highlight w:val="none"/>
              </w:rPr>
            </w:pPr>
            <w:r>
              <w:rPr>
                <w:rFonts w:hint="eastAsia"/>
                <w:color w:val="auto"/>
                <w:szCs w:val="21"/>
                <w:highlight w:val="none"/>
              </w:rPr>
              <w:t>广西新舟60增雨飞机托管服务</w:t>
            </w:r>
          </w:p>
          <w:p w14:paraId="70F3C70C">
            <w:pPr>
              <w:jc w:val="center"/>
              <w:rPr>
                <w:color w:val="auto"/>
                <w:spacing w:val="20"/>
                <w:szCs w:val="21"/>
                <w:highlight w:val="none"/>
              </w:rPr>
            </w:pPr>
          </w:p>
        </w:tc>
        <w:tc>
          <w:tcPr>
            <w:tcW w:w="2640" w:type="dxa"/>
            <w:tcBorders>
              <w:top w:val="single" w:color="auto" w:sz="4" w:space="0"/>
              <w:left w:val="single" w:color="auto" w:sz="4" w:space="0"/>
              <w:bottom w:val="single" w:color="auto" w:sz="4" w:space="0"/>
              <w:right w:val="single" w:color="auto" w:sz="4" w:space="0"/>
            </w:tcBorders>
            <w:vAlign w:val="center"/>
          </w:tcPr>
          <w:p w14:paraId="3F1343DD">
            <w:pPr>
              <w:jc w:val="center"/>
              <w:rPr>
                <w:color w:val="auto"/>
                <w:spacing w:val="20"/>
                <w:szCs w:val="21"/>
                <w:highlight w:val="none"/>
              </w:rPr>
            </w:pPr>
            <w:r>
              <w:rPr>
                <w:rFonts w:hint="eastAsia"/>
                <w:color w:val="auto"/>
                <w:spacing w:val="20"/>
                <w:szCs w:val="21"/>
                <w:highlight w:val="none"/>
              </w:rPr>
              <w:t>投标总报价</w:t>
            </w:r>
          </w:p>
        </w:tc>
        <w:tc>
          <w:tcPr>
            <w:tcW w:w="3144" w:type="dxa"/>
            <w:tcBorders>
              <w:top w:val="single" w:color="auto" w:sz="4" w:space="0"/>
              <w:left w:val="single" w:color="auto" w:sz="4" w:space="0"/>
              <w:bottom w:val="single" w:color="auto" w:sz="4" w:space="0"/>
              <w:right w:val="single" w:color="auto" w:sz="4" w:space="0"/>
            </w:tcBorders>
            <w:vAlign w:val="center"/>
          </w:tcPr>
          <w:p w14:paraId="23C61BA9">
            <w:pPr>
              <w:jc w:val="center"/>
              <w:rPr>
                <w:color w:val="auto"/>
                <w:spacing w:val="20"/>
                <w:szCs w:val="21"/>
                <w:highlight w:val="none"/>
              </w:rPr>
            </w:pPr>
            <w:r>
              <w:rPr>
                <w:rFonts w:hint="eastAsia"/>
                <w:color w:val="auto"/>
                <w:spacing w:val="20"/>
                <w:szCs w:val="21"/>
                <w:highlight w:val="none"/>
              </w:rPr>
              <w:t>超时小时费报价</w:t>
            </w:r>
          </w:p>
        </w:tc>
        <w:tc>
          <w:tcPr>
            <w:tcW w:w="1166" w:type="dxa"/>
            <w:vMerge w:val="restart"/>
            <w:tcBorders>
              <w:top w:val="single" w:color="auto" w:sz="4" w:space="0"/>
              <w:left w:val="single" w:color="auto" w:sz="4" w:space="0"/>
              <w:right w:val="single" w:color="auto" w:sz="4" w:space="0"/>
            </w:tcBorders>
            <w:vAlign w:val="center"/>
          </w:tcPr>
          <w:p w14:paraId="7DB7DDAF">
            <w:pPr>
              <w:jc w:val="center"/>
              <w:rPr>
                <w:color w:val="auto"/>
                <w:spacing w:val="20"/>
                <w:szCs w:val="21"/>
                <w:highlight w:val="none"/>
              </w:rPr>
            </w:pPr>
          </w:p>
        </w:tc>
      </w:tr>
      <w:tr w14:paraId="208983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4" w:hRule="exact"/>
          <w:jc w:val="center"/>
        </w:trPr>
        <w:tc>
          <w:tcPr>
            <w:tcW w:w="1004" w:type="dxa"/>
            <w:vMerge w:val="continue"/>
            <w:tcBorders>
              <w:left w:val="single" w:color="auto" w:sz="4" w:space="0"/>
              <w:right w:val="single" w:color="auto" w:sz="4" w:space="0"/>
            </w:tcBorders>
            <w:vAlign w:val="center"/>
          </w:tcPr>
          <w:p w14:paraId="27612613">
            <w:pPr>
              <w:jc w:val="center"/>
              <w:rPr>
                <w:color w:val="auto"/>
                <w:spacing w:val="20"/>
                <w:szCs w:val="21"/>
                <w:highlight w:val="none"/>
              </w:rPr>
            </w:pPr>
          </w:p>
        </w:tc>
        <w:tc>
          <w:tcPr>
            <w:tcW w:w="1411" w:type="dxa"/>
            <w:vMerge w:val="continue"/>
            <w:tcBorders>
              <w:left w:val="single" w:color="auto" w:sz="4" w:space="0"/>
              <w:right w:val="single" w:color="auto" w:sz="4" w:space="0"/>
            </w:tcBorders>
            <w:vAlign w:val="center"/>
          </w:tcPr>
          <w:p w14:paraId="3391230A">
            <w:pPr>
              <w:jc w:val="center"/>
              <w:rPr>
                <w:color w:val="auto"/>
                <w:spacing w:val="20"/>
                <w:szCs w:val="21"/>
                <w:highlight w:val="none"/>
              </w:rPr>
            </w:pPr>
          </w:p>
        </w:tc>
        <w:tc>
          <w:tcPr>
            <w:tcW w:w="2640" w:type="dxa"/>
            <w:tcBorders>
              <w:top w:val="single" w:color="auto" w:sz="4" w:space="0"/>
              <w:left w:val="single" w:color="auto" w:sz="4" w:space="0"/>
              <w:right w:val="single" w:color="auto" w:sz="4" w:space="0"/>
            </w:tcBorders>
          </w:tcPr>
          <w:p w14:paraId="4189D117">
            <w:pPr>
              <w:rPr>
                <w:color w:val="auto"/>
                <w:spacing w:val="20"/>
                <w:szCs w:val="21"/>
                <w:highlight w:val="none"/>
              </w:rPr>
            </w:pPr>
            <w:r>
              <w:rPr>
                <w:rFonts w:hint="eastAsia"/>
                <w:color w:val="auto"/>
                <w:spacing w:val="20"/>
                <w:szCs w:val="21"/>
                <w:highlight w:val="none"/>
              </w:rPr>
              <w:t>大写：</w:t>
            </w:r>
          </w:p>
          <w:p w14:paraId="4D5C5121">
            <w:pPr>
              <w:rPr>
                <w:color w:val="auto"/>
                <w:spacing w:val="20"/>
                <w:szCs w:val="21"/>
                <w:highlight w:val="none"/>
              </w:rPr>
            </w:pPr>
          </w:p>
          <w:p w14:paraId="4778C518">
            <w:pPr>
              <w:rPr>
                <w:color w:val="auto"/>
                <w:spacing w:val="20"/>
                <w:szCs w:val="21"/>
                <w:highlight w:val="none"/>
              </w:rPr>
            </w:pPr>
            <w:r>
              <w:rPr>
                <w:rFonts w:hint="eastAsia"/>
                <w:color w:val="auto"/>
                <w:spacing w:val="20"/>
                <w:szCs w:val="21"/>
                <w:highlight w:val="none"/>
              </w:rPr>
              <w:t>小写：</w:t>
            </w:r>
          </w:p>
        </w:tc>
        <w:tc>
          <w:tcPr>
            <w:tcW w:w="3144" w:type="dxa"/>
            <w:tcBorders>
              <w:top w:val="single" w:color="auto" w:sz="4" w:space="0"/>
              <w:left w:val="single" w:color="auto" w:sz="4" w:space="0"/>
              <w:bottom w:val="single" w:color="auto" w:sz="4" w:space="0"/>
              <w:right w:val="single" w:color="auto" w:sz="4" w:space="0"/>
            </w:tcBorders>
          </w:tcPr>
          <w:p w14:paraId="2F1025EB">
            <w:pPr>
              <w:jc w:val="center"/>
              <w:rPr>
                <w:color w:val="auto"/>
                <w:spacing w:val="20"/>
                <w:szCs w:val="21"/>
                <w:highlight w:val="none"/>
              </w:rPr>
            </w:pPr>
            <w:r>
              <w:rPr>
                <w:rFonts w:hint="eastAsia"/>
                <w:color w:val="auto"/>
                <w:spacing w:val="20"/>
                <w:szCs w:val="21"/>
                <w:highlight w:val="none"/>
              </w:rPr>
              <w:t>大写：</w:t>
            </w:r>
          </w:p>
          <w:p w14:paraId="24382285">
            <w:pPr>
              <w:jc w:val="center"/>
              <w:rPr>
                <w:color w:val="auto"/>
                <w:spacing w:val="20"/>
                <w:szCs w:val="21"/>
                <w:highlight w:val="none"/>
              </w:rPr>
            </w:pPr>
          </w:p>
          <w:p w14:paraId="3F2D104E">
            <w:pPr>
              <w:jc w:val="center"/>
              <w:rPr>
                <w:color w:val="auto"/>
                <w:spacing w:val="20"/>
                <w:szCs w:val="21"/>
                <w:highlight w:val="none"/>
              </w:rPr>
            </w:pPr>
            <w:r>
              <w:rPr>
                <w:rFonts w:hint="eastAsia"/>
                <w:color w:val="auto"/>
                <w:spacing w:val="20"/>
                <w:szCs w:val="21"/>
                <w:highlight w:val="none"/>
              </w:rPr>
              <w:t>小写：</w:t>
            </w:r>
          </w:p>
        </w:tc>
        <w:tc>
          <w:tcPr>
            <w:tcW w:w="1166" w:type="dxa"/>
            <w:vMerge w:val="continue"/>
            <w:tcBorders>
              <w:left w:val="single" w:color="auto" w:sz="4" w:space="0"/>
              <w:right w:val="single" w:color="auto" w:sz="4" w:space="0"/>
            </w:tcBorders>
            <w:vAlign w:val="center"/>
          </w:tcPr>
          <w:p w14:paraId="274A1AF1">
            <w:pPr>
              <w:jc w:val="center"/>
              <w:rPr>
                <w:color w:val="auto"/>
                <w:spacing w:val="20"/>
                <w:szCs w:val="21"/>
                <w:highlight w:val="none"/>
              </w:rPr>
            </w:pPr>
          </w:p>
        </w:tc>
      </w:tr>
    </w:tbl>
    <w:p w14:paraId="6099123E">
      <w:pPr>
        <w:snapToGrid w:val="0"/>
        <w:spacing w:line="360" w:lineRule="auto"/>
        <w:ind w:firstLine="422" w:firstLineChars="200"/>
        <w:rPr>
          <w:b/>
          <w:color w:val="auto"/>
          <w:szCs w:val="21"/>
          <w:highlight w:val="none"/>
        </w:rPr>
      </w:pPr>
      <w:r>
        <w:rPr>
          <w:b/>
          <w:color w:val="auto"/>
          <w:szCs w:val="21"/>
          <w:highlight w:val="none"/>
        </w:rPr>
        <w:t>第三条  甲方权利和义务</w:t>
      </w:r>
    </w:p>
    <w:p w14:paraId="4325542A">
      <w:pPr>
        <w:snapToGrid w:val="0"/>
        <w:spacing w:line="360" w:lineRule="auto"/>
        <w:ind w:firstLine="420" w:firstLineChars="200"/>
        <w:rPr>
          <w:color w:val="auto"/>
          <w:szCs w:val="21"/>
          <w:highlight w:val="none"/>
        </w:rPr>
      </w:pPr>
      <w:r>
        <w:rPr>
          <w:color w:val="auto"/>
          <w:szCs w:val="21"/>
          <w:highlight w:val="none"/>
        </w:rPr>
        <w:t>1. 甲方有权要求乙方按时、按质、按量、按计划与合同协议约定完成本项目，并有权对乙方工作情况进行监督。</w:t>
      </w:r>
    </w:p>
    <w:p w14:paraId="1A4A7151">
      <w:pPr>
        <w:snapToGrid w:val="0"/>
        <w:spacing w:line="360" w:lineRule="auto"/>
        <w:ind w:firstLine="420" w:firstLineChars="200"/>
        <w:rPr>
          <w:color w:val="auto"/>
          <w:szCs w:val="21"/>
          <w:highlight w:val="none"/>
        </w:rPr>
      </w:pPr>
      <w:r>
        <w:rPr>
          <w:color w:val="auto"/>
          <w:szCs w:val="21"/>
          <w:highlight w:val="none"/>
        </w:rPr>
        <w:t>2. 根据项目进度，甲方有权及时对乙方提交的方案提出修改意见，并要求乙方按修改意见完成服务工作。</w:t>
      </w:r>
    </w:p>
    <w:p w14:paraId="7FC2EA75">
      <w:pPr>
        <w:snapToGrid w:val="0"/>
        <w:spacing w:line="360" w:lineRule="auto"/>
        <w:ind w:firstLine="420" w:firstLineChars="200"/>
        <w:rPr>
          <w:color w:val="auto"/>
          <w:szCs w:val="21"/>
          <w:highlight w:val="none"/>
        </w:rPr>
      </w:pPr>
      <w:r>
        <w:rPr>
          <w:color w:val="auto"/>
          <w:szCs w:val="21"/>
          <w:highlight w:val="none"/>
        </w:rPr>
        <w:t>3. 乙方配备的项目投入人员应得到甲方的认可；对派遣到甲方的服务人员进行管理、考核、检查与奖惩。</w:t>
      </w:r>
    </w:p>
    <w:p w14:paraId="5216DAFB">
      <w:pPr>
        <w:snapToGrid w:val="0"/>
        <w:spacing w:line="360" w:lineRule="auto"/>
        <w:ind w:firstLine="420" w:firstLineChars="200"/>
        <w:rPr>
          <w:strike/>
          <w:color w:val="auto"/>
          <w:szCs w:val="21"/>
          <w:highlight w:val="none"/>
        </w:rPr>
      </w:pPr>
      <w:r>
        <w:rPr>
          <w:color w:val="auto"/>
          <w:szCs w:val="21"/>
          <w:highlight w:val="none"/>
        </w:rPr>
        <w:t>4.甲方有权要求乙方更换不合格的工作人员。</w:t>
      </w:r>
    </w:p>
    <w:p w14:paraId="3AB8D76C">
      <w:pPr>
        <w:snapToGrid w:val="0"/>
        <w:spacing w:line="360" w:lineRule="auto"/>
        <w:ind w:firstLine="420" w:firstLineChars="200"/>
        <w:rPr>
          <w:color w:val="auto"/>
          <w:szCs w:val="21"/>
          <w:highlight w:val="none"/>
        </w:rPr>
      </w:pPr>
      <w:r>
        <w:rPr>
          <w:color w:val="auto"/>
          <w:szCs w:val="21"/>
          <w:highlight w:val="none"/>
        </w:rPr>
        <w:t>5. 按合同要求及时向乙方支付产品和服务费用。</w:t>
      </w:r>
    </w:p>
    <w:p w14:paraId="737DB227">
      <w:pPr>
        <w:snapToGrid w:val="0"/>
        <w:spacing w:line="360" w:lineRule="auto"/>
        <w:ind w:firstLine="420" w:firstLineChars="200"/>
        <w:rPr>
          <w:color w:val="auto"/>
          <w:szCs w:val="21"/>
          <w:highlight w:val="none"/>
        </w:rPr>
      </w:pPr>
      <w:bookmarkStart w:id="63" w:name="_Hlk77611324"/>
      <w:r>
        <w:rPr>
          <w:rFonts w:hint="eastAsia"/>
          <w:color w:val="auto"/>
          <w:szCs w:val="21"/>
          <w:highlight w:val="none"/>
        </w:rPr>
        <w:t>6</w:t>
      </w:r>
      <w:r>
        <w:rPr>
          <w:color w:val="auto"/>
          <w:szCs w:val="21"/>
          <w:highlight w:val="none"/>
        </w:rPr>
        <w:t>.</w:t>
      </w:r>
      <w:r>
        <w:rPr>
          <w:rFonts w:hint="eastAsia"/>
          <w:color w:val="auto"/>
          <w:highlight w:val="none"/>
        </w:rPr>
        <w:t xml:space="preserve"> </w:t>
      </w:r>
      <w:r>
        <w:rPr>
          <w:rFonts w:hint="eastAsia"/>
          <w:color w:val="auto"/>
          <w:szCs w:val="21"/>
          <w:highlight w:val="none"/>
        </w:rPr>
        <w:t>如采购项目涉及采购标的的知识产权归属的，产权归属为：</w:t>
      </w:r>
      <w:r>
        <w:rPr>
          <w:rFonts w:hint="eastAsia"/>
          <w:color w:val="auto"/>
          <w:szCs w:val="21"/>
          <w:highlight w:val="none"/>
          <w:u w:val="single"/>
        </w:rPr>
        <w:t xml:space="preserve">    甲方    </w:t>
      </w:r>
      <w:r>
        <w:rPr>
          <w:rFonts w:hint="eastAsia"/>
          <w:color w:val="auto"/>
          <w:szCs w:val="21"/>
          <w:highlight w:val="none"/>
        </w:rPr>
        <w:t xml:space="preserve">    </w:t>
      </w:r>
    </w:p>
    <w:p w14:paraId="66ECEC7F">
      <w:pPr>
        <w:snapToGrid w:val="0"/>
        <w:spacing w:line="360" w:lineRule="auto"/>
        <w:ind w:firstLine="420" w:firstLineChars="200"/>
        <w:rPr>
          <w:color w:val="auto"/>
          <w:szCs w:val="21"/>
          <w:highlight w:val="none"/>
          <w:u w:val="single"/>
        </w:rPr>
      </w:pPr>
      <w:r>
        <w:rPr>
          <w:rFonts w:hint="eastAsia"/>
          <w:color w:val="auto"/>
          <w:highlight w:val="none"/>
        </w:rPr>
        <w:t>7.产权纠纷</w:t>
      </w:r>
      <w:r>
        <w:rPr>
          <w:rFonts w:hint="eastAsia"/>
          <w:color w:val="auto"/>
          <w:szCs w:val="21"/>
          <w:highlight w:val="none"/>
        </w:rPr>
        <w:t>处理方式：</w:t>
      </w:r>
      <w:r>
        <w:rPr>
          <w:rFonts w:hint="eastAsia"/>
          <w:color w:val="auto"/>
          <w:szCs w:val="21"/>
          <w:highlight w:val="none"/>
          <w:u w:val="single"/>
        </w:rPr>
        <w:t>采购人在中华人民共和国境内使用供应商提供的产品及服务时免受第三方提出的侵犯其专利权或其他知识产权的起诉。如果第三方提出侵权指控，乙方应妥善处理纠纷并承担由此而引起的一切法律责任和费用。</w:t>
      </w:r>
    </w:p>
    <w:bookmarkEnd w:id="63"/>
    <w:p w14:paraId="79187FA8">
      <w:pPr>
        <w:snapToGrid w:val="0"/>
        <w:spacing w:line="360" w:lineRule="auto"/>
        <w:ind w:firstLine="422" w:firstLineChars="200"/>
        <w:rPr>
          <w:b/>
          <w:color w:val="auto"/>
          <w:szCs w:val="21"/>
          <w:highlight w:val="none"/>
        </w:rPr>
      </w:pPr>
      <w:r>
        <w:rPr>
          <w:b/>
          <w:color w:val="auto"/>
          <w:szCs w:val="21"/>
          <w:highlight w:val="none"/>
        </w:rPr>
        <w:t>第四条  乙方权利和义务</w:t>
      </w:r>
    </w:p>
    <w:p w14:paraId="32216E43">
      <w:pPr>
        <w:snapToGrid w:val="0"/>
        <w:spacing w:line="360" w:lineRule="auto"/>
        <w:ind w:firstLine="420" w:firstLineChars="200"/>
        <w:rPr>
          <w:color w:val="auto"/>
          <w:szCs w:val="21"/>
          <w:highlight w:val="none"/>
        </w:rPr>
      </w:pPr>
      <w:r>
        <w:rPr>
          <w:rFonts w:hint="eastAsia"/>
          <w:color w:val="auto"/>
          <w:szCs w:val="21"/>
          <w:highlight w:val="none"/>
        </w:rPr>
        <w:t>1．乙方是飞机的实际运营人，负责办理飞机交接运行事项，承担飞机所有的适航责任和安全生产责任，并保证在托管服务期内按甲方合理要求认真执行飞机作业任务。</w:t>
      </w:r>
    </w:p>
    <w:p w14:paraId="57CE7543">
      <w:pPr>
        <w:snapToGrid w:val="0"/>
        <w:spacing w:line="360" w:lineRule="auto"/>
        <w:ind w:firstLine="420" w:firstLineChars="200"/>
        <w:rPr>
          <w:color w:val="auto"/>
          <w:szCs w:val="21"/>
          <w:highlight w:val="none"/>
        </w:rPr>
      </w:pPr>
      <w:r>
        <w:rPr>
          <w:rFonts w:hint="eastAsia"/>
          <w:color w:val="auto"/>
          <w:szCs w:val="21"/>
          <w:highlight w:val="none"/>
        </w:rPr>
        <w:t>2．乙方负责增雨飞机的飞行作业、机务维护、飞机保洁、机载任务系统基本维护、安全运行、日常管理，并制定相应的程序、规定，承担安全责任和适航责任。乙方按中国民航的适航法规和飞机生产厂家及机载设备适航性资料，提早制订飞机全年维修（含定检）计划并通报给甲方，按时完成飞机定检、维修与管理。</w:t>
      </w:r>
    </w:p>
    <w:p w14:paraId="1BD8ED65">
      <w:pPr>
        <w:snapToGrid w:val="0"/>
        <w:spacing w:line="360" w:lineRule="auto"/>
        <w:ind w:firstLine="420" w:firstLineChars="200"/>
        <w:rPr>
          <w:color w:val="auto"/>
          <w:szCs w:val="21"/>
          <w:highlight w:val="none"/>
        </w:rPr>
      </w:pPr>
      <w:r>
        <w:rPr>
          <w:rFonts w:hint="eastAsia"/>
          <w:color w:val="auto"/>
          <w:szCs w:val="21"/>
          <w:highlight w:val="none"/>
        </w:rPr>
        <w:t>3.当飞机需要大修、定检、定期维护和零部件维修时，乙方应提供</w:t>
      </w:r>
      <w:r>
        <w:rPr>
          <w:rFonts w:hint="eastAsia"/>
          <w:color w:val="auto"/>
          <w:szCs w:val="21"/>
          <w:highlight w:val="none"/>
          <w:u w:val="single"/>
        </w:rPr>
        <w:t xml:space="preserve">     </w:t>
      </w:r>
      <w:r>
        <w:rPr>
          <w:rFonts w:hint="eastAsia"/>
          <w:color w:val="auto"/>
          <w:szCs w:val="21"/>
          <w:highlight w:val="none"/>
        </w:rPr>
        <w:t>架带机舱增压、已完成人影作业改装的的备用飞机，且乙方应提前告知甲方并且做出合理安排。</w:t>
      </w:r>
    </w:p>
    <w:p w14:paraId="25738C12">
      <w:pPr>
        <w:snapToGrid w:val="0"/>
        <w:spacing w:line="360" w:lineRule="auto"/>
        <w:ind w:firstLine="420" w:firstLineChars="200"/>
        <w:rPr>
          <w:color w:val="auto"/>
          <w:szCs w:val="21"/>
          <w:highlight w:val="none"/>
        </w:rPr>
      </w:pPr>
      <w:r>
        <w:rPr>
          <w:rFonts w:hint="eastAsia"/>
          <w:color w:val="auto"/>
          <w:szCs w:val="21"/>
          <w:highlight w:val="none"/>
        </w:rPr>
        <w:t>4．乙方对飞机的质量进行检查并按规定程序对飞机和机载任务系统开展定检工作，确保飞机的适航状态，如有质量问题，需及时向甲方提出，代表甲方向飞机制造公司以及改装公司提出，并协商制定解决方案，直至问题解决，并承担机载探测设备定检费和机载通讯设备（北斗、天通等）通讯费。</w:t>
      </w:r>
    </w:p>
    <w:p w14:paraId="6E4D9768">
      <w:pPr>
        <w:snapToGrid w:val="0"/>
        <w:spacing w:line="360" w:lineRule="auto"/>
        <w:ind w:firstLine="420" w:firstLineChars="200"/>
        <w:rPr>
          <w:color w:val="auto"/>
          <w:szCs w:val="21"/>
          <w:highlight w:val="none"/>
        </w:rPr>
      </w:pPr>
      <w:r>
        <w:rPr>
          <w:rFonts w:hint="eastAsia"/>
          <w:color w:val="auto"/>
          <w:szCs w:val="21"/>
          <w:highlight w:val="none"/>
        </w:rPr>
        <w:t>5．乙方负责飞机维修（含定检）的航材及相应工具的购置、供应、保存和管理。除三大件（发动机、螺旋桨、APU）外，定检和所需航材购置或租用费用、工时费、差旅费等均由乙方承担。乙方应在本项目中标后，储备一定规模的航材和耗材，保证所托管飞机不间断飞行。</w:t>
      </w:r>
    </w:p>
    <w:p w14:paraId="3EDD56B2">
      <w:pPr>
        <w:snapToGrid w:val="0"/>
        <w:spacing w:line="360" w:lineRule="auto"/>
        <w:ind w:firstLine="420" w:firstLineChars="200"/>
        <w:rPr>
          <w:color w:val="auto"/>
          <w:szCs w:val="21"/>
          <w:highlight w:val="none"/>
        </w:rPr>
      </w:pPr>
      <w:r>
        <w:rPr>
          <w:rFonts w:hint="eastAsia"/>
          <w:color w:val="auto"/>
          <w:szCs w:val="21"/>
          <w:highlight w:val="none"/>
        </w:rPr>
        <w:t>6．乙方负责本方机组人员的工资、补贴、差旅、食宿、交通等事宜，并承担相关费用。</w:t>
      </w:r>
    </w:p>
    <w:p w14:paraId="7DE9CA39">
      <w:pPr>
        <w:snapToGrid w:val="0"/>
        <w:spacing w:line="360" w:lineRule="auto"/>
        <w:ind w:firstLine="420" w:firstLineChars="200"/>
        <w:rPr>
          <w:color w:val="auto"/>
          <w:szCs w:val="21"/>
          <w:highlight w:val="none"/>
        </w:rPr>
      </w:pPr>
      <w:r>
        <w:rPr>
          <w:rFonts w:hint="eastAsia"/>
          <w:color w:val="auto"/>
          <w:szCs w:val="21"/>
          <w:highlight w:val="none"/>
        </w:rPr>
        <w:t>7．乙方负责飞行空域协调，以保证在规定时间内完成甲方交付的任务，按甲方下达的飞行计划和飞行指令，按时、按质、按量完成任务，并承担费用。</w:t>
      </w:r>
    </w:p>
    <w:p w14:paraId="62F7EDEE">
      <w:pPr>
        <w:snapToGrid w:val="0"/>
        <w:spacing w:line="360" w:lineRule="auto"/>
        <w:ind w:firstLine="420" w:firstLineChars="200"/>
        <w:rPr>
          <w:color w:val="auto"/>
          <w:szCs w:val="21"/>
          <w:highlight w:val="none"/>
        </w:rPr>
      </w:pPr>
      <w:r>
        <w:rPr>
          <w:rFonts w:hint="eastAsia"/>
          <w:color w:val="auto"/>
          <w:szCs w:val="21"/>
          <w:highlight w:val="none"/>
        </w:rPr>
        <w:t>8．乙方按照甲方指定的机场，负责取得任务所需的机场的使用许可和保障服务，负责与任务机场签署使用协议，提供飞机飞行和勤务保障，提供增雨作业人员、设备、催化剂的进出场交通保障等，负责全国范围内油料供给、驻场转场、起降、安保等机场保障事宜，并承担相关费用。</w:t>
      </w:r>
    </w:p>
    <w:p w14:paraId="00617446">
      <w:pPr>
        <w:spacing w:line="360" w:lineRule="auto"/>
        <w:ind w:firstLine="420" w:firstLineChars="200"/>
        <w:rPr>
          <w:color w:val="auto"/>
          <w:szCs w:val="21"/>
          <w:highlight w:val="none"/>
        </w:rPr>
      </w:pPr>
      <w:r>
        <w:rPr>
          <w:rFonts w:hint="eastAsia"/>
          <w:color w:val="auto"/>
          <w:szCs w:val="21"/>
          <w:highlight w:val="none"/>
        </w:rPr>
        <w:t>9．乙方按照甲方指定的机场，负责取得任务所需的机场的使用许可和保障服务，负责与任务机场签署使用协议，提供飞机飞行、勤务保障和机场外场进出场作业人员、设备仪器等车辆通勤运输工作（南宁吴圩机场除外），负责全国范围内驻场转场、起降、安保等机场保障事宜并承担费用。</w:t>
      </w:r>
    </w:p>
    <w:p w14:paraId="6BB20FE4">
      <w:pPr>
        <w:snapToGrid w:val="0"/>
        <w:spacing w:line="360" w:lineRule="auto"/>
        <w:ind w:firstLine="420" w:firstLineChars="200"/>
        <w:rPr>
          <w:color w:val="auto"/>
          <w:szCs w:val="21"/>
          <w:highlight w:val="none"/>
        </w:rPr>
      </w:pPr>
      <w:r>
        <w:rPr>
          <w:rFonts w:hint="eastAsia"/>
          <w:color w:val="auto"/>
          <w:szCs w:val="21"/>
          <w:highlight w:val="none"/>
        </w:rPr>
        <w:t>10．乙方负责办理合同期内飞机保险（飞机、机组人员和作业人员）和索赔工作，于飞机首次转场前购买保险，并承担相关费用，保险单及相关保险材料复印件报甲方和飞机资产所有方存档备案：</w:t>
      </w:r>
    </w:p>
    <w:p w14:paraId="07D8F1DA">
      <w:pPr>
        <w:snapToGrid w:val="0"/>
        <w:spacing w:line="360" w:lineRule="auto"/>
        <w:ind w:firstLine="420" w:firstLineChars="200"/>
        <w:rPr>
          <w:color w:val="auto"/>
          <w:szCs w:val="21"/>
          <w:highlight w:val="none"/>
        </w:rPr>
      </w:pPr>
      <w:r>
        <w:rPr>
          <w:rFonts w:hint="eastAsia"/>
          <w:color w:val="auto"/>
          <w:szCs w:val="21"/>
          <w:highlight w:val="none"/>
        </w:rPr>
        <w:t>（1）飞机机身（含设备）保险额按不低于人民币16159.39万元投保；</w:t>
      </w:r>
    </w:p>
    <w:p w14:paraId="25F17E54">
      <w:pPr>
        <w:snapToGrid w:val="0"/>
        <w:spacing w:line="360" w:lineRule="auto"/>
        <w:ind w:firstLine="420" w:firstLineChars="200"/>
        <w:rPr>
          <w:color w:val="auto"/>
          <w:szCs w:val="21"/>
          <w:highlight w:val="none"/>
        </w:rPr>
      </w:pPr>
      <w:r>
        <w:rPr>
          <w:rFonts w:hint="eastAsia"/>
          <w:color w:val="auto"/>
          <w:szCs w:val="21"/>
          <w:highlight w:val="none"/>
        </w:rPr>
        <w:t>（2）飞机机上座位保险投保不低于10座，每座保额不低于人民币300万元；</w:t>
      </w:r>
    </w:p>
    <w:p w14:paraId="70C02661">
      <w:pPr>
        <w:snapToGrid w:val="0"/>
        <w:spacing w:line="360" w:lineRule="auto"/>
        <w:ind w:firstLine="420" w:firstLineChars="200"/>
        <w:rPr>
          <w:color w:val="auto"/>
          <w:szCs w:val="21"/>
          <w:highlight w:val="none"/>
        </w:rPr>
      </w:pPr>
      <w:r>
        <w:rPr>
          <w:rFonts w:hint="eastAsia"/>
          <w:color w:val="auto"/>
          <w:szCs w:val="21"/>
          <w:highlight w:val="none"/>
        </w:rPr>
        <w:t>（3）甲方登机人员个人人身保险和登机人员责任险按实际人数（不超过30人）投保，且个人人身保险和乘客责任险的保额分别不得低于人民币300万元；</w:t>
      </w:r>
    </w:p>
    <w:p w14:paraId="5588DE19">
      <w:pPr>
        <w:snapToGrid w:val="0"/>
        <w:spacing w:line="360" w:lineRule="auto"/>
        <w:ind w:firstLine="420" w:firstLineChars="200"/>
        <w:rPr>
          <w:color w:val="auto"/>
          <w:szCs w:val="21"/>
          <w:highlight w:val="none"/>
        </w:rPr>
      </w:pPr>
      <w:r>
        <w:rPr>
          <w:rFonts w:hint="eastAsia"/>
          <w:color w:val="auto"/>
          <w:szCs w:val="21"/>
          <w:highlight w:val="none"/>
        </w:rPr>
        <w:t>（4）按国家规定投保第三者责任险，单架飞机第三者责任险保险总额不低于2000万元，保险赔偿不足的部分，由乙方承担。因第三方原因导致甲方遭受的各项损失，乙方须先行向甲方赔偿并代甲方向第三方追偿；；</w:t>
      </w:r>
    </w:p>
    <w:p w14:paraId="10F78CA9">
      <w:pPr>
        <w:snapToGrid w:val="0"/>
        <w:spacing w:line="360" w:lineRule="auto"/>
        <w:ind w:firstLine="420" w:firstLineChars="200"/>
        <w:rPr>
          <w:color w:val="auto"/>
          <w:szCs w:val="21"/>
          <w:highlight w:val="none"/>
        </w:rPr>
      </w:pPr>
      <w:r>
        <w:rPr>
          <w:rFonts w:hint="eastAsia"/>
          <w:color w:val="auto"/>
          <w:szCs w:val="21"/>
          <w:highlight w:val="none"/>
        </w:rPr>
        <w:t>（5）如增雨飞机发生部分损失，保险赔偿用于飞机修复，不足部分由乙方承担。如增雨飞机发生全损，飞机机身保险赔偿应归飞机资产所属方所有，乘机人员的保险及个人人身保险赔偿，按保险合同条款履行。</w:t>
      </w:r>
    </w:p>
    <w:p w14:paraId="656E5621">
      <w:pPr>
        <w:snapToGrid w:val="0"/>
        <w:spacing w:line="360" w:lineRule="auto"/>
        <w:ind w:firstLine="420" w:firstLineChars="200"/>
        <w:rPr>
          <w:color w:val="auto"/>
          <w:szCs w:val="21"/>
          <w:highlight w:val="none"/>
        </w:rPr>
      </w:pPr>
      <w:r>
        <w:rPr>
          <w:rFonts w:hint="eastAsia"/>
          <w:color w:val="auto"/>
          <w:szCs w:val="21"/>
          <w:highlight w:val="none"/>
        </w:rPr>
        <w:t>11．乙方按照运行手册的有关规定，按时、保质完成各类维修保养工作，使飞机始终处于良好的技术状况和适航状态。</w:t>
      </w:r>
    </w:p>
    <w:p w14:paraId="349A9001">
      <w:pPr>
        <w:snapToGrid w:val="0"/>
        <w:spacing w:line="360" w:lineRule="auto"/>
        <w:ind w:firstLine="420" w:firstLineChars="200"/>
        <w:rPr>
          <w:color w:val="auto"/>
          <w:szCs w:val="21"/>
          <w:highlight w:val="none"/>
        </w:rPr>
      </w:pPr>
      <w:r>
        <w:rPr>
          <w:rFonts w:hint="eastAsia"/>
          <w:color w:val="auto"/>
          <w:szCs w:val="21"/>
          <w:highlight w:val="none"/>
        </w:rPr>
        <w:t>（1）飞机的年度适航检查和定期电台检测；</w:t>
      </w:r>
    </w:p>
    <w:p w14:paraId="3FD29227">
      <w:pPr>
        <w:snapToGrid w:val="0"/>
        <w:spacing w:line="360" w:lineRule="auto"/>
        <w:ind w:firstLine="420" w:firstLineChars="200"/>
        <w:rPr>
          <w:color w:val="auto"/>
          <w:szCs w:val="21"/>
          <w:highlight w:val="none"/>
        </w:rPr>
      </w:pPr>
      <w:r>
        <w:rPr>
          <w:rFonts w:hint="eastAsia"/>
          <w:color w:val="auto"/>
          <w:szCs w:val="21"/>
          <w:highlight w:val="none"/>
        </w:rPr>
        <w:t>（2）提供日常运行所需的基本维修资源；</w:t>
      </w:r>
    </w:p>
    <w:p w14:paraId="0D69D218">
      <w:pPr>
        <w:snapToGrid w:val="0"/>
        <w:spacing w:line="360" w:lineRule="auto"/>
        <w:ind w:firstLine="420" w:firstLineChars="200"/>
        <w:rPr>
          <w:color w:val="auto"/>
          <w:szCs w:val="21"/>
          <w:highlight w:val="none"/>
        </w:rPr>
      </w:pPr>
      <w:r>
        <w:rPr>
          <w:rFonts w:hint="eastAsia"/>
          <w:color w:val="auto"/>
          <w:szCs w:val="21"/>
          <w:highlight w:val="none"/>
        </w:rPr>
        <w:t>（3）按照其维修能力规划有计划的向CAAC申请甲方在乙方运营基地机场的维修项目许可；</w:t>
      </w:r>
    </w:p>
    <w:p w14:paraId="14FA7E56">
      <w:pPr>
        <w:snapToGrid w:val="0"/>
        <w:spacing w:line="360" w:lineRule="auto"/>
        <w:ind w:firstLine="420" w:firstLineChars="200"/>
        <w:rPr>
          <w:color w:val="auto"/>
          <w:szCs w:val="21"/>
          <w:highlight w:val="none"/>
        </w:rPr>
      </w:pPr>
      <w:r>
        <w:rPr>
          <w:rFonts w:hint="eastAsia"/>
          <w:color w:val="auto"/>
          <w:szCs w:val="21"/>
          <w:highlight w:val="none"/>
        </w:rPr>
        <w:t>（4）监控和记录飞机、发动机和零部件的使用状态，建立飞机和发动机的使用和维修的历史记录；</w:t>
      </w:r>
    </w:p>
    <w:p w14:paraId="29BD4A7D">
      <w:pPr>
        <w:snapToGrid w:val="0"/>
        <w:spacing w:line="360" w:lineRule="auto"/>
        <w:ind w:firstLine="420" w:firstLineChars="200"/>
        <w:rPr>
          <w:color w:val="auto"/>
          <w:szCs w:val="21"/>
          <w:highlight w:val="none"/>
        </w:rPr>
      </w:pPr>
      <w:r>
        <w:rPr>
          <w:rFonts w:hint="eastAsia"/>
          <w:color w:val="auto"/>
          <w:szCs w:val="21"/>
          <w:highlight w:val="none"/>
        </w:rPr>
        <w:t>（5）妥善保管甲方飞机的单机技术档案和技术资料；</w:t>
      </w:r>
    </w:p>
    <w:p w14:paraId="5AC75B9E">
      <w:pPr>
        <w:snapToGrid w:val="0"/>
        <w:spacing w:line="360" w:lineRule="auto"/>
        <w:ind w:firstLine="420" w:firstLineChars="200"/>
        <w:rPr>
          <w:color w:val="auto"/>
          <w:szCs w:val="21"/>
          <w:highlight w:val="none"/>
        </w:rPr>
      </w:pPr>
      <w:r>
        <w:rPr>
          <w:rFonts w:hint="eastAsia"/>
          <w:color w:val="auto"/>
          <w:szCs w:val="21"/>
          <w:highlight w:val="none"/>
        </w:rPr>
        <w:t>（6）根据维修需要制定维修人员培训计划，安排适量的维修人员接收机型培训和复训课程，并取得飞机放行资格；</w:t>
      </w:r>
    </w:p>
    <w:p w14:paraId="28A78701">
      <w:pPr>
        <w:snapToGrid w:val="0"/>
        <w:spacing w:line="360" w:lineRule="auto"/>
        <w:ind w:firstLine="420" w:firstLineChars="200"/>
        <w:rPr>
          <w:color w:val="auto"/>
          <w:szCs w:val="21"/>
          <w:highlight w:val="none"/>
        </w:rPr>
      </w:pPr>
      <w:r>
        <w:rPr>
          <w:rFonts w:hint="eastAsia"/>
          <w:color w:val="auto"/>
          <w:szCs w:val="21"/>
          <w:highlight w:val="none"/>
        </w:rPr>
        <w:t>（7）派驻专门维修人员对甲方飞机进行日常维护；</w:t>
      </w:r>
    </w:p>
    <w:p w14:paraId="4AEE27D8">
      <w:pPr>
        <w:snapToGrid w:val="0"/>
        <w:spacing w:line="360" w:lineRule="auto"/>
        <w:ind w:firstLine="420" w:firstLineChars="200"/>
        <w:rPr>
          <w:color w:val="auto"/>
          <w:szCs w:val="21"/>
          <w:highlight w:val="none"/>
        </w:rPr>
      </w:pPr>
      <w:r>
        <w:rPr>
          <w:rFonts w:hint="eastAsia"/>
          <w:color w:val="auto"/>
          <w:szCs w:val="21"/>
          <w:highlight w:val="none"/>
        </w:rPr>
        <w:t>（8）实施航线一般勤务和飞机放行工作；</w:t>
      </w:r>
    </w:p>
    <w:p w14:paraId="326DC89F">
      <w:pPr>
        <w:snapToGrid w:val="0"/>
        <w:spacing w:line="360" w:lineRule="auto"/>
        <w:ind w:firstLine="420" w:firstLineChars="200"/>
        <w:rPr>
          <w:color w:val="auto"/>
          <w:szCs w:val="21"/>
          <w:highlight w:val="none"/>
        </w:rPr>
      </w:pPr>
      <w:r>
        <w:rPr>
          <w:rFonts w:hint="eastAsia"/>
          <w:color w:val="auto"/>
          <w:szCs w:val="21"/>
          <w:highlight w:val="none"/>
        </w:rPr>
        <w:t>（9）甲方对飞机的适航状态和质量体系等进行不定期检查。</w:t>
      </w:r>
    </w:p>
    <w:p w14:paraId="12CE3A4B">
      <w:pPr>
        <w:snapToGrid w:val="0"/>
        <w:spacing w:line="360" w:lineRule="auto"/>
        <w:ind w:firstLine="420" w:firstLineChars="200"/>
        <w:rPr>
          <w:color w:val="auto"/>
          <w:szCs w:val="21"/>
          <w:highlight w:val="none"/>
        </w:rPr>
      </w:pPr>
      <w:r>
        <w:rPr>
          <w:rFonts w:hint="eastAsia"/>
          <w:color w:val="auto"/>
          <w:szCs w:val="21"/>
          <w:highlight w:val="none"/>
        </w:rPr>
        <w:t>（10）确保飞机运行安全及需求，制定飞行人员签派人员培训计划，安排机型培训和复训课程及应急演练等，并取得局方考核通过。</w:t>
      </w:r>
    </w:p>
    <w:p w14:paraId="7B7DBE19">
      <w:pPr>
        <w:snapToGrid w:val="0"/>
        <w:spacing w:line="360" w:lineRule="auto"/>
        <w:ind w:firstLine="420" w:firstLineChars="200"/>
        <w:rPr>
          <w:color w:val="auto"/>
          <w:szCs w:val="21"/>
          <w:highlight w:val="none"/>
        </w:rPr>
      </w:pPr>
      <w:r>
        <w:rPr>
          <w:rFonts w:hint="eastAsia"/>
          <w:color w:val="auto"/>
          <w:szCs w:val="21"/>
          <w:highlight w:val="none"/>
        </w:rPr>
        <w:t>12．乙方负责办理必备手续，并保证按甲方要求执行人工增雨作业及科学试验任务。</w:t>
      </w:r>
    </w:p>
    <w:p w14:paraId="39941B96">
      <w:pPr>
        <w:snapToGrid w:val="0"/>
        <w:spacing w:line="360" w:lineRule="auto"/>
        <w:ind w:firstLine="420" w:firstLineChars="200"/>
        <w:rPr>
          <w:color w:val="auto"/>
          <w:szCs w:val="21"/>
          <w:highlight w:val="none"/>
        </w:rPr>
      </w:pPr>
      <w:r>
        <w:rPr>
          <w:rFonts w:hint="eastAsia"/>
          <w:color w:val="auto"/>
          <w:szCs w:val="21"/>
          <w:highlight w:val="none"/>
        </w:rPr>
        <w:t>13.乙方负责与飞机生产厂家联系，承担技术出版物更新和使用事宜（包括飞行手册、维修手册、飞机设备系统技术资料等的更新及修订等），并与厂家协商承担相关费用。</w:t>
      </w:r>
    </w:p>
    <w:p w14:paraId="66110DAE">
      <w:pPr>
        <w:snapToGrid w:val="0"/>
        <w:spacing w:line="360" w:lineRule="auto"/>
        <w:ind w:firstLine="420" w:firstLineChars="200"/>
        <w:rPr>
          <w:color w:val="auto"/>
          <w:szCs w:val="21"/>
          <w:highlight w:val="none"/>
        </w:rPr>
      </w:pPr>
      <w:r>
        <w:rPr>
          <w:rFonts w:hint="eastAsia"/>
          <w:color w:val="auto"/>
          <w:szCs w:val="21"/>
          <w:highlight w:val="none"/>
        </w:rPr>
        <w:t>14.乙方在合同签订后制定飞机正式运行的进度安排表，报甲方同意后，严格按照进度安排表进行实施。</w:t>
      </w:r>
    </w:p>
    <w:p w14:paraId="7557D54E">
      <w:pPr>
        <w:snapToGrid w:val="0"/>
        <w:spacing w:line="360" w:lineRule="auto"/>
        <w:ind w:firstLine="420" w:firstLineChars="200"/>
        <w:rPr>
          <w:color w:val="auto"/>
          <w:szCs w:val="21"/>
          <w:highlight w:val="none"/>
        </w:rPr>
      </w:pPr>
      <w:r>
        <w:rPr>
          <w:rFonts w:hint="eastAsia"/>
          <w:color w:val="auto"/>
          <w:szCs w:val="21"/>
          <w:highlight w:val="none"/>
        </w:rPr>
        <w:t>15．合同期满后，乙方应将飞机运行技术资料、记录、档案和航材等完整资料交付甲方或甲方授权的运营人，并保证飞机处于适航状态。</w:t>
      </w:r>
    </w:p>
    <w:p w14:paraId="55988D7E">
      <w:pPr>
        <w:snapToGrid w:val="0"/>
        <w:spacing w:line="360" w:lineRule="auto"/>
        <w:ind w:firstLine="420" w:firstLineChars="200"/>
        <w:rPr>
          <w:color w:val="auto"/>
          <w:szCs w:val="21"/>
          <w:highlight w:val="none"/>
        </w:rPr>
      </w:pPr>
      <w:r>
        <w:rPr>
          <w:rFonts w:hint="eastAsia"/>
          <w:color w:val="auto"/>
          <w:szCs w:val="21"/>
          <w:highlight w:val="none"/>
        </w:rPr>
        <w:t>16.乙方在甲方委托下，采购符合人影技术标准要求的催化剂，根据任务需求，及时提供足量的催化剂（不少于480根飞机焰条，参数见附件），费用由乙方承担</w:t>
      </w:r>
      <w:r>
        <w:rPr>
          <w:rFonts w:hint="eastAsia"/>
          <w:color w:val="auto"/>
          <w:szCs w:val="21"/>
          <w:highlight w:val="none"/>
          <w:lang w:eastAsia="zh-CN"/>
        </w:rPr>
        <w:t>，</w:t>
      </w:r>
      <w:r>
        <w:rPr>
          <w:rFonts w:hint="eastAsia"/>
          <w:color w:val="auto"/>
          <w:szCs w:val="21"/>
          <w:highlight w:val="none"/>
        </w:rPr>
        <w:t>催化剂类型根据作业需求确定，由甲方存储使用。飞机转场时，乙方负责催化剂的转运。</w:t>
      </w:r>
      <w:r>
        <w:rPr>
          <w:rFonts w:hint="eastAsia"/>
          <w:color w:val="auto"/>
          <w:szCs w:val="21"/>
          <w:highlight w:val="none"/>
        </w:rPr>
        <w:br w:type="textWrapping"/>
      </w:r>
      <w:r>
        <w:rPr>
          <w:rFonts w:hint="eastAsia"/>
          <w:color w:val="auto"/>
          <w:szCs w:val="21"/>
          <w:highlight w:val="none"/>
        </w:rPr>
        <w:t xml:space="preserve">    17.乙方承担飞机运行全部安全责任，包括但不限于安全生产和适航责任。</w:t>
      </w:r>
    </w:p>
    <w:p w14:paraId="34F27E96">
      <w:pPr>
        <w:snapToGrid w:val="0"/>
        <w:spacing w:line="360" w:lineRule="auto"/>
        <w:ind w:firstLine="420" w:firstLineChars="200"/>
        <w:rPr>
          <w:color w:val="auto"/>
          <w:szCs w:val="21"/>
          <w:highlight w:val="none"/>
        </w:rPr>
      </w:pPr>
      <w:r>
        <w:rPr>
          <w:rFonts w:hint="eastAsia"/>
          <w:color w:val="auto"/>
          <w:szCs w:val="21"/>
          <w:highlight w:val="none"/>
        </w:rPr>
        <w:t>18.乙方在合同期内发生安全事故（征候）的，甲方有权立即终止合同，并另行采购。</w:t>
      </w:r>
    </w:p>
    <w:p w14:paraId="7D22F4EF">
      <w:pPr>
        <w:snapToGrid w:val="0"/>
        <w:spacing w:line="360" w:lineRule="auto"/>
        <w:ind w:firstLine="420" w:firstLineChars="200"/>
        <w:rPr>
          <w:color w:val="auto"/>
          <w:szCs w:val="21"/>
          <w:highlight w:val="none"/>
        </w:rPr>
      </w:pPr>
      <w:r>
        <w:rPr>
          <w:rFonts w:hint="eastAsia"/>
          <w:color w:val="auto"/>
          <w:szCs w:val="21"/>
          <w:highlight w:val="none"/>
        </w:rPr>
        <w:t>19.乙方应负责办理飞机交接及飞机三证办理相关事宜。</w:t>
      </w:r>
    </w:p>
    <w:p w14:paraId="15288BCE">
      <w:pPr>
        <w:snapToGrid w:val="0"/>
        <w:spacing w:line="360" w:lineRule="auto"/>
        <w:ind w:firstLine="420" w:firstLineChars="200"/>
        <w:rPr>
          <w:color w:val="auto"/>
          <w:szCs w:val="21"/>
          <w:highlight w:val="none"/>
        </w:rPr>
      </w:pPr>
      <w:r>
        <w:rPr>
          <w:rFonts w:hint="eastAsia"/>
          <w:color w:val="auto"/>
          <w:szCs w:val="21"/>
          <w:highlight w:val="none"/>
        </w:rPr>
        <w:t>20.按甲方要求，按时完成飞机定检、维修与管理，并承担因此产生的包括飞机转场、零部件维修、人员劳务、备用飞机使用费等全部相关费用。</w:t>
      </w:r>
    </w:p>
    <w:p w14:paraId="1016E1CB">
      <w:pPr>
        <w:snapToGrid w:val="0"/>
        <w:spacing w:line="360" w:lineRule="auto"/>
        <w:ind w:firstLine="420" w:firstLineChars="200"/>
        <w:rPr>
          <w:color w:val="auto"/>
          <w:szCs w:val="21"/>
          <w:highlight w:val="none"/>
        </w:rPr>
      </w:pPr>
      <w:r>
        <w:rPr>
          <w:rFonts w:hint="eastAsia"/>
          <w:color w:val="auto"/>
          <w:szCs w:val="21"/>
          <w:highlight w:val="none"/>
        </w:rPr>
        <w:t>21.根据国家人工影响天气飞机托管服务要求的有关规定，乙方近五年内未发生过安全事故。</w:t>
      </w:r>
    </w:p>
    <w:p w14:paraId="57B93905">
      <w:pPr>
        <w:snapToGrid w:val="0"/>
        <w:spacing w:line="360" w:lineRule="auto"/>
        <w:ind w:firstLine="420" w:firstLineChars="200"/>
        <w:rPr>
          <w:color w:val="auto"/>
          <w:szCs w:val="21"/>
          <w:highlight w:val="none"/>
        </w:rPr>
      </w:pPr>
      <w:r>
        <w:rPr>
          <w:rFonts w:hint="eastAsia"/>
          <w:color w:val="auto"/>
          <w:szCs w:val="21"/>
          <w:highlight w:val="none"/>
        </w:rPr>
        <w:t>22.乙方提供的执飞机组应了解人工影响天气基本知识、作业流程与安全规范等，如有随机作业操作人员，除满足以上条件外，还应熟练掌握托管飞机搭载任务系统的操作使用。</w:t>
      </w:r>
    </w:p>
    <w:p w14:paraId="2E220F25">
      <w:pPr>
        <w:snapToGrid w:val="0"/>
        <w:spacing w:line="360" w:lineRule="auto"/>
        <w:ind w:firstLine="420" w:firstLineChars="200"/>
        <w:rPr>
          <w:color w:val="auto"/>
          <w:szCs w:val="21"/>
          <w:highlight w:val="none"/>
        </w:rPr>
      </w:pPr>
      <w:r>
        <w:rPr>
          <w:rFonts w:hint="eastAsia"/>
          <w:color w:val="auto"/>
          <w:szCs w:val="21"/>
          <w:highlight w:val="none"/>
        </w:rPr>
        <w:t>23.未经甲方同意，乙方不得从事合同范围外的飞行任务。</w:t>
      </w:r>
    </w:p>
    <w:p w14:paraId="75915EF9">
      <w:pPr>
        <w:snapToGrid w:val="0"/>
        <w:spacing w:line="360" w:lineRule="auto"/>
        <w:ind w:firstLine="422" w:firstLineChars="200"/>
        <w:rPr>
          <w:b/>
          <w:color w:val="auto"/>
          <w:szCs w:val="21"/>
          <w:highlight w:val="none"/>
        </w:rPr>
      </w:pPr>
      <w:r>
        <w:rPr>
          <w:b/>
          <w:color w:val="auto"/>
          <w:szCs w:val="21"/>
          <w:highlight w:val="none"/>
        </w:rPr>
        <w:t>第五条  包装和运输</w:t>
      </w:r>
    </w:p>
    <w:p w14:paraId="118C96FE">
      <w:pPr>
        <w:snapToGrid w:val="0"/>
        <w:spacing w:line="360" w:lineRule="auto"/>
        <w:ind w:firstLine="420" w:firstLineChars="200"/>
        <w:rPr>
          <w:color w:val="auto"/>
          <w:szCs w:val="21"/>
          <w:highlight w:val="none"/>
        </w:rPr>
      </w:pPr>
      <w:r>
        <w:rPr>
          <w:color w:val="auto"/>
          <w:szCs w:val="21"/>
          <w:highlight w:val="none"/>
        </w:rPr>
        <w:t>1.乙方提供的服务交付成果或产品均应按招标文件要求的包装材料、包装标准、包装方式进行包装，每一包装单元内应附详细的交付清单和质量合格证，如有缺失应及时补齐，否则视为逾期交付。</w:t>
      </w:r>
    </w:p>
    <w:p w14:paraId="28D30AC0">
      <w:pPr>
        <w:snapToGrid w:val="0"/>
        <w:spacing w:line="360" w:lineRule="auto"/>
        <w:ind w:firstLine="420" w:firstLineChars="200"/>
        <w:rPr>
          <w:color w:val="auto"/>
          <w:szCs w:val="21"/>
          <w:highlight w:val="none"/>
        </w:rPr>
      </w:pPr>
      <w:r>
        <w:rPr>
          <w:color w:val="auto"/>
          <w:szCs w:val="21"/>
          <w:highlight w:val="none"/>
        </w:rPr>
        <w:t>2. 乙方负责服务交付成果、产品的运输。服务交付成果、产品的运输方式由乙方自定。服务交付成果、产品运输合理损耗及计算方法由乙方负责。</w:t>
      </w:r>
    </w:p>
    <w:p w14:paraId="67313520">
      <w:pPr>
        <w:pStyle w:val="26"/>
        <w:spacing w:line="360" w:lineRule="auto"/>
        <w:ind w:firstLine="420" w:firstLineChars="200"/>
        <w:rPr>
          <w:rFonts w:ascii="Times New Roman" w:hAnsi="Times New Roman" w:cs="Times New Roman"/>
          <w:color w:val="auto"/>
          <w:highlight w:val="none"/>
        </w:rPr>
      </w:pPr>
      <w:bookmarkStart w:id="64" w:name="_Hlk60651149"/>
      <w:r>
        <w:rPr>
          <w:rFonts w:ascii="Times New Roman" w:hAnsi="Times New Roman" w:cs="Times New Roman"/>
          <w:color w:val="auto"/>
          <w:highlight w:val="none"/>
        </w:rPr>
        <w:t>3.</w:t>
      </w:r>
      <w:r>
        <w:rPr>
          <w:rFonts w:hint="eastAsia" w:ascii="Times New Roman" w:hAnsi="Times New Roman" w:cs="Times New Roman"/>
          <w:color w:val="auto"/>
          <w:highlight w:val="none"/>
        </w:rPr>
        <w:t>乙方提供的产品包装及快递包装应满足《财政部等三部门联合印发商品包装和快递包装政府采购需求标准（试行）》财办库〔2020〕123号文要求。</w:t>
      </w:r>
      <w:bookmarkEnd w:id="64"/>
    </w:p>
    <w:p w14:paraId="381695C5">
      <w:pPr>
        <w:snapToGrid w:val="0"/>
        <w:spacing w:line="360" w:lineRule="auto"/>
        <w:ind w:firstLine="422" w:firstLineChars="200"/>
        <w:rPr>
          <w:color w:val="auto"/>
          <w:szCs w:val="21"/>
          <w:highlight w:val="none"/>
        </w:rPr>
      </w:pPr>
      <w:r>
        <w:rPr>
          <w:b/>
          <w:color w:val="auto"/>
          <w:szCs w:val="21"/>
          <w:highlight w:val="none"/>
        </w:rPr>
        <w:t>第六条  验收</w:t>
      </w:r>
      <w:r>
        <w:rPr>
          <w:rFonts w:hint="eastAsia"/>
          <w:b/>
          <w:color w:val="auto"/>
          <w:szCs w:val="21"/>
          <w:highlight w:val="none"/>
        </w:rPr>
        <w:t>标准</w:t>
      </w:r>
    </w:p>
    <w:p w14:paraId="09BC29FC">
      <w:pPr>
        <w:snapToGrid w:val="0"/>
        <w:spacing w:line="360" w:lineRule="auto"/>
        <w:ind w:firstLine="420" w:firstLineChars="200"/>
        <w:rPr>
          <w:color w:val="auto"/>
          <w:szCs w:val="21"/>
          <w:highlight w:val="none"/>
        </w:rPr>
      </w:pPr>
      <w:r>
        <w:rPr>
          <w:color w:val="auto"/>
          <w:highlight w:val="none"/>
        </w:rPr>
        <w:t>按国家有关</w:t>
      </w:r>
      <w:r>
        <w:rPr>
          <w:rFonts w:hint="eastAsia"/>
          <w:color w:val="auto"/>
          <w:highlight w:val="none"/>
        </w:rPr>
        <w:t>标准</w:t>
      </w:r>
      <w:r>
        <w:rPr>
          <w:color w:val="auto"/>
          <w:highlight w:val="none"/>
        </w:rPr>
        <w:t>以及甲方招标文件的</w:t>
      </w:r>
      <w:r>
        <w:rPr>
          <w:rFonts w:hint="eastAsia"/>
          <w:color w:val="auto"/>
          <w:highlight w:val="none"/>
        </w:rPr>
        <w:t>采购需求</w:t>
      </w:r>
      <w:r>
        <w:rPr>
          <w:color w:val="auto"/>
          <w:highlight w:val="none"/>
        </w:rPr>
        <w:t>、乙方的投标文件</w:t>
      </w:r>
      <w:r>
        <w:rPr>
          <w:rFonts w:hint="eastAsia"/>
          <w:color w:val="auto"/>
          <w:highlight w:val="none"/>
        </w:rPr>
        <w:t>响应</w:t>
      </w:r>
      <w:r>
        <w:rPr>
          <w:color w:val="auto"/>
          <w:highlight w:val="none"/>
        </w:rPr>
        <w:t>及承诺与本合同约定</w:t>
      </w:r>
      <w:r>
        <w:rPr>
          <w:rFonts w:hint="eastAsia"/>
          <w:color w:val="auto"/>
          <w:highlight w:val="none"/>
        </w:rPr>
        <w:t>，对乙方服务时长、飞机适航状态、飞机维护保养等</w:t>
      </w:r>
      <w:r>
        <w:rPr>
          <w:color w:val="auto"/>
          <w:highlight w:val="none"/>
        </w:rPr>
        <w:t>进行验收；</w:t>
      </w:r>
      <w:r>
        <w:rPr>
          <w:rFonts w:hint="eastAsia"/>
          <w:color w:val="auto"/>
          <w:highlight w:val="none"/>
        </w:rPr>
        <w:t>上述标准如</w:t>
      </w:r>
      <w:r>
        <w:rPr>
          <w:color w:val="auto"/>
          <w:highlight w:val="none"/>
        </w:rPr>
        <w:t>有</w:t>
      </w:r>
      <w:r>
        <w:rPr>
          <w:rFonts w:hint="eastAsia"/>
          <w:color w:val="auto"/>
          <w:highlight w:val="none"/>
        </w:rPr>
        <w:t>不一致事项</w:t>
      </w:r>
      <w:r>
        <w:rPr>
          <w:color w:val="auto"/>
          <w:highlight w:val="none"/>
        </w:rPr>
        <w:t>，</w:t>
      </w:r>
      <w:r>
        <w:rPr>
          <w:rFonts w:hint="eastAsia"/>
          <w:color w:val="auto"/>
          <w:highlight w:val="none"/>
        </w:rPr>
        <w:t>以</w:t>
      </w:r>
      <w:r>
        <w:rPr>
          <w:color w:val="auto"/>
          <w:highlight w:val="none"/>
        </w:rPr>
        <w:t>招标</w:t>
      </w:r>
      <w:r>
        <w:rPr>
          <w:rFonts w:hint="eastAsia"/>
          <w:color w:val="auto"/>
          <w:highlight w:val="none"/>
        </w:rPr>
        <w:t>文件</w:t>
      </w:r>
      <w:r>
        <w:rPr>
          <w:color w:val="auto"/>
          <w:highlight w:val="none"/>
        </w:rPr>
        <w:t>与投标文件中</w:t>
      </w:r>
      <w:r>
        <w:rPr>
          <w:rFonts w:hint="eastAsia"/>
          <w:color w:val="auto"/>
          <w:highlight w:val="none"/>
        </w:rPr>
        <w:t>对应要求或指标中</w:t>
      </w:r>
      <w:r>
        <w:rPr>
          <w:color w:val="auto"/>
          <w:highlight w:val="none"/>
        </w:rPr>
        <w:t>较优</w:t>
      </w:r>
      <w:r>
        <w:rPr>
          <w:rFonts w:hint="eastAsia"/>
          <w:color w:val="auto"/>
          <w:highlight w:val="none"/>
        </w:rPr>
        <w:t>作为验收标准。如果交付的</w:t>
      </w:r>
      <w:r>
        <w:rPr>
          <w:color w:val="auto"/>
          <w:szCs w:val="21"/>
          <w:highlight w:val="none"/>
        </w:rPr>
        <w:t>产品或服务成果</w:t>
      </w:r>
      <w:r>
        <w:rPr>
          <w:rFonts w:hint="eastAsia"/>
          <w:color w:val="auto"/>
          <w:highlight w:val="none"/>
        </w:rPr>
        <w:t>中有执行国家强制标准的，则验收标准不得低于国家强制标准。</w:t>
      </w:r>
    </w:p>
    <w:p w14:paraId="50EB6741">
      <w:pPr>
        <w:snapToGrid w:val="0"/>
        <w:spacing w:line="360" w:lineRule="auto"/>
        <w:ind w:firstLine="422" w:firstLineChars="200"/>
        <w:rPr>
          <w:b/>
          <w:color w:val="auto"/>
          <w:szCs w:val="21"/>
          <w:highlight w:val="none"/>
        </w:rPr>
      </w:pPr>
      <w:r>
        <w:rPr>
          <w:b/>
          <w:color w:val="auto"/>
          <w:szCs w:val="21"/>
          <w:highlight w:val="none"/>
        </w:rPr>
        <w:t>第七条  安装和培训</w:t>
      </w:r>
    </w:p>
    <w:p w14:paraId="4743BE5B">
      <w:pPr>
        <w:snapToGrid w:val="0"/>
        <w:spacing w:line="360" w:lineRule="auto"/>
        <w:ind w:firstLine="420" w:firstLineChars="200"/>
        <w:rPr>
          <w:color w:val="auto"/>
          <w:szCs w:val="21"/>
          <w:highlight w:val="none"/>
        </w:rPr>
      </w:pPr>
      <w:r>
        <w:rPr>
          <w:color w:val="auto"/>
          <w:szCs w:val="21"/>
          <w:highlight w:val="none"/>
        </w:rPr>
        <w:t>1.甲方应提供必要安装条件（如场地、电源、水源等）。</w:t>
      </w:r>
    </w:p>
    <w:p w14:paraId="6F74F12E">
      <w:pPr>
        <w:snapToGrid w:val="0"/>
        <w:spacing w:line="360" w:lineRule="auto"/>
        <w:ind w:firstLine="420" w:firstLineChars="200"/>
        <w:rPr>
          <w:color w:val="auto"/>
          <w:szCs w:val="21"/>
          <w:highlight w:val="none"/>
          <w:u w:val="single"/>
        </w:rPr>
      </w:pPr>
      <w:r>
        <w:rPr>
          <w:color w:val="auto"/>
          <w:szCs w:val="21"/>
          <w:highlight w:val="none"/>
        </w:rPr>
        <w:t>2.乙方负责甲方有关人员的培训。培训时间、地点：</w:t>
      </w:r>
      <w:r>
        <w:rPr>
          <w:color w:val="auto"/>
          <w:szCs w:val="21"/>
          <w:highlight w:val="none"/>
          <w:u w:val="single"/>
        </w:rPr>
        <w:t xml:space="preserve"> 由甲方决定。</w:t>
      </w:r>
    </w:p>
    <w:p w14:paraId="360B1204">
      <w:pPr>
        <w:snapToGrid w:val="0"/>
        <w:spacing w:line="360" w:lineRule="auto"/>
        <w:ind w:firstLine="422" w:firstLineChars="200"/>
        <w:rPr>
          <w:b/>
          <w:color w:val="auto"/>
          <w:szCs w:val="21"/>
          <w:highlight w:val="none"/>
        </w:rPr>
      </w:pPr>
      <w:r>
        <w:rPr>
          <w:b/>
          <w:color w:val="auto"/>
          <w:szCs w:val="21"/>
          <w:highlight w:val="none"/>
        </w:rPr>
        <w:t>第八条  售后服务、质保期</w:t>
      </w:r>
    </w:p>
    <w:p w14:paraId="4D2D1879">
      <w:pPr>
        <w:snapToGrid w:val="0"/>
        <w:spacing w:line="360" w:lineRule="auto"/>
        <w:ind w:firstLine="420" w:firstLineChars="200"/>
        <w:rPr>
          <w:color w:val="auto"/>
          <w:szCs w:val="21"/>
          <w:highlight w:val="none"/>
        </w:rPr>
      </w:pPr>
      <w:r>
        <w:rPr>
          <w:color w:val="auto"/>
          <w:szCs w:val="21"/>
          <w:highlight w:val="none"/>
        </w:rPr>
        <w:t>1.乙方应按照国家有关法律法规和“三包”规定以及</w:t>
      </w:r>
      <w:r>
        <w:rPr>
          <w:rFonts w:hint="eastAsia"/>
          <w:color w:val="auto"/>
          <w:szCs w:val="21"/>
          <w:highlight w:val="none"/>
        </w:rPr>
        <w:t>招标文件、投标文件</w:t>
      </w:r>
      <w:r>
        <w:rPr>
          <w:color w:val="auto"/>
          <w:szCs w:val="21"/>
          <w:highlight w:val="none"/>
        </w:rPr>
        <w:t>和本合同附件，为甲方提供售后服务。</w:t>
      </w:r>
    </w:p>
    <w:p w14:paraId="0CC67746">
      <w:pPr>
        <w:snapToGrid w:val="0"/>
        <w:spacing w:line="360" w:lineRule="auto"/>
        <w:ind w:firstLine="420" w:firstLineChars="200"/>
        <w:rPr>
          <w:color w:val="auto"/>
          <w:szCs w:val="21"/>
          <w:highlight w:val="none"/>
          <w:u w:val="single"/>
        </w:rPr>
      </w:pPr>
      <w:r>
        <w:rPr>
          <w:color w:val="auto"/>
          <w:szCs w:val="21"/>
          <w:highlight w:val="none"/>
        </w:rPr>
        <w:t>2.</w:t>
      </w:r>
      <w:r>
        <w:rPr>
          <w:rFonts w:hint="eastAsia"/>
          <w:color w:val="auto"/>
          <w:szCs w:val="21"/>
          <w:highlight w:val="none"/>
        </w:rPr>
        <w:t>产品</w:t>
      </w:r>
      <w:r>
        <w:rPr>
          <w:color w:val="auto"/>
          <w:szCs w:val="21"/>
          <w:highlight w:val="none"/>
        </w:rPr>
        <w:t>或服务成果质保期：</w:t>
      </w:r>
      <w:r>
        <w:rPr>
          <w:color w:val="auto"/>
          <w:szCs w:val="21"/>
          <w:highlight w:val="none"/>
          <w:u w:val="single"/>
        </w:rPr>
        <w:t>按乙方承诺，但是不得低于国家相关标准</w:t>
      </w:r>
      <w:r>
        <w:rPr>
          <w:color w:val="auto"/>
          <w:szCs w:val="21"/>
          <w:highlight w:val="none"/>
        </w:rPr>
        <w:t>。</w:t>
      </w:r>
    </w:p>
    <w:p w14:paraId="5004CF23">
      <w:pPr>
        <w:snapToGrid w:val="0"/>
        <w:spacing w:line="360" w:lineRule="auto"/>
        <w:ind w:firstLine="420" w:firstLineChars="200"/>
        <w:rPr>
          <w:color w:val="auto"/>
          <w:szCs w:val="21"/>
          <w:highlight w:val="none"/>
        </w:rPr>
      </w:pPr>
      <w:r>
        <w:rPr>
          <w:color w:val="auto"/>
          <w:szCs w:val="21"/>
          <w:highlight w:val="none"/>
        </w:rPr>
        <w:t>3.按招标文件规定的服务质量标准，并达到或优于中标人承诺的标准。</w:t>
      </w:r>
    </w:p>
    <w:p w14:paraId="1410C389">
      <w:pPr>
        <w:snapToGrid w:val="0"/>
        <w:spacing w:line="360" w:lineRule="auto"/>
        <w:ind w:firstLine="420" w:firstLineChars="200"/>
        <w:rPr>
          <w:color w:val="auto"/>
          <w:szCs w:val="21"/>
          <w:highlight w:val="none"/>
        </w:rPr>
      </w:pPr>
      <w:r>
        <w:rPr>
          <w:color w:val="auto"/>
          <w:szCs w:val="21"/>
          <w:highlight w:val="none"/>
        </w:rPr>
        <w:t>4.乙方所提供的</w:t>
      </w:r>
      <w:r>
        <w:rPr>
          <w:rFonts w:hint="eastAsia"/>
          <w:color w:val="auto"/>
          <w:szCs w:val="21"/>
          <w:highlight w:val="none"/>
        </w:rPr>
        <w:t>服务内容、标准</w:t>
      </w:r>
      <w:r>
        <w:rPr>
          <w:color w:val="auto"/>
          <w:szCs w:val="21"/>
          <w:highlight w:val="none"/>
        </w:rPr>
        <w:t>必须与</w:t>
      </w:r>
      <w:bookmarkStart w:id="65" w:name="_Hlk19187447"/>
      <w:r>
        <w:rPr>
          <w:rFonts w:hint="eastAsia"/>
          <w:color w:val="auto"/>
          <w:szCs w:val="21"/>
          <w:highlight w:val="none"/>
        </w:rPr>
        <w:t>招标文件、投标文件</w:t>
      </w:r>
      <w:bookmarkEnd w:id="65"/>
      <w:r>
        <w:rPr>
          <w:color w:val="auto"/>
          <w:szCs w:val="21"/>
          <w:highlight w:val="none"/>
        </w:rPr>
        <w:t>和承诺相一致。</w:t>
      </w:r>
    </w:p>
    <w:p w14:paraId="0F19E441">
      <w:pPr>
        <w:snapToGrid w:val="0"/>
        <w:spacing w:line="360" w:lineRule="auto"/>
        <w:ind w:firstLine="420" w:firstLineChars="200"/>
        <w:rPr>
          <w:color w:val="auto"/>
          <w:szCs w:val="21"/>
          <w:highlight w:val="none"/>
        </w:rPr>
      </w:pPr>
      <w:r>
        <w:rPr>
          <w:color w:val="auto"/>
          <w:szCs w:val="21"/>
          <w:highlight w:val="none"/>
        </w:rPr>
        <w:t>5.如在使用过程中发生质量问题，乙方在接到甲方通知后在</w:t>
      </w:r>
      <w:r>
        <w:rPr>
          <w:rFonts w:hint="eastAsia"/>
          <w:color w:val="auto"/>
          <w:szCs w:val="21"/>
          <w:highlight w:val="none"/>
          <w:u w:val="single"/>
        </w:rPr>
        <w:t>6</w:t>
      </w:r>
      <w:r>
        <w:rPr>
          <w:color w:val="auto"/>
          <w:szCs w:val="21"/>
          <w:highlight w:val="none"/>
        </w:rPr>
        <w:t>小时内到达甲方现场。</w:t>
      </w:r>
    </w:p>
    <w:p w14:paraId="3D0B3AA2">
      <w:pPr>
        <w:snapToGrid w:val="0"/>
        <w:spacing w:line="360" w:lineRule="auto"/>
        <w:ind w:firstLine="420" w:firstLineChars="200"/>
        <w:rPr>
          <w:color w:val="auto"/>
          <w:szCs w:val="21"/>
          <w:highlight w:val="none"/>
        </w:rPr>
      </w:pPr>
      <w:r>
        <w:rPr>
          <w:color w:val="auto"/>
          <w:szCs w:val="21"/>
          <w:highlight w:val="none"/>
        </w:rPr>
        <w:t>6.在质保期内，乙方应对</w:t>
      </w:r>
      <w:r>
        <w:rPr>
          <w:rFonts w:hint="eastAsia"/>
          <w:color w:val="auto"/>
          <w:szCs w:val="21"/>
          <w:highlight w:val="none"/>
        </w:rPr>
        <w:t>产品</w:t>
      </w:r>
      <w:r>
        <w:rPr>
          <w:color w:val="auto"/>
          <w:szCs w:val="21"/>
          <w:highlight w:val="none"/>
        </w:rPr>
        <w:t>或服务成果出现的质量及安全问题负责处理解决并承担一切费用。</w:t>
      </w:r>
    </w:p>
    <w:p w14:paraId="13723472">
      <w:pPr>
        <w:snapToGrid w:val="0"/>
        <w:spacing w:line="360" w:lineRule="auto"/>
        <w:ind w:firstLine="420" w:firstLineChars="200"/>
        <w:rPr>
          <w:color w:val="auto"/>
          <w:szCs w:val="21"/>
          <w:highlight w:val="none"/>
        </w:rPr>
      </w:pPr>
      <w:r>
        <w:rPr>
          <w:rFonts w:hint="eastAsia"/>
          <w:color w:val="auto"/>
          <w:szCs w:val="21"/>
          <w:highlight w:val="none"/>
        </w:rPr>
        <w:t>7</w:t>
      </w:r>
      <w:r>
        <w:rPr>
          <w:color w:val="auto"/>
          <w:szCs w:val="21"/>
          <w:highlight w:val="none"/>
        </w:rPr>
        <w:t>.乙方提供的服务承诺和售后服务及质保期责任等</w:t>
      </w:r>
      <w:r>
        <w:rPr>
          <w:rFonts w:hint="eastAsia"/>
          <w:color w:val="auto"/>
          <w:szCs w:val="21"/>
          <w:highlight w:val="none"/>
        </w:rPr>
        <w:t>其他</w:t>
      </w:r>
      <w:r>
        <w:rPr>
          <w:color w:val="auto"/>
          <w:szCs w:val="21"/>
          <w:highlight w:val="none"/>
        </w:rPr>
        <w:t>具体约定事项。</w:t>
      </w:r>
    </w:p>
    <w:p w14:paraId="44F24D4E">
      <w:pPr>
        <w:snapToGrid w:val="0"/>
        <w:spacing w:line="360" w:lineRule="auto"/>
        <w:ind w:firstLine="422" w:firstLineChars="200"/>
        <w:rPr>
          <w:color w:val="auto"/>
          <w:szCs w:val="21"/>
          <w:highlight w:val="none"/>
        </w:rPr>
      </w:pPr>
      <w:r>
        <w:rPr>
          <w:b/>
          <w:color w:val="auto"/>
          <w:szCs w:val="21"/>
          <w:highlight w:val="none"/>
        </w:rPr>
        <w:t>第九条　付款方式</w:t>
      </w:r>
    </w:p>
    <w:p w14:paraId="488E0FD4">
      <w:pPr>
        <w:snapToGrid w:val="0"/>
        <w:spacing w:line="360" w:lineRule="auto"/>
        <w:ind w:firstLine="420" w:firstLineChars="200"/>
        <w:rPr>
          <w:color w:val="auto"/>
          <w:szCs w:val="21"/>
          <w:highlight w:val="none"/>
        </w:rPr>
      </w:pPr>
      <w:r>
        <w:rPr>
          <w:color w:val="auto"/>
          <w:szCs w:val="21"/>
          <w:highlight w:val="none"/>
        </w:rPr>
        <w:t>1.资金性质：</w:t>
      </w:r>
      <w:r>
        <w:rPr>
          <w:color w:val="auto"/>
          <w:szCs w:val="21"/>
          <w:highlight w:val="none"/>
          <w:u w:val="single"/>
        </w:rPr>
        <w:t>财政性资金。</w:t>
      </w:r>
    </w:p>
    <w:p w14:paraId="39FE2896">
      <w:pPr>
        <w:snapToGrid w:val="0"/>
        <w:spacing w:line="360" w:lineRule="auto"/>
        <w:ind w:firstLine="420" w:firstLineChars="200"/>
        <w:rPr>
          <w:color w:val="auto"/>
          <w:szCs w:val="21"/>
          <w:highlight w:val="none"/>
        </w:rPr>
      </w:pPr>
      <w:r>
        <w:rPr>
          <w:color w:val="auto"/>
          <w:szCs w:val="21"/>
          <w:highlight w:val="none"/>
        </w:rPr>
        <w:t>2.付款方式：</w:t>
      </w:r>
    </w:p>
    <w:p w14:paraId="163D1707">
      <w:pPr>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甲方收到乙方的</w:t>
      </w:r>
      <w:r>
        <w:rPr>
          <w:rFonts w:hint="eastAsia" w:ascii="宋体" w:hAnsi="宋体" w:cs="宋体"/>
          <w:color w:val="auto"/>
          <w:szCs w:val="21"/>
          <w:highlight w:val="none"/>
        </w:rPr>
        <w:t>付款申请书</w:t>
      </w:r>
      <w:r>
        <w:rPr>
          <w:rFonts w:hint="eastAsia" w:ascii="宋体" w:hAnsi="宋体" w:cs="宋体"/>
          <w:color w:val="auto"/>
          <w:szCs w:val="21"/>
          <w:highlight w:val="none"/>
          <w:lang w:val="en-US" w:eastAsia="zh-CN"/>
        </w:rPr>
        <w:t>及</w:t>
      </w:r>
      <w:r>
        <w:rPr>
          <w:rFonts w:hint="eastAsia" w:ascii="宋体" w:hAnsi="宋体" w:cs="宋体"/>
          <w:color w:val="auto"/>
          <w:szCs w:val="21"/>
          <w:highlight w:val="none"/>
        </w:rPr>
        <w:t>等额发票</w:t>
      </w:r>
      <w:r>
        <w:rPr>
          <w:rFonts w:hint="eastAsia" w:ascii="宋体" w:hAnsi="宋体" w:cs="宋体"/>
          <w:color w:val="auto"/>
          <w:szCs w:val="21"/>
          <w:highlight w:val="none"/>
          <w:lang w:val="en-US" w:eastAsia="zh-CN"/>
        </w:rPr>
        <w:t>后</w:t>
      </w:r>
      <w:r>
        <w:rPr>
          <w:rFonts w:hint="eastAsia" w:ascii="宋体" w:hAnsi="宋体" w:cs="宋体"/>
          <w:color w:val="auto"/>
          <w:szCs w:val="21"/>
          <w:highlight w:val="none"/>
        </w:rPr>
        <w:t>10个工作日内支付合同金额的60%；</w:t>
      </w:r>
    </w:p>
    <w:p w14:paraId="27DF58B8">
      <w:pPr>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（2）2026年12月</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甲方收到乙方的</w:t>
      </w:r>
      <w:r>
        <w:rPr>
          <w:rFonts w:hint="eastAsia" w:ascii="宋体" w:hAnsi="宋体" w:cs="宋体"/>
          <w:color w:val="auto"/>
          <w:szCs w:val="21"/>
          <w:highlight w:val="none"/>
        </w:rPr>
        <w:t>付款申请书</w:t>
      </w:r>
      <w:r>
        <w:rPr>
          <w:rFonts w:hint="eastAsia" w:ascii="宋体" w:hAnsi="宋体" w:cs="宋体"/>
          <w:color w:val="auto"/>
          <w:szCs w:val="21"/>
          <w:highlight w:val="none"/>
          <w:lang w:val="en-US" w:eastAsia="zh-CN"/>
        </w:rPr>
        <w:t>及</w:t>
      </w:r>
      <w:r>
        <w:rPr>
          <w:rFonts w:hint="eastAsia" w:ascii="宋体" w:hAnsi="宋体" w:cs="宋体"/>
          <w:color w:val="auto"/>
          <w:szCs w:val="21"/>
          <w:highlight w:val="none"/>
        </w:rPr>
        <w:t>等额发票</w:t>
      </w:r>
      <w:r>
        <w:rPr>
          <w:rFonts w:hint="eastAsia" w:ascii="宋体" w:hAnsi="宋体" w:cs="宋体"/>
          <w:color w:val="auto"/>
          <w:szCs w:val="21"/>
          <w:highlight w:val="none"/>
          <w:lang w:val="en-US" w:eastAsia="zh-CN"/>
        </w:rPr>
        <w:t>后</w:t>
      </w:r>
      <w:r>
        <w:rPr>
          <w:rFonts w:hint="eastAsia" w:ascii="宋体" w:hAnsi="宋体" w:cs="宋体"/>
          <w:color w:val="auto"/>
          <w:szCs w:val="21"/>
          <w:highlight w:val="none"/>
        </w:rPr>
        <w:t>，支付</w:t>
      </w:r>
      <w:r>
        <w:rPr>
          <w:rFonts w:hint="eastAsia" w:ascii="宋体" w:hAnsi="宋体" w:cs="宋体"/>
          <w:color w:val="auto"/>
          <w:szCs w:val="21"/>
          <w:highlight w:val="none"/>
          <w:lang w:val="en-US" w:eastAsia="zh-CN"/>
        </w:rPr>
        <w:t>合同金额的40%</w:t>
      </w:r>
      <w:r>
        <w:rPr>
          <w:rFonts w:hint="eastAsia" w:ascii="宋体" w:hAnsi="宋体" w:cs="宋体"/>
          <w:color w:val="auto"/>
          <w:szCs w:val="21"/>
          <w:highlight w:val="none"/>
        </w:rPr>
        <w:t>；</w:t>
      </w:r>
    </w:p>
    <w:p w14:paraId="1B462153">
      <w:pPr>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票据要求：乙方必须按照甲方要求提供正规的增值税普通发票。一旦发现乙方提供虚假发票，除须向甲方补开合法发票外，须赔偿甲方发票票面金额一倍的违约金，且甲方有权终止合同，乙方不得提出异议，因终止合同而产生的一切损失均由乙方承担；</w:t>
      </w:r>
    </w:p>
    <w:p w14:paraId="7A7AE11A">
      <w:pPr>
        <w:snapToGrid w:val="0"/>
        <w:spacing w:line="360" w:lineRule="auto"/>
        <w:ind w:firstLine="210" w:firstLineChars="100"/>
        <w:rPr>
          <w:color w:val="auto"/>
          <w:szCs w:val="21"/>
          <w:highlight w:val="none"/>
          <w:u w:val="singl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）合同款支付形式为：转账。</w:t>
      </w:r>
    </w:p>
    <w:p w14:paraId="4BCF332A">
      <w:pPr>
        <w:snapToGrid w:val="0"/>
        <w:spacing w:line="360" w:lineRule="auto"/>
        <w:ind w:firstLine="422" w:firstLineChars="200"/>
        <w:rPr>
          <w:b/>
          <w:color w:val="auto"/>
          <w:szCs w:val="21"/>
          <w:highlight w:val="none"/>
        </w:rPr>
      </w:pPr>
      <w:r>
        <w:rPr>
          <w:b/>
          <w:color w:val="auto"/>
          <w:szCs w:val="21"/>
          <w:highlight w:val="none"/>
        </w:rPr>
        <w:t>第十条履约保证金</w:t>
      </w:r>
    </w:p>
    <w:p w14:paraId="7DE1F19C">
      <w:pPr>
        <w:spacing w:line="360" w:lineRule="auto"/>
        <w:ind w:firstLine="420" w:firstLineChars="200"/>
        <w:rPr>
          <w:color w:val="auto"/>
          <w:szCs w:val="21"/>
          <w:highlight w:val="none"/>
        </w:rPr>
      </w:pPr>
      <w:r>
        <w:rPr>
          <w:rFonts w:hint="eastAsia"/>
          <w:color w:val="auto"/>
          <w:szCs w:val="21"/>
          <w:highlight w:val="none"/>
        </w:rPr>
        <w:t>履约保证金金额及缴纳时间：</w:t>
      </w:r>
      <w:r>
        <w:rPr>
          <w:rFonts w:hint="eastAsia"/>
          <w:color w:val="auto"/>
          <w:szCs w:val="21"/>
          <w:highlight w:val="none"/>
          <w:u w:val="single"/>
        </w:rPr>
        <w:t>履约保证金金额为中标金额的5%(中小企业中标的为2%）</w:t>
      </w:r>
      <w:r>
        <w:rPr>
          <w:rFonts w:hint="eastAsia"/>
          <w:color w:val="auto"/>
          <w:szCs w:val="21"/>
          <w:highlight w:val="none"/>
        </w:rPr>
        <w:t>，乙方须在签订合同前缴纳履约保证金，未能按时足额缴纳的，或按规定提交方式提交的，或保函有效期低于合同履行期限（即合同中规定的当事人履行自己的义务，如交付标的物、价款或者报酬，履行劳务、完成工作的时间界限）的，不予签订合同。</w:t>
      </w:r>
    </w:p>
    <w:p w14:paraId="1BD672E9">
      <w:pPr>
        <w:spacing w:line="360" w:lineRule="auto"/>
        <w:ind w:firstLine="420" w:firstLineChars="200"/>
        <w:rPr>
          <w:color w:val="auto"/>
          <w:szCs w:val="21"/>
          <w:highlight w:val="none"/>
        </w:rPr>
      </w:pPr>
      <w:r>
        <w:rPr>
          <w:rFonts w:hint="eastAsia"/>
          <w:color w:val="auto"/>
          <w:szCs w:val="21"/>
          <w:highlight w:val="none"/>
        </w:rPr>
        <w:t>履约保证金缴纳形式：供应商可以选择电汇、转账、支票、汇票、本票、保函等形式缴纳或提交；采用保函形式缴纳的，甲方在保证期限届满后及时对收取的保证金进行核实和结算。</w:t>
      </w:r>
    </w:p>
    <w:p w14:paraId="5CBCDE5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保证金缴纳的账号信息：</w:t>
      </w:r>
    </w:p>
    <w:p w14:paraId="35C65291">
      <w:pPr>
        <w:spacing w:line="360" w:lineRule="auto"/>
        <w:ind w:firstLine="420" w:firstLineChars="200"/>
        <w:rPr>
          <w:color w:val="auto"/>
          <w:szCs w:val="21"/>
          <w:highlight w:val="none"/>
        </w:rPr>
      </w:pPr>
      <w:r>
        <w:rPr>
          <w:rFonts w:hint="eastAsia"/>
          <w:color w:val="auto"/>
          <w:szCs w:val="21"/>
          <w:highlight w:val="none"/>
        </w:rPr>
        <w:t>开户名称：广西壮族自治区人工影响天气办公室</w:t>
      </w:r>
    </w:p>
    <w:p w14:paraId="00F8CCA5">
      <w:pPr>
        <w:spacing w:line="360" w:lineRule="auto"/>
        <w:ind w:firstLine="420" w:firstLineChars="200"/>
        <w:rPr>
          <w:color w:val="auto"/>
          <w:szCs w:val="21"/>
          <w:highlight w:val="none"/>
        </w:rPr>
      </w:pPr>
      <w:r>
        <w:rPr>
          <w:rFonts w:hint="eastAsia"/>
          <w:color w:val="auto"/>
          <w:szCs w:val="21"/>
          <w:highlight w:val="none"/>
        </w:rPr>
        <w:t>开户银行：中国农业银行广西南宁园湖支行</w:t>
      </w:r>
    </w:p>
    <w:p w14:paraId="12EB8D4B">
      <w:pPr>
        <w:spacing w:line="360" w:lineRule="auto"/>
        <w:ind w:firstLine="420" w:firstLineChars="200"/>
        <w:rPr>
          <w:color w:val="auto"/>
          <w:szCs w:val="21"/>
          <w:highlight w:val="none"/>
        </w:rPr>
      </w:pPr>
      <w:r>
        <w:rPr>
          <w:rFonts w:hint="eastAsia"/>
          <w:color w:val="auto"/>
          <w:szCs w:val="21"/>
          <w:highlight w:val="none"/>
        </w:rPr>
        <w:t xml:space="preserve">账号：20007001040001027                    </w:t>
      </w:r>
    </w:p>
    <w:p w14:paraId="3013FE72">
      <w:pPr>
        <w:spacing w:line="360" w:lineRule="auto"/>
        <w:ind w:firstLine="420" w:firstLineChars="200"/>
        <w:rPr>
          <w:color w:val="auto"/>
          <w:szCs w:val="21"/>
          <w:highlight w:val="none"/>
        </w:rPr>
      </w:pPr>
      <w:r>
        <w:rPr>
          <w:rFonts w:hint="eastAsia"/>
          <w:color w:val="auto"/>
          <w:szCs w:val="21"/>
          <w:highlight w:val="none"/>
        </w:rPr>
        <w:t xml:space="preserve">履约保证金退还方式及时间、条件、不予退还的情形：履约保证金自合同生效之日起生效至合同材料验收证书或进度款支付函签署之日起28天后失效，项目验收合格后，乙方可向甲方申请办理履约保证金的退付手续；甲方应当按照合同约定的退还方式，在5个工作日内办理履约保证金退还手续。如果乙方不履行合同约定的义务或其履行不符合合同的约定，甲方有权扣划全部或相应金额的履约保证金。 </w:t>
      </w:r>
    </w:p>
    <w:p w14:paraId="35EE9828">
      <w:pPr>
        <w:snapToGrid w:val="0"/>
        <w:spacing w:line="360" w:lineRule="auto"/>
        <w:ind w:firstLine="420" w:firstLineChars="200"/>
        <w:rPr>
          <w:color w:val="auto"/>
          <w:szCs w:val="21"/>
          <w:highlight w:val="none"/>
        </w:rPr>
      </w:pPr>
      <w:r>
        <w:rPr>
          <w:rFonts w:hint="eastAsia"/>
          <w:color w:val="auto"/>
          <w:szCs w:val="21"/>
          <w:highlight w:val="none"/>
        </w:rPr>
        <w:t>履约保证金符合退还条件的，甲方在收到乙方提交的履约保证金退付申请之日起28天内退还履约保证金，如未在规定时间内退还的，乙方可予以书面催告，甲方应按中国人民银行发布的同期同类贷款基准利率向乙方支付自催告日期起的利息。</w:t>
      </w:r>
    </w:p>
    <w:p w14:paraId="51B789D8">
      <w:pPr>
        <w:snapToGrid w:val="0"/>
        <w:spacing w:line="360" w:lineRule="auto"/>
        <w:ind w:firstLine="422" w:firstLineChars="200"/>
        <w:rPr>
          <w:b/>
          <w:color w:val="auto"/>
          <w:szCs w:val="21"/>
          <w:highlight w:val="none"/>
        </w:rPr>
      </w:pPr>
      <w:r>
        <w:rPr>
          <w:b/>
          <w:color w:val="auto"/>
          <w:szCs w:val="21"/>
          <w:highlight w:val="none"/>
        </w:rPr>
        <w:t>第十一条 税费</w:t>
      </w:r>
    </w:p>
    <w:p w14:paraId="66CA3EAE">
      <w:pPr>
        <w:snapToGrid w:val="0"/>
        <w:spacing w:line="360" w:lineRule="auto"/>
        <w:ind w:firstLine="420" w:firstLineChars="200"/>
        <w:rPr>
          <w:color w:val="auto"/>
          <w:szCs w:val="21"/>
          <w:highlight w:val="none"/>
        </w:rPr>
      </w:pPr>
      <w:r>
        <w:rPr>
          <w:color w:val="auto"/>
          <w:szCs w:val="21"/>
          <w:highlight w:val="none"/>
        </w:rPr>
        <w:t>本合同执行中相关的一切税费均由乙方</w:t>
      </w:r>
      <w:r>
        <w:rPr>
          <w:rFonts w:hint="eastAsia"/>
          <w:color w:val="auto"/>
          <w:szCs w:val="21"/>
          <w:highlight w:val="none"/>
        </w:rPr>
        <w:t>承</w:t>
      </w:r>
      <w:r>
        <w:rPr>
          <w:color w:val="auto"/>
          <w:szCs w:val="21"/>
          <w:highlight w:val="none"/>
        </w:rPr>
        <w:t>担。</w:t>
      </w:r>
    </w:p>
    <w:p w14:paraId="02A35CC2">
      <w:pPr>
        <w:snapToGrid w:val="0"/>
        <w:spacing w:line="360" w:lineRule="auto"/>
        <w:ind w:firstLine="422" w:firstLineChars="200"/>
        <w:rPr>
          <w:b/>
          <w:color w:val="auto"/>
          <w:szCs w:val="21"/>
          <w:highlight w:val="none"/>
        </w:rPr>
      </w:pPr>
      <w:r>
        <w:rPr>
          <w:b/>
          <w:color w:val="auto"/>
          <w:szCs w:val="21"/>
          <w:highlight w:val="none"/>
        </w:rPr>
        <w:t>第十</w:t>
      </w:r>
      <w:r>
        <w:rPr>
          <w:rFonts w:hint="eastAsia"/>
          <w:b/>
          <w:color w:val="auto"/>
          <w:szCs w:val="21"/>
          <w:highlight w:val="none"/>
        </w:rPr>
        <w:t>二</w:t>
      </w:r>
      <w:r>
        <w:rPr>
          <w:b/>
          <w:color w:val="auto"/>
          <w:szCs w:val="21"/>
          <w:highlight w:val="none"/>
        </w:rPr>
        <w:t>条　违约责任</w:t>
      </w:r>
    </w:p>
    <w:p w14:paraId="16E482AF">
      <w:pPr>
        <w:snapToGrid w:val="0"/>
        <w:spacing w:line="360" w:lineRule="auto"/>
        <w:ind w:firstLine="420" w:firstLineChars="200"/>
        <w:rPr>
          <w:color w:val="auto"/>
          <w:szCs w:val="21"/>
          <w:highlight w:val="none"/>
        </w:rPr>
      </w:pPr>
      <w:r>
        <w:rPr>
          <w:color w:val="auto"/>
          <w:szCs w:val="21"/>
          <w:highlight w:val="none"/>
        </w:rPr>
        <w:t>1.</w:t>
      </w:r>
      <w:r>
        <w:rPr>
          <w:rFonts w:eastAsia="微软雅黑"/>
          <w:color w:val="auto"/>
          <w:szCs w:val="21"/>
          <w:highlight w:val="none"/>
        </w:rPr>
        <w:t xml:space="preserve"> </w:t>
      </w:r>
      <w:r>
        <w:rPr>
          <w:color w:val="auto"/>
          <w:szCs w:val="21"/>
          <w:highlight w:val="none"/>
        </w:rPr>
        <w:t>若因乙方原因而未能履行合同或最终验收不合格的，甲方</w:t>
      </w:r>
      <w:r>
        <w:rPr>
          <w:rFonts w:hint="eastAsia"/>
          <w:color w:val="auto"/>
          <w:szCs w:val="21"/>
          <w:highlight w:val="none"/>
        </w:rPr>
        <w:t>有权</w:t>
      </w:r>
      <w:r>
        <w:rPr>
          <w:color w:val="auto"/>
          <w:szCs w:val="21"/>
          <w:highlight w:val="none"/>
        </w:rPr>
        <w:t>解除合同，由此产生的费用由乙方承担</w:t>
      </w:r>
      <w:r>
        <w:rPr>
          <w:rFonts w:hint="eastAsia"/>
          <w:color w:val="auto"/>
          <w:szCs w:val="21"/>
          <w:highlight w:val="none"/>
        </w:rPr>
        <w:t>，给甲方造成其他损失的，乙方应进行赔偿，并承担甲方追究的其他违约责任。</w:t>
      </w:r>
    </w:p>
    <w:p w14:paraId="52A47ABA">
      <w:pPr>
        <w:snapToGrid w:val="0"/>
        <w:spacing w:line="360" w:lineRule="auto"/>
        <w:ind w:firstLine="420" w:firstLineChars="200"/>
        <w:rPr>
          <w:color w:val="auto"/>
          <w:szCs w:val="21"/>
          <w:highlight w:val="none"/>
        </w:rPr>
      </w:pPr>
      <w:r>
        <w:rPr>
          <w:rFonts w:hint="eastAsia"/>
          <w:color w:val="auto"/>
          <w:szCs w:val="21"/>
          <w:highlight w:val="none"/>
        </w:rPr>
        <w:t>2</w:t>
      </w:r>
      <w:r>
        <w:rPr>
          <w:color w:val="auto"/>
          <w:szCs w:val="21"/>
          <w:highlight w:val="none"/>
        </w:rPr>
        <w:t>.乙方逾期交</w:t>
      </w:r>
      <w:r>
        <w:rPr>
          <w:rFonts w:hint="eastAsia"/>
          <w:color w:val="auto"/>
          <w:szCs w:val="21"/>
          <w:highlight w:val="none"/>
        </w:rPr>
        <w:t>付产品</w:t>
      </w:r>
      <w:r>
        <w:rPr>
          <w:color w:val="auto"/>
          <w:szCs w:val="21"/>
          <w:highlight w:val="none"/>
        </w:rPr>
        <w:t>或服务成果的，</w:t>
      </w:r>
      <w:r>
        <w:rPr>
          <w:rFonts w:hint="eastAsia"/>
          <w:color w:val="auto"/>
          <w:szCs w:val="21"/>
          <w:highlight w:val="none"/>
        </w:rPr>
        <w:t>应</w:t>
      </w:r>
      <w:r>
        <w:rPr>
          <w:color w:val="auto"/>
          <w:szCs w:val="21"/>
          <w:highlight w:val="none"/>
        </w:rPr>
        <w:t>向</w:t>
      </w:r>
      <w:r>
        <w:rPr>
          <w:rFonts w:hint="eastAsia"/>
          <w:color w:val="auto"/>
          <w:szCs w:val="21"/>
          <w:highlight w:val="none"/>
        </w:rPr>
        <w:t>甲</w:t>
      </w:r>
      <w:r>
        <w:rPr>
          <w:color w:val="auto"/>
          <w:szCs w:val="21"/>
          <w:highlight w:val="none"/>
        </w:rPr>
        <w:t>方</w:t>
      </w:r>
      <w:r>
        <w:rPr>
          <w:rFonts w:hint="eastAsia"/>
          <w:color w:val="auto"/>
          <w:szCs w:val="21"/>
          <w:highlight w:val="none"/>
        </w:rPr>
        <w:t>支付</w:t>
      </w:r>
      <w:r>
        <w:rPr>
          <w:color w:val="auto"/>
          <w:szCs w:val="21"/>
          <w:highlight w:val="none"/>
        </w:rPr>
        <w:t>违约</w:t>
      </w:r>
      <w:r>
        <w:rPr>
          <w:rFonts w:hint="eastAsia"/>
          <w:color w:val="auto"/>
          <w:szCs w:val="21"/>
          <w:highlight w:val="none"/>
        </w:rPr>
        <w:t>金，标准为合同总价</w:t>
      </w:r>
      <w:r>
        <w:rPr>
          <w:color w:val="auto"/>
          <w:szCs w:val="21"/>
          <w:highlight w:val="none"/>
          <w:u w:val="single"/>
        </w:rPr>
        <w:t>3‰</w:t>
      </w:r>
      <w:r>
        <w:rPr>
          <w:color w:val="auto"/>
          <w:szCs w:val="21"/>
          <w:highlight w:val="none"/>
        </w:rPr>
        <w:t>/</w:t>
      </w:r>
      <w:r>
        <w:rPr>
          <w:rFonts w:hint="eastAsia"/>
          <w:color w:val="auto"/>
          <w:szCs w:val="21"/>
          <w:highlight w:val="none"/>
        </w:rPr>
        <w:t>日</w:t>
      </w:r>
      <w:r>
        <w:rPr>
          <w:color w:val="auto"/>
          <w:szCs w:val="21"/>
          <w:highlight w:val="none"/>
        </w:rPr>
        <w:t>，但违约金累计不得超过</w:t>
      </w:r>
      <w:r>
        <w:rPr>
          <w:rFonts w:hint="eastAsia"/>
          <w:color w:val="auto"/>
          <w:highlight w:val="none"/>
        </w:rPr>
        <w:t>合同总金额</w:t>
      </w:r>
      <w:r>
        <w:rPr>
          <w:color w:val="auto"/>
          <w:szCs w:val="21"/>
          <w:highlight w:val="none"/>
          <w:u w:val="single"/>
        </w:rPr>
        <w:t>5%，</w:t>
      </w:r>
      <w:r>
        <w:rPr>
          <w:color w:val="auto"/>
          <w:szCs w:val="21"/>
          <w:highlight w:val="none"/>
        </w:rPr>
        <w:t>甲方延</w:t>
      </w:r>
      <w:r>
        <w:rPr>
          <w:rFonts w:hint="eastAsia"/>
          <w:color w:val="auto"/>
          <w:szCs w:val="21"/>
          <w:highlight w:val="none"/>
        </w:rPr>
        <w:t>期支</w:t>
      </w:r>
      <w:r>
        <w:rPr>
          <w:color w:val="auto"/>
          <w:szCs w:val="21"/>
          <w:highlight w:val="none"/>
        </w:rPr>
        <w:t>付</w:t>
      </w:r>
      <w:r>
        <w:rPr>
          <w:rFonts w:hint="eastAsia"/>
          <w:color w:val="auto"/>
          <w:szCs w:val="21"/>
          <w:highlight w:val="none"/>
        </w:rPr>
        <w:t>产品或服务费用</w:t>
      </w:r>
      <w:r>
        <w:rPr>
          <w:color w:val="auto"/>
          <w:szCs w:val="21"/>
          <w:highlight w:val="none"/>
        </w:rPr>
        <w:t>的，</w:t>
      </w:r>
      <w:r>
        <w:rPr>
          <w:rFonts w:hint="eastAsia"/>
          <w:color w:val="auto"/>
          <w:szCs w:val="21"/>
          <w:highlight w:val="none"/>
        </w:rPr>
        <w:t>应</w:t>
      </w:r>
      <w:r>
        <w:rPr>
          <w:color w:val="auto"/>
          <w:szCs w:val="21"/>
          <w:highlight w:val="none"/>
        </w:rPr>
        <w:t>向乙方</w:t>
      </w:r>
      <w:r>
        <w:rPr>
          <w:rFonts w:hint="eastAsia"/>
          <w:color w:val="auto"/>
          <w:szCs w:val="21"/>
          <w:highlight w:val="none"/>
        </w:rPr>
        <w:t>支</w:t>
      </w:r>
      <w:r>
        <w:rPr>
          <w:color w:val="auto"/>
          <w:szCs w:val="21"/>
          <w:highlight w:val="none"/>
        </w:rPr>
        <w:t>付延期滞纳金</w:t>
      </w:r>
      <w:r>
        <w:rPr>
          <w:rFonts w:hint="eastAsia"/>
          <w:color w:val="auto"/>
          <w:szCs w:val="21"/>
          <w:highlight w:val="none"/>
        </w:rPr>
        <w:t>，标准为合同总价</w:t>
      </w:r>
      <w:r>
        <w:rPr>
          <w:color w:val="auto"/>
          <w:szCs w:val="21"/>
          <w:highlight w:val="none"/>
        </w:rPr>
        <w:t>额</w:t>
      </w:r>
      <w:r>
        <w:rPr>
          <w:color w:val="auto"/>
          <w:szCs w:val="21"/>
          <w:highlight w:val="none"/>
          <w:u w:val="single"/>
        </w:rPr>
        <w:t>3‰/</w:t>
      </w:r>
      <w:r>
        <w:rPr>
          <w:rFonts w:hint="eastAsia"/>
          <w:color w:val="auto"/>
          <w:szCs w:val="21"/>
          <w:highlight w:val="none"/>
          <w:u w:val="single"/>
        </w:rPr>
        <w:t>日</w:t>
      </w:r>
      <w:r>
        <w:rPr>
          <w:color w:val="auto"/>
          <w:szCs w:val="21"/>
          <w:highlight w:val="none"/>
        </w:rPr>
        <w:t>，但滞纳金累计不得超过</w:t>
      </w:r>
      <w:r>
        <w:rPr>
          <w:rFonts w:hint="eastAsia"/>
          <w:color w:val="auto"/>
          <w:highlight w:val="none"/>
        </w:rPr>
        <w:t>合同总金额</w:t>
      </w:r>
      <w:r>
        <w:rPr>
          <w:color w:val="auto"/>
          <w:szCs w:val="21"/>
          <w:highlight w:val="none"/>
          <w:u w:val="single"/>
        </w:rPr>
        <w:t>5%</w:t>
      </w:r>
      <w:r>
        <w:rPr>
          <w:color w:val="auto"/>
          <w:szCs w:val="21"/>
          <w:highlight w:val="none"/>
        </w:rPr>
        <w:t>。</w:t>
      </w:r>
    </w:p>
    <w:p w14:paraId="745DD9C4">
      <w:pPr>
        <w:snapToGrid w:val="0"/>
        <w:spacing w:line="360" w:lineRule="auto"/>
        <w:ind w:firstLine="420" w:firstLineChars="200"/>
        <w:rPr>
          <w:color w:val="auto"/>
          <w:szCs w:val="21"/>
          <w:highlight w:val="none"/>
        </w:rPr>
      </w:pPr>
      <w:r>
        <w:rPr>
          <w:rFonts w:hint="eastAsia"/>
          <w:color w:val="auto"/>
          <w:szCs w:val="21"/>
          <w:highlight w:val="none"/>
        </w:rPr>
        <w:t>3</w:t>
      </w:r>
      <w:r>
        <w:rPr>
          <w:color w:val="auto"/>
          <w:szCs w:val="21"/>
          <w:highlight w:val="none"/>
        </w:rPr>
        <w:t>. 乙方未得到甲方同意，擅自更换项目负责人及服务团队成员时，甲方有权书面通知乙方解除合同，且无需支付合同解除后的合同后续费用。同时，乙方必须退还甲方已付出的所有服务费用，并赔偿由此给甲方造成的全部损失。</w:t>
      </w:r>
    </w:p>
    <w:p w14:paraId="2E09FF66">
      <w:pPr>
        <w:snapToGrid w:val="0"/>
        <w:spacing w:line="360" w:lineRule="auto"/>
        <w:ind w:firstLine="420" w:firstLineChars="200"/>
        <w:rPr>
          <w:color w:val="auto"/>
          <w:szCs w:val="21"/>
          <w:highlight w:val="none"/>
        </w:rPr>
      </w:pPr>
      <w:r>
        <w:rPr>
          <w:rFonts w:hint="eastAsia"/>
          <w:color w:val="auto"/>
          <w:szCs w:val="21"/>
          <w:highlight w:val="none"/>
        </w:rPr>
        <w:t>4</w:t>
      </w:r>
      <w:r>
        <w:rPr>
          <w:color w:val="auto"/>
          <w:szCs w:val="21"/>
          <w:highlight w:val="none"/>
        </w:rPr>
        <w:t>.乙方或乙方人员违反保密义务时，甲方有权书面通知乙方解除合同，且无需支付合同解除后的合同后续费用。同时，乙方必须退还甲方已付出的所有咨询费用，并赔偿由此给甲方造成的全部损失。</w:t>
      </w:r>
    </w:p>
    <w:p w14:paraId="2AA7BEB5">
      <w:pPr>
        <w:snapToGrid w:val="0"/>
        <w:spacing w:line="360" w:lineRule="auto"/>
        <w:ind w:firstLine="420" w:firstLineChars="200"/>
        <w:rPr>
          <w:color w:val="auto"/>
          <w:szCs w:val="21"/>
          <w:highlight w:val="none"/>
        </w:rPr>
      </w:pPr>
      <w:r>
        <w:rPr>
          <w:rFonts w:hint="eastAsia"/>
          <w:color w:val="auto"/>
          <w:szCs w:val="21"/>
          <w:highlight w:val="none"/>
        </w:rPr>
        <w:t>5</w:t>
      </w:r>
      <w:r>
        <w:rPr>
          <w:color w:val="auto"/>
          <w:szCs w:val="21"/>
          <w:highlight w:val="none"/>
        </w:rPr>
        <w:t>.乙方未按本合同和投标文件中规定的服务承诺提供售后服务的，乙方应按本合同</w:t>
      </w:r>
      <w:r>
        <w:rPr>
          <w:rStyle w:val="58"/>
          <w:rFonts w:hint="eastAsia"/>
          <w:color w:val="auto"/>
          <w:highlight w:val="none"/>
        </w:rPr>
        <w:t>总</w:t>
      </w:r>
      <w:r>
        <w:rPr>
          <w:color w:val="auto"/>
          <w:szCs w:val="21"/>
          <w:highlight w:val="none"/>
        </w:rPr>
        <w:t>金额</w:t>
      </w:r>
      <w:r>
        <w:rPr>
          <w:color w:val="auto"/>
          <w:szCs w:val="21"/>
          <w:highlight w:val="none"/>
          <w:u w:val="single"/>
        </w:rPr>
        <w:t xml:space="preserve"> 5%</w:t>
      </w:r>
      <w:r>
        <w:rPr>
          <w:color w:val="auto"/>
          <w:szCs w:val="21"/>
          <w:highlight w:val="none"/>
        </w:rPr>
        <w:t>向甲方支付违约金。</w:t>
      </w:r>
    </w:p>
    <w:p w14:paraId="3C0C40DC">
      <w:pPr>
        <w:snapToGrid w:val="0"/>
        <w:spacing w:line="360" w:lineRule="auto"/>
        <w:ind w:firstLine="420" w:firstLineChars="200"/>
        <w:rPr>
          <w:color w:val="auto"/>
          <w:szCs w:val="21"/>
          <w:highlight w:val="none"/>
        </w:rPr>
      </w:pPr>
      <w:r>
        <w:rPr>
          <w:rFonts w:hint="eastAsia"/>
          <w:color w:val="auto"/>
          <w:szCs w:val="21"/>
          <w:highlight w:val="none"/>
        </w:rPr>
        <w:t>6</w:t>
      </w:r>
      <w:r>
        <w:rPr>
          <w:color w:val="auto"/>
          <w:szCs w:val="21"/>
          <w:highlight w:val="none"/>
        </w:rPr>
        <w:t>.乙方提供的</w:t>
      </w:r>
      <w:r>
        <w:rPr>
          <w:rFonts w:hint="eastAsia"/>
          <w:color w:val="auto"/>
          <w:szCs w:val="21"/>
          <w:highlight w:val="none"/>
        </w:rPr>
        <w:t>产品</w:t>
      </w:r>
      <w:r>
        <w:rPr>
          <w:color w:val="auto"/>
          <w:szCs w:val="21"/>
          <w:highlight w:val="none"/>
        </w:rPr>
        <w:t>或服务成果在质量保证期内，因设计、工艺或材料的缺陷和</w:t>
      </w:r>
      <w:r>
        <w:rPr>
          <w:rFonts w:hint="eastAsia"/>
          <w:color w:val="auto"/>
          <w:szCs w:val="21"/>
          <w:highlight w:val="none"/>
        </w:rPr>
        <w:t>其他</w:t>
      </w:r>
      <w:r>
        <w:rPr>
          <w:color w:val="auto"/>
          <w:szCs w:val="21"/>
          <w:highlight w:val="none"/>
        </w:rPr>
        <w:t>质量原因造成的问题，由乙方负责，费用从质量保证金中扣除，质量保证金不足以支付的，由乙方另行支付。</w:t>
      </w:r>
    </w:p>
    <w:p w14:paraId="6B04B45B">
      <w:pPr>
        <w:snapToGrid w:val="0"/>
        <w:spacing w:line="360" w:lineRule="auto"/>
        <w:ind w:firstLine="420" w:firstLineChars="200"/>
        <w:jc w:val="left"/>
        <w:rPr>
          <w:color w:val="auto"/>
          <w:szCs w:val="21"/>
          <w:highlight w:val="none"/>
        </w:rPr>
      </w:pPr>
      <w:r>
        <w:rPr>
          <w:rFonts w:hint="eastAsia"/>
          <w:color w:val="auto"/>
          <w:szCs w:val="21"/>
          <w:highlight w:val="none"/>
        </w:rPr>
        <w:t>7</w:t>
      </w:r>
      <w:r>
        <w:rPr>
          <w:color w:val="auto"/>
          <w:szCs w:val="21"/>
          <w:highlight w:val="none"/>
        </w:rPr>
        <w:t>.乙方提供的</w:t>
      </w:r>
      <w:r>
        <w:rPr>
          <w:rFonts w:hint="eastAsia"/>
          <w:color w:val="auto"/>
          <w:szCs w:val="21"/>
          <w:highlight w:val="none"/>
        </w:rPr>
        <w:t>产品</w:t>
      </w:r>
      <w:r>
        <w:rPr>
          <w:color w:val="auto"/>
          <w:szCs w:val="21"/>
          <w:highlight w:val="none"/>
        </w:rPr>
        <w:t>或服务如侵犯了第三方合法权益而引发的任何纠纷或诉讼，均由乙方负责交涉并承担全部责任。</w:t>
      </w:r>
    </w:p>
    <w:p w14:paraId="5A79648E">
      <w:pPr>
        <w:snapToGrid w:val="0"/>
        <w:spacing w:line="360" w:lineRule="auto"/>
        <w:ind w:firstLine="420" w:firstLineChars="200"/>
        <w:rPr>
          <w:color w:val="auto"/>
          <w:szCs w:val="21"/>
          <w:highlight w:val="none"/>
        </w:rPr>
      </w:pPr>
      <w:r>
        <w:rPr>
          <w:rFonts w:hint="eastAsia"/>
          <w:color w:val="auto"/>
          <w:szCs w:val="21"/>
          <w:highlight w:val="none"/>
        </w:rPr>
        <w:t>8</w:t>
      </w:r>
      <w:r>
        <w:rPr>
          <w:color w:val="auto"/>
          <w:szCs w:val="21"/>
          <w:highlight w:val="none"/>
        </w:rPr>
        <w:t>.</w:t>
      </w:r>
      <w:r>
        <w:rPr>
          <w:rFonts w:hint="eastAsia"/>
          <w:color w:val="auto"/>
          <w:szCs w:val="21"/>
          <w:highlight w:val="none"/>
        </w:rPr>
        <w:t>其他</w:t>
      </w:r>
      <w:r>
        <w:rPr>
          <w:color w:val="auto"/>
          <w:szCs w:val="21"/>
          <w:highlight w:val="none"/>
        </w:rPr>
        <w:t>违约行为按违约</w:t>
      </w:r>
      <w:r>
        <w:rPr>
          <w:rFonts w:hint="eastAsia"/>
          <w:color w:val="auto"/>
          <w:szCs w:val="21"/>
          <w:highlight w:val="none"/>
        </w:rPr>
        <w:t>部分产品</w:t>
      </w:r>
      <w:r>
        <w:rPr>
          <w:color w:val="auto"/>
          <w:szCs w:val="21"/>
          <w:highlight w:val="none"/>
        </w:rPr>
        <w:t>或服务费用金额5%收取违约金并赔偿经济损失。</w:t>
      </w:r>
    </w:p>
    <w:p w14:paraId="70395762">
      <w:pPr>
        <w:snapToGrid w:val="0"/>
        <w:spacing w:line="360" w:lineRule="auto"/>
        <w:ind w:firstLine="420" w:firstLineChars="200"/>
        <w:rPr>
          <w:color w:val="auto"/>
          <w:szCs w:val="21"/>
          <w:highlight w:val="none"/>
        </w:rPr>
      </w:pPr>
      <w:r>
        <w:rPr>
          <w:rFonts w:hint="eastAsia"/>
          <w:color w:val="auto"/>
          <w:szCs w:val="21"/>
          <w:highlight w:val="none"/>
        </w:rPr>
        <w:t>9</w:t>
      </w:r>
      <w:r>
        <w:rPr>
          <w:color w:val="auto"/>
          <w:szCs w:val="21"/>
          <w:highlight w:val="none"/>
        </w:rPr>
        <w:t>.</w:t>
      </w:r>
      <w:r>
        <w:rPr>
          <w:rFonts w:hint="eastAsia"/>
          <w:color w:val="auto"/>
          <w:szCs w:val="21"/>
          <w:highlight w:val="none"/>
        </w:rPr>
        <w:t>因甲方原因导致变更、中止或者终止政府采购合同的，应当依照合同约定对乙方受到的损失予以赔偿或者补偿。</w:t>
      </w:r>
      <w:r>
        <w:rPr>
          <w:color w:val="auto"/>
          <w:szCs w:val="21"/>
          <w:highlight w:val="none"/>
        </w:rPr>
        <w:t>赔偿（补偿）标准：</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按实际损失赔偿</w:t>
      </w:r>
      <w:r>
        <w:rPr>
          <w:color w:val="auto"/>
          <w:szCs w:val="21"/>
          <w:highlight w:val="none"/>
          <w:u w:val="single"/>
        </w:rPr>
        <w:t xml:space="preserve">  </w:t>
      </w:r>
      <w:r>
        <w:rPr>
          <w:rFonts w:hint="eastAsia"/>
          <w:color w:val="auto"/>
          <w:szCs w:val="21"/>
          <w:highlight w:val="none"/>
        </w:rPr>
        <w:t>。</w:t>
      </w:r>
    </w:p>
    <w:p w14:paraId="4B180A3D">
      <w:pPr>
        <w:snapToGrid w:val="0"/>
        <w:spacing w:line="360" w:lineRule="auto"/>
        <w:ind w:firstLine="420" w:firstLineChars="200"/>
        <w:rPr>
          <w:color w:val="auto"/>
          <w:szCs w:val="21"/>
          <w:highlight w:val="none"/>
        </w:rPr>
      </w:pPr>
      <w:r>
        <w:rPr>
          <w:rFonts w:hint="eastAsia"/>
          <w:color w:val="auto"/>
          <w:szCs w:val="21"/>
          <w:highlight w:val="none"/>
        </w:rPr>
        <w:t>10．甲方违反本合同的约定，乙方有权书面要求甲方在一个月内解决，甲方拒绝解决达3次以上的，乙方有权与甲方协商解除本合同，并要求甲方支付违约金，违约金标准为飞机托管服务费总额的5%；实际损失超过违约金金额的，乙方有权要求甲方赔偿超出部分的费用。</w:t>
      </w:r>
    </w:p>
    <w:p w14:paraId="56996247">
      <w:pPr>
        <w:snapToGrid w:val="0"/>
        <w:spacing w:line="360" w:lineRule="auto"/>
        <w:ind w:firstLine="420" w:firstLineChars="200"/>
        <w:rPr>
          <w:color w:val="auto"/>
          <w:szCs w:val="21"/>
          <w:highlight w:val="none"/>
        </w:rPr>
      </w:pPr>
      <w:r>
        <w:rPr>
          <w:rFonts w:hint="eastAsia"/>
          <w:color w:val="auto"/>
          <w:szCs w:val="21"/>
          <w:highlight w:val="none"/>
        </w:rPr>
        <w:t>11．乙方无故拒飞、延误飞行或乙方原因造成甲方人员空进场的（人员交接不当、人为原因造成飞机故障等原因导致的作业人员进场但不能实施飞行作业的情况），甲方有权要求乙方按10万元/次的标准支付违约金，累计出现3次上述情况的，甲方有权解除合同，合同解除后乙方应当按飞机托管服务费总额的10%向甲方支付违约金。合同解除后乙方应当返还甲方已支付但未提供服务部分的托管费用。由此给甲方造成损失的乙方还应当足额赔偿，双方对于赔偿数额无法协商一致的按飞机托管服务费总额的50%计算。</w:t>
      </w:r>
    </w:p>
    <w:p w14:paraId="534B5C4E">
      <w:pPr>
        <w:snapToGrid w:val="0"/>
        <w:spacing w:line="360" w:lineRule="auto"/>
        <w:ind w:firstLine="420" w:firstLineChars="200"/>
        <w:rPr>
          <w:color w:val="auto"/>
          <w:szCs w:val="21"/>
          <w:highlight w:val="none"/>
        </w:rPr>
      </w:pPr>
      <w:r>
        <w:rPr>
          <w:rFonts w:hint="eastAsia"/>
          <w:color w:val="auto"/>
          <w:szCs w:val="21"/>
          <w:highlight w:val="none"/>
        </w:rPr>
        <w:t>12．因乙方运维不当或未合理安排飞行时间导致飞机起飞后未作业就返航的，该次飞行不计入飞行时间，并且乙方需承担该次飞行的全部费用，同时，乙方一次性向甲方支付10万元违约金，因此造成甲方实际损失的，乙方还应足额赔偿甲方实际损失，双方对于损失数额无法协商一致的按飞机托管服务费总额的30%计算。</w:t>
      </w:r>
    </w:p>
    <w:p w14:paraId="68D46BEE">
      <w:pPr>
        <w:snapToGrid w:val="0"/>
        <w:spacing w:line="360" w:lineRule="auto"/>
        <w:ind w:firstLine="420" w:firstLineChars="200"/>
        <w:rPr>
          <w:color w:val="auto"/>
          <w:szCs w:val="21"/>
          <w:highlight w:val="none"/>
        </w:rPr>
      </w:pPr>
      <w:r>
        <w:rPr>
          <w:rFonts w:hint="eastAsia"/>
          <w:color w:val="auto"/>
          <w:szCs w:val="21"/>
          <w:highlight w:val="none"/>
        </w:rPr>
        <w:t>13．本合同项下，因甲方维权而支出的包括但不限于律师费、诉讼费（包括受理费、保全费、保险费等）、鉴定费、评估费等维权费用，均由乙方承担。</w:t>
      </w:r>
    </w:p>
    <w:p w14:paraId="53AE4D21">
      <w:pPr>
        <w:snapToGrid w:val="0"/>
        <w:spacing w:line="360" w:lineRule="auto"/>
        <w:ind w:firstLine="420" w:firstLineChars="200"/>
        <w:rPr>
          <w:color w:val="auto"/>
          <w:szCs w:val="21"/>
          <w:highlight w:val="none"/>
        </w:rPr>
      </w:pPr>
      <w:r>
        <w:rPr>
          <w:rFonts w:hint="eastAsia"/>
          <w:color w:val="auto"/>
          <w:szCs w:val="21"/>
          <w:highlight w:val="none"/>
        </w:rPr>
        <w:t>14．乙方应当支付的违约金、赔偿金部分及维权费用，甲方有权在剩余应付合同价款中予以扣除。</w:t>
      </w:r>
    </w:p>
    <w:p w14:paraId="07924196">
      <w:pPr>
        <w:snapToGrid w:val="0"/>
        <w:spacing w:line="360" w:lineRule="auto"/>
        <w:ind w:firstLine="420" w:firstLineChars="200"/>
        <w:rPr>
          <w:color w:val="auto"/>
          <w:szCs w:val="21"/>
          <w:highlight w:val="none"/>
        </w:rPr>
      </w:pPr>
      <w:r>
        <w:rPr>
          <w:rFonts w:hint="eastAsia"/>
          <w:color w:val="auto"/>
          <w:szCs w:val="21"/>
          <w:highlight w:val="none"/>
        </w:rPr>
        <w:t>15．除本合同另有约定外，乙方违反本合同的约定，甲方有权要求乙方一个月内整改，逾期未整改或整改后仍不满足甲方或本合同要求的，甲方有权书面通知乙方终止合同，并要求乙方支付违约金，违约金按照飞机托管服务费总额的15%计算；如因此造成甲方损失的，乙方应当足额赔偿甲方实际损失，双方对于该部分损失无法协商一致的，按飞机托管服务费总额的30%计算。</w:t>
      </w:r>
    </w:p>
    <w:p w14:paraId="58D53AAE">
      <w:pPr>
        <w:pStyle w:val="19"/>
        <w:ind w:firstLine="420" w:firstLineChars="200"/>
        <w:rPr>
          <w:color w:val="auto"/>
          <w:sz w:val="21"/>
          <w:szCs w:val="21"/>
          <w:highlight w:val="none"/>
        </w:rPr>
      </w:pPr>
      <w:r>
        <w:rPr>
          <w:rFonts w:hint="eastAsia"/>
          <w:color w:val="auto"/>
          <w:sz w:val="21"/>
          <w:szCs w:val="21"/>
          <w:highlight w:val="none"/>
        </w:rPr>
        <w:t>16.乙方必须按照投标文件和合同约定中所保证的时间节点运行，乙方逾期履行上述义务的，每逾期一日支付违约金10万元（不可抗力因素不包含在此条例中），若超出30日，甲方有权解除合同，并要求乙方赔偿由此造成的损失。</w:t>
      </w:r>
    </w:p>
    <w:p w14:paraId="476AF203">
      <w:pPr>
        <w:pStyle w:val="26"/>
        <w:snapToGrid w:val="0"/>
        <w:spacing w:before="120" w:after="120" w:line="360" w:lineRule="auto"/>
        <w:ind w:firstLine="413" w:firstLineChars="196"/>
        <w:rPr>
          <w:color w:val="auto"/>
          <w:highlight w:val="none"/>
        </w:rPr>
      </w:pPr>
      <w:r>
        <w:rPr>
          <w:rFonts w:ascii="Times New Roman" w:hAnsi="Times New Roman" w:cs="Times New Roman"/>
          <w:b/>
          <w:color w:val="auto"/>
          <w:highlight w:val="none"/>
        </w:rPr>
        <w:t>第十</w:t>
      </w:r>
      <w:r>
        <w:rPr>
          <w:rFonts w:hint="eastAsia" w:ascii="Times New Roman" w:hAnsi="Times New Roman" w:cs="Times New Roman"/>
          <w:b/>
          <w:color w:val="auto"/>
          <w:highlight w:val="none"/>
        </w:rPr>
        <w:t>三</w:t>
      </w:r>
      <w:r>
        <w:rPr>
          <w:rFonts w:ascii="Times New Roman" w:hAnsi="Times New Roman" w:cs="Times New Roman"/>
          <w:b/>
          <w:color w:val="auto"/>
          <w:highlight w:val="none"/>
        </w:rPr>
        <w:t>条 不可抗力事件处理</w:t>
      </w:r>
    </w:p>
    <w:p w14:paraId="0AFDD525">
      <w:pPr>
        <w:snapToGrid w:val="0"/>
        <w:spacing w:line="360" w:lineRule="auto"/>
        <w:ind w:firstLine="420" w:firstLineChars="200"/>
        <w:rPr>
          <w:color w:val="auto"/>
          <w:szCs w:val="21"/>
          <w:highlight w:val="none"/>
        </w:rPr>
      </w:pPr>
      <w:r>
        <w:rPr>
          <w:color w:val="auto"/>
          <w:szCs w:val="21"/>
          <w:highlight w:val="none"/>
        </w:rPr>
        <w:t>1.在合同有效期内，任何一方因不可抗力事件导致不能履行合同，则合同履行期可延长，其延长期与不可抗力影响期相同。</w:t>
      </w:r>
    </w:p>
    <w:p w14:paraId="7F65C378">
      <w:pPr>
        <w:snapToGrid w:val="0"/>
        <w:spacing w:line="360" w:lineRule="auto"/>
        <w:ind w:firstLine="420" w:firstLineChars="200"/>
        <w:rPr>
          <w:color w:val="auto"/>
          <w:szCs w:val="21"/>
          <w:highlight w:val="none"/>
        </w:rPr>
      </w:pPr>
      <w:r>
        <w:rPr>
          <w:color w:val="auto"/>
          <w:szCs w:val="21"/>
          <w:highlight w:val="none"/>
        </w:rPr>
        <w:t>2.不可抗力事件发生后，应立即通知对方，并寄送有关权威机构出具的证明。</w:t>
      </w:r>
    </w:p>
    <w:p w14:paraId="2A7CA34D">
      <w:pPr>
        <w:snapToGrid w:val="0"/>
        <w:spacing w:line="360" w:lineRule="auto"/>
        <w:ind w:firstLine="420" w:firstLineChars="200"/>
        <w:rPr>
          <w:color w:val="auto"/>
          <w:szCs w:val="21"/>
          <w:highlight w:val="none"/>
        </w:rPr>
      </w:pPr>
      <w:r>
        <w:rPr>
          <w:color w:val="auto"/>
          <w:szCs w:val="21"/>
          <w:highlight w:val="none"/>
        </w:rPr>
        <w:t>3.不可抗力事件延续一百二十天以上，双方应通过友好协商，确定是否继续履行合同。</w:t>
      </w:r>
    </w:p>
    <w:p w14:paraId="3849CF40">
      <w:pPr>
        <w:snapToGrid w:val="0"/>
        <w:spacing w:line="360" w:lineRule="auto"/>
        <w:ind w:firstLine="422" w:firstLineChars="200"/>
        <w:rPr>
          <w:color w:val="auto"/>
          <w:szCs w:val="21"/>
          <w:highlight w:val="none"/>
        </w:rPr>
      </w:pPr>
      <w:r>
        <w:rPr>
          <w:b/>
          <w:color w:val="auto"/>
          <w:szCs w:val="21"/>
          <w:highlight w:val="none"/>
        </w:rPr>
        <w:t>第十</w:t>
      </w:r>
      <w:r>
        <w:rPr>
          <w:rFonts w:hint="eastAsia"/>
          <w:b/>
          <w:color w:val="auto"/>
          <w:szCs w:val="21"/>
          <w:highlight w:val="none"/>
        </w:rPr>
        <w:t>四</w:t>
      </w:r>
      <w:r>
        <w:rPr>
          <w:b/>
          <w:color w:val="auto"/>
          <w:szCs w:val="21"/>
          <w:highlight w:val="none"/>
        </w:rPr>
        <w:t>条  合同争议解决</w:t>
      </w:r>
    </w:p>
    <w:p w14:paraId="76083033">
      <w:pPr>
        <w:snapToGrid w:val="0"/>
        <w:spacing w:line="360" w:lineRule="auto"/>
        <w:ind w:firstLine="420" w:firstLineChars="200"/>
        <w:rPr>
          <w:color w:val="auto"/>
          <w:szCs w:val="21"/>
          <w:highlight w:val="none"/>
        </w:rPr>
      </w:pPr>
      <w:r>
        <w:rPr>
          <w:color w:val="auto"/>
          <w:szCs w:val="21"/>
          <w:highlight w:val="none"/>
        </w:rPr>
        <w:t>1</w:t>
      </w:r>
      <w:r>
        <w:rPr>
          <w:rFonts w:hint="eastAsia"/>
          <w:color w:val="auto"/>
          <w:szCs w:val="21"/>
          <w:highlight w:val="none"/>
        </w:rPr>
        <w:t>.</w:t>
      </w:r>
      <w:r>
        <w:rPr>
          <w:color w:val="auto"/>
          <w:szCs w:val="21"/>
          <w:highlight w:val="none"/>
        </w:rPr>
        <w:t>因</w:t>
      </w:r>
      <w:r>
        <w:rPr>
          <w:rFonts w:hint="eastAsia"/>
          <w:color w:val="auto"/>
          <w:szCs w:val="21"/>
          <w:highlight w:val="none"/>
        </w:rPr>
        <w:t>产品</w:t>
      </w:r>
      <w:r>
        <w:rPr>
          <w:color w:val="auto"/>
          <w:szCs w:val="21"/>
          <w:highlight w:val="none"/>
        </w:rPr>
        <w:t>或服务成果质量问题</w:t>
      </w:r>
      <w:r>
        <w:rPr>
          <w:rFonts w:hint="eastAsia"/>
          <w:color w:val="auto"/>
          <w:szCs w:val="21"/>
          <w:highlight w:val="none"/>
        </w:rPr>
        <w:t>或验收结果</w:t>
      </w:r>
      <w:r>
        <w:rPr>
          <w:color w:val="auto"/>
          <w:szCs w:val="21"/>
          <w:highlight w:val="none"/>
        </w:rPr>
        <w:t>发生争议的，应邀请国家认</w:t>
      </w:r>
      <w:r>
        <w:rPr>
          <w:rFonts w:hint="eastAsia"/>
          <w:color w:val="auto"/>
          <w:szCs w:val="21"/>
          <w:highlight w:val="none"/>
        </w:rPr>
        <w:t>定</w:t>
      </w:r>
      <w:r>
        <w:rPr>
          <w:color w:val="auto"/>
          <w:szCs w:val="21"/>
          <w:highlight w:val="none"/>
        </w:rPr>
        <w:t>的质量检测机构按照国家标准对</w:t>
      </w:r>
      <w:r>
        <w:rPr>
          <w:rFonts w:hint="eastAsia"/>
          <w:color w:val="auto"/>
          <w:szCs w:val="21"/>
          <w:highlight w:val="none"/>
        </w:rPr>
        <w:t>产品</w:t>
      </w:r>
      <w:r>
        <w:rPr>
          <w:color w:val="auto"/>
          <w:szCs w:val="21"/>
          <w:highlight w:val="none"/>
        </w:rPr>
        <w:t>或服务成果质量进行验收。</w:t>
      </w:r>
      <w:r>
        <w:rPr>
          <w:rFonts w:hint="eastAsia"/>
          <w:color w:val="auto"/>
          <w:szCs w:val="21"/>
          <w:highlight w:val="none"/>
        </w:rPr>
        <w:t>产品</w:t>
      </w:r>
      <w:r>
        <w:rPr>
          <w:color w:val="auto"/>
          <w:szCs w:val="21"/>
          <w:highlight w:val="none"/>
        </w:rPr>
        <w:t>或服务成果符合国家标准的，鉴定费由甲方承担；</w:t>
      </w:r>
      <w:r>
        <w:rPr>
          <w:rFonts w:hint="eastAsia"/>
          <w:color w:val="auto"/>
          <w:szCs w:val="21"/>
          <w:highlight w:val="none"/>
        </w:rPr>
        <w:t>产品</w:t>
      </w:r>
      <w:r>
        <w:rPr>
          <w:color w:val="auto"/>
          <w:szCs w:val="21"/>
          <w:highlight w:val="none"/>
        </w:rPr>
        <w:t>或服务成果不符合国家标准的，鉴定费由乙方承担。</w:t>
      </w:r>
    </w:p>
    <w:p w14:paraId="236CC11F">
      <w:pPr>
        <w:snapToGrid w:val="0"/>
        <w:spacing w:line="360" w:lineRule="auto"/>
        <w:ind w:firstLine="420" w:firstLineChars="200"/>
        <w:rPr>
          <w:color w:val="auto"/>
          <w:szCs w:val="21"/>
          <w:highlight w:val="none"/>
        </w:rPr>
      </w:pPr>
      <w:r>
        <w:rPr>
          <w:color w:val="auto"/>
          <w:szCs w:val="21"/>
          <w:highlight w:val="none"/>
        </w:rPr>
        <w:t>2</w:t>
      </w:r>
      <w:r>
        <w:rPr>
          <w:rFonts w:hint="eastAsia"/>
          <w:color w:val="auto"/>
          <w:szCs w:val="21"/>
          <w:highlight w:val="none"/>
        </w:rPr>
        <w:t>.</w:t>
      </w:r>
      <w:r>
        <w:rPr>
          <w:color w:val="auto"/>
          <w:szCs w:val="21"/>
          <w:highlight w:val="none"/>
        </w:rPr>
        <w:t>因履行本合同引起的或与本合同有关的争议，甲乙双方应首先通过友好协商解决，如果协商不能解决，可向甲方所在地人民法院提起诉讼。</w:t>
      </w:r>
    </w:p>
    <w:p w14:paraId="7B804517">
      <w:pPr>
        <w:snapToGrid w:val="0"/>
        <w:spacing w:line="360" w:lineRule="auto"/>
        <w:ind w:firstLine="420" w:firstLineChars="200"/>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诉讼期间，本合同继续履行。</w:t>
      </w:r>
    </w:p>
    <w:p w14:paraId="06C9140D">
      <w:pPr>
        <w:pStyle w:val="26"/>
        <w:snapToGrid w:val="0"/>
        <w:spacing w:before="120" w:after="120" w:line="360" w:lineRule="auto"/>
        <w:ind w:firstLine="422" w:firstLineChars="200"/>
        <w:rPr>
          <w:rFonts w:ascii="Times New Roman" w:hAnsi="Times New Roman" w:cs="Times New Roman"/>
          <w:b/>
          <w:color w:val="auto"/>
          <w:highlight w:val="none"/>
        </w:rPr>
      </w:pPr>
      <w:r>
        <w:rPr>
          <w:rFonts w:ascii="Times New Roman" w:hAnsi="Times New Roman" w:cs="Times New Roman"/>
          <w:b/>
          <w:color w:val="auto"/>
          <w:highlight w:val="none"/>
        </w:rPr>
        <w:t>第十</w:t>
      </w:r>
      <w:r>
        <w:rPr>
          <w:rFonts w:hint="eastAsia" w:ascii="Times New Roman" w:hAnsi="Times New Roman" w:cs="Times New Roman"/>
          <w:b/>
          <w:color w:val="auto"/>
          <w:highlight w:val="none"/>
        </w:rPr>
        <w:t>五</w:t>
      </w:r>
      <w:r>
        <w:rPr>
          <w:rFonts w:ascii="Times New Roman" w:hAnsi="Times New Roman" w:cs="Times New Roman"/>
          <w:b/>
          <w:color w:val="auto"/>
          <w:highlight w:val="none"/>
        </w:rPr>
        <w:t>条 合同生效</w:t>
      </w:r>
      <w:r>
        <w:rPr>
          <w:rFonts w:hint="eastAsia" w:ascii="Times New Roman" w:hAnsi="Times New Roman" w:cs="Times New Roman"/>
          <w:b/>
          <w:color w:val="auto"/>
          <w:highlight w:val="none"/>
        </w:rPr>
        <w:t>及其他</w:t>
      </w:r>
    </w:p>
    <w:p w14:paraId="361F33F6">
      <w:pPr>
        <w:snapToGrid w:val="0"/>
        <w:spacing w:line="360" w:lineRule="auto"/>
        <w:ind w:firstLine="420" w:firstLineChars="200"/>
        <w:rPr>
          <w:color w:val="auto"/>
          <w:szCs w:val="21"/>
          <w:highlight w:val="none"/>
          <w:u w:val="single"/>
        </w:rPr>
      </w:pPr>
      <w:r>
        <w:rPr>
          <w:color w:val="auto"/>
          <w:szCs w:val="21"/>
          <w:highlight w:val="none"/>
          <w:u w:val="single"/>
        </w:rPr>
        <w:t>1</w:t>
      </w:r>
      <w:r>
        <w:rPr>
          <w:rFonts w:hint="eastAsia"/>
          <w:color w:val="auto"/>
          <w:szCs w:val="21"/>
          <w:highlight w:val="none"/>
          <w:u w:val="single"/>
        </w:rPr>
        <w:t>.</w:t>
      </w:r>
      <w:r>
        <w:rPr>
          <w:color w:val="auto"/>
          <w:szCs w:val="21"/>
          <w:highlight w:val="none"/>
          <w:u w:val="single"/>
        </w:rPr>
        <w:t>本合同履行期限为：         ；合同履行地点为：                    ；合同履行的方式： 按照本合同约定  。</w:t>
      </w:r>
    </w:p>
    <w:p w14:paraId="5A708ABB">
      <w:pPr>
        <w:snapToGrid w:val="0"/>
        <w:spacing w:line="360" w:lineRule="auto"/>
        <w:ind w:firstLine="420" w:firstLineChars="200"/>
        <w:rPr>
          <w:color w:val="auto"/>
          <w:szCs w:val="21"/>
          <w:highlight w:val="none"/>
        </w:rPr>
      </w:pPr>
      <w:r>
        <w:rPr>
          <w:color w:val="auto"/>
          <w:szCs w:val="21"/>
          <w:highlight w:val="none"/>
        </w:rPr>
        <w:t>2</w:t>
      </w:r>
      <w:r>
        <w:rPr>
          <w:rFonts w:hint="eastAsia"/>
          <w:color w:val="auto"/>
          <w:szCs w:val="21"/>
          <w:highlight w:val="none"/>
        </w:rPr>
        <w:t>.</w:t>
      </w:r>
      <w:r>
        <w:rPr>
          <w:color w:val="auto"/>
          <w:szCs w:val="21"/>
          <w:highlight w:val="none"/>
        </w:rPr>
        <w:t>合同经双方法定代表人或授权代表签字并加盖单位公章后生效。</w:t>
      </w:r>
    </w:p>
    <w:p w14:paraId="1701B97A">
      <w:pPr>
        <w:snapToGrid w:val="0"/>
        <w:spacing w:line="360" w:lineRule="auto"/>
        <w:ind w:firstLine="420" w:firstLineChars="200"/>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合同执行中涉及采购资金和采购内容修改或补充的，须经财政部门</w:t>
      </w:r>
      <w:r>
        <w:rPr>
          <w:rFonts w:hint="eastAsia"/>
          <w:color w:val="auto"/>
          <w:szCs w:val="21"/>
          <w:highlight w:val="none"/>
        </w:rPr>
        <w:t>备案</w:t>
      </w:r>
      <w:r>
        <w:rPr>
          <w:color w:val="auto"/>
          <w:szCs w:val="21"/>
          <w:highlight w:val="none"/>
        </w:rPr>
        <w:t>，</w:t>
      </w:r>
      <w:r>
        <w:rPr>
          <w:rFonts w:hint="eastAsia"/>
          <w:color w:val="auto"/>
          <w:szCs w:val="21"/>
          <w:highlight w:val="none"/>
        </w:rPr>
        <w:t>经</w:t>
      </w:r>
      <w:r>
        <w:rPr>
          <w:color w:val="auto"/>
          <w:szCs w:val="21"/>
          <w:highlight w:val="none"/>
        </w:rPr>
        <w:t>财政部门</w:t>
      </w:r>
      <w:r>
        <w:rPr>
          <w:rFonts w:hint="eastAsia"/>
          <w:color w:val="auto"/>
          <w:szCs w:val="21"/>
          <w:highlight w:val="none"/>
        </w:rPr>
        <w:t>同意后签订</w:t>
      </w:r>
      <w:r>
        <w:rPr>
          <w:color w:val="auto"/>
          <w:szCs w:val="21"/>
          <w:highlight w:val="none"/>
        </w:rPr>
        <w:t>书面补充协议。</w:t>
      </w:r>
    </w:p>
    <w:p w14:paraId="567E0450">
      <w:pPr>
        <w:snapToGrid w:val="0"/>
        <w:spacing w:line="360" w:lineRule="auto"/>
        <w:ind w:firstLine="420" w:firstLineChars="200"/>
        <w:rPr>
          <w:color w:val="auto"/>
          <w:szCs w:val="21"/>
          <w:highlight w:val="none"/>
        </w:rPr>
      </w:pPr>
      <w:r>
        <w:rPr>
          <w:color w:val="auto"/>
          <w:szCs w:val="21"/>
          <w:highlight w:val="none"/>
        </w:rPr>
        <w:t>4</w:t>
      </w:r>
      <w:r>
        <w:rPr>
          <w:rFonts w:hint="eastAsia"/>
          <w:color w:val="auto"/>
          <w:szCs w:val="21"/>
          <w:highlight w:val="none"/>
        </w:rPr>
        <w:t>.如无特别说明，</w:t>
      </w:r>
      <w:r>
        <w:rPr>
          <w:color w:val="auto"/>
          <w:szCs w:val="21"/>
          <w:highlight w:val="none"/>
        </w:rPr>
        <w:t>本合同使用货币币制为人民币</w:t>
      </w:r>
      <w:r>
        <w:rPr>
          <w:rFonts w:hint="eastAsia"/>
          <w:color w:val="auto"/>
          <w:szCs w:val="21"/>
          <w:highlight w:val="none"/>
        </w:rPr>
        <w:t>，使用单位为中国国家法定计量单位。</w:t>
      </w:r>
    </w:p>
    <w:p w14:paraId="622510A7">
      <w:pPr>
        <w:snapToGrid w:val="0"/>
        <w:spacing w:line="360" w:lineRule="auto"/>
        <w:ind w:firstLine="420" w:firstLineChars="200"/>
        <w:rPr>
          <w:color w:val="auto"/>
          <w:szCs w:val="21"/>
          <w:highlight w:val="none"/>
        </w:rPr>
      </w:pPr>
      <w:r>
        <w:rPr>
          <w:rFonts w:hint="eastAsia"/>
          <w:color w:val="auto"/>
          <w:szCs w:val="21"/>
          <w:highlight w:val="none"/>
        </w:rPr>
        <w:t>5.本合同中提及的招标与谈判、磋商、询价、单一来源采购为同一含义，提及的投标与响应为同一含义，提及的中标与成交为同一含义。</w:t>
      </w:r>
    </w:p>
    <w:p w14:paraId="40C97D0B">
      <w:pPr>
        <w:snapToGrid w:val="0"/>
        <w:spacing w:line="360" w:lineRule="auto"/>
        <w:ind w:firstLine="420" w:firstLineChars="200"/>
        <w:rPr>
          <w:color w:val="auto"/>
          <w:szCs w:val="21"/>
          <w:highlight w:val="none"/>
        </w:rPr>
      </w:pPr>
      <w:r>
        <w:rPr>
          <w:rFonts w:hint="eastAsia"/>
          <w:color w:val="auto"/>
          <w:szCs w:val="21"/>
          <w:highlight w:val="none"/>
        </w:rPr>
        <w:t>6.</w:t>
      </w:r>
      <w:r>
        <w:rPr>
          <w:color w:val="auto"/>
          <w:szCs w:val="21"/>
          <w:highlight w:val="none"/>
        </w:rPr>
        <w:t>本合同未尽事宜，遵照《</w:t>
      </w:r>
      <w:r>
        <w:rPr>
          <w:rFonts w:hint="eastAsia"/>
          <w:color w:val="auto"/>
          <w:szCs w:val="21"/>
          <w:highlight w:val="none"/>
        </w:rPr>
        <w:t>民法典</w:t>
      </w:r>
      <w:r>
        <w:rPr>
          <w:color w:val="auto"/>
          <w:szCs w:val="21"/>
          <w:highlight w:val="none"/>
        </w:rPr>
        <w:t>》有关条文执行。</w:t>
      </w:r>
    </w:p>
    <w:p w14:paraId="39049BE6">
      <w:pPr>
        <w:snapToGrid w:val="0"/>
        <w:spacing w:line="360" w:lineRule="auto"/>
        <w:ind w:firstLine="420" w:firstLineChars="200"/>
        <w:rPr>
          <w:color w:val="auto"/>
          <w:szCs w:val="21"/>
          <w:highlight w:val="none"/>
        </w:rPr>
      </w:pPr>
      <w:r>
        <w:rPr>
          <w:rFonts w:hint="eastAsia"/>
          <w:color w:val="auto"/>
          <w:szCs w:val="21"/>
          <w:highlight w:val="none"/>
        </w:rPr>
        <w:t xml:space="preserve">7.本合同（□是  </w:t>
      </w:r>
      <w:r>
        <w:rPr>
          <w:rFonts w:ascii="Wingdings 2" w:hAnsi="Wingdings 2"/>
          <w:color w:val="auto"/>
          <w:szCs w:val="21"/>
          <w:highlight w:val="none"/>
        </w:rPr>
        <w:sym w:font="Wingdings 2" w:char="F052"/>
      </w:r>
      <w:r>
        <w:rPr>
          <w:rFonts w:hint="eastAsia"/>
          <w:color w:val="auto"/>
          <w:szCs w:val="21"/>
          <w:highlight w:val="none"/>
        </w:rPr>
        <w:t>否）为中小企业预留合同</w:t>
      </w:r>
    </w:p>
    <w:p w14:paraId="5CC48A44">
      <w:pPr>
        <w:snapToGrid w:val="0"/>
        <w:spacing w:line="360" w:lineRule="auto"/>
        <w:ind w:firstLine="422" w:firstLineChars="200"/>
        <w:rPr>
          <w:b/>
          <w:color w:val="auto"/>
          <w:szCs w:val="21"/>
          <w:highlight w:val="none"/>
        </w:rPr>
      </w:pPr>
      <w:r>
        <w:rPr>
          <w:b/>
          <w:color w:val="auto"/>
          <w:szCs w:val="21"/>
          <w:highlight w:val="none"/>
        </w:rPr>
        <w:t>第十</w:t>
      </w:r>
      <w:r>
        <w:rPr>
          <w:rFonts w:hint="eastAsia"/>
          <w:b/>
          <w:color w:val="auto"/>
          <w:szCs w:val="21"/>
          <w:highlight w:val="none"/>
        </w:rPr>
        <w:t>六</w:t>
      </w:r>
      <w:r>
        <w:rPr>
          <w:b/>
          <w:color w:val="auto"/>
          <w:szCs w:val="21"/>
          <w:highlight w:val="none"/>
        </w:rPr>
        <w:t>条　合同的变更、终止与转让</w:t>
      </w:r>
    </w:p>
    <w:p w14:paraId="7660D5B4">
      <w:pPr>
        <w:snapToGrid w:val="0"/>
        <w:spacing w:line="360" w:lineRule="auto"/>
        <w:ind w:firstLine="420" w:firstLineChars="200"/>
        <w:rPr>
          <w:color w:val="auto"/>
          <w:szCs w:val="21"/>
          <w:highlight w:val="none"/>
        </w:rPr>
      </w:pPr>
      <w:r>
        <w:rPr>
          <w:color w:val="auto"/>
          <w:szCs w:val="21"/>
          <w:highlight w:val="none"/>
        </w:rPr>
        <w:t>1.除《中华人民共和国政府采购法》第五十条规定的情形外，本合同一经签订，甲乙双方不得擅自变更、中止或终止。</w:t>
      </w:r>
      <w:bookmarkStart w:id="66" w:name="_Hlk155172858"/>
      <w:r>
        <w:rPr>
          <w:rFonts w:hint="eastAsia"/>
          <w:color w:val="auto"/>
          <w:szCs w:val="21"/>
          <w:highlight w:val="none"/>
        </w:rPr>
        <w:t>如依照政府采购法确需变更合同内容的，甲方应当自合同变更之日起2个工作日内在省级以上财政部门指定的媒体上发布合同变更公告。</w:t>
      </w:r>
      <w:bookmarkEnd w:id="66"/>
    </w:p>
    <w:p w14:paraId="4D05722E">
      <w:pPr>
        <w:snapToGrid w:val="0"/>
        <w:spacing w:line="360" w:lineRule="auto"/>
        <w:ind w:firstLine="420" w:firstLineChars="200"/>
        <w:rPr>
          <w:color w:val="auto"/>
          <w:szCs w:val="21"/>
          <w:highlight w:val="none"/>
        </w:rPr>
      </w:pPr>
      <w:r>
        <w:rPr>
          <w:color w:val="auto"/>
          <w:szCs w:val="21"/>
          <w:highlight w:val="none"/>
        </w:rPr>
        <w:t>2.未经甲方书面同意，乙方不得擅自转让其应履行的合同义务。</w:t>
      </w:r>
    </w:p>
    <w:p w14:paraId="4774F2F8">
      <w:pPr>
        <w:snapToGrid w:val="0"/>
        <w:spacing w:line="360" w:lineRule="auto"/>
        <w:ind w:firstLine="422" w:firstLineChars="200"/>
        <w:rPr>
          <w:b/>
          <w:color w:val="auto"/>
          <w:szCs w:val="21"/>
          <w:highlight w:val="none"/>
        </w:rPr>
      </w:pPr>
      <w:r>
        <w:rPr>
          <w:b/>
          <w:color w:val="auto"/>
          <w:szCs w:val="21"/>
          <w:highlight w:val="none"/>
        </w:rPr>
        <w:t>第十</w:t>
      </w:r>
      <w:r>
        <w:rPr>
          <w:rFonts w:hint="eastAsia"/>
          <w:b/>
          <w:color w:val="auto"/>
          <w:szCs w:val="21"/>
          <w:highlight w:val="none"/>
        </w:rPr>
        <w:t>七</w:t>
      </w:r>
      <w:r>
        <w:rPr>
          <w:b/>
          <w:color w:val="auto"/>
          <w:szCs w:val="21"/>
          <w:highlight w:val="none"/>
        </w:rPr>
        <w:t>条　</w:t>
      </w:r>
      <w:r>
        <w:rPr>
          <w:rFonts w:hint="eastAsia"/>
          <w:b/>
          <w:color w:val="auto"/>
          <w:szCs w:val="21"/>
          <w:highlight w:val="none"/>
        </w:rPr>
        <w:t>合同文件的组成</w:t>
      </w:r>
    </w:p>
    <w:p w14:paraId="710BB2C6">
      <w:pPr>
        <w:snapToGrid w:val="0"/>
        <w:spacing w:line="360" w:lineRule="auto"/>
        <w:ind w:firstLine="420" w:firstLineChars="200"/>
        <w:rPr>
          <w:color w:val="auto"/>
          <w:szCs w:val="21"/>
          <w:highlight w:val="none"/>
        </w:rPr>
      </w:pPr>
      <w:r>
        <w:rPr>
          <w:color w:val="auto"/>
          <w:szCs w:val="21"/>
          <w:highlight w:val="none"/>
        </w:rPr>
        <w:t>1.</w:t>
      </w:r>
      <w:r>
        <w:rPr>
          <w:rFonts w:hint="eastAsia" w:hAnsi="宋体" w:cs="宋体"/>
          <w:color w:val="auto"/>
          <w:kern w:val="0"/>
          <w:highlight w:val="none"/>
        </w:rPr>
        <w:t>政府采购合同；</w:t>
      </w:r>
    </w:p>
    <w:p w14:paraId="10960CCA">
      <w:pPr>
        <w:snapToGrid w:val="0"/>
        <w:spacing w:line="360" w:lineRule="auto"/>
        <w:ind w:firstLine="420" w:firstLineChars="200"/>
        <w:rPr>
          <w:color w:val="auto"/>
          <w:szCs w:val="21"/>
          <w:highlight w:val="none"/>
        </w:rPr>
      </w:pPr>
      <w:r>
        <w:rPr>
          <w:rFonts w:hint="eastAsia"/>
          <w:color w:val="auto"/>
          <w:szCs w:val="21"/>
          <w:highlight w:val="none"/>
        </w:rPr>
        <w:t>2</w:t>
      </w:r>
      <w:r>
        <w:rPr>
          <w:color w:val="auto"/>
          <w:szCs w:val="21"/>
          <w:highlight w:val="none"/>
        </w:rPr>
        <w:t>.中标通知书</w:t>
      </w:r>
      <w:r>
        <w:rPr>
          <w:rFonts w:hint="eastAsia"/>
          <w:color w:val="auto"/>
          <w:szCs w:val="21"/>
          <w:highlight w:val="none"/>
        </w:rPr>
        <w:t>（如有）</w:t>
      </w:r>
      <w:r>
        <w:rPr>
          <w:color w:val="auto"/>
          <w:szCs w:val="21"/>
          <w:highlight w:val="none"/>
        </w:rPr>
        <w:t>；</w:t>
      </w:r>
    </w:p>
    <w:p w14:paraId="03FEF9E9">
      <w:pPr>
        <w:snapToGrid w:val="0"/>
        <w:spacing w:line="360" w:lineRule="auto"/>
        <w:ind w:firstLine="420" w:firstLineChars="200"/>
        <w:rPr>
          <w:color w:val="auto"/>
          <w:szCs w:val="21"/>
          <w:highlight w:val="none"/>
        </w:rPr>
      </w:pPr>
      <w:r>
        <w:rPr>
          <w:rFonts w:hint="eastAsia"/>
          <w:color w:val="auto"/>
          <w:szCs w:val="21"/>
          <w:highlight w:val="none"/>
        </w:rPr>
        <w:t>3</w:t>
      </w:r>
      <w:r>
        <w:rPr>
          <w:color w:val="auto"/>
          <w:szCs w:val="21"/>
          <w:highlight w:val="none"/>
        </w:rPr>
        <w:t>.乙方的投标文件；</w:t>
      </w:r>
    </w:p>
    <w:p w14:paraId="35DF7934">
      <w:pPr>
        <w:snapToGrid w:val="0"/>
        <w:spacing w:line="360" w:lineRule="auto"/>
        <w:ind w:firstLine="420" w:firstLineChars="200"/>
        <w:rPr>
          <w:color w:val="auto"/>
          <w:szCs w:val="21"/>
          <w:highlight w:val="none"/>
        </w:rPr>
      </w:pPr>
      <w:r>
        <w:rPr>
          <w:rFonts w:hint="eastAsia"/>
          <w:color w:val="auto"/>
          <w:szCs w:val="21"/>
          <w:highlight w:val="none"/>
        </w:rPr>
        <w:t>4</w:t>
      </w:r>
      <w:r>
        <w:rPr>
          <w:color w:val="auto"/>
          <w:szCs w:val="21"/>
          <w:highlight w:val="none"/>
        </w:rPr>
        <w:t>.</w:t>
      </w:r>
      <w:r>
        <w:rPr>
          <w:rFonts w:hint="eastAsia"/>
          <w:color w:val="auto"/>
          <w:szCs w:val="21"/>
          <w:highlight w:val="none"/>
        </w:rPr>
        <w:t>采购文件</w:t>
      </w:r>
      <w:r>
        <w:rPr>
          <w:color w:val="auto"/>
          <w:szCs w:val="21"/>
          <w:highlight w:val="none"/>
        </w:rPr>
        <w:t>；</w:t>
      </w:r>
    </w:p>
    <w:p w14:paraId="32AB6027">
      <w:pPr>
        <w:snapToGrid w:val="0"/>
        <w:spacing w:line="360" w:lineRule="auto"/>
        <w:ind w:firstLine="420" w:firstLineChars="200"/>
        <w:rPr>
          <w:color w:val="auto"/>
          <w:szCs w:val="21"/>
          <w:highlight w:val="none"/>
          <w:u w:val="single"/>
        </w:rPr>
      </w:pPr>
      <w:r>
        <w:rPr>
          <w:rFonts w:hint="eastAsia"/>
          <w:color w:val="auto"/>
          <w:highlight w:val="none"/>
        </w:rPr>
        <w:t>5.其他合同文件。</w:t>
      </w:r>
    </w:p>
    <w:p w14:paraId="6D840B50">
      <w:pPr>
        <w:snapToGrid w:val="0"/>
        <w:spacing w:line="360" w:lineRule="auto"/>
        <w:ind w:firstLine="422" w:firstLineChars="200"/>
        <w:rPr>
          <w:color w:val="auto"/>
          <w:szCs w:val="21"/>
          <w:highlight w:val="none"/>
        </w:rPr>
      </w:pPr>
      <w:r>
        <w:rPr>
          <w:b/>
          <w:color w:val="auto"/>
          <w:szCs w:val="21"/>
          <w:highlight w:val="none"/>
        </w:rPr>
        <w:t>第十</w:t>
      </w:r>
      <w:r>
        <w:rPr>
          <w:rFonts w:hint="eastAsia"/>
          <w:b/>
          <w:color w:val="auto"/>
          <w:szCs w:val="21"/>
          <w:highlight w:val="none"/>
        </w:rPr>
        <w:t>八</w:t>
      </w:r>
      <w:r>
        <w:rPr>
          <w:b/>
          <w:color w:val="auto"/>
          <w:szCs w:val="21"/>
          <w:highlight w:val="none"/>
        </w:rPr>
        <w:t>条　</w:t>
      </w:r>
      <w:r>
        <w:rPr>
          <w:color w:val="auto"/>
          <w:szCs w:val="21"/>
          <w:highlight w:val="none"/>
        </w:rPr>
        <w:t>本合同一式五份，具有同等法律效力。甲</w:t>
      </w:r>
      <w:r>
        <w:rPr>
          <w:rFonts w:hint="eastAsia"/>
          <w:color w:val="auto"/>
          <w:szCs w:val="21"/>
          <w:highlight w:val="none"/>
        </w:rPr>
        <w:t>、乙双方各执</w:t>
      </w:r>
      <w:r>
        <w:rPr>
          <w:color w:val="auto"/>
          <w:szCs w:val="21"/>
          <w:highlight w:val="none"/>
        </w:rPr>
        <w:t>两份，</w:t>
      </w:r>
      <w:r>
        <w:rPr>
          <w:color w:val="auto"/>
          <w:spacing w:val="4"/>
          <w:szCs w:val="21"/>
          <w:highlight w:val="none"/>
        </w:rPr>
        <w:t>采购代理机构</w:t>
      </w:r>
      <w:r>
        <w:rPr>
          <w:color w:val="auto"/>
          <w:szCs w:val="21"/>
          <w:highlight w:val="none"/>
        </w:rPr>
        <w:t>各一份。</w:t>
      </w:r>
    </w:p>
    <w:p w14:paraId="04331034">
      <w:pPr>
        <w:snapToGrid w:val="0"/>
        <w:spacing w:line="360" w:lineRule="auto"/>
        <w:ind w:firstLine="420" w:firstLineChars="200"/>
        <w:rPr>
          <w:color w:val="auto"/>
          <w:szCs w:val="21"/>
          <w:highlight w:val="none"/>
        </w:rPr>
      </w:pPr>
      <w:r>
        <w:rPr>
          <w:color w:val="auto"/>
          <w:szCs w:val="21"/>
          <w:highlight w:val="none"/>
        </w:rPr>
        <w:t>本合同经甲乙双方法定代表人或被授权代表签字并加盖单位公章后生效。</w:t>
      </w:r>
    </w:p>
    <w:p w14:paraId="47AC82DF">
      <w:pPr>
        <w:rPr>
          <w:color w:val="auto"/>
          <w:szCs w:val="21"/>
          <w:highlight w:val="none"/>
        </w:rPr>
      </w:pPr>
      <w:r>
        <w:rPr>
          <w:color w:val="auto"/>
          <w:szCs w:val="21"/>
          <w:highlight w:val="none"/>
        </w:rPr>
        <w:br w:type="page"/>
      </w:r>
    </w:p>
    <w:p w14:paraId="733E5767">
      <w:pPr>
        <w:snapToGrid w:val="0"/>
        <w:spacing w:line="360" w:lineRule="auto"/>
        <w:ind w:firstLine="420" w:firstLineChars="200"/>
        <w:rPr>
          <w:color w:val="auto"/>
          <w:szCs w:val="21"/>
          <w:highlight w:val="none"/>
        </w:rPr>
      </w:pP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7"/>
        <w:gridCol w:w="4688"/>
      </w:tblGrid>
      <w:tr w14:paraId="7B6E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7" w:hRule="atLeast"/>
        </w:trPr>
        <w:tc>
          <w:tcPr>
            <w:tcW w:w="4437" w:type="dxa"/>
            <w:vAlign w:val="center"/>
          </w:tcPr>
          <w:p w14:paraId="1A31D24F">
            <w:pPr>
              <w:snapToGrid w:val="0"/>
              <w:spacing w:line="360" w:lineRule="exact"/>
              <w:rPr>
                <w:color w:val="auto"/>
                <w:szCs w:val="21"/>
                <w:highlight w:val="none"/>
              </w:rPr>
            </w:pPr>
            <w:r>
              <w:rPr>
                <w:color w:val="auto"/>
                <w:szCs w:val="21"/>
                <w:highlight w:val="none"/>
              </w:rPr>
              <w:t xml:space="preserve">甲方（章）           </w:t>
            </w:r>
          </w:p>
          <w:p w14:paraId="13598CAF">
            <w:pPr>
              <w:snapToGrid w:val="0"/>
              <w:spacing w:line="360" w:lineRule="exact"/>
              <w:ind w:firstLine="945" w:firstLineChars="450"/>
              <w:jc w:val="right"/>
              <w:rPr>
                <w:color w:val="auto"/>
                <w:szCs w:val="21"/>
                <w:highlight w:val="none"/>
              </w:rPr>
            </w:pPr>
          </w:p>
        </w:tc>
        <w:tc>
          <w:tcPr>
            <w:tcW w:w="4688" w:type="dxa"/>
            <w:vAlign w:val="center"/>
          </w:tcPr>
          <w:p w14:paraId="724512E5">
            <w:pPr>
              <w:snapToGrid w:val="0"/>
              <w:spacing w:line="360" w:lineRule="exact"/>
              <w:rPr>
                <w:color w:val="auto"/>
                <w:szCs w:val="21"/>
                <w:highlight w:val="none"/>
              </w:rPr>
            </w:pPr>
            <w:r>
              <w:rPr>
                <w:color w:val="auto"/>
                <w:szCs w:val="21"/>
                <w:highlight w:val="none"/>
              </w:rPr>
              <w:t xml:space="preserve">乙方（章）              </w:t>
            </w:r>
          </w:p>
          <w:p w14:paraId="2BB88EC4">
            <w:pPr>
              <w:snapToGrid w:val="0"/>
              <w:spacing w:line="360" w:lineRule="exact"/>
              <w:jc w:val="right"/>
              <w:rPr>
                <w:color w:val="auto"/>
                <w:szCs w:val="21"/>
                <w:highlight w:val="none"/>
              </w:rPr>
            </w:pPr>
          </w:p>
        </w:tc>
      </w:tr>
      <w:tr w14:paraId="63AF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trPr>
        <w:tc>
          <w:tcPr>
            <w:tcW w:w="4437" w:type="dxa"/>
            <w:vAlign w:val="center"/>
          </w:tcPr>
          <w:p w14:paraId="4E98AE2B">
            <w:pPr>
              <w:snapToGrid w:val="0"/>
              <w:spacing w:line="360" w:lineRule="exact"/>
              <w:rPr>
                <w:color w:val="auto"/>
                <w:szCs w:val="21"/>
                <w:highlight w:val="none"/>
              </w:rPr>
            </w:pPr>
            <w:r>
              <w:rPr>
                <w:color w:val="auto"/>
                <w:szCs w:val="21"/>
                <w:highlight w:val="none"/>
              </w:rPr>
              <w:t>单位地址：</w:t>
            </w:r>
          </w:p>
        </w:tc>
        <w:tc>
          <w:tcPr>
            <w:tcW w:w="4688" w:type="dxa"/>
            <w:vAlign w:val="center"/>
          </w:tcPr>
          <w:p w14:paraId="69E371B4">
            <w:pPr>
              <w:snapToGrid w:val="0"/>
              <w:spacing w:line="360" w:lineRule="exact"/>
              <w:rPr>
                <w:color w:val="auto"/>
                <w:szCs w:val="21"/>
                <w:highlight w:val="none"/>
              </w:rPr>
            </w:pPr>
            <w:r>
              <w:rPr>
                <w:color w:val="auto"/>
                <w:szCs w:val="21"/>
                <w:highlight w:val="none"/>
              </w:rPr>
              <w:t>单位地址：</w:t>
            </w:r>
          </w:p>
        </w:tc>
      </w:tr>
      <w:tr w14:paraId="6FBA4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trPr>
        <w:tc>
          <w:tcPr>
            <w:tcW w:w="4437" w:type="dxa"/>
            <w:vAlign w:val="center"/>
          </w:tcPr>
          <w:p w14:paraId="6D0DBEE6">
            <w:pPr>
              <w:snapToGrid w:val="0"/>
              <w:spacing w:line="360" w:lineRule="exact"/>
              <w:rPr>
                <w:color w:val="auto"/>
                <w:szCs w:val="21"/>
                <w:highlight w:val="none"/>
              </w:rPr>
            </w:pPr>
            <w:r>
              <w:rPr>
                <w:color w:val="auto"/>
                <w:szCs w:val="21"/>
                <w:highlight w:val="none"/>
              </w:rPr>
              <w:t>法定代表人：</w:t>
            </w:r>
          </w:p>
        </w:tc>
        <w:tc>
          <w:tcPr>
            <w:tcW w:w="4688" w:type="dxa"/>
            <w:vAlign w:val="center"/>
          </w:tcPr>
          <w:p w14:paraId="1FCE3B67">
            <w:pPr>
              <w:snapToGrid w:val="0"/>
              <w:spacing w:line="360" w:lineRule="exact"/>
              <w:rPr>
                <w:color w:val="auto"/>
                <w:szCs w:val="21"/>
                <w:highlight w:val="none"/>
              </w:rPr>
            </w:pPr>
            <w:r>
              <w:rPr>
                <w:color w:val="auto"/>
                <w:szCs w:val="21"/>
                <w:highlight w:val="none"/>
              </w:rPr>
              <w:t>法定代表人：</w:t>
            </w:r>
          </w:p>
        </w:tc>
      </w:tr>
      <w:tr w14:paraId="361A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trPr>
        <w:tc>
          <w:tcPr>
            <w:tcW w:w="4437" w:type="dxa"/>
            <w:vAlign w:val="center"/>
          </w:tcPr>
          <w:p w14:paraId="3C41CB33">
            <w:pPr>
              <w:snapToGrid w:val="0"/>
              <w:spacing w:line="360" w:lineRule="exact"/>
              <w:rPr>
                <w:color w:val="auto"/>
                <w:szCs w:val="21"/>
                <w:highlight w:val="none"/>
              </w:rPr>
            </w:pPr>
            <w:r>
              <w:rPr>
                <w:color w:val="auto"/>
                <w:szCs w:val="21"/>
                <w:highlight w:val="none"/>
              </w:rPr>
              <w:t>委托代理人：</w:t>
            </w:r>
          </w:p>
        </w:tc>
        <w:tc>
          <w:tcPr>
            <w:tcW w:w="4688" w:type="dxa"/>
            <w:vAlign w:val="center"/>
          </w:tcPr>
          <w:p w14:paraId="58CD1553">
            <w:pPr>
              <w:snapToGrid w:val="0"/>
              <w:spacing w:line="360" w:lineRule="exact"/>
              <w:rPr>
                <w:color w:val="auto"/>
                <w:szCs w:val="21"/>
                <w:highlight w:val="none"/>
              </w:rPr>
            </w:pPr>
            <w:r>
              <w:rPr>
                <w:color w:val="auto"/>
                <w:szCs w:val="21"/>
                <w:highlight w:val="none"/>
              </w:rPr>
              <w:t>委托代理人</w:t>
            </w:r>
          </w:p>
        </w:tc>
      </w:tr>
      <w:tr w14:paraId="0471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trPr>
        <w:tc>
          <w:tcPr>
            <w:tcW w:w="4437" w:type="dxa"/>
            <w:vAlign w:val="center"/>
          </w:tcPr>
          <w:p w14:paraId="456E7D3A">
            <w:pPr>
              <w:snapToGrid w:val="0"/>
              <w:spacing w:line="360" w:lineRule="exact"/>
              <w:rPr>
                <w:color w:val="auto"/>
                <w:szCs w:val="21"/>
                <w:highlight w:val="none"/>
              </w:rPr>
            </w:pPr>
            <w:r>
              <w:rPr>
                <w:color w:val="auto"/>
                <w:szCs w:val="21"/>
                <w:highlight w:val="none"/>
              </w:rPr>
              <w:t>电话：</w:t>
            </w:r>
          </w:p>
        </w:tc>
        <w:tc>
          <w:tcPr>
            <w:tcW w:w="4688" w:type="dxa"/>
            <w:vAlign w:val="center"/>
          </w:tcPr>
          <w:p w14:paraId="4E78022C">
            <w:pPr>
              <w:snapToGrid w:val="0"/>
              <w:spacing w:line="360" w:lineRule="exact"/>
              <w:rPr>
                <w:color w:val="auto"/>
                <w:szCs w:val="21"/>
                <w:highlight w:val="none"/>
              </w:rPr>
            </w:pPr>
            <w:r>
              <w:rPr>
                <w:color w:val="auto"/>
                <w:szCs w:val="21"/>
                <w:highlight w:val="none"/>
              </w:rPr>
              <w:t>电话：</w:t>
            </w:r>
          </w:p>
        </w:tc>
      </w:tr>
      <w:tr w14:paraId="1E575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trPr>
        <w:tc>
          <w:tcPr>
            <w:tcW w:w="4437" w:type="dxa"/>
            <w:vAlign w:val="center"/>
          </w:tcPr>
          <w:p w14:paraId="3FF8457A">
            <w:pPr>
              <w:snapToGrid w:val="0"/>
              <w:spacing w:line="360" w:lineRule="exact"/>
              <w:rPr>
                <w:color w:val="auto"/>
                <w:szCs w:val="21"/>
                <w:highlight w:val="none"/>
              </w:rPr>
            </w:pPr>
            <w:r>
              <w:rPr>
                <w:color w:val="auto"/>
                <w:szCs w:val="21"/>
                <w:highlight w:val="none"/>
              </w:rPr>
              <w:t>开户银行：</w:t>
            </w:r>
          </w:p>
        </w:tc>
        <w:tc>
          <w:tcPr>
            <w:tcW w:w="4688" w:type="dxa"/>
            <w:vAlign w:val="center"/>
          </w:tcPr>
          <w:p w14:paraId="540321CF">
            <w:pPr>
              <w:snapToGrid w:val="0"/>
              <w:spacing w:line="360" w:lineRule="exact"/>
              <w:rPr>
                <w:color w:val="auto"/>
                <w:szCs w:val="21"/>
                <w:highlight w:val="none"/>
              </w:rPr>
            </w:pPr>
            <w:r>
              <w:rPr>
                <w:color w:val="auto"/>
                <w:szCs w:val="21"/>
                <w:highlight w:val="none"/>
              </w:rPr>
              <w:t>开户银行：</w:t>
            </w:r>
          </w:p>
        </w:tc>
      </w:tr>
      <w:tr w14:paraId="3277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trPr>
        <w:tc>
          <w:tcPr>
            <w:tcW w:w="4437" w:type="dxa"/>
            <w:vAlign w:val="center"/>
          </w:tcPr>
          <w:p w14:paraId="15EA9279">
            <w:pPr>
              <w:snapToGrid w:val="0"/>
              <w:spacing w:line="360" w:lineRule="exact"/>
              <w:rPr>
                <w:color w:val="auto"/>
                <w:szCs w:val="21"/>
                <w:highlight w:val="none"/>
              </w:rPr>
            </w:pPr>
            <w:r>
              <w:rPr>
                <w:color w:val="auto"/>
                <w:szCs w:val="21"/>
                <w:highlight w:val="none"/>
              </w:rPr>
              <w:t>账号：</w:t>
            </w:r>
          </w:p>
        </w:tc>
        <w:tc>
          <w:tcPr>
            <w:tcW w:w="4688" w:type="dxa"/>
            <w:vAlign w:val="center"/>
          </w:tcPr>
          <w:p w14:paraId="3E6BEFA4">
            <w:pPr>
              <w:snapToGrid w:val="0"/>
              <w:spacing w:line="360" w:lineRule="exact"/>
              <w:rPr>
                <w:color w:val="auto"/>
                <w:szCs w:val="21"/>
                <w:highlight w:val="none"/>
              </w:rPr>
            </w:pPr>
            <w:r>
              <w:rPr>
                <w:color w:val="auto"/>
                <w:szCs w:val="21"/>
                <w:highlight w:val="none"/>
              </w:rPr>
              <w:t>账号：</w:t>
            </w:r>
          </w:p>
        </w:tc>
      </w:tr>
    </w:tbl>
    <w:p w14:paraId="6307D530">
      <w:pPr>
        <w:spacing w:before="120" w:line="320" w:lineRule="atLeast"/>
        <w:jc w:val="left"/>
        <w:rPr>
          <w:color w:val="auto"/>
          <w:highlight w:val="none"/>
        </w:rPr>
      </w:pPr>
      <w:r>
        <w:rPr>
          <w:color w:val="auto"/>
          <w:szCs w:val="21"/>
          <w:highlight w:val="none"/>
        </w:rPr>
        <w:br w:type="page"/>
      </w:r>
      <w:bookmarkEnd w:id="57"/>
      <w:bookmarkEnd w:id="58"/>
    </w:p>
    <w:bookmarkEnd w:id="59"/>
    <w:p w14:paraId="11D23D0F">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67" w:name="_Toc29819"/>
      <w:r>
        <w:rPr>
          <w:rFonts w:ascii="Times New Roman" w:hAnsi="Times New Roman" w:cs="Times New Roman"/>
          <w:color w:val="auto"/>
          <w:sz w:val="32"/>
          <w:szCs w:val="32"/>
          <w:highlight w:val="none"/>
        </w:rPr>
        <w:t>第六章  投标文件格式</w:t>
      </w:r>
      <w:bookmarkEnd w:id="67"/>
    </w:p>
    <w:p w14:paraId="489A2905">
      <w:pPr>
        <w:rPr>
          <w:color w:val="auto"/>
          <w:sz w:val="28"/>
          <w:szCs w:val="28"/>
          <w:highlight w:val="none"/>
        </w:rPr>
      </w:pPr>
    </w:p>
    <w:p w14:paraId="5F2E6D2B">
      <w:pPr>
        <w:rPr>
          <w:color w:val="auto"/>
          <w:sz w:val="28"/>
          <w:szCs w:val="28"/>
          <w:highlight w:val="none"/>
        </w:rPr>
      </w:pPr>
    </w:p>
    <w:p w14:paraId="5560568E">
      <w:pPr>
        <w:rPr>
          <w:color w:val="auto"/>
          <w:sz w:val="28"/>
          <w:szCs w:val="28"/>
          <w:highlight w:val="none"/>
        </w:rPr>
      </w:pPr>
    </w:p>
    <w:p w14:paraId="6F4206C8">
      <w:pPr>
        <w:rPr>
          <w:color w:val="auto"/>
          <w:sz w:val="28"/>
          <w:szCs w:val="28"/>
          <w:highlight w:val="none"/>
        </w:rPr>
      </w:pPr>
    </w:p>
    <w:p w14:paraId="4CB25C24">
      <w:pPr>
        <w:spacing w:line="500" w:lineRule="exact"/>
        <w:ind w:firstLine="560" w:firstLineChars="200"/>
        <w:rPr>
          <w:color w:val="auto"/>
          <w:sz w:val="28"/>
          <w:szCs w:val="28"/>
          <w:highlight w:val="none"/>
        </w:rPr>
      </w:pPr>
      <w:r>
        <w:rPr>
          <w:rFonts w:hint="eastAsia"/>
          <w:color w:val="auto"/>
          <w:sz w:val="28"/>
          <w:szCs w:val="28"/>
          <w:highlight w:val="none"/>
        </w:rPr>
        <w:t>注：有签字、盖章要求的应按要求</w:t>
      </w:r>
      <w:bookmarkStart w:id="68" w:name="_Hlk89032274"/>
      <w:r>
        <w:rPr>
          <w:rFonts w:hint="eastAsia"/>
          <w:color w:val="auto"/>
          <w:sz w:val="28"/>
          <w:szCs w:val="28"/>
          <w:highlight w:val="none"/>
        </w:rPr>
        <w:t>签字（签章）、盖章（签章）</w:t>
      </w:r>
      <w:bookmarkEnd w:id="68"/>
      <w:r>
        <w:rPr>
          <w:rFonts w:hint="eastAsia"/>
          <w:color w:val="auto"/>
          <w:sz w:val="28"/>
          <w:szCs w:val="28"/>
          <w:highlight w:val="none"/>
        </w:rPr>
        <w:t>。</w:t>
      </w:r>
    </w:p>
    <w:p w14:paraId="41A9D23A">
      <w:pPr>
        <w:snapToGrid w:val="0"/>
        <w:spacing w:before="120" w:beforeLines="50" w:after="50" w:line="440" w:lineRule="exact"/>
        <w:jc w:val="left"/>
        <w:outlineLvl w:val="1"/>
        <w:rPr>
          <w:bCs/>
          <w:color w:val="auto"/>
          <w:sz w:val="24"/>
          <w:highlight w:val="none"/>
        </w:rPr>
      </w:pPr>
      <w:r>
        <w:rPr>
          <w:color w:val="auto"/>
          <w:highlight w:val="none"/>
        </w:rPr>
        <w:br w:type="page"/>
      </w:r>
      <w:bookmarkStart w:id="69" w:name="_Toc254970557"/>
      <w:bookmarkStart w:id="70" w:name="_Toc254970698"/>
      <w:r>
        <w:rPr>
          <w:rFonts w:hint="eastAsia"/>
          <w:bCs/>
          <w:color w:val="auto"/>
          <w:sz w:val="24"/>
          <w:highlight w:val="none"/>
        </w:rPr>
        <w:t>1</w:t>
      </w:r>
      <w:r>
        <w:rPr>
          <w:bCs/>
          <w:color w:val="auto"/>
          <w:sz w:val="24"/>
          <w:highlight w:val="none"/>
        </w:rPr>
        <w:t>．投标文件封面参考格式</w:t>
      </w:r>
      <w:r>
        <w:rPr>
          <w:rFonts w:hint="eastAsia"/>
          <w:bCs/>
          <w:color w:val="auto"/>
          <w:sz w:val="24"/>
          <w:highlight w:val="none"/>
        </w:rPr>
        <w:t>（资格证明文件）</w:t>
      </w:r>
      <w:r>
        <w:rPr>
          <w:bCs/>
          <w:color w:val="auto"/>
          <w:sz w:val="24"/>
          <w:highlight w:val="none"/>
        </w:rPr>
        <w:t xml:space="preserve">： </w:t>
      </w:r>
    </w:p>
    <w:p w14:paraId="4B6E37AA">
      <w:pPr>
        <w:snapToGrid w:val="0"/>
        <w:spacing w:before="120" w:beforeLines="50" w:after="50" w:line="360" w:lineRule="exact"/>
        <w:rPr>
          <w:color w:val="auto"/>
          <w:sz w:val="24"/>
          <w:highlight w:val="none"/>
        </w:rPr>
      </w:pPr>
    </w:p>
    <w:p w14:paraId="4A59D910">
      <w:pPr>
        <w:snapToGrid w:val="0"/>
        <w:spacing w:before="120" w:beforeLines="50" w:after="50" w:line="360" w:lineRule="exact"/>
        <w:jc w:val="center"/>
        <w:rPr>
          <w:bCs/>
          <w:color w:val="auto"/>
          <w:sz w:val="24"/>
          <w:highlight w:val="none"/>
        </w:rPr>
      </w:pPr>
    </w:p>
    <w:p w14:paraId="623F807F">
      <w:pPr>
        <w:snapToGrid w:val="0"/>
        <w:spacing w:before="120" w:beforeLines="50" w:after="50" w:line="360" w:lineRule="exact"/>
        <w:jc w:val="center"/>
        <w:rPr>
          <w:b/>
          <w:bCs/>
          <w:color w:val="auto"/>
          <w:sz w:val="44"/>
          <w:szCs w:val="44"/>
          <w:highlight w:val="none"/>
        </w:rPr>
      </w:pPr>
      <w:r>
        <w:rPr>
          <w:rFonts w:hint="eastAsia"/>
          <w:b/>
          <w:bCs/>
          <w:color w:val="auto"/>
          <w:sz w:val="44"/>
          <w:szCs w:val="44"/>
          <w:highlight w:val="none"/>
        </w:rPr>
        <w:t>电子</w:t>
      </w:r>
      <w:r>
        <w:rPr>
          <w:b/>
          <w:bCs/>
          <w:color w:val="auto"/>
          <w:sz w:val="44"/>
          <w:szCs w:val="44"/>
          <w:highlight w:val="none"/>
        </w:rPr>
        <w:t>投标文件</w:t>
      </w:r>
    </w:p>
    <w:p w14:paraId="47FEAA39">
      <w:pPr>
        <w:snapToGrid w:val="0"/>
        <w:spacing w:before="120" w:beforeLines="50" w:after="50" w:line="360" w:lineRule="exact"/>
        <w:jc w:val="center"/>
        <w:rPr>
          <w:b/>
          <w:bCs/>
          <w:color w:val="auto"/>
          <w:sz w:val="44"/>
          <w:szCs w:val="44"/>
          <w:highlight w:val="none"/>
        </w:rPr>
      </w:pPr>
    </w:p>
    <w:p w14:paraId="0D31B8E6">
      <w:pPr>
        <w:snapToGrid w:val="0"/>
        <w:spacing w:before="120" w:beforeLines="50" w:after="50" w:line="360" w:lineRule="exact"/>
        <w:jc w:val="center"/>
        <w:rPr>
          <w:b/>
          <w:bCs/>
          <w:color w:val="auto"/>
          <w:sz w:val="44"/>
          <w:szCs w:val="44"/>
          <w:highlight w:val="none"/>
        </w:rPr>
      </w:pPr>
    </w:p>
    <w:p w14:paraId="0275543C">
      <w:pPr>
        <w:snapToGrid w:val="0"/>
        <w:spacing w:before="120" w:beforeLines="50" w:after="50" w:line="360" w:lineRule="exact"/>
        <w:jc w:val="center"/>
        <w:rPr>
          <w:b/>
          <w:bCs/>
          <w:color w:val="auto"/>
          <w:sz w:val="44"/>
          <w:szCs w:val="44"/>
          <w:highlight w:val="none"/>
        </w:rPr>
      </w:pPr>
      <w:r>
        <w:rPr>
          <w:b/>
          <w:bCs/>
          <w:color w:val="auto"/>
          <w:sz w:val="44"/>
          <w:szCs w:val="44"/>
          <w:highlight w:val="none"/>
        </w:rPr>
        <w:t>资格</w:t>
      </w:r>
      <w:r>
        <w:rPr>
          <w:rFonts w:hint="eastAsia"/>
          <w:b/>
          <w:bCs/>
          <w:color w:val="auto"/>
          <w:sz w:val="44"/>
          <w:szCs w:val="44"/>
          <w:highlight w:val="none"/>
        </w:rPr>
        <w:t>证明</w:t>
      </w:r>
      <w:r>
        <w:rPr>
          <w:b/>
          <w:bCs/>
          <w:color w:val="auto"/>
          <w:sz w:val="44"/>
          <w:szCs w:val="44"/>
          <w:highlight w:val="none"/>
        </w:rPr>
        <w:t>文件</w:t>
      </w:r>
    </w:p>
    <w:p w14:paraId="2E359D2C">
      <w:pPr>
        <w:snapToGrid w:val="0"/>
        <w:spacing w:before="120" w:beforeLines="50" w:after="50" w:line="360" w:lineRule="exact"/>
        <w:rPr>
          <w:bCs/>
          <w:color w:val="auto"/>
          <w:sz w:val="24"/>
          <w:highlight w:val="none"/>
        </w:rPr>
      </w:pPr>
    </w:p>
    <w:p w14:paraId="412CAA04">
      <w:pPr>
        <w:snapToGrid w:val="0"/>
        <w:spacing w:before="120" w:beforeLines="50" w:after="50" w:line="360" w:lineRule="exact"/>
        <w:rPr>
          <w:bCs/>
          <w:color w:val="auto"/>
          <w:sz w:val="24"/>
          <w:highlight w:val="none"/>
        </w:rPr>
      </w:pPr>
    </w:p>
    <w:p w14:paraId="13A4C586">
      <w:pPr>
        <w:snapToGrid w:val="0"/>
        <w:spacing w:before="120" w:beforeLines="50" w:after="50" w:line="360" w:lineRule="exact"/>
        <w:rPr>
          <w:bCs/>
          <w:color w:val="auto"/>
          <w:sz w:val="24"/>
          <w:highlight w:val="none"/>
        </w:rPr>
      </w:pPr>
    </w:p>
    <w:p w14:paraId="4F790347">
      <w:pPr>
        <w:snapToGrid w:val="0"/>
        <w:spacing w:before="120" w:beforeLines="50" w:after="50" w:line="360" w:lineRule="exact"/>
        <w:ind w:firstLine="720" w:firstLineChars="300"/>
        <w:rPr>
          <w:bCs/>
          <w:color w:val="auto"/>
          <w:sz w:val="24"/>
          <w:highlight w:val="none"/>
        </w:rPr>
      </w:pPr>
      <w:r>
        <w:rPr>
          <w:bCs/>
          <w:color w:val="auto"/>
          <w:sz w:val="24"/>
          <w:highlight w:val="none"/>
        </w:rPr>
        <w:t xml:space="preserve">项目名称： </w:t>
      </w:r>
    </w:p>
    <w:p w14:paraId="1D9A4E3E">
      <w:pPr>
        <w:snapToGrid w:val="0"/>
        <w:spacing w:before="120" w:beforeLines="50" w:after="50" w:line="360" w:lineRule="exact"/>
        <w:ind w:firstLine="720" w:firstLineChars="300"/>
        <w:rPr>
          <w:bCs/>
          <w:color w:val="auto"/>
          <w:sz w:val="24"/>
          <w:highlight w:val="none"/>
        </w:rPr>
      </w:pPr>
      <w:r>
        <w:rPr>
          <w:bCs/>
          <w:color w:val="auto"/>
          <w:sz w:val="24"/>
          <w:highlight w:val="none"/>
        </w:rPr>
        <w:t>项目编号：</w:t>
      </w:r>
    </w:p>
    <w:p w14:paraId="51339DE2">
      <w:pPr>
        <w:snapToGrid w:val="0"/>
        <w:spacing w:before="120" w:beforeLines="50" w:after="50" w:line="360" w:lineRule="exact"/>
        <w:ind w:firstLine="720" w:firstLineChars="300"/>
        <w:rPr>
          <w:bCs/>
          <w:color w:val="auto"/>
          <w:sz w:val="24"/>
          <w:highlight w:val="none"/>
        </w:rPr>
      </w:pPr>
      <w:r>
        <w:rPr>
          <w:bCs/>
          <w:color w:val="auto"/>
          <w:sz w:val="24"/>
          <w:highlight w:val="none"/>
        </w:rPr>
        <w:t>分标号：（若无</w:t>
      </w:r>
      <w:r>
        <w:rPr>
          <w:rFonts w:hint="eastAsia"/>
          <w:bCs/>
          <w:color w:val="auto"/>
          <w:sz w:val="24"/>
          <w:highlight w:val="none"/>
        </w:rPr>
        <w:t>留空或写</w:t>
      </w:r>
      <w:r>
        <w:rPr>
          <w:bCs/>
          <w:color w:val="auto"/>
          <w:sz w:val="24"/>
          <w:highlight w:val="none"/>
        </w:rPr>
        <w:t>“/”）</w:t>
      </w:r>
    </w:p>
    <w:p w14:paraId="545B1346">
      <w:pPr>
        <w:snapToGrid w:val="0"/>
        <w:spacing w:before="120" w:beforeLines="50" w:after="50" w:line="360" w:lineRule="exact"/>
        <w:ind w:firstLine="720" w:firstLineChars="300"/>
        <w:rPr>
          <w:bCs/>
          <w:color w:val="auto"/>
          <w:sz w:val="24"/>
          <w:highlight w:val="none"/>
        </w:rPr>
      </w:pPr>
      <w:r>
        <w:rPr>
          <w:bCs/>
          <w:color w:val="auto"/>
          <w:sz w:val="24"/>
          <w:highlight w:val="none"/>
        </w:rPr>
        <w:t>供应商名称：</w:t>
      </w:r>
    </w:p>
    <w:p w14:paraId="5595246C">
      <w:pPr>
        <w:snapToGrid w:val="0"/>
        <w:spacing w:before="120" w:beforeLines="50" w:after="50" w:line="360" w:lineRule="exact"/>
        <w:ind w:firstLine="720" w:firstLineChars="300"/>
        <w:rPr>
          <w:bCs/>
          <w:color w:val="auto"/>
          <w:sz w:val="24"/>
          <w:highlight w:val="none"/>
        </w:rPr>
      </w:pPr>
      <w:r>
        <w:rPr>
          <w:bCs/>
          <w:color w:val="auto"/>
          <w:sz w:val="24"/>
          <w:highlight w:val="none"/>
        </w:rPr>
        <w:t>供应商地址：</w:t>
      </w:r>
    </w:p>
    <w:p w14:paraId="40F6EAB6">
      <w:pPr>
        <w:pStyle w:val="7"/>
        <w:snapToGrid w:val="0"/>
        <w:spacing w:before="50" w:after="50" w:line="360" w:lineRule="exact"/>
        <w:ind w:firstLine="960" w:firstLineChars="400"/>
        <w:rPr>
          <w:bCs/>
          <w:color w:val="auto"/>
          <w:sz w:val="24"/>
          <w:szCs w:val="24"/>
          <w:highlight w:val="none"/>
        </w:rPr>
      </w:pPr>
    </w:p>
    <w:p w14:paraId="47AA4D8F">
      <w:pPr>
        <w:snapToGrid w:val="0"/>
        <w:spacing w:before="120" w:beforeLines="50" w:after="50" w:line="360" w:lineRule="exact"/>
        <w:jc w:val="center"/>
        <w:rPr>
          <w:color w:val="auto"/>
          <w:sz w:val="24"/>
          <w:highlight w:val="none"/>
        </w:rPr>
      </w:pPr>
      <w:r>
        <w:rPr>
          <w:color w:val="auto"/>
          <w:sz w:val="24"/>
          <w:highlight w:val="none"/>
        </w:rPr>
        <w:t xml:space="preserve">                        年  月  日</w:t>
      </w:r>
    </w:p>
    <w:p w14:paraId="2B3655D6">
      <w:pPr>
        <w:snapToGrid w:val="0"/>
        <w:spacing w:before="120" w:beforeLines="50" w:after="50" w:line="360" w:lineRule="exact"/>
        <w:rPr>
          <w:b/>
          <w:bCs/>
          <w:color w:val="auto"/>
          <w:sz w:val="24"/>
          <w:highlight w:val="none"/>
        </w:rPr>
      </w:pPr>
      <w:r>
        <w:rPr>
          <w:color w:val="auto"/>
          <w:highlight w:val="none"/>
        </w:rPr>
        <w:br w:type="page"/>
      </w:r>
      <w:bookmarkEnd w:id="69"/>
      <w:bookmarkEnd w:id="70"/>
      <w:r>
        <w:rPr>
          <w:b/>
          <w:bCs/>
          <w:color w:val="auto"/>
          <w:sz w:val="24"/>
          <w:highlight w:val="none"/>
        </w:rPr>
        <w:t xml:space="preserve"> </w:t>
      </w:r>
    </w:p>
    <w:p w14:paraId="45D79B8B">
      <w:pPr>
        <w:snapToGrid w:val="0"/>
        <w:spacing w:before="50" w:after="50" w:line="440" w:lineRule="exact"/>
        <w:ind w:firstLine="138" w:firstLineChars="49"/>
        <w:jc w:val="center"/>
        <w:rPr>
          <w:b/>
          <w:color w:val="auto"/>
          <w:sz w:val="28"/>
          <w:szCs w:val="28"/>
          <w:highlight w:val="none"/>
        </w:rPr>
      </w:pPr>
      <w:r>
        <w:rPr>
          <w:b/>
          <w:color w:val="auto"/>
          <w:sz w:val="28"/>
          <w:szCs w:val="28"/>
          <w:highlight w:val="none"/>
        </w:rPr>
        <w:t>目录</w:t>
      </w:r>
    </w:p>
    <w:p w14:paraId="7FF5A701">
      <w:pPr>
        <w:snapToGrid w:val="0"/>
        <w:spacing w:before="50" w:after="50" w:line="440" w:lineRule="exact"/>
        <w:ind w:firstLine="118" w:firstLineChars="49"/>
        <w:jc w:val="center"/>
        <w:rPr>
          <w:b/>
          <w:color w:val="auto"/>
          <w:sz w:val="24"/>
          <w:highlight w:val="none"/>
        </w:rPr>
      </w:pPr>
      <w:r>
        <w:rPr>
          <w:b/>
          <w:color w:val="auto"/>
          <w:sz w:val="24"/>
          <w:highlight w:val="none"/>
        </w:rPr>
        <w:t>（应有页码）</w:t>
      </w:r>
    </w:p>
    <w:p w14:paraId="2E91DCAF">
      <w:pPr>
        <w:snapToGrid w:val="0"/>
        <w:spacing w:before="50" w:after="50" w:line="440" w:lineRule="exact"/>
        <w:rPr>
          <w:b/>
          <w:color w:val="auto"/>
          <w:sz w:val="24"/>
          <w:highlight w:val="none"/>
        </w:rPr>
      </w:pPr>
      <w:r>
        <w:rPr>
          <w:b/>
          <w:color w:val="auto"/>
          <w:sz w:val="24"/>
          <w:highlight w:val="none"/>
        </w:rPr>
        <w:br w:type="page"/>
      </w:r>
      <w:r>
        <w:rPr>
          <w:b/>
          <w:color w:val="auto"/>
          <w:szCs w:val="21"/>
          <w:highlight w:val="none"/>
        </w:rPr>
        <w:t>1．投标声明书格式：</w:t>
      </w:r>
    </w:p>
    <w:p w14:paraId="64C1FE5B">
      <w:pPr>
        <w:snapToGrid w:val="0"/>
        <w:spacing w:before="50" w:after="50" w:line="440" w:lineRule="exact"/>
        <w:ind w:firstLine="157" w:firstLineChars="49"/>
        <w:jc w:val="left"/>
        <w:rPr>
          <w:b/>
          <w:bCs/>
          <w:color w:val="auto"/>
          <w:sz w:val="32"/>
          <w:szCs w:val="32"/>
          <w:highlight w:val="none"/>
        </w:rPr>
      </w:pPr>
    </w:p>
    <w:p w14:paraId="206AE948">
      <w:pPr>
        <w:snapToGrid w:val="0"/>
        <w:spacing w:before="120" w:beforeLines="50" w:after="50" w:line="360" w:lineRule="exact"/>
        <w:jc w:val="center"/>
        <w:rPr>
          <w:b/>
          <w:color w:val="auto"/>
          <w:szCs w:val="21"/>
          <w:highlight w:val="none"/>
        </w:rPr>
      </w:pPr>
      <w:r>
        <w:rPr>
          <w:b/>
          <w:color w:val="auto"/>
          <w:szCs w:val="21"/>
          <w:highlight w:val="none"/>
        </w:rPr>
        <w:t>投标声明书</w:t>
      </w:r>
    </w:p>
    <w:p w14:paraId="419B64CE">
      <w:pPr>
        <w:snapToGrid w:val="0"/>
        <w:spacing w:before="120" w:beforeLines="50" w:after="50" w:line="360" w:lineRule="exact"/>
        <w:jc w:val="center"/>
        <w:rPr>
          <w:color w:val="auto"/>
          <w:szCs w:val="21"/>
          <w:highlight w:val="none"/>
        </w:rPr>
      </w:pPr>
    </w:p>
    <w:p w14:paraId="78DFB2FC">
      <w:pPr>
        <w:snapToGrid w:val="0"/>
        <w:spacing w:before="120" w:beforeLines="50" w:after="50" w:line="360" w:lineRule="exact"/>
        <w:rPr>
          <w:color w:val="auto"/>
          <w:szCs w:val="21"/>
          <w:highlight w:val="none"/>
        </w:rPr>
      </w:pPr>
      <w:r>
        <w:rPr>
          <w:color w:val="auto"/>
          <w:szCs w:val="21"/>
          <w:highlight w:val="none"/>
        </w:rPr>
        <w:t>致：</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color w:val="auto"/>
          <w:szCs w:val="21"/>
          <w:highlight w:val="none"/>
        </w:rPr>
        <w:t>：</w:t>
      </w:r>
    </w:p>
    <w:p w14:paraId="2674C40D">
      <w:pPr>
        <w:snapToGrid w:val="0"/>
        <w:spacing w:before="120" w:beforeLines="50" w:after="50" w:line="360" w:lineRule="exact"/>
        <w:ind w:firstLine="630" w:firstLineChars="300"/>
        <w:rPr>
          <w:color w:val="auto"/>
          <w:szCs w:val="21"/>
          <w:highlight w:val="none"/>
        </w:rPr>
      </w:pPr>
      <w:r>
        <w:rPr>
          <w:i/>
          <w:iCs/>
          <w:color w:val="auto"/>
          <w:szCs w:val="21"/>
          <w:highlight w:val="none"/>
          <w:u w:val="single"/>
        </w:rPr>
        <w:t>（供应商名称）</w:t>
      </w:r>
      <w:r>
        <w:rPr>
          <w:color w:val="auto"/>
          <w:szCs w:val="21"/>
          <w:highlight w:val="none"/>
        </w:rPr>
        <w:t>系中华人民共和国合法企业，</w:t>
      </w:r>
      <w:r>
        <w:rPr>
          <w:rFonts w:hint="eastAsia"/>
          <w:color w:val="auto"/>
          <w:szCs w:val="21"/>
          <w:highlight w:val="none"/>
          <w:u w:val="single"/>
        </w:rPr>
        <w:t xml:space="preserve"> </w:t>
      </w:r>
      <w:r>
        <w:rPr>
          <w:i/>
          <w:iCs/>
          <w:color w:val="auto"/>
          <w:szCs w:val="21"/>
          <w:highlight w:val="none"/>
          <w:u w:val="single"/>
        </w:rPr>
        <w:t xml:space="preserve"> </w:t>
      </w:r>
      <w:r>
        <w:rPr>
          <w:rFonts w:hint="eastAsia"/>
          <w:i/>
          <w:iCs/>
          <w:color w:val="auto"/>
          <w:szCs w:val="21"/>
          <w:highlight w:val="none"/>
          <w:u w:val="single"/>
        </w:rPr>
        <w:t>（</w:t>
      </w:r>
      <w:r>
        <w:rPr>
          <w:i/>
          <w:iCs/>
          <w:color w:val="auto"/>
          <w:szCs w:val="21"/>
          <w:highlight w:val="none"/>
          <w:u w:val="single"/>
        </w:rPr>
        <w:t>经营地址</w:t>
      </w:r>
      <w:r>
        <w:rPr>
          <w:rFonts w:hint="eastAsia"/>
          <w:i/>
          <w:iCs/>
          <w:color w:val="auto"/>
          <w:szCs w:val="21"/>
          <w:highlight w:val="none"/>
          <w:u w:val="single"/>
        </w:rPr>
        <w:t xml:space="preserve">） </w:t>
      </w:r>
      <w:r>
        <w:rPr>
          <w:i/>
          <w:iCs/>
          <w:color w:val="auto"/>
          <w:szCs w:val="21"/>
          <w:highlight w:val="none"/>
          <w:u w:val="single"/>
        </w:rPr>
        <w:t xml:space="preserve"> </w:t>
      </w:r>
      <w:r>
        <w:rPr>
          <w:color w:val="auto"/>
          <w:szCs w:val="21"/>
          <w:highlight w:val="none"/>
          <w:u w:val="single"/>
        </w:rPr>
        <w:t xml:space="preserve"> </w:t>
      </w:r>
      <w:r>
        <w:rPr>
          <w:color w:val="auto"/>
          <w:szCs w:val="21"/>
          <w:highlight w:val="none"/>
        </w:rPr>
        <w:t>。</w:t>
      </w:r>
    </w:p>
    <w:p w14:paraId="15B37453">
      <w:pPr>
        <w:snapToGrid w:val="0"/>
        <w:spacing w:before="120" w:beforeLines="50" w:after="50" w:line="360" w:lineRule="exact"/>
        <w:ind w:firstLine="645"/>
        <w:rPr>
          <w:color w:val="auto"/>
          <w:szCs w:val="21"/>
          <w:highlight w:val="none"/>
        </w:rPr>
      </w:pPr>
      <w:r>
        <w:rPr>
          <w:color w:val="auto"/>
          <w:szCs w:val="21"/>
          <w:highlight w:val="none"/>
        </w:rPr>
        <w:t>我</w:t>
      </w:r>
      <w:r>
        <w:rPr>
          <w:i/>
          <w:iCs/>
          <w:color w:val="auto"/>
          <w:szCs w:val="21"/>
          <w:highlight w:val="none"/>
          <w:u w:val="single"/>
        </w:rPr>
        <w:t>（姓名）</w:t>
      </w:r>
      <w:r>
        <w:rPr>
          <w:rFonts w:hint="eastAsia"/>
          <w:i/>
          <w:iCs/>
          <w:color w:val="auto"/>
          <w:szCs w:val="21"/>
          <w:highlight w:val="none"/>
          <w:u w:val="single"/>
        </w:rPr>
        <w:t xml:space="preserve"> </w:t>
      </w:r>
      <w:r>
        <w:rPr>
          <w:color w:val="auto"/>
          <w:szCs w:val="21"/>
          <w:highlight w:val="none"/>
        </w:rPr>
        <w:t>系</w:t>
      </w:r>
      <w:r>
        <w:rPr>
          <w:i/>
          <w:iCs/>
          <w:color w:val="auto"/>
          <w:szCs w:val="21"/>
          <w:highlight w:val="none"/>
          <w:u w:val="single"/>
        </w:rPr>
        <w:t>（供应商名称）</w:t>
      </w:r>
      <w:r>
        <w:rPr>
          <w:color w:val="auto"/>
          <w:szCs w:val="21"/>
          <w:highlight w:val="none"/>
        </w:rPr>
        <w:t>的法定代表人，我方愿意参加贵方组织的</w:t>
      </w:r>
      <w:r>
        <w:rPr>
          <w:rFonts w:hint="eastAsia"/>
          <w:color w:val="auto"/>
          <w:szCs w:val="21"/>
          <w:highlight w:val="none"/>
        </w:rPr>
        <w:t xml:space="preserve"> </w:t>
      </w:r>
      <w:r>
        <w:rPr>
          <w:rFonts w:hint="eastAsia"/>
          <w:i/>
          <w:iCs/>
          <w:color w:val="auto"/>
          <w:szCs w:val="21"/>
          <w:highlight w:val="none"/>
          <w:u w:val="single"/>
        </w:rPr>
        <w:t xml:space="preserve">（项目名称） </w:t>
      </w:r>
      <w:r>
        <w:rPr>
          <w:color w:val="auto"/>
          <w:szCs w:val="21"/>
          <w:highlight w:val="none"/>
        </w:rPr>
        <w:t>项目的投标，为便于贵方公正、择优地确定中标人及其投标产品和服务，我方就本次投标有关事项郑重声明如下：</w:t>
      </w:r>
    </w:p>
    <w:p w14:paraId="62B958DC">
      <w:pPr>
        <w:snapToGrid w:val="0"/>
        <w:spacing w:before="120" w:beforeLines="50" w:line="360" w:lineRule="exact"/>
        <w:ind w:firstLine="420" w:firstLineChars="200"/>
        <w:rPr>
          <w:color w:val="auto"/>
          <w:szCs w:val="21"/>
          <w:highlight w:val="none"/>
        </w:rPr>
      </w:pPr>
      <w:r>
        <w:rPr>
          <w:color w:val="auto"/>
          <w:szCs w:val="21"/>
          <w:highlight w:val="none"/>
        </w:rPr>
        <w:t>（1）我方向贵方提交的所有投标文件、资料都是准确的和真实的。</w:t>
      </w:r>
    </w:p>
    <w:p w14:paraId="2EA778CF">
      <w:pPr>
        <w:snapToGrid w:val="0"/>
        <w:spacing w:before="120" w:beforeLines="50" w:line="360" w:lineRule="exact"/>
        <w:ind w:firstLine="420" w:firstLineChars="200"/>
        <w:rPr>
          <w:color w:val="auto"/>
          <w:szCs w:val="21"/>
          <w:highlight w:val="none"/>
        </w:rPr>
      </w:pPr>
      <w:r>
        <w:rPr>
          <w:color w:val="auto"/>
          <w:szCs w:val="21"/>
          <w:highlight w:val="none"/>
        </w:rPr>
        <w:t>（2）我方不是采购人的附属机构；也不是为本项目提供整体设计、规范编制或者项目管理、监理、检测等服务的供应商或其附属机构。</w:t>
      </w:r>
    </w:p>
    <w:p w14:paraId="0B7D7267">
      <w:pPr>
        <w:snapToGrid w:val="0"/>
        <w:spacing w:before="120" w:beforeLines="50" w:line="360" w:lineRule="exact"/>
        <w:ind w:firstLine="420" w:firstLineChars="200"/>
        <w:rPr>
          <w:color w:val="auto"/>
          <w:szCs w:val="21"/>
          <w:highlight w:val="none"/>
        </w:rPr>
      </w:pPr>
      <w:r>
        <w:rPr>
          <w:color w:val="auto"/>
          <w:szCs w:val="21"/>
          <w:highlight w:val="none"/>
        </w:rPr>
        <w:t>（3）我方承诺在参加本政府采购项目活动前，没有被纳入政府部门或银行认定的失信名单，我方具有良好的商业信誉。</w:t>
      </w:r>
    </w:p>
    <w:p w14:paraId="3C751DEB">
      <w:pPr>
        <w:snapToGrid w:val="0"/>
        <w:spacing w:before="120" w:beforeLines="50" w:line="360" w:lineRule="exact"/>
        <w:ind w:firstLine="420" w:firstLineChars="200"/>
        <w:rPr>
          <w:color w:val="auto"/>
          <w:szCs w:val="21"/>
          <w:highlight w:val="none"/>
        </w:rPr>
      </w:pPr>
      <w:r>
        <w:rPr>
          <w:color w:val="auto"/>
          <w:szCs w:val="21"/>
          <w:highlight w:val="none"/>
        </w:rPr>
        <w:t>（4）我方及本人承诺在参加本政府采购项目活动前三年内，在经营活动中没有重大违法记录。重大违法记录是指供</w:t>
      </w:r>
      <w:r>
        <w:rPr>
          <w:rFonts w:hint="eastAsia"/>
          <w:color w:val="auto"/>
          <w:szCs w:val="21"/>
          <w:highlight w:val="none"/>
        </w:rPr>
        <w:t>应商</w:t>
      </w:r>
      <w:r>
        <w:rPr>
          <w:color w:val="auto"/>
          <w:szCs w:val="21"/>
          <w:highlight w:val="none"/>
        </w:rPr>
        <w:t>因违法经营受到刑事处罚或者责令停产停业、吊销许可证或者执照、较大数额罚款等行政处罚。如我方提供的声明不实，则自愿承担《政府采购法》有关提供虚假材料的规定给予的处罚。</w:t>
      </w:r>
    </w:p>
    <w:p w14:paraId="45BE28EF">
      <w:pPr>
        <w:snapToGrid w:val="0"/>
        <w:spacing w:before="120" w:beforeLines="50" w:line="360" w:lineRule="exact"/>
        <w:ind w:firstLine="420" w:firstLineChars="200"/>
        <w:rPr>
          <w:color w:val="auto"/>
          <w:szCs w:val="21"/>
          <w:highlight w:val="none"/>
        </w:rPr>
      </w:pPr>
      <w:r>
        <w:rPr>
          <w:color w:val="auto"/>
          <w:szCs w:val="21"/>
          <w:highlight w:val="none"/>
        </w:rPr>
        <w:t>（5）我方承诺具有履行本项目合同所必需的设备和专业技术能力。</w:t>
      </w:r>
    </w:p>
    <w:p w14:paraId="1753B267">
      <w:pPr>
        <w:snapToGrid w:val="0"/>
        <w:spacing w:before="120" w:beforeLines="50" w:line="360" w:lineRule="exact"/>
        <w:ind w:firstLine="420" w:firstLineChars="200"/>
        <w:rPr>
          <w:color w:val="auto"/>
          <w:szCs w:val="21"/>
          <w:highlight w:val="none"/>
        </w:rPr>
      </w:pPr>
      <w:r>
        <w:rPr>
          <w:rFonts w:hint="eastAsia"/>
          <w:color w:val="auto"/>
          <w:szCs w:val="21"/>
          <w:highlight w:val="none"/>
        </w:rPr>
        <w:t>（6）我方承诺</w:t>
      </w:r>
      <w:r>
        <w:rPr>
          <w:color w:val="auto"/>
          <w:szCs w:val="21"/>
          <w:highlight w:val="none"/>
        </w:rPr>
        <w:t>未被列入失信被执行人、重大税收违法失信主体、政府采购严重违法失信行为记录名单</w:t>
      </w:r>
      <w:r>
        <w:rPr>
          <w:rFonts w:hint="eastAsia"/>
          <w:color w:val="auto"/>
          <w:szCs w:val="21"/>
          <w:highlight w:val="none"/>
        </w:rPr>
        <w:t>，如我方提供的声明不实，则接受本次投标作为否决投标的处理，</w:t>
      </w:r>
      <w:r>
        <w:rPr>
          <w:color w:val="auto"/>
          <w:szCs w:val="21"/>
          <w:highlight w:val="none"/>
        </w:rPr>
        <w:t>并根据财库〔2016〕125号《财政部关于在政府采购活动中查询及使用信用记录有关问题的通知》规定接受失信联合惩戒。</w:t>
      </w:r>
    </w:p>
    <w:p w14:paraId="34561181">
      <w:pPr>
        <w:snapToGrid w:val="0"/>
        <w:spacing w:before="120" w:beforeLines="50" w:line="360" w:lineRule="exact"/>
        <w:ind w:firstLine="420" w:firstLineChars="200"/>
        <w:rPr>
          <w:color w:val="auto"/>
          <w:szCs w:val="21"/>
          <w:highlight w:val="none"/>
        </w:rPr>
      </w:pPr>
      <w:r>
        <w:rPr>
          <w:rFonts w:hint="eastAsia"/>
          <w:color w:val="auto"/>
          <w:szCs w:val="21"/>
          <w:highlight w:val="none"/>
        </w:rPr>
        <w:t>（7）我方承诺中标后按</w:t>
      </w:r>
      <w:r>
        <w:rPr>
          <w:color w:val="auto"/>
          <w:szCs w:val="21"/>
          <w:highlight w:val="none"/>
        </w:rPr>
        <w:t>规定缴纳代理服务费</w:t>
      </w:r>
      <w:r>
        <w:rPr>
          <w:rFonts w:hint="eastAsia"/>
          <w:color w:val="auto"/>
          <w:szCs w:val="21"/>
          <w:highlight w:val="none"/>
        </w:rPr>
        <w:t>。如未按时缴纳，</w:t>
      </w:r>
      <w:r>
        <w:rPr>
          <w:color w:val="auto"/>
          <w:szCs w:val="21"/>
          <w:highlight w:val="none"/>
        </w:rPr>
        <w:t>贵方可</w:t>
      </w:r>
      <w:r>
        <w:rPr>
          <w:rFonts w:hint="eastAsia"/>
          <w:color w:val="auto"/>
          <w:szCs w:val="21"/>
          <w:highlight w:val="none"/>
        </w:rPr>
        <w:t>不退还</w:t>
      </w:r>
      <w:r>
        <w:rPr>
          <w:color w:val="auto"/>
          <w:szCs w:val="21"/>
          <w:highlight w:val="none"/>
        </w:rPr>
        <w:t>我</w:t>
      </w:r>
      <w:r>
        <w:rPr>
          <w:rFonts w:hint="eastAsia"/>
          <w:color w:val="auto"/>
          <w:szCs w:val="21"/>
          <w:highlight w:val="none"/>
        </w:rPr>
        <w:t>方</w:t>
      </w:r>
      <w:r>
        <w:rPr>
          <w:color w:val="auto"/>
          <w:szCs w:val="21"/>
          <w:highlight w:val="none"/>
        </w:rPr>
        <w:t>提交的投标保证金</w:t>
      </w:r>
      <w:r>
        <w:rPr>
          <w:rFonts w:hint="eastAsia"/>
          <w:color w:val="auto"/>
          <w:szCs w:val="21"/>
          <w:highlight w:val="none"/>
        </w:rPr>
        <w:t>，并从中</w:t>
      </w:r>
      <w:r>
        <w:rPr>
          <w:color w:val="auto"/>
          <w:szCs w:val="21"/>
          <w:highlight w:val="none"/>
        </w:rPr>
        <w:t>扣除</w:t>
      </w:r>
      <w:r>
        <w:rPr>
          <w:rFonts w:hint="eastAsia"/>
          <w:color w:val="auto"/>
          <w:szCs w:val="21"/>
          <w:highlight w:val="none"/>
        </w:rPr>
        <w:t>代理服务费。</w:t>
      </w:r>
    </w:p>
    <w:p w14:paraId="239A9102">
      <w:pPr>
        <w:snapToGrid w:val="0"/>
        <w:spacing w:before="120" w:beforeLines="50" w:line="360" w:lineRule="exact"/>
        <w:ind w:firstLine="420" w:firstLineChars="200"/>
        <w:rPr>
          <w:color w:val="auto"/>
          <w:szCs w:val="21"/>
          <w:highlight w:val="none"/>
        </w:rPr>
      </w:pPr>
      <w:r>
        <w:rPr>
          <w:color w:val="auto"/>
          <w:szCs w:val="21"/>
          <w:highlight w:val="none"/>
        </w:rPr>
        <w:t>我方对以上声明负全部法律责任。如有虚假或隐瞒，我方愿意承担一切后果，并不再寻求任何旨在减轻或免除法律责任的辩解。</w:t>
      </w:r>
    </w:p>
    <w:p w14:paraId="716D1DAA">
      <w:pPr>
        <w:snapToGrid w:val="0"/>
        <w:spacing w:before="120" w:beforeLines="50" w:line="360" w:lineRule="exact"/>
        <w:ind w:firstLine="420" w:firstLineChars="200"/>
        <w:rPr>
          <w:color w:val="auto"/>
          <w:szCs w:val="21"/>
          <w:highlight w:val="none"/>
        </w:rPr>
      </w:pPr>
    </w:p>
    <w:p w14:paraId="2086A1C5">
      <w:pPr>
        <w:snapToGrid w:val="0"/>
        <w:spacing w:before="120" w:beforeLines="50" w:after="50" w:line="360" w:lineRule="exact"/>
        <w:ind w:firstLine="210" w:firstLineChars="100"/>
        <w:jc w:val="right"/>
        <w:rPr>
          <w:color w:val="auto"/>
          <w:szCs w:val="21"/>
          <w:highlight w:val="none"/>
        </w:rPr>
      </w:pPr>
      <w:bookmarkStart w:id="71" w:name="_Hlk88990289"/>
      <w:r>
        <w:rPr>
          <w:color w:val="auto"/>
          <w:szCs w:val="21"/>
          <w:highlight w:val="none"/>
        </w:rPr>
        <w:t>供应商</w:t>
      </w:r>
      <w:r>
        <w:rPr>
          <w:rFonts w:hint="eastAsia"/>
          <w:color w:val="auto"/>
          <w:szCs w:val="21"/>
          <w:highlight w:val="none"/>
        </w:rPr>
        <w:t>名称（电子签章）</w:t>
      </w:r>
      <w:bookmarkEnd w:id="71"/>
      <w:r>
        <w:rPr>
          <w:color w:val="auto"/>
          <w:szCs w:val="21"/>
          <w:highlight w:val="none"/>
        </w:rPr>
        <w:t>：</w:t>
      </w:r>
      <w:r>
        <w:rPr>
          <w:color w:val="auto"/>
          <w:szCs w:val="21"/>
          <w:highlight w:val="none"/>
          <w:u w:val="single"/>
        </w:rPr>
        <w:t xml:space="preserve">         </w:t>
      </w:r>
      <w:r>
        <w:rPr>
          <w:color w:val="auto"/>
          <w:szCs w:val="21"/>
          <w:highlight w:val="none"/>
        </w:rPr>
        <w:t xml:space="preserve">                                          </w:t>
      </w:r>
    </w:p>
    <w:p w14:paraId="4729F208">
      <w:pPr>
        <w:snapToGrid w:val="0"/>
        <w:spacing w:before="120" w:beforeLines="50" w:after="50" w:line="360" w:lineRule="exact"/>
        <w:ind w:firstLine="210" w:firstLineChars="100"/>
        <w:jc w:val="right"/>
        <w:rPr>
          <w:color w:val="auto"/>
          <w:szCs w:val="21"/>
          <w:highlight w:val="none"/>
        </w:rPr>
      </w:pPr>
      <w:r>
        <w:rPr>
          <w:color w:val="auto"/>
          <w:szCs w:val="21"/>
          <w:highlight w:val="none"/>
        </w:rPr>
        <w:t>年    月    日</w:t>
      </w:r>
    </w:p>
    <w:p w14:paraId="7CDE91C1">
      <w:pPr>
        <w:snapToGrid w:val="0"/>
        <w:spacing w:before="120" w:beforeLines="50" w:after="50" w:line="360" w:lineRule="exact"/>
        <w:rPr>
          <w:color w:val="auto"/>
          <w:szCs w:val="21"/>
          <w:highlight w:val="none"/>
        </w:rPr>
      </w:pPr>
      <w:r>
        <w:rPr>
          <w:color w:val="auto"/>
          <w:szCs w:val="21"/>
          <w:highlight w:val="none"/>
        </w:rPr>
        <w:br w:type="page"/>
      </w:r>
      <w:r>
        <w:rPr>
          <w:color w:val="auto"/>
          <w:szCs w:val="21"/>
          <w:highlight w:val="none"/>
        </w:rPr>
        <w:t>2．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w:t>
      </w:r>
      <w:r>
        <w:rPr>
          <w:rFonts w:hint="eastAsia"/>
          <w:color w:val="auto"/>
          <w:szCs w:val="21"/>
          <w:highlight w:val="none"/>
        </w:rPr>
        <w:t>供应商电子签章</w:t>
      </w:r>
      <w:r>
        <w:rPr>
          <w:color w:val="auto"/>
          <w:szCs w:val="21"/>
          <w:highlight w:val="none"/>
        </w:rPr>
        <w:t>）。</w:t>
      </w:r>
    </w:p>
    <w:p w14:paraId="561B87E2">
      <w:pPr>
        <w:snapToGrid w:val="0"/>
        <w:spacing w:before="120" w:beforeLines="50" w:after="50" w:line="440" w:lineRule="exact"/>
        <w:rPr>
          <w:color w:val="auto"/>
          <w:sz w:val="18"/>
          <w:szCs w:val="18"/>
          <w:highlight w:val="none"/>
        </w:rPr>
      </w:pPr>
    </w:p>
    <w:p w14:paraId="12CCC2DF">
      <w:pPr>
        <w:snapToGrid w:val="0"/>
        <w:spacing w:before="120" w:beforeLines="50" w:after="50" w:line="440" w:lineRule="exact"/>
        <w:rPr>
          <w:b/>
          <w:color w:val="auto"/>
          <w:szCs w:val="21"/>
          <w:highlight w:val="none"/>
        </w:rPr>
      </w:pPr>
      <w:r>
        <w:rPr>
          <w:color w:val="auto"/>
          <w:szCs w:val="21"/>
          <w:highlight w:val="none"/>
        </w:rPr>
        <w:t>3．财务状况报告（表）复印件或银行出具的资信证明复印件。</w:t>
      </w:r>
      <w:r>
        <w:rPr>
          <w:color w:val="auto"/>
          <w:highlight w:val="none"/>
        </w:rPr>
        <w:t>对于从取得营业执照时间起到截标时间为止不足1年的供应商，只需提交</w:t>
      </w:r>
      <w:r>
        <w:rPr>
          <w:color w:val="auto"/>
          <w:szCs w:val="21"/>
          <w:highlight w:val="none"/>
        </w:rPr>
        <w:t>截标时间前一个月的财务状况报告（表）复印件。（按“评审方法及标准” “资格审查表”规定提供）。（加盖</w:t>
      </w:r>
      <w:r>
        <w:rPr>
          <w:rFonts w:hint="eastAsia"/>
          <w:color w:val="auto"/>
          <w:szCs w:val="21"/>
          <w:highlight w:val="none"/>
        </w:rPr>
        <w:t>供应商电子签章</w:t>
      </w:r>
      <w:r>
        <w:rPr>
          <w:color w:val="auto"/>
          <w:szCs w:val="21"/>
          <w:highlight w:val="none"/>
        </w:rPr>
        <w:t>）</w:t>
      </w:r>
      <w:r>
        <w:rPr>
          <w:rFonts w:hint="eastAsia"/>
          <w:color w:val="auto"/>
          <w:szCs w:val="21"/>
          <w:highlight w:val="none"/>
        </w:rPr>
        <w:t>。</w:t>
      </w:r>
    </w:p>
    <w:p w14:paraId="03516E1F">
      <w:pPr>
        <w:snapToGrid w:val="0"/>
        <w:spacing w:before="120" w:beforeLines="50" w:after="50" w:line="440" w:lineRule="exact"/>
        <w:rPr>
          <w:color w:val="auto"/>
          <w:szCs w:val="21"/>
          <w:highlight w:val="none"/>
        </w:rPr>
      </w:pPr>
    </w:p>
    <w:p w14:paraId="7FD1CD6D">
      <w:pPr>
        <w:snapToGrid w:val="0"/>
        <w:spacing w:before="120" w:beforeLines="50" w:after="50" w:line="440" w:lineRule="exact"/>
        <w:rPr>
          <w:color w:val="auto"/>
          <w:highlight w:val="none"/>
        </w:rPr>
      </w:pPr>
      <w:r>
        <w:rPr>
          <w:color w:val="auto"/>
          <w:highlight w:val="none"/>
        </w:rPr>
        <w:t>4．依法缴纳税费证明和社会保险缴纳证明材料</w:t>
      </w:r>
      <w:r>
        <w:rPr>
          <w:rFonts w:hint="eastAsia"/>
          <w:color w:val="auto"/>
          <w:highlight w:val="none"/>
        </w:rPr>
        <w:t>。</w:t>
      </w:r>
      <w:r>
        <w:rPr>
          <w:color w:val="auto"/>
          <w:highlight w:val="none"/>
        </w:rPr>
        <w:t>供应商成立不足</w:t>
      </w:r>
      <w:r>
        <w:rPr>
          <w:rFonts w:hint="eastAsia"/>
          <w:color w:val="auto"/>
          <w:highlight w:val="none"/>
        </w:rPr>
        <w:t>1个月的，无须提供</w:t>
      </w:r>
      <w:r>
        <w:rPr>
          <w:color w:val="auto"/>
          <w:highlight w:val="none"/>
        </w:rPr>
        <w:t>缴纳税费证明及社保缴费证明</w:t>
      </w:r>
      <w:r>
        <w:rPr>
          <w:rFonts w:hint="eastAsia"/>
          <w:color w:val="auto"/>
          <w:highlight w:val="none"/>
        </w:rPr>
        <w:t>。</w:t>
      </w:r>
      <w:r>
        <w:rPr>
          <w:color w:val="auto"/>
          <w:highlight w:val="none"/>
        </w:rPr>
        <w:t>依法免税或不需要缴纳社会保障资金的供应商，须提供相应文件证明其依法免税或不需要缴纳社会保障资金。</w:t>
      </w:r>
      <w:r>
        <w:rPr>
          <w:color w:val="auto"/>
          <w:szCs w:val="21"/>
          <w:highlight w:val="none"/>
        </w:rPr>
        <w:t>（按“评审方法及标准” “资格审查表”规定提供）（加盖</w:t>
      </w:r>
      <w:r>
        <w:rPr>
          <w:rFonts w:hint="eastAsia"/>
          <w:color w:val="auto"/>
          <w:szCs w:val="21"/>
          <w:highlight w:val="none"/>
        </w:rPr>
        <w:t>供应商电子签章</w:t>
      </w:r>
      <w:r>
        <w:rPr>
          <w:color w:val="auto"/>
          <w:szCs w:val="21"/>
          <w:highlight w:val="none"/>
        </w:rPr>
        <w:t>）</w:t>
      </w:r>
      <w:r>
        <w:rPr>
          <w:rFonts w:hint="eastAsia"/>
          <w:color w:val="auto"/>
          <w:szCs w:val="21"/>
          <w:highlight w:val="none"/>
        </w:rPr>
        <w:t>。</w:t>
      </w:r>
    </w:p>
    <w:p w14:paraId="36E5478A">
      <w:pPr>
        <w:snapToGrid w:val="0"/>
        <w:spacing w:before="120" w:beforeLines="50" w:after="50" w:line="360" w:lineRule="exact"/>
        <w:rPr>
          <w:color w:val="auto"/>
          <w:szCs w:val="21"/>
          <w:highlight w:val="none"/>
        </w:rPr>
      </w:pPr>
    </w:p>
    <w:p w14:paraId="27FDDF82">
      <w:pPr>
        <w:snapToGrid w:val="0"/>
        <w:spacing w:before="50" w:after="120" w:afterLines="50" w:line="440" w:lineRule="exact"/>
        <w:jc w:val="left"/>
        <w:rPr>
          <w:b/>
          <w:color w:val="auto"/>
          <w:szCs w:val="21"/>
          <w:highlight w:val="none"/>
        </w:rPr>
      </w:pPr>
      <w:r>
        <w:rPr>
          <w:color w:val="auto"/>
          <w:szCs w:val="21"/>
          <w:highlight w:val="none"/>
        </w:rPr>
        <w:t>5．具备法律、行政法规规定的其他要求的证明材料</w:t>
      </w:r>
      <w:r>
        <w:rPr>
          <w:color w:val="auto"/>
          <w:highlight w:val="none"/>
        </w:rPr>
        <w:t>（</w:t>
      </w:r>
      <w:r>
        <w:rPr>
          <w:color w:val="auto"/>
          <w:szCs w:val="21"/>
          <w:highlight w:val="none"/>
        </w:rPr>
        <w:t>按“评审方法及标准” “资格审查表”规定提供</w:t>
      </w:r>
      <w:r>
        <w:rPr>
          <w:color w:val="auto"/>
          <w:highlight w:val="none"/>
        </w:rPr>
        <w:t>）。</w:t>
      </w:r>
      <w:r>
        <w:rPr>
          <w:rFonts w:hint="eastAsia"/>
          <w:b/>
          <w:color w:val="auto"/>
          <w:szCs w:val="21"/>
          <w:highlight w:val="none"/>
        </w:rPr>
        <w:t>（如招标文件有要求时提供）</w:t>
      </w:r>
    </w:p>
    <w:p w14:paraId="780D861C">
      <w:pPr>
        <w:snapToGrid w:val="0"/>
        <w:spacing w:before="50" w:after="120" w:afterLines="50" w:line="440" w:lineRule="exact"/>
        <w:jc w:val="left"/>
        <w:rPr>
          <w:color w:val="auto"/>
          <w:szCs w:val="21"/>
          <w:highlight w:val="none"/>
        </w:rPr>
      </w:pPr>
    </w:p>
    <w:p w14:paraId="216338B1">
      <w:pPr>
        <w:rPr>
          <w:b/>
          <w:color w:val="auto"/>
          <w:szCs w:val="21"/>
          <w:highlight w:val="none"/>
        </w:rPr>
      </w:pPr>
      <w:bookmarkStart w:id="72" w:name="_Hlk132879806"/>
      <w:r>
        <w:rPr>
          <w:color w:val="auto"/>
          <w:szCs w:val="21"/>
          <w:highlight w:val="none"/>
        </w:rPr>
        <w:t>6．</w:t>
      </w:r>
      <w:r>
        <w:rPr>
          <w:rFonts w:hint="eastAsia"/>
          <w:color w:val="auto"/>
          <w:highlight w:val="none"/>
        </w:rPr>
        <w:t>落实政府采购政策需满足的资格要求</w:t>
      </w:r>
      <w:r>
        <w:rPr>
          <w:color w:val="auto"/>
          <w:highlight w:val="none"/>
        </w:rPr>
        <w:t>（</w:t>
      </w:r>
      <w:r>
        <w:rPr>
          <w:color w:val="auto"/>
          <w:szCs w:val="21"/>
          <w:highlight w:val="none"/>
        </w:rPr>
        <w:t>按“评审方法及标准” “资格审查表”规定提供</w:t>
      </w:r>
      <w:r>
        <w:rPr>
          <w:color w:val="auto"/>
          <w:highlight w:val="none"/>
        </w:rPr>
        <w:t>）。</w:t>
      </w:r>
      <w:r>
        <w:rPr>
          <w:rFonts w:hint="eastAsia"/>
          <w:b/>
          <w:color w:val="auto"/>
          <w:szCs w:val="21"/>
          <w:highlight w:val="none"/>
        </w:rPr>
        <w:t>（如招标文件有要求时提供）</w:t>
      </w:r>
      <w:bookmarkEnd w:id="72"/>
      <w:bookmarkStart w:id="73" w:name="_Hlk132879836"/>
    </w:p>
    <w:p w14:paraId="1D72C21B">
      <w:pPr>
        <w:rPr>
          <w:b/>
          <w:color w:val="auto"/>
          <w:szCs w:val="21"/>
          <w:highlight w:val="none"/>
        </w:rPr>
      </w:pPr>
      <w:r>
        <w:rPr>
          <w:rFonts w:hint="eastAsia"/>
          <w:b/>
          <w:color w:val="auto"/>
          <w:szCs w:val="21"/>
          <w:highlight w:val="none"/>
        </w:rPr>
        <w:br w:type="page"/>
      </w:r>
    </w:p>
    <w:bookmarkEnd w:id="73"/>
    <w:p w14:paraId="492F4FC5">
      <w:pPr>
        <w:widowControl/>
        <w:jc w:val="left"/>
        <w:rPr>
          <w:b/>
          <w:color w:val="auto"/>
          <w:szCs w:val="21"/>
          <w:highlight w:val="none"/>
        </w:rPr>
      </w:pPr>
      <w:r>
        <w:rPr>
          <w:color w:val="auto"/>
          <w:szCs w:val="21"/>
          <w:highlight w:val="none"/>
        </w:rPr>
        <w:t>7．</w:t>
      </w:r>
      <w:r>
        <w:rPr>
          <w:color w:val="auto"/>
          <w:highlight w:val="none"/>
        </w:rPr>
        <w:t>满足供应商特定资格条件的其他证明材料</w:t>
      </w:r>
      <w:r>
        <w:rPr>
          <w:color w:val="auto"/>
          <w:szCs w:val="21"/>
          <w:highlight w:val="none"/>
        </w:rPr>
        <w:t>加盖供应商</w:t>
      </w:r>
      <w:r>
        <w:rPr>
          <w:rFonts w:hint="eastAsia"/>
          <w:color w:val="auto"/>
          <w:szCs w:val="21"/>
          <w:highlight w:val="none"/>
        </w:rPr>
        <w:t>电子签章</w:t>
      </w:r>
      <w:r>
        <w:rPr>
          <w:color w:val="auto"/>
          <w:highlight w:val="none"/>
        </w:rPr>
        <w:t>（</w:t>
      </w:r>
      <w:r>
        <w:rPr>
          <w:color w:val="auto"/>
          <w:szCs w:val="21"/>
          <w:highlight w:val="none"/>
        </w:rPr>
        <w:t>按“评审方法及标准” “资格审查表”“</w:t>
      </w:r>
      <w:r>
        <w:rPr>
          <w:color w:val="auto"/>
          <w:szCs w:val="21"/>
          <w:highlight w:val="none"/>
          <w:lang w:val="zh-CN"/>
        </w:rPr>
        <w:t xml:space="preserve"> 供应商应符合的</w:t>
      </w:r>
      <w:r>
        <w:rPr>
          <w:color w:val="auto"/>
          <w:szCs w:val="21"/>
          <w:highlight w:val="none"/>
        </w:rPr>
        <w:t>特定资格条件”规定提供</w:t>
      </w:r>
      <w:r>
        <w:rPr>
          <w:color w:val="auto"/>
          <w:highlight w:val="none"/>
        </w:rPr>
        <w:t>）。</w:t>
      </w:r>
      <w:r>
        <w:rPr>
          <w:rFonts w:hint="eastAsia"/>
          <w:b/>
          <w:color w:val="auto"/>
          <w:szCs w:val="21"/>
          <w:highlight w:val="none"/>
        </w:rPr>
        <w:t>（如招标文件有要求时提供）</w:t>
      </w:r>
    </w:p>
    <w:p w14:paraId="041B9DD1">
      <w:pPr>
        <w:snapToGrid w:val="0"/>
        <w:spacing w:before="50" w:after="120" w:afterLines="50" w:line="360" w:lineRule="auto"/>
        <w:jc w:val="left"/>
        <w:rPr>
          <w:color w:val="auto"/>
          <w:szCs w:val="21"/>
          <w:highlight w:val="none"/>
        </w:rPr>
        <w:sectPr>
          <w:headerReference r:id="rId15" w:type="default"/>
          <w:footerReference r:id="rId16" w:type="default"/>
          <w:pgSz w:w="11906" w:h="16838"/>
          <w:pgMar w:top="1418" w:right="1133" w:bottom="1246" w:left="1418" w:header="851" w:footer="992" w:gutter="0"/>
          <w:cols w:space="720" w:num="1"/>
          <w:docGrid w:linePitch="312" w:charSpace="0"/>
        </w:sectPr>
      </w:pPr>
    </w:p>
    <w:p w14:paraId="7DEAFBDB">
      <w:pPr>
        <w:snapToGrid w:val="0"/>
        <w:spacing w:before="50" w:after="120" w:afterLines="50" w:line="360" w:lineRule="auto"/>
        <w:jc w:val="left"/>
        <w:rPr>
          <w:color w:val="auto"/>
          <w:szCs w:val="21"/>
          <w:highlight w:val="none"/>
        </w:rPr>
      </w:pPr>
      <w:r>
        <w:rPr>
          <w:rFonts w:hint="eastAsia"/>
          <w:color w:val="auto"/>
          <w:szCs w:val="21"/>
          <w:highlight w:val="none"/>
        </w:rPr>
        <w:t>7</w:t>
      </w:r>
      <w:r>
        <w:rPr>
          <w:color w:val="auto"/>
          <w:szCs w:val="21"/>
          <w:highlight w:val="none"/>
        </w:rPr>
        <w:t>.1</w:t>
      </w:r>
      <w:r>
        <w:rPr>
          <w:rFonts w:hint="eastAsia"/>
          <w:color w:val="auto"/>
          <w:szCs w:val="21"/>
          <w:highlight w:val="none"/>
        </w:rPr>
        <w:t>投标人直接控股股东信息表</w:t>
      </w:r>
    </w:p>
    <w:tbl>
      <w:tblPr>
        <w:tblStyle w:val="51"/>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5F160967">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C7C4EEF">
            <w:pPr>
              <w:spacing w:line="360" w:lineRule="auto"/>
              <w:jc w:val="center"/>
              <w:rPr>
                <w:color w:val="auto"/>
                <w:szCs w:val="21"/>
                <w:highlight w:val="none"/>
              </w:rPr>
            </w:pPr>
            <w:r>
              <w:rPr>
                <w:rFonts w:hint="eastAsia"/>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092A522">
            <w:pPr>
              <w:spacing w:line="360" w:lineRule="auto"/>
              <w:jc w:val="center"/>
              <w:rPr>
                <w:color w:val="auto"/>
                <w:szCs w:val="21"/>
                <w:highlight w:val="none"/>
              </w:rPr>
            </w:pPr>
            <w:r>
              <w:rPr>
                <w:rFonts w:hint="eastAsia"/>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24FF820">
            <w:pPr>
              <w:spacing w:line="360" w:lineRule="auto"/>
              <w:jc w:val="center"/>
              <w:rPr>
                <w:color w:val="auto"/>
                <w:szCs w:val="21"/>
                <w:highlight w:val="none"/>
              </w:rPr>
            </w:pPr>
            <w:r>
              <w:rPr>
                <w:rFonts w:hint="eastAsia"/>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7108DC1">
            <w:pPr>
              <w:spacing w:line="360" w:lineRule="auto"/>
              <w:jc w:val="center"/>
              <w:rPr>
                <w:color w:val="auto"/>
                <w:szCs w:val="21"/>
                <w:highlight w:val="none"/>
              </w:rPr>
            </w:pPr>
            <w:r>
              <w:rPr>
                <w:rFonts w:hint="eastAsia"/>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E6D741D">
            <w:pPr>
              <w:spacing w:line="360" w:lineRule="auto"/>
              <w:jc w:val="center"/>
              <w:rPr>
                <w:color w:val="auto"/>
                <w:szCs w:val="21"/>
                <w:highlight w:val="none"/>
              </w:rPr>
            </w:pPr>
            <w:r>
              <w:rPr>
                <w:rFonts w:hint="eastAsia"/>
                <w:color w:val="auto"/>
                <w:szCs w:val="21"/>
                <w:highlight w:val="none"/>
              </w:rPr>
              <w:t>备注</w:t>
            </w:r>
          </w:p>
        </w:tc>
      </w:tr>
      <w:tr w14:paraId="6FD7D2E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7F601E6">
            <w:pPr>
              <w:spacing w:line="360" w:lineRule="auto"/>
              <w:jc w:val="center"/>
              <w:rPr>
                <w:color w:val="auto"/>
                <w:szCs w:val="21"/>
                <w:highlight w:val="none"/>
              </w:rPr>
            </w:pPr>
            <w:r>
              <w:rPr>
                <w:rFonts w:hint="eastAsia"/>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907EAA3">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B12427E">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20F3BE7">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01D419F">
            <w:pPr>
              <w:spacing w:line="360" w:lineRule="auto"/>
              <w:jc w:val="center"/>
              <w:rPr>
                <w:color w:val="auto"/>
                <w:szCs w:val="21"/>
                <w:highlight w:val="none"/>
              </w:rPr>
            </w:pPr>
          </w:p>
        </w:tc>
      </w:tr>
      <w:tr w14:paraId="2930AFB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4429EE3">
            <w:pPr>
              <w:spacing w:line="360" w:lineRule="auto"/>
              <w:jc w:val="center"/>
              <w:rPr>
                <w:color w:val="auto"/>
                <w:szCs w:val="21"/>
                <w:highlight w:val="none"/>
              </w:rPr>
            </w:pPr>
            <w:r>
              <w:rPr>
                <w:rFonts w:hint="eastAsia"/>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97BE480">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C5B4E92">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38DDBFC">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C33DC50">
            <w:pPr>
              <w:spacing w:line="360" w:lineRule="auto"/>
              <w:jc w:val="center"/>
              <w:rPr>
                <w:color w:val="auto"/>
                <w:szCs w:val="21"/>
                <w:highlight w:val="none"/>
              </w:rPr>
            </w:pPr>
          </w:p>
        </w:tc>
      </w:tr>
      <w:tr w14:paraId="4304EFB4">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A147F8E">
            <w:pPr>
              <w:spacing w:line="360" w:lineRule="auto"/>
              <w:jc w:val="center"/>
              <w:rPr>
                <w:color w:val="auto"/>
                <w:szCs w:val="21"/>
                <w:highlight w:val="none"/>
              </w:rPr>
            </w:pPr>
            <w:r>
              <w:rPr>
                <w:rFonts w:hint="eastAsia"/>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7D992D4">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58D4055">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0B50BBD">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42C9C0F">
            <w:pPr>
              <w:spacing w:line="360" w:lineRule="auto"/>
              <w:jc w:val="center"/>
              <w:rPr>
                <w:color w:val="auto"/>
                <w:szCs w:val="21"/>
                <w:highlight w:val="none"/>
              </w:rPr>
            </w:pPr>
          </w:p>
        </w:tc>
      </w:tr>
      <w:tr w14:paraId="35FB44E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8E3F0C7">
            <w:pPr>
              <w:spacing w:line="360" w:lineRule="auto"/>
              <w:jc w:val="center"/>
              <w:rPr>
                <w:color w:val="auto"/>
                <w:szCs w:val="21"/>
                <w:highlight w:val="none"/>
              </w:rPr>
            </w:pPr>
            <w:r>
              <w:rPr>
                <w:rFonts w:hint="eastAsia"/>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6C72A2C">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3EDD590">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41C9D55">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07893A7">
            <w:pPr>
              <w:spacing w:line="360" w:lineRule="auto"/>
              <w:jc w:val="center"/>
              <w:rPr>
                <w:color w:val="auto"/>
                <w:szCs w:val="21"/>
                <w:highlight w:val="none"/>
              </w:rPr>
            </w:pPr>
          </w:p>
        </w:tc>
      </w:tr>
    </w:tbl>
    <w:p w14:paraId="36E2B377">
      <w:pPr>
        <w:snapToGrid w:val="0"/>
        <w:spacing w:line="360" w:lineRule="auto"/>
        <w:jc w:val="left"/>
        <w:rPr>
          <w:color w:val="auto"/>
          <w:szCs w:val="21"/>
          <w:highlight w:val="none"/>
        </w:rPr>
      </w:pPr>
      <w:r>
        <w:rPr>
          <w:rFonts w:hint="eastAsia"/>
          <w:color w:val="auto"/>
          <w:szCs w:val="21"/>
          <w:highlight w:val="none"/>
        </w:rPr>
        <w:t>注：</w:t>
      </w:r>
    </w:p>
    <w:p w14:paraId="34D9AFD0">
      <w:pPr>
        <w:snapToGrid w:val="0"/>
        <w:spacing w:line="360" w:lineRule="auto"/>
        <w:jc w:val="left"/>
        <w:rPr>
          <w:color w:val="auto"/>
          <w:szCs w:val="21"/>
          <w:highlight w:val="none"/>
        </w:rPr>
      </w:pPr>
      <w:r>
        <w:rPr>
          <w:rFonts w:hint="eastAsia"/>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6C9D9F0">
      <w:pPr>
        <w:snapToGrid w:val="0"/>
        <w:spacing w:line="360" w:lineRule="auto"/>
        <w:jc w:val="left"/>
        <w:rPr>
          <w:color w:val="auto"/>
          <w:szCs w:val="21"/>
          <w:highlight w:val="none"/>
        </w:rPr>
      </w:pPr>
      <w:r>
        <w:rPr>
          <w:rFonts w:hint="eastAsia"/>
          <w:color w:val="auto"/>
          <w:szCs w:val="21"/>
          <w:highlight w:val="none"/>
        </w:rPr>
        <w:t>2.本表所指的控股关系仅限于直接控股关系，不包括间接的控股关系。公司实际控制人与公司之间的关系不属于本表所指的直接控股关系。</w:t>
      </w:r>
    </w:p>
    <w:p w14:paraId="5A8775E6">
      <w:pPr>
        <w:snapToGrid w:val="0"/>
        <w:spacing w:line="360" w:lineRule="auto"/>
        <w:jc w:val="left"/>
        <w:rPr>
          <w:color w:val="auto"/>
          <w:szCs w:val="21"/>
          <w:highlight w:val="none"/>
        </w:rPr>
      </w:pPr>
      <w:r>
        <w:rPr>
          <w:rFonts w:hint="eastAsia"/>
          <w:color w:val="auto"/>
          <w:szCs w:val="21"/>
          <w:highlight w:val="none"/>
        </w:rPr>
        <w:t>3.供应商不存在直接控股股东的，则填“无”。</w:t>
      </w:r>
    </w:p>
    <w:p w14:paraId="5CD6E302">
      <w:pPr>
        <w:snapToGrid w:val="0"/>
        <w:spacing w:line="360" w:lineRule="auto"/>
        <w:jc w:val="left"/>
        <w:rPr>
          <w:color w:val="auto"/>
          <w:szCs w:val="21"/>
          <w:highlight w:val="none"/>
        </w:rPr>
      </w:pPr>
    </w:p>
    <w:p w14:paraId="7D60B6A9">
      <w:pPr>
        <w:snapToGrid w:val="0"/>
        <w:spacing w:line="360" w:lineRule="auto"/>
        <w:jc w:val="left"/>
        <w:rPr>
          <w:color w:val="auto"/>
          <w:szCs w:val="21"/>
          <w:highlight w:val="none"/>
        </w:rPr>
      </w:pPr>
    </w:p>
    <w:p w14:paraId="2A9A6AC4">
      <w:pPr>
        <w:snapToGrid w:val="0"/>
        <w:spacing w:line="360" w:lineRule="auto"/>
        <w:jc w:val="left"/>
        <w:rPr>
          <w:color w:val="auto"/>
          <w:szCs w:val="21"/>
          <w:highlight w:val="none"/>
        </w:rPr>
      </w:pPr>
    </w:p>
    <w:p w14:paraId="29C3719D">
      <w:pPr>
        <w:snapToGrid w:val="0"/>
        <w:spacing w:line="360" w:lineRule="auto"/>
        <w:jc w:val="left"/>
        <w:rPr>
          <w:color w:val="auto"/>
          <w:szCs w:val="21"/>
          <w:highlight w:val="none"/>
        </w:rPr>
      </w:pPr>
    </w:p>
    <w:p w14:paraId="20002692">
      <w:pPr>
        <w:snapToGrid w:val="0"/>
        <w:spacing w:line="360" w:lineRule="auto"/>
        <w:jc w:val="left"/>
        <w:rPr>
          <w:color w:val="auto"/>
          <w:szCs w:val="21"/>
          <w:highlight w:val="none"/>
        </w:rPr>
      </w:pPr>
    </w:p>
    <w:p w14:paraId="0B156304">
      <w:pP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17126BC8">
      <w:pPr>
        <w:snapToGrid w:val="0"/>
        <w:spacing w:line="360" w:lineRule="auto"/>
        <w:ind w:firstLine="4515" w:firstLineChars="2150"/>
        <w:rPr>
          <w:color w:val="auto"/>
          <w:szCs w:val="21"/>
          <w:highlight w:val="none"/>
        </w:rPr>
      </w:pPr>
      <w:r>
        <w:rPr>
          <w:rFonts w:hint="eastAsia"/>
          <w:color w:val="auto"/>
          <w:szCs w:val="21"/>
          <w:highlight w:val="none"/>
        </w:rPr>
        <w:t>日期：  年  月   日</w:t>
      </w:r>
    </w:p>
    <w:p w14:paraId="5B572673">
      <w:pPr>
        <w:snapToGrid w:val="0"/>
        <w:spacing w:line="360" w:lineRule="auto"/>
        <w:jc w:val="left"/>
        <w:rPr>
          <w:color w:val="auto"/>
          <w:szCs w:val="21"/>
          <w:highlight w:val="none"/>
        </w:rPr>
      </w:pPr>
      <w:r>
        <w:rPr>
          <w:color w:val="auto"/>
          <w:szCs w:val="21"/>
          <w:highlight w:val="none"/>
        </w:rPr>
        <w:br w:type="page"/>
      </w:r>
      <w:r>
        <w:rPr>
          <w:rFonts w:hint="eastAsia"/>
          <w:color w:val="auto"/>
          <w:szCs w:val="21"/>
          <w:highlight w:val="none"/>
        </w:rPr>
        <w:t>7</w:t>
      </w:r>
      <w:r>
        <w:rPr>
          <w:color w:val="auto"/>
          <w:szCs w:val="21"/>
          <w:highlight w:val="none"/>
        </w:rPr>
        <w:t>.2</w:t>
      </w:r>
      <w:r>
        <w:rPr>
          <w:rFonts w:hint="eastAsia"/>
          <w:color w:val="auto"/>
          <w:szCs w:val="21"/>
          <w:highlight w:val="none"/>
        </w:rPr>
        <w:t>投标人直接管理关系信息表</w:t>
      </w:r>
    </w:p>
    <w:tbl>
      <w:tblPr>
        <w:tblStyle w:val="51"/>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1035CC19">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758AF613">
            <w:pPr>
              <w:spacing w:line="360" w:lineRule="auto"/>
              <w:jc w:val="center"/>
              <w:rPr>
                <w:color w:val="auto"/>
                <w:szCs w:val="21"/>
                <w:highlight w:val="none"/>
              </w:rPr>
            </w:pPr>
            <w:r>
              <w:rPr>
                <w:rFonts w:hint="eastAsia"/>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23D43D4B">
            <w:pPr>
              <w:spacing w:line="360" w:lineRule="auto"/>
              <w:jc w:val="center"/>
              <w:rPr>
                <w:color w:val="auto"/>
                <w:szCs w:val="21"/>
                <w:highlight w:val="none"/>
              </w:rPr>
            </w:pPr>
            <w:r>
              <w:rPr>
                <w:rFonts w:hint="eastAsia"/>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2DC4FDA3">
            <w:pPr>
              <w:spacing w:line="360" w:lineRule="auto"/>
              <w:jc w:val="center"/>
              <w:rPr>
                <w:color w:val="auto"/>
                <w:szCs w:val="21"/>
                <w:highlight w:val="none"/>
              </w:rPr>
            </w:pPr>
            <w:r>
              <w:rPr>
                <w:rFonts w:hint="eastAsia"/>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2B41EBCD">
            <w:pPr>
              <w:spacing w:line="360" w:lineRule="auto"/>
              <w:jc w:val="center"/>
              <w:rPr>
                <w:color w:val="auto"/>
                <w:szCs w:val="21"/>
                <w:highlight w:val="none"/>
              </w:rPr>
            </w:pPr>
            <w:r>
              <w:rPr>
                <w:rFonts w:hint="eastAsia"/>
                <w:color w:val="auto"/>
                <w:szCs w:val="21"/>
                <w:highlight w:val="none"/>
              </w:rPr>
              <w:t>备注</w:t>
            </w:r>
          </w:p>
        </w:tc>
      </w:tr>
      <w:tr w14:paraId="2B2B431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3C3BECFD">
            <w:pPr>
              <w:spacing w:line="360" w:lineRule="auto"/>
              <w:jc w:val="center"/>
              <w:rPr>
                <w:color w:val="auto"/>
                <w:szCs w:val="21"/>
                <w:highlight w:val="none"/>
              </w:rPr>
            </w:pPr>
            <w:r>
              <w:rPr>
                <w:rFonts w:hint="eastAsia"/>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4DB80753">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397F3C9F">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7E7EB273">
            <w:pPr>
              <w:spacing w:line="360" w:lineRule="auto"/>
              <w:jc w:val="center"/>
              <w:rPr>
                <w:color w:val="auto"/>
                <w:szCs w:val="21"/>
                <w:highlight w:val="none"/>
              </w:rPr>
            </w:pPr>
          </w:p>
        </w:tc>
      </w:tr>
      <w:tr w14:paraId="35807380">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513620A2">
            <w:pPr>
              <w:spacing w:line="360" w:lineRule="auto"/>
              <w:jc w:val="center"/>
              <w:rPr>
                <w:color w:val="auto"/>
                <w:szCs w:val="21"/>
                <w:highlight w:val="none"/>
              </w:rPr>
            </w:pPr>
            <w:r>
              <w:rPr>
                <w:rFonts w:hint="eastAsia"/>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57B9288C">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37C3AC5F">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1AB4307A">
            <w:pPr>
              <w:spacing w:line="360" w:lineRule="auto"/>
              <w:jc w:val="center"/>
              <w:rPr>
                <w:color w:val="auto"/>
                <w:szCs w:val="21"/>
                <w:highlight w:val="none"/>
              </w:rPr>
            </w:pPr>
          </w:p>
        </w:tc>
      </w:tr>
      <w:tr w14:paraId="10D2C89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23C98494">
            <w:pPr>
              <w:spacing w:line="360" w:lineRule="auto"/>
              <w:jc w:val="center"/>
              <w:rPr>
                <w:color w:val="auto"/>
                <w:szCs w:val="21"/>
                <w:highlight w:val="none"/>
              </w:rPr>
            </w:pPr>
            <w:r>
              <w:rPr>
                <w:rFonts w:hint="eastAsia"/>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6EC14FC8">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46F22F1D">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4C8510FE">
            <w:pPr>
              <w:spacing w:line="360" w:lineRule="auto"/>
              <w:jc w:val="center"/>
              <w:rPr>
                <w:color w:val="auto"/>
                <w:szCs w:val="21"/>
                <w:highlight w:val="none"/>
              </w:rPr>
            </w:pPr>
          </w:p>
        </w:tc>
      </w:tr>
      <w:tr w14:paraId="7F86DC9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7D9F6F60">
            <w:pPr>
              <w:spacing w:line="360" w:lineRule="auto"/>
              <w:jc w:val="center"/>
              <w:rPr>
                <w:color w:val="auto"/>
                <w:szCs w:val="21"/>
                <w:highlight w:val="none"/>
              </w:rPr>
            </w:pPr>
            <w:r>
              <w:rPr>
                <w:rFonts w:hint="eastAsia"/>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4F140A6D">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59273C1E">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1577DE5D">
            <w:pPr>
              <w:spacing w:line="360" w:lineRule="auto"/>
              <w:jc w:val="center"/>
              <w:rPr>
                <w:color w:val="auto"/>
                <w:szCs w:val="21"/>
                <w:highlight w:val="none"/>
              </w:rPr>
            </w:pPr>
          </w:p>
        </w:tc>
      </w:tr>
    </w:tbl>
    <w:p w14:paraId="2C49F4D8">
      <w:pPr>
        <w:snapToGrid w:val="0"/>
        <w:spacing w:line="360" w:lineRule="auto"/>
        <w:jc w:val="left"/>
        <w:rPr>
          <w:color w:val="auto"/>
          <w:szCs w:val="21"/>
          <w:highlight w:val="none"/>
        </w:rPr>
      </w:pPr>
      <w:r>
        <w:rPr>
          <w:rFonts w:hint="eastAsia"/>
          <w:color w:val="auto"/>
          <w:szCs w:val="21"/>
          <w:highlight w:val="none"/>
        </w:rPr>
        <w:t>注：</w:t>
      </w:r>
    </w:p>
    <w:p w14:paraId="408018D7">
      <w:pPr>
        <w:snapToGrid w:val="0"/>
        <w:spacing w:line="360" w:lineRule="auto"/>
        <w:ind w:firstLine="420" w:firstLineChars="200"/>
        <w:jc w:val="left"/>
        <w:rPr>
          <w:color w:val="auto"/>
          <w:szCs w:val="21"/>
          <w:highlight w:val="none"/>
        </w:rPr>
      </w:pPr>
      <w:r>
        <w:rPr>
          <w:rFonts w:hint="eastAsia"/>
          <w:color w:val="auto"/>
          <w:szCs w:val="21"/>
          <w:highlight w:val="none"/>
        </w:rPr>
        <w:t>1.管理关系：是指不具有出资持股关系的其他单位之间存在的管理与被管理关系，如一些上下级关系的事业单位和团体组织。</w:t>
      </w:r>
    </w:p>
    <w:p w14:paraId="2FF6C8DD">
      <w:pPr>
        <w:snapToGrid w:val="0"/>
        <w:spacing w:line="360" w:lineRule="auto"/>
        <w:ind w:firstLine="420" w:firstLineChars="200"/>
        <w:jc w:val="left"/>
        <w:rPr>
          <w:color w:val="auto"/>
          <w:szCs w:val="21"/>
          <w:highlight w:val="none"/>
        </w:rPr>
      </w:pPr>
      <w:r>
        <w:rPr>
          <w:rFonts w:hint="eastAsia"/>
          <w:color w:val="auto"/>
          <w:szCs w:val="21"/>
          <w:highlight w:val="none"/>
        </w:rPr>
        <w:t>2.本表所指的管理关系仅限于直接管理关系，不包括间接的管理关系。</w:t>
      </w:r>
    </w:p>
    <w:p w14:paraId="08D0AC95">
      <w:pPr>
        <w:snapToGrid w:val="0"/>
        <w:spacing w:line="360" w:lineRule="auto"/>
        <w:ind w:firstLine="420" w:firstLineChars="200"/>
        <w:jc w:val="left"/>
        <w:rPr>
          <w:color w:val="auto"/>
          <w:szCs w:val="21"/>
          <w:highlight w:val="none"/>
        </w:rPr>
      </w:pPr>
      <w:r>
        <w:rPr>
          <w:rFonts w:hint="eastAsia"/>
          <w:color w:val="auto"/>
          <w:szCs w:val="21"/>
          <w:highlight w:val="none"/>
        </w:rPr>
        <w:t>3.供应商不存在直接管理关系的，则填“无”。</w:t>
      </w:r>
    </w:p>
    <w:p w14:paraId="7664C2F2">
      <w:pPr>
        <w:snapToGrid w:val="0"/>
        <w:spacing w:line="360" w:lineRule="auto"/>
        <w:jc w:val="left"/>
        <w:rPr>
          <w:color w:val="auto"/>
          <w:szCs w:val="21"/>
          <w:highlight w:val="none"/>
        </w:rPr>
      </w:pPr>
    </w:p>
    <w:p w14:paraId="0AA0BB59">
      <w:pPr>
        <w:snapToGrid w:val="0"/>
        <w:spacing w:line="360" w:lineRule="auto"/>
        <w:jc w:val="left"/>
        <w:rPr>
          <w:color w:val="auto"/>
          <w:szCs w:val="21"/>
          <w:highlight w:val="none"/>
        </w:rPr>
      </w:pPr>
    </w:p>
    <w:p w14:paraId="02CD0D9C">
      <w:pPr>
        <w:snapToGrid w:val="0"/>
        <w:spacing w:line="360" w:lineRule="auto"/>
        <w:jc w:val="left"/>
        <w:rPr>
          <w:color w:val="auto"/>
          <w:szCs w:val="21"/>
          <w:highlight w:val="none"/>
        </w:rPr>
      </w:pPr>
    </w:p>
    <w:p w14:paraId="5B7A1136">
      <w:pPr>
        <w:snapToGrid w:val="0"/>
        <w:spacing w:line="360" w:lineRule="auto"/>
        <w:jc w:val="left"/>
        <w:rPr>
          <w:color w:val="auto"/>
          <w:szCs w:val="21"/>
          <w:highlight w:val="none"/>
        </w:rPr>
      </w:pPr>
    </w:p>
    <w:p w14:paraId="5FB853A9">
      <w:pPr>
        <w:snapToGrid w:val="0"/>
        <w:spacing w:line="360" w:lineRule="auto"/>
        <w:jc w:val="left"/>
        <w:rPr>
          <w:color w:val="auto"/>
          <w:szCs w:val="21"/>
          <w:highlight w:val="none"/>
        </w:rPr>
      </w:pPr>
    </w:p>
    <w:p w14:paraId="598D9F03">
      <w:pPr>
        <w:snapToGrid w:val="0"/>
        <w:spacing w:line="360" w:lineRule="auto"/>
        <w:jc w:val="left"/>
        <w:rPr>
          <w:color w:val="auto"/>
          <w:szCs w:val="21"/>
          <w:highlight w:val="none"/>
        </w:rPr>
      </w:pPr>
    </w:p>
    <w:p w14:paraId="11A42034">
      <w:pPr>
        <w:snapToGrid w:val="0"/>
        <w:spacing w:line="360" w:lineRule="auto"/>
        <w:jc w:val="left"/>
        <w:rPr>
          <w:color w:val="auto"/>
          <w:szCs w:val="21"/>
          <w:highlight w:val="none"/>
        </w:rPr>
      </w:pPr>
    </w:p>
    <w:p w14:paraId="586FE304">
      <w:pPr>
        <w:snapToGrid w:val="0"/>
        <w:spacing w:line="360" w:lineRule="auto"/>
        <w:jc w:val="left"/>
        <w:rPr>
          <w:color w:val="auto"/>
          <w:szCs w:val="21"/>
          <w:highlight w:val="none"/>
        </w:rPr>
      </w:pPr>
    </w:p>
    <w:p w14:paraId="6053595B">
      <w:pP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7B524377">
      <w:pPr>
        <w:snapToGrid w:val="0"/>
        <w:spacing w:line="360" w:lineRule="auto"/>
        <w:ind w:firstLine="4515" w:firstLineChars="2150"/>
        <w:rPr>
          <w:color w:val="auto"/>
          <w:szCs w:val="21"/>
          <w:highlight w:val="none"/>
        </w:rPr>
      </w:pPr>
      <w:r>
        <w:rPr>
          <w:rFonts w:hint="eastAsia"/>
          <w:color w:val="auto"/>
          <w:szCs w:val="21"/>
          <w:highlight w:val="none"/>
        </w:rPr>
        <w:t>日期：  年  月   日</w:t>
      </w:r>
    </w:p>
    <w:p w14:paraId="4A5D9E0F">
      <w:pPr>
        <w:snapToGrid w:val="0"/>
        <w:spacing w:before="50" w:after="120" w:afterLines="50" w:line="440" w:lineRule="exact"/>
        <w:jc w:val="left"/>
        <w:rPr>
          <w:b/>
          <w:color w:val="auto"/>
          <w:szCs w:val="21"/>
          <w:highlight w:val="none"/>
        </w:rPr>
      </w:pPr>
    </w:p>
    <w:p w14:paraId="15B3E9A7">
      <w:pPr>
        <w:snapToGrid w:val="0"/>
        <w:spacing w:before="50" w:after="120" w:afterLines="50" w:line="440" w:lineRule="exact"/>
        <w:jc w:val="left"/>
        <w:rPr>
          <w:b/>
          <w:color w:val="auto"/>
          <w:szCs w:val="21"/>
          <w:highlight w:val="none"/>
        </w:rPr>
      </w:pPr>
      <w:r>
        <w:rPr>
          <w:b/>
          <w:color w:val="auto"/>
          <w:szCs w:val="21"/>
          <w:highlight w:val="none"/>
        </w:rPr>
        <w:br w:type="page"/>
      </w:r>
      <w:r>
        <w:rPr>
          <w:rFonts w:hint="eastAsia"/>
          <w:color w:val="auto"/>
          <w:szCs w:val="21"/>
          <w:highlight w:val="none"/>
        </w:rPr>
        <w:t>8</w:t>
      </w:r>
      <w:r>
        <w:rPr>
          <w:color w:val="auto"/>
          <w:szCs w:val="21"/>
          <w:highlight w:val="none"/>
        </w:rPr>
        <w:t>．投标保证金缴纳证明</w:t>
      </w:r>
      <w:r>
        <w:rPr>
          <w:rFonts w:hint="eastAsia"/>
          <w:color w:val="auto"/>
          <w:szCs w:val="21"/>
          <w:highlight w:val="none"/>
        </w:rPr>
        <w:t>。</w:t>
      </w:r>
      <w:r>
        <w:rPr>
          <w:rFonts w:hint="eastAsia"/>
          <w:b/>
          <w:color w:val="auto"/>
          <w:szCs w:val="21"/>
          <w:highlight w:val="none"/>
        </w:rPr>
        <w:t>（如招标文件有要求时提供）</w:t>
      </w:r>
    </w:p>
    <w:p w14:paraId="2C00A470">
      <w:pPr>
        <w:snapToGrid w:val="0"/>
        <w:spacing w:before="50" w:after="120" w:afterLines="50" w:line="440" w:lineRule="exact"/>
        <w:jc w:val="left"/>
        <w:rPr>
          <w:color w:val="auto"/>
          <w:highlight w:val="none"/>
        </w:rPr>
      </w:pPr>
      <w:r>
        <w:rPr>
          <w:rFonts w:hint="eastAsia"/>
          <w:color w:val="auto"/>
          <w:highlight w:val="none"/>
        </w:rPr>
        <w:t>（1）以转账、电汇形式缴纳的，提供转账、电汇凭证扫描件或复印件（网银可提供截图）</w:t>
      </w:r>
      <w:r>
        <w:rPr>
          <w:color w:val="auto"/>
          <w:highlight w:val="none"/>
        </w:rPr>
        <w:t>加盖</w:t>
      </w:r>
      <w:r>
        <w:rPr>
          <w:rFonts w:hint="eastAsia"/>
          <w:color w:val="auto"/>
          <w:highlight w:val="none"/>
        </w:rPr>
        <w:t>供应商电子签章；</w:t>
      </w:r>
    </w:p>
    <w:p w14:paraId="62C9013D">
      <w:pPr>
        <w:snapToGrid w:val="0"/>
        <w:spacing w:before="50" w:after="120" w:afterLines="50" w:line="440" w:lineRule="exact"/>
        <w:jc w:val="left"/>
        <w:rPr>
          <w:color w:val="auto"/>
          <w:szCs w:val="21"/>
          <w:highlight w:val="none"/>
        </w:rPr>
      </w:pPr>
      <w:r>
        <w:rPr>
          <w:rFonts w:hint="eastAsia"/>
          <w:color w:val="auto"/>
          <w:highlight w:val="none"/>
        </w:rPr>
        <w:t>（2）以支票、汇票、本票或金融机构、担保机构出具的保函等非现金形式缴纳的，提供原件扫描件或复印件并加盖供应商电子签章。投标保函参考如下格式开具：</w:t>
      </w:r>
    </w:p>
    <w:p w14:paraId="3A477EF5">
      <w:pPr>
        <w:spacing w:line="360" w:lineRule="auto"/>
        <w:jc w:val="center"/>
        <w:rPr>
          <w:b/>
          <w:bCs/>
          <w:color w:val="auto"/>
          <w:sz w:val="28"/>
          <w:szCs w:val="36"/>
          <w:highlight w:val="none"/>
        </w:rPr>
      </w:pPr>
    </w:p>
    <w:p w14:paraId="4CC5F878">
      <w:pPr>
        <w:spacing w:line="360" w:lineRule="auto"/>
        <w:jc w:val="center"/>
        <w:rPr>
          <w:b/>
          <w:bCs/>
          <w:color w:val="auto"/>
          <w:sz w:val="28"/>
          <w:szCs w:val="36"/>
          <w:highlight w:val="none"/>
        </w:rPr>
      </w:pPr>
      <w:r>
        <w:rPr>
          <w:rFonts w:hint="eastAsia"/>
          <w:b/>
          <w:bCs/>
          <w:color w:val="auto"/>
          <w:sz w:val="28"/>
          <w:szCs w:val="36"/>
          <w:highlight w:val="none"/>
        </w:rPr>
        <w:t>投标保函格式</w:t>
      </w:r>
    </w:p>
    <w:p w14:paraId="3B840855">
      <w:pPr>
        <w:snapToGrid w:val="0"/>
        <w:spacing w:before="50" w:after="120" w:afterLines="50"/>
        <w:jc w:val="left"/>
        <w:rPr>
          <w:color w:val="auto"/>
          <w:highlight w:val="none"/>
        </w:rPr>
      </w:pPr>
      <w:r>
        <w:rPr>
          <w:rFonts w:hint="eastAsia"/>
          <w:color w:val="auto"/>
          <w:highlight w:val="none"/>
        </w:rPr>
        <w:t xml:space="preserve">编号：           </w:t>
      </w:r>
    </w:p>
    <w:p w14:paraId="0032573A">
      <w:pPr>
        <w:snapToGrid w:val="0"/>
        <w:spacing w:before="50" w:after="120" w:afterLines="50"/>
        <w:jc w:val="left"/>
        <w:rPr>
          <w:color w:val="auto"/>
          <w:highlight w:val="none"/>
        </w:rPr>
      </w:pPr>
      <w:r>
        <w:rPr>
          <w:rFonts w:hint="eastAsia"/>
          <w:color w:val="auto"/>
          <w:highlight w:val="none"/>
        </w:rPr>
        <w:t>申请人：</w:t>
      </w:r>
    </w:p>
    <w:p w14:paraId="4202CC0A">
      <w:pPr>
        <w:snapToGrid w:val="0"/>
        <w:spacing w:before="50" w:after="120" w:afterLines="50"/>
        <w:jc w:val="left"/>
        <w:rPr>
          <w:color w:val="auto"/>
          <w:highlight w:val="none"/>
        </w:rPr>
      </w:pPr>
      <w:r>
        <w:rPr>
          <w:rFonts w:hint="eastAsia"/>
          <w:color w:val="auto"/>
          <w:highlight w:val="none"/>
        </w:rPr>
        <w:t>地址：</w:t>
      </w:r>
    </w:p>
    <w:p w14:paraId="2A0DD381">
      <w:pPr>
        <w:snapToGrid w:val="0"/>
        <w:spacing w:before="50" w:after="120" w:afterLines="50"/>
        <w:jc w:val="left"/>
        <w:rPr>
          <w:color w:val="auto"/>
          <w:highlight w:val="none"/>
        </w:rPr>
      </w:pPr>
      <w:r>
        <w:rPr>
          <w:rFonts w:hint="eastAsia"/>
          <w:color w:val="auto"/>
          <w:highlight w:val="none"/>
        </w:rPr>
        <w:t xml:space="preserve">受益人：广西机电设备招标有限公司 </w:t>
      </w:r>
    </w:p>
    <w:p w14:paraId="5B5EDD9B">
      <w:pPr>
        <w:snapToGrid w:val="0"/>
        <w:spacing w:before="50" w:after="120" w:afterLines="50"/>
        <w:jc w:val="left"/>
        <w:rPr>
          <w:color w:val="auto"/>
          <w:highlight w:val="none"/>
        </w:rPr>
      </w:pPr>
      <w:r>
        <w:rPr>
          <w:rFonts w:hint="eastAsia"/>
          <w:color w:val="auto"/>
          <w:highlight w:val="none"/>
        </w:rPr>
        <w:t>地址：</w:t>
      </w:r>
    </w:p>
    <w:p w14:paraId="0ECD19D8">
      <w:pPr>
        <w:snapToGrid w:val="0"/>
        <w:spacing w:before="50" w:after="120" w:afterLines="50"/>
        <w:jc w:val="left"/>
        <w:rPr>
          <w:color w:val="auto"/>
          <w:highlight w:val="none"/>
        </w:rPr>
      </w:pPr>
      <w:r>
        <w:rPr>
          <w:rFonts w:hint="eastAsia"/>
          <w:color w:val="auto"/>
          <w:highlight w:val="none"/>
        </w:rPr>
        <w:t>开立人：</w:t>
      </w:r>
    </w:p>
    <w:p w14:paraId="14AA42E8">
      <w:pPr>
        <w:snapToGrid w:val="0"/>
        <w:spacing w:before="50" w:after="120" w:afterLines="50"/>
        <w:jc w:val="left"/>
        <w:rPr>
          <w:color w:val="auto"/>
          <w:highlight w:val="none"/>
        </w:rPr>
      </w:pPr>
      <w:r>
        <w:rPr>
          <w:rFonts w:hint="eastAsia"/>
          <w:color w:val="auto"/>
          <w:highlight w:val="none"/>
        </w:rPr>
        <w:t>地址：</w:t>
      </w:r>
    </w:p>
    <w:p w14:paraId="388B2598">
      <w:pPr>
        <w:snapToGrid w:val="0"/>
        <w:spacing w:before="50" w:after="120" w:afterLines="50" w:line="440" w:lineRule="exact"/>
        <w:jc w:val="left"/>
        <w:rPr>
          <w:color w:val="auto"/>
          <w:highlight w:val="none"/>
        </w:rPr>
      </w:pPr>
    </w:p>
    <w:p w14:paraId="15739E0A">
      <w:pPr>
        <w:snapToGrid w:val="0"/>
        <w:spacing w:before="50" w:after="120" w:afterLines="50" w:line="276" w:lineRule="auto"/>
        <w:jc w:val="left"/>
        <w:rPr>
          <w:color w:val="auto"/>
          <w:highlight w:val="none"/>
        </w:rPr>
      </w:pPr>
      <w:r>
        <w:rPr>
          <w:rFonts w:hint="eastAsia"/>
          <w:color w:val="auto"/>
          <w:highlight w:val="none"/>
        </w:rPr>
        <w:t>致：广西机电设备招标有限公司</w:t>
      </w:r>
    </w:p>
    <w:p w14:paraId="3C71D804">
      <w:pPr>
        <w:snapToGrid w:val="0"/>
        <w:spacing w:before="50" w:after="120" w:afterLines="50" w:line="276" w:lineRule="auto"/>
        <w:ind w:firstLine="420" w:firstLineChars="200"/>
        <w:jc w:val="left"/>
        <w:rPr>
          <w:color w:val="auto"/>
          <w:highlight w:val="none"/>
        </w:rPr>
      </w:pPr>
      <w:r>
        <w:rPr>
          <w:rFonts w:hint="eastAsia"/>
          <w:color w:val="auto"/>
          <w:highlight w:val="none"/>
        </w:rPr>
        <w:t>我方（即“开立人”）已获得通知，本保函申请人（即“供应商”）已响应贵方于</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 xml:space="preserve"> 日就 </w:t>
      </w:r>
      <w:r>
        <w:rPr>
          <w:rFonts w:hint="eastAsia"/>
          <w:color w:val="auto"/>
          <w:highlight w:val="none"/>
          <w:u w:val="single"/>
        </w:rPr>
        <w:t xml:space="preserve">                                          </w:t>
      </w:r>
      <w:r>
        <w:rPr>
          <w:rFonts w:hint="eastAsia"/>
          <w:color w:val="auto"/>
          <w:highlight w:val="none"/>
        </w:rPr>
        <w:t>（以下简称“本项目”）发出的招标文件，并已向采购代理机构（即“受益人”）提交了投标文件。</w:t>
      </w:r>
    </w:p>
    <w:p w14:paraId="69569F80">
      <w:pPr>
        <w:snapToGrid w:val="0"/>
        <w:spacing w:before="50" w:after="120" w:afterLines="50" w:line="276" w:lineRule="auto"/>
        <w:ind w:firstLine="420" w:firstLineChars="200"/>
        <w:jc w:val="left"/>
        <w:rPr>
          <w:color w:val="auto"/>
          <w:highlight w:val="none"/>
        </w:rPr>
      </w:pPr>
      <w:r>
        <w:rPr>
          <w:rFonts w:hint="eastAsia"/>
          <w:color w:val="auto"/>
          <w:highlight w:val="none"/>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Pr>
          <w:rFonts w:hint="eastAsia"/>
          <w:color w:val="auto"/>
          <w:highlight w:val="none"/>
          <w:u w:val="single"/>
        </w:rPr>
        <w:t xml:space="preserve">                            </w:t>
      </w:r>
      <w:r>
        <w:rPr>
          <w:rFonts w:hint="eastAsia"/>
          <w:color w:val="auto"/>
          <w:highlight w:val="none"/>
        </w:rPr>
        <w:t>元（¥</w:t>
      </w:r>
      <w:r>
        <w:rPr>
          <w:rFonts w:hint="eastAsia"/>
          <w:color w:val="auto"/>
          <w:highlight w:val="none"/>
          <w:u w:val="single"/>
        </w:rPr>
        <w:t xml:space="preserve">                         </w:t>
      </w:r>
      <w:r>
        <w:rPr>
          <w:rFonts w:hint="eastAsia"/>
          <w:color w:val="auto"/>
          <w:highlight w:val="none"/>
        </w:rPr>
        <w:t>）。</w:t>
      </w:r>
    </w:p>
    <w:p w14:paraId="3A7EA609">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二、我方在供应商发生以下情形时承担保证担保责任： </w:t>
      </w:r>
    </w:p>
    <w:p w14:paraId="19A77C2C">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（1）投标人在开标后和投标有效期满之前撤销投标文件的； </w:t>
      </w:r>
    </w:p>
    <w:p w14:paraId="07A45A82">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（2）投标人在收到中标通知书后，不能或拒绝按招标文件规定的时间内与采购人签订合同； </w:t>
      </w:r>
    </w:p>
    <w:p w14:paraId="25780BFF">
      <w:pPr>
        <w:snapToGrid w:val="0"/>
        <w:spacing w:before="50" w:after="120" w:afterLines="50" w:line="276" w:lineRule="auto"/>
        <w:ind w:firstLine="420" w:firstLineChars="200"/>
        <w:jc w:val="left"/>
        <w:rPr>
          <w:color w:val="auto"/>
          <w:highlight w:val="none"/>
        </w:rPr>
      </w:pPr>
      <w:r>
        <w:rPr>
          <w:rFonts w:hint="eastAsia"/>
          <w:color w:val="auto"/>
          <w:highlight w:val="none"/>
        </w:rPr>
        <w:t>（3）投标人在与采购人签订合同后，未在规定的时间内提交符合招标文件要求的履约担保；</w:t>
      </w:r>
    </w:p>
    <w:p w14:paraId="45840A28">
      <w:pPr>
        <w:snapToGrid w:val="0"/>
        <w:spacing w:before="50" w:after="120" w:afterLines="50" w:line="276" w:lineRule="auto"/>
        <w:ind w:firstLine="420" w:firstLineChars="200"/>
        <w:jc w:val="left"/>
        <w:rPr>
          <w:color w:val="auto"/>
          <w:highlight w:val="none"/>
        </w:rPr>
      </w:pPr>
      <w:r>
        <w:rPr>
          <w:rFonts w:hint="eastAsia"/>
          <w:color w:val="auto"/>
          <w:highlight w:val="none"/>
        </w:rPr>
        <w:t>（4）投标人在中标通知书发出之日起5个工作日内，未缴纳本项目代理服务费的；</w:t>
      </w:r>
    </w:p>
    <w:p w14:paraId="1A5C0DD5">
      <w:pPr>
        <w:snapToGrid w:val="0"/>
        <w:spacing w:before="50" w:after="120" w:afterLines="50" w:line="276" w:lineRule="auto"/>
        <w:ind w:firstLine="420" w:firstLineChars="200"/>
        <w:jc w:val="left"/>
        <w:rPr>
          <w:color w:val="auto"/>
          <w:highlight w:val="none"/>
        </w:rPr>
      </w:pPr>
      <w:r>
        <w:rPr>
          <w:rFonts w:hint="eastAsia"/>
          <w:color w:val="auto"/>
          <w:highlight w:val="none"/>
        </w:rPr>
        <w:t>（5）投标人违反招标文件规定的其他情形。</w:t>
      </w:r>
    </w:p>
    <w:p w14:paraId="3E877DC1">
      <w:pPr>
        <w:snapToGrid w:val="0"/>
        <w:spacing w:before="50" w:after="120" w:afterLines="50" w:line="276" w:lineRule="auto"/>
        <w:ind w:firstLine="210" w:firstLineChars="100"/>
        <w:jc w:val="left"/>
        <w:rPr>
          <w:color w:val="auto"/>
          <w:highlight w:val="none"/>
        </w:rPr>
      </w:pPr>
      <w:r>
        <w:rPr>
          <w:rFonts w:hint="eastAsia"/>
          <w:color w:val="auto"/>
          <w:highlight w:val="none"/>
        </w:rPr>
        <w:t xml:space="preserve">    三、本保函为不可撤销、不可转让的见索即付独立保函。本保函有效期自开立之日起至投标有效期届满之日后的</w:t>
      </w:r>
      <w:r>
        <w:rPr>
          <w:rFonts w:hint="eastAsia"/>
          <w:color w:val="auto"/>
          <w:highlight w:val="none"/>
          <w:u w:val="single"/>
        </w:rPr>
        <w:t xml:space="preserve">  28  </w:t>
      </w:r>
      <w:r>
        <w:rPr>
          <w:rFonts w:hint="eastAsia"/>
          <w:color w:val="auto"/>
          <w:highlight w:val="none"/>
        </w:rPr>
        <w:t>日。投标有效期延长的，本保函有效期相应顺延。</w:t>
      </w:r>
    </w:p>
    <w:p w14:paraId="14E8ADC9">
      <w:pPr>
        <w:snapToGrid w:val="0"/>
        <w:spacing w:before="50" w:after="120" w:afterLines="50" w:line="276" w:lineRule="auto"/>
        <w:ind w:firstLine="420" w:firstLineChars="200"/>
        <w:jc w:val="left"/>
        <w:rPr>
          <w:color w:val="auto"/>
          <w:highlight w:val="none"/>
        </w:rPr>
      </w:pPr>
      <w:r>
        <w:rPr>
          <w:rFonts w:hint="eastAsia"/>
          <w:color w:val="auto"/>
          <w:highlight w:val="none"/>
        </w:rPr>
        <w:t>四、我方承诺，在收到受益人发来的书面付款通知后的</w:t>
      </w:r>
      <w:r>
        <w:rPr>
          <w:rFonts w:hint="eastAsia"/>
          <w:color w:val="auto"/>
          <w:highlight w:val="none"/>
          <w:u w:val="single"/>
        </w:rPr>
        <w:t xml:space="preserve">   5    </w:t>
      </w:r>
      <w:r>
        <w:rPr>
          <w:rFonts w:hint="eastAsia"/>
          <w:color w:val="auto"/>
          <w:highlight w:val="none"/>
        </w:rPr>
        <w:t>日内无条件支付，前述书面付款通知即为付款要求之单据，且应满足以下要求：</w:t>
      </w:r>
    </w:p>
    <w:p w14:paraId="3D42E38B">
      <w:pPr>
        <w:snapToGrid w:val="0"/>
        <w:spacing w:before="50" w:after="120" w:afterLines="50" w:line="276" w:lineRule="auto"/>
        <w:ind w:firstLine="420" w:firstLineChars="200"/>
        <w:jc w:val="left"/>
        <w:rPr>
          <w:color w:val="auto"/>
          <w:highlight w:val="none"/>
        </w:rPr>
      </w:pPr>
      <w:r>
        <w:rPr>
          <w:rFonts w:hint="eastAsia"/>
          <w:color w:val="auto"/>
          <w:highlight w:val="none"/>
        </w:rPr>
        <w:t>（1）付款通知到达的日期在本保函的有效期内；</w:t>
      </w:r>
    </w:p>
    <w:p w14:paraId="212C91AA">
      <w:pPr>
        <w:snapToGrid w:val="0"/>
        <w:spacing w:before="50" w:after="120" w:afterLines="50" w:line="276" w:lineRule="auto"/>
        <w:ind w:firstLine="420" w:firstLineChars="200"/>
        <w:jc w:val="left"/>
        <w:rPr>
          <w:color w:val="auto"/>
          <w:highlight w:val="none"/>
        </w:rPr>
      </w:pPr>
      <w:r>
        <w:rPr>
          <w:rFonts w:hint="eastAsia"/>
          <w:color w:val="auto"/>
          <w:highlight w:val="none"/>
        </w:rPr>
        <w:t>（2）载明要求支付的金额；</w:t>
      </w:r>
    </w:p>
    <w:p w14:paraId="334C2135">
      <w:pPr>
        <w:snapToGrid w:val="0"/>
        <w:spacing w:before="50" w:after="120" w:afterLines="50" w:line="276" w:lineRule="auto"/>
        <w:ind w:firstLine="420" w:firstLineChars="200"/>
        <w:jc w:val="left"/>
        <w:rPr>
          <w:color w:val="auto"/>
          <w:highlight w:val="none"/>
        </w:rPr>
      </w:pPr>
      <w:r>
        <w:rPr>
          <w:rFonts w:hint="eastAsia"/>
          <w:color w:val="auto"/>
          <w:highlight w:val="none"/>
        </w:rPr>
        <w:t>（3）载明申请人违反采购文件规定的义务内容和具体条款；</w:t>
      </w:r>
    </w:p>
    <w:p w14:paraId="1FDF871A">
      <w:pPr>
        <w:snapToGrid w:val="0"/>
        <w:spacing w:before="50" w:after="120" w:afterLines="50" w:line="276" w:lineRule="auto"/>
        <w:ind w:firstLine="420" w:firstLineChars="200"/>
        <w:jc w:val="left"/>
        <w:rPr>
          <w:color w:val="auto"/>
          <w:highlight w:val="none"/>
        </w:rPr>
      </w:pPr>
      <w:r>
        <w:rPr>
          <w:rFonts w:hint="eastAsia"/>
          <w:color w:val="auto"/>
          <w:highlight w:val="none"/>
        </w:rPr>
        <w:t>（4）声明不存在采购文件规定或我国法律规定免除申请人或我方支付责任的情形；</w:t>
      </w:r>
    </w:p>
    <w:p w14:paraId="2F7CA27E">
      <w:pPr>
        <w:snapToGrid w:val="0"/>
        <w:spacing w:before="50" w:after="120" w:afterLines="50" w:line="276" w:lineRule="auto"/>
        <w:ind w:firstLine="420" w:firstLineChars="200"/>
        <w:jc w:val="left"/>
        <w:rPr>
          <w:color w:val="auto"/>
          <w:highlight w:val="none"/>
        </w:rPr>
      </w:pPr>
      <w:r>
        <w:rPr>
          <w:rFonts w:hint="eastAsia"/>
          <w:color w:val="auto"/>
          <w:highlight w:val="none"/>
        </w:rPr>
        <w:t>（5）书面付款通知应在本保函有效期内到达的地址是：</w:t>
      </w:r>
      <w:r>
        <w:rPr>
          <w:rFonts w:hint="eastAsia"/>
          <w:color w:val="auto"/>
          <w:highlight w:val="none"/>
          <w:u w:val="single"/>
        </w:rPr>
        <w:t xml:space="preserve">                                     </w:t>
      </w:r>
      <w:r>
        <w:rPr>
          <w:rFonts w:hint="eastAsia"/>
          <w:color w:val="auto"/>
          <w:highlight w:val="none"/>
        </w:rPr>
        <w:t>。</w:t>
      </w:r>
    </w:p>
    <w:p w14:paraId="355C33A2">
      <w:pPr>
        <w:snapToGrid w:val="0"/>
        <w:spacing w:before="50" w:after="120" w:afterLines="50" w:line="276" w:lineRule="auto"/>
        <w:jc w:val="left"/>
        <w:rPr>
          <w:color w:val="auto"/>
          <w:highlight w:val="none"/>
        </w:rPr>
      </w:pPr>
      <w:r>
        <w:rPr>
          <w:rFonts w:hint="eastAsia"/>
          <w:color w:val="auto"/>
          <w:highlight w:val="none"/>
        </w:rPr>
        <w:t xml:space="preserve">        受益人发出的书面付款通知应由其为鉴明受益人法定代表人（负责人）或授权代理人签字并加盖公章。</w:t>
      </w:r>
    </w:p>
    <w:p w14:paraId="5F197E52">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五、本保函项下的权利不得转让，不得设定担保。贵方未经我方书面同意转让本保函或其项下任何权利，对我方不发生法律效力。 </w:t>
      </w:r>
    </w:p>
    <w:p w14:paraId="00EDC1BB">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六、本保函项下的基础交易不成立、不生效、无效、被撤销、被解除，不影响本保函的独立有效。 </w:t>
      </w:r>
    </w:p>
    <w:p w14:paraId="5A649A8D">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七、受益人应在本保函到期后的七日内将本保函正本退回我方注销，但是不论受益人是否按此要求将本保函正本退回我方，我方在本保函项下的义务和责任均在保函有效期到期后自动消灭。 </w:t>
      </w:r>
    </w:p>
    <w:p w14:paraId="21224712">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八、本保函适用的法律为中华人民共和国法律，争议裁判管辖地为中华人民共和国。 </w:t>
      </w:r>
    </w:p>
    <w:p w14:paraId="20AD99C6">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九、本保函自我方法定代表人或授权代表签字并加盖公章之日起生效。 </w:t>
      </w:r>
    </w:p>
    <w:p w14:paraId="152DB305">
      <w:pPr>
        <w:snapToGrid w:val="0"/>
        <w:spacing w:before="50" w:after="120" w:afterLines="50" w:line="276" w:lineRule="auto"/>
        <w:jc w:val="left"/>
        <w:rPr>
          <w:color w:val="auto"/>
          <w:highlight w:val="none"/>
        </w:rPr>
      </w:pPr>
    </w:p>
    <w:p w14:paraId="0BE8DE22">
      <w:pPr>
        <w:snapToGrid w:val="0"/>
        <w:spacing w:before="50" w:after="120" w:afterLines="50" w:line="276" w:lineRule="auto"/>
        <w:jc w:val="left"/>
        <w:rPr>
          <w:color w:val="auto"/>
          <w:highlight w:val="none"/>
        </w:rPr>
      </w:pPr>
      <w:r>
        <w:rPr>
          <w:rFonts w:hint="eastAsia"/>
          <w:color w:val="auto"/>
          <w:highlight w:val="none"/>
        </w:rPr>
        <w:t xml:space="preserve">开 立 人：                                                  （公章） </w:t>
      </w:r>
    </w:p>
    <w:p w14:paraId="39D20437">
      <w:pPr>
        <w:snapToGrid w:val="0"/>
        <w:spacing w:before="50" w:after="120" w:afterLines="50" w:line="276" w:lineRule="auto"/>
        <w:jc w:val="left"/>
        <w:rPr>
          <w:color w:val="auto"/>
          <w:highlight w:val="none"/>
        </w:rPr>
      </w:pPr>
      <w:r>
        <w:rPr>
          <w:rFonts w:hint="eastAsia"/>
          <w:color w:val="auto"/>
          <w:highlight w:val="none"/>
        </w:rPr>
        <w:t xml:space="preserve">法定代表人（或授权代表） ：               （签字） </w:t>
      </w:r>
    </w:p>
    <w:p w14:paraId="00F1F1C3">
      <w:pPr>
        <w:snapToGrid w:val="0"/>
        <w:spacing w:before="50" w:after="120" w:afterLines="50" w:line="276" w:lineRule="auto"/>
        <w:jc w:val="left"/>
        <w:rPr>
          <w:color w:val="auto"/>
          <w:highlight w:val="none"/>
        </w:rPr>
      </w:pPr>
      <w:r>
        <w:rPr>
          <w:rFonts w:hint="eastAsia"/>
          <w:color w:val="auto"/>
          <w:highlight w:val="none"/>
        </w:rPr>
        <w:t xml:space="preserve">地    址：                                       </w:t>
      </w:r>
    </w:p>
    <w:p w14:paraId="12D9779F">
      <w:pPr>
        <w:snapToGrid w:val="0"/>
        <w:spacing w:before="50" w:after="120" w:afterLines="50" w:line="276" w:lineRule="auto"/>
        <w:jc w:val="left"/>
        <w:rPr>
          <w:color w:val="auto"/>
          <w:highlight w:val="none"/>
        </w:rPr>
      </w:pPr>
      <w:r>
        <w:rPr>
          <w:rFonts w:hint="eastAsia"/>
          <w:color w:val="auto"/>
          <w:highlight w:val="none"/>
        </w:rPr>
        <w:t xml:space="preserve">邮政编码：                 </w:t>
      </w:r>
    </w:p>
    <w:p w14:paraId="77C35F0D">
      <w:pPr>
        <w:snapToGrid w:val="0"/>
        <w:spacing w:before="50" w:after="120" w:afterLines="50" w:line="276" w:lineRule="auto"/>
        <w:jc w:val="left"/>
        <w:rPr>
          <w:color w:val="auto"/>
          <w:highlight w:val="none"/>
        </w:rPr>
      </w:pPr>
      <w:r>
        <w:rPr>
          <w:rFonts w:hint="eastAsia"/>
          <w:color w:val="auto"/>
          <w:highlight w:val="none"/>
        </w:rPr>
        <w:t xml:space="preserve">电    话：                 </w:t>
      </w:r>
    </w:p>
    <w:p w14:paraId="618F4365">
      <w:pPr>
        <w:snapToGrid w:val="0"/>
        <w:spacing w:before="50" w:after="120" w:afterLines="50" w:line="276" w:lineRule="auto"/>
        <w:jc w:val="left"/>
        <w:rPr>
          <w:color w:val="auto"/>
          <w:highlight w:val="none"/>
        </w:rPr>
      </w:pPr>
      <w:r>
        <w:rPr>
          <w:rFonts w:hint="eastAsia"/>
          <w:color w:val="auto"/>
          <w:highlight w:val="none"/>
        </w:rPr>
        <w:t xml:space="preserve">传    真：                 </w:t>
      </w:r>
    </w:p>
    <w:p w14:paraId="336D8332">
      <w:pPr>
        <w:snapToGrid w:val="0"/>
        <w:spacing w:before="50" w:after="120" w:afterLines="50" w:line="276" w:lineRule="auto"/>
        <w:jc w:val="left"/>
        <w:rPr>
          <w:color w:val="auto"/>
          <w:highlight w:val="none"/>
        </w:rPr>
      </w:pPr>
      <w:r>
        <w:rPr>
          <w:rFonts w:hint="eastAsia"/>
          <w:color w:val="auto"/>
          <w:highlight w:val="none"/>
        </w:rPr>
        <w:t>开立时间：      年       月        日</w:t>
      </w:r>
    </w:p>
    <w:p w14:paraId="18CC9B25">
      <w:pPr>
        <w:snapToGrid w:val="0"/>
        <w:spacing w:before="50" w:after="120" w:afterLines="50"/>
        <w:jc w:val="left"/>
        <w:rPr>
          <w:color w:val="auto"/>
          <w:szCs w:val="21"/>
          <w:highlight w:val="none"/>
        </w:rPr>
      </w:pPr>
      <w:r>
        <w:rPr>
          <w:color w:val="auto"/>
          <w:szCs w:val="21"/>
          <w:highlight w:val="none"/>
        </w:rPr>
        <w:br w:type="page"/>
      </w:r>
      <w:r>
        <w:rPr>
          <w:rFonts w:hint="eastAsia"/>
          <w:color w:val="auto"/>
          <w:szCs w:val="21"/>
          <w:highlight w:val="none"/>
        </w:rPr>
        <w:t>9</w:t>
      </w:r>
      <w:r>
        <w:rPr>
          <w:color w:val="auto"/>
          <w:szCs w:val="21"/>
          <w:highlight w:val="none"/>
        </w:rPr>
        <w:t>．供应商认为应当要提交的</w:t>
      </w:r>
      <w:r>
        <w:rPr>
          <w:rFonts w:hint="eastAsia"/>
          <w:color w:val="auto"/>
          <w:szCs w:val="21"/>
          <w:highlight w:val="none"/>
        </w:rPr>
        <w:t>其他</w:t>
      </w:r>
      <w:r>
        <w:rPr>
          <w:color w:val="auto"/>
          <w:szCs w:val="21"/>
          <w:highlight w:val="none"/>
        </w:rPr>
        <w:t>资格证明材料。</w:t>
      </w:r>
      <w:r>
        <w:rPr>
          <w:bCs/>
          <w:color w:val="auto"/>
          <w:sz w:val="24"/>
          <w:highlight w:val="none"/>
        </w:rPr>
        <w:t xml:space="preserve"> </w:t>
      </w:r>
    </w:p>
    <w:p w14:paraId="109F9DEC">
      <w:pPr>
        <w:spacing w:line="276" w:lineRule="auto"/>
        <w:rPr>
          <w:bCs/>
          <w:color w:val="auto"/>
          <w:sz w:val="24"/>
          <w:highlight w:val="none"/>
        </w:rPr>
      </w:pPr>
    </w:p>
    <w:p w14:paraId="033A235F">
      <w:pPr>
        <w:snapToGrid w:val="0"/>
        <w:spacing w:before="120" w:beforeLines="50" w:after="50" w:line="440" w:lineRule="exact"/>
        <w:jc w:val="left"/>
        <w:outlineLvl w:val="1"/>
        <w:rPr>
          <w:bCs/>
          <w:color w:val="auto"/>
          <w:sz w:val="24"/>
          <w:highlight w:val="none"/>
        </w:rPr>
      </w:pPr>
      <w:r>
        <w:rPr>
          <w:color w:val="auto"/>
          <w:szCs w:val="21"/>
          <w:highlight w:val="none"/>
        </w:rPr>
        <w:br w:type="page"/>
      </w:r>
      <w:r>
        <w:rPr>
          <w:rFonts w:hint="eastAsia"/>
          <w:bCs/>
          <w:color w:val="auto"/>
          <w:sz w:val="24"/>
          <w:highlight w:val="none"/>
        </w:rPr>
        <w:t>2</w:t>
      </w:r>
      <w:r>
        <w:rPr>
          <w:bCs/>
          <w:color w:val="auto"/>
          <w:sz w:val="24"/>
          <w:highlight w:val="none"/>
        </w:rPr>
        <w:t>．投标文件封面参考格式</w:t>
      </w:r>
      <w:r>
        <w:rPr>
          <w:rFonts w:hint="eastAsia"/>
          <w:bCs/>
          <w:color w:val="auto"/>
          <w:sz w:val="24"/>
          <w:highlight w:val="none"/>
        </w:rPr>
        <w:t>（商务技术文件）</w:t>
      </w:r>
      <w:r>
        <w:rPr>
          <w:bCs/>
          <w:color w:val="auto"/>
          <w:sz w:val="24"/>
          <w:highlight w:val="none"/>
        </w:rPr>
        <w:t>：</w:t>
      </w:r>
    </w:p>
    <w:p w14:paraId="6819FEB6">
      <w:pPr>
        <w:snapToGrid w:val="0"/>
        <w:spacing w:before="120" w:beforeLines="50" w:after="50" w:line="360" w:lineRule="exact"/>
        <w:rPr>
          <w:color w:val="auto"/>
          <w:sz w:val="24"/>
          <w:highlight w:val="none"/>
        </w:rPr>
      </w:pPr>
    </w:p>
    <w:p w14:paraId="18BF9D6F">
      <w:pPr>
        <w:snapToGrid w:val="0"/>
        <w:spacing w:before="120" w:beforeLines="50" w:after="50" w:line="360" w:lineRule="exact"/>
        <w:jc w:val="center"/>
        <w:rPr>
          <w:bCs/>
          <w:color w:val="auto"/>
          <w:sz w:val="24"/>
          <w:highlight w:val="none"/>
        </w:rPr>
      </w:pPr>
    </w:p>
    <w:p w14:paraId="18B1F0F8">
      <w:pPr>
        <w:snapToGrid w:val="0"/>
        <w:spacing w:before="120" w:beforeLines="50" w:after="50" w:line="360" w:lineRule="exact"/>
        <w:jc w:val="center"/>
        <w:rPr>
          <w:b/>
          <w:bCs/>
          <w:color w:val="auto"/>
          <w:sz w:val="44"/>
          <w:szCs w:val="44"/>
          <w:highlight w:val="none"/>
        </w:rPr>
      </w:pPr>
      <w:r>
        <w:rPr>
          <w:rFonts w:hint="eastAsia"/>
          <w:b/>
          <w:bCs/>
          <w:color w:val="auto"/>
          <w:sz w:val="44"/>
          <w:szCs w:val="44"/>
          <w:highlight w:val="none"/>
        </w:rPr>
        <w:t>电子</w:t>
      </w:r>
      <w:r>
        <w:rPr>
          <w:b/>
          <w:bCs/>
          <w:color w:val="auto"/>
          <w:sz w:val="44"/>
          <w:szCs w:val="44"/>
          <w:highlight w:val="none"/>
        </w:rPr>
        <w:t>投标文件</w:t>
      </w:r>
    </w:p>
    <w:p w14:paraId="482E5DEB">
      <w:pPr>
        <w:snapToGrid w:val="0"/>
        <w:spacing w:before="120" w:beforeLines="50" w:after="50" w:line="360" w:lineRule="exact"/>
        <w:jc w:val="center"/>
        <w:rPr>
          <w:b/>
          <w:bCs/>
          <w:color w:val="auto"/>
          <w:sz w:val="44"/>
          <w:szCs w:val="44"/>
          <w:highlight w:val="none"/>
        </w:rPr>
      </w:pPr>
    </w:p>
    <w:p w14:paraId="22E641B3">
      <w:pPr>
        <w:snapToGrid w:val="0"/>
        <w:spacing w:before="120" w:beforeLines="50" w:after="50" w:line="360" w:lineRule="exact"/>
        <w:jc w:val="center"/>
        <w:rPr>
          <w:b/>
          <w:bCs/>
          <w:color w:val="auto"/>
          <w:sz w:val="44"/>
          <w:szCs w:val="44"/>
          <w:highlight w:val="none"/>
        </w:rPr>
      </w:pPr>
    </w:p>
    <w:p w14:paraId="377270F4">
      <w:pPr>
        <w:snapToGrid w:val="0"/>
        <w:spacing w:before="120" w:beforeLines="50" w:after="50" w:line="360" w:lineRule="exact"/>
        <w:jc w:val="center"/>
        <w:rPr>
          <w:b/>
          <w:bCs/>
          <w:color w:val="auto"/>
          <w:sz w:val="44"/>
          <w:szCs w:val="44"/>
          <w:highlight w:val="none"/>
        </w:rPr>
      </w:pPr>
      <w:r>
        <w:rPr>
          <w:b/>
          <w:bCs/>
          <w:color w:val="auto"/>
          <w:sz w:val="44"/>
          <w:szCs w:val="44"/>
          <w:highlight w:val="none"/>
        </w:rPr>
        <w:t>商务技术文件</w:t>
      </w:r>
    </w:p>
    <w:p w14:paraId="503253E1">
      <w:pPr>
        <w:snapToGrid w:val="0"/>
        <w:spacing w:before="120" w:beforeLines="50" w:after="50" w:line="360" w:lineRule="exact"/>
        <w:rPr>
          <w:bCs/>
          <w:color w:val="auto"/>
          <w:sz w:val="24"/>
          <w:highlight w:val="none"/>
        </w:rPr>
      </w:pPr>
    </w:p>
    <w:p w14:paraId="739564F5">
      <w:pPr>
        <w:snapToGrid w:val="0"/>
        <w:spacing w:before="120" w:beforeLines="50" w:after="50" w:line="360" w:lineRule="exact"/>
        <w:rPr>
          <w:bCs/>
          <w:color w:val="auto"/>
          <w:sz w:val="24"/>
          <w:highlight w:val="none"/>
        </w:rPr>
      </w:pPr>
    </w:p>
    <w:p w14:paraId="41889F43">
      <w:pPr>
        <w:snapToGrid w:val="0"/>
        <w:spacing w:before="120" w:beforeLines="50" w:after="50" w:line="360" w:lineRule="exact"/>
        <w:rPr>
          <w:bCs/>
          <w:color w:val="auto"/>
          <w:sz w:val="24"/>
          <w:highlight w:val="none"/>
        </w:rPr>
      </w:pPr>
    </w:p>
    <w:p w14:paraId="53F2411E">
      <w:pPr>
        <w:snapToGrid w:val="0"/>
        <w:spacing w:before="120" w:beforeLines="50" w:after="50" w:line="360" w:lineRule="exact"/>
        <w:ind w:firstLine="720" w:firstLineChars="300"/>
        <w:rPr>
          <w:bCs/>
          <w:color w:val="auto"/>
          <w:sz w:val="24"/>
          <w:highlight w:val="none"/>
        </w:rPr>
      </w:pPr>
      <w:r>
        <w:rPr>
          <w:bCs/>
          <w:color w:val="auto"/>
          <w:sz w:val="24"/>
          <w:highlight w:val="none"/>
        </w:rPr>
        <w:t xml:space="preserve">项目名称： </w:t>
      </w:r>
    </w:p>
    <w:p w14:paraId="77630512">
      <w:pPr>
        <w:snapToGrid w:val="0"/>
        <w:spacing w:before="120" w:beforeLines="50" w:after="50" w:line="360" w:lineRule="exact"/>
        <w:ind w:firstLine="720" w:firstLineChars="300"/>
        <w:rPr>
          <w:bCs/>
          <w:color w:val="auto"/>
          <w:sz w:val="24"/>
          <w:highlight w:val="none"/>
        </w:rPr>
      </w:pPr>
      <w:r>
        <w:rPr>
          <w:bCs/>
          <w:color w:val="auto"/>
          <w:sz w:val="24"/>
          <w:highlight w:val="none"/>
        </w:rPr>
        <w:t>项目编号：</w:t>
      </w:r>
    </w:p>
    <w:p w14:paraId="37965853">
      <w:pPr>
        <w:snapToGrid w:val="0"/>
        <w:spacing w:before="120" w:beforeLines="50" w:after="50" w:line="360" w:lineRule="exact"/>
        <w:ind w:firstLine="720" w:firstLineChars="300"/>
        <w:rPr>
          <w:bCs/>
          <w:color w:val="auto"/>
          <w:sz w:val="24"/>
          <w:highlight w:val="none"/>
        </w:rPr>
      </w:pPr>
      <w:r>
        <w:rPr>
          <w:bCs/>
          <w:color w:val="auto"/>
          <w:sz w:val="24"/>
          <w:highlight w:val="none"/>
        </w:rPr>
        <w:t>分标号：（若无</w:t>
      </w:r>
      <w:r>
        <w:rPr>
          <w:rFonts w:hint="eastAsia"/>
          <w:bCs/>
          <w:color w:val="auto"/>
          <w:sz w:val="24"/>
          <w:highlight w:val="none"/>
        </w:rPr>
        <w:t>留空或写</w:t>
      </w:r>
      <w:r>
        <w:rPr>
          <w:bCs/>
          <w:color w:val="auto"/>
          <w:sz w:val="24"/>
          <w:highlight w:val="none"/>
        </w:rPr>
        <w:t>“/”）</w:t>
      </w:r>
    </w:p>
    <w:p w14:paraId="12E508E6">
      <w:pPr>
        <w:snapToGrid w:val="0"/>
        <w:spacing w:before="120" w:beforeLines="50" w:after="50" w:line="360" w:lineRule="exact"/>
        <w:ind w:firstLine="720" w:firstLineChars="300"/>
        <w:rPr>
          <w:bCs/>
          <w:color w:val="auto"/>
          <w:sz w:val="24"/>
          <w:highlight w:val="none"/>
        </w:rPr>
      </w:pPr>
      <w:r>
        <w:rPr>
          <w:bCs/>
          <w:color w:val="auto"/>
          <w:sz w:val="24"/>
          <w:highlight w:val="none"/>
        </w:rPr>
        <w:t>供应商名称：</w:t>
      </w:r>
    </w:p>
    <w:p w14:paraId="5BDBBA1A">
      <w:pPr>
        <w:snapToGrid w:val="0"/>
        <w:spacing w:before="120" w:beforeLines="50" w:after="50" w:line="360" w:lineRule="exact"/>
        <w:ind w:firstLine="720" w:firstLineChars="300"/>
        <w:rPr>
          <w:bCs/>
          <w:color w:val="auto"/>
          <w:sz w:val="24"/>
          <w:highlight w:val="none"/>
        </w:rPr>
      </w:pPr>
      <w:r>
        <w:rPr>
          <w:bCs/>
          <w:color w:val="auto"/>
          <w:sz w:val="24"/>
          <w:highlight w:val="none"/>
        </w:rPr>
        <w:t>供应商地址：</w:t>
      </w:r>
    </w:p>
    <w:p w14:paraId="685C9499">
      <w:pPr>
        <w:pStyle w:val="7"/>
        <w:snapToGrid w:val="0"/>
        <w:spacing w:before="50" w:after="50" w:line="360" w:lineRule="exact"/>
        <w:ind w:firstLine="960" w:firstLineChars="400"/>
        <w:rPr>
          <w:bCs/>
          <w:color w:val="auto"/>
          <w:sz w:val="24"/>
          <w:szCs w:val="24"/>
          <w:highlight w:val="none"/>
        </w:rPr>
      </w:pPr>
    </w:p>
    <w:p w14:paraId="225B6F8D">
      <w:pPr>
        <w:snapToGrid w:val="0"/>
        <w:spacing w:before="120" w:beforeLines="50" w:after="50" w:line="360" w:lineRule="exact"/>
        <w:jc w:val="center"/>
        <w:rPr>
          <w:color w:val="auto"/>
          <w:sz w:val="24"/>
          <w:highlight w:val="none"/>
        </w:rPr>
      </w:pPr>
      <w:r>
        <w:rPr>
          <w:color w:val="auto"/>
          <w:sz w:val="24"/>
          <w:highlight w:val="none"/>
        </w:rPr>
        <w:t xml:space="preserve">                        年  月  日</w:t>
      </w:r>
    </w:p>
    <w:p w14:paraId="14342038">
      <w:pPr>
        <w:snapToGrid w:val="0"/>
        <w:spacing w:before="50" w:after="50" w:line="440" w:lineRule="exact"/>
        <w:ind w:firstLine="102" w:firstLineChars="49"/>
        <w:jc w:val="center"/>
        <w:rPr>
          <w:b/>
          <w:color w:val="auto"/>
          <w:sz w:val="28"/>
          <w:szCs w:val="28"/>
          <w:highlight w:val="none"/>
        </w:rPr>
      </w:pPr>
      <w:r>
        <w:rPr>
          <w:color w:val="auto"/>
          <w:highlight w:val="none"/>
        </w:rPr>
        <w:br w:type="page"/>
      </w:r>
      <w:r>
        <w:rPr>
          <w:b/>
          <w:color w:val="auto"/>
          <w:sz w:val="28"/>
          <w:szCs w:val="28"/>
          <w:highlight w:val="none"/>
        </w:rPr>
        <w:t>目录</w:t>
      </w:r>
    </w:p>
    <w:p w14:paraId="747066A7">
      <w:pPr>
        <w:snapToGrid w:val="0"/>
        <w:spacing w:before="50" w:after="50" w:line="440" w:lineRule="exact"/>
        <w:ind w:firstLine="118" w:firstLineChars="49"/>
        <w:jc w:val="center"/>
        <w:rPr>
          <w:b/>
          <w:color w:val="auto"/>
          <w:sz w:val="24"/>
          <w:highlight w:val="none"/>
        </w:rPr>
      </w:pPr>
      <w:r>
        <w:rPr>
          <w:b/>
          <w:color w:val="auto"/>
          <w:sz w:val="24"/>
          <w:highlight w:val="none"/>
        </w:rPr>
        <w:t>（应有页码）</w:t>
      </w:r>
    </w:p>
    <w:p w14:paraId="5305688E">
      <w:pPr>
        <w:jc w:val="center"/>
        <w:rPr>
          <w:color w:val="auto"/>
          <w:highlight w:val="none"/>
        </w:rPr>
      </w:pPr>
      <w:r>
        <w:rPr>
          <w:color w:val="auto"/>
          <w:highlight w:val="none"/>
        </w:rPr>
        <w:br w:type="page"/>
      </w:r>
    </w:p>
    <w:p w14:paraId="737D7BBE">
      <w:pPr>
        <w:rPr>
          <w:b/>
          <w:color w:val="auto"/>
          <w:szCs w:val="21"/>
          <w:highlight w:val="none"/>
        </w:rPr>
      </w:pPr>
      <w:bookmarkStart w:id="74" w:name="_Toc455309222"/>
      <w:bookmarkStart w:id="75" w:name="_Toc462223472"/>
      <w:bookmarkStart w:id="76" w:name="_Toc462320613"/>
      <w:r>
        <w:rPr>
          <w:color w:val="auto"/>
          <w:szCs w:val="21"/>
          <w:highlight w:val="none"/>
        </w:rPr>
        <w:t>1．法定代表人身份证明</w:t>
      </w:r>
      <w:r>
        <w:rPr>
          <w:rFonts w:hint="eastAsia"/>
          <w:b/>
          <w:color w:val="auto"/>
          <w:szCs w:val="21"/>
          <w:highlight w:val="none"/>
        </w:rPr>
        <w:t>（无授权</w:t>
      </w:r>
      <w:r>
        <w:rPr>
          <w:b/>
          <w:color w:val="auto"/>
          <w:szCs w:val="21"/>
          <w:highlight w:val="none"/>
        </w:rPr>
        <w:t>代表</w:t>
      </w:r>
      <w:r>
        <w:rPr>
          <w:rFonts w:hint="eastAsia"/>
          <w:b/>
          <w:color w:val="auto"/>
          <w:szCs w:val="21"/>
          <w:highlight w:val="none"/>
        </w:rPr>
        <w:t>时提供）</w:t>
      </w:r>
      <w:r>
        <w:rPr>
          <w:b/>
          <w:color w:val="auto"/>
          <w:szCs w:val="21"/>
          <w:highlight w:val="none"/>
        </w:rPr>
        <w:t>：</w:t>
      </w:r>
    </w:p>
    <w:p w14:paraId="77A0CC57">
      <w:pPr>
        <w:jc w:val="center"/>
        <w:rPr>
          <w:color w:val="auto"/>
          <w:highlight w:val="none"/>
        </w:rPr>
      </w:pPr>
    </w:p>
    <w:bookmarkEnd w:id="74"/>
    <w:bookmarkEnd w:id="75"/>
    <w:bookmarkEnd w:id="76"/>
    <w:p w14:paraId="52843D99">
      <w:pPr>
        <w:snapToGrid w:val="0"/>
        <w:spacing w:before="120" w:beforeLines="50" w:after="50" w:line="440" w:lineRule="exact"/>
        <w:jc w:val="center"/>
        <w:rPr>
          <w:b/>
          <w:color w:val="auto"/>
          <w:szCs w:val="21"/>
          <w:highlight w:val="none"/>
        </w:rPr>
      </w:pPr>
      <w:r>
        <w:rPr>
          <w:b/>
          <w:color w:val="auto"/>
          <w:szCs w:val="21"/>
          <w:highlight w:val="none"/>
        </w:rPr>
        <w:t>法定代表人身份证明</w:t>
      </w:r>
    </w:p>
    <w:p w14:paraId="132F309F">
      <w:pPr>
        <w:spacing w:line="360" w:lineRule="auto"/>
        <w:rPr>
          <w:color w:val="auto"/>
          <w:highlight w:val="none"/>
        </w:rPr>
      </w:pPr>
    </w:p>
    <w:p w14:paraId="5AD81EFB">
      <w:pPr>
        <w:spacing w:line="540" w:lineRule="exact"/>
        <w:rPr>
          <w:color w:val="auto"/>
          <w:szCs w:val="21"/>
          <w:highlight w:val="none"/>
        </w:rPr>
      </w:pPr>
      <w:r>
        <w:rPr>
          <w:color w:val="auto"/>
          <w:szCs w:val="21"/>
          <w:highlight w:val="none"/>
        </w:rPr>
        <w:t>供应商名称：</w:t>
      </w:r>
      <w:r>
        <w:rPr>
          <w:color w:val="auto"/>
          <w:szCs w:val="21"/>
          <w:highlight w:val="none"/>
          <w:u w:val="single"/>
        </w:rPr>
        <w:t xml:space="preserve">                                         </w:t>
      </w:r>
    </w:p>
    <w:p w14:paraId="25DCE184">
      <w:pPr>
        <w:spacing w:line="540" w:lineRule="exact"/>
        <w:rPr>
          <w:color w:val="auto"/>
          <w:szCs w:val="21"/>
          <w:highlight w:val="none"/>
        </w:rPr>
      </w:pPr>
      <w:r>
        <w:rPr>
          <w:color w:val="auto"/>
          <w:szCs w:val="21"/>
          <w:highlight w:val="none"/>
        </w:rPr>
        <w:t>单位性质：</w:t>
      </w:r>
      <w:r>
        <w:rPr>
          <w:color w:val="auto"/>
          <w:szCs w:val="21"/>
          <w:highlight w:val="none"/>
          <w:u w:val="single"/>
        </w:rPr>
        <w:t xml:space="preserve">                                           </w:t>
      </w:r>
    </w:p>
    <w:p w14:paraId="6E9A0F9C">
      <w:pPr>
        <w:spacing w:line="540" w:lineRule="exact"/>
        <w:rPr>
          <w:color w:val="auto"/>
          <w:szCs w:val="21"/>
          <w:highlight w:val="none"/>
        </w:rPr>
      </w:pPr>
      <w:r>
        <w:rPr>
          <w:color w:val="auto"/>
          <w:szCs w:val="21"/>
          <w:highlight w:val="none"/>
        </w:rPr>
        <w:t>地址：</w:t>
      </w:r>
      <w:r>
        <w:rPr>
          <w:color w:val="auto"/>
          <w:szCs w:val="21"/>
          <w:highlight w:val="none"/>
          <w:u w:val="single"/>
        </w:rPr>
        <w:t xml:space="preserve">                                               </w:t>
      </w:r>
    </w:p>
    <w:p w14:paraId="79E99E2D">
      <w:pPr>
        <w:spacing w:line="540" w:lineRule="exact"/>
        <w:rPr>
          <w:color w:val="auto"/>
          <w:szCs w:val="21"/>
          <w:highlight w:val="none"/>
          <w:u w:val="single"/>
        </w:rPr>
      </w:pPr>
      <w:r>
        <w:rPr>
          <w:color w:val="auto"/>
          <w:szCs w:val="21"/>
          <w:highlight w:val="none"/>
        </w:rPr>
        <w:t>成立时间：</w:t>
      </w:r>
      <w:r>
        <w:rPr>
          <w:color w:val="auto"/>
          <w:szCs w:val="21"/>
          <w:highlight w:val="none"/>
          <w:u w:val="single"/>
        </w:rPr>
        <w:t xml:space="preserve">          年        月        日</w:t>
      </w:r>
    </w:p>
    <w:p w14:paraId="7CF9F5B0">
      <w:pPr>
        <w:spacing w:line="540" w:lineRule="exact"/>
        <w:rPr>
          <w:color w:val="auto"/>
          <w:szCs w:val="21"/>
          <w:highlight w:val="none"/>
        </w:rPr>
      </w:pPr>
      <w:r>
        <w:rPr>
          <w:color w:val="auto"/>
          <w:szCs w:val="21"/>
          <w:highlight w:val="none"/>
        </w:rPr>
        <w:t>经营期限：</w:t>
      </w:r>
      <w:r>
        <w:rPr>
          <w:color w:val="auto"/>
          <w:szCs w:val="21"/>
          <w:highlight w:val="none"/>
          <w:u w:val="single"/>
        </w:rPr>
        <w:t xml:space="preserve">                                           </w:t>
      </w:r>
    </w:p>
    <w:p w14:paraId="77075993">
      <w:pPr>
        <w:spacing w:line="540" w:lineRule="exact"/>
        <w:rPr>
          <w:color w:val="auto"/>
          <w:szCs w:val="21"/>
          <w:highlight w:val="none"/>
        </w:rPr>
      </w:pPr>
      <w:r>
        <w:rPr>
          <w:color w:val="auto"/>
          <w:szCs w:val="21"/>
          <w:highlight w:val="none"/>
        </w:rPr>
        <w:t>姓名：</w:t>
      </w:r>
      <w:r>
        <w:rPr>
          <w:color w:val="auto"/>
          <w:szCs w:val="21"/>
          <w:highlight w:val="none"/>
          <w:u w:val="single"/>
        </w:rPr>
        <w:t xml:space="preserve">                   </w:t>
      </w:r>
      <w:r>
        <w:rPr>
          <w:color w:val="auto"/>
          <w:szCs w:val="21"/>
          <w:highlight w:val="none"/>
        </w:rPr>
        <w:t>；性别：</w:t>
      </w:r>
      <w:r>
        <w:rPr>
          <w:color w:val="auto"/>
          <w:szCs w:val="21"/>
          <w:highlight w:val="none"/>
          <w:u w:val="single"/>
        </w:rPr>
        <w:t xml:space="preserve">              </w:t>
      </w:r>
      <w:r>
        <w:rPr>
          <w:color w:val="auto"/>
          <w:szCs w:val="21"/>
          <w:highlight w:val="none"/>
        </w:rPr>
        <w:t xml:space="preserve">        </w:t>
      </w:r>
    </w:p>
    <w:p w14:paraId="22768ADE">
      <w:pPr>
        <w:spacing w:line="540" w:lineRule="exact"/>
        <w:rPr>
          <w:color w:val="auto"/>
          <w:szCs w:val="21"/>
          <w:highlight w:val="none"/>
        </w:rPr>
      </w:pPr>
      <w:r>
        <w:rPr>
          <w:color w:val="auto"/>
          <w:szCs w:val="21"/>
          <w:highlight w:val="none"/>
        </w:rPr>
        <w:t>年龄：</w:t>
      </w:r>
      <w:r>
        <w:rPr>
          <w:color w:val="auto"/>
          <w:szCs w:val="21"/>
          <w:highlight w:val="none"/>
          <w:u w:val="single"/>
        </w:rPr>
        <w:t xml:space="preserve">         </w:t>
      </w:r>
      <w:r>
        <w:rPr>
          <w:color w:val="auto"/>
          <w:szCs w:val="21"/>
          <w:highlight w:val="none"/>
        </w:rPr>
        <w:t>；职务：</w:t>
      </w:r>
      <w:r>
        <w:rPr>
          <w:color w:val="auto"/>
          <w:szCs w:val="21"/>
          <w:highlight w:val="none"/>
          <w:u w:val="single"/>
        </w:rPr>
        <w:t xml:space="preserve">              </w:t>
      </w:r>
      <w:r>
        <w:rPr>
          <w:color w:val="auto"/>
          <w:szCs w:val="21"/>
          <w:highlight w:val="none"/>
        </w:rPr>
        <w:t>；身份证：</w:t>
      </w:r>
      <w:r>
        <w:rPr>
          <w:color w:val="auto"/>
          <w:szCs w:val="21"/>
          <w:highlight w:val="none"/>
          <w:u w:val="single"/>
        </w:rPr>
        <w:t xml:space="preserve">                                      </w:t>
      </w:r>
    </w:p>
    <w:p w14:paraId="0F29E8FB">
      <w:pPr>
        <w:spacing w:line="540" w:lineRule="exact"/>
        <w:rPr>
          <w:color w:val="auto"/>
          <w:szCs w:val="21"/>
          <w:highlight w:val="none"/>
        </w:rPr>
      </w:pPr>
      <w:r>
        <w:rPr>
          <w:color w:val="auto"/>
          <w:szCs w:val="21"/>
          <w:highlight w:val="none"/>
        </w:rPr>
        <w:t>系</w:t>
      </w:r>
      <w:r>
        <w:rPr>
          <w:color w:val="auto"/>
          <w:szCs w:val="21"/>
          <w:highlight w:val="none"/>
          <w:u w:val="single"/>
        </w:rPr>
        <w:t xml:space="preserve">                                      （ 供应商名称）</w:t>
      </w:r>
      <w:r>
        <w:rPr>
          <w:color w:val="auto"/>
          <w:szCs w:val="21"/>
          <w:highlight w:val="none"/>
        </w:rPr>
        <w:t>的法定代表人。</w:t>
      </w:r>
    </w:p>
    <w:p w14:paraId="72B1C222">
      <w:pPr>
        <w:spacing w:line="540" w:lineRule="exact"/>
        <w:rPr>
          <w:color w:val="auto"/>
          <w:szCs w:val="21"/>
          <w:highlight w:val="none"/>
        </w:rPr>
      </w:pPr>
    </w:p>
    <w:p w14:paraId="5E8FA1C7">
      <w:pPr>
        <w:spacing w:line="540" w:lineRule="exact"/>
        <w:ind w:firstLine="420" w:firstLineChars="200"/>
        <w:rPr>
          <w:color w:val="auto"/>
          <w:szCs w:val="21"/>
          <w:highlight w:val="none"/>
        </w:rPr>
      </w:pPr>
      <w:r>
        <w:rPr>
          <w:color w:val="auto"/>
          <w:szCs w:val="21"/>
          <w:highlight w:val="none"/>
        </w:rPr>
        <w:t>特此证明。</w:t>
      </w:r>
    </w:p>
    <w:p w14:paraId="3E639F79">
      <w:pPr>
        <w:spacing w:line="360" w:lineRule="auto"/>
        <w:ind w:firstLine="4830" w:firstLineChars="2300"/>
        <w:rPr>
          <w:color w:val="auto"/>
          <w:szCs w:val="21"/>
          <w:highlight w:val="none"/>
        </w:rPr>
      </w:pPr>
    </w:p>
    <w:p w14:paraId="28F5ECB5">
      <w:pPr>
        <w:spacing w:line="360" w:lineRule="auto"/>
        <w:ind w:firstLine="4830" w:firstLineChars="2300"/>
        <w:rPr>
          <w:color w:val="auto"/>
          <w:szCs w:val="21"/>
          <w:highlight w:val="none"/>
        </w:rPr>
      </w:pPr>
    </w:p>
    <w:p w14:paraId="2D7C1E8D">
      <w:pPr>
        <w:spacing w:line="360" w:lineRule="auto"/>
        <w:ind w:firstLine="4830" w:firstLineChars="23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6C8EABAA">
      <w:pPr>
        <w:spacing w:line="360" w:lineRule="auto"/>
        <w:jc w:val="right"/>
        <w:rPr>
          <w:color w:val="auto"/>
          <w:szCs w:val="21"/>
          <w:highlight w:val="none"/>
        </w:rPr>
      </w:pPr>
      <w:r>
        <w:rPr>
          <w:color w:val="auto"/>
          <w:szCs w:val="21"/>
          <w:highlight w:val="none"/>
        </w:rPr>
        <w:t xml:space="preserve">                                                                                              年       月       日 </w:t>
      </w:r>
    </w:p>
    <w:p w14:paraId="76F4ECEE">
      <w:pPr>
        <w:spacing w:line="360" w:lineRule="auto"/>
        <w:ind w:firstLine="420" w:firstLineChars="200"/>
        <w:rPr>
          <w:color w:val="auto"/>
          <w:szCs w:val="21"/>
          <w:highlight w:val="none"/>
        </w:rPr>
      </w:pPr>
    </w:p>
    <w:p w14:paraId="4231B4CD">
      <w:pPr>
        <w:spacing w:line="360" w:lineRule="auto"/>
        <w:rPr>
          <w:color w:val="auto"/>
          <w:szCs w:val="21"/>
          <w:highlight w:val="none"/>
        </w:rPr>
      </w:pPr>
      <w:r>
        <w:rPr>
          <w:color w:val="auto"/>
          <w:szCs w:val="21"/>
          <w:highlight w:val="none"/>
        </w:rPr>
        <w:t>附件：法定代表人身份证复印件</w:t>
      </w:r>
    </w:p>
    <w:p w14:paraId="209A6ABE">
      <w:pPr>
        <w:spacing w:line="360" w:lineRule="auto"/>
        <w:rPr>
          <w:color w:val="auto"/>
          <w:szCs w:val="21"/>
          <w:highlight w:val="none"/>
        </w:rPr>
      </w:pPr>
    </w:p>
    <w:p w14:paraId="782F4FB3">
      <w:pPr>
        <w:snapToGrid w:val="0"/>
        <w:spacing w:before="120" w:beforeLines="50" w:after="50" w:line="360" w:lineRule="exact"/>
        <w:rPr>
          <w:b/>
          <w:color w:val="auto"/>
          <w:szCs w:val="21"/>
          <w:highlight w:val="none"/>
        </w:rPr>
      </w:pPr>
      <w:r>
        <w:rPr>
          <w:b/>
          <w:color w:val="auto"/>
          <w:szCs w:val="21"/>
          <w:highlight w:val="none"/>
        </w:rPr>
        <w:br w:type="page"/>
      </w:r>
      <w:r>
        <w:rPr>
          <w:rFonts w:hint="eastAsia"/>
          <w:b/>
          <w:color w:val="auto"/>
          <w:szCs w:val="21"/>
          <w:highlight w:val="none"/>
        </w:rPr>
        <w:t>1</w:t>
      </w:r>
      <w:r>
        <w:rPr>
          <w:b/>
          <w:color w:val="auto"/>
          <w:szCs w:val="21"/>
          <w:highlight w:val="none"/>
        </w:rPr>
        <w:t>．</w:t>
      </w:r>
      <w:r>
        <w:rPr>
          <w:rFonts w:hint="eastAsia"/>
          <w:b/>
          <w:color w:val="auto"/>
          <w:szCs w:val="21"/>
          <w:highlight w:val="none"/>
        </w:rPr>
        <w:t>授权</w:t>
      </w:r>
      <w:r>
        <w:rPr>
          <w:b/>
          <w:color w:val="auto"/>
          <w:szCs w:val="21"/>
          <w:highlight w:val="none"/>
        </w:rPr>
        <w:t>委托书</w:t>
      </w:r>
      <w:r>
        <w:rPr>
          <w:rFonts w:hint="eastAsia"/>
          <w:b/>
          <w:color w:val="auto"/>
          <w:szCs w:val="21"/>
          <w:highlight w:val="none"/>
        </w:rPr>
        <w:t>（有授权</w:t>
      </w:r>
      <w:r>
        <w:rPr>
          <w:b/>
          <w:color w:val="auto"/>
          <w:szCs w:val="21"/>
          <w:highlight w:val="none"/>
        </w:rPr>
        <w:t>代表</w:t>
      </w:r>
      <w:r>
        <w:rPr>
          <w:rFonts w:hint="eastAsia"/>
          <w:b/>
          <w:color w:val="auto"/>
          <w:szCs w:val="21"/>
          <w:highlight w:val="none"/>
        </w:rPr>
        <w:t>时提供）</w:t>
      </w:r>
      <w:r>
        <w:rPr>
          <w:b/>
          <w:color w:val="auto"/>
          <w:szCs w:val="21"/>
          <w:highlight w:val="none"/>
        </w:rPr>
        <w:t>：</w:t>
      </w:r>
    </w:p>
    <w:p w14:paraId="106D5463">
      <w:pPr>
        <w:snapToGrid w:val="0"/>
        <w:spacing w:before="120" w:beforeLines="50" w:after="50" w:line="360" w:lineRule="exact"/>
        <w:rPr>
          <w:b/>
          <w:color w:val="auto"/>
          <w:szCs w:val="21"/>
          <w:highlight w:val="none"/>
        </w:rPr>
      </w:pPr>
    </w:p>
    <w:p w14:paraId="7DF89757">
      <w:pPr>
        <w:snapToGrid w:val="0"/>
        <w:spacing w:before="120" w:beforeLines="50" w:after="50" w:line="440" w:lineRule="exact"/>
        <w:jc w:val="center"/>
        <w:rPr>
          <w:b/>
          <w:color w:val="auto"/>
          <w:szCs w:val="21"/>
          <w:highlight w:val="none"/>
        </w:rPr>
      </w:pPr>
      <w:r>
        <w:rPr>
          <w:b/>
          <w:color w:val="auto"/>
          <w:szCs w:val="21"/>
          <w:highlight w:val="none"/>
        </w:rPr>
        <w:t>法定代表人授权委托书</w:t>
      </w:r>
    </w:p>
    <w:p w14:paraId="44223FBA">
      <w:pPr>
        <w:snapToGrid w:val="0"/>
        <w:spacing w:before="120" w:beforeLines="50" w:after="50" w:line="440" w:lineRule="exact"/>
        <w:rPr>
          <w:b/>
          <w:bCs/>
          <w:color w:val="auto"/>
          <w:szCs w:val="21"/>
          <w:highlight w:val="none"/>
        </w:rPr>
      </w:pPr>
      <w:r>
        <w:rPr>
          <w:bCs/>
          <w:color w:val="auto"/>
          <w:szCs w:val="21"/>
          <w:highlight w:val="none"/>
        </w:rPr>
        <w:t>致：</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color w:val="auto"/>
          <w:szCs w:val="21"/>
          <w:highlight w:val="none"/>
        </w:rPr>
        <w:t>：</w:t>
      </w:r>
    </w:p>
    <w:p w14:paraId="59860905">
      <w:pPr>
        <w:snapToGrid w:val="0"/>
        <w:spacing w:before="120" w:beforeLines="50" w:after="50" w:line="440" w:lineRule="exact"/>
        <w:ind w:firstLine="420" w:firstLineChars="200"/>
        <w:rPr>
          <w:color w:val="auto"/>
          <w:szCs w:val="21"/>
          <w:highlight w:val="none"/>
        </w:rPr>
      </w:pPr>
      <w:r>
        <w:rPr>
          <w:color w:val="auto"/>
          <w:szCs w:val="21"/>
          <w:highlight w:val="none"/>
        </w:rPr>
        <w:t>我__</w:t>
      </w:r>
      <w:r>
        <w:rPr>
          <w:i/>
          <w:iCs/>
          <w:color w:val="auto"/>
          <w:szCs w:val="21"/>
          <w:highlight w:val="none"/>
          <w:u w:val="single"/>
        </w:rPr>
        <w:t>（</w:t>
      </w:r>
      <w:r>
        <w:rPr>
          <w:rFonts w:hint="eastAsia"/>
          <w:i/>
          <w:iCs/>
          <w:color w:val="auto"/>
          <w:szCs w:val="21"/>
          <w:highlight w:val="none"/>
          <w:u w:val="single"/>
        </w:rPr>
        <w:t>法定代表人姓名</w:t>
      </w:r>
      <w:r>
        <w:rPr>
          <w:i/>
          <w:iCs/>
          <w:color w:val="auto"/>
          <w:szCs w:val="21"/>
          <w:highlight w:val="none"/>
          <w:u w:val="single"/>
        </w:rPr>
        <w:t>）</w:t>
      </w:r>
      <w:r>
        <w:rPr>
          <w:color w:val="auto"/>
          <w:szCs w:val="21"/>
          <w:highlight w:val="none"/>
        </w:rPr>
        <w:t>_系_</w:t>
      </w:r>
      <w:r>
        <w:rPr>
          <w:i/>
          <w:iCs/>
          <w:color w:val="auto"/>
          <w:szCs w:val="21"/>
          <w:highlight w:val="none"/>
          <w:u w:val="single"/>
        </w:rPr>
        <w:t>（供应商名称）</w:t>
      </w:r>
      <w:r>
        <w:rPr>
          <w:color w:val="auto"/>
          <w:szCs w:val="21"/>
          <w:highlight w:val="none"/>
        </w:rPr>
        <w:t xml:space="preserve">_的法定代表人，现授权委托本单位在职职工 </w:t>
      </w:r>
      <w:r>
        <w:rPr>
          <w:color w:val="auto"/>
          <w:szCs w:val="21"/>
          <w:highlight w:val="none"/>
          <w:u w:val="single"/>
        </w:rPr>
        <w:t xml:space="preserve">        </w:t>
      </w:r>
      <w:r>
        <w:rPr>
          <w:color w:val="auto"/>
          <w:szCs w:val="21"/>
          <w:highlight w:val="none"/>
        </w:rPr>
        <w:t>（姓名）以我方的名义参加</w:t>
      </w:r>
      <w:r>
        <w:rPr>
          <w:color w:val="auto"/>
          <w:szCs w:val="21"/>
          <w:highlight w:val="none"/>
          <w:u w:val="single"/>
        </w:rPr>
        <w:t xml:space="preserve"> </w:t>
      </w:r>
      <w:r>
        <w:rPr>
          <w:rFonts w:hint="eastAsia"/>
          <w:i/>
          <w:iCs/>
          <w:color w:val="auto"/>
          <w:szCs w:val="21"/>
          <w:highlight w:val="none"/>
          <w:u w:val="single"/>
        </w:rPr>
        <w:t>（项目名称）</w:t>
      </w:r>
      <w:r>
        <w:rPr>
          <w:color w:val="auto"/>
          <w:szCs w:val="21"/>
          <w:highlight w:val="none"/>
          <w:u w:val="single"/>
        </w:rPr>
        <w:t xml:space="preserve"> </w:t>
      </w:r>
      <w:r>
        <w:rPr>
          <w:color w:val="auto"/>
          <w:szCs w:val="21"/>
          <w:highlight w:val="none"/>
        </w:rPr>
        <w:t>项目的投标活动，并代表我方全权办理针对上述项目的投标、开标、评审、签约等具体事务和签署相关文件。</w:t>
      </w:r>
    </w:p>
    <w:p w14:paraId="7BE043F1">
      <w:pPr>
        <w:snapToGrid w:val="0"/>
        <w:spacing w:before="120" w:beforeLines="50" w:after="50" w:line="440" w:lineRule="exact"/>
        <w:rPr>
          <w:color w:val="auto"/>
          <w:szCs w:val="21"/>
          <w:highlight w:val="none"/>
        </w:rPr>
      </w:pPr>
      <w:r>
        <w:rPr>
          <w:color w:val="auto"/>
          <w:szCs w:val="21"/>
          <w:highlight w:val="none"/>
        </w:rPr>
        <w:t xml:space="preserve">    我方对被授权人的签名事项负全部责任。</w:t>
      </w:r>
    </w:p>
    <w:p w14:paraId="7637D5A5">
      <w:pPr>
        <w:snapToGrid w:val="0"/>
        <w:spacing w:before="120" w:beforeLines="50" w:after="50" w:line="440" w:lineRule="exact"/>
        <w:ind w:firstLine="480"/>
        <w:rPr>
          <w:color w:val="auto"/>
          <w:szCs w:val="21"/>
          <w:highlight w:val="none"/>
        </w:rPr>
      </w:pPr>
      <w:r>
        <w:rPr>
          <w:color w:val="auto"/>
          <w:szCs w:val="21"/>
          <w:highlight w:val="none"/>
        </w:rPr>
        <w:t>在撤销授权的书面通知以前，本授权书一直有效。被授权人在授权书有效期内签署的所有文件不因授权的撤销而失效。</w:t>
      </w:r>
    </w:p>
    <w:p w14:paraId="6C77B642">
      <w:pPr>
        <w:snapToGrid w:val="0"/>
        <w:spacing w:before="120" w:beforeLines="50" w:after="50" w:line="440" w:lineRule="exact"/>
        <w:ind w:firstLine="480"/>
        <w:rPr>
          <w:color w:val="auto"/>
          <w:szCs w:val="21"/>
          <w:highlight w:val="none"/>
        </w:rPr>
      </w:pPr>
      <w:r>
        <w:rPr>
          <w:color w:val="auto"/>
          <w:szCs w:val="21"/>
          <w:highlight w:val="none"/>
        </w:rPr>
        <w:t>被授权人无转委托权，特此委托。</w:t>
      </w:r>
    </w:p>
    <w:p w14:paraId="7A510D08">
      <w:pPr>
        <w:snapToGrid w:val="0"/>
        <w:spacing w:before="120" w:beforeLines="50" w:after="50" w:line="440" w:lineRule="exact"/>
        <w:rPr>
          <w:color w:val="auto"/>
          <w:szCs w:val="21"/>
          <w:highlight w:val="none"/>
          <w:u w:val="single"/>
        </w:rPr>
      </w:pPr>
      <w:r>
        <w:rPr>
          <w:color w:val="auto"/>
          <w:szCs w:val="21"/>
          <w:highlight w:val="none"/>
        </w:rPr>
        <w:t>被授权人签字或</w:t>
      </w:r>
      <w:r>
        <w:rPr>
          <w:rFonts w:hint="eastAsia"/>
          <w:color w:val="auto"/>
          <w:szCs w:val="21"/>
          <w:highlight w:val="none"/>
        </w:rPr>
        <w:t>签章</w:t>
      </w:r>
      <w:r>
        <w:rPr>
          <w:color w:val="auto"/>
          <w:szCs w:val="21"/>
          <w:highlight w:val="none"/>
        </w:rPr>
        <w:t>：</w:t>
      </w:r>
      <w:r>
        <w:rPr>
          <w:color w:val="auto"/>
          <w:szCs w:val="21"/>
          <w:highlight w:val="none"/>
          <w:u w:val="single"/>
        </w:rPr>
        <w:t xml:space="preserve">          </w:t>
      </w:r>
      <w:r>
        <w:rPr>
          <w:color w:val="auto"/>
          <w:szCs w:val="21"/>
          <w:highlight w:val="none"/>
        </w:rPr>
        <w:t xml:space="preserve">                     法定代表人签字或</w:t>
      </w:r>
      <w:r>
        <w:rPr>
          <w:rFonts w:hint="eastAsia"/>
          <w:color w:val="auto"/>
          <w:szCs w:val="21"/>
          <w:highlight w:val="none"/>
        </w:rPr>
        <w:t>签章</w:t>
      </w:r>
      <w:r>
        <w:rPr>
          <w:color w:val="auto"/>
          <w:szCs w:val="21"/>
          <w:highlight w:val="none"/>
        </w:rPr>
        <w:t>：</w:t>
      </w:r>
      <w:r>
        <w:rPr>
          <w:color w:val="auto"/>
          <w:szCs w:val="21"/>
          <w:highlight w:val="none"/>
          <w:u w:val="single"/>
        </w:rPr>
        <w:t xml:space="preserve">          </w:t>
      </w:r>
    </w:p>
    <w:p w14:paraId="6E22EAFA">
      <w:pPr>
        <w:snapToGrid w:val="0"/>
        <w:spacing w:before="120" w:beforeLines="50" w:after="50" w:line="440" w:lineRule="exact"/>
        <w:rPr>
          <w:color w:val="auto"/>
          <w:szCs w:val="21"/>
          <w:highlight w:val="none"/>
        </w:rPr>
      </w:pPr>
      <w:r>
        <w:rPr>
          <w:color w:val="auto"/>
          <w:szCs w:val="21"/>
          <w:highlight w:val="none"/>
        </w:rPr>
        <w:t>职务：</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p>
    <w:p w14:paraId="09A67892">
      <w:pPr>
        <w:snapToGrid w:val="0"/>
        <w:spacing w:before="120" w:beforeLines="50" w:after="50" w:line="440" w:lineRule="exact"/>
        <w:rPr>
          <w:color w:val="auto"/>
          <w:szCs w:val="21"/>
          <w:highlight w:val="none"/>
        </w:rPr>
      </w:pPr>
      <w:r>
        <w:rPr>
          <w:color w:val="auto"/>
          <w:szCs w:val="21"/>
          <w:highlight w:val="none"/>
        </w:rPr>
        <w:t>被授权人身份证号码：</w:t>
      </w:r>
      <w:r>
        <w:rPr>
          <w:color w:val="auto"/>
          <w:szCs w:val="21"/>
          <w:highlight w:val="none"/>
          <w:u w:val="single"/>
        </w:rPr>
        <w:t xml:space="preserve">                   </w:t>
      </w:r>
      <w:r>
        <w:rPr>
          <w:color w:val="auto"/>
          <w:szCs w:val="21"/>
          <w:highlight w:val="none"/>
        </w:rPr>
        <w:t xml:space="preserve">            授权人身份证号码：</w:t>
      </w:r>
      <w:r>
        <w:rPr>
          <w:color w:val="auto"/>
          <w:szCs w:val="21"/>
          <w:highlight w:val="none"/>
          <w:u w:val="single"/>
        </w:rPr>
        <w:t xml:space="preserve">                 </w:t>
      </w:r>
    </w:p>
    <w:p w14:paraId="3A47A7BD">
      <w:pPr>
        <w:snapToGrid w:val="0"/>
        <w:spacing w:before="120" w:beforeLines="50" w:after="50" w:line="440" w:lineRule="exact"/>
        <w:rPr>
          <w:color w:val="auto"/>
          <w:szCs w:val="21"/>
          <w:highlight w:val="none"/>
        </w:rPr>
      </w:pPr>
      <w:bookmarkStart w:id="77" w:name="_Hlk132880052"/>
      <w:r>
        <w:rPr>
          <w:rFonts w:hint="eastAsia"/>
          <w:color w:val="auto"/>
          <w:szCs w:val="21"/>
          <w:highlight w:val="none"/>
        </w:rPr>
        <w:t>被授权人手机号码及邮箱：</w:t>
      </w:r>
      <w:bookmarkEnd w:id="77"/>
      <w:r>
        <w:rPr>
          <w:color w:val="auto"/>
          <w:szCs w:val="21"/>
          <w:highlight w:val="none"/>
        </w:rPr>
        <w:t xml:space="preserve">                                 </w:t>
      </w:r>
    </w:p>
    <w:p w14:paraId="0485EB34">
      <w:pPr>
        <w:snapToGrid w:val="0"/>
        <w:spacing w:before="120" w:beforeLines="50" w:after="50" w:line="440" w:lineRule="exact"/>
        <w:ind w:firstLine="5250" w:firstLineChars="2500"/>
        <w:rPr>
          <w:color w:val="auto"/>
          <w:szCs w:val="21"/>
          <w:highlight w:val="none"/>
        </w:rPr>
      </w:pPr>
    </w:p>
    <w:p w14:paraId="70E90151">
      <w:pPr>
        <w:snapToGrid w:val="0"/>
        <w:spacing w:before="120" w:beforeLines="50" w:after="50" w:line="440" w:lineRule="exact"/>
        <w:ind w:firstLine="5250" w:firstLineChars="25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0C6D7C81">
      <w:pPr>
        <w:snapToGrid w:val="0"/>
        <w:spacing w:before="120" w:beforeLines="50" w:after="50" w:line="440" w:lineRule="exact"/>
        <w:jc w:val="center"/>
        <w:rPr>
          <w:color w:val="auto"/>
          <w:szCs w:val="21"/>
          <w:highlight w:val="none"/>
        </w:rPr>
      </w:pPr>
      <w:r>
        <w:rPr>
          <w:color w:val="auto"/>
          <w:szCs w:val="21"/>
          <w:highlight w:val="none"/>
        </w:rPr>
        <w:t xml:space="preserve">                                        年    月    日</w:t>
      </w:r>
    </w:p>
    <w:p w14:paraId="106A8249">
      <w:pPr>
        <w:spacing w:line="360" w:lineRule="auto"/>
        <w:rPr>
          <w:color w:val="auto"/>
          <w:szCs w:val="21"/>
          <w:highlight w:val="none"/>
        </w:rPr>
      </w:pPr>
    </w:p>
    <w:p w14:paraId="7C8A73DD">
      <w:pPr>
        <w:spacing w:line="360" w:lineRule="auto"/>
        <w:rPr>
          <w:color w:val="auto"/>
          <w:szCs w:val="21"/>
          <w:highlight w:val="none"/>
        </w:rPr>
      </w:pPr>
    </w:p>
    <w:p w14:paraId="02CB4784">
      <w:pPr>
        <w:spacing w:line="360" w:lineRule="auto"/>
        <w:rPr>
          <w:color w:val="auto"/>
          <w:szCs w:val="21"/>
          <w:highlight w:val="none"/>
        </w:rPr>
      </w:pPr>
      <w:r>
        <w:rPr>
          <w:color w:val="auto"/>
          <w:szCs w:val="21"/>
          <w:highlight w:val="none"/>
        </w:rPr>
        <w:t>附件：法定代表人身份证复印件及授权代表身份证复印件</w:t>
      </w:r>
    </w:p>
    <w:p w14:paraId="1DEF3B23">
      <w:pPr>
        <w:snapToGrid w:val="0"/>
        <w:spacing w:before="120" w:beforeLines="50" w:after="50" w:line="440" w:lineRule="exact"/>
        <w:jc w:val="center"/>
        <w:outlineLvl w:val="1"/>
        <w:rPr>
          <w:bCs/>
          <w:color w:val="auto"/>
          <w:sz w:val="24"/>
          <w:highlight w:val="none"/>
        </w:rPr>
      </w:pPr>
      <w:r>
        <w:rPr>
          <w:color w:val="auto"/>
          <w:highlight w:val="none"/>
        </w:rPr>
        <w:br w:type="page"/>
      </w:r>
      <w:r>
        <w:rPr>
          <w:bCs/>
          <w:color w:val="auto"/>
          <w:sz w:val="24"/>
          <w:highlight w:val="none"/>
        </w:rPr>
        <w:t>第一部分 商务文件</w:t>
      </w:r>
    </w:p>
    <w:p w14:paraId="2BE771FA">
      <w:pPr>
        <w:jc w:val="center"/>
        <w:rPr>
          <w:bCs/>
          <w:color w:val="auto"/>
          <w:sz w:val="24"/>
          <w:highlight w:val="none"/>
        </w:rPr>
      </w:pPr>
      <w:r>
        <w:rPr>
          <w:color w:val="auto"/>
          <w:highlight w:val="none"/>
        </w:rPr>
        <w:t>（本商务文件供应商可自行编写，也可参照下述提纲编写）</w:t>
      </w:r>
    </w:p>
    <w:p w14:paraId="3BFB3563">
      <w:pPr>
        <w:snapToGrid w:val="0"/>
        <w:spacing w:before="50" w:after="120" w:afterLines="50" w:line="440" w:lineRule="exact"/>
        <w:jc w:val="left"/>
        <w:rPr>
          <w:color w:val="auto"/>
          <w:szCs w:val="21"/>
          <w:highlight w:val="none"/>
        </w:rPr>
      </w:pPr>
    </w:p>
    <w:p w14:paraId="0167E2F9">
      <w:pPr>
        <w:snapToGrid w:val="0"/>
        <w:spacing w:before="50" w:after="120" w:afterLines="50" w:line="440" w:lineRule="exact"/>
        <w:jc w:val="left"/>
        <w:rPr>
          <w:color w:val="auto"/>
          <w:szCs w:val="21"/>
          <w:highlight w:val="none"/>
        </w:rPr>
      </w:pPr>
      <w:r>
        <w:rPr>
          <w:rFonts w:hint="eastAsia"/>
          <w:color w:val="auto"/>
          <w:szCs w:val="21"/>
          <w:highlight w:val="none"/>
        </w:rPr>
        <w:t>1</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color w:val="auto"/>
          <w:szCs w:val="21"/>
          <w:highlight w:val="none"/>
        </w:rPr>
        <w:t>采购需求</w:t>
      </w:r>
      <w:r>
        <w:rPr>
          <w:rFonts w:hint="eastAsia"/>
          <w:color w:val="auto"/>
          <w:szCs w:val="21"/>
          <w:highlight w:val="none"/>
        </w:rPr>
        <w:t>》“</w:t>
      </w:r>
      <w:r>
        <w:rPr>
          <w:color w:val="auto"/>
          <w:szCs w:val="21"/>
          <w:highlight w:val="none"/>
        </w:rPr>
        <w:t>商务要求</w:t>
      </w:r>
      <w:r>
        <w:rPr>
          <w:rFonts w:hint="eastAsia"/>
          <w:color w:val="auto"/>
          <w:szCs w:val="21"/>
          <w:highlight w:val="none"/>
        </w:rPr>
        <w:t>”</w:t>
      </w:r>
      <w:r>
        <w:rPr>
          <w:color w:val="auto"/>
          <w:szCs w:val="21"/>
          <w:highlight w:val="none"/>
        </w:rPr>
        <w:t>的</w:t>
      </w:r>
      <w:r>
        <w:rPr>
          <w:rFonts w:hint="eastAsia"/>
          <w:color w:val="auto"/>
          <w:szCs w:val="21"/>
          <w:highlight w:val="none"/>
        </w:rPr>
        <w:t>响应表</w:t>
      </w:r>
      <w:r>
        <w:rPr>
          <w:color w:val="auto"/>
          <w:szCs w:val="21"/>
          <w:highlight w:val="none"/>
        </w:rPr>
        <w:t>：</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2110"/>
        <w:gridCol w:w="4890"/>
        <w:gridCol w:w="1082"/>
      </w:tblGrid>
      <w:tr w14:paraId="3381ED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765D4435">
            <w:pPr>
              <w:snapToGrid w:val="0"/>
              <w:spacing w:before="120" w:beforeLines="50"/>
              <w:jc w:val="center"/>
              <w:rPr>
                <w:color w:val="auto"/>
                <w:szCs w:val="21"/>
                <w:highlight w:val="none"/>
              </w:rPr>
            </w:pPr>
            <w:r>
              <w:rPr>
                <w:color w:val="auto"/>
                <w:szCs w:val="21"/>
                <w:highlight w:val="none"/>
              </w:rPr>
              <w:t>序号</w:t>
            </w:r>
          </w:p>
        </w:tc>
        <w:tc>
          <w:tcPr>
            <w:tcW w:w="2110" w:type="dxa"/>
            <w:tcBorders>
              <w:top w:val="single" w:color="auto" w:sz="4" w:space="0"/>
              <w:left w:val="single" w:color="auto" w:sz="4" w:space="0"/>
              <w:bottom w:val="single" w:color="auto" w:sz="4" w:space="0"/>
              <w:right w:val="single" w:color="auto" w:sz="4" w:space="0"/>
            </w:tcBorders>
            <w:vAlign w:val="center"/>
          </w:tcPr>
          <w:p w14:paraId="389086D9">
            <w:pPr>
              <w:snapToGrid w:val="0"/>
              <w:spacing w:before="120" w:beforeLines="50"/>
              <w:jc w:val="center"/>
              <w:rPr>
                <w:color w:val="auto"/>
                <w:szCs w:val="21"/>
                <w:highlight w:val="none"/>
              </w:rPr>
            </w:pPr>
            <w:r>
              <w:rPr>
                <w:color w:val="auto"/>
                <w:szCs w:val="21"/>
                <w:highlight w:val="none"/>
              </w:rPr>
              <w:t>招标文件的商务要求</w:t>
            </w:r>
          </w:p>
        </w:tc>
        <w:tc>
          <w:tcPr>
            <w:tcW w:w="4890" w:type="dxa"/>
            <w:tcBorders>
              <w:top w:val="single" w:color="auto" w:sz="4" w:space="0"/>
              <w:left w:val="single" w:color="auto" w:sz="4" w:space="0"/>
              <w:bottom w:val="single" w:color="auto" w:sz="4" w:space="0"/>
              <w:right w:val="single" w:color="auto" w:sz="4" w:space="0"/>
            </w:tcBorders>
            <w:vAlign w:val="center"/>
          </w:tcPr>
          <w:p w14:paraId="08CB8134">
            <w:pPr>
              <w:snapToGrid w:val="0"/>
              <w:spacing w:before="120" w:beforeLines="50"/>
              <w:jc w:val="center"/>
              <w:rPr>
                <w:color w:val="auto"/>
                <w:szCs w:val="21"/>
                <w:highlight w:val="none"/>
              </w:rPr>
            </w:pPr>
            <w:r>
              <w:rPr>
                <w:color w:val="auto"/>
                <w:szCs w:val="21"/>
                <w:highlight w:val="none"/>
              </w:rPr>
              <w:t>投标文件响应内容</w:t>
            </w:r>
          </w:p>
        </w:tc>
        <w:tc>
          <w:tcPr>
            <w:tcW w:w="1082" w:type="dxa"/>
            <w:tcBorders>
              <w:top w:val="single" w:color="auto" w:sz="4" w:space="0"/>
              <w:left w:val="single" w:color="auto" w:sz="4" w:space="0"/>
              <w:bottom w:val="single" w:color="auto" w:sz="4" w:space="0"/>
              <w:right w:val="single" w:color="auto" w:sz="4" w:space="0"/>
            </w:tcBorders>
            <w:vAlign w:val="center"/>
          </w:tcPr>
          <w:p w14:paraId="34686794">
            <w:pPr>
              <w:snapToGrid w:val="0"/>
              <w:spacing w:before="120" w:beforeLines="50"/>
              <w:jc w:val="center"/>
              <w:rPr>
                <w:color w:val="auto"/>
                <w:szCs w:val="21"/>
                <w:highlight w:val="none"/>
              </w:rPr>
            </w:pPr>
            <w:r>
              <w:rPr>
                <w:color w:val="auto"/>
                <w:highlight w:val="none"/>
              </w:rPr>
              <w:t>偏离</w:t>
            </w:r>
            <w:r>
              <w:rPr>
                <w:color w:val="auto"/>
                <w:szCs w:val="21"/>
                <w:highlight w:val="none"/>
              </w:rPr>
              <w:t>说明</w:t>
            </w:r>
          </w:p>
        </w:tc>
      </w:tr>
      <w:tr w14:paraId="770E75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0C23A523">
            <w:pPr>
              <w:snapToGrid w:val="0"/>
              <w:spacing w:before="120" w:beforeLines="50"/>
              <w:jc w:val="center"/>
              <w:rPr>
                <w:color w:val="auto"/>
                <w:szCs w:val="21"/>
                <w:highlight w:val="none"/>
              </w:rPr>
            </w:pPr>
          </w:p>
        </w:tc>
        <w:tc>
          <w:tcPr>
            <w:tcW w:w="2110" w:type="dxa"/>
            <w:tcBorders>
              <w:top w:val="single" w:color="auto" w:sz="4" w:space="0"/>
              <w:left w:val="single" w:color="auto" w:sz="4" w:space="0"/>
              <w:bottom w:val="single" w:color="auto" w:sz="4" w:space="0"/>
              <w:right w:val="single" w:color="auto" w:sz="4" w:space="0"/>
            </w:tcBorders>
            <w:vAlign w:val="center"/>
          </w:tcPr>
          <w:p w14:paraId="060A9DC7">
            <w:pPr>
              <w:snapToGrid w:val="0"/>
              <w:spacing w:before="120" w:beforeLines="50"/>
              <w:jc w:val="center"/>
              <w:rPr>
                <w:color w:val="auto"/>
                <w:szCs w:val="21"/>
                <w:highlight w:val="none"/>
              </w:rPr>
            </w:pPr>
          </w:p>
        </w:tc>
        <w:tc>
          <w:tcPr>
            <w:tcW w:w="4890" w:type="dxa"/>
            <w:tcBorders>
              <w:top w:val="single" w:color="auto" w:sz="4" w:space="0"/>
              <w:left w:val="single" w:color="auto" w:sz="4" w:space="0"/>
              <w:bottom w:val="single" w:color="auto" w:sz="4" w:space="0"/>
              <w:right w:val="single" w:color="auto" w:sz="4" w:space="0"/>
            </w:tcBorders>
            <w:vAlign w:val="center"/>
          </w:tcPr>
          <w:p w14:paraId="677538A8">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78F2145A">
            <w:pPr>
              <w:snapToGrid w:val="0"/>
              <w:spacing w:before="120" w:beforeLines="50"/>
              <w:jc w:val="center"/>
              <w:rPr>
                <w:color w:val="auto"/>
                <w:szCs w:val="21"/>
                <w:highlight w:val="none"/>
              </w:rPr>
            </w:pPr>
          </w:p>
        </w:tc>
      </w:tr>
      <w:tr w14:paraId="72CE7B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468B2352">
            <w:pPr>
              <w:snapToGrid w:val="0"/>
              <w:spacing w:before="120" w:beforeLines="50"/>
              <w:jc w:val="center"/>
              <w:rPr>
                <w:color w:val="auto"/>
                <w:szCs w:val="21"/>
                <w:highlight w:val="none"/>
              </w:rPr>
            </w:pPr>
          </w:p>
        </w:tc>
        <w:tc>
          <w:tcPr>
            <w:tcW w:w="2110" w:type="dxa"/>
            <w:tcBorders>
              <w:top w:val="single" w:color="auto" w:sz="4" w:space="0"/>
              <w:left w:val="single" w:color="auto" w:sz="4" w:space="0"/>
              <w:bottom w:val="single" w:color="auto" w:sz="4" w:space="0"/>
              <w:right w:val="single" w:color="auto" w:sz="4" w:space="0"/>
            </w:tcBorders>
            <w:vAlign w:val="center"/>
          </w:tcPr>
          <w:p w14:paraId="4D077F76">
            <w:pPr>
              <w:spacing w:line="360" w:lineRule="exact"/>
              <w:jc w:val="center"/>
              <w:rPr>
                <w:color w:val="auto"/>
                <w:szCs w:val="21"/>
                <w:highlight w:val="none"/>
              </w:rPr>
            </w:pPr>
          </w:p>
        </w:tc>
        <w:tc>
          <w:tcPr>
            <w:tcW w:w="4890" w:type="dxa"/>
            <w:tcBorders>
              <w:top w:val="single" w:color="auto" w:sz="4" w:space="0"/>
              <w:left w:val="single" w:color="auto" w:sz="4" w:space="0"/>
              <w:bottom w:val="single" w:color="auto" w:sz="4" w:space="0"/>
              <w:right w:val="single" w:color="auto" w:sz="4" w:space="0"/>
            </w:tcBorders>
            <w:vAlign w:val="center"/>
          </w:tcPr>
          <w:p w14:paraId="0490A9C9">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5698BBCA">
            <w:pPr>
              <w:snapToGrid w:val="0"/>
              <w:spacing w:before="120" w:beforeLines="50"/>
              <w:jc w:val="center"/>
              <w:rPr>
                <w:color w:val="auto"/>
                <w:szCs w:val="21"/>
                <w:highlight w:val="none"/>
              </w:rPr>
            </w:pPr>
          </w:p>
        </w:tc>
      </w:tr>
      <w:tr w14:paraId="4BDDB7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3AE2A0D4">
            <w:pPr>
              <w:snapToGrid w:val="0"/>
              <w:spacing w:before="120" w:beforeLines="50"/>
              <w:jc w:val="center"/>
              <w:rPr>
                <w:color w:val="auto"/>
                <w:szCs w:val="21"/>
                <w:highlight w:val="none"/>
              </w:rPr>
            </w:pPr>
          </w:p>
        </w:tc>
        <w:tc>
          <w:tcPr>
            <w:tcW w:w="2110" w:type="dxa"/>
            <w:tcBorders>
              <w:top w:val="single" w:color="auto" w:sz="4" w:space="0"/>
              <w:left w:val="single" w:color="auto" w:sz="4" w:space="0"/>
              <w:bottom w:val="single" w:color="auto" w:sz="4" w:space="0"/>
              <w:right w:val="single" w:color="auto" w:sz="4" w:space="0"/>
            </w:tcBorders>
            <w:vAlign w:val="center"/>
          </w:tcPr>
          <w:p w14:paraId="6EE0C367">
            <w:pPr>
              <w:spacing w:line="360" w:lineRule="exact"/>
              <w:jc w:val="center"/>
              <w:rPr>
                <w:color w:val="auto"/>
                <w:szCs w:val="21"/>
                <w:highlight w:val="none"/>
              </w:rPr>
            </w:pPr>
            <w:r>
              <w:rPr>
                <w:color w:val="auto"/>
                <w:szCs w:val="21"/>
                <w:highlight w:val="none"/>
              </w:rPr>
              <w:t>……</w:t>
            </w:r>
          </w:p>
        </w:tc>
        <w:tc>
          <w:tcPr>
            <w:tcW w:w="4890" w:type="dxa"/>
            <w:tcBorders>
              <w:top w:val="single" w:color="auto" w:sz="4" w:space="0"/>
              <w:left w:val="single" w:color="auto" w:sz="4" w:space="0"/>
              <w:bottom w:val="single" w:color="auto" w:sz="4" w:space="0"/>
              <w:right w:val="single" w:color="auto" w:sz="4" w:space="0"/>
            </w:tcBorders>
            <w:vAlign w:val="center"/>
          </w:tcPr>
          <w:p w14:paraId="3C7609A1">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55EE8326">
            <w:pPr>
              <w:snapToGrid w:val="0"/>
              <w:spacing w:before="120" w:beforeLines="50"/>
              <w:jc w:val="center"/>
              <w:rPr>
                <w:color w:val="auto"/>
                <w:szCs w:val="21"/>
                <w:highlight w:val="none"/>
              </w:rPr>
            </w:pPr>
          </w:p>
        </w:tc>
      </w:tr>
    </w:tbl>
    <w:p w14:paraId="5EEAED51">
      <w:pPr>
        <w:pStyle w:val="26"/>
        <w:tabs>
          <w:tab w:val="left" w:pos="2127"/>
        </w:tabs>
        <w:spacing w:line="340" w:lineRule="exact"/>
        <w:ind w:firstLine="420" w:firstLineChars="200"/>
        <w:jc w:val="left"/>
        <w:rPr>
          <w:rFonts w:ascii="Times New Roman" w:hAnsi="Times New Roman" w:cs="Times New Roman"/>
          <w:color w:val="auto"/>
          <w:highlight w:val="none"/>
        </w:rPr>
      </w:pPr>
      <w:bookmarkStart w:id="78" w:name="_Hlk48144603"/>
      <w:bookmarkStart w:id="79" w:name="_Hlk88990584"/>
      <w:r>
        <w:rPr>
          <w:rFonts w:ascii="Times New Roman" w:hAnsi="Times New Roman" w:cs="Times New Roman"/>
          <w:color w:val="auto"/>
          <w:highlight w:val="none"/>
        </w:rPr>
        <w:t>注：</w:t>
      </w:r>
      <w:bookmarkStart w:id="80" w:name="_Hlk19049081"/>
      <w:r>
        <w:rPr>
          <w:rFonts w:ascii="Times New Roman" w:hAnsi="Times New Roman" w:cs="Times New Roman"/>
          <w:color w:val="auto"/>
          <w:highlight w:val="none"/>
        </w:rPr>
        <w:t>（1）本表应对招标文件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中所列商务要求进行响应，并根据响应情况在“偏离说明”栏填写正偏离或负偏离及原因，完全符合的填写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528D06EF">
      <w:pPr>
        <w:pStyle w:val="26"/>
        <w:tabs>
          <w:tab w:val="left" w:pos="2127"/>
        </w:tabs>
        <w:spacing w:line="340" w:lineRule="exact"/>
        <w:ind w:firstLine="420" w:firstLineChars="200"/>
        <w:jc w:val="left"/>
        <w:rPr>
          <w:rFonts w:ascii="Times New Roman" w:hAnsi="Times New Roman" w:cs="Times New Roman"/>
          <w:color w:val="auto"/>
          <w:highlight w:val="none"/>
        </w:rPr>
      </w:pPr>
      <w:r>
        <w:rPr>
          <w:rFonts w:hint="eastAsia" w:ascii="Times New Roman" w:hAnsi="Times New Roman" w:cs="Times New Roman"/>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hint="eastAsia" w:ascii="Times New Roman" w:hAnsi="Times New Roman" w:cs="Times New Roman"/>
          <w:color w:val="auto"/>
          <w:highlight w:val="none"/>
        </w:rPr>
        <w:t>中的总体要求无需响应。</w:t>
      </w:r>
    </w:p>
    <w:p w14:paraId="01C55C86">
      <w:pPr>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bookmarkEnd w:id="80"/>
    <w:p w14:paraId="0402BF98">
      <w:pPr>
        <w:pStyle w:val="26"/>
        <w:tabs>
          <w:tab w:val="left" w:pos="2127"/>
        </w:tabs>
        <w:spacing w:line="340" w:lineRule="exact"/>
        <w:ind w:firstLine="420" w:firstLineChars="200"/>
        <w:jc w:val="left"/>
        <w:rPr>
          <w:rFonts w:ascii="Times New Roman" w:hAnsi="Times New Roman" w:cs="Times New Roman"/>
          <w:color w:val="auto"/>
          <w:highlight w:val="none"/>
        </w:rPr>
      </w:pPr>
      <w:r>
        <w:rPr>
          <w:rFonts w:ascii="Times New Roman" w:hAnsi="Times New Roman" w:cs="Times New Roman"/>
          <w:color w:val="auto"/>
          <w:highlight w:val="none"/>
        </w:rPr>
        <w:t>（4）本表可扩展。</w:t>
      </w:r>
    </w:p>
    <w:bookmarkEnd w:id="78"/>
    <w:p w14:paraId="7A3562DE">
      <w:pPr>
        <w:snapToGrid w:val="0"/>
        <w:spacing w:before="50" w:after="120" w:afterLines="50" w:line="440" w:lineRule="exact"/>
        <w:jc w:val="left"/>
        <w:rPr>
          <w:color w:val="auto"/>
          <w:spacing w:val="20"/>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bookmarkEnd w:id="79"/>
    <w:p w14:paraId="28E98307">
      <w:pPr>
        <w:snapToGrid w:val="0"/>
        <w:spacing w:before="50" w:after="120" w:afterLines="50" w:line="440" w:lineRule="exact"/>
        <w:jc w:val="left"/>
        <w:rPr>
          <w:strike/>
          <w:color w:val="auto"/>
          <w:szCs w:val="21"/>
          <w:highlight w:val="none"/>
        </w:rPr>
      </w:pPr>
    </w:p>
    <w:p w14:paraId="30E8B358">
      <w:pPr>
        <w:snapToGrid w:val="0"/>
        <w:spacing w:before="50" w:after="120" w:afterLines="50" w:line="440" w:lineRule="exact"/>
        <w:jc w:val="left"/>
        <w:rPr>
          <w:color w:val="auto"/>
          <w:szCs w:val="21"/>
          <w:highlight w:val="none"/>
        </w:rPr>
      </w:pPr>
    </w:p>
    <w:p w14:paraId="65B4E989">
      <w:pPr>
        <w:snapToGrid w:val="0"/>
        <w:spacing w:before="50" w:after="120" w:afterLines="50" w:line="440" w:lineRule="exact"/>
        <w:jc w:val="left"/>
        <w:rPr>
          <w:strike/>
          <w:color w:val="auto"/>
          <w:szCs w:val="21"/>
          <w:highlight w:val="none"/>
        </w:rPr>
      </w:pPr>
    </w:p>
    <w:p w14:paraId="6EDEA0EF">
      <w:pPr>
        <w:snapToGrid w:val="0"/>
        <w:spacing w:before="50" w:after="120" w:afterLines="50" w:line="440" w:lineRule="exact"/>
        <w:jc w:val="left"/>
        <w:rPr>
          <w:color w:val="auto"/>
          <w:szCs w:val="21"/>
          <w:highlight w:val="none"/>
        </w:rPr>
      </w:pPr>
    </w:p>
    <w:p w14:paraId="3AA972EC">
      <w:pPr>
        <w:snapToGrid w:val="0"/>
        <w:spacing w:before="50" w:after="120" w:afterLines="50" w:line="440" w:lineRule="exact"/>
        <w:jc w:val="left"/>
        <w:rPr>
          <w:color w:val="auto"/>
          <w:szCs w:val="21"/>
          <w:highlight w:val="none"/>
        </w:rPr>
      </w:pPr>
    </w:p>
    <w:p w14:paraId="202B4622">
      <w:pPr>
        <w:snapToGrid w:val="0"/>
        <w:spacing w:before="50" w:after="120" w:afterLines="50" w:line="440" w:lineRule="exact"/>
        <w:jc w:val="left"/>
        <w:rPr>
          <w:color w:val="auto"/>
          <w:szCs w:val="21"/>
          <w:highlight w:val="none"/>
        </w:rPr>
      </w:pPr>
    </w:p>
    <w:p w14:paraId="6A6021FE">
      <w:pPr>
        <w:snapToGrid w:val="0"/>
        <w:spacing w:before="50" w:after="120" w:afterLines="50" w:line="440" w:lineRule="exact"/>
        <w:jc w:val="left"/>
        <w:rPr>
          <w:color w:val="auto"/>
          <w:szCs w:val="21"/>
          <w:highlight w:val="none"/>
        </w:rPr>
      </w:pPr>
    </w:p>
    <w:p w14:paraId="58393636">
      <w:pPr>
        <w:snapToGrid w:val="0"/>
        <w:spacing w:before="50" w:after="120" w:afterLines="50" w:line="440" w:lineRule="exact"/>
        <w:jc w:val="left"/>
        <w:rPr>
          <w:color w:val="auto"/>
          <w:spacing w:val="20"/>
          <w:szCs w:val="21"/>
          <w:highlight w:val="none"/>
          <w:u w:val="single"/>
        </w:rPr>
      </w:pPr>
    </w:p>
    <w:p w14:paraId="5542F0B6">
      <w:pPr>
        <w:snapToGrid w:val="0"/>
        <w:spacing w:before="50" w:after="120" w:afterLines="50" w:line="440" w:lineRule="exact"/>
        <w:jc w:val="left"/>
        <w:rPr>
          <w:color w:val="auto"/>
          <w:spacing w:val="20"/>
          <w:szCs w:val="21"/>
          <w:highlight w:val="none"/>
          <w:u w:val="single"/>
        </w:rPr>
        <w:sectPr>
          <w:pgSz w:w="11906" w:h="16838"/>
          <w:pgMar w:top="1418" w:right="1133" w:bottom="1246" w:left="1418" w:header="851" w:footer="992" w:gutter="0"/>
          <w:cols w:space="720" w:num="1"/>
          <w:docGrid w:linePitch="312" w:charSpace="0"/>
        </w:sectPr>
      </w:pPr>
    </w:p>
    <w:p w14:paraId="769771C1">
      <w:pPr>
        <w:snapToGrid w:val="0"/>
        <w:spacing w:before="50" w:after="120" w:afterLines="50"/>
        <w:jc w:val="left"/>
        <w:rPr>
          <w:b/>
          <w:color w:val="auto"/>
          <w:szCs w:val="21"/>
          <w:highlight w:val="none"/>
        </w:rPr>
      </w:pPr>
      <w:r>
        <w:rPr>
          <w:rFonts w:hint="eastAsia"/>
          <w:color w:val="auto"/>
          <w:szCs w:val="21"/>
          <w:highlight w:val="none"/>
        </w:rPr>
        <w:t>2</w:t>
      </w:r>
      <w:r>
        <w:rPr>
          <w:color w:val="auto"/>
          <w:szCs w:val="21"/>
          <w:highlight w:val="none"/>
        </w:rPr>
        <w:t>．近年供应商类似成功案例的业绩证明（附中标书或合同复印件）。</w:t>
      </w:r>
    </w:p>
    <w:p w14:paraId="6D3D4379">
      <w:pPr>
        <w:snapToGrid w:val="0"/>
        <w:spacing w:before="50" w:after="120" w:afterLines="50"/>
        <w:jc w:val="center"/>
        <w:rPr>
          <w:color w:val="auto"/>
          <w:szCs w:val="21"/>
          <w:highlight w:val="none"/>
        </w:rPr>
      </w:pPr>
      <w:r>
        <w:rPr>
          <w:b/>
          <w:color w:val="auto"/>
          <w:szCs w:val="21"/>
          <w:highlight w:val="none"/>
        </w:rPr>
        <w:t>类似成功案例业绩一览表</w:t>
      </w:r>
    </w:p>
    <w:tbl>
      <w:tblPr>
        <w:tblStyle w:val="51"/>
        <w:tblW w:w="1469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6"/>
        <w:gridCol w:w="2820"/>
        <w:gridCol w:w="4095"/>
        <w:gridCol w:w="1965"/>
        <w:gridCol w:w="1200"/>
        <w:gridCol w:w="1335"/>
        <w:gridCol w:w="2790"/>
      </w:tblGrid>
      <w:tr w14:paraId="68DB4A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09" w:hRule="atLeast"/>
        </w:trPr>
        <w:tc>
          <w:tcPr>
            <w:tcW w:w="486" w:type="dxa"/>
            <w:tcBorders>
              <w:top w:val="single" w:color="auto" w:sz="4" w:space="0"/>
              <w:left w:val="single" w:color="auto" w:sz="4" w:space="0"/>
              <w:bottom w:val="single" w:color="auto" w:sz="4" w:space="0"/>
              <w:right w:val="single" w:color="auto" w:sz="4" w:space="0"/>
            </w:tcBorders>
            <w:vAlign w:val="center"/>
          </w:tcPr>
          <w:p w14:paraId="1E2AEA64">
            <w:pPr>
              <w:snapToGrid w:val="0"/>
              <w:spacing w:line="240" w:lineRule="exact"/>
              <w:jc w:val="center"/>
              <w:rPr>
                <w:color w:val="auto"/>
                <w:szCs w:val="21"/>
                <w:highlight w:val="none"/>
              </w:rPr>
            </w:pPr>
            <w:r>
              <w:rPr>
                <w:rFonts w:hint="eastAsia"/>
                <w:color w:val="auto"/>
                <w:szCs w:val="21"/>
                <w:highlight w:val="none"/>
              </w:rPr>
              <w:t>序号</w:t>
            </w:r>
          </w:p>
        </w:tc>
        <w:tc>
          <w:tcPr>
            <w:tcW w:w="2820" w:type="dxa"/>
            <w:tcBorders>
              <w:top w:val="single" w:color="auto" w:sz="4" w:space="0"/>
              <w:left w:val="single" w:color="auto" w:sz="4" w:space="0"/>
              <w:bottom w:val="single" w:color="auto" w:sz="4" w:space="0"/>
              <w:right w:val="single" w:color="auto" w:sz="4" w:space="0"/>
            </w:tcBorders>
            <w:vAlign w:val="center"/>
          </w:tcPr>
          <w:p w14:paraId="73729B1A">
            <w:pPr>
              <w:snapToGrid w:val="0"/>
              <w:spacing w:line="240" w:lineRule="exact"/>
              <w:jc w:val="center"/>
              <w:rPr>
                <w:color w:val="auto"/>
                <w:szCs w:val="21"/>
                <w:highlight w:val="none"/>
              </w:rPr>
            </w:pPr>
            <w:r>
              <w:rPr>
                <w:color w:val="auto"/>
                <w:szCs w:val="21"/>
                <w:highlight w:val="none"/>
              </w:rPr>
              <w:t>甲方单位名称</w:t>
            </w:r>
          </w:p>
        </w:tc>
        <w:tc>
          <w:tcPr>
            <w:tcW w:w="4095" w:type="dxa"/>
            <w:tcBorders>
              <w:top w:val="single" w:color="auto" w:sz="4" w:space="0"/>
              <w:left w:val="single" w:color="auto" w:sz="4" w:space="0"/>
              <w:bottom w:val="single" w:color="auto" w:sz="4" w:space="0"/>
              <w:right w:val="single" w:color="auto" w:sz="4" w:space="0"/>
            </w:tcBorders>
            <w:vAlign w:val="center"/>
          </w:tcPr>
          <w:p w14:paraId="32246B10">
            <w:pPr>
              <w:snapToGrid w:val="0"/>
              <w:spacing w:line="240" w:lineRule="exact"/>
              <w:jc w:val="center"/>
              <w:rPr>
                <w:color w:val="auto"/>
                <w:szCs w:val="21"/>
                <w:highlight w:val="none"/>
              </w:rPr>
            </w:pPr>
            <w:r>
              <w:rPr>
                <w:color w:val="auto"/>
                <w:szCs w:val="21"/>
                <w:highlight w:val="none"/>
              </w:rPr>
              <w:t>项目名称或服务内容</w:t>
            </w:r>
          </w:p>
        </w:tc>
        <w:tc>
          <w:tcPr>
            <w:tcW w:w="1965" w:type="dxa"/>
            <w:tcBorders>
              <w:top w:val="single" w:color="auto" w:sz="4" w:space="0"/>
              <w:left w:val="single" w:color="auto" w:sz="4" w:space="0"/>
              <w:bottom w:val="single" w:color="auto" w:sz="4" w:space="0"/>
              <w:right w:val="single" w:color="auto" w:sz="4" w:space="0"/>
            </w:tcBorders>
            <w:vAlign w:val="center"/>
          </w:tcPr>
          <w:p w14:paraId="1AABEA70">
            <w:pPr>
              <w:snapToGrid w:val="0"/>
              <w:spacing w:line="240" w:lineRule="exact"/>
              <w:jc w:val="center"/>
              <w:rPr>
                <w:color w:val="auto"/>
                <w:szCs w:val="21"/>
                <w:highlight w:val="none"/>
              </w:rPr>
            </w:pPr>
            <w:r>
              <w:rPr>
                <w:color w:val="auto"/>
                <w:szCs w:val="21"/>
                <w:highlight w:val="none"/>
              </w:rPr>
              <w:t>服务周期或时间（年/月）</w:t>
            </w:r>
          </w:p>
        </w:tc>
        <w:tc>
          <w:tcPr>
            <w:tcW w:w="1200" w:type="dxa"/>
            <w:tcBorders>
              <w:top w:val="single" w:color="auto" w:sz="4" w:space="0"/>
              <w:left w:val="single" w:color="auto" w:sz="4" w:space="0"/>
              <w:bottom w:val="single" w:color="auto" w:sz="4" w:space="0"/>
              <w:right w:val="single" w:color="auto" w:sz="4" w:space="0"/>
            </w:tcBorders>
            <w:vAlign w:val="center"/>
          </w:tcPr>
          <w:p w14:paraId="4F9B1249">
            <w:pPr>
              <w:snapToGrid w:val="0"/>
              <w:spacing w:line="240" w:lineRule="exact"/>
              <w:jc w:val="center"/>
              <w:rPr>
                <w:color w:val="auto"/>
                <w:szCs w:val="21"/>
                <w:highlight w:val="none"/>
              </w:rPr>
            </w:pPr>
            <w:r>
              <w:rPr>
                <w:color w:val="auto"/>
                <w:szCs w:val="21"/>
                <w:highlight w:val="none"/>
              </w:rPr>
              <w:t>团队人数</w:t>
            </w:r>
          </w:p>
        </w:tc>
        <w:tc>
          <w:tcPr>
            <w:tcW w:w="1335" w:type="dxa"/>
            <w:tcBorders>
              <w:top w:val="single" w:color="auto" w:sz="4" w:space="0"/>
              <w:left w:val="single" w:color="auto" w:sz="4" w:space="0"/>
              <w:bottom w:val="single" w:color="auto" w:sz="4" w:space="0"/>
              <w:right w:val="single" w:color="auto" w:sz="4" w:space="0"/>
            </w:tcBorders>
            <w:vAlign w:val="center"/>
          </w:tcPr>
          <w:p w14:paraId="61327646">
            <w:pPr>
              <w:snapToGrid w:val="0"/>
              <w:spacing w:line="240" w:lineRule="exact"/>
              <w:jc w:val="center"/>
              <w:rPr>
                <w:color w:val="auto"/>
                <w:szCs w:val="21"/>
                <w:highlight w:val="none"/>
              </w:rPr>
            </w:pPr>
            <w:r>
              <w:rPr>
                <w:color w:val="auto"/>
                <w:szCs w:val="21"/>
                <w:highlight w:val="none"/>
              </w:rPr>
              <w:t>合同总价</w:t>
            </w:r>
            <w:r>
              <w:rPr>
                <w:rFonts w:hint="eastAsia"/>
                <w:color w:val="auto"/>
                <w:szCs w:val="21"/>
                <w:highlight w:val="none"/>
              </w:rPr>
              <w:t>（元）</w:t>
            </w:r>
          </w:p>
        </w:tc>
        <w:tc>
          <w:tcPr>
            <w:tcW w:w="2790" w:type="dxa"/>
            <w:tcBorders>
              <w:top w:val="single" w:color="auto" w:sz="4" w:space="0"/>
              <w:left w:val="single" w:color="auto" w:sz="4" w:space="0"/>
              <w:bottom w:val="single" w:color="auto" w:sz="4" w:space="0"/>
              <w:right w:val="single" w:color="auto" w:sz="4" w:space="0"/>
            </w:tcBorders>
            <w:vAlign w:val="center"/>
          </w:tcPr>
          <w:p w14:paraId="37974389">
            <w:pPr>
              <w:jc w:val="center"/>
              <w:rPr>
                <w:color w:val="auto"/>
                <w:szCs w:val="21"/>
                <w:highlight w:val="none"/>
              </w:rPr>
            </w:pPr>
            <w:r>
              <w:rPr>
                <w:color w:val="auto"/>
                <w:szCs w:val="21"/>
                <w:highlight w:val="none"/>
              </w:rPr>
              <w:t>采购单位联系人及联系电话</w:t>
            </w:r>
          </w:p>
        </w:tc>
      </w:tr>
      <w:tr w14:paraId="43F8DC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486" w:type="dxa"/>
            <w:tcBorders>
              <w:top w:val="single" w:color="auto" w:sz="4" w:space="0"/>
              <w:left w:val="single" w:color="auto" w:sz="4" w:space="0"/>
              <w:bottom w:val="single" w:color="auto" w:sz="4" w:space="0"/>
              <w:right w:val="single" w:color="auto" w:sz="4" w:space="0"/>
            </w:tcBorders>
          </w:tcPr>
          <w:p w14:paraId="01530000">
            <w:pPr>
              <w:snapToGrid w:val="0"/>
              <w:spacing w:line="240" w:lineRule="exact"/>
              <w:jc w:val="left"/>
              <w:rPr>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tcPr>
          <w:p w14:paraId="29518CE7">
            <w:pPr>
              <w:snapToGrid w:val="0"/>
              <w:spacing w:line="240" w:lineRule="exact"/>
              <w:jc w:val="left"/>
              <w:rPr>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tcPr>
          <w:p w14:paraId="5A010E2E">
            <w:pPr>
              <w:snapToGrid w:val="0"/>
              <w:spacing w:line="240" w:lineRule="exact"/>
              <w:jc w:val="left"/>
              <w:rPr>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tcPr>
          <w:p w14:paraId="03DA307E">
            <w:pPr>
              <w:snapToGrid w:val="0"/>
              <w:spacing w:line="240" w:lineRule="exact"/>
              <w:jc w:val="left"/>
              <w:rPr>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tcPr>
          <w:p w14:paraId="3A357DAF">
            <w:pPr>
              <w:snapToGrid w:val="0"/>
              <w:spacing w:line="240" w:lineRule="exact"/>
              <w:jc w:val="left"/>
              <w:rPr>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tcPr>
          <w:p w14:paraId="772DD2B6">
            <w:pPr>
              <w:snapToGrid w:val="0"/>
              <w:spacing w:line="240" w:lineRule="exact"/>
              <w:jc w:val="left"/>
              <w:rPr>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tcPr>
          <w:p w14:paraId="2D5E5CAD">
            <w:pPr>
              <w:snapToGrid w:val="0"/>
              <w:spacing w:line="240" w:lineRule="exact"/>
              <w:jc w:val="left"/>
              <w:rPr>
                <w:color w:val="auto"/>
                <w:szCs w:val="21"/>
                <w:highlight w:val="none"/>
              </w:rPr>
            </w:pPr>
          </w:p>
        </w:tc>
      </w:tr>
      <w:tr w14:paraId="28BB65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486" w:type="dxa"/>
            <w:tcBorders>
              <w:top w:val="single" w:color="auto" w:sz="4" w:space="0"/>
              <w:left w:val="single" w:color="auto" w:sz="4" w:space="0"/>
              <w:bottom w:val="single" w:color="auto" w:sz="4" w:space="0"/>
              <w:right w:val="single" w:color="auto" w:sz="4" w:space="0"/>
            </w:tcBorders>
          </w:tcPr>
          <w:p w14:paraId="1E423578">
            <w:pPr>
              <w:snapToGrid w:val="0"/>
              <w:spacing w:before="50" w:after="120" w:afterLines="50" w:line="400" w:lineRule="exact"/>
              <w:jc w:val="left"/>
              <w:rPr>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tcPr>
          <w:p w14:paraId="01195D8A">
            <w:pPr>
              <w:snapToGrid w:val="0"/>
              <w:spacing w:before="50" w:after="120" w:afterLines="50" w:line="400" w:lineRule="exact"/>
              <w:jc w:val="left"/>
              <w:rPr>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tcPr>
          <w:p w14:paraId="17011852">
            <w:pPr>
              <w:snapToGrid w:val="0"/>
              <w:spacing w:before="50" w:after="120" w:afterLines="50" w:line="400" w:lineRule="exact"/>
              <w:jc w:val="left"/>
              <w:rPr>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tcPr>
          <w:p w14:paraId="535237BE">
            <w:pPr>
              <w:snapToGrid w:val="0"/>
              <w:spacing w:before="50" w:after="120" w:afterLines="50" w:line="400" w:lineRule="exact"/>
              <w:jc w:val="left"/>
              <w:rPr>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tcPr>
          <w:p w14:paraId="25A21EC9">
            <w:pPr>
              <w:snapToGrid w:val="0"/>
              <w:spacing w:before="50" w:after="120" w:afterLines="50" w:line="400" w:lineRule="exact"/>
              <w:jc w:val="left"/>
              <w:rPr>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tcPr>
          <w:p w14:paraId="30DA6412">
            <w:pPr>
              <w:snapToGrid w:val="0"/>
              <w:spacing w:before="50" w:after="120" w:afterLines="50" w:line="400" w:lineRule="exact"/>
              <w:jc w:val="left"/>
              <w:rPr>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tcPr>
          <w:p w14:paraId="4380808E">
            <w:pPr>
              <w:snapToGrid w:val="0"/>
              <w:spacing w:before="50" w:after="120" w:afterLines="50" w:line="400" w:lineRule="exact"/>
              <w:jc w:val="left"/>
              <w:rPr>
                <w:color w:val="auto"/>
                <w:szCs w:val="21"/>
                <w:highlight w:val="none"/>
              </w:rPr>
            </w:pPr>
          </w:p>
        </w:tc>
      </w:tr>
      <w:tr w14:paraId="321A18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486" w:type="dxa"/>
            <w:tcBorders>
              <w:top w:val="single" w:color="auto" w:sz="4" w:space="0"/>
              <w:left w:val="single" w:color="auto" w:sz="4" w:space="0"/>
              <w:bottom w:val="single" w:color="auto" w:sz="4" w:space="0"/>
              <w:right w:val="single" w:color="auto" w:sz="4" w:space="0"/>
            </w:tcBorders>
          </w:tcPr>
          <w:p w14:paraId="05AF9E04">
            <w:pPr>
              <w:snapToGrid w:val="0"/>
              <w:spacing w:before="50" w:after="120" w:afterLines="50" w:line="400" w:lineRule="exact"/>
              <w:jc w:val="left"/>
              <w:rPr>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tcPr>
          <w:p w14:paraId="106DDA50">
            <w:pPr>
              <w:snapToGrid w:val="0"/>
              <w:spacing w:before="50" w:after="120" w:afterLines="50" w:line="400" w:lineRule="exact"/>
              <w:jc w:val="left"/>
              <w:rPr>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tcPr>
          <w:p w14:paraId="4A8B884B">
            <w:pPr>
              <w:snapToGrid w:val="0"/>
              <w:spacing w:before="50" w:after="120" w:afterLines="50" w:line="400" w:lineRule="exact"/>
              <w:jc w:val="left"/>
              <w:rPr>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tcPr>
          <w:p w14:paraId="1038C8E5">
            <w:pPr>
              <w:snapToGrid w:val="0"/>
              <w:spacing w:before="50" w:after="120" w:afterLines="50" w:line="400" w:lineRule="exact"/>
              <w:jc w:val="left"/>
              <w:rPr>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tcPr>
          <w:p w14:paraId="39CED9F3">
            <w:pPr>
              <w:snapToGrid w:val="0"/>
              <w:spacing w:before="50" w:after="120" w:afterLines="50" w:line="400" w:lineRule="exact"/>
              <w:jc w:val="left"/>
              <w:rPr>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tcPr>
          <w:p w14:paraId="5EF4300D">
            <w:pPr>
              <w:snapToGrid w:val="0"/>
              <w:spacing w:before="50" w:after="120" w:afterLines="50" w:line="400" w:lineRule="exact"/>
              <w:jc w:val="left"/>
              <w:rPr>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tcPr>
          <w:p w14:paraId="027FC92D">
            <w:pPr>
              <w:snapToGrid w:val="0"/>
              <w:spacing w:before="50" w:after="120" w:afterLines="50" w:line="400" w:lineRule="exact"/>
              <w:jc w:val="left"/>
              <w:rPr>
                <w:color w:val="auto"/>
                <w:szCs w:val="21"/>
                <w:highlight w:val="none"/>
              </w:rPr>
            </w:pPr>
          </w:p>
        </w:tc>
      </w:tr>
      <w:tr w14:paraId="28E0DD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486" w:type="dxa"/>
            <w:tcBorders>
              <w:top w:val="single" w:color="auto" w:sz="4" w:space="0"/>
              <w:left w:val="single" w:color="auto" w:sz="4" w:space="0"/>
              <w:bottom w:val="single" w:color="auto" w:sz="4" w:space="0"/>
              <w:right w:val="single" w:color="auto" w:sz="4" w:space="0"/>
            </w:tcBorders>
          </w:tcPr>
          <w:p w14:paraId="11F42992">
            <w:pPr>
              <w:snapToGrid w:val="0"/>
              <w:spacing w:before="50" w:after="120" w:afterLines="50" w:line="400" w:lineRule="exact"/>
              <w:jc w:val="left"/>
              <w:rPr>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tcPr>
          <w:p w14:paraId="5C656D76">
            <w:pPr>
              <w:snapToGrid w:val="0"/>
              <w:spacing w:before="50" w:after="120" w:afterLines="50" w:line="400" w:lineRule="exact"/>
              <w:jc w:val="left"/>
              <w:rPr>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tcPr>
          <w:p w14:paraId="66C797D4">
            <w:pPr>
              <w:snapToGrid w:val="0"/>
              <w:spacing w:before="50" w:after="120" w:afterLines="50" w:line="400" w:lineRule="exact"/>
              <w:jc w:val="left"/>
              <w:rPr>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tcPr>
          <w:p w14:paraId="3D4ACCFF">
            <w:pPr>
              <w:snapToGrid w:val="0"/>
              <w:spacing w:before="50" w:after="120" w:afterLines="50" w:line="400" w:lineRule="exact"/>
              <w:jc w:val="left"/>
              <w:rPr>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tcPr>
          <w:p w14:paraId="1EB2764E">
            <w:pPr>
              <w:snapToGrid w:val="0"/>
              <w:spacing w:before="50" w:after="120" w:afterLines="50" w:line="400" w:lineRule="exact"/>
              <w:jc w:val="left"/>
              <w:rPr>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tcPr>
          <w:p w14:paraId="74199419">
            <w:pPr>
              <w:snapToGrid w:val="0"/>
              <w:spacing w:before="50" w:after="120" w:afterLines="50" w:line="400" w:lineRule="exact"/>
              <w:jc w:val="left"/>
              <w:rPr>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tcPr>
          <w:p w14:paraId="0AF41660">
            <w:pPr>
              <w:snapToGrid w:val="0"/>
              <w:spacing w:before="50" w:after="120" w:afterLines="50" w:line="400" w:lineRule="exact"/>
              <w:jc w:val="left"/>
              <w:rPr>
                <w:color w:val="auto"/>
                <w:szCs w:val="21"/>
                <w:highlight w:val="none"/>
              </w:rPr>
            </w:pPr>
          </w:p>
        </w:tc>
      </w:tr>
      <w:tr w14:paraId="2BD1F2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486" w:type="dxa"/>
            <w:tcBorders>
              <w:top w:val="single" w:color="auto" w:sz="4" w:space="0"/>
              <w:left w:val="single" w:color="auto" w:sz="4" w:space="0"/>
              <w:bottom w:val="single" w:color="auto" w:sz="4" w:space="0"/>
              <w:right w:val="single" w:color="auto" w:sz="4" w:space="0"/>
            </w:tcBorders>
          </w:tcPr>
          <w:p w14:paraId="71D86EF3">
            <w:pPr>
              <w:snapToGrid w:val="0"/>
              <w:spacing w:before="50" w:after="120" w:afterLines="50" w:line="400" w:lineRule="exact"/>
              <w:jc w:val="left"/>
              <w:rPr>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tcPr>
          <w:p w14:paraId="5983F26D">
            <w:pPr>
              <w:snapToGrid w:val="0"/>
              <w:spacing w:before="50" w:after="120" w:afterLines="50" w:line="400" w:lineRule="exact"/>
              <w:jc w:val="left"/>
              <w:rPr>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tcPr>
          <w:p w14:paraId="6381D15E">
            <w:pPr>
              <w:snapToGrid w:val="0"/>
              <w:spacing w:before="50" w:after="120" w:afterLines="50" w:line="400" w:lineRule="exact"/>
              <w:jc w:val="left"/>
              <w:rPr>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tcPr>
          <w:p w14:paraId="5C7BD9C0">
            <w:pPr>
              <w:snapToGrid w:val="0"/>
              <w:spacing w:before="50" w:after="120" w:afterLines="50" w:line="400" w:lineRule="exact"/>
              <w:jc w:val="left"/>
              <w:rPr>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tcPr>
          <w:p w14:paraId="00F17BF5">
            <w:pPr>
              <w:snapToGrid w:val="0"/>
              <w:spacing w:before="50" w:after="120" w:afterLines="50" w:line="400" w:lineRule="exact"/>
              <w:jc w:val="left"/>
              <w:rPr>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tcPr>
          <w:p w14:paraId="513CF4B1">
            <w:pPr>
              <w:snapToGrid w:val="0"/>
              <w:spacing w:before="50" w:after="120" w:afterLines="50" w:line="400" w:lineRule="exact"/>
              <w:jc w:val="left"/>
              <w:rPr>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tcPr>
          <w:p w14:paraId="7DD6138C">
            <w:pPr>
              <w:snapToGrid w:val="0"/>
              <w:spacing w:before="50" w:after="120" w:afterLines="50" w:line="400" w:lineRule="exact"/>
              <w:jc w:val="left"/>
              <w:rPr>
                <w:color w:val="auto"/>
                <w:szCs w:val="21"/>
                <w:highlight w:val="none"/>
              </w:rPr>
            </w:pPr>
          </w:p>
        </w:tc>
      </w:tr>
    </w:tbl>
    <w:p w14:paraId="7D872DBB">
      <w:pPr>
        <w:pStyle w:val="15"/>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注：</w:t>
      </w:r>
    </w:p>
    <w:p w14:paraId="569CD013">
      <w:pPr>
        <w:pStyle w:val="15"/>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（1）</w:t>
      </w:r>
      <w:r>
        <w:rPr>
          <w:rFonts w:ascii="Times New Roman" w:hAnsi="Times New Roman" w:eastAsia="宋体" w:cs="Times New Roman"/>
          <w:color w:val="auto"/>
          <w:sz w:val="21"/>
          <w:szCs w:val="21"/>
          <w:highlight w:val="none"/>
        </w:rPr>
        <w:t>未附</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的业绩无效</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见第四章《评审方法及标准》规定</w:t>
      </w:r>
    </w:p>
    <w:p w14:paraId="66CEBD44">
      <w:pPr>
        <w:pStyle w:val="15"/>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rPr>
        <w:t>2</w:t>
      </w:r>
      <w:r>
        <w:rPr>
          <w:rFonts w:ascii="Times New Roman" w:hAnsi="Times New Roman" w:eastAsia="宋体" w:cs="Times New Roman"/>
          <w:color w:val="auto"/>
          <w:szCs w:val="21"/>
          <w:highlight w:val="none"/>
        </w:rPr>
        <w:t>）</w:t>
      </w:r>
      <w:r>
        <w:rPr>
          <w:rFonts w:ascii="Times New Roman" w:hAnsi="Times New Roman" w:eastAsia="宋体" w:cs="Times New Roman"/>
          <w:color w:val="auto"/>
          <w:sz w:val="21"/>
          <w:szCs w:val="21"/>
          <w:highlight w:val="none"/>
        </w:rPr>
        <w:t>类似项目的定义见第四章《评审方法及标准》规定。</w:t>
      </w:r>
    </w:p>
    <w:p w14:paraId="1326B6BE">
      <w:pPr>
        <w:rPr>
          <w:color w:val="auto"/>
          <w:highlight w:val="none"/>
        </w:rPr>
      </w:pPr>
      <w:r>
        <w:rPr>
          <w:color w:val="auto"/>
          <w:szCs w:val="21"/>
          <w:highlight w:val="none"/>
        </w:rPr>
        <w:t>（</w:t>
      </w:r>
      <w:r>
        <w:rPr>
          <w:rFonts w:hint="eastAsia"/>
          <w:color w:val="auto"/>
          <w:szCs w:val="21"/>
          <w:highlight w:val="none"/>
        </w:rPr>
        <w:t>3</w:t>
      </w:r>
      <w:r>
        <w:rPr>
          <w:color w:val="auto"/>
          <w:szCs w:val="21"/>
          <w:highlight w:val="none"/>
        </w:rPr>
        <w:t>）</w:t>
      </w:r>
      <w:bookmarkStart w:id="81" w:name="_Hlk19049505"/>
      <w:r>
        <w:rPr>
          <w:color w:val="auto"/>
          <w:highlight w:val="none"/>
        </w:rPr>
        <w:t>本表可拓展。</w:t>
      </w:r>
      <w:bookmarkEnd w:id="81"/>
    </w:p>
    <w:p w14:paraId="418EA591">
      <w:pPr>
        <w:snapToGrid w:val="0"/>
        <w:spacing w:before="50"/>
        <w:jc w:val="left"/>
        <w:rPr>
          <w:color w:val="auto"/>
          <w:szCs w:val="21"/>
          <w:highlight w:val="none"/>
        </w:rPr>
      </w:pPr>
      <w:bookmarkStart w:id="82" w:name="_Hlk88990617"/>
    </w:p>
    <w:p w14:paraId="032253F6">
      <w:pPr>
        <w:snapToGrid w:val="0"/>
        <w:spacing w:before="50"/>
        <w:jc w:val="left"/>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bookmarkEnd w:id="82"/>
      <w:r>
        <w:rPr>
          <w:color w:val="auto"/>
          <w:szCs w:val="21"/>
          <w:highlight w:val="none"/>
          <w:u w:val="single"/>
        </w:rPr>
        <w:t xml:space="preserve">                 </w:t>
      </w:r>
      <w:r>
        <w:rPr>
          <w:color w:val="auto"/>
          <w:szCs w:val="21"/>
          <w:highlight w:val="none"/>
        </w:rPr>
        <w:t xml:space="preserve">                                            年    月   日</w:t>
      </w:r>
    </w:p>
    <w:p w14:paraId="28D02226">
      <w:pPr>
        <w:snapToGrid w:val="0"/>
        <w:spacing w:before="50"/>
        <w:jc w:val="left"/>
        <w:rPr>
          <w:color w:val="auto"/>
          <w:szCs w:val="21"/>
          <w:highlight w:val="none"/>
        </w:rPr>
      </w:pPr>
    </w:p>
    <w:p w14:paraId="066F6777">
      <w:pPr>
        <w:snapToGrid w:val="0"/>
        <w:spacing w:before="50" w:after="120" w:afterLines="50"/>
        <w:jc w:val="left"/>
        <w:rPr>
          <w:color w:val="auto"/>
          <w:szCs w:val="21"/>
          <w:highlight w:val="none"/>
        </w:rPr>
        <w:sectPr>
          <w:headerReference r:id="rId17" w:type="default"/>
          <w:pgSz w:w="16838" w:h="11906" w:orient="landscape"/>
          <w:pgMar w:top="1418" w:right="1304" w:bottom="1418" w:left="1304" w:header="851" w:footer="992" w:gutter="0"/>
          <w:cols w:space="720" w:num="1"/>
          <w:docGrid w:linePitch="312" w:charSpace="0"/>
        </w:sectPr>
      </w:pPr>
    </w:p>
    <w:p w14:paraId="225F4647">
      <w:pPr>
        <w:snapToGrid w:val="0"/>
        <w:spacing w:before="50" w:after="120" w:afterLines="50"/>
        <w:jc w:val="left"/>
        <w:rPr>
          <w:color w:val="auto"/>
          <w:szCs w:val="21"/>
          <w:highlight w:val="none"/>
        </w:rPr>
      </w:pPr>
      <w:bookmarkStart w:id="83" w:name="_Hlk19050322"/>
      <w:r>
        <w:rPr>
          <w:rFonts w:hint="eastAsia"/>
          <w:color w:val="auto"/>
          <w:szCs w:val="21"/>
          <w:highlight w:val="none"/>
        </w:rPr>
        <w:t>3</w:t>
      </w:r>
      <w:r>
        <w:rPr>
          <w:color w:val="auto"/>
          <w:szCs w:val="21"/>
          <w:highlight w:val="none"/>
        </w:rPr>
        <w:t>．符合政府采购政策</w:t>
      </w:r>
      <w:r>
        <w:rPr>
          <w:rFonts w:hint="eastAsia"/>
          <w:color w:val="auto"/>
          <w:szCs w:val="21"/>
          <w:highlight w:val="none"/>
        </w:rPr>
        <w:t>的</w:t>
      </w:r>
      <w:r>
        <w:rPr>
          <w:color w:val="auto"/>
          <w:szCs w:val="21"/>
          <w:highlight w:val="none"/>
        </w:rPr>
        <w:t>证明材料。</w:t>
      </w:r>
    </w:p>
    <w:p w14:paraId="4126FE78">
      <w:pPr>
        <w:rPr>
          <w:color w:val="auto"/>
          <w:szCs w:val="21"/>
          <w:highlight w:val="none"/>
        </w:rPr>
      </w:pPr>
      <w:r>
        <w:rPr>
          <w:rFonts w:hint="eastAsia"/>
          <w:color w:val="auto"/>
          <w:szCs w:val="21"/>
          <w:highlight w:val="none"/>
        </w:rPr>
        <w:t>3</w:t>
      </w:r>
      <w:r>
        <w:rPr>
          <w:color w:val="auto"/>
          <w:szCs w:val="21"/>
          <w:highlight w:val="none"/>
        </w:rPr>
        <w:t>.1</w:t>
      </w:r>
      <w:r>
        <w:rPr>
          <w:rFonts w:hint="eastAsia"/>
          <w:bCs/>
          <w:color w:val="auto"/>
          <w:szCs w:val="21"/>
          <w:highlight w:val="none"/>
        </w:rPr>
        <w:t>中小企业声明函</w:t>
      </w:r>
      <w:r>
        <w:rPr>
          <w:color w:val="auto"/>
          <w:szCs w:val="21"/>
          <w:highlight w:val="none"/>
        </w:rPr>
        <w:t>。</w:t>
      </w:r>
    </w:p>
    <w:p w14:paraId="66AF5980">
      <w:pPr>
        <w:spacing w:line="360" w:lineRule="auto"/>
        <w:ind w:firstLine="3584" w:firstLineChars="1700"/>
        <w:rPr>
          <w:b/>
          <w:color w:val="auto"/>
          <w:szCs w:val="21"/>
          <w:highlight w:val="none"/>
        </w:rPr>
      </w:pPr>
      <w:bookmarkStart w:id="84" w:name="_Hlk60649458"/>
    </w:p>
    <w:bookmarkEnd w:id="84"/>
    <w:p w14:paraId="69ABB797">
      <w:pPr>
        <w:spacing w:line="360" w:lineRule="auto"/>
        <w:ind w:firstLine="3584" w:firstLineChars="1700"/>
        <w:rPr>
          <w:b/>
          <w:color w:val="auto"/>
          <w:szCs w:val="21"/>
          <w:highlight w:val="none"/>
        </w:rPr>
      </w:pPr>
      <w:r>
        <w:rPr>
          <w:rFonts w:hint="eastAsia"/>
          <w:b/>
          <w:color w:val="auto"/>
          <w:szCs w:val="21"/>
          <w:highlight w:val="none"/>
        </w:rPr>
        <w:t>中小企业声明函（服务）</w:t>
      </w:r>
    </w:p>
    <w:p w14:paraId="6A63BE0E">
      <w:pPr>
        <w:spacing w:line="360" w:lineRule="auto"/>
        <w:ind w:firstLine="420"/>
        <w:rPr>
          <w:bCs/>
          <w:color w:val="auto"/>
          <w:szCs w:val="21"/>
          <w:highlight w:val="none"/>
        </w:rPr>
      </w:pPr>
      <w:r>
        <w:rPr>
          <w:rFonts w:hint="eastAsia"/>
          <w:bCs/>
          <w:color w:val="auto"/>
          <w:szCs w:val="21"/>
          <w:highlight w:val="none"/>
        </w:rPr>
        <w:t>本公司（联合体）郑重声明，根据《政府采购促进中小企业发展管理办法》（财库﹝2020﹞46 号）的规定，本公司（联合体）参加</w:t>
      </w:r>
      <w:r>
        <w:rPr>
          <w:rFonts w:hint="eastAsia"/>
          <w:bCs/>
          <w:color w:val="auto"/>
          <w:szCs w:val="21"/>
          <w:highlight w:val="none"/>
          <w:u w:val="single"/>
        </w:rPr>
        <w:t>（单位名称）</w:t>
      </w:r>
      <w:r>
        <w:rPr>
          <w:rFonts w:hint="eastAsia"/>
          <w:bCs/>
          <w:color w:val="auto"/>
          <w:szCs w:val="21"/>
          <w:highlight w:val="none"/>
        </w:rPr>
        <w:t>的</w:t>
      </w:r>
      <w:r>
        <w:rPr>
          <w:rFonts w:hint="eastAsia"/>
          <w:bCs/>
          <w:color w:val="auto"/>
          <w:szCs w:val="21"/>
          <w:highlight w:val="none"/>
          <w:u w:val="single"/>
        </w:rPr>
        <w:t>（项目名称）</w:t>
      </w:r>
      <w:r>
        <w:rPr>
          <w:rFonts w:hint="eastAsia"/>
          <w:bCs/>
          <w:color w:val="auto"/>
          <w:szCs w:val="21"/>
          <w:highlight w:val="none"/>
        </w:rPr>
        <w:t>采购活动，服务全部由符合政策要求的中小企业承接。相关企业（含联合体中的中小企业、签订分包意向协议的中小企业） 的具体情况如下：</w:t>
      </w:r>
    </w:p>
    <w:p w14:paraId="520B7CC8">
      <w:pPr>
        <w:spacing w:line="360" w:lineRule="auto"/>
        <w:ind w:firstLine="420"/>
        <w:rPr>
          <w:bCs/>
          <w:color w:val="auto"/>
          <w:szCs w:val="21"/>
          <w:highlight w:val="none"/>
        </w:rPr>
      </w:pPr>
      <w:r>
        <w:rPr>
          <w:bCs/>
          <w:color w:val="auto"/>
          <w:szCs w:val="21"/>
          <w:highlight w:val="none"/>
        </w:rPr>
        <w:t>1.</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（招标文件中明确的所属行业）</w:t>
      </w:r>
      <w:r>
        <w:rPr>
          <w:rFonts w:hint="eastAsia"/>
          <w:bCs/>
          <w:color w:val="auto"/>
          <w:szCs w:val="21"/>
          <w:highlight w:val="none"/>
        </w:rPr>
        <w:t>行业；承接企业为</w:t>
      </w:r>
      <w:r>
        <w:rPr>
          <w:rFonts w:hint="eastAsia"/>
          <w:bCs/>
          <w:color w:val="auto"/>
          <w:szCs w:val="21"/>
          <w:highlight w:val="none"/>
          <w:u w:val="single"/>
        </w:rPr>
        <w:t>（企业名称）</w:t>
      </w:r>
      <w:r>
        <w:rPr>
          <w:rFonts w:hint="eastAsia"/>
          <w:bCs/>
          <w:color w:val="auto"/>
          <w:szCs w:val="21"/>
          <w:highlight w:val="none"/>
        </w:rPr>
        <w:t>，从业人员</w:t>
      </w:r>
      <w:r>
        <w:rPr>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7C9CE177">
      <w:pPr>
        <w:spacing w:line="360" w:lineRule="auto"/>
        <w:ind w:firstLine="420"/>
        <w:rPr>
          <w:bCs/>
          <w:color w:val="auto"/>
          <w:szCs w:val="21"/>
          <w:highlight w:val="none"/>
        </w:rPr>
      </w:pPr>
      <w:r>
        <w:rPr>
          <w:bCs/>
          <w:color w:val="auto"/>
          <w:szCs w:val="21"/>
          <w:highlight w:val="none"/>
        </w:rPr>
        <w:t>2.</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（招标文件中明确的所属行业）</w:t>
      </w:r>
      <w:r>
        <w:rPr>
          <w:rFonts w:hint="eastAsia"/>
          <w:bCs/>
          <w:color w:val="auto"/>
          <w:szCs w:val="21"/>
          <w:highlight w:val="none"/>
        </w:rPr>
        <w:t>行业；承接企业为</w:t>
      </w:r>
      <w:r>
        <w:rPr>
          <w:rFonts w:hint="eastAsia"/>
          <w:bCs/>
          <w:color w:val="auto"/>
          <w:szCs w:val="21"/>
          <w:highlight w:val="none"/>
          <w:u w:val="single"/>
        </w:rPr>
        <w:t>（企业名称）</w:t>
      </w:r>
      <w:r>
        <w:rPr>
          <w:rFonts w:hint="eastAsia"/>
          <w:bCs/>
          <w:color w:val="auto"/>
          <w:szCs w:val="21"/>
          <w:highlight w:val="none"/>
        </w:rPr>
        <w:t>，从业人员</w:t>
      </w:r>
      <w:r>
        <w:rPr>
          <w:rFonts w:hint="eastAsia"/>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6554374B">
      <w:pPr>
        <w:spacing w:line="360" w:lineRule="auto"/>
        <w:ind w:firstLine="420"/>
        <w:rPr>
          <w:bCs/>
          <w:color w:val="auto"/>
          <w:szCs w:val="21"/>
          <w:highlight w:val="none"/>
        </w:rPr>
      </w:pPr>
      <w:r>
        <w:rPr>
          <w:rFonts w:hint="eastAsia"/>
          <w:bCs/>
          <w:color w:val="auto"/>
          <w:szCs w:val="21"/>
          <w:highlight w:val="none"/>
        </w:rPr>
        <w:t>……</w:t>
      </w:r>
    </w:p>
    <w:p w14:paraId="7093FD54">
      <w:pPr>
        <w:spacing w:line="360" w:lineRule="auto"/>
        <w:ind w:firstLine="420"/>
        <w:rPr>
          <w:bCs/>
          <w:color w:val="auto"/>
          <w:szCs w:val="21"/>
          <w:highlight w:val="none"/>
        </w:rPr>
      </w:pPr>
      <w:r>
        <w:rPr>
          <w:rFonts w:hint="eastAsia"/>
          <w:bCs/>
          <w:color w:val="auto"/>
          <w:szCs w:val="21"/>
          <w:highlight w:val="none"/>
        </w:rPr>
        <w:t>以上企业，不属于大企业的分支机构，不存在控股股东为大企业的情形，也不存在与大企业的负责人为同一人的情形。</w:t>
      </w:r>
    </w:p>
    <w:p w14:paraId="585B7304">
      <w:pPr>
        <w:spacing w:line="360" w:lineRule="auto"/>
        <w:ind w:firstLine="420"/>
        <w:rPr>
          <w:bCs/>
          <w:color w:val="auto"/>
          <w:szCs w:val="21"/>
          <w:highlight w:val="none"/>
        </w:rPr>
      </w:pPr>
      <w:r>
        <w:rPr>
          <w:rFonts w:hint="eastAsia"/>
          <w:bCs/>
          <w:color w:val="auto"/>
          <w:szCs w:val="21"/>
          <w:highlight w:val="none"/>
        </w:rPr>
        <w:t>本企业对上述声明内容的真实性负责。如有虚假，将依法承担相应责任。</w:t>
      </w:r>
    </w:p>
    <w:p w14:paraId="56C8ACFE">
      <w:pPr>
        <w:spacing w:line="360" w:lineRule="auto"/>
        <w:ind w:firstLine="3150" w:firstLineChars="1500"/>
        <w:rPr>
          <w:bCs/>
          <w:color w:val="auto"/>
          <w:szCs w:val="21"/>
          <w:highlight w:val="none"/>
        </w:rPr>
      </w:pPr>
      <w:r>
        <w:rPr>
          <w:rFonts w:hint="eastAsia"/>
          <w:bCs/>
          <w:color w:val="auto"/>
          <w:szCs w:val="21"/>
          <w:highlight w:val="none"/>
        </w:rPr>
        <w:t xml:space="preserve">企业名称（电子签章）： </w:t>
      </w:r>
      <w:r>
        <w:rPr>
          <w:bCs/>
          <w:color w:val="auto"/>
          <w:szCs w:val="21"/>
          <w:highlight w:val="none"/>
        </w:rPr>
        <w:t xml:space="preserve"> </w:t>
      </w:r>
      <w:r>
        <w:rPr>
          <w:rFonts w:hint="eastAsia"/>
          <w:bCs/>
          <w:color w:val="auto"/>
          <w:szCs w:val="21"/>
          <w:highlight w:val="none"/>
        </w:rPr>
        <w:t>日期：</w:t>
      </w:r>
    </w:p>
    <w:p w14:paraId="06AC7F00">
      <w:pPr>
        <w:spacing w:line="360" w:lineRule="auto"/>
        <w:jc w:val="left"/>
        <w:rPr>
          <w:bCs/>
          <w:color w:val="auto"/>
          <w:szCs w:val="21"/>
          <w:highlight w:val="none"/>
        </w:rPr>
      </w:pPr>
      <w:r>
        <w:rPr>
          <w:rFonts w:hint="eastAsia"/>
          <w:bCs/>
          <w:color w:val="auto"/>
          <w:szCs w:val="21"/>
          <w:highlight w:val="none"/>
        </w:rPr>
        <w:t>（1）标的名称按照第二章采购需求一览表中的名称填写，</w:t>
      </w:r>
      <w:r>
        <w:rPr>
          <w:color w:val="auto"/>
          <w:szCs w:val="21"/>
          <w:highlight w:val="none"/>
        </w:rPr>
        <w:t>所属行业标明“/”的</w:t>
      </w:r>
      <w:r>
        <w:rPr>
          <w:rFonts w:hint="eastAsia"/>
          <w:bCs/>
          <w:color w:val="auto"/>
          <w:szCs w:val="21"/>
          <w:highlight w:val="none"/>
        </w:rPr>
        <w:t>，无需在上表填写。</w:t>
      </w:r>
    </w:p>
    <w:p w14:paraId="229700D2">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2</w:t>
      </w:r>
      <w:r>
        <w:rPr>
          <w:rFonts w:hint="eastAsia"/>
          <w:bCs/>
          <w:color w:val="auto"/>
          <w:szCs w:val="21"/>
          <w:highlight w:val="none"/>
        </w:rPr>
        <w:t>）如供应商为联合体或分包的，声明函中“项目名称”应填写联合体中小微企业承担的具体内容或者小微企业具体分包内容。</w:t>
      </w:r>
    </w:p>
    <w:p w14:paraId="0FC938D5">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3</w:t>
      </w:r>
      <w:r>
        <w:rPr>
          <w:rFonts w:hint="eastAsia"/>
          <w:bCs/>
          <w:color w:val="auto"/>
          <w:szCs w:val="21"/>
          <w:highlight w:val="none"/>
        </w:rPr>
        <w:t>）从业人员、营业收入、资产总额填报上一年度数据，无上一年度数据的新成立企业参照国务院批准的中小企业划分标准，根据企业自身情况如实判断。</w:t>
      </w:r>
    </w:p>
    <w:p w14:paraId="1A6CEE36">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4</w:t>
      </w:r>
      <w:r>
        <w:rPr>
          <w:rFonts w:hint="eastAsia"/>
          <w:bCs/>
          <w:color w:val="auto"/>
          <w:szCs w:val="21"/>
          <w:highlight w:val="none"/>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668BF08B">
      <w:pPr>
        <w:spacing w:line="360" w:lineRule="auto"/>
        <w:jc w:val="left"/>
        <w:rPr>
          <w:bCs/>
          <w:color w:val="auto"/>
          <w:szCs w:val="21"/>
          <w:highlight w:val="none"/>
        </w:rPr>
      </w:pPr>
      <w:r>
        <w:rPr>
          <w:rFonts w:hint="eastAsia"/>
          <w:bCs/>
          <w:color w:val="auto"/>
          <w:szCs w:val="21"/>
          <w:highlight w:val="none"/>
        </w:rPr>
        <w:t>（5）根据国家统计局《劳动工资统计报表制度》，从业人员数是指本单位工作，并取得工资或其他形式劳动报酬的人员数，是在岗职工、劳务派遣人员及其他从业人员之和。</w:t>
      </w:r>
    </w:p>
    <w:p w14:paraId="4D513EB1">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6</w:t>
      </w:r>
      <w:r>
        <w:rPr>
          <w:rFonts w:hint="eastAsia"/>
          <w:bCs/>
          <w:color w:val="auto"/>
          <w:szCs w:val="21"/>
          <w:highlight w:val="none"/>
        </w:rPr>
        <w:t>）本声明函由供应商填写，供应商应按中小企业划分标准《关于印发中小企业划型标准规定的通知》（工信部联企业〔2011〕300号</w:t>
      </w:r>
      <w:r>
        <w:rPr>
          <w:rFonts w:hint="eastAsia"/>
          <w:color w:val="auto"/>
          <w:szCs w:val="21"/>
          <w:highlight w:val="none"/>
        </w:rPr>
        <w:t>以及《金融业企业划型标准规定》（银发〔2015〕309号）</w:t>
      </w:r>
      <w:r>
        <w:rPr>
          <w:rFonts w:hint="eastAsia"/>
          <w:bCs/>
          <w:color w:val="auto"/>
          <w:szCs w:val="21"/>
          <w:highlight w:val="none"/>
        </w:rPr>
        <w:t>）判断是否为中小企业。</w:t>
      </w:r>
    </w:p>
    <w:p w14:paraId="4FFCB61E">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7</w:t>
      </w:r>
      <w:r>
        <w:rPr>
          <w:rFonts w:hint="eastAsia"/>
          <w:bCs/>
          <w:color w:val="auto"/>
          <w:szCs w:val="21"/>
          <w:highlight w:val="none"/>
        </w:rPr>
        <w:t>）供应商对《中小企业声明函》的真实性负责，如有虚假则需承担不利后果。依法享受中小企业优惠政策的，采购人或采购代理机构在公告成交结果时，同时公告其《中小企业声明函》，接受社会监督。</w:t>
      </w:r>
    </w:p>
    <w:p w14:paraId="4A8AFFDA">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8</w:t>
      </w:r>
      <w:r>
        <w:rPr>
          <w:rFonts w:hint="eastAsia"/>
          <w:bCs/>
          <w:color w:val="auto"/>
          <w:szCs w:val="21"/>
          <w:highlight w:val="none"/>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7BA99BE3">
      <w:pPr>
        <w:snapToGrid w:val="0"/>
        <w:spacing w:before="50" w:after="120" w:afterLines="50"/>
        <w:jc w:val="left"/>
        <w:rPr>
          <w:color w:val="auto"/>
          <w:szCs w:val="21"/>
          <w:highlight w:val="none"/>
        </w:rPr>
      </w:pPr>
    </w:p>
    <w:p w14:paraId="15FCB25E">
      <w:pPr>
        <w:snapToGrid w:val="0"/>
        <w:spacing w:before="50" w:after="120" w:afterLines="50"/>
        <w:jc w:val="left"/>
        <w:rPr>
          <w:color w:val="auto"/>
          <w:szCs w:val="21"/>
          <w:highlight w:val="none"/>
        </w:rPr>
      </w:pPr>
      <w:r>
        <w:rPr>
          <w:rFonts w:hint="eastAsia"/>
          <w:color w:val="auto"/>
          <w:szCs w:val="21"/>
          <w:highlight w:val="none"/>
        </w:rPr>
        <w:t>3</w:t>
      </w:r>
      <w:r>
        <w:rPr>
          <w:color w:val="auto"/>
          <w:szCs w:val="21"/>
          <w:highlight w:val="none"/>
        </w:rPr>
        <w:t>.2监狱企业须提供最新一期《XX省监狱企业产品目录》或其他监狱企业证明材料。（非监狱企业无需提供）</w:t>
      </w:r>
    </w:p>
    <w:p w14:paraId="1EFB568D">
      <w:pPr>
        <w:snapToGrid w:val="0"/>
        <w:spacing w:before="50" w:after="120" w:afterLines="50"/>
        <w:jc w:val="left"/>
        <w:rPr>
          <w:color w:val="auto"/>
          <w:szCs w:val="21"/>
          <w:highlight w:val="none"/>
        </w:rPr>
      </w:pPr>
    </w:p>
    <w:p w14:paraId="40D3CA7C">
      <w:pPr>
        <w:snapToGrid w:val="0"/>
        <w:spacing w:before="50" w:after="120" w:afterLines="50"/>
        <w:jc w:val="left"/>
        <w:rPr>
          <w:color w:val="auto"/>
          <w:highlight w:val="none"/>
        </w:rPr>
      </w:pPr>
      <w:r>
        <w:rPr>
          <w:rFonts w:hint="eastAsia"/>
          <w:color w:val="auto"/>
          <w:szCs w:val="21"/>
          <w:highlight w:val="none"/>
        </w:rPr>
        <w:t>3</w:t>
      </w:r>
      <w:r>
        <w:rPr>
          <w:color w:val="auto"/>
          <w:szCs w:val="21"/>
          <w:highlight w:val="none"/>
        </w:rPr>
        <w:t>.3</w:t>
      </w:r>
      <w:bookmarkStart w:id="85" w:name="_Hlk19051624"/>
      <w:r>
        <w:rPr>
          <w:color w:val="auto"/>
          <w:highlight w:val="none"/>
        </w:rPr>
        <w:t>残疾人福利性单位须提供《残疾人福利性单位声明函》，格式如下。</w:t>
      </w:r>
      <w:r>
        <w:rPr>
          <w:color w:val="auto"/>
          <w:szCs w:val="21"/>
          <w:highlight w:val="none"/>
        </w:rPr>
        <w:t>（非残疾人福利性单位无需提供）</w:t>
      </w:r>
    </w:p>
    <w:bookmarkEnd w:id="85"/>
    <w:p w14:paraId="35E63A71">
      <w:pPr>
        <w:spacing w:line="360" w:lineRule="auto"/>
        <w:jc w:val="center"/>
        <w:rPr>
          <w:b/>
          <w:color w:val="auto"/>
          <w:szCs w:val="21"/>
          <w:highlight w:val="none"/>
        </w:rPr>
      </w:pPr>
      <w:bookmarkStart w:id="86" w:name="OLE_LINK14"/>
      <w:bookmarkStart w:id="87" w:name="OLE_LINK13"/>
      <w:r>
        <w:rPr>
          <w:b/>
          <w:color w:val="auto"/>
          <w:szCs w:val="21"/>
          <w:highlight w:val="none"/>
        </w:rPr>
        <w:t>残疾人福利性单位声明函</w:t>
      </w:r>
      <w:bookmarkEnd w:id="86"/>
      <w:bookmarkEnd w:id="87"/>
    </w:p>
    <w:p w14:paraId="4C5A58C6">
      <w:pPr>
        <w:spacing w:line="360" w:lineRule="auto"/>
        <w:ind w:firstLine="420"/>
        <w:jc w:val="left"/>
        <w:rPr>
          <w:color w:val="auto"/>
          <w:szCs w:val="21"/>
          <w:highlight w:val="none"/>
        </w:rPr>
      </w:pPr>
      <w:r>
        <w:rPr>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color w:val="auto"/>
          <w:szCs w:val="21"/>
          <w:highlight w:val="none"/>
          <w:u w:val="single"/>
        </w:rPr>
        <w:t xml:space="preserve">        </w:t>
      </w:r>
      <w:r>
        <w:rPr>
          <w:color w:val="auto"/>
          <w:szCs w:val="21"/>
          <w:highlight w:val="none"/>
        </w:rPr>
        <w:t>单位的</w:t>
      </w:r>
      <w:r>
        <w:rPr>
          <w:color w:val="auto"/>
          <w:szCs w:val="21"/>
          <w:highlight w:val="none"/>
          <w:u w:val="single"/>
        </w:rPr>
        <w:t xml:space="preserve">           </w:t>
      </w:r>
      <w:r>
        <w:rPr>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15E6058E">
      <w:pPr>
        <w:spacing w:line="360" w:lineRule="auto"/>
        <w:ind w:firstLine="420"/>
        <w:rPr>
          <w:color w:val="auto"/>
          <w:szCs w:val="21"/>
          <w:highlight w:val="none"/>
        </w:rPr>
      </w:pPr>
      <w:r>
        <w:rPr>
          <w:color w:val="auto"/>
          <w:szCs w:val="21"/>
          <w:highlight w:val="none"/>
        </w:rPr>
        <w:t>本单位对上述声明的真实性负责。如有虚假，将依法承担相应责任。</w:t>
      </w:r>
    </w:p>
    <w:p w14:paraId="5114C6BA">
      <w:pPr>
        <w:spacing w:line="360" w:lineRule="auto"/>
        <w:ind w:firstLine="420"/>
        <w:rPr>
          <w:color w:val="auto"/>
          <w:spacing w:val="6"/>
          <w:szCs w:val="21"/>
          <w:highlight w:val="none"/>
        </w:rPr>
      </w:pPr>
      <w:r>
        <w:rPr>
          <w:color w:val="auto"/>
          <w:spacing w:val="6"/>
          <w:sz w:val="30"/>
          <w:szCs w:val="30"/>
          <w:highlight w:val="none"/>
        </w:rPr>
        <w:t xml:space="preserve"> </w:t>
      </w:r>
      <w:r>
        <w:rPr>
          <w:color w:val="auto"/>
          <w:spacing w:val="6"/>
          <w:szCs w:val="21"/>
          <w:highlight w:val="none"/>
        </w:rPr>
        <w:t xml:space="preserve"> </w:t>
      </w:r>
      <w:r>
        <w:rPr>
          <w:rFonts w:hint="eastAsia"/>
          <w:color w:val="auto"/>
          <w:spacing w:val="6"/>
          <w:szCs w:val="21"/>
          <w:highlight w:val="none"/>
        </w:rPr>
        <w:t xml:space="preserve">                                            </w:t>
      </w:r>
    </w:p>
    <w:p w14:paraId="320590EB">
      <w:pPr>
        <w:spacing w:line="360" w:lineRule="auto"/>
        <w:ind w:firstLine="420"/>
        <w:jc w:val="right"/>
        <w:rPr>
          <w:color w:val="auto"/>
          <w:spacing w:val="6"/>
          <w:szCs w:val="21"/>
          <w:highlight w:val="none"/>
        </w:rPr>
      </w:pPr>
      <w:r>
        <w:rPr>
          <w:color w:val="auto"/>
          <w:spacing w:val="6"/>
          <w:szCs w:val="21"/>
          <w:highlight w:val="none"/>
        </w:rPr>
        <w:t>单位名称（</w:t>
      </w:r>
      <w:r>
        <w:rPr>
          <w:rFonts w:hint="eastAsia"/>
          <w:color w:val="auto"/>
          <w:spacing w:val="6"/>
          <w:szCs w:val="21"/>
          <w:highlight w:val="none"/>
        </w:rPr>
        <w:t>电子签章</w:t>
      </w:r>
      <w:r>
        <w:rPr>
          <w:color w:val="auto"/>
          <w:spacing w:val="6"/>
          <w:szCs w:val="21"/>
          <w:highlight w:val="none"/>
        </w:rPr>
        <w:t xml:space="preserve">）：          </w:t>
      </w:r>
    </w:p>
    <w:p w14:paraId="5F8BB40D">
      <w:pPr>
        <w:spacing w:line="360" w:lineRule="auto"/>
        <w:ind w:firstLine="420"/>
        <w:rPr>
          <w:color w:val="auto"/>
          <w:szCs w:val="21"/>
          <w:highlight w:val="none"/>
        </w:rPr>
      </w:pPr>
      <w:r>
        <w:rPr>
          <w:color w:val="auto"/>
          <w:spacing w:val="6"/>
          <w:szCs w:val="21"/>
          <w:highlight w:val="none"/>
        </w:rPr>
        <w:t xml:space="preserve"> </w:t>
      </w:r>
      <w:r>
        <w:rPr>
          <w:rFonts w:hint="eastAsia"/>
          <w:color w:val="auto"/>
          <w:spacing w:val="6"/>
          <w:szCs w:val="21"/>
          <w:highlight w:val="none"/>
        </w:rPr>
        <w:t xml:space="preserve">                                                      </w:t>
      </w:r>
      <w:r>
        <w:rPr>
          <w:color w:val="auto"/>
          <w:spacing w:val="6"/>
          <w:szCs w:val="21"/>
          <w:highlight w:val="none"/>
        </w:rPr>
        <w:t>日  期：</w:t>
      </w:r>
    </w:p>
    <w:p w14:paraId="0728FB20">
      <w:pPr>
        <w:rPr>
          <w:color w:val="auto"/>
          <w:highlight w:val="none"/>
        </w:rPr>
      </w:pPr>
    </w:p>
    <w:p w14:paraId="79D7427C">
      <w:pPr>
        <w:spacing w:line="360" w:lineRule="auto"/>
        <w:rPr>
          <w:color w:val="auto"/>
          <w:spacing w:val="6"/>
          <w:szCs w:val="21"/>
          <w:highlight w:val="none"/>
        </w:rPr>
      </w:pPr>
    </w:p>
    <w:p w14:paraId="4D6590B3">
      <w:pPr>
        <w:snapToGrid w:val="0"/>
        <w:spacing w:before="50" w:after="120" w:afterLines="50"/>
        <w:jc w:val="left"/>
        <w:rPr>
          <w:color w:val="auto"/>
          <w:szCs w:val="21"/>
          <w:highlight w:val="none"/>
        </w:rPr>
        <w:sectPr>
          <w:headerReference r:id="rId18" w:type="default"/>
          <w:pgSz w:w="11906" w:h="16838"/>
          <w:pgMar w:top="1418" w:right="1274" w:bottom="1418" w:left="1418" w:header="851" w:footer="992" w:gutter="0"/>
          <w:cols w:space="720" w:num="1"/>
          <w:docGrid w:linePitch="312" w:charSpace="0"/>
        </w:sectPr>
      </w:pPr>
    </w:p>
    <w:p w14:paraId="1391CFB5">
      <w:pPr>
        <w:snapToGrid w:val="0"/>
        <w:spacing w:before="50"/>
        <w:jc w:val="left"/>
        <w:rPr>
          <w:color w:val="auto"/>
          <w:szCs w:val="21"/>
          <w:highlight w:val="none"/>
        </w:rPr>
      </w:pPr>
      <w:r>
        <w:rPr>
          <w:rFonts w:hint="eastAsia"/>
          <w:color w:val="auto"/>
          <w:szCs w:val="21"/>
          <w:highlight w:val="none"/>
        </w:rPr>
        <w:t>4</w:t>
      </w:r>
      <w:r>
        <w:rPr>
          <w:color w:val="auto"/>
          <w:szCs w:val="21"/>
          <w:highlight w:val="none"/>
        </w:rPr>
        <w:t>.</w:t>
      </w:r>
      <w:r>
        <w:rPr>
          <w:rFonts w:hint="eastAsia"/>
          <w:color w:val="auto"/>
          <w:highlight w:val="none"/>
        </w:rPr>
        <w:t xml:space="preserve"> </w:t>
      </w:r>
      <w:r>
        <w:rPr>
          <w:rFonts w:hint="eastAsia"/>
          <w:color w:val="auto"/>
          <w:szCs w:val="21"/>
          <w:highlight w:val="none"/>
        </w:rPr>
        <w:t>无串标行为承诺函</w:t>
      </w:r>
    </w:p>
    <w:p w14:paraId="08702EF8">
      <w:pPr>
        <w:snapToGrid w:val="0"/>
        <w:spacing w:before="50" w:after="120" w:afterLines="50"/>
        <w:jc w:val="center"/>
        <w:rPr>
          <w:color w:val="auto"/>
          <w:szCs w:val="21"/>
          <w:highlight w:val="none"/>
        </w:rPr>
      </w:pPr>
    </w:p>
    <w:p w14:paraId="432127AC">
      <w:pPr>
        <w:snapToGrid w:val="0"/>
        <w:spacing w:before="50" w:after="120" w:afterLines="50"/>
        <w:jc w:val="center"/>
        <w:rPr>
          <w:color w:val="auto"/>
          <w:szCs w:val="21"/>
          <w:highlight w:val="none"/>
        </w:rPr>
      </w:pPr>
      <w:r>
        <w:rPr>
          <w:rFonts w:hint="eastAsia"/>
          <w:color w:val="auto"/>
          <w:szCs w:val="21"/>
          <w:highlight w:val="none"/>
        </w:rPr>
        <w:t>投标人参加本项目无围标串标行为的承诺函</w:t>
      </w:r>
    </w:p>
    <w:p w14:paraId="34887472">
      <w:pPr>
        <w:snapToGrid w:val="0"/>
        <w:spacing w:before="50" w:after="120" w:afterLines="50"/>
        <w:jc w:val="left"/>
        <w:rPr>
          <w:color w:val="auto"/>
          <w:szCs w:val="21"/>
          <w:highlight w:val="none"/>
        </w:rPr>
      </w:pPr>
    </w:p>
    <w:p w14:paraId="5406E661">
      <w:pPr>
        <w:snapToGrid w:val="0"/>
        <w:spacing w:before="50" w:after="120" w:afterLines="50"/>
        <w:jc w:val="left"/>
        <w:rPr>
          <w:color w:val="auto"/>
          <w:szCs w:val="21"/>
          <w:highlight w:val="none"/>
        </w:rPr>
      </w:pPr>
      <w:r>
        <w:rPr>
          <w:rFonts w:hint="eastAsia"/>
          <w:color w:val="auto"/>
          <w:szCs w:val="21"/>
          <w:highlight w:val="none"/>
        </w:rPr>
        <w:t>一、我方承诺无下列相互串通投标的情形：</w:t>
      </w:r>
    </w:p>
    <w:p w14:paraId="6BD3F396">
      <w:pPr>
        <w:snapToGrid w:val="0"/>
        <w:spacing w:before="50" w:after="120" w:afterLines="50"/>
        <w:jc w:val="left"/>
        <w:rPr>
          <w:color w:val="auto"/>
          <w:szCs w:val="21"/>
          <w:highlight w:val="none"/>
        </w:rPr>
      </w:pPr>
      <w:r>
        <w:rPr>
          <w:rFonts w:hint="eastAsia"/>
          <w:color w:val="auto"/>
          <w:szCs w:val="21"/>
          <w:highlight w:val="none"/>
        </w:rPr>
        <w:t>1.不同投标人的投标文件由同一单位或者个人编制；或者不同投标人报名的IP地址一致的；</w:t>
      </w:r>
    </w:p>
    <w:p w14:paraId="781C0AB7">
      <w:pPr>
        <w:snapToGrid w:val="0"/>
        <w:spacing w:before="50" w:after="120" w:afterLines="50"/>
        <w:jc w:val="left"/>
        <w:rPr>
          <w:color w:val="auto"/>
          <w:szCs w:val="21"/>
          <w:highlight w:val="none"/>
        </w:rPr>
      </w:pPr>
      <w:r>
        <w:rPr>
          <w:rFonts w:hint="eastAsia"/>
          <w:color w:val="auto"/>
          <w:szCs w:val="21"/>
          <w:highlight w:val="none"/>
        </w:rPr>
        <w:t>2.不同投标人委托同一单位或者个人办理投标事宜；</w:t>
      </w:r>
    </w:p>
    <w:p w14:paraId="76674BF6">
      <w:pPr>
        <w:snapToGrid w:val="0"/>
        <w:spacing w:before="50" w:after="120" w:afterLines="50"/>
        <w:jc w:val="left"/>
        <w:rPr>
          <w:color w:val="auto"/>
          <w:szCs w:val="21"/>
          <w:highlight w:val="none"/>
        </w:rPr>
      </w:pPr>
      <w:r>
        <w:rPr>
          <w:rFonts w:hint="eastAsia"/>
          <w:color w:val="auto"/>
          <w:szCs w:val="21"/>
          <w:highlight w:val="none"/>
        </w:rPr>
        <w:t>3.不同的投标人的投标文件载明的项目管理员为同一个人；</w:t>
      </w:r>
    </w:p>
    <w:p w14:paraId="5C3B892D">
      <w:pPr>
        <w:snapToGrid w:val="0"/>
        <w:spacing w:before="50" w:after="120" w:afterLines="50"/>
        <w:jc w:val="left"/>
        <w:rPr>
          <w:color w:val="auto"/>
          <w:szCs w:val="21"/>
          <w:highlight w:val="none"/>
        </w:rPr>
      </w:pPr>
      <w:r>
        <w:rPr>
          <w:rFonts w:hint="eastAsia"/>
          <w:color w:val="auto"/>
          <w:szCs w:val="21"/>
          <w:highlight w:val="none"/>
        </w:rPr>
        <w:t>4.不同投标人的投标文件异常一致或者投标报价呈规律性差异；</w:t>
      </w:r>
    </w:p>
    <w:p w14:paraId="59F35B15">
      <w:pPr>
        <w:snapToGrid w:val="0"/>
        <w:spacing w:before="50" w:after="120" w:afterLines="50"/>
        <w:jc w:val="left"/>
        <w:rPr>
          <w:color w:val="auto"/>
          <w:szCs w:val="21"/>
          <w:highlight w:val="none"/>
        </w:rPr>
      </w:pPr>
      <w:r>
        <w:rPr>
          <w:rFonts w:hint="eastAsia"/>
          <w:color w:val="auto"/>
          <w:szCs w:val="21"/>
          <w:highlight w:val="none"/>
        </w:rPr>
        <w:t>5.不同投标人的投标文件相互混装；</w:t>
      </w:r>
    </w:p>
    <w:p w14:paraId="6B67B4F4">
      <w:pPr>
        <w:snapToGrid w:val="0"/>
        <w:spacing w:before="50" w:after="120" w:afterLines="50"/>
        <w:jc w:val="left"/>
        <w:rPr>
          <w:color w:val="auto"/>
          <w:szCs w:val="21"/>
          <w:highlight w:val="none"/>
        </w:rPr>
      </w:pPr>
      <w:r>
        <w:rPr>
          <w:rFonts w:hint="eastAsia"/>
          <w:color w:val="auto"/>
          <w:szCs w:val="21"/>
          <w:highlight w:val="none"/>
        </w:rPr>
        <w:t>6.不同投标人的投标保证金从同一单位或者个人账户转出。</w:t>
      </w:r>
    </w:p>
    <w:p w14:paraId="0AA17E4D">
      <w:pPr>
        <w:snapToGrid w:val="0"/>
        <w:spacing w:before="50" w:after="120" w:afterLines="50"/>
        <w:jc w:val="left"/>
        <w:rPr>
          <w:color w:val="auto"/>
          <w:szCs w:val="21"/>
          <w:highlight w:val="none"/>
        </w:rPr>
      </w:pPr>
      <w:r>
        <w:rPr>
          <w:rFonts w:hint="eastAsia"/>
          <w:color w:val="auto"/>
          <w:szCs w:val="21"/>
          <w:highlight w:val="none"/>
        </w:rPr>
        <w:t>二、我方承诺无下列恶意串通的情形：</w:t>
      </w:r>
    </w:p>
    <w:p w14:paraId="4D454622">
      <w:pPr>
        <w:snapToGrid w:val="0"/>
        <w:spacing w:before="50" w:after="120" w:afterLines="50"/>
        <w:jc w:val="left"/>
        <w:rPr>
          <w:color w:val="auto"/>
          <w:szCs w:val="21"/>
          <w:highlight w:val="none"/>
        </w:rPr>
      </w:pPr>
      <w:r>
        <w:rPr>
          <w:rFonts w:hint="eastAsia"/>
          <w:color w:val="auto"/>
          <w:szCs w:val="21"/>
          <w:highlight w:val="none"/>
        </w:rPr>
        <w:t>1.投标人直接或者间接从采购人或者采购代理机构处获得其他投标人的相关信息并修改其投标文件或者投标文件；</w:t>
      </w:r>
    </w:p>
    <w:p w14:paraId="49DEAE04">
      <w:pPr>
        <w:snapToGrid w:val="0"/>
        <w:spacing w:before="50" w:after="120" w:afterLines="50"/>
        <w:jc w:val="left"/>
        <w:rPr>
          <w:color w:val="auto"/>
          <w:szCs w:val="21"/>
          <w:highlight w:val="none"/>
        </w:rPr>
      </w:pPr>
      <w:r>
        <w:rPr>
          <w:rFonts w:hint="eastAsia"/>
          <w:color w:val="auto"/>
          <w:szCs w:val="21"/>
          <w:highlight w:val="none"/>
        </w:rPr>
        <w:t>2.投标人按照采购人或者采购代理机构的授意撤换、修改投标文件或者投标文件；</w:t>
      </w:r>
    </w:p>
    <w:p w14:paraId="1C4DF2D1">
      <w:pPr>
        <w:snapToGrid w:val="0"/>
        <w:spacing w:before="50" w:after="120" w:afterLines="50"/>
        <w:jc w:val="left"/>
        <w:rPr>
          <w:color w:val="auto"/>
          <w:szCs w:val="21"/>
          <w:highlight w:val="none"/>
        </w:rPr>
      </w:pPr>
      <w:r>
        <w:rPr>
          <w:rFonts w:hint="eastAsia"/>
          <w:color w:val="auto"/>
          <w:szCs w:val="21"/>
          <w:highlight w:val="none"/>
        </w:rPr>
        <w:t>3.投标人之间协商报价、技术方案等投标文件或者投标文件的实质性内容；</w:t>
      </w:r>
    </w:p>
    <w:p w14:paraId="2BD05D13">
      <w:pPr>
        <w:snapToGrid w:val="0"/>
        <w:spacing w:before="50" w:after="120" w:afterLines="50"/>
        <w:jc w:val="left"/>
        <w:rPr>
          <w:color w:val="auto"/>
          <w:szCs w:val="21"/>
          <w:highlight w:val="none"/>
        </w:rPr>
      </w:pPr>
      <w:r>
        <w:rPr>
          <w:rFonts w:hint="eastAsia"/>
          <w:color w:val="auto"/>
          <w:szCs w:val="21"/>
          <w:highlight w:val="none"/>
        </w:rPr>
        <w:t>4.属于同一集团、协会、商会等组织成员的投标人按照该组织要求协同参加政府采购活动；</w:t>
      </w:r>
    </w:p>
    <w:p w14:paraId="5BF4EC99">
      <w:pPr>
        <w:snapToGrid w:val="0"/>
        <w:spacing w:before="50" w:after="120" w:afterLines="50"/>
        <w:jc w:val="left"/>
        <w:rPr>
          <w:color w:val="auto"/>
          <w:szCs w:val="21"/>
          <w:highlight w:val="none"/>
        </w:rPr>
      </w:pPr>
      <w:r>
        <w:rPr>
          <w:rFonts w:hint="eastAsia"/>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45F35F1E">
      <w:pPr>
        <w:snapToGrid w:val="0"/>
        <w:spacing w:before="50" w:after="120" w:afterLines="50"/>
        <w:jc w:val="left"/>
        <w:rPr>
          <w:color w:val="auto"/>
          <w:szCs w:val="21"/>
          <w:highlight w:val="none"/>
        </w:rPr>
      </w:pPr>
      <w:r>
        <w:rPr>
          <w:rFonts w:hint="eastAsia"/>
          <w:color w:val="auto"/>
          <w:szCs w:val="21"/>
          <w:highlight w:val="none"/>
        </w:rPr>
        <w:t>6.投标人之间商定部分投标人放弃参加政府采购活动或者放弃中标；</w:t>
      </w:r>
    </w:p>
    <w:p w14:paraId="2DFC30FE">
      <w:pPr>
        <w:snapToGrid w:val="0"/>
        <w:spacing w:before="50" w:after="120" w:afterLines="50"/>
        <w:jc w:val="left"/>
        <w:rPr>
          <w:color w:val="auto"/>
          <w:szCs w:val="21"/>
          <w:highlight w:val="none"/>
        </w:rPr>
      </w:pPr>
      <w:r>
        <w:rPr>
          <w:rFonts w:hint="eastAsia"/>
          <w:color w:val="auto"/>
          <w:szCs w:val="21"/>
          <w:highlight w:val="none"/>
        </w:rPr>
        <w:t>7.投标人与采购人或者采购代理机构之间、投标人相互之间，为谋求特定投标人中标或者排斥其他投标人的其他串通行为。</w:t>
      </w:r>
    </w:p>
    <w:p w14:paraId="7806969F">
      <w:pPr>
        <w:snapToGrid w:val="0"/>
        <w:spacing w:before="50" w:after="120" w:afterLines="50"/>
        <w:jc w:val="left"/>
        <w:rPr>
          <w:color w:val="auto"/>
          <w:szCs w:val="21"/>
          <w:highlight w:val="none"/>
        </w:rPr>
      </w:pPr>
      <w:r>
        <w:rPr>
          <w:rFonts w:hint="eastAsia"/>
          <w:color w:val="auto"/>
          <w:szCs w:val="21"/>
          <w:highlight w:val="none"/>
        </w:rPr>
        <w:t>以上情形一经核查属实，我方愿意承担一切后果，并不再寻求任何旨在减轻或者免除法律责任的辩解。</w:t>
      </w:r>
    </w:p>
    <w:p w14:paraId="1DD40900">
      <w:pPr>
        <w:snapToGrid w:val="0"/>
        <w:spacing w:before="50" w:after="120" w:afterLines="50"/>
        <w:jc w:val="center"/>
        <w:rPr>
          <w:color w:val="auto"/>
          <w:szCs w:val="21"/>
          <w:highlight w:val="none"/>
        </w:rPr>
      </w:pPr>
      <w:r>
        <w:rPr>
          <w:rFonts w:hint="eastAsia"/>
          <w:color w:val="auto"/>
          <w:szCs w:val="21"/>
          <w:highlight w:val="none"/>
        </w:rPr>
        <w:t xml:space="preserve"> </w:t>
      </w:r>
      <w:r>
        <w:rPr>
          <w:color w:val="auto"/>
          <w:szCs w:val="21"/>
          <w:highlight w:val="none"/>
        </w:rPr>
        <w:t xml:space="preserve"> </w:t>
      </w:r>
    </w:p>
    <w:p w14:paraId="659F33CF">
      <w:pPr>
        <w:snapToGrid w:val="0"/>
        <w:spacing w:before="50" w:after="120" w:afterLines="50"/>
        <w:jc w:val="center"/>
        <w:rPr>
          <w:color w:val="auto"/>
          <w:szCs w:val="21"/>
          <w:highlight w:val="none"/>
        </w:rPr>
      </w:pPr>
    </w:p>
    <w:p w14:paraId="5ABFE8B4">
      <w:pPr>
        <w:snapToGrid w:val="0"/>
        <w:spacing w:before="50" w:after="120" w:afterLines="50"/>
        <w:jc w:val="center"/>
        <w:rPr>
          <w:color w:val="auto"/>
          <w:szCs w:val="21"/>
          <w:highlight w:val="none"/>
        </w:rPr>
      </w:pPr>
    </w:p>
    <w:p w14:paraId="1E849EC3">
      <w:pPr>
        <w:snapToGrid w:val="0"/>
        <w:spacing w:before="50" w:after="120" w:afterLines="50"/>
        <w:jc w:val="cente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rFonts w:hint="eastAsia"/>
          <w:color w:val="auto"/>
          <w:szCs w:val="21"/>
          <w:highlight w:val="none"/>
        </w:rPr>
        <w:t>：</w:t>
      </w:r>
    </w:p>
    <w:p w14:paraId="10E7B9D9">
      <w:pPr>
        <w:snapToGrid w:val="0"/>
        <w:spacing w:before="50" w:after="120" w:afterLines="50"/>
        <w:jc w:val="center"/>
        <w:rPr>
          <w:color w:val="auto"/>
          <w:szCs w:val="21"/>
          <w:highlight w:val="none"/>
        </w:rPr>
      </w:pPr>
      <w:r>
        <w:rPr>
          <w:rFonts w:hint="eastAsia"/>
          <w:color w:val="auto"/>
          <w:szCs w:val="21"/>
          <w:highlight w:val="none"/>
        </w:rPr>
        <w:t>日期：  年  月   日</w:t>
      </w:r>
    </w:p>
    <w:p w14:paraId="60EDC480">
      <w:pPr>
        <w:ind w:firstLine="420" w:firstLineChars="200"/>
        <w:rPr>
          <w:color w:val="auto"/>
          <w:szCs w:val="21"/>
          <w:highlight w:val="none"/>
        </w:rPr>
        <w:sectPr>
          <w:pgSz w:w="11906" w:h="16838"/>
          <w:pgMar w:top="1304" w:right="1418" w:bottom="1304" w:left="1418" w:header="851" w:footer="992" w:gutter="0"/>
          <w:cols w:space="720" w:num="1"/>
          <w:docGrid w:linePitch="312" w:charSpace="0"/>
        </w:sectPr>
      </w:pPr>
    </w:p>
    <w:bookmarkEnd w:id="83"/>
    <w:p w14:paraId="6F1DA6C8">
      <w:pPr>
        <w:snapToGrid w:val="0"/>
        <w:spacing w:before="50" w:after="120" w:afterLines="50"/>
        <w:jc w:val="left"/>
        <w:rPr>
          <w:color w:val="auto"/>
          <w:szCs w:val="21"/>
          <w:highlight w:val="none"/>
        </w:rPr>
      </w:pPr>
      <w:r>
        <w:rPr>
          <w:rFonts w:hint="eastAsia"/>
          <w:color w:val="auto"/>
          <w:szCs w:val="21"/>
          <w:highlight w:val="none"/>
        </w:rPr>
        <w:t>5</w:t>
      </w:r>
      <w:r>
        <w:rPr>
          <w:color w:val="auto"/>
          <w:szCs w:val="21"/>
          <w:highlight w:val="none"/>
        </w:rPr>
        <w:t>.代理服务费承诺书</w:t>
      </w:r>
    </w:p>
    <w:p w14:paraId="0F18EE49">
      <w:pPr>
        <w:spacing w:line="360" w:lineRule="exact"/>
        <w:rPr>
          <w:color w:val="auto"/>
          <w:szCs w:val="21"/>
          <w:highlight w:val="none"/>
        </w:rPr>
      </w:pPr>
      <w:r>
        <w:rPr>
          <w:color w:val="auto"/>
          <w:szCs w:val="21"/>
          <w:highlight w:val="none"/>
        </w:rPr>
        <w:t>致：广西机电设备招标有限公司</w:t>
      </w:r>
    </w:p>
    <w:p w14:paraId="1B2776B6">
      <w:pPr>
        <w:spacing w:line="360" w:lineRule="exact"/>
        <w:ind w:firstLine="420" w:firstLineChars="200"/>
        <w:rPr>
          <w:color w:val="auto"/>
          <w:szCs w:val="21"/>
          <w:highlight w:val="none"/>
        </w:rPr>
      </w:pPr>
      <w:bookmarkStart w:id="88" w:name="_Hlk19050395"/>
      <w:r>
        <w:rPr>
          <w:color w:val="auto"/>
          <w:szCs w:val="21"/>
          <w:highlight w:val="none"/>
        </w:rPr>
        <w:t>我单位参加了贵方组织的招标项目编号为</w:t>
      </w:r>
      <w:r>
        <w:rPr>
          <w:b/>
          <w:color w:val="auto"/>
          <w:szCs w:val="21"/>
          <w:highlight w:val="none"/>
        </w:rPr>
        <w:t>（</w:t>
      </w:r>
      <w:r>
        <w:rPr>
          <w:color w:val="auto"/>
          <w:szCs w:val="21"/>
          <w:highlight w:val="none"/>
          <w:u w:val="single"/>
        </w:rPr>
        <w:t xml:space="preserve">                    )</w:t>
      </w:r>
      <w:r>
        <w:rPr>
          <w:color w:val="auto"/>
          <w:szCs w:val="21"/>
          <w:highlight w:val="none"/>
        </w:rPr>
        <w:t>的投标，并递交了投标保证金</w:t>
      </w:r>
      <w:bookmarkStart w:id="89" w:name="_Hlk19050352"/>
      <w:r>
        <w:rPr>
          <w:color w:val="auto"/>
          <w:szCs w:val="21"/>
          <w:highlight w:val="none"/>
        </w:rPr>
        <w:t>（</w:t>
      </w:r>
      <w:r>
        <w:rPr>
          <w:color w:val="auto"/>
          <w:kern w:val="0"/>
          <w:szCs w:val="21"/>
          <w:highlight w:val="none"/>
        </w:rPr>
        <w:t>¥</w:t>
      </w:r>
      <w:r>
        <w:rPr>
          <w:color w:val="auto"/>
          <w:szCs w:val="21"/>
          <w:highlight w:val="none"/>
          <w:u w:val="single"/>
        </w:rPr>
        <w:t xml:space="preserve">       </w:t>
      </w:r>
      <w:r>
        <w:rPr>
          <w:color w:val="auto"/>
          <w:szCs w:val="21"/>
          <w:highlight w:val="none"/>
        </w:rPr>
        <w:t>）</w:t>
      </w:r>
      <w:bookmarkEnd w:id="89"/>
      <w:r>
        <w:rPr>
          <w:color w:val="auto"/>
          <w:szCs w:val="21"/>
          <w:highlight w:val="none"/>
        </w:rPr>
        <w:t>，在此我方说明如下：</w:t>
      </w:r>
    </w:p>
    <w:bookmarkEnd w:id="88"/>
    <w:p w14:paraId="0A14A18B">
      <w:pPr>
        <w:spacing w:line="360" w:lineRule="exact"/>
        <w:ind w:firstLine="420" w:firstLineChars="200"/>
        <w:rPr>
          <w:color w:val="auto"/>
          <w:szCs w:val="21"/>
          <w:highlight w:val="none"/>
        </w:rPr>
      </w:pPr>
      <w:r>
        <w:rPr>
          <w:color w:val="auto"/>
          <w:szCs w:val="21"/>
          <w:highlight w:val="none"/>
        </w:rPr>
        <w:t>1．我方承诺，若我单位中标，保证在领取中标通知书之前，按本项目招标文件的规定标准向贵单位支付代理服务费。如我单位未按规定缴纳代理服务费，贵方可</w:t>
      </w:r>
      <w:r>
        <w:rPr>
          <w:rFonts w:hint="eastAsia"/>
          <w:color w:val="auto"/>
          <w:szCs w:val="21"/>
          <w:highlight w:val="none"/>
        </w:rPr>
        <w:t>不退还</w:t>
      </w:r>
      <w:r>
        <w:rPr>
          <w:color w:val="auto"/>
          <w:szCs w:val="21"/>
          <w:highlight w:val="none"/>
        </w:rPr>
        <w:t>我单位提交的投标保证金</w:t>
      </w:r>
      <w:r>
        <w:rPr>
          <w:rFonts w:hint="eastAsia"/>
          <w:color w:val="auto"/>
          <w:szCs w:val="21"/>
          <w:highlight w:val="none"/>
        </w:rPr>
        <w:t>，并从中</w:t>
      </w:r>
      <w:r>
        <w:rPr>
          <w:color w:val="auto"/>
          <w:szCs w:val="21"/>
          <w:highlight w:val="none"/>
        </w:rPr>
        <w:t>扣除</w:t>
      </w:r>
      <w:r>
        <w:rPr>
          <w:rFonts w:hint="eastAsia"/>
          <w:color w:val="auto"/>
          <w:szCs w:val="21"/>
          <w:highlight w:val="none"/>
        </w:rPr>
        <w:t>代理服务费</w:t>
      </w:r>
      <w:r>
        <w:rPr>
          <w:color w:val="auto"/>
          <w:szCs w:val="21"/>
          <w:highlight w:val="none"/>
        </w:rPr>
        <w:t>，余款按下列账户退回。</w:t>
      </w:r>
    </w:p>
    <w:p w14:paraId="04A76C4E">
      <w:pPr>
        <w:spacing w:line="360" w:lineRule="exact"/>
        <w:ind w:firstLine="420" w:firstLineChars="200"/>
        <w:rPr>
          <w:color w:val="auto"/>
          <w:szCs w:val="21"/>
          <w:highlight w:val="none"/>
        </w:rPr>
      </w:pPr>
      <w:bookmarkStart w:id="90" w:name="_Hlk19050518"/>
      <w:r>
        <w:rPr>
          <w:color w:val="auto"/>
          <w:szCs w:val="21"/>
          <w:highlight w:val="none"/>
        </w:rPr>
        <w:t>我公司选择第</w:t>
      </w:r>
      <w:r>
        <w:rPr>
          <w:color w:val="auto"/>
          <w:szCs w:val="21"/>
          <w:highlight w:val="none"/>
          <w:u w:val="single"/>
        </w:rPr>
        <w:t xml:space="preserve">     </w:t>
      </w:r>
      <w:r>
        <w:rPr>
          <w:color w:val="auto"/>
          <w:szCs w:val="21"/>
          <w:highlight w:val="none"/>
        </w:rPr>
        <w:t>种方式缴纳代理服务费。</w:t>
      </w:r>
    </w:p>
    <w:p w14:paraId="1DC6DBBA">
      <w:pPr>
        <w:spacing w:line="360" w:lineRule="exact"/>
        <w:ind w:firstLine="420" w:firstLineChars="200"/>
        <w:rPr>
          <w:color w:val="auto"/>
          <w:szCs w:val="21"/>
          <w:highlight w:val="none"/>
        </w:rPr>
      </w:pPr>
      <w:r>
        <w:rPr>
          <w:color w:val="auto"/>
          <w:szCs w:val="21"/>
          <w:highlight w:val="none"/>
        </w:rPr>
        <w:t>第一种方式：一次性足额缴纳代理服务费。</w:t>
      </w:r>
    </w:p>
    <w:p w14:paraId="1F374B72">
      <w:pPr>
        <w:spacing w:line="360" w:lineRule="exact"/>
        <w:ind w:firstLine="420" w:firstLineChars="200"/>
        <w:rPr>
          <w:color w:val="auto"/>
          <w:szCs w:val="21"/>
          <w:highlight w:val="none"/>
        </w:rPr>
      </w:pPr>
      <w:r>
        <w:rPr>
          <w:color w:val="auto"/>
          <w:szCs w:val="21"/>
          <w:highlight w:val="none"/>
        </w:rPr>
        <w:t>第二种方式：从投标保证金中抵扣代理服务费，不足部分补交。</w:t>
      </w:r>
    </w:p>
    <w:bookmarkEnd w:id="90"/>
    <w:p w14:paraId="53DBD79A">
      <w:pPr>
        <w:spacing w:line="360" w:lineRule="exact"/>
        <w:ind w:firstLine="420" w:firstLineChars="200"/>
        <w:rPr>
          <w:color w:val="auto"/>
          <w:szCs w:val="21"/>
          <w:highlight w:val="none"/>
        </w:rPr>
      </w:pPr>
      <w:r>
        <w:rPr>
          <w:color w:val="auto"/>
          <w:szCs w:val="21"/>
          <w:highlight w:val="none"/>
        </w:rPr>
        <w:t>2．如我单位投标保证金无法原路返回，请按下表账户信息无息退还。</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153A6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5CE81E26">
            <w:pPr>
              <w:spacing w:line="360" w:lineRule="exact"/>
              <w:jc w:val="center"/>
              <w:rPr>
                <w:color w:val="auto"/>
                <w:szCs w:val="21"/>
                <w:highlight w:val="none"/>
              </w:rPr>
            </w:pPr>
            <w:r>
              <w:rPr>
                <w:color w:val="auto"/>
                <w:szCs w:val="21"/>
                <w:highlight w:val="none"/>
              </w:rPr>
              <w:t>收款户名</w:t>
            </w:r>
          </w:p>
        </w:tc>
        <w:tc>
          <w:tcPr>
            <w:tcW w:w="5431" w:type="dxa"/>
            <w:vAlign w:val="center"/>
          </w:tcPr>
          <w:p w14:paraId="791B8911">
            <w:pPr>
              <w:spacing w:line="360" w:lineRule="exact"/>
              <w:jc w:val="center"/>
              <w:rPr>
                <w:color w:val="auto"/>
                <w:szCs w:val="21"/>
                <w:highlight w:val="none"/>
              </w:rPr>
            </w:pPr>
          </w:p>
        </w:tc>
      </w:tr>
      <w:tr w14:paraId="72E0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7412FBD5">
            <w:pPr>
              <w:spacing w:line="360" w:lineRule="exact"/>
              <w:jc w:val="center"/>
              <w:rPr>
                <w:color w:val="auto"/>
                <w:szCs w:val="21"/>
                <w:highlight w:val="none"/>
              </w:rPr>
            </w:pPr>
            <w:r>
              <w:rPr>
                <w:color w:val="auto"/>
                <w:szCs w:val="21"/>
                <w:highlight w:val="none"/>
              </w:rPr>
              <w:t>账    号</w:t>
            </w:r>
          </w:p>
        </w:tc>
        <w:tc>
          <w:tcPr>
            <w:tcW w:w="5431" w:type="dxa"/>
            <w:vAlign w:val="center"/>
          </w:tcPr>
          <w:p w14:paraId="3CE03FCF">
            <w:pPr>
              <w:spacing w:line="360" w:lineRule="exact"/>
              <w:jc w:val="center"/>
              <w:rPr>
                <w:color w:val="auto"/>
                <w:szCs w:val="21"/>
                <w:highlight w:val="none"/>
              </w:rPr>
            </w:pPr>
          </w:p>
        </w:tc>
      </w:tr>
      <w:tr w14:paraId="06617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297DBC1E">
            <w:pPr>
              <w:spacing w:line="360" w:lineRule="exact"/>
              <w:jc w:val="center"/>
              <w:rPr>
                <w:color w:val="auto"/>
                <w:szCs w:val="21"/>
                <w:highlight w:val="none"/>
              </w:rPr>
            </w:pPr>
            <w:r>
              <w:rPr>
                <w:color w:val="auto"/>
                <w:szCs w:val="21"/>
                <w:highlight w:val="none"/>
              </w:rPr>
              <w:t>开户银行</w:t>
            </w:r>
          </w:p>
        </w:tc>
        <w:tc>
          <w:tcPr>
            <w:tcW w:w="5431" w:type="dxa"/>
            <w:vAlign w:val="center"/>
          </w:tcPr>
          <w:p w14:paraId="5D887C8C">
            <w:pPr>
              <w:spacing w:line="360" w:lineRule="exact"/>
              <w:jc w:val="center"/>
              <w:rPr>
                <w:color w:val="auto"/>
                <w:szCs w:val="21"/>
                <w:highlight w:val="none"/>
              </w:rPr>
            </w:pPr>
          </w:p>
        </w:tc>
      </w:tr>
      <w:tr w14:paraId="2BBB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1E6139DC">
            <w:pPr>
              <w:spacing w:line="360" w:lineRule="exact"/>
              <w:jc w:val="center"/>
              <w:rPr>
                <w:color w:val="auto"/>
                <w:szCs w:val="21"/>
                <w:highlight w:val="none"/>
              </w:rPr>
            </w:pPr>
            <w:r>
              <w:rPr>
                <w:color w:val="auto"/>
                <w:szCs w:val="21"/>
                <w:highlight w:val="none"/>
              </w:rPr>
              <w:t>银行行号</w:t>
            </w:r>
          </w:p>
        </w:tc>
        <w:tc>
          <w:tcPr>
            <w:tcW w:w="5431" w:type="dxa"/>
            <w:vAlign w:val="center"/>
          </w:tcPr>
          <w:p w14:paraId="2FCAB669">
            <w:pPr>
              <w:spacing w:line="360" w:lineRule="exact"/>
              <w:jc w:val="center"/>
              <w:rPr>
                <w:color w:val="auto"/>
                <w:szCs w:val="21"/>
                <w:highlight w:val="none"/>
              </w:rPr>
            </w:pPr>
          </w:p>
        </w:tc>
      </w:tr>
    </w:tbl>
    <w:p w14:paraId="0C49D14D">
      <w:pPr>
        <w:spacing w:line="360" w:lineRule="exact"/>
        <w:ind w:firstLine="420" w:firstLineChars="200"/>
        <w:rPr>
          <w:color w:val="auto"/>
          <w:szCs w:val="21"/>
          <w:highlight w:val="none"/>
        </w:rPr>
      </w:pPr>
      <w:r>
        <w:rPr>
          <w:color w:val="auto"/>
          <w:szCs w:val="21"/>
          <w:highlight w:val="none"/>
        </w:rPr>
        <w:t>3．如果我单位未遵守有关招标文件关于投标保证金的规定，贵方可以没收我单位投标保证金。</w:t>
      </w:r>
    </w:p>
    <w:p w14:paraId="2738762B">
      <w:pPr>
        <w:spacing w:line="360" w:lineRule="exact"/>
        <w:ind w:firstLine="420" w:firstLineChars="200"/>
        <w:rPr>
          <w:color w:val="auto"/>
          <w:szCs w:val="21"/>
          <w:highlight w:val="none"/>
        </w:rPr>
      </w:pPr>
      <w:r>
        <w:rPr>
          <w:color w:val="auto"/>
          <w:szCs w:val="21"/>
          <w:highlight w:val="none"/>
        </w:rPr>
        <w:t>4. 我单位选择第</w:t>
      </w:r>
      <w:r>
        <w:rPr>
          <w:color w:val="auto"/>
          <w:szCs w:val="21"/>
          <w:highlight w:val="none"/>
          <w:u w:val="single"/>
        </w:rPr>
        <w:t xml:space="preserve">     </w:t>
      </w:r>
      <w:r>
        <w:rPr>
          <w:color w:val="auto"/>
          <w:szCs w:val="21"/>
          <w:highlight w:val="none"/>
        </w:rPr>
        <w:t>种方式作为代理服务费开票类型：</w:t>
      </w:r>
    </w:p>
    <w:p w14:paraId="2AE46465">
      <w:pPr>
        <w:spacing w:line="360" w:lineRule="exact"/>
        <w:ind w:firstLine="420" w:firstLineChars="200"/>
        <w:rPr>
          <w:color w:val="auto"/>
          <w:szCs w:val="21"/>
          <w:highlight w:val="none"/>
        </w:rPr>
      </w:pPr>
      <w:r>
        <w:rPr>
          <w:color w:val="auto"/>
          <w:szCs w:val="21"/>
          <w:highlight w:val="none"/>
        </w:rPr>
        <w:t>第一种方式：开具收据。</w:t>
      </w:r>
    </w:p>
    <w:p w14:paraId="6121E396">
      <w:pPr>
        <w:spacing w:line="360" w:lineRule="exact"/>
        <w:ind w:firstLine="420" w:firstLineChars="200"/>
        <w:rPr>
          <w:color w:val="auto"/>
          <w:szCs w:val="21"/>
          <w:highlight w:val="none"/>
        </w:rPr>
      </w:pPr>
      <w:r>
        <w:rPr>
          <w:color w:val="auto"/>
          <w:szCs w:val="21"/>
          <w:highlight w:val="none"/>
        </w:rPr>
        <w:t>第二种方式：开具增值税普通发票。开票信息如下：1.公司名称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w:t>
      </w:r>
    </w:p>
    <w:p w14:paraId="3098ABB8">
      <w:pPr>
        <w:spacing w:line="360" w:lineRule="exact"/>
        <w:ind w:firstLine="420" w:firstLineChars="200"/>
        <w:rPr>
          <w:color w:val="auto"/>
          <w:szCs w:val="21"/>
          <w:highlight w:val="none"/>
        </w:rPr>
      </w:pPr>
      <w:r>
        <w:rPr>
          <w:color w:val="auto"/>
          <w:szCs w:val="21"/>
          <w:highlight w:val="none"/>
        </w:rPr>
        <w:t>第三种方式：开具增值税专用发票，开票信息如下：1.公司名称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；3.税局登记地址</w:t>
      </w:r>
      <w:r>
        <w:rPr>
          <w:color w:val="auto"/>
          <w:szCs w:val="21"/>
          <w:highlight w:val="none"/>
          <w:u w:val="single"/>
        </w:rPr>
        <w:t xml:space="preserve">                     </w:t>
      </w:r>
      <w:r>
        <w:rPr>
          <w:color w:val="auto"/>
          <w:szCs w:val="21"/>
          <w:highlight w:val="none"/>
        </w:rPr>
        <w:t>；4.税局登记电话</w:t>
      </w:r>
      <w:r>
        <w:rPr>
          <w:color w:val="auto"/>
          <w:szCs w:val="21"/>
          <w:highlight w:val="none"/>
          <w:u w:val="single"/>
        </w:rPr>
        <w:t xml:space="preserve">             </w:t>
      </w:r>
      <w:r>
        <w:rPr>
          <w:color w:val="auto"/>
          <w:szCs w:val="21"/>
          <w:highlight w:val="none"/>
        </w:rPr>
        <w:t>；5.开户银行</w:t>
      </w:r>
      <w:r>
        <w:rPr>
          <w:color w:val="auto"/>
          <w:szCs w:val="21"/>
          <w:highlight w:val="none"/>
          <w:u w:val="single"/>
        </w:rPr>
        <w:t xml:space="preserve">                 </w:t>
      </w:r>
      <w:r>
        <w:rPr>
          <w:color w:val="auto"/>
          <w:szCs w:val="21"/>
          <w:highlight w:val="none"/>
        </w:rPr>
        <w:t>；6.银行账户</w:t>
      </w:r>
      <w:r>
        <w:rPr>
          <w:color w:val="auto"/>
          <w:szCs w:val="21"/>
          <w:highlight w:val="none"/>
          <w:u w:val="single"/>
        </w:rPr>
        <w:t xml:space="preserve">                         </w:t>
      </w:r>
      <w:r>
        <w:rPr>
          <w:color w:val="auto"/>
          <w:szCs w:val="21"/>
          <w:highlight w:val="none"/>
        </w:rPr>
        <w:t>。</w:t>
      </w:r>
    </w:p>
    <w:p w14:paraId="2795105E">
      <w:pPr>
        <w:spacing w:before="120" w:beforeLines="50" w:line="360" w:lineRule="auto"/>
        <w:jc w:val="left"/>
        <w:rPr>
          <w:color w:val="auto"/>
          <w:szCs w:val="21"/>
          <w:highlight w:val="none"/>
        </w:rPr>
      </w:pPr>
    </w:p>
    <w:p w14:paraId="23AFDAF2">
      <w:pPr>
        <w:spacing w:before="120" w:beforeLines="50" w:line="360" w:lineRule="auto"/>
        <w:jc w:val="left"/>
        <w:rPr>
          <w:color w:val="auto"/>
          <w:szCs w:val="21"/>
          <w:highlight w:val="none"/>
          <w:u w:val="single"/>
        </w:rPr>
      </w:pPr>
      <w:r>
        <w:rPr>
          <w:rFonts w:hint="eastAsia"/>
          <w:color w:val="auto"/>
          <w:szCs w:val="21"/>
          <w:highlight w:val="none"/>
        </w:rPr>
        <w:t>供应商名称(电子签章)：</w:t>
      </w:r>
      <w:r>
        <w:rPr>
          <w:color w:val="auto"/>
          <w:szCs w:val="21"/>
          <w:highlight w:val="none"/>
          <w:u w:val="single"/>
        </w:rPr>
        <w:t xml:space="preserve">                             </w:t>
      </w:r>
    </w:p>
    <w:p w14:paraId="427A336C">
      <w:pPr>
        <w:spacing w:before="120" w:beforeLines="50" w:line="360" w:lineRule="auto"/>
        <w:jc w:val="left"/>
        <w:rPr>
          <w:color w:val="auto"/>
          <w:szCs w:val="21"/>
          <w:highlight w:val="none"/>
        </w:rPr>
      </w:pPr>
      <w:r>
        <w:rPr>
          <w:color w:val="auto"/>
          <w:szCs w:val="21"/>
          <w:highlight w:val="none"/>
        </w:rPr>
        <w:t>供应商地址：</w:t>
      </w:r>
      <w:r>
        <w:rPr>
          <w:color w:val="auto"/>
          <w:szCs w:val="21"/>
          <w:highlight w:val="none"/>
          <w:u w:val="single"/>
        </w:rPr>
        <w:t xml:space="preserve">                                     </w:t>
      </w:r>
    </w:p>
    <w:p w14:paraId="0005564B">
      <w:pPr>
        <w:spacing w:before="120" w:beforeLines="50" w:line="360" w:lineRule="auto"/>
        <w:jc w:val="left"/>
        <w:rPr>
          <w:color w:val="auto"/>
          <w:szCs w:val="21"/>
          <w:highlight w:val="none"/>
          <w:u w:val="single"/>
        </w:rPr>
      </w:pPr>
      <w:r>
        <w:rPr>
          <w:color w:val="auto"/>
          <w:szCs w:val="21"/>
          <w:highlight w:val="none"/>
        </w:rPr>
        <w:t>法定代表人或授权代表签字或盖章：</w:t>
      </w:r>
      <w:r>
        <w:rPr>
          <w:color w:val="auto"/>
          <w:szCs w:val="21"/>
          <w:highlight w:val="none"/>
          <w:u w:val="single"/>
        </w:rPr>
        <w:t xml:space="preserve">                          </w:t>
      </w:r>
    </w:p>
    <w:p w14:paraId="2CD26A90">
      <w:pPr>
        <w:wordWrap w:val="0"/>
        <w:spacing w:before="120" w:beforeLines="50" w:line="360" w:lineRule="auto"/>
        <w:jc w:val="right"/>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77848B96">
      <w:pPr>
        <w:spacing w:before="120" w:beforeLines="50" w:line="360" w:lineRule="auto"/>
        <w:jc w:val="left"/>
        <w:rPr>
          <w:color w:val="auto"/>
          <w:szCs w:val="21"/>
          <w:highlight w:val="none"/>
        </w:rPr>
      </w:pPr>
      <w:r>
        <w:rPr>
          <w:color w:val="auto"/>
          <w:szCs w:val="21"/>
          <w:highlight w:val="none"/>
        </w:rPr>
        <w:t>说明：</w:t>
      </w:r>
    </w:p>
    <w:p w14:paraId="274DED21">
      <w:pPr>
        <w:spacing w:line="340" w:lineRule="exact"/>
        <w:ind w:firstLine="420" w:firstLineChars="200"/>
        <w:rPr>
          <w:color w:val="auto"/>
          <w:szCs w:val="21"/>
          <w:highlight w:val="none"/>
        </w:rPr>
      </w:pPr>
      <w:r>
        <w:rPr>
          <w:color w:val="auto"/>
          <w:szCs w:val="21"/>
          <w:highlight w:val="none"/>
        </w:rPr>
        <w:t>（1）为保障资金安全，上述账户不能为私人账户。</w:t>
      </w:r>
    </w:p>
    <w:p w14:paraId="4308F181">
      <w:pPr>
        <w:spacing w:line="340" w:lineRule="exact"/>
        <w:ind w:firstLine="420" w:firstLineChars="200"/>
        <w:rPr>
          <w:color w:val="auto"/>
          <w:szCs w:val="21"/>
          <w:highlight w:val="none"/>
        </w:rPr>
      </w:pPr>
      <w:r>
        <w:rPr>
          <w:color w:val="auto"/>
          <w:szCs w:val="21"/>
          <w:highlight w:val="none"/>
        </w:rPr>
        <w:t>（2）如因未按要求缴纳投标保证金，导致投标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261F20A4">
      <w:pPr>
        <w:jc w:val="center"/>
        <w:rPr>
          <w:color w:val="auto"/>
          <w:highlight w:val="none"/>
        </w:rPr>
      </w:pPr>
      <w:r>
        <w:rPr>
          <w:color w:val="auto"/>
          <w:highlight w:val="none"/>
        </w:rPr>
        <w:t>（3）如供应商未及时收到退回款项，请与广西机电设备招标有限公司财务部联系。广西机电设备招标有限公司财务部联系方式：联系人：吴茜；电话：0771-2821398；传真：0771-2843545。</w:t>
      </w:r>
    </w:p>
    <w:p w14:paraId="2E870197">
      <w:pPr>
        <w:rPr>
          <w:color w:val="auto"/>
          <w:highlight w:val="none"/>
        </w:rPr>
      </w:pPr>
      <w:r>
        <w:rPr>
          <w:color w:val="auto"/>
          <w:highlight w:val="none"/>
        </w:rPr>
        <w:br w:type="page"/>
      </w:r>
    </w:p>
    <w:p w14:paraId="2E14B2E6">
      <w:pPr>
        <w:snapToGrid w:val="0"/>
        <w:spacing w:before="120" w:beforeLines="50" w:after="50" w:line="440" w:lineRule="exact"/>
        <w:ind w:firstLine="3840" w:firstLineChars="1600"/>
        <w:outlineLvl w:val="1"/>
        <w:rPr>
          <w:bCs/>
          <w:color w:val="auto"/>
          <w:sz w:val="24"/>
          <w:highlight w:val="none"/>
        </w:rPr>
      </w:pPr>
      <w:r>
        <w:rPr>
          <w:bCs/>
          <w:color w:val="auto"/>
          <w:sz w:val="24"/>
          <w:highlight w:val="none"/>
        </w:rPr>
        <w:t>第二部分 技术文件</w:t>
      </w:r>
    </w:p>
    <w:p w14:paraId="693DF025">
      <w:pPr>
        <w:jc w:val="center"/>
        <w:rPr>
          <w:color w:val="auto"/>
          <w:highlight w:val="none"/>
        </w:rPr>
      </w:pPr>
      <w:r>
        <w:rPr>
          <w:color w:val="auto"/>
          <w:highlight w:val="none"/>
        </w:rPr>
        <w:t>（本</w:t>
      </w:r>
      <w:r>
        <w:rPr>
          <w:rFonts w:hint="eastAsia"/>
          <w:color w:val="auto"/>
          <w:highlight w:val="none"/>
        </w:rPr>
        <w:t>技术</w:t>
      </w:r>
      <w:r>
        <w:rPr>
          <w:color w:val="auto"/>
          <w:highlight w:val="none"/>
        </w:rPr>
        <w:t>文件供应商可自行编写，也可参照下述提纲编写）</w:t>
      </w:r>
    </w:p>
    <w:p w14:paraId="51F86262">
      <w:pPr>
        <w:snapToGrid w:val="0"/>
        <w:spacing w:before="50" w:after="120" w:afterLines="50"/>
        <w:jc w:val="left"/>
        <w:rPr>
          <w:color w:val="auto"/>
          <w:szCs w:val="21"/>
          <w:highlight w:val="none"/>
        </w:rPr>
      </w:pPr>
    </w:p>
    <w:p w14:paraId="3DFCB0E2">
      <w:pPr>
        <w:rPr>
          <w:color w:val="auto"/>
          <w:szCs w:val="21"/>
          <w:highlight w:val="none"/>
        </w:rPr>
      </w:pPr>
      <w:r>
        <w:rPr>
          <w:rFonts w:hint="eastAsia"/>
          <w:color w:val="auto"/>
          <w:szCs w:val="21"/>
          <w:highlight w:val="none"/>
        </w:rPr>
        <w:t>1</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color w:val="auto"/>
          <w:szCs w:val="21"/>
          <w:highlight w:val="none"/>
        </w:rPr>
        <w:t>采购需求</w:t>
      </w:r>
      <w:r>
        <w:rPr>
          <w:rFonts w:hint="eastAsia"/>
          <w:color w:val="auto"/>
          <w:szCs w:val="21"/>
          <w:highlight w:val="none"/>
        </w:rPr>
        <w:t>》技术</w:t>
      </w:r>
      <w:r>
        <w:rPr>
          <w:color w:val="auto"/>
          <w:szCs w:val="21"/>
          <w:highlight w:val="none"/>
        </w:rPr>
        <w:t>要求的</w:t>
      </w:r>
      <w:r>
        <w:rPr>
          <w:rFonts w:hint="eastAsia"/>
          <w:color w:val="auto"/>
          <w:szCs w:val="21"/>
          <w:highlight w:val="none"/>
        </w:rPr>
        <w:t>响应表</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613F26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7267A55E">
            <w:pPr>
              <w:snapToGrid w:val="0"/>
              <w:spacing w:before="120" w:beforeLines="50"/>
              <w:jc w:val="center"/>
              <w:rPr>
                <w:color w:val="auto"/>
                <w:szCs w:val="21"/>
                <w:highlight w:val="none"/>
              </w:rPr>
            </w:pPr>
            <w:r>
              <w:rPr>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vAlign w:val="center"/>
          </w:tcPr>
          <w:p w14:paraId="7E792A68">
            <w:pPr>
              <w:snapToGrid w:val="0"/>
              <w:spacing w:before="120" w:beforeLines="50"/>
              <w:jc w:val="center"/>
              <w:rPr>
                <w:color w:val="auto"/>
                <w:szCs w:val="21"/>
                <w:highlight w:val="none"/>
              </w:rPr>
            </w:pPr>
            <w:r>
              <w:rPr>
                <w:color w:val="auto"/>
                <w:szCs w:val="21"/>
                <w:highlight w:val="none"/>
              </w:rPr>
              <w:t>招标文件要求（注明章节及条款号）</w:t>
            </w:r>
          </w:p>
        </w:tc>
        <w:tc>
          <w:tcPr>
            <w:tcW w:w="3405" w:type="dxa"/>
            <w:tcBorders>
              <w:top w:val="single" w:color="auto" w:sz="4" w:space="0"/>
              <w:left w:val="single" w:color="auto" w:sz="4" w:space="0"/>
              <w:bottom w:val="single" w:color="auto" w:sz="4" w:space="0"/>
              <w:right w:val="single" w:color="auto" w:sz="4" w:space="0"/>
            </w:tcBorders>
            <w:vAlign w:val="center"/>
          </w:tcPr>
          <w:p w14:paraId="306ACD40">
            <w:pPr>
              <w:snapToGrid w:val="0"/>
              <w:spacing w:before="120" w:beforeLines="50"/>
              <w:jc w:val="center"/>
              <w:rPr>
                <w:color w:val="auto"/>
                <w:szCs w:val="21"/>
                <w:highlight w:val="none"/>
              </w:rPr>
            </w:pPr>
            <w:r>
              <w:rPr>
                <w:color w:val="auto"/>
                <w:szCs w:val="21"/>
                <w:highlight w:val="none"/>
              </w:rPr>
              <w:t>投标文件响应内容</w:t>
            </w:r>
          </w:p>
        </w:tc>
        <w:tc>
          <w:tcPr>
            <w:tcW w:w="1082" w:type="dxa"/>
            <w:tcBorders>
              <w:top w:val="single" w:color="auto" w:sz="4" w:space="0"/>
              <w:left w:val="single" w:color="auto" w:sz="4" w:space="0"/>
              <w:bottom w:val="single" w:color="auto" w:sz="4" w:space="0"/>
              <w:right w:val="single" w:color="auto" w:sz="4" w:space="0"/>
            </w:tcBorders>
            <w:vAlign w:val="center"/>
          </w:tcPr>
          <w:p w14:paraId="5BB80340">
            <w:pPr>
              <w:snapToGrid w:val="0"/>
              <w:spacing w:before="120" w:beforeLines="50"/>
              <w:jc w:val="center"/>
              <w:rPr>
                <w:color w:val="auto"/>
                <w:szCs w:val="21"/>
                <w:highlight w:val="none"/>
              </w:rPr>
            </w:pPr>
            <w:r>
              <w:rPr>
                <w:color w:val="auto"/>
                <w:highlight w:val="none"/>
              </w:rPr>
              <w:t>偏离</w:t>
            </w:r>
            <w:r>
              <w:rPr>
                <w:color w:val="auto"/>
                <w:szCs w:val="21"/>
                <w:highlight w:val="none"/>
              </w:rPr>
              <w:t>说明</w:t>
            </w:r>
          </w:p>
        </w:tc>
      </w:tr>
      <w:tr w14:paraId="36C648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4599C45B">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vAlign w:val="center"/>
          </w:tcPr>
          <w:p w14:paraId="5FCCD458">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6D8DFB8A">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60487E45">
            <w:pPr>
              <w:snapToGrid w:val="0"/>
              <w:spacing w:before="120" w:beforeLines="50"/>
              <w:jc w:val="center"/>
              <w:rPr>
                <w:color w:val="auto"/>
                <w:szCs w:val="21"/>
                <w:highlight w:val="none"/>
              </w:rPr>
            </w:pPr>
          </w:p>
        </w:tc>
      </w:tr>
      <w:tr w14:paraId="5BB71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3CF05941">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vAlign w:val="center"/>
          </w:tcPr>
          <w:p w14:paraId="01DC707A">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141FBADB">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1B6D872A">
            <w:pPr>
              <w:snapToGrid w:val="0"/>
              <w:spacing w:before="120" w:beforeLines="50"/>
              <w:jc w:val="center"/>
              <w:rPr>
                <w:color w:val="auto"/>
                <w:szCs w:val="21"/>
                <w:highlight w:val="none"/>
              </w:rPr>
            </w:pPr>
          </w:p>
        </w:tc>
      </w:tr>
      <w:tr w14:paraId="6A89B5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1E5D4281">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vAlign w:val="center"/>
          </w:tcPr>
          <w:p w14:paraId="456CDAA8">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2A9FF82C">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547EBC79">
            <w:pPr>
              <w:snapToGrid w:val="0"/>
              <w:spacing w:before="120" w:beforeLines="50"/>
              <w:jc w:val="center"/>
              <w:rPr>
                <w:color w:val="auto"/>
                <w:szCs w:val="21"/>
                <w:highlight w:val="none"/>
              </w:rPr>
            </w:pPr>
          </w:p>
        </w:tc>
      </w:tr>
      <w:tr w14:paraId="78CA70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70B456BA">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vAlign w:val="center"/>
          </w:tcPr>
          <w:p w14:paraId="2F50A1CE">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50D467BF">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206B70C7">
            <w:pPr>
              <w:snapToGrid w:val="0"/>
              <w:spacing w:before="120" w:beforeLines="50"/>
              <w:jc w:val="center"/>
              <w:rPr>
                <w:color w:val="auto"/>
                <w:szCs w:val="21"/>
                <w:highlight w:val="none"/>
              </w:rPr>
            </w:pPr>
          </w:p>
        </w:tc>
      </w:tr>
    </w:tbl>
    <w:p w14:paraId="0970D3E0">
      <w:pPr>
        <w:rPr>
          <w:color w:val="auto"/>
          <w:szCs w:val="21"/>
          <w:highlight w:val="none"/>
        </w:rPr>
      </w:pPr>
    </w:p>
    <w:p w14:paraId="46406579">
      <w:pPr>
        <w:pStyle w:val="26"/>
        <w:tabs>
          <w:tab w:val="left" w:pos="2127"/>
        </w:tabs>
        <w:spacing w:line="340" w:lineRule="exact"/>
        <w:jc w:val="left"/>
        <w:rPr>
          <w:rFonts w:ascii="Times New Roman" w:hAnsi="Times New Roman" w:cs="Times New Roman"/>
          <w:color w:val="auto"/>
          <w:highlight w:val="none"/>
        </w:rPr>
      </w:pPr>
      <w:bookmarkStart w:id="91" w:name="_Hlk88990482"/>
      <w:r>
        <w:rPr>
          <w:color w:val="auto"/>
          <w:highlight w:val="none"/>
        </w:rPr>
        <w:t>注：（1）</w:t>
      </w:r>
      <w:r>
        <w:rPr>
          <w:rFonts w:ascii="Times New Roman" w:hAnsi="Times New Roman" w:cs="Times New Roman"/>
          <w:color w:val="auto"/>
          <w:highlight w:val="none"/>
        </w:rPr>
        <w:t>本表应对招标文件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w:t>
      </w:r>
      <w:r>
        <w:rPr>
          <w:rFonts w:hint="eastAsia" w:ascii="Times New Roman" w:hAnsi="Times New Roman" w:cs="Times New Roman"/>
          <w:color w:val="auto"/>
          <w:highlight w:val="none"/>
        </w:rPr>
        <w:t>技术</w:t>
      </w:r>
      <w:r>
        <w:rPr>
          <w:rFonts w:ascii="Times New Roman" w:hAnsi="Times New Roman" w:cs="Times New Roman"/>
          <w:color w:val="auto"/>
          <w:highlight w:val="none"/>
        </w:rPr>
        <w:t>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3336DBC9">
      <w:pPr>
        <w:rPr>
          <w:color w:val="auto"/>
          <w:highlight w:val="none"/>
        </w:rPr>
      </w:pPr>
      <w:r>
        <w:rPr>
          <w:rFonts w:hint="eastAsia"/>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《采购需求》中的总体要求无需响应。</w:t>
      </w:r>
    </w:p>
    <w:p w14:paraId="72A89466">
      <w:pPr>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p w14:paraId="68F8E19C">
      <w:pPr>
        <w:rPr>
          <w:color w:val="auto"/>
          <w:highlight w:val="none"/>
        </w:rPr>
      </w:pPr>
      <w:r>
        <w:rPr>
          <w:color w:val="auto"/>
          <w:highlight w:val="none"/>
        </w:rPr>
        <w:t>（4）本表可扩展。</w:t>
      </w:r>
    </w:p>
    <w:bookmarkEnd w:id="91"/>
    <w:p w14:paraId="124FE881">
      <w:pPr>
        <w:rPr>
          <w:color w:val="auto"/>
          <w:szCs w:val="21"/>
          <w:highlight w:val="none"/>
        </w:rPr>
      </w:pPr>
    </w:p>
    <w:p w14:paraId="6A8E73A0">
      <w:pPr>
        <w:rPr>
          <w:color w:val="auto"/>
          <w:spacing w:val="20"/>
          <w:szCs w:val="21"/>
          <w:highlight w:val="none"/>
          <w:u w:val="single"/>
        </w:rPr>
      </w:pPr>
      <w:bookmarkStart w:id="92" w:name="_Hlk88990507"/>
    </w:p>
    <w:p w14:paraId="1B547C63">
      <w:pP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bookmarkEnd w:id="92"/>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7AF7CDF6">
      <w:pPr>
        <w:snapToGrid w:val="0"/>
        <w:spacing w:before="50" w:after="120" w:afterLines="50"/>
        <w:jc w:val="left"/>
        <w:rPr>
          <w:color w:val="auto"/>
          <w:szCs w:val="21"/>
          <w:highlight w:val="none"/>
        </w:rPr>
      </w:pPr>
    </w:p>
    <w:p w14:paraId="26598BED">
      <w:pPr>
        <w:snapToGrid w:val="0"/>
        <w:spacing w:before="50" w:after="120" w:afterLines="50"/>
        <w:jc w:val="left"/>
        <w:rPr>
          <w:color w:val="auto"/>
          <w:szCs w:val="21"/>
          <w:highlight w:val="none"/>
        </w:rPr>
      </w:pPr>
    </w:p>
    <w:p w14:paraId="0D144C6B">
      <w:pPr>
        <w:snapToGrid w:val="0"/>
        <w:spacing w:before="50" w:after="120" w:afterLines="50"/>
        <w:jc w:val="left"/>
        <w:rPr>
          <w:color w:val="auto"/>
          <w:szCs w:val="21"/>
          <w:highlight w:val="none"/>
        </w:rPr>
      </w:pPr>
    </w:p>
    <w:p w14:paraId="4E208CB6">
      <w:pPr>
        <w:snapToGrid w:val="0"/>
        <w:spacing w:before="50" w:after="120" w:afterLines="50"/>
        <w:jc w:val="left"/>
        <w:rPr>
          <w:color w:val="auto"/>
          <w:szCs w:val="21"/>
          <w:highlight w:val="none"/>
        </w:rPr>
      </w:pPr>
    </w:p>
    <w:p w14:paraId="5E503DF7">
      <w:pPr>
        <w:rPr>
          <w:color w:val="auto"/>
          <w:szCs w:val="21"/>
          <w:highlight w:val="none"/>
        </w:rPr>
      </w:pPr>
      <w:r>
        <w:rPr>
          <w:rFonts w:hint="eastAsia"/>
          <w:color w:val="auto"/>
          <w:szCs w:val="21"/>
          <w:highlight w:val="none"/>
        </w:rPr>
        <w:br w:type="page"/>
      </w:r>
    </w:p>
    <w:p w14:paraId="1A8C2931">
      <w:pPr>
        <w:snapToGrid w:val="0"/>
        <w:spacing w:before="50" w:after="120" w:afterLines="50"/>
        <w:jc w:val="left"/>
        <w:rPr>
          <w:color w:val="auto"/>
          <w:szCs w:val="21"/>
          <w:highlight w:val="none"/>
        </w:rPr>
      </w:pPr>
      <w:r>
        <w:rPr>
          <w:rFonts w:hint="eastAsia"/>
          <w:color w:val="auto"/>
          <w:szCs w:val="21"/>
          <w:highlight w:val="none"/>
        </w:rPr>
        <w:t>2.</w:t>
      </w:r>
      <w:r>
        <w:rPr>
          <w:color w:val="auto"/>
          <w:szCs w:val="21"/>
          <w:highlight w:val="none"/>
        </w:rPr>
        <w:t>项目拟投入服务团队人员结构表（包括但不限于学历、证书情况、职称、年龄等）</w:t>
      </w:r>
    </w:p>
    <w:p w14:paraId="6A31A03A">
      <w:pPr>
        <w:snapToGrid w:val="0"/>
        <w:spacing w:before="120" w:beforeLines="50" w:after="50" w:line="400" w:lineRule="exact"/>
        <w:jc w:val="center"/>
        <w:rPr>
          <w:color w:val="auto"/>
          <w:szCs w:val="21"/>
          <w:highlight w:val="none"/>
        </w:rPr>
      </w:pPr>
      <w:r>
        <w:rPr>
          <w:color w:val="auto"/>
          <w:szCs w:val="21"/>
          <w:highlight w:val="none"/>
        </w:rPr>
        <w:t>项目拟投入服务团队人员（含项目负责人）一览表</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713656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14:paraId="56AB972A">
            <w:pPr>
              <w:snapToGrid w:val="0"/>
              <w:spacing w:before="120" w:beforeLines="50" w:after="50"/>
              <w:jc w:val="center"/>
              <w:rPr>
                <w:color w:val="auto"/>
                <w:szCs w:val="21"/>
                <w:highlight w:val="none"/>
              </w:rPr>
            </w:pPr>
            <w:r>
              <w:rPr>
                <w:color w:val="auto"/>
                <w:szCs w:val="21"/>
                <w:highlight w:val="none"/>
              </w:rPr>
              <w:t>姓名</w:t>
            </w:r>
          </w:p>
        </w:tc>
        <w:tc>
          <w:tcPr>
            <w:tcW w:w="1260" w:type="dxa"/>
            <w:tcBorders>
              <w:top w:val="single" w:color="auto" w:sz="4" w:space="0"/>
              <w:left w:val="single" w:color="auto" w:sz="4" w:space="0"/>
              <w:bottom w:val="single" w:color="auto" w:sz="4" w:space="0"/>
              <w:right w:val="single" w:color="auto" w:sz="4" w:space="0"/>
            </w:tcBorders>
            <w:vAlign w:val="center"/>
          </w:tcPr>
          <w:p w14:paraId="4E7D9CE1">
            <w:pPr>
              <w:snapToGrid w:val="0"/>
              <w:spacing w:before="120" w:beforeLines="50" w:after="50"/>
              <w:jc w:val="center"/>
              <w:rPr>
                <w:color w:val="auto"/>
                <w:szCs w:val="21"/>
                <w:highlight w:val="none"/>
              </w:rPr>
            </w:pPr>
            <w:r>
              <w:rPr>
                <w:color w:val="auto"/>
                <w:szCs w:val="21"/>
                <w:highlight w:val="none"/>
              </w:rPr>
              <w:t>职务</w:t>
            </w:r>
          </w:p>
        </w:tc>
        <w:tc>
          <w:tcPr>
            <w:tcW w:w="1440" w:type="dxa"/>
            <w:tcBorders>
              <w:top w:val="single" w:color="auto" w:sz="4" w:space="0"/>
              <w:left w:val="single" w:color="auto" w:sz="4" w:space="0"/>
              <w:bottom w:val="single" w:color="auto" w:sz="4" w:space="0"/>
              <w:right w:val="single" w:color="auto" w:sz="4" w:space="0"/>
            </w:tcBorders>
            <w:vAlign w:val="center"/>
          </w:tcPr>
          <w:p w14:paraId="65EFBF45">
            <w:pPr>
              <w:snapToGrid w:val="0"/>
              <w:spacing w:before="120" w:beforeLines="50" w:after="50"/>
              <w:jc w:val="center"/>
              <w:rPr>
                <w:color w:val="auto"/>
                <w:szCs w:val="21"/>
                <w:highlight w:val="none"/>
              </w:rPr>
            </w:pPr>
            <w:r>
              <w:rPr>
                <w:color w:val="auto"/>
                <w:szCs w:val="21"/>
                <w:highlight w:val="none"/>
              </w:rPr>
              <w:t>分配岗位</w:t>
            </w:r>
          </w:p>
        </w:tc>
        <w:tc>
          <w:tcPr>
            <w:tcW w:w="1516" w:type="dxa"/>
            <w:tcBorders>
              <w:top w:val="single" w:color="auto" w:sz="4" w:space="0"/>
              <w:left w:val="single" w:color="auto" w:sz="4" w:space="0"/>
              <w:bottom w:val="single" w:color="auto" w:sz="4" w:space="0"/>
              <w:right w:val="single" w:color="auto" w:sz="4" w:space="0"/>
            </w:tcBorders>
            <w:vAlign w:val="center"/>
          </w:tcPr>
          <w:p w14:paraId="12753A1F">
            <w:pPr>
              <w:snapToGrid w:val="0"/>
              <w:spacing w:before="120" w:beforeLines="50" w:after="50"/>
              <w:jc w:val="center"/>
              <w:rPr>
                <w:color w:val="auto"/>
                <w:szCs w:val="21"/>
                <w:highlight w:val="none"/>
              </w:rPr>
            </w:pPr>
            <w:r>
              <w:rPr>
                <w:color w:val="auto"/>
                <w:szCs w:val="21"/>
                <w:highlight w:val="none"/>
              </w:rPr>
              <w:t>持证情况</w:t>
            </w:r>
          </w:p>
        </w:tc>
        <w:tc>
          <w:tcPr>
            <w:tcW w:w="1620" w:type="dxa"/>
            <w:tcBorders>
              <w:top w:val="single" w:color="auto" w:sz="4" w:space="0"/>
              <w:left w:val="single" w:color="auto" w:sz="4" w:space="0"/>
              <w:bottom w:val="single" w:color="auto" w:sz="4" w:space="0"/>
              <w:right w:val="single" w:color="auto" w:sz="4" w:space="0"/>
            </w:tcBorders>
            <w:vAlign w:val="center"/>
          </w:tcPr>
          <w:p w14:paraId="13CFFCEA">
            <w:pPr>
              <w:snapToGrid w:val="0"/>
              <w:spacing w:before="120" w:beforeLines="50" w:after="50"/>
              <w:jc w:val="center"/>
              <w:rPr>
                <w:color w:val="auto"/>
                <w:szCs w:val="21"/>
                <w:highlight w:val="none"/>
              </w:rPr>
            </w:pPr>
            <w:r>
              <w:rPr>
                <w:color w:val="auto"/>
                <w:szCs w:val="21"/>
                <w:highlight w:val="none"/>
              </w:rPr>
              <w:t>年龄</w:t>
            </w:r>
          </w:p>
        </w:tc>
        <w:tc>
          <w:tcPr>
            <w:tcW w:w="1980" w:type="dxa"/>
            <w:tcBorders>
              <w:top w:val="single" w:color="auto" w:sz="4" w:space="0"/>
              <w:left w:val="single" w:color="auto" w:sz="4" w:space="0"/>
              <w:bottom w:val="single" w:color="auto" w:sz="4" w:space="0"/>
              <w:right w:val="single" w:color="auto" w:sz="4" w:space="0"/>
            </w:tcBorders>
            <w:vAlign w:val="center"/>
          </w:tcPr>
          <w:p w14:paraId="04A8FD8A">
            <w:pPr>
              <w:snapToGrid w:val="0"/>
              <w:spacing w:before="120" w:beforeLines="50" w:after="50"/>
              <w:jc w:val="center"/>
              <w:rPr>
                <w:bCs/>
                <w:color w:val="auto"/>
                <w:szCs w:val="21"/>
                <w:highlight w:val="none"/>
              </w:rPr>
            </w:pPr>
            <w:r>
              <w:rPr>
                <w:bCs/>
                <w:color w:val="auto"/>
                <w:szCs w:val="21"/>
                <w:highlight w:val="none"/>
              </w:rPr>
              <w:t>劳动合同编号</w:t>
            </w:r>
          </w:p>
        </w:tc>
      </w:tr>
      <w:tr w14:paraId="6EDD9E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4BDD6877">
            <w:pPr>
              <w:snapToGrid w:val="0"/>
              <w:spacing w:before="120" w:beforeLines="5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6E482993">
            <w:pPr>
              <w:snapToGrid w:val="0"/>
              <w:spacing w:before="120" w:beforeLines="5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14:paraId="105B1EA0">
            <w:pPr>
              <w:snapToGrid w:val="0"/>
              <w:spacing w:before="120" w:beforeLines="50" w:after="50"/>
              <w:rPr>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tcPr>
          <w:p w14:paraId="47C13490">
            <w:pPr>
              <w:snapToGrid w:val="0"/>
              <w:spacing w:before="120" w:beforeLines="5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341F92CF">
            <w:pPr>
              <w:snapToGrid w:val="0"/>
              <w:spacing w:before="120" w:beforeLines="5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0EF9A7A0">
            <w:pPr>
              <w:snapToGrid w:val="0"/>
              <w:spacing w:before="120" w:beforeLines="50" w:after="50"/>
              <w:rPr>
                <w:color w:val="auto"/>
                <w:szCs w:val="21"/>
                <w:highlight w:val="none"/>
              </w:rPr>
            </w:pPr>
          </w:p>
        </w:tc>
      </w:tr>
      <w:tr w14:paraId="045A9E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7A33EB97">
            <w:pPr>
              <w:snapToGrid w:val="0"/>
              <w:spacing w:before="120" w:beforeLines="5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4B59A84D">
            <w:pPr>
              <w:snapToGrid w:val="0"/>
              <w:spacing w:before="120" w:beforeLines="5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14:paraId="214F94B2">
            <w:pPr>
              <w:snapToGrid w:val="0"/>
              <w:spacing w:before="120" w:beforeLines="50" w:after="50"/>
              <w:rPr>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tcPr>
          <w:p w14:paraId="7B8B6A9E">
            <w:pPr>
              <w:snapToGrid w:val="0"/>
              <w:spacing w:before="120" w:beforeLines="5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2285EF60">
            <w:pPr>
              <w:snapToGrid w:val="0"/>
              <w:spacing w:before="120" w:beforeLines="5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46EB4289">
            <w:pPr>
              <w:snapToGrid w:val="0"/>
              <w:spacing w:before="120" w:beforeLines="50" w:after="50"/>
              <w:rPr>
                <w:color w:val="auto"/>
                <w:szCs w:val="21"/>
                <w:highlight w:val="none"/>
              </w:rPr>
            </w:pPr>
          </w:p>
        </w:tc>
      </w:tr>
      <w:tr w14:paraId="73CCA6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387B9D5D">
            <w:pPr>
              <w:snapToGrid w:val="0"/>
              <w:spacing w:before="120" w:beforeLines="5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78970142">
            <w:pPr>
              <w:snapToGrid w:val="0"/>
              <w:spacing w:before="120" w:beforeLines="5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14:paraId="105A3645">
            <w:pPr>
              <w:pStyle w:val="28"/>
              <w:snapToGrid w:val="0"/>
              <w:spacing w:before="120" w:beforeLines="50" w:after="50"/>
              <w:ind w:left="5250"/>
              <w:rPr>
                <w:rFonts w:ascii="Times New Roman" w:hAnsi="Times New Roman"/>
                <w:color w:val="auto"/>
                <w:highlight w:val="none"/>
              </w:rPr>
            </w:pPr>
          </w:p>
        </w:tc>
        <w:tc>
          <w:tcPr>
            <w:tcW w:w="1516" w:type="dxa"/>
            <w:tcBorders>
              <w:top w:val="single" w:color="auto" w:sz="4" w:space="0"/>
              <w:left w:val="single" w:color="auto" w:sz="4" w:space="0"/>
              <w:bottom w:val="single" w:color="auto" w:sz="4" w:space="0"/>
              <w:right w:val="single" w:color="auto" w:sz="4" w:space="0"/>
            </w:tcBorders>
          </w:tcPr>
          <w:p w14:paraId="0C0D004E">
            <w:pPr>
              <w:snapToGrid w:val="0"/>
              <w:spacing w:before="120" w:beforeLines="5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7A52A98B">
            <w:pPr>
              <w:snapToGrid w:val="0"/>
              <w:spacing w:before="120" w:beforeLines="5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1F6D9116">
            <w:pPr>
              <w:snapToGrid w:val="0"/>
              <w:spacing w:before="120" w:beforeLines="50" w:after="50"/>
              <w:rPr>
                <w:color w:val="auto"/>
                <w:szCs w:val="21"/>
                <w:highlight w:val="none"/>
              </w:rPr>
            </w:pPr>
          </w:p>
        </w:tc>
      </w:tr>
    </w:tbl>
    <w:p w14:paraId="557E108E">
      <w:pPr>
        <w:snapToGrid w:val="0"/>
        <w:spacing w:before="50" w:after="120" w:afterLines="50" w:line="440" w:lineRule="exact"/>
        <w:jc w:val="left"/>
        <w:rPr>
          <w:color w:val="auto"/>
          <w:szCs w:val="21"/>
          <w:highlight w:val="none"/>
        </w:rPr>
      </w:pPr>
      <w:r>
        <w:rPr>
          <w:color w:val="auto"/>
          <w:szCs w:val="21"/>
          <w:highlight w:val="none"/>
        </w:rPr>
        <w:t>注：在填写时，如本表格不适合投标单位的实际情况，可根据本表格式自行划表填写。</w:t>
      </w:r>
    </w:p>
    <w:p w14:paraId="470E7277">
      <w:pPr>
        <w:rPr>
          <w:color w:val="auto"/>
          <w:spacing w:val="20"/>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422B5689">
      <w:pPr>
        <w:rPr>
          <w:color w:val="auto"/>
          <w:spacing w:val="20"/>
          <w:szCs w:val="21"/>
          <w:highlight w:val="none"/>
          <w:u w:val="single"/>
        </w:rPr>
      </w:pPr>
    </w:p>
    <w:p w14:paraId="4FEDE7AD">
      <w:pPr>
        <w:snapToGrid w:val="0"/>
        <w:spacing w:before="50" w:after="120" w:afterLines="50"/>
        <w:jc w:val="left"/>
        <w:rPr>
          <w:color w:val="auto"/>
          <w:szCs w:val="21"/>
          <w:highlight w:val="none"/>
        </w:rPr>
      </w:pPr>
    </w:p>
    <w:p w14:paraId="0530A317">
      <w:pPr>
        <w:snapToGrid w:val="0"/>
        <w:spacing w:before="120" w:beforeLines="50" w:after="50" w:line="440" w:lineRule="exact"/>
        <w:jc w:val="left"/>
        <w:outlineLvl w:val="1"/>
        <w:rPr>
          <w:bCs/>
          <w:color w:val="auto"/>
          <w:sz w:val="24"/>
          <w:highlight w:val="none"/>
        </w:rPr>
      </w:pPr>
      <w:r>
        <w:rPr>
          <w:color w:val="auto"/>
          <w:szCs w:val="21"/>
          <w:highlight w:val="none"/>
        </w:rPr>
        <w:br w:type="page"/>
      </w:r>
      <w:r>
        <w:rPr>
          <w:bCs/>
          <w:color w:val="auto"/>
          <w:sz w:val="24"/>
          <w:highlight w:val="none"/>
        </w:rPr>
        <w:t>3．投标文件封面参考格式</w:t>
      </w:r>
      <w:r>
        <w:rPr>
          <w:rFonts w:hint="eastAsia"/>
          <w:bCs/>
          <w:color w:val="auto"/>
          <w:sz w:val="24"/>
          <w:highlight w:val="none"/>
        </w:rPr>
        <w:t>（报价文件）</w:t>
      </w:r>
      <w:r>
        <w:rPr>
          <w:bCs/>
          <w:color w:val="auto"/>
          <w:sz w:val="24"/>
          <w:highlight w:val="none"/>
        </w:rPr>
        <w:t xml:space="preserve">： </w:t>
      </w:r>
    </w:p>
    <w:p w14:paraId="40C53121">
      <w:pPr>
        <w:snapToGrid w:val="0"/>
        <w:spacing w:before="50" w:after="120" w:afterLines="50" w:line="400" w:lineRule="exact"/>
        <w:jc w:val="left"/>
        <w:rPr>
          <w:bCs/>
          <w:color w:val="auto"/>
          <w:sz w:val="24"/>
          <w:highlight w:val="none"/>
        </w:rPr>
      </w:pPr>
    </w:p>
    <w:p w14:paraId="4BBB57AF">
      <w:pPr>
        <w:snapToGrid w:val="0"/>
        <w:spacing w:before="120" w:beforeLines="50" w:after="50" w:line="360" w:lineRule="exact"/>
        <w:rPr>
          <w:color w:val="auto"/>
          <w:sz w:val="24"/>
          <w:highlight w:val="none"/>
        </w:rPr>
      </w:pPr>
    </w:p>
    <w:p w14:paraId="137A9FFC">
      <w:pPr>
        <w:snapToGrid w:val="0"/>
        <w:spacing w:before="120" w:beforeLines="50" w:after="50" w:line="360" w:lineRule="exact"/>
        <w:jc w:val="center"/>
        <w:rPr>
          <w:bCs/>
          <w:color w:val="auto"/>
          <w:sz w:val="24"/>
          <w:highlight w:val="none"/>
        </w:rPr>
      </w:pPr>
    </w:p>
    <w:p w14:paraId="4469B482">
      <w:pPr>
        <w:snapToGrid w:val="0"/>
        <w:spacing w:before="120" w:beforeLines="50" w:after="50" w:line="360" w:lineRule="exact"/>
        <w:jc w:val="center"/>
        <w:rPr>
          <w:b/>
          <w:bCs/>
          <w:color w:val="auto"/>
          <w:sz w:val="44"/>
          <w:szCs w:val="44"/>
          <w:highlight w:val="none"/>
        </w:rPr>
      </w:pPr>
      <w:r>
        <w:rPr>
          <w:rFonts w:hint="eastAsia"/>
          <w:b/>
          <w:bCs/>
          <w:color w:val="auto"/>
          <w:sz w:val="44"/>
          <w:szCs w:val="44"/>
          <w:highlight w:val="none"/>
        </w:rPr>
        <w:t>电子</w:t>
      </w:r>
      <w:r>
        <w:rPr>
          <w:b/>
          <w:bCs/>
          <w:color w:val="auto"/>
          <w:sz w:val="44"/>
          <w:szCs w:val="44"/>
          <w:highlight w:val="none"/>
        </w:rPr>
        <w:t>投标文件</w:t>
      </w:r>
    </w:p>
    <w:p w14:paraId="450A6698">
      <w:pPr>
        <w:snapToGrid w:val="0"/>
        <w:spacing w:before="120" w:beforeLines="50" w:after="50" w:line="360" w:lineRule="exact"/>
        <w:jc w:val="center"/>
        <w:rPr>
          <w:b/>
          <w:bCs/>
          <w:color w:val="auto"/>
          <w:sz w:val="44"/>
          <w:szCs w:val="44"/>
          <w:highlight w:val="none"/>
        </w:rPr>
      </w:pPr>
    </w:p>
    <w:p w14:paraId="56BFD8BD">
      <w:pPr>
        <w:snapToGrid w:val="0"/>
        <w:spacing w:before="120" w:beforeLines="50" w:after="50" w:line="360" w:lineRule="exact"/>
        <w:jc w:val="center"/>
        <w:rPr>
          <w:b/>
          <w:bCs/>
          <w:color w:val="auto"/>
          <w:sz w:val="44"/>
          <w:szCs w:val="44"/>
          <w:highlight w:val="none"/>
        </w:rPr>
      </w:pPr>
    </w:p>
    <w:p w14:paraId="0AA85BAC">
      <w:pPr>
        <w:snapToGrid w:val="0"/>
        <w:spacing w:before="120" w:beforeLines="50" w:after="50" w:line="360" w:lineRule="exact"/>
        <w:jc w:val="center"/>
        <w:rPr>
          <w:b/>
          <w:bCs/>
          <w:color w:val="auto"/>
          <w:sz w:val="44"/>
          <w:szCs w:val="44"/>
          <w:highlight w:val="none"/>
        </w:rPr>
      </w:pPr>
      <w:r>
        <w:rPr>
          <w:rFonts w:hint="eastAsia"/>
          <w:b/>
          <w:bCs/>
          <w:color w:val="auto"/>
          <w:sz w:val="44"/>
          <w:szCs w:val="44"/>
          <w:highlight w:val="none"/>
        </w:rPr>
        <w:t>报价</w:t>
      </w:r>
      <w:r>
        <w:rPr>
          <w:b/>
          <w:bCs/>
          <w:color w:val="auto"/>
          <w:sz w:val="44"/>
          <w:szCs w:val="44"/>
          <w:highlight w:val="none"/>
        </w:rPr>
        <w:t>文件</w:t>
      </w:r>
    </w:p>
    <w:p w14:paraId="3000189C">
      <w:pPr>
        <w:snapToGrid w:val="0"/>
        <w:spacing w:before="120" w:beforeLines="50" w:after="50" w:line="360" w:lineRule="exact"/>
        <w:rPr>
          <w:bCs/>
          <w:color w:val="auto"/>
          <w:sz w:val="24"/>
          <w:highlight w:val="none"/>
        </w:rPr>
      </w:pPr>
    </w:p>
    <w:p w14:paraId="46A82549">
      <w:pPr>
        <w:snapToGrid w:val="0"/>
        <w:spacing w:before="120" w:beforeLines="50" w:after="50" w:line="360" w:lineRule="exact"/>
        <w:rPr>
          <w:bCs/>
          <w:color w:val="auto"/>
          <w:sz w:val="24"/>
          <w:highlight w:val="none"/>
        </w:rPr>
      </w:pPr>
    </w:p>
    <w:p w14:paraId="5C285B53">
      <w:pPr>
        <w:snapToGrid w:val="0"/>
        <w:spacing w:before="120" w:beforeLines="50" w:after="50" w:line="360" w:lineRule="exact"/>
        <w:rPr>
          <w:bCs/>
          <w:color w:val="auto"/>
          <w:sz w:val="24"/>
          <w:highlight w:val="none"/>
        </w:rPr>
      </w:pPr>
    </w:p>
    <w:p w14:paraId="078AC271">
      <w:pPr>
        <w:snapToGrid w:val="0"/>
        <w:spacing w:before="120" w:beforeLines="50" w:after="50" w:line="360" w:lineRule="exact"/>
        <w:ind w:firstLine="720" w:firstLineChars="300"/>
        <w:rPr>
          <w:bCs/>
          <w:color w:val="auto"/>
          <w:sz w:val="24"/>
          <w:highlight w:val="none"/>
        </w:rPr>
      </w:pPr>
      <w:r>
        <w:rPr>
          <w:bCs/>
          <w:color w:val="auto"/>
          <w:sz w:val="24"/>
          <w:highlight w:val="none"/>
        </w:rPr>
        <w:t xml:space="preserve">项目名称： </w:t>
      </w:r>
    </w:p>
    <w:p w14:paraId="2B550542">
      <w:pPr>
        <w:snapToGrid w:val="0"/>
        <w:spacing w:before="120" w:beforeLines="50" w:after="50" w:line="360" w:lineRule="exact"/>
        <w:ind w:firstLine="720" w:firstLineChars="300"/>
        <w:rPr>
          <w:bCs/>
          <w:color w:val="auto"/>
          <w:sz w:val="24"/>
          <w:highlight w:val="none"/>
        </w:rPr>
      </w:pPr>
      <w:r>
        <w:rPr>
          <w:bCs/>
          <w:color w:val="auto"/>
          <w:sz w:val="24"/>
          <w:highlight w:val="none"/>
        </w:rPr>
        <w:t>项目编号：</w:t>
      </w:r>
    </w:p>
    <w:p w14:paraId="7A0B9FD4">
      <w:pPr>
        <w:snapToGrid w:val="0"/>
        <w:spacing w:before="120" w:beforeLines="50" w:after="50" w:line="360" w:lineRule="exact"/>
        <w:ind w:firstLine="720" w:firstLineChars="300"/>
        <w:rPr>
          <w:bCs/>
          <w:color w:val="auto"/>
          <w:sz w:val="24"/>
          <w:highlight w:val="none"/>
        </w:rPr>
      </w:pPr>
      <w:r>
        <w:rPr>
          <w:bCs/>
          <w:color w:val="auto"/>
          <w:sz w:val="24"/>
          <w:highlight w:val="none"/>
        </w:rPr>
        <w:t>分标号：（若无</w:t>
      </w:r>
      <w:r>
        <w:rPr>
          <w:rFonts w:hint="eastAsia"/>
          <w:bCs/>
          <w:color w:val="auto"/>
          <w:sz w:val="24"/>
          <w:highlight w:val="none"/>
        </w:rPr>
        <w:t>留空或写</w:t>
      </w:r>
      <w:r>
        <w:rPr>
          <w:bCs/>
          <w:color w:val="auto"/>
          <w:sz w:val="24"/>
          <w:highlight w:val="none"/>
        </w:rPr>
        <w:t>“/”）</w:t>
      </w:r>
    </w:p>
    <w:p w14:paraId="7B94436B">
      <w:pPr>
        <w:snapToGrid w:val="0"/>
        <w:spacing w:before="120" w:beforeLines="50" w:after="50" w:line="360" w:lineRule="exact"/>
        <w:ind w:firstLine="720" w:firstLineChars="300"/>
        <w:rPr>
          <w:bCs/>
          <w:color w:val="auto"/>
          <w:sz w:val="24"/>
          <w:highlight w:val="none"/>
        </w:rPr>
      </w:pPr>
      <w:r>
        <w:rPr>
          <w:bCs/>
          <w:color w:val="auto"/>
          <w:sz w:val="24"/>
          <w:highlight w:val="none"/>
        </w:rPr>
        <w:t>供应商名称：</w:t>
      </w:r>
    </w:p>
    <w:p w14:paraId="59CB5445">
      <w:pPr>
        <w:snapToGrid w:val="0"/>
        <w:spacing w:before="120" w:beforeLines="50" w:after="50" w:line="360" w:lineRule="exact"/>
        <w:ind w:firstLine="720" w:firstLineChars="300"/>
        <w:rPr>
          <w:bCs/>
          <w:color w:val="auto"/>
          <w:sz w:val="24"/>
          <w:highlight w:val="none"/>
        </w:rPr>
      </w:pPr>
      <w:r>
        <w:rPr>
          <w:bCs/>
          <w:color w:val="auto"/>
          <w:sz w:val="24"/>
          <w:highlight w:val="none"/>
        </w:rPr>
        <w:t>供应商地址：</w:t>
      </w:r>
    </w:p>
    <w:p w14:paraId="404296AB">
      <w:pPr>
        <w:snapToGrid w:val="0"/>
        <w:spacing w:before="120" w:beforeLines="50" w:after="50" w:line="360" w:lineRule="exact"/>
        <w:ind w:firstLine="720" w:firstLineChars="300"/>
        <w:rPr>
          <w:bCs/>
          <w:color w:val="auto"/>
          <w:sz w:val="24"/>
          <w:highlight w:val="none"/>
        </w:rPr>
      </w:pPr>
    </w:p>
    <w:p w14:paraId="7BAABA01">
      <w:pPr>
        <w:pStyle w:val="7"/>
        <w:snapToGrid w:val="0"/>
        <w:spacing w:before="50" w:after="50" w:line="360" w:lineRule="exact"/>
        <w:ind w:firstLine="960" w:firstLineChars="400"/>
        <w:rPr>
          <w:bCs/>
          <w:color w:val="auto"/>
          <w:sz w:val="24"/>
          <w:szCs w:val="24"/>
          <w:highlight w:val="none"/>
        </w:rPr>
      </w:pPr>
    </w:p>
    <w:p w14:paraId="582AA4BE">
      <w:pPr>
        <w:snapToGrid w:val="0"/>
        <w:spacing w:before="120" w:beforeLines="50" w:after="50" w:line="360" w:lineRule="exact"/>
        <w:jc w:val="center"/>
        <w:rPr>
          <w:color w:val="auto"/>
          <w:sz w:val="24"/>
          <w:highlight w:val="none"/>
        </w:rPr>
      </w:pPr>
      <w:r>
        <w:rPr>
          <w:color w:val="auto"/>
          <w:sz w:val="24"/>
          <w:highlight w:val="none"/>
        </w:rPr>
        <w:t xml:space="preserve">                        年  月  日</w:t>
      </w:r>
    </w:p>
    <w:p w14:paraId="1DC1BC13">
      <w:pPr>
        <w:rPr>
          <w:color w:val="auto"/>
          <w:highlight w:val="none"/>
        </w:rPr>
      </w:pPr>
    </w:p>
    <w:p w14:paraId="2C283A52">
      <w:pPr>
        <w:jc w:val="center"/>
        <w:rPr>
          <w:b/>
          <w:bCs/>
          <w:color w:val="auto"/>
          <w:szCs w:val="21"/>
          <w:highlight w:val="none"/>
        </w:rPr>
      </w:pPr>
      <w:r>
        <w:rPr>
          <w:b/>
          <w:color w:val="auto"/>
          <w:szCs w:val="21"/>
          <w:highlight w:val="none"/>
        </w:rPr>
        <w:br w:type="page"/>
      </w:r>
      <w:r>
        <w:rPr>
          <w:b/>
          <w:bCs/>
          <w:color w:val="auto"/>
          <w:szCs w:val="21"/>
          <w:highlight w:val="none"/>
        </w:rPr>
        <w:t xml:space="preserve"> </w:t>
      </w:r>
    </w:p>
    <w:p w14:paraId="4D6E53F2">
      <w:pPr>
        <w:snapToGrid w:val="0"/>
        <w:spacing w:before="120" w:beforeLines="50" w:after="50" w:line="440" w:lineRule="exact"/>
        <w:jc w:val="center"/>
        <w:outlineLvl w:val="1"/>
        <w:rPr>
          <w:bCs/>
          <w:color w:val="auto"/>
          <w:sz w:val="24"/>
          <w:highlight w:val="none"/>
        </w:rPr>
      </w:pPr>
      <w:r>
        <w:rPr>
          <w:bCs/>
          <w:color w:val="auto"/>
          <w:sz w:val="24"/>
          <w:highlight w:val="none"/>
        </w:rPr>
        <w:t>第三部分 报价文件</w:t>
      </w:r>
    </w:p>
    <w:p w14:paraId="1E15291A">
      <w:pPr>
        <w:jc w:val="center"/>
        <w:rPr>
          <w:b/>
          <w:bCs/>
          <w:color w:val="auto"/>
          <w:szCs w:val="21"/>
          <w:highlight w:val="none"/>
        </w:rPr>
      </w:pPr>
    </w:p>
    <w:p w14:paraId="711D4356">
      <w:pPr>
        <w:rPr>
          <w:color w:val="auto"/>
          <w:highlight w:val="none"/>
        </w:rPr>
      </w:pPr>
      <w:r>
        <w:rPr>
          <w:color w:val="auto"/>
          <w:highlight w:val="none"/>
        </w:rPr>
        <w:t>1．投标函格式：</w:t>
      </w:r>
    </w:p>
    <w:p w14:paraId="4CEF0FBA">
      <w:pPr>
        <w:rPr>
          <w:color w:val="auto"/>
          <w:highlight w:val="none"/>
        </w:rPr>
      </w:pPr>
    </w:p>
    <w:p w14:paraId="1228BBDA">
      <w:pPr>
        <w:jc w:val="center"/>
        <w:rPr>
          <w:b/>
          <w:color w:val="auto"/>
          <w:szCs w:val="21"/>
          <w:highlight w:val="none"/>
        </w:rPr>
      </w:pPr>
      <w:r>
        <w:rPr>
          <w:b/>
          <w:color w:val="auto"/>
          <w:szCs w:val="21"/>
          <w:highlight w:val="none"/>
        </w:rPr>
        <w:t>投 标 函</w:t>
      </w:r>
    </w:p>
    <w:p w14:paraId="2D66D555">
      <w:pPr>
        <w:rPr>
          <w:b/>
          <w:color w:val="auto"/>
          <w:szCs w:val="21"/>
          <w:highlight w:val="none"/>
        </w:rPr>
      </w:pPr>
    </w:p>
    <w:p w14:paraId="31D6D6C1">
      <w:pPr>
        <w:spacing w:line="360" w:lineRule="auto"/>
        <w:rPr>
          <w:color w:val="auto"/>
          <w:szCs w:val="21"/>
          <w:highlight w:val="none"/>
        </w:rPr>
      </w:pPr>
      <w:r>
        <w:rPr>
          <w:color w:val="auto"/>
          <w:szCs w:val="21"/>
          <w:highlight w:val="none"/>
        </w:rPr>
        <w:t>致：</w:t>
      </w:r>
      <w:bookmarkStart w:id="93" w:name="_Hlk19051378"/>
      <w:r>
        <w:rPr>
          <w:color w:val="auto"/>
          <w:szCs w:val="21"/>
          <w:highlight w:val="none"/>
        </w:rPr>
        <w:t>_</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i/>
          <w:iCs/>
          <w:color w:val="auto"/>
          <w:szCs w:val="21"/>
          <w:highlight w:val="none"/>
        </w:rPr>
        <w:t>_</w:t>
      </w:r>
      <w:bookmarkEnd w:id="93"/>
      <w:r>
        <w:rPr>
          <w:color w:val="auto"/>
          <w:szCs w:val="21"/>
          <w:highlight w:val="none"/>
        </w:rPr>
        <w:t>：</w:t>
      </w:r>
    </w:p>
    <w:p w14:paraId="15482867">
      <w:pPr>
        <w:spacing w:line="360" w:lineRule="auto"/>
        <w:ind w:firstLine="420" w:firstLineChars="200"/>
        <w:rPr>
          <w:color w:val="auto"/>
          <w:szCs w:val="21"/>
          <w:highlight w:val="none"/>
        </w:rPr>
      </w:pPr>
      <w:r>
        <w:rPr>
          <w:color w:val="auto"/>
          <w:szCs w:val="21"/>
          <w:highlight w:val="none"/>
        </w:rPr>
        <w:t>我方已仔细研究了</w:t>
      </w:r>
      <w:bookmarkStart w:id="94" w:name="_Hlk19051388"/>
      <w:r>
        <w:rPr>
          <w:rFonts w:hint="eastAsia"/>
          <w:i/>
          <w:iCs/>
          <w:color w:val="auto"/>
          <w:szCs w:val="21"/>
          <w:highlight w:val="none"/>
          <w:u w:val="single"/>
        </w:rPr>
        <w:t>（项目名称）</w:t>
      </w:r>
      <w:bookmarkEnd w:id="94"/>
      <w:r>
        <w:rPr>
          <w:color w:val="auto"/>
          <w:szCs w:val="21"/>
          <w:highlight w:val="none"/>
        </w:rPr>
        <w:t>的招标文件的全部内容。签字代表</w:t>
      </w:r>
      <w:bookmarkStart w:id="95" w:name="_Hlk19051393"/>
      <w:r>
        <w:rPr>
          <w:rFonts w:hint="eastAsia"/>
          <w:i/>
          <w:iCs/>
          <w:color w:val="auto"/>
          <w:szCs w:val="21"/>
          <w:highlight w:val="none"/>
          <w:u w:val="single"/>
        </w:rPr>
        <w:t>（授权代表姓名）</w:t>
      </w:r>
      <w:bookmarkEnd w:id="95"/>
      <w:r>
        <w:rPr>
          <w:color w:val="auto"/>
          <w:szCs w:val="21"/>
          <w:highlight w:val="none"/>
        </w:rPr>
        <w:t>经正式授权并代表供应商_</w:t>
      </w:r>
      <w:bookmarkStart w:id="96" w:name="_Hlk19051402"/>
      <w:r>
        <w:rPr>
          <w:i/>
          <w:iCs/>
          <w:color w:val="auto"/>
          <w:szCs w:val="21"/>
          <w:highlight w:val="none"/>
          <w:u w:val="single"/>
        </w:rPr>
        <w:t>（供应商名称）</w:t>
      </w:r>
      <w:bookmarkEnd w:id="96"/>
      <w:r>
        <w:rPr>
          <w:color w:val="auto"/>
          <w:szCs w:val="21"/>
          <w:highlight w:val="none"/>
        </w:rPr>
        <w:t>提交投标文件</w:t>
      </w:r>
      <w:r>
        <w:rPr>
          <w:rFonts w:hint="eastAsia"/>
          <w:color w:val="auto"/>
          <w:szCs w:val="21"/>
          <w:highlight w:val="none"/>
        </w:rPr>
        <w:t>。</w:t>
      </w:r>
    </w:p>
    <w:p w14:paraId="6FEDA2CB">
      <w:pPr>
        <w:spacing w:line="360" w:lineRule="auto"/>
        <w:rPr>
          <w:color w:val="auto"/>
          <w:szCs w:val="21"/>
          <w:highlight w:val="none"/>
        </w:rPr>
      </w:pPr>
      <w:r>
        <w:rPr>
          <w:color w:val="auto"/>
          <w:szCs w:val="21"/>
          <w:highlight w:val="none"/>
        </w:rPr>
        <w:t>据此函，签字代表宣布同意如下：</w:t>
      </w:r>
    </w:p>
    <w:p w14:paraId="6B665FE7">
      <w:pPr>
        <w:spacing w:line="360" w:lineRule="auto"/>
        <w:rPr>
          <w:color w:val="auto"/>
          <w:szCs w:val="21"/>
          <w:highlight w:val="none"/>
        </w:rPr>
      </w:pPr>
      <w:r>
        <w:rPr>
          <w:color w:val="auto"/>
          <w:szCs w:val="21"/>
          <w:highlight w:val="none"/>
        </w:rPr>
        <w:t>（1）</w:t>
      </w:r>
      <w:r>
        <w:rPr>
          <w:rFonts w:hint="eastAsia"/>
          <w:color w:val="auto"/>
          <w:szCs w:val="21"/>
          <w:highlight w:val="none"/>
        </w:rPr>
        <w:t>我方</w:t>
      </w:r>
      <w:r>
        <w:rPr>
          <w:color w:val="auto"/>
          <w:szCs w:val="21"/>
          <w:highlight w:val="none"/>
        </w:rPr>
        <w:t>已详细审查全部“招标文件”，包括修改文件（如有的话）以及全部参考资料和有关附件，已经了解我方对于招标文件、采购过程、采购结果有依法进行询问、质疑、投诉的权利及相关渠道和要求。</w:t>
      </w:r>
    </w:p>
    <w:p w14:paraId="25EDB925">
      <w:pPr>
        <w:spacing w:line="360" w:lineRule="auto"/>
        <w:rPr>
          <w:color w:val="auto"/>
          <w:szCs w:val="21"/>
          <w:highlight w:val="none"/>
        </w:rPr>
      </w:pPr>
      <w:r>
        <w:rPr>
          <w:color w:val="auto"/>
          <w:szCs w:val="21"/>
          <w:highlight w:val="none"/>
        </w:rPr>
        <w:t>（2）</w:t>
      </w:r>
      <w:r>
        <w:rPr>
          <w:rFonts w:hint="eastAsia"/>
          <w:color w:val="auto"/>
          <w:szCs w:val="21"/>
          <w:highlight w:val="none"/>
        </w:rPr>
        <w:t>我方</w:t>
      </w:r>
      <w:r>
        <w:rPr>
          <w:color w:val="auto"/>
          <w:szCs w:val="21"/>
          <w:highlight w:val="none"/>
        </w:rPr>
        <w:t>在投标之前已经与贵方进行了充分的沟通，完全理解并接受招标文件的各项规定和要求，对招标文件的合理性、合法性不再有异议。</w:t>
      </w:r>
    </w:p>
    <w:p w14:paraId="4E10BFDF">
      <w:pPr>
        <w:spacing w:line="360" w:lineRule="auto"/>
        <w:rPr>
          <w:color w:val="auto"/>
          <w:szCs w:val="21"/>
          <w:highlight w:val="none"/>
        </w:rPr>
      </w:pPr>
      <w:r>
        <w:rPr>
          <w:rFonts w:hint="eastAsia"/>
          <w:color w:val="auto"/>
          <w:szCs w:val="21"/>
          <w:highlight w:val="none"/>
        </w:rPr>
        <w:t>（3）我方承诺本投标有效期为第三章投标人须知规定的期限。</w:t>
      </w:r>
    </w:p>
    <w:p w14:paraId="562D9FD8">
      <w:pPr>
        <w:spacing w:line="360" w:lineRule="auto"/>
        <w:rPr>
          <w:color w:val="auto"/>
          <w:szCs w:val="21"/>
          <w:highlight w:val="none"/>
        </w:rPr>
      </w:pPr>
      <w:r>
        <w:rPr>
          <w:color w:val="auto"/>
          <w:szCs w:val="21"/>
          <w:highlight w:val="none"/>
        </w:rPr>
        <w:t>（4）如中标，本投标文件至本项目合同履行完毕止均保持有效，</w:t>
      </w:r>
      <w:r>
        <w:rPr>
          <w:rFonts w:hint="eastAsia"/>
          <w:color w:val="auto"/>
          <w:szCs w:val="21"/>
          <w:highlight w:val="none"/>
        </w:rPr>
        <w:t>我方</w:t>
      </w:r>
      <w:r>
        <w:rPr>
          <w:color w:val="auto"/>
          <w:szCs w:val="21"/>
          <w:highlight w:val="none"/>
        </w:rPr>
        <w:t>将按“招标文件”及政府采购法律、法规的规定履行合同责任和义务</w:t>
      </w:r>
      <w:r>
        <w:rPr>
          <w:rFonts w:hint="eastAsia"/>
          <w:color w:val="auto"/>
          <w:szCs w:val="21"/>
          <w:highlight w:val="none"/>
        </w:rPr>
        <w:t>，并承诺</w:t>
      </w:r>
      <w:r>
        <w:rPr>
          <w:color w:val="auto"/>
          <w:szCs w:val="21"/>
          <w:highlight w:val="none"/>
        </w:rPr>
        <w:t>不分包及转包他人。</w:t>
      </w:r>
    </w:p>
    <w:p w14:paraId="576BB412">
      <w:pPr>
        <w:spacing w:line="360" w:lineRule="auto"/>
        <w:rPr>
          <w:color w:val="auto"/>
          <w:szCs w:val="21"/>
          <w:highlight w:val="none"/>
        </w:rPr>
      </w:pPr>
      <w:r>
        <w:rPr>
          <w:color w:val="auto"/>
          <w:szCs w:val="21"/>
          <w:highlight w:val="none"/>
        </w:rPr>
        <w:t>（5）</w:t>
      </w:r>
      <w:r>
        <w:rPr>
          <w:rFonts w:hint="eastAsia"/>
          <w:color w:val="auto"/>
          <w:szCs w:val="21"/>
          <w:highlight w:val="none"/>
        </w:rPr>
        <w:t>我方</w:t>
      </w:r>
      <w:r>
        <w:rPr>
          <w:color w:val="auto"/>
          <w:szCs w:val="21"/>
          <w:highlight w:val="none"/>
        </w:rPr>
        <w:t>同意按照贵方要求提供与投标有关的一切数据或资料。</w:t>
      </w:r>
    </w:p>
    <w:p w14:paraId="4BEA834F">
      <w:pPr>
        <w:spacing w:line="360" w:lineRule="auto"/>
        <w:rPr>
          <w:color w:val="auto"/>
          <w:szCs w:val="21"/>
          <w:highlight w:val="none"/>
        </w:rPr>
      </w:pPr>
      <w:r>
        <w:rPr>
          <w:color w:val="auto"/>
          <w:szCs w:val="21"/>
          <w:highlight w:val="none"/>
        </w:rPr>
        <w:t>（6）与本项目有关的一切正式往来信函请寄：</w:t>
      </w:r>
    </w:p>
    <w:p w14:paraId="6AF26858">
      <w:pPr>
        <w:spacing w:line="360" w:lineRule="auto"/>
        <w:rPr>
          <w:color w:val="auto"/>
          <w:szCs w:val="21"/>
          <w:highlight w:val="none"/>
        </w:rPr>
      </w:pPr>
      <w:r>
        <w:rPr>
          <w:color w:val="auto"/>
          <w:szCs w:val="21"/>
          <w:highlight w:val="none"/>
        </w:rPr>
        <w:t>地址：</w:t>
      </w:r>
      <w:r>
        <w:rPr>
          <w:color w:val="auto"/>
          <w:szCs w:val="21"/>
          <w:highlight w:val="none"/>
          <w:u w:val="single"/>
        </w:rPr>
        <w:t xml:space="preserve">                      </w:t>
      </w:r>
      <w:r>
        <w:rPr>
          <w:color w:val="auto"/>
          <w:szCs w:val="21"/>
          <w:highlight w:val="none"/>
        </w:rPr>
        <w:t>邮编：</w:t>
      </w:r>
      <w:r>
        <w:rPr>
          <w:color w:val="auto"/>
          <w:szCs w:val="21"/>
          <w:highlight w:val="none"/>
          <w:u w:val="single"/>
        </w:rPr>
        <w:t xml:space="preserve">         </w:t>
      </w:r>
      <w:r>
        <w:rPr>
          <w:color w:val="auto"/>
          <w:szCs w:val="21"/>
          <w:highlight w:val="none"/>
        </w:rPr>
        <w:t xml:space="preserve">  电话：</w:t>
      </w:r>
      <w:r>
        <w:rPr>
          <w:color w:val="auto"/>
          <w:szCs w:val="21"/>
          <w:highlight w:val="none"/>
          <w:u w:val="single"/>
        </w:rPr>
        <w:t xml:space="preserve">            </w:t>
      </w:r>
    </w:p>
    <w:p w14:paraId="4510CE7F">
      <w:pPr>
        <w:spacing w:line="360" w:lineRule="auto"/>
        <w:rPr>
          <w:color w:val="auto"/>
          <w:szCs w:val="21"/>
          <w:highlight w:val="none"/>
        </w:rPr>
      </w:pPr>
      <w:r>
        <w:rPr>
          <w:color w:val="auto"/>
          <w:szCs w:val="21"/>
          <w:highlight w:val="none"/>
        </w:rPr>
        <w:t>传真：</w:t>
      </w:r>
      <w:r>
        <w:rPr>
          <w:color w:val="auto"/>
          <w:szCs w:val="21"/>
          <w:highlight w:val="none"/>
          <w:u w:val="single"/>
        </w:rPr>
        <w:t xml:space="preserve">           </w:t>
      </w:r>
      <w:r>
        <w:rPr>
          <w:color w:val="auto"/>
          <w:szCs w:val="21"/>
          <w:highlight w:val="none"/>
        </w:rPr>
        <w:t xml:space="preserve">  </w:t>
      </w:r>
    </w:p>
    <w:p w14:paraId="7A01FDF9">
      <w:pPr>
        <w:spacing w:line="360" w:lineRule="auto"/>
        <w:rPr>
          <w:color w:val="auto"/>
          <w:szCs w:val="21"/>
          <w:highlight w:val="none"/>
        </w:rPr>
      </w:pPr>
      <w:r>
        <w:rPr>
          <w:color w:val="auto"/>
          <w:szCs w:val="21"/>
          <w:highlight w:val="none"/>
        </w:rPr>
        <w:t>供应商代表姓名</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r>
        <w:rPr>
          <w:rFonts w:hint="eastAsia"/>
          <w:color w:val="auto"/>
          <w:szCs w:val="21"/>
          <w:highlight w:val="none"/>
        </w:rPr>
        <w:t>邮箱：</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p>
    <w:p w14:paraId="6658371A">
      <w:pPr>
        <w:spacing w:line="360" w:lineRule="auto"/>
        <w:rPr>
          <w:color w:val="auto"/>
          <w:szCs w:val="21"/>
          <w:highlight w:val="none"/>
        </w:rPr>
      </w:pPr>
    </w:p>
    <w:p w14:paraId="314929D5">
      <w:pPr>
        <w:spacing w:line="360" w:lineRule="auto"/>
        <w:rPr>
          <w:color w:val="auto"/>
          <w:szCs w:val="21"/>
          <w:highlight w:val="none"/>
        </w:rPr>
      </w:pPr>
    </w:p>
    <w:p w14:paraId="6B9E8721">
      <w:pPr>
        <w:spacing w:line="360" w:lineRule="auto"/>
        <w:rPr>
          <w:color w:val="auto"/>
          <w:szCs w:val="21"/>
          <w:highlight w:val="none"/>
        </w:rPr>
      </w:pPr>
    </w:p>
    <w:p w14:paraId="023949A4">
      <w:pPr>
        <w:spacing w:line="360" w:lineRule="auto"/>
        <w:rPr>
          <w:color w:val="auto"/>
          <w:szCs w:val="21"/>
          <w:highlight w:val="none"/>
        </w:rPr>
      </w:pPr>
      <w:r>
        <w:rPr>
          <w:rFonts w:hint="eastAsia"/>
          <w:color w:val="auto"/>
          <w:szCs w:val="21"/>
          <w:highlight w:val="none"/>
        </w:rPr>
        <w:t>供应商名称(电子签章)：</w:t>
      </w:r>
    </w:p>
    <w:p w14:paraId="1639A555">
      <w:pPr>
        <w:spacing w:line="360" w:lineRule="auto"/>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7E0932FE">
      <w:pPr>
        <w:rPr>
          <w:color w:val="auto"/>
          <w:highlight w:val="none"/>
        </w:rPr>
      </w:pPr>
      <w:r>
        <w:rPr>
          <w:b/>
          <w:color w:val="auto"/>
          <w:szCs w:val="21"/>
          <w:highlight w:val="none"/>
        </w:rPr>
        <w:br w:type="page"/>
      </w:r>
      <w:r>
        <w:rPr>
          <w:rFonts w:hint="eastAsia"/>
          <w:color w:val="auto"/>
          <w:highlight w:val="none"/>
        </w:rPr>
        <w:t>2.</w:t>
      </w:r>
      <w:r>
        <w:rPr>
          <w:color w:val="auto"/>
          <w:highlight w:val="none"/>
        </w:rPr>
        <w:t>投标报价明细表格式：</w:t>
      </w:r>
    </w:p>
    <w:p w14:paraId="1677568F">
      <w:pPr>
        <w:jc w:val="center"/>
        <w:rPr>
          <w:b/>
          <w:color w:val="auto"/>
          <w:szCs w:val="21"/>
          <w:highlight w:val="none"/>
        </w:rPr>
      </w:pPr>
      <w:r>
        <w:rPr>
          <w:b/>
          <w:color w:val="auto"/>
          <w:szCs w:val="21"/>
          <w:highlight w:val="none"/>
        </w:rPr>
        <w:t>投标报价明细表</w:t>
      </w:r>
    </w:p>
    <w:p w14:paraId="0446DD8C">
      <w:pPr>
        <w:ind w:firstLine="2415" w:firstLineChars="1150"/>
        <w:rPr>
          <w:color w:val="auto"/>
          <w:szCs w:val="21"/>
          <w:highlight w:val="none"/>
        </w:rPr>
      </w:pPr>
      <w:r>
        <w:rPr>
          <w:color w:val="auto"/>
          <w:szCs w:val="21"/>
          <w:highlight w:val="none"/>
        </w:rPr>
        <w:t xml:space="preserve">                            金额单位：人民币（元）</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04"/>
        <w:gridCol w:w="1411"/>
        <w:gridCol w:w="2640"/>
        <w:gridCol w:w="3144"/>
        <w:gridCol w:w="1166"/>
      </w:tblGrid>
      <w:tr w14:paraId="71596A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1004" w:type="dxa"/>
            <w:tcBorders>
              <w:top w:val="single" w:color="auto" w:sz="4" w:space="0"/>
              <w:left w:val="single" w:color="auto" w:sz="4" w:space="0"/>
              <w:bottom w:val="single" w:color="auto" w:sz="4" w:space="0"/>
              <w:right w:val="single" w:color="auto" w:sz="4" w:space="0"/>
            </w:tcBorders>
            <w:vAlign w:val="center"/>
          </w:tcPr>
          <w:p w14:paraId="65A4EB43">
            <w:pPr>
              <w:jc w:val="center"/>
              <w:rPr>
                <w:color w:val="auto"/>
                <w:spacing w:val="20"/>
                <w:szCs w:val="21"/>
                <w:highlight w:val="none"/>
              </w:rPr>
            </w:pPr>
            <w:r>
              <w:rPr>
                <w:color w:val="auto"/>
                <w:szCs w:val="21"/>
                <w:highlight w:val="none"/>
              </w:rPr>
              <w:t>序号</w:t>
            </w:r>
          </w:p>
        </w:tc>
        <w:tc>
          <w:tcPr>
            <w:tcW w:w="1411" w:type="dxa"/>
            <w:tcBorders>
              <w:top w:val="single" w:color="auto" w:sz="4" w:space="0"/>
              <w:left w:val="single" w:color="auto" w:sz="4" w:space="0"/>
              <w:bottom w:val="single" w:color="auto" w:sz="4" w:space="0"/>
              <w:right w:val="single" w:color="auto" w:sz="4" w:space="0"/>
            </w:tcBorders>
            <w:vAlign w:val="center"/>
          </w:tcPr>
          <w:p w14:paraId="1BD32BA4">
            <w:pPr>
              <w:jc w:val="center"/>
              <w:rPr>
                <w:color w:val="auto"/>
                <w:szCs w:val="21"/>
                <w:highlight w:val="none"/>
              </w:rPr>
            </w:pPr>
            <w:r>
              <w:rPr>
                <w:color w:val="auto"/>
                <w:szCs w:val="21"/>
                <w:highlight w:val="none"/>
              </w:rPr>
              <w:t>服务名称</w:t>
            </w:r>
          </w:p>
        </w:tc>
        <w:tc>
          <w:tcPr>
            <w:tcW w:w="5784" w:type="dxa"/>
            <w:gridSpan w:val="2"/>
            <w:tcBorders>
              <w:top w:val="single" w:color="auto" w:sz="4" w:space="0"/>
              <w:left w:val="single" w:color="auto" w:sz="4" w:space="0"/>
              <w:bottom w:val="single" w:color="auto" w:sz="4" w:space="0"/>
              <w:right w:val="single" w:color="auto" w:sz="4" w:space="0"/>
            </w:tcBorders>
            <w:vAlign w:val="center"/>
          </w:tcPr>
          <w:p w14:paraId="4A19FAF6">
            <w:pPr>
              <w:jc w:val="center"/>
              <w:rPr>
                <w:color w:val="auto"/>
                <w:szCs w:val="21"/>
                <w:highlight w:val="none"/>
              </w:rPr>
            </w:pPr>
            <w:r>
              <w:rPr>
                <w:rFonts w:hint="eastAsia"/>
                <w:color w:val="auto"/>
                <w:szCs w:val="21"/>
                <w:highlight w:val="none"/>
              </w:rPr>
              <w:t>投标</w:t>
            </w:r>
            <w:r>
              <w:rPr>
                <w:color w:val="auto"/>
                <w:szCs w:val="21"/>
                <w:highlight w:val="none"/>
              </w:rPr>
              <w:t>报价</w:t>
            </w:r>
          </w:p>
        </w:tc>
        <w:tc>
          <w:tcPr>
            <w:tcW w:w="1166" w:type="dxa"/>
            <w:tcBorders>
              <w:top w:val="single" w:color="auto" w:sz="4" w:space="0"/>
              <w:left w:val="single" w:color="auto" w:sz="4" w:space="0"/>
              <w:bottom w:val="single" w:color="auto" w:sz="4" w:space="0"/>
              <w:right w:val="single" w:color="auto" w:sz="4" w:space="0"/>
            </w:tcBorders>
            <w:vAlign w:val="center"/>
          </w:tcPr>
          <w:p w14:paraId="63E54E57">
            <w:pPr>
              <w:jc w:val="center"/>
              <w:rPr>
                <w:color w:val="auto"/>
                <w:szCs w:val="21"/>
                <w:highlight w:val="none"/>
              </w:rPr>
            </w:pPr>
            <w:r>
              <w:rPr>
                <w:color w:val="auto"/>
                <w:szCs w:val="21"/>
                <w:highlight w:val="none"/>
              </w:rPr>
              <w:t>备注</w:t>
            </w:r>
          </w:p>
        </w:tc>
      </w:tr>
      <w:tr w14:paraId="38CA1E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1004" w:type="dxa"/>
            <w:vMerge w:val="restart"/>
            <w:tcBorders>
              <w:top w:val="single" w:color="auto" w:sz="4" w:space="0"/>
              <w:left w:val="single" w:color="auto" w:sz="4" w:space="0"/>
              <w:right w:val="single" w:color="auto" w:sz="4" w:space="0"/>
            </w:tcBorders>
            <w:vAlign w:val="center"/>
          </w:tcPr>
          <w:p w14:paraId="5BEB623B">
            <w:pPr>
              <w:jc w:val="center"/>
              <w:rPr>
                <w:color w:val="auto"/>
                <w:spacing w:val="20"/>
                <w:szCs w:val="21"/>
                <w:highlight w:val="none"/>
              </w:rPr>
            </w:pPr>
            <w:r>
              <w:rPr>
                <w:rFonts w:hint="eastAsia"/>
                <w:color w:val="auto"/>
                <w:spacing w:val="20"/>
                <w:szCs w:val="21"/>
                <w:highlight w:val="none"/>
              </w:rPr>
              <w:t>1.</w:t>
            </w:r>
          </w:p>
        </w:tc>
        <w:tc>
          <w:tcPr>
            <w:tcW w:w="1411" w:type="dxa"/>
            <w:vMerge w:val="restart"/>
            <w:tcBorders>
              <w:top w:val="single" w:color="auto" w:sz="4" w:space="0"/>
              <w:left w:val="single" w:color="auto" w:sz="4" w:space="0"/>
              <w:right w:val="single" w:color="auto" w:sz="4" w:space="0"/>
            </w:tcBorders>
            <w:vAlign w:val="center"/>
          </w:tcPr>
          <w:p w14:paraId="2E27AD80">
            <w:pPr>
              <w:jc w:val="center"/>
              <w:rPr>
                <w:color w:val="auto"/>
                <w:szCs w:val="21"/>
                <w:highlight w:val="none"/>
              </w:rPr>
            </w:pPr>
            <w:r>
              <w:rPr>
                <w:rFonts w:hint="eastAsia"/>
                <w:color w:val="auto"/>
                <w:szCs w:val="21"/>
                <w:highlight w:val="none"/>
              </w:rPr>
              <w:t>广西新舟60增雨飞机托管服务</w:t>
            </w:r>
          </w:p>
          <w:p w14:paraId="48486020">
            <w:pPr>
              <w:jc w:val="center"/>
              <w:rPr>
                <w:color w:val="auto"/>
                <w:spacing w:val="20"/>
                <w:szCs w:val="21"/>
                <w:highlight w:val="none"/>
              </w:rPr>
            </w:pPr>
          </w:p>
        </w:tc>
        <w:tc>
          <w:tcPr>
            <w:tcW w:w="2640" w:type="dxa"/>
            <w:tcBorders>
              <w:top w:val="single" w:color="auto" w:sz="4" w:space="0"/>
              <w:left w:val="single" w:color="auto" w:sz="4" w:space="0"/>
              <w:bottom w:val="single" w:color="auto" w:sz="4" w:space="0"/>
              <w:right w:val="single" w:color="auto" w:sz="4" w:space="0"/>
            </w:tcBorders>
            <w:vAlign w:val="center"/>
          </w:tcPr>
          <w:p w14:paraId="5A572D00">
            <w:pPr>
              <w:jc w:val="center"/>
              <w:rPr>
                <w:color w:val="auto"/>
                <w:spacing w:val="20"/>
                <w:szCs w:val="21"/>
                <w:highlight w:val="none"/>
              </w:rPr>
            </w:pPr>
            <w:r>
              <w:rPr>
                <w:rFonts w:hint="eastAsia"/>
                <w:color w:val="auto"/>
                <w:spacing w:val="20"/>
                <w:szCs w:val="21"/>
                <w:highlight w:val="none"/>
              </w:rPr>
              <w:t>投标总报价</w:t>
            </w:r>
          </w:p>
        </w:tc>
        <w:tc>
          <w:tcPr>
            <w:tcW w:w="3144" w:type="dxa"/>
            <w:tcBorders>
              <w:top w:val="single" w:color="auto" w:sz="4" w:space="0"/>
              <w:left w:val="single" w:color="auto" w:sz="4" w:space="0"/>
              <w:bottom w:val="single" w:color="auto" w:sz="4" w:space="0"/>
              <w:right w:val="single" w:color="auto" w:sz="4" w:space="0"/>
            </w:tcBorders>
            <w:vAlign w:val="center"/>
          </w:tcPr>
          <w:p w14:paraId="4374405F">
            <w:pPr>
              <w:jc w:val="center"/>
              <w:rPr>
                <w:color w:val="auto"/>
                <w:spacing w:val="20"/>
                <w:szCs w:val="21"/>
                <w:highlight w:val="none"/>
              </w:rPr>
            </w:pPr>
            <w:r>
              <w:rPr>
                <w:rFonts w:hint="eastAsia"/>
                <w:color w:val="auto"/>
                <w:spacing w:val="20"/>
                <w:szCs w:val="21"/>
                <w:highlight w:val="none"/>
              </w:rPr>
              <w:t>超时小时费报价</w:t>
            </w:r>
          </w:p>
        </w:tc>
        <w:tc>
          <w:tcPr>
            <w:tcW w:w="1166" w:type="dxa"/>
            <w:vMerge w:val="restart"/>
            <w:tcBorders>
              <w:top w:val="single" w:color="auto" w:sz="4" w:space="0"/>
              <w:left w:val="single" w:color="auto" w:sz="4" w:space="0"/>
              <w:right w:val="single" w:color="auto" w:sz="4" w:space="0"/>
            </w:tcBorders>
            <w:vAlign w:val="center"/>
          </w:tcPr>
          <w:p w14:paraId="3B84C551">
            <w:pPr>
              <w:jc w:val="center"/>
              <w:rPr>
                <w:color w:val="auto"/>
                <w:spacing w:val="20"/>
                <w:szCs w:val="21"/>
                <w:highlight w:val="none"/>
              </w:rPr>
            </w:pPr>
          </w:p>
        </w:tc>
      </w:tr>
      <w:tr w14:paraId="132BD3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38" w:hRule="exact"/>
          <w:jc w:val="center"/>
        </w:trPr>
        <w:tc>
          <w:tcPr>
            <w:tcW w:w="1004" w:type="dxa"/>
            <w:vMerge w:val="continue"/>
            <w:tcBorders>
              <w:left w:val="single" w:color="auto" w:sz="4" w:space="0"/>
              <w:right w:val="single" w:color="auto" w:sz="4" w:space="0"/>
            </w:tcBorders>
            <w:vAlign w:val="center"/>
          </w:tcPr>
          <w:p w14:paraId="0A817DC6">
            <w:pPr>
              <w:jc w:val="center"/>
              <w:rPr>
                <w:color w:val="auto"/>
                <w:spacing w:val="20"/>
                <w:szCs w:val="21"/>
                <w:highlight w:val="none"/>
              </w:rPr>
            </w:pPr>
          </w:p>
        </w:tc>
        <w:tc>
          <w:tcPr>
            <w:tcW w:w="1411" w:type="dxa"/>
            <w:vMerge w:val="continue"/>
            <w:tcBorders>
              <w:left w:val="single" w:color="auto" w:sz="4" w:space="0"/>
              <w:right w:val="single" w:color="auto" w:sz="4" w:space="0"/>
            </w:tcBorders>
            <w:vAlign w:val="center"/>
          </w:tcPr>
          <w:p w14:paraId="5737A251">
            <w:pPr>
              <w:jc w:val="center"/>
              <w:rPr>
                <w:color w:val="auto"/>
                <w:spacing w:val="20"/>
                <w:szCs w:val="21"/>
                <w:highlight w:val="none"/>
              </w:rPr>
            </w:pPr>
          </w:p>
        </w:tc>
        <w:tc>
          <w:tcPr>
            <w:tcW w:w="2640" w:type="dxa"/>
            <w:tcBorders>
              <w:top w:val="single" w:color="auto" w:sz="4" w:space="0"/>
              <w:left w:val="single" w:color="auto" w:sz="4" w:space="0"/>
              <w:right w:val="single" w:color="auto" w:sz="4" w:space="0"/>
            </w:tcBorders>
          </w:tcPr>
          <w:p w14:paraId="76D7CB4D">
            <w:pPr>
              <w:rPr>
                <w:color w:val="auto"/>
                <w:spacing w:val="20"/>
                <w:sz w:val="24"/>
                <w:szCs w:val="21"/>
                <w:highlight w:val="none"/>
              </w:rPr>
            </w:pPr>
            <w:r>
              <w:rPr>
                <w:rFonts w:hint="eastAsia"/>
                <w:color w:val="auto"/>
                <w:spacing w:val="20"/>
                <w:sz w:val="24"/>
                <w:szCs w:val="21"/>
                <w:highlight w:val="none"/>
              </w:rPr>
              <w:t>大写：</w:t>
            </w:r>
          </w:p>
          <w:p w14:paraId="75D3592D">
            <w:pPr>
              <w:pStyle w:val="19"/>
              <w:rPr>
                <w:color w:val="auto"/>
                <w:spacing w:val="20"/>
                <w:szCs w:val="21"/>
                <w:highlight w:val="none"/>
              </w:rPr>
            </w:pPr>
          </w:p>
          <w:p w14:paraId="036DFB6F">
            <w:pPr>
              <w:pStyle w:val="19"/>
              <w:rPr>
                <w:color w:val="auto"/>
                <w:highlight w:val="none"/>
              </w:rPr>
            </w:pPr>
            <w:r>
              <w:rPr>
                <w:rFonts w:hint="eastAsia"/>
                <w:color w:val="auto"/>
                <w:spacing w:val="20"/>
                <w:szCs w:val="21"/>
                <w:highlight w:val="none"/>
              </w:rPr>
              <w:t>小写：</w:t>
            </w:r>
          </w:p>
        </w:tc>
        <w:tc>
          <w:tcPr>
            <w:tcW w:w="3144" w:type="dxa"/>
            <w:tcBorders>
              <w:top w:val="single" w:color="auto" w:sz="4" w:space="0"/>
              <w:left w:val="single" w:color="auto" w:sz="4" w:space="0"/>
              <w:bottom w:val="single" w:color="auto" w:sz="4" w:space="0"/>
              <w:right w:val="single" w:color="auto" w:sz="4" w:space="0"/>
            </w:tcBorders>
          </w:tcPr>
          <w:p w14:paraId="2FD0EB53">
            <w:pPr>
              <w:rPr>
                <w:color w:val="auto"/>
                <w:spacing w:val="20"/>
                <w:sz w:val="24"/>
                <w:szCs w:val="21"/>
                <w:highlight w:val="none"/>
              </w:rPr>
            </w:pPr>
            <w:r>
              <w:rPr>
                <w:rFonts w:hint="eastAsia"/>
                <w:color w:val="auto"/>
                <w:spacing w:val="20"/>
                <w:sz w:val="24"/>
                <w:szCs w:val="21"/>
                <w:highlight w:val="none"/>
              </w:rPr>
              <w:t>大写：</w:t>
            </w:r>
          </w:p>
          <w:p w14:paraId="0C59FD4B">
            <w:pPr>
              <w:pStyle w:val="19"/>
              <w:rPr>
                <w:color w:val="auto"/>
                <w:spacing w:val="20"/>
                <w:szCs w:val="21"/>
                <w:highlight w:val="none"/>
              </w:rPr>
            </w:pPr>
          </w:p>
          <w:p w14:paraId="6CDD7C7A">
            <w:pPr>
              <w:rPr>
                <w:color w:val="auto"/>
                <w:spacing w:val="20"/>
                <w:szCs w:val="21"/>
                <w:highlight w:val="none"/>
              </w:rPr>
            </w:pPr>
            <w:r>
              <w:rPr>
                <w:rFonts w:hint="eastAsia"/>
                <w:color w:val="auto"/>
                <w:spacing w:val="20"/>
                <w:sz w:val="24"/>
                <w:szCs w:val="21"/>
                <w:highlight w:val="none"/>
              </w:rPr>
              <w:t>小写：</w:t>
            </w:r>
          </w:p>
        </w:tc>
        <w:tc>
          <w:tcPr>
            <w:tcW w:w="1166" w:type="dxa"/>
            <w:vMerge w:val="continue"/>
            <w:tcBorders>
              <w:left w:val="single" w:color="auto" w:sz="4" w:space="0"/>
              <w:right w:val="single" w:color="auto" w:sz="4" w:space="0"/>
            </w:tcBorders>
            <w:vAlign w:val="center"/>
          </w:tcPr>
          <w:p w14:paraId="5C1F8BFD">
            <w:pPr>
              <w:jc w:val="center"/>
              <w:rPr>
                <w:color w:val="auto"/>
                <w:spacing w:val="20"/>
                <w:szCs w:val="21"/>
                <w:highlight w:val="none"/>
              </w:rPr>
            </w:pPr>
          </w:p>
        </w:tc>
      </w:tr>
    </w:tbl>
    <w:p w14:paraId="495C99DF">
      <w:pPr>
        <w:rPr>
          <w:color w:val="auto"/>
          <w:spacing w:val="20"/>
          <w:szCs w:val="21"/>
          <w:highlight w:val="none"/>
          <w:u w:val="single"/>
        </w:rPr>
      </w:pPr>
    </w:p>
    <w:p w14:paraId="47C0E69D">
      <w:pPr>
        <w:spacing w:line="360" w:lineRule="auto"/>
        <w:rPr>
          <w:color w:val="auto"/>
          <w:spacing w:val="20"/>
          <w:szCs w:val="21"/>
          <w:highlight w:val="none"/>
        </w:rPr>
      </w:pPr>
    </w:p>
    <w:p w14:paraId="53F7A745">
      <w:pPr>
        <w:snapToGrid w:val="0"/>
        <w:spacing w:before="50" w:after="120" w:afterLines="50"/>
        <w:jc w:val="left"/>
        <w:rPr>
          <w:color w:val="auto"/>
          <w:szCs w:val="21"/>
          <w:highlight w:val="none"/>
        </w:rPr>
      </w:pPr>
      <w:r>
        <w:rPr>
          <w:rFonts w:hint="eastAsia"/>
          <w:color w:val="auto"/>
          <w:szCs w:val="21"/>
          <w:highlight w:val="none"/>
        </w:rPr>
        <w:t>注：本表如与广西政府采购云平台不一致的，以广西政府采购云平台为准。</w:t>
      </w:r>
    </w:p>
    <w:p w14:paraId="779BC328">
      <w:pPr>
        <w:snapToGrid w:val="0"/>
        <w:spacing w:before="50" w:after="120" w:afterLines="50"/>
        <w:jc w:val="left"/>
        <w:rPr>
          <w:color w:val="auto"/>
          <w:szCs w:val="21"/>
          <w:highlight w:val="none"/>
        </w:rPr>
      </w:pPr>
    </w:p>
    <w:p w14:paraId="57DB58D3">
      <w:pPr>
        <w:snapToGrid w:val="0"/>
        <w:spacing w:before="50" w:after="120" w:afterLines="50"/>
        <w:jc w:val="left"/>
        <w:rPr>
          <w:color w:val="auto"/>
          <w:szCs w:val="21"/>
          <w:highlight w:val="none"/>
        </w:rPr>
      </w:pPr>
    </w:p>
    <w:p w14:paraId="139AE7A3">
      <w:pPr>
        <w:snapToGrid w:val="0"/>
        <w:spacing w:before="50" w:after="120" w:afterLines="50"/>
        <w:jc w:val="left"/>
        <w:rPr>
          <w:color w:val="auto"/>
          <w:szCs w:val="21"/>
          <w:highlight w:val="none"/>
        </w:rPr>
      </w:pPr>
      <w:r>
        <w:rPr>
          <w:rFonts w:hint="eastAsia"/>
          <w:color w:val="auto"/>
          <w:szCs w:val="21"/>
          <w:highlight w:val="none"/>
        </w:rPr>
        <w:t xml:space="preserve">供应商名称（电子签章）：                          </w:t>
      </w:r>
    </w:p>
    <w:p w14:paraId="4E4A125A">
      <w:pPr>
        <w:snapToGrid w:val="0"/>
        <w:spacing w:before="50" w:after="120" w:afterLines="50"/>
        <w:jc w:val="left"/>
        <w:rPr>
          <w:color w:val="auto"/>
          <w:szCs w:val="21"/>
          <w:highlight w:val="none"/>
        </w:rPr>
        <w:sectPr>
          <w:headerReference r:id="rId19" w:type="default"/>
          <w:pgSz w:w="11906" w:h="16838"/>
          <w:pgMar w:top="1418" w:right="1274" w:bottom="1418" w:left="1418" w:header="851" w:footer="992" w:gutter="0"/>
          <w:cols w:space="720" w:num="1"/>
          <w:docGrid w:linePitch="312" w:charSpace="0"/>
        </w:sectPr>
      </w:pPr>
      <w:r>
        <w:rPr>
          <w:rFonts w:hint="eastAsia"/>
          <w:color w:val="auto"/>
          <w:szCs w:val="21"/>
          <w:highlight w:val="none"/>
        </w:rPr>
        <w:t xml:space="preserve">日  期：         年   月   日 </w:t>
      </w:r>
    </w:p>
    <w:p w14:paraId="3C1518A3">
      <w:pPr>
        <w:snapToGrid w:val="0"/>
        <w:spacing w:before="50" w:after="120" w:afterLines="50"/>
        <w:jc w:val="left"/>
        <w:rPr>
          <w:color w:val="auto"/>
          <w:szCs w:val="21"/>
          <w:highlight w:val="none"/>
        </w:rPr>
      </w:pPr>
      <w:r>
        <w:rPr>
          <w:color w:val="auto"/>
          <w:szCs w:val="21"/>
          <w:highlight w:val="none"/>
        </w:rPr>
        <w:t>3．过低报价合理性的说明。（如有）</w:t>
      </w:r>
    </w:p>
    <w:bookmarkEnd w:id="0"/>
    <w:bookmarkEnd w:id="1"/>
    <w:p w14:paraId="6EC82320">
      <w:pPr>
        <w:spacing w:line="360" w:lineRule="auto"/>
        <w:ind w:firstLine="420" w:firstLineChars="200"/>
        <w:rPr>
          <w:color w:val="auto"/>
          <w:szCs w:val="21"/>
          <w:highlight w:val="none"/>
        </w:rPr>
      </w:pPr>
      <w:bookmarkStart w:id="97" w:name="_Hlk88990880"/>
      <w:r>
        <w:rPr>
          <w:color w:val="auto"/>
          <w:szCs w:val="21"/>
          <w:highlight w:val="none"/>
        </w:rPr>
        <w:t>评审委员会认为的报价</w:t>
      </w:r>
      <w:r>
        <w:rPr>
          <w:rFonts w:hint="eastAsia"/>
          <w:color w:val="auto"/>
          <w:szCs w:val="21"/>
          <w:highlight w:val="none"/>
        </w:rPr>
        <w:t>存在异常低价问题的情形</w:t>
      </w:r>
      <w:r>
        <w:rPr>
          <w:color w:val="auto"/>
          <w:szCs w:val="21"/>
          <w:highlight w:val="none"/>
        </w:rPr>
        <w:t>，供应商将被要求以书面方式提供</w:t>
      </w:r>
      <w:r>
        <w:rPr>
          <w:rFonts w:hint="eastAsia"/>
          <w:color w:val="auto"/>
          <w:szCs w:val="21"/>
          <w:highlight w:val="none"/>
        </w:rPr>
        <w:t>项目具体成本测算等与报价合理性相关的书面说明及必要的证明材料</w:t>
      </w:r>
      <w:r>
        <w:rPr>
          <w:color w:val="auto"/>
          <w:szCs w:val="21"/>
          <w:highlight w:val="none"/>
        </w:rPr>
        <w:t>。为避免在评审现场因未能及时提供说明而导致被评审委员会作为无效投标，供应商</w:t>
      </w:r>
      <w:r>
        <w:rPr>
          <w:rFonts w:hint="eastAsia"/>
          <w:color w:val="auto"/>
          <w:highlight w:val="none"/>
        </w:rPr>
        <w:t>自行决定是否</w:t>
      </w:r>
      <w:r>
        <w:rPr>
          <w:color w:val="auto"/>
          <w:kern w:val="1"/>
          <w:szCs w:val="21"/>
          <w:highlight w:val="none"/>
        </w:rPr>
        <w:t>直接在</w:t>
      </w:r>
      <w:r>
        <w:rPr>
          <w:color w:val="auto"/>
          <w:szCs w:val="21"/>
          <w:highlight w:val="none"/>
        </w:rPr>
        <w:t>此处</w:t>
      </w:r>
      <w:r>
        <w:rPr>
          <w:rFonts w:hint="eastAsia"/>
          <w:color w:val="auto"/>
          <w:szCs w:val="21"/>
          <w:highlight w:val="none"/>
        </w:rPr>
        <w:t>进行陈述</w:t>
      </w:r>
      <w:r>
        <w:rPr>
          <w:color w:val="auto"/>
          <w:szCs w:val="21"/>
          <w:highlight w:val="none"/>
        </w:rPr>
        <w:t>。格式自拟。</w:t>
      </w:r>
      <w:r>
        <w:rPr>
          <w:rFonts w:hint="eastAsia"/>
          <w:color w:val="auto"/>
          <w:szCs w:val="21"/>
          <w:highlight w:val="none"/>
        </w:rPr>
        <w:t>（</w:t>
      </w:r>
      <w:r>
        <w:rPr>
          <w:rFonts w:hint="eastAsia"/>
          <w:color w:val="auto"/>
          <w:kern w:val="1"/>
          <w:szCs w:val="21"/>
          <w:highlight w:val="none"/>
        </w:rPr>
        <w:t>具体要求详见第四章评审方法及标准“过低报价合理性的审查”</w:t>
      </w:r>
      <w:r>
        <w:rPr>
          <w:rFonts w:hint="eastAsia"/>
          <w:color w:val="auto"/>
          <w:szCs w:val="21"/>
          <w:highlight w:val="none"/>
        </w:rPr>
        <w:t>）</w:t>
      </w:r>
    </w:p>
    <w:p w14:paraId="4A2FC8F0">
      <w:pPr>
        <w:pStyle w:val="140"/>
        <w:jc w:val="center"/>
        <w:rPr>
          <w:b/>
          <w:bCs/>
          <w:color w:val="auto"/>
          <w:highlight w:val="none"/>
        </w:rPr>
      </w:pPr>
      <w:bookmarkStart w:id="98" w:name="_Hlk211331823"/>
    </w:p>
    <w:p w14:paraId="2D264059">
      <w:pPr>
        <w:pStyle w:val="140"/>
        <w:jc w:val="center"/>
        <w:rPr>
          <w:color w:val="auto"/>
          <w:highlight w:val="none"/>
        </w:rPr>
      </w:pPr>
      <w:r>
        <w:rPr>
          <w:rFonts w:hint="eastAsia"/>
          <w:b/>
          <w:bCs/>
          <w:color w:val="auto"/>
          <w:highlight w:val="none"/>
        </w:rPr>
        <w:t>产品成本测算表（参考格式）</w:t>
      </w:r>
    </w:p>
    <w:p w14:paraId="3BFD6093">
      <w:pPr>
        <w:spacing w:line="360" w:lineRule="auto"/>
        <w:rPr>
          <w:color w:val="auto"/>
          <w:highlight w:val="none"/>
        </w:rPr>
      </w:pPr>
    </w:p>
    <w:bookmarkEnd w:id="98"/>
    <w:tbl>
      <w:tblPr>
        <w:tblStyle w:val="51"/>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48"/>
        <w:gridCol w:w="660"/>
        <w:gridCol w:w="490"/>
        <w:gridCol w:w="830"/>
        <w:gridCol w:w="1202"/>
        <w:gridCol w:w="972"/>
        <w:gridCol w:w="887"/>
        <w:gridCol w:w="1052"/>
        <w:gridCol w:w="780"/>
        <w:gridCol w:w="1019"/>
      </w:tblGrid>
      <w:tr w14:paraId="044F39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245" w:type="pct"/>
            <w:shd w:val="clear" w:color="C3BD96" w:themeColor="background2" w:themeShade="BF" w:fill="auto"/>
            <w:vAlign w:val="center"/>
          </w:tcPr>
          <w:p w14:paraId="2DA6952C">
            <w:pPr>
              <w:ind w:left="-105" w:leftChars="-50" w:right="-105" w:rightChars="-50"/>
              <w:jc w:val="center"/>
              <w:rPr>
                <w:rFonts w:cs="宋体"/>
                <w:b/>
                <w:color w:val="auto"/>
                <w:highlight w:val="none"/>
              </w:rPr>
            </w:pPr>
            <w:r>
              <w:rPr>
                <w:rFonts w:hint="eastAsia" w:cs="仿宋_GB2312"/>
                <w:b/>
                <w:color w:val="auto"/>
                <w:highlight w:val="none"/>
              </w:rPr>
              <w:t>序号</w:t>
            </w:r>
          </w:p>
        </w:tc>
        <w:tc>
          <w:tcPr>
            <w:tcW w:w="201" w:type="pct"/>
            <w:shd w:val="clear" w:color="C3BD96" w:themeColor="background2" w:themeShade="BF" w:fill="auto"/>
            <w:vAlign w:val="center"/>
          </w:tcPr>
          <w:p w14:paraId="34A981B7">
            <w:pPr>
              <w:spacing w:line="360" w:lineRule="auto"/>
              <w:ind w:left="-48" w:leftChars="-23" w:right="-65" w:rightChars="-31"/>
              <w:jc w:val="center"/>
              <w:rPr>
                <w:rFonts w:cs="宋体"/>
                <w:b/>
                <w:color w:val="auto"/>
                <w:highlight w:val="none"/>
              </w:rPr>
            </w:pPr>
            <w:r>
              <w:rPr>
                <w:rFonts w:hint="eastAsia" w:cs="宋体"/>
                <w:b/>
                <w:color w:val="auto"/>
                <w:highlight w:val="none"/>
              </w:rPr>
              <w:t>名称</w:t>
            </w:r>
          </w:p>
        </w:tc>
        <w:tc>
          <w:tcPr>
            <w:tcW w:w="380" w:type="pct"/>
            <w:shd w:val="clear" w:color="C3BD96" w:themeColor="background2" w:themeShade="BF" w:fill="auto"/>
            <w:vAlign w:val="center"/>
          </w:tcPr>
          <w:p w14:paraId="735AECFE">
            <w:pPr>
              <w:spacing w:line="360" w:lineRule="auto"/>
              <w:ind w:left="-48" w:leftChars="-23" w:right="-65" w:rightChars="-31"/>
              <w:jc w:val="center"/>
              <w:rPr>
                <w:rFonts w:cs="宋体"/>
                <w:b/>
                <w:color w:val="auto"/>
                <w:highlight w:val="none"/>
              </w:rPr>
            </w:pPr>
            <w:r>
              <w:rPr>
                <w:rFonts w:hint="eastAsia"/>
                <w:b/>
                <w:color w:val="auto"/>
                <w:highlight w:val="none"/>
              </w:rPr>
              <w:t>品牌规格型号</w:t>
            </w:r>
          </w:p>
        </w:tc>
        <w:tc>
          <w:tcPr>
            <w:tcW w:w="282" w:type="pct"/>
            <w:tcBorders>
              <w:left w:val="single" w:color="auto" w:sz="4" w:space="0"/>
            </w:tcBorders>
            <w:shd w:val="clear" w:color="C3BD96" w:themeColor="background2" w:themeShade="BF" w:fill="auto"/>
            <w:vAlign w:val="center"/>
          </w:tcPr>
          <w:p w14:paraId="44C29853">
            <w:pPr>
              <w:spacing w:line="360" w:lineRule="auto"/>
              <w:ind w:left="-48" w:leftChars="-23" w:right="-65" w:rightChars="-31"/>
              <w:jc w:val="center"/>
              <w:rPr>
                <w:rFonts w:cs="宋体"/>
                <w:b/>
                <w:color w:val="auto"/>
                <w:highlight w:val="none"/>
              </w:rPr>
            </w:pPr>
            <w:r>
              <w:rPr>
                <w:rFonts w:hint="eastAsia" w:cs="宋体"/>
                <w:b/>
                <w:color w:val="auto"/>
                <w:highlight w:val="none"/>
              </w:rPr>
              <w:t>单位</w:t>
            </w:r>
          </w:p>
        </w:tc>
        <w:tc>
          <w:tcPr>
            <w:tcW w:w="478" w:type="pct"/>
            <w:tcBorders>
              <w:right w:val="single" w:color="auto" w:sz="4" w:space="0"/>
            </w:tcBorders>
            <w:shd w:val="clear" w:color="C3BD96" w:themeColor="background2" w:themeShade="BF" w:fill="auto"/>
            <w:vAlign w:val="center"/>
          </w:tcPr>
          <w:p w14:paraId="018AD756">
            <w:pPr>
              <w:spacing w:line="360" w:lineRule="auto"/>
              <w:ind w:left="-48" w:leftChars="-23" w:right="-65" w:rightChars="-31"/>
              <w:jc w:val="center"/>
              <w:rPr>
                <w:rFonts w:cs="宋体"/>
                <w:b/>
                <w:color w:val="auto"/>
                <w:highlight w:val="none"/>
              </w:rPr>
            </w:pPr>
            <w:r>
              <w:rPr>
                <w:rFonts w:hint="eastAsia" w:cs="宋体"/>
                <w:b/>
                <w:color w:val="auto"/>
                <w:highlight w:val="none"/>
              </w:rPr>
              <w:t>报价单价（</w:t>
            </w:r>
            <w:r>
              <w:rPr>
                <w:rFonts w:cs="宋体"/>
                <w:b/>
                <w:color w:val="auto"/>
                <w:highlight w:val="none"/>
              </w:rPr>
              <w:t>元）</w:t>
            </w:r>
          </w:p>
        </w:tc>
        <w:tc>
          <w:tcPr>
            <w:tcW w:w="692" w:type="pct"/>
            <w:shd w:val="clear" w:color="C3BD96" w:themeColor="background2" w:themeShade="BF" w:fill="auto"/>
            <w:vAlign w:val="center"/>
          </w:tcPr>
          <w:p w14:paraId="7CCC392B">
            <w:pPr>
              <w:spacing w:line="360" w:lineRule="auto"/>
              <w:ind w:left="-48" w:leftChars="-23" w:right="-65" w:rightChars="-31"/>
              <w:jc w:val="center"/>
              <w:rPr>
                <w:rFonts w:cs="宋体"/>
                <w:b/>
                <w:color w:val="auto"/>
                <w:highlight w:val="none"/>
              </w:rPr>
            </w:pPr>
            <w:r>
              <w:rPr>
                <w:rFonts w:hint="eastAsia" w:cs="宋体"/>
                <w:b/>
                <w:color w:val="auto"/>
                <w:highlight w:val="none"/>
              </w:rPr>
              <w:t>成本项目</w:t>
            </w:r>
          </w:p>
          <w:p w14:paraId="1D32DA7A">
            <w:pPr>
              <w:spacing w:line="360" w:lineRule="auto"/>
              <w:ind w:right="-65" w:rightChars="-31"/>
              <w:rPr>
                <w:rFonts w:cs="宋体"/>
                <w:b/>
                <w:color w:val="auto"/>
                <w:highlight w:val="none"/>
              </w:rPr>
            </w:pPr>
          </w:p>
        </w:tc>
        <w:tc>
          <w:tcPr>
            <w:tcW w:w="560" w:type="pct"/>
            <w:shd w:val="clear" w:color="C3BD96" w:themeColor="background2" w:themeShade="BF" w:fill="auto"/>
            <w:vAlign w:val="center"/>
          </w:tcPr>
          <w:p w14:paraId="58E48C0E">
            <w:pPr>
              <w:spacing w:line="360" w:lineRule="auto"/>
              <w:ind w:left="-48" w:leftChars="-23" w:right="-65" w:rightChars="-31"/>
              <w:jc w:val="center"/>
              <w:rPr>
                <w:rFonts w:cs="宋体"/>
                <w:b/>
                <w:color w:val="auto"/>
                <w:highlight w:val="none"/>
              </w:rPr>
            </w:pPr>
            <w:r>
              <w:rPr>
                <w:rFonts w:hint="eastAsia" w:cs="宋体"/>
                <w:b/>
                <w:color w:val="auto"/>
                <w:highlight w:val="none"/>
              </w:rPr>
              <w:t>具体明细</w:t>
            </w:r>
          </w:p>
          <w:p w14:paraId="794CF51B">
            <w:pPr>
              <w:spacing w:line="360" w:lineRule="auto"/>
              <w:ind w:left="-48" w:leftChars="-23" w:right="-65" w:rightChars="-31"/>
              <w:jc w:val="center"/>
              <w:rPr>
                <w:rFonts w:cs="宋体"/>
                <w:b/>
                <w:color w:val="auto"/>
                <w:highlight w:val="none"/>
              </w:rPr>
            </w:pPr>
          </w:p>
        </w:tc>
        <w:tc>
          <w:tcPr>
            <w:tcW w:w="511" w:type="pct"/>
            <w:shd w:val="clear" w:color="C3BD96" w:themeColor="background2" w:themeShade="BF" w:fill="auto"/>
            <w:vAlign w:val="center"/>
          </w:tcPr>
          <w:p w14:paraId="7E77E9B6">
            <w:pPr>
              <w:spacing w:line="360" w:lineRule="auto"/>
              <w:ind w:left="-48" w:leftChars="-23" w:right="-65" w:rightChars="-31"/>
              <w:jc w:val="center"/>
              <w:rPr>
                <w:rFonts w:cs="宋体"/>
                <w:b/>
                <w:color w:val="auto"/>
                <w:highlight w:val="none"/>
              </w:rPr>
            </w:pPr>
            <w:r>
              <w:rPr>
                <w:rFonts w:hint="eastAsia" w:cs="宋体"/>
                <w:b/>
                <w:color w:val="auto"/>
                <w:highlight w:val="none"/>
              </w:rPr>
              <w:t>单位产品用量</w:t>
            </w:r>
          </w:p>
          <w:p w14:paraId="71ED6C3B">
            <w:pPr>
              <w:spacing w:line="360" w:lineRule="auto"/>
              <w:ind w:left="-48" w:leftChars="-23" w:right="-65" w:rightChars="-31"/>
              <w:jc w:val="center"/>
              <w:rPr>
                <w:rFonts w:cs="宋体"/>
                <w:b/>
                <w:color w:val="auto"/>
                <w:highlight w:val="none"/>
              </w:rPr>
            </w:pPr>
          </w:p>
        </w:tc>
        <w:tc>
          <w:tcPr>
            <w:tcW w:w="606" w:type="pct"/>
            <w:shd w:val="clear" w:color="C3BD96" w:themeColor="background2" w:themeShade="BF" w:fill="auto"/>
            <w:vAlign w:val="center"/>
          </w:tcPr>
          <w:p w14:paraId="2DAE1755">
            <w:pPr>
              <w:spacing w:line="360" w:lineRule="auto"/>
              <w:ind w:left="-48" w:leftChars="-23" w:right="-65" w:rightChars="-31"/>
              <w:jc w:val="center"/>
              <w:rPr>
                <w:rFonts w:cs="宋体"/>
                <w:b/>
                <w:color w:val="auto"/>
                <w:highlight w:val="none"/>
              </w:rPr>
            </w:pPr>
            <w:r>
              <w:rPr>
                <w:rFonts w:hint="eastAsia" w:cs="宋体"/>
                <w:b/>
                <w:color w:val="auto"/>
                <w:highlight w:val="none"/>
              </w:rPr>
              <w:t>单位成本（元）</w:t>
            </w:r>
          </w:p>
        </w:tc>
        <w:tc>
          <w:tcPr>
            <w:tcW w:w="449" w:type="pct"/>
            <w:tcBorders>
              <w:left w:val="single" w:color="auto" w:sz="4" w:space="0"/>
            </w:tcBorders>
            <w:shd w:val="clear" w:color="C3BD96" w:themeColor="background2" w:themeShade="BF" w:fill="auto"/>
            <w:vAlign w:val="center"/>
          </w:tcPr>
          <w:p w14:paraId="113A57D8">
            <w:pPr>
              <w:spacing w:line="360" w:lineRule="auto"/>
              <w:ind w:left="-48" w:leftChars="-23" w:right="-65" w:rightChars="-31"/>
              <w:jc w:val="center"/>
              <w:rPr>
                <w:rFonts w:cs="宋体"/>
                <w:b/>
                <w:color w:val="auto"/>
                <w:highlight w:val="none"/>
              </w:rPr>
            </w:pPr>
            <w:r>
              <w:rPr>
                <w:rFonts w:hint="eastAsia" w:cs="宋体"/>
                <w:b/>
                <w:color w:val="auto"/>
                <w:highlight w:val="none"/>
              </w:rPr>
              <w:t>成本</w:t>
            </w:r>
            <w:r>
              <w:rPr>
                <w:rFonts w:cs="宋体"/>
                <w:b/>
                <w:color w:val="auto"/>
                <w:highlight w:val="none"/>
              </w:rPr>
              <w:t>合计（元）</w:t>
            </w:r>
          </w:p>
        </w:tc>
        <w:tc>
          <w:tcPr>
            <w:tcW w:w="587" w:type="pct"/>
            <w:tcBorders>
              <w:left w:val="single" w:color="auto" w:sz="4" w:space="0"/>
            </w:tcBorders>
            <w:shd w:val="clear" w:color="C3BD96" w:themeColor="background2" w:themeShade="BF" w:fill="auto"/>
            <w:vAlign w:val="center"/>
          </w:tcPr>
          <w:p w14:paraId="6FFD4268">
            <w:pPr>
              <w:spacing w:line="360" w:lineRule="auto"/>
              <w:ind w:left="-48" w:leftChars="-23" w:right="-65" w:rightChars="-31"/>
              <w:jc w:val="center"/>
              <w:rPr>
                <w:rFonts w:cs="宋体"/>
                <w:b/>
                <w:color w:val="auto"/>
                <w:highlight w:val="none"/>
              </w:rPr>
            </w:pPr>
            <w:r>
              <w:rPr>
                <w:rFonts w:hint="eastAsia" w:cs="宋体"/>
                <w:b/>
                <w:color w:val="auto"/>
                <w:highlight w:val="none"/>
              </w:rPr>
              <w:t>备注（测算依据/证明材料）</w:t>
            </w:r>
          </w:p>
        </w:tc>
      </w:tr>
      <w:tr w14:paraId="6465CE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shd w:val="clear" w:color="auto" w:fill="auto"/>
            <w:vAlign w:val="center"/>
          </w:tcPr>
          <w:p w14:paraId="1DC0333C">
            <w:pPr>
              <w:numPr>
                <w:ilvl w:val="0"/>
                <w:numId w:val="4"/>
              </w:numPr>
              <w:tabs>
                <w:tab w:val="left" w:pos="61"/>
              </w:tabs>
              <w:jc w:val="center"/>
              <w:rPr>
                <w:color w:val="auto"/>
                <w:highlight w:val="none"/>
              </w:rPr>
            </w:pPr>
          </w:p>
        </w:tc>
        <w:tc>
          <w:tcPr>
            <w:tcW w:w="201" w:type="pct"/>
            <w:vMerge w:val="restart"/>
            <w:shd w:val="clear" w:color="auto" w:fill="auto"/>
            <w:vAlign w:val="center"/>
          </w:tcPr>
          <w:p w14:paraId="72E8D683">
            <w:pPr>
              <w:tabs>
                <w:tab w:val="left" w:pos="0"/>
                <w:tab w:val="left" w:pos="56"/>
              </w:tabs>
              <w:ind w:left="479" w:hanging="478" w:hangingChars="228"/>
              <w:jc w:val="center"/>
              <w:rPr>
                <w:color w:val="auto"/>
                <w:highlight w:val="none"/>
              </w:rPr>
            </w:pPr>
          </w:p>
        </w:tc>
        <w:tc>
          <w:tcPr>
            <w:tcW w:w="380" w:type="pct"/>
            <w:vMerge w:val="restart"/>
            <w:shd w:val="clear" w:color="auto" w:fill="auto"/>
            <w:vAlign w:val="center"/>
          </w:tcPr>
          <w:p w14:paraId="716F9EDD">
            <w:pPr>
              <w:spacing w:line="240" w:lineRule="atLeast"/>
              <w:ind w:left="-48" w:leftChars="-23" w:right="-65" w:rightChars="-31"/>
              <w:jc w:val="left"/>
              <w:rPr>
                <w:rFonts w:cs="宋体"/>
                <w:color w:val="auto"/>
                <w:highlight w:val="none"/>
              </w:rPr>
            </w:pPr>
          </w:p>
        </w:tc>
        <w:tc>
          <w:tcPr>
            <w:tcW w:w="282" w:type="pct"/>
            <w:vMerge w:val="restart"/>
            <w:tcBorders>
              <w:left w:val="single" w:color="auto" w:sz="4" w:space="0"/>
            </w:tcBorders>
            <w:shd w:val="clear" w:color="auto" w:fill="auto"/>
            <w:vAlign w:val="center"/>
          </w:tcPr>
          <w:p w14:paraId="6A352C9D">
            <w:pPr>
              <w:spacing w:line="240" w:lineRule="atLeast"/>
              <w:ind w:left="-48" w:leftChars="-23" w:right="-65" w:rightChars="-31"/>
              <w:jc w:val="left"/>
              <w:rPr>
                <w:rFonts w:cs="宋体"/>
                <w:color w:val="auto"/>
                <w:highlight w:val="none"/>
              </w:rPr>
            </w:pPr>
          </w:p>
        </w:tc>
        <w:tc>
          <w:tcPr>
            <w:tcW w:w="478" w:type="pct"/>
            <w:vMerge w:val="restart"/>
            <w:tcBorders>
              <w:left w:val="single" w:color="auto" w:sz="4" w:space="0"/>
              <w:right w:val="single" w:color="auto" w:sz="4" w:space="0"/>
            </w:tcBorders>
            <w:shd w:val="clear" w:color="auto" w:fill="auto"/>
            <w:vAlign w:val="center"/>
          </w:tcPr>
          <w:p w14:paraId="3F9305E5">
            <w:pPr>
              <w:spacing w:line="240" w:lineRule="atLeast"/>
              <w:ind w:left="-48" w:leftChars="-23" w:right="-65" w:rightChars="-31"/>
              <w:jc w:val="left"/>
              <w:rPr>
                <w:rFonts w:cs="宋体"/>
                <w:color w:val="auto"/>
                <w:highlight w:val="none"/>
              </w:rPr>
            </w:pPr>
          </w:p>
        </w:tc>
        <w:tc>
          <w:tcPr>
            <w:tcW w:w="692" w:type="pct"/>
            <w:vMerge w:val="restart"/>
            <w:tcBorders>
              <w:left w:val="single" w:color="auto" w:sz="4" w:space="0"/>
              <w:right w:val="single" w:color="auto" w:sz="4" w:space="0"/>
            </w:tcBorders>
            <w:vAlign w:val="center"/>
          </w:tcPr>
          <w:p w14:paraId="1C9464C2">
            <w:pPr>
              <w:spacing w:line="240" w:lineRule="atLeast"/>
              <w:ind w:left="-48" w:leftChars="-23" w:right="-65" w:rightChars="-31"/>
              <w:jc w:val="left"/>
              <w:rPr>
                <w:rFonts w:cs="宋体"/>
                <w:color w:val="auto"/>
                <w:highlight w:val="none"/>
              </w:rPr>
            </w:pPr>
            <w:r>
              <w:rPr>
                <w:rFonts w:hint="eastAsia" w:cs="宋体"/>
                <w:color w:val="auto"/>
                <w:highlight w:val="none"/>
              </w:rPr>
              <w:t>原材料成本</w:t>
            </w:r>
          </w:p>
        </w:tc>
        <w:tc>
          <w:tcPr>
            <w:tcW w:w="560" w:type="pct"/>
            <w:tcBorders>
              <w:left w:val="single" w:color="auto" w:sz="4" w:space="0"/>
            </w:tcBorders>
            <w:shd w:val="clear" w:color="auto" w:fill="auto"/>
            <w:vAlign w:val="center"/>
          </w:tcPr>
          <w:p w14:paraId="1F2C24A8">
            <w:pPr>
              <w:spacing w:line="240" w:lineRule="atLeast"/>
              <w:ind w:left="-48" w:leftChars="-23" w:right="-65" w:rightChars="-31"/>
              <w:jc w:val="left"/>
              <w:rPr>
                <w:rFonts w:cs="宋体"/>
                <w:color w:val="auto"/>
                <w:highlight w:val="none"/>
              </w:rPr>
            </w:pPr>
            <w:r>
              <w:rPr>
                <w:rFonts w:cs="宋体"/>
                <w:color w:val="auto"/>
                <w:highlight w:val="none"/>
              </w:rPr>
              <w:t>原材料1</w:t>
            </w:r>
          </w:p>
        </w:tc>
        <w:tc>
          <w:tcPr>
            <w:tcW w:w="511" w:type="pct"/>
            <w:tcBorders>
              <w:left w:val="single" w:color="auto" w:sz="4" w:space="0"/>
            </w:tcBorders>
            <w:shd w:val="clear" w:color="auto" w:fill="auto"/>
            <w:vAlign w:val="center"/>
          </w:tcPr>
          <w:p w14:paraId="1ED3D877">
            <w:pPr>
              <w:spacing w:line="240" w:lineRule="atLeast"/>
              <w:ind w:left="-48" w:leftChars="-23" w:right="-65" w:rightChars="-31"/>
              <w:jc w:val="left"/>
              <w:rPr>
                <w:rFonts w:cs="宋体"/>
                <w:color w:val="auto"/>
                <w:highlight w:val="none"/>
              </w:rPr>
            </w:pPr>
          </w:p>
        </w:tc>
        <w:tc>
          <w:tcPr>
            <w:tcW w:w="606" w:type="pct"/>
            <w:tcBorders>
              <w:left w:val="single" w:color="auto" w:sz="4" w:space="0"/>
            </w:tcBorders>
            <w:shd w:val="clear" w:color="auto" w:fill="auto"/>
            <w:vAlign w:val="center"/>
          </w:tcPr>
          <w:p w14:paraId="4E095569">
            <w:pPr>
              <w:spacing w:line="240" w:lineRule="atLeast"/>
              <w:ind w:left="-48" w:leftChars="-23" w:right="-65" w:rightChars="-31"/>
              <w:jc w:val="left"/>
              <w:rPr>
                <w:rFonts w:cs="宋体"/>
                <w:color w:val="auto"/>
                <w:highlight w:val="none"/>
              </w:rPr>
            </w:pPr>
          </w:p>
        </w:tc>
        <w:tc>
          <w:tcPr>
            <w:tcW w:w="449" w:type="pct"/>
            <w:vMerge w:val="restart"/>
            <w:tcBorders>
              <w:left w:val="single" w:color="auto" w:sz="4" w:space="0"/>
            </w:tcBorders>
            <w:shd w:val="clear" w:color="auto" w:fill="auto"/>
            <w:vAlign w:val="center"/>
          </w:tcPr>
          <w:p w14:paraId="690A4FEB">
            <w:pPr>
              <w:spacing w:line="240" w:lineRule="atLeast"/>
              <w:ind w:left="-48" w:leftChars="-23" w:right="-65" w:rightChars="-31"/>
              <w:jc w:val="left"/>
              <w:rPr>
                <w:rFonts w:cs="宋体"/>
                <w:color w:val="auto"/>
                <w:highlight w:val="none"/>
              </w:rPr>
            </w:pPr>
          </w:p>
        </w:tc>
        <w:tc>
          <w:tcPr>
            <w:tcW w:w="587" w:type="pct"/>
            <w:tcBorders>
              <w:left w:val="single" w:color="auto" w:sz="4" w:space="0"/>
            </w:tcBorders>
            <w:shd w:val="clear" w:color="auto" w:fill="auto"/>
            <w:vAlign w:val="center"/>
          </w:tcPr>
          <w:p w14:paraId="1C9F08C3">
            <w:pPr>
              <w:spacing w:line="240" w:lineRule="atLeast"/>
              <w:ind w:left="-48" w:leftChars="-23" w:right="-65" w:rightChars="-31"/>
              <w:jc w:val="left"/>
              <w:rPr>
                <w:rFonts w:cs="宋体"/>
                <w:color w:val="auto"/>
                <w:highlight w:val="none"/>
              </w:rPr>
            </w:pPr>
          </w:p>
        </w:tc>
      </w:tr>
      <w:tr w14:paraId="234E2F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39BB0822">
            <w:pPr>
              <w:numPr>
                <w:ilvl w:val="0"/>
                <w:numId w:val="4"/>
              </w:numPr>
              <w:tabs>
                <w:tab w:val="left" w:pos="61"/>
              </w:tabs>
              <w:jc w:val="center"/>
              <w:rPr>
                <w:color w:val="auto"/>
                <w:highlight w:val="none"/>
              </w:rPr>
            </w:pPr>
          </w:p>
        </w:tc>
        <w:tc>
          <w:tcPr>
            <w:tcW w:w="201" w:type="pct"/>
            <w:vMerge w:val="continue"/>
            <w:shd w:val="clear" w:color="auto" w:fill="auto"/>
            <w:vAlign w:val="center"/>
          </w:tcPr>
          <w:p w14:paraId="19AFF132">
            <w:pPr>
              <w:tabs>
                <w:tab w:val="left" w:pos="0"/>
                <w:tab w:val="left" w:pos="56"/>
              </w:tabs>
              <w:ind w:left="479" w:hanging="478" w:hangingChars="228"/>
              <w:jc w:val="center"/>
              <w:rPr>
                <w:color w:val="auto"/>
                <w:highlight w:val="none"/>
              </w:rPr>
            </w:pPr>
          </w:p>
        </w:tc>
        <w:tc>
          <w:tcPr>
            <w:tcW w:w="380" w:type="pct"/>
            <w:vMerge w:val="continue"/>
            <w:shd w:val="clear" w:color="auto" w:fill="auto"/>
            <w:vAlign w:val="center"/>
          </w:tcPr>
          <w:p w14:paraId="2CD81857">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shd w:val="clear" w:color="auto" w:fill="auto"/>
            <w:vAlign w:val="center"/>
          </w:tcPr>
          <w:p w14:paraId="73A34ED1">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shd w:val="clear" w:color="auto" w:fill="auto"/>
            <w:vAlign w:val="center"/>
          </w:tcPr>
          <w:p w14:paraId="26F8BBE3">
            <w:pPr>
              <w:spacing w:line="240" w:lineRule="atLeast"/>
              <w:ind w:left="-48" w:leftChars="-23" w:right="-65" w:rightChars="-31"/>
              <w:jc w:val="left"/>
              <w:rPr>
                <w:rFonts w:cs="宋体"/>
                <w:color w:val="auto"/>
                <w:highlight w:val="none"/>
              </w:rPr>
            </w:pPr>
          </w:p>
        </w:tc>
        <w:tc>
          <w:tcPr>
            <w:tcW w:w="692" w:type="pct"/>
            <w:vMerge w:val="continue"/>
            <w:tcBorders>
              <w:left w:val="single" w:color="auto" w:sz="4" w:space="0"/>
              <w:right w:val="single" w:color="auto" w:sz="4" w:space="0"/>
            </w:tcBorders>
            <w:vAlign w:val="center"/>
          </w:tcPr>
          <w:p w14:paraId="42D3F4CF">
            <w:pPr>
              <w:spacing w:line="240" w:lineRule="atLeast"/>
              <w:ind w:left="-48" w:leftChars="-23" w:right="-65" w:rightChars="-31"/>
              <w:jc w:val="left"/>
              <w:rPr>
                <w:rFonts w:cs="宋体"/>
                <w:color w:val="auto"/>
                <w:highlight w:val="none"/>
              </w:rPr>
            </w:pPr>
          </w:p>
        </w:tc>
        <w:tc>
          <w:tcPr>
            <w:tcW w:w="560" w:type="pct"/>
            <w:tcBorders>
              <w:left w:val="single" w:color="auto" w:sz="4" w:space="0"/>
            </w:tcBorders>
            <w:shd w:val="clear" w:color="auto" w:fill="auto"/>
            <w:vAlign w:val="center"/>
          </w:tcPr>
          <w:p w14:paraId="7C5984E6">
            <w:pPr>
              <w:spacing w:line="240" w:lineRule="atLeast"/>
              <w:ind w:left="-48" w:leftChars="-23" w:right="-65" w:rightChars="-31"/>
              <w:jc w:val="left"/>
              <w:rPr>
                <w:rFonts w:cs="宋体"/>
                <w:color w:val="auto"/>
                <w:highlight w:val="none"/>
              </w:rPr>
            </w:pPr>
            <w:r>
              <w:rPr>
                <w:rFonts w:hint="eastAsia" w:cs="宋体"/>
                <w:color w:val="auto"/>
                <w:highlight w:val="none"/>
              </w:rPr>
              <w:t>...</w:t>
            </w:r>
          </w:p>
        </w:tc>
        <w:tc>
          <w:tcPr>
            <w:tcW w:w="511" w:type="pct"/>
            <w:tcBorders>
              <w:left w:val="single" w:color="auto" w:sz="4" w:space="0"/>
            </w:tcBorders>
            <w:shd w:val="clear" w:color="auto" w:fill="auto"/>
            <w:vAlign w:val="center"/>
          </w:tcPr>
          <w:p w14:paraId="5C636DF2">
            <w:pPr>
              <w:spacing w:line="240" w:lineRule="atLeast"/>
              <w:ind w:left="-48" w:leftChars="-23" w:right="-65" w:rightChars="-31"/>
              <w:jc w:val="left"/>
              <w:rPr>
                <w:rFonts w:cs="宋体"/>
                <w:color w:val="auto"/>
                <w:highlight w:val="none"/>
              </w:rPr>
            </w:pPr>
          </w:p>
        </w:tc>
        <w:tc>
          <w:tcPr>
            <w:tcW w:w="606" w:type="pct"/>
            <w:tcBorders>
              <w:left w:val="single" w:color="auto" w:sz="4" w:space="0"/>
            </w:tcBorders>
            <w:shd w:val="clear" w:color="auto" w:fill="auto"/>
            <w:vAlign w:val="center"/>
          </w:tcPr>
          <w:p w14:paraId="262C6EA1">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shd w:val="clear" w:color="auto" w:fill="auto"/>
            <w:vAlign w:val="center"/>
          </w:tcPr>
          <w:p w14:paraId="6D46122F">
            <w:pPr>
              <w:spacing w:line="240" w:lineRule="atLeast"/>
              <w:ind w:left="-48" w:leftChars="-23" w:right="-65" w:rightChars="-31"/>
              <w:jc w:val="left"/>
              <w:rPr>
                <w:rFonts w:cs="宋体"/>
                <w:color w:val="auto"/>
                <w:highlight w:val="none"/>
              </w:rPr>
            </w:pPr>
          </w:p>
        </w:tc>
        <w:tc>
          <w:tcPr>
            <w:tcW w:w="587" w:type="pct"/>
            <w:tcBorders>
              <w:left w:val="single" w:color="auto" w:sz="4" w:space="0"/>
            </w:tcBorders>
            <w:shd w:val="clear" w:color="auto" w:fill="auto"/>
            <w:vAlign w:val="center"/>
          </w:tcPr>
          <w:p w14:paraId="498C5A30">
            <w:pPr>
              <w:spacing w:line="240" w:lineRule="atLeast"/>
              <w:ind w:left="-48" w:leftChars="-23" w:right="-65" w:rightChars="-31"/>
              <w:jc w:val="left"/>
              <w:rPr>
                <w:rFonts w:cs="宋体"/>
                <w:color w:val="auto"/>
                <w:highlight w:val="none"/>
              </w:rPr>
            </w:pPr>
          </w:p>
        </w:tc>
      </w:tr>
      <w:tr w14:paraId="692367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84BA774">
            <w:pPr>
              <w:tabs>
                <w:tab w:val="left" w:pos="61"/>
              </w:tabs>
              <w:jc w:val="center"/>
              <w:rPr>
                <w:color w:val="auto"/>
                <w:highlight w:val="none"/>
              </w:rPr>
            </w:pPr>
          </w:p>
        </w:tc>
        <w:tc>
          <w:tcPr>
            <w:tcW w:w="201" w:type="pct"/>
            <w:vMerge w:val="continue"/>
            <w:shd w:val="clear" w:color="auto" w:fill="auto"/>
            <w:vAlign w:val="center"/>
          </w:tcPr>
          <w:p w14:paraId="1B4FEBC5">
            <w:pPr>
              <w:tabs>
                <w:tab w:val="left" w:pos="0"/>
                <w:tab w:val="left" w:pos="56"/>
              </w:tabs>
              <w:ind w:left="479" w:hanging="478" w:hangingChars="228"/>
              <w:jc w:val="center"/>
              <w:rPr>
                <w:color w:val="auto"/>
                <w:highlight w:val="none"/>
              </w:rPr>
            </w:pPr>
          </w:p>
        </w:tc>
        <w:tc>
          <w:tcPr>
            <w:tcW w:w="380" w:type="pct"/>
            <w:vMerge w:val="continue"/>
            <w:shd w:val="clear" w:color="auto" w:fill="auto"/>
            <w:vAlign w:val="center"/>
          </w:tcPr>
          <w:p w14:paraId="75C8F528">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shd w:val="clear" w:color="auto" w:fill="auto"/>
            <w:vAlign w:val="center"/>
          </w:tcPr>
          <w:p w14:paraId="4B8599DD">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shd w:val="clear" w:color="auto" w:fill="auto"/>
            <w:vAlign w:val="center"/>
          </w:tcPr>
          <w:p w14:paraId="15D0F3AF">
            <w:pPr>
              <w:spacing w:line="240" w:lineRule="atLeast"/>
              <w:ind w:left="-48" w:leftChars="-23" w:right="-65" w:rightChars="-31"/>
              <w:jc w:val="left"/>
              <w:rPr>
                <w:rFonts w:cs="宋体"/>
                <w:color w:val="auto"/>
                <w:highlight w:val="none"/>
              </w:rPr>
            </w:pPr>
          </w:p>
        </w:tc>
        <w:tc>
          <w:tcPr>
            <w:tcW w:w="692" w:type="pct"/>
            <w:vMerge w:val="restart"/>
            <w:tcBorders>
              <w:left w:val="single" w:color="auto" w:sz="4" w:space="0"/>
              <w:right w:val="single" w:color="auto" w:sz="4" w:space="0"/>
            </w:tcBorders>
            <w:vAlign w:val="center"/>
          </w:tcPr>
          <w:p w14:paraId="2E71A38B">
            <w:pPr>
              <w:spacing w:line="240" w:lineRule="atLeast"/>
              <w:ind w:left="-48" w:leftChars="-23" w:right="-65" w:rightChars="-31"/>
              <w:jc w:val="left"/>
              <w:rPr>
                <w:rFonts w:cs="宋体"/>
                <w:color w:val="auto"/>
                <w:highlight w:val="none"/>
              </w:rPr>
            </w:pPr>
            <w:r>
              <w:rPr>
                <w:rFonts w:hint="eastAsia" w:cs="宋体"/>
                <w:color w:val="auto"/>
                <w:highlight w:val="none"/>
              </w:rPr>
              <w:t>人工成本</w:t>
            </w:r>
          </w:p>
        </w:tc>
        <w:tc>
          <w:tcPr>
            <w:tcW w:w="560" w:type="pct"/>
            <w:tcBorders>
              <w:left w:val="single" w:color="auto" w:sz="4" w:space="0"/>
            </w:tcBorders>
            <w:shd w:val="clear" w:color="auto" w:fill="auto"/>
            <w:vAlign w:val="center"/>
          </w:tcPr>
          <w:p w14:paraId="3B7A3E0C">
            <w:pPr>
              <w:spacing w:line="240" w:lineRule="atLeast"/>
              <w:ind w:left="-48" w:leftChars="-23" w:right="-65" w:rightChars="-31"/>
              <w:jc w:val="left"/>
              <w:rPr>
                <w:rFonts w:cs="宋体"/>
                <w:color w:val="auto"/>
                <w:highlight w:val="none"/>
              </w:rPr>
            </w:pPr>
            <w:r>
              <w:rPr>
                <w:rFonts w:cs="宋体"/>
                <w:color w:val="auto"/>
                <w:highlight w:val="none"/>
              </w:rPr>
              <w:t>生产工人工资</w:t>
            </w:r>
          </w:p>
        </w:tc>
        <w:tc>
          <w:tcPr>
            <w:tcW w:w="511" w:type="pct"/>
            <w:tcBorders>
              <w:left w:val="single" w:color="auto" w:sz="4" w:space="0"/>
            </w:tcBorders>
            <w:shd w:val="clear" w:color="auto" w:fill="auto"/>
            <w:vAlign w:val="center"/>
          </w:tcPr>
          <w:p w14:paraId="045B7F5C">
            <w:pPr>
              <w:spacing w:line="240" w:lineRule="atLeast"/>
              <w:ind w:left="-48" w:leftChars="-23" w:right="-65" w:rightChars="-31"/>
              <w:jc w:val="left"/>
              <w:rPr>
                <w:rFonts w:cs="宋体"/>
                <w:color w:val="auto"/>
                <w:highlight w:val="none"/>
              </w:rPr>
            </w:pPr>
          </w:p>
        </w:tc>
        <w:tc>
          <w:tcPr>
            <w:tcW w:w="606" w:type="pct"/>
            <w:tcBorders>
              <w:left w:val="single" w:color="auto" w:sz="4" w:space="0"/>
            </w:tcBorders>
            <w:shd w:val="clear" w:color="auto" w:fill="auto"/>
            <w:vAlign w:val="center"/>
          </w:tcPr>
          <w:p w14:paraId="4E43BFBC">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shd w:val="clear" w:color="auto" w:fill="auto"/>
            <w:vAlign w:val="center"/>
          </w:tcPr>
          <w:p w14:paraId="76F7559A">
            <w:pPr>
              <w:spacing w:line="240" w:lineRule="atLeast"/>
              <w:ind w:left="-48" w:leftChars="-23" w:right="-65" w:rightChars="-31"/>
              <w:jc w:val="left"/>
              <w:rPr>
                <w:rFonts w:cs="宋体"/>
                <w:color w:val="auto"/>
                <w:highlight w:val="none"/>
              </w:rPr>
            </w:pPr>
          </w:p>
        </w:tc>
        <w:tc>
          <w:tcPr>
            <w:tcW w:w="587" w:type="pct"/>
            <w:tcBorders>
              <w:left w:val="single" w:color="auto" w:sz="4" w:space="0"/>
            </w:tcBorders>
            <w:shd w:val="clear" w:color="auto" w:fill="auto"/>
            <w:vAlign w:val="center"/>
          </w:tcPr>
          <w:p w14:paraId="5B353D1A">
            <w:pPr>
              <w:spacing w:line="240" w:lineRule="atLeast"/>
              <w:ind w:left="-48" w:leftChars="-23" w:right="-65" w:rightChars="-31"/>
              <w:jc w:val="left"/>
              <w:rPr>
                <w:rFonts w:cs="宋体"/>
                <w:color w:val="auto"/>
                <w:highlight w:val="none"/>
              </w:rPr>
            </w:pPr>
          </w:p>
        </w:tc>
      </w:tr>
      <w:tr w14:paraId="7F4B5A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35E9FE8A">
            <w:pPr>
              <w:tabs>
                <w:tab w:val="left" w:pos="61"/>
              </w:tabs>
              <w:jc w:val="center"/>
              <w:rPr>
                <w:color w:val="auto"/>
                <w:highlight w:val="none"/>
              </w:rPr>
            </w:pPr>
          </w:p>
        </w:tc>
        <w:tc>
          <w:tcPr>
            <w:tcW w:w="201" w:type="pct"/>
            <w:vMerge w:val="continue"/>
            <w:shd w:val="clear" w:color="auto" w:fill="auto"/>
            <w:vAlign w:val="center"/>
          </w:tcPr>
          <w:p w14:paraId="46FD3EF2">
            <w:pPr>
              <w:tabs>
                <w:tab w:val="left" w:pos="0"/>
                <w:tab w:val="left" w:pos="56"/>
              </w:tabs>
              <w:ind w:left="479" w:hanging="478" w:hangingChars="228"/>
              <w:jc w:val="center"/>
              <w:rPr>
                <w:color w:val="auto"/>
                <w:highlight w:val="none"/>
              </w:rPr>
            </w:pPr>
          </w:p>
        </w:tc>
        <w:tc>
          <w:tcPr>
            <w:tcW w:w="380" w:type="pct"/>
            <w:vMerge w:val="continue"/>
            <w:shd w:val="clear" w:color="auto" w:fill="auto"/>
            <w:vAlign w:val="center"/>
          </w:tcPr>
          <w:p w14:paraId="078573E8">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shd w:val="clear" w:color="auto" w:fill="auto"/>
            <w:vAlign w:val="center"/>
          </w:tcPr>
          <w:p w14:paraId="0A65FDD4">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shd w:val="clear" w:color="auto" w:fill="auto"/>
            <w:vAlign w:val="center"/>
          </w:tcPr>
          <w:p w14:paraId="12C22935">
            <w:pPr>
              <w:spacing w:line="240" w:lineRule="atLeast"/>
              <w:ind w:left="-48" w:leftChars="-23" w:right="-65" w:rightChars="-31"/>
              <w:jc w:val="left"/>
              <w:rPr>
                <w:rFonts w:cs="宋体"/>
                <w:color w:val="auto"/>
                <w:highlight w:val="none"/>
              </w:rPr>
            </w:pPr>
          </w:p>
        </w:tc>
        <w:tc>
          <w:tcPr>
            <w:tcW w:w="692" w:type="pct"/>
            <w:vMerge w:val="continue"/>
            <w:tcBorders>
              <w:left w:val="single" w:color="auto" w:sz="4" w:space="0"/>
              <w:right w:val="single" w:color="auto" w:sz="4" w:space="0"/>
            </w:tcBorders>
            <w:vAlign w:val="center"/>
          </w:tcPr>
          <w:p w14:paraId="387E5051">
            <w:pPr>
              <w:spacing w:line="240" w:lineRule="atLeast"/>
              <w:ind w:left="-48" w:leftChars="-23" w:right="-65" w:rightChars="-31"/>
              <w:jc w:val="left"/>
              <w:rPr>
                <w:rFonts w:cs="宋体"/>
                <w:color w:val="auto"/>
                <w:highlight w:val="none"/>
              </w:rPr>
            </w:pPr>
          </w:p>
        </w:tc>
        <w:tc>
          <w:tcPr>
            <w:tcW w:w="560" w:type="pct"/>
            <w:tcBorders>
              <w:left w:val="single" w:color="auto" w:sz="4" w:space="0"/>
            </w:tcBorders>
            <w:shd w:val="clear" w:color="auto" w:fill="auto"/>
            <w:vAlign w:val="center"/>
          </w:tcPr>
          <w:p w14:paraId="315C1C55">
            <w:pPr>
              <w:spacing w:line="240" w:lineRule="atLeast"/>
              <w:ind w:left="-48" w:leftChars="-23" w:right="-65" w:rightChars="-31"/>
              <w:jc w:val="left"/>
              <w:rPr>
                <w:rFonts w:cs="宋体"/>
                <w:color w:val="auto"/>
                <w:highlight w:val="none"/>
              </w:rPr>
            </w:pPr>
            <w:r>
              <w:rPr>
                <w:rFonts w:hint="eastAsia" w:cs="宋体"/>
                <w:color w:val="auto"/>
                <w:highlight w:val="none"/>
              </w:rPr>
              <w:t>....</w:t>
            </w:r>
          </w:p>
        </w:tc>
        <w:tc>
          <w:tcPr>
            <w:tcW w:w="511" w:type="pct"/>
            <w:tcBorders>
              <w:left w:val="single" w:color="auto" w:sz="4" w:space="0"/>
            </w:tcBorders>
            <w:shd w:val="clear" w:color="auto" w:fill="auto"/>
            <w:vAlign w:val="center"/>
          </w:tcPr>
          <w:p w14:paraId="2A4DE062">
            <w:pPr>
              <w:spacing w:line="240" w:lineRule="atLeast"/>
              <w:ind w:left="-48" w:leftChars="-23" w:right="-65" w:rightChars="-31"/>
              <w:jc w:val="left"/>
              <w:rPr>
                <w:rFonts w:cs="宋体"/>
                <w:color w:val="auto"/>
                <w:highlight w:val="none"/>
              </w:rPr>
            </w:pPr>
          </w:p>
        </w:tc>
        <w:tc>
          <w:tcPr>
            <w:tcW w:w="606" w:type="pct"/>
            <w:tcBorders>
              <w:left w:val="single" w:color="auto" w:sz="4" w:space="0"/>
            </w:tcBorders>
            <w:shd w:val="clear" w:color="auto" w:fill="auto"/>
            <w:vAlign w:val="center"/>
          </w:tcPr>
          <w:p w14:paraId="7F660A88">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shd w:val="clear" w:color="auto" w:fill="auto"/>
            <w:vAlign w:val="center"/>
          </w:tcPr>
          <w:p w14:paraId="547BB5C7">
            <w:pPr>
              <w:spacing w:line="240" w:lineRule="atLeast"/>
              <w:ind w:left="-48" w:leftChars="-23" w:right="-65" w:rightChars="-31"/>
              <w:jc w:val="left"/>
              <w:rPr>
                <w:rFonts w:cs="宋体"/>
                <w:color w:val="auto"/>
                <w:highlight w:val="none"/>
              </w:rPr>
            </w:pPr>
          </w:p>
        </w:tc>
        <w:tc>
          <w:tcPr>
            <w:tcW w:w="587" w:type="pct"/>
            <w:tcBorders>
              <w:left w:val="single" w:color="auto" w:sz="4" w:space="0"/>
            </w:tcBorders>
            <w:shd w:val="clear" w:color="auto" w:fill="auto"/>
            <w:vAlign w:val="center"/>
          </w:tcPr>
          <w:p w14:paraId="60BD805E">
            <w:pPr>
              <w:spacing w:line="240" w:lineRule="atLeast"/>
              <w:ind w:left="-48" w:leftChars="-23" w:right="-65" w:rightChars="-31"/>
              <w:jc w:val="left"/>
              <w:rPr>
                <w:rFonts w:cs="宋体"/>
                <w:color w:val="auto"/>
                <w:highlight w:val="none"/>
              </w:rPr>
            </w:pPr>
          </w:p>
        </w:tc>
      </w:tr>
      <w:tr w14:paraId="5407CA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4DB59C99">
            <w:pPr>
              <w:tabs>
                <w:tab w:val="left" w:pos="61"/>
              </w:tabs>
              <w:jc w:val="center"/>
              <w:rPr>
                <w:color w:val="auto"/>
                <w:highlight w:val="none"/>
              </w:rPr>
            </w:pPr>
          </w:p>
        </w:tc>
        <w:tc>
          <w:tcPr>
            <w:tcW w:w="201" w:type="pct"/>
            <w:vMerge w:val="continue"/>
            <w:shd w:val="clear" w:color="auto" w:fill="auto"/>
            <w:vAlign w:val="center"/>
          </w:tcPr>
          <w:p w14:paraId="40E8D126">
            <w:pPr>
              <w:tabs>
                <w:tab w:val="left" w:pos="0"/>
                <w:tab w:val="left" w:pos="56"/>
              </w:tabs>
              <w:ind w:left="479" w:hanging="478" w:hangingChars="228"/>
              <w:jc w:val="center"/>
              <w:rPr>
                <w:color w:val="auto"/>
                <w:highlight w:val="none"/>
              </w:rPr>
            </w:pPr>
          </w:p>
        </w:tc>
        <w:tc>
          <w:tcPr>
            <w:tcW w:w="380" w:type="pct"/>
            <w:vMerge w:val="continue"/>
            <w:shd w:val="clear" w:color="auto" w:fill="auto"/>
            <w:vAlign w:val="center"/>
          </w:tcPr>
          <w:p w14:paraId="7FA9100C">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shd w:val="clear" w:color="auto" w:fill="auto"/>
            <w:vAlign w:val="center"/>
          </w:tcPr>
          <w:p w14:paraId="7055DF59">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shd w:val="clear" w:color="auto" w:fill="auto"/>
            <w:vAlign w:val="center"/>
          </w:tcPr>
          <w:p w14:paraId="53B2137A">
            <w:pPr>
              <w:spacing w:line="240" w:lineRule="atLeast"/>
              <w:ind w:left="-48" w:leftChars="-23" w:right="-65" w:rightChars="-31"/>
              <w:jc w:val="left"/>
              <w:rPr>
                <w:rFonts w:cs="宋体"/>
                <w:color w:val="auto"/>
                <w:highlight w:val="none"/>
              </w:rPr>
            </w:pPr>
          </w:p>
        </w:tc>
        <w:tc>
          <w:tcPr>
            <w:tcW w:w="692" w:type="pct"/>
            <w:vMerge w:val="restart"/>
            <w:tcBorders>
              <w:left w:val="single" w:color="auto" w:sz="4" w:space="0"/>
              <w:right w:val="single" w:color="auto" w:sz="4" w:space="0"/>
            </w:tcBorders>
            <w:vAlign w:val="center"/>
          </w:tcPr>
          <w:p w14:paraId="20EE14F3">
            <w:pPr>
              <w:spacing w:line="240" w:lineRule="atLeast"/>
              <w:ind w:left="-48" w:leftChars="-23" w:right="-65" w:rightChars="-31"/>
              <w:jc w:val="left"/>
              <w:rPr>
                <w:rFonts w:cs="宋体"/>
                <w:color w:val="auto"/>
                <w:highlight w:val="none"/>
              </w:rPr>
            </w:pPr>
            <w:r>
              <w:rPr>
                <w:rFonts w:hint="eastAsia" w:cs="宋体"/>
                <w:color w:val="auto"/>
                <w:highlight w:val="none"/>
              </w:rPr>
              <w:t>制造费用</w:t>
            </w:r>
          </w:p>
        </w:tc>
        <w:tc>
          <w:tcPr>
            <w:tcW w:w="560" w:type="pct"/>
            <w:tcBorders>
              <w:left w:val="single" w:color="auto" w:sz="4" w:space="0"/>
            </w:tcBorders>
            <w:shd w:val="clear" w:color="auto" w:fill="auto"/>
            <w:vAlign w:val="center"/>
          </w:tcPr>
          <w:p w14:paraId="0EB5BE63">
            <w:pPr>
              <w:spacing w:line="240" w:lineRule="atLeast"/>
              <w:ind w:left="-48" w:leftChars="-23" w:right="-65" w:rightChars="-31"/>
              <w:jc w:val="left"/>
              <w:rPr>
                <w:rFonts w:cs="宋体"/>
                <w:color w:val="auto"/>
                <w:highlight w:val="none"/>
              </w:rPr>
            </w:pPr>
            <w:r>
              <w:rPr>
                <w:rFonts w:cs="宋体"/>
                <w:color w:val="auto"/>
                <w:highlight w:val="none"/>
              </w:rPr>
              <w:t>设备折旧费</w:t>
            </w:r>
          </w:p>
        </w:tc>
        <w:tc>
          <w:tcPr>
            <w:tcW w:w="511" w:type="pct"/>
            <w:tcBorders>
              <w:left w:val="single" w:color="auto" w:sz="4" w:space="0"/>
            </w:tcBorders>
            <w:shd w:val="clear" w:color="auto" w:fill="auto"/>
            <w:vAlign w:val="center"/>
          </w:tcPr>
          <w:p w14:paraId="47593C1A">
            <w:pPr>
              <w:spacing w:line="240" w:lineRule="atLeast"/>
              <w:ind w:left="-48" w:leftChars="-23" w:right="-65" w:rightChars="-31"/>
              <w:jc w:val="left"/>
              <w:rPr>
                <w:rFonts w:cs="宋体"/>
                <w:color w:val="auto"/>
                <w:highlight w:val="none"/>
              </w:rPr>
            </w:pPr>
          </w:p>
        </w:tc>
        <w:tc>
          <w:tcPr>
            <w:tcW w:w="606" w:type="pct"/>
            <w:tcBorders>
              <w:left w:val="single" w:color="auto" w:sz="4" w:space="0"/>
            </w:tcBorders>
            <w:shd w:val="clear" w:color="auto" w:fill="auto"/>
            <w:vAlign w:val="center"/>
          </w:tcPr>
          <w:p w14:paraId="3673B294">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shd w:val="clear" w:color="auto" w:fill="auto"/>
            <w:vAlign w:val="center"/>
          </w:tcPr>
          <w:p w14:paraId="1F83CBA3">
            <w:pPr>
              <w:spacing w:line="240" w:lineRule="atLeast"/>
              <w:ind w:left="-48" w:leftChars="-23" w:right="-65" w:rightChars="-31"/>
              <w:jc w:val="left"/>
              <w:rPr>
                <w:rFonts w:cs="宋体"/>
                <w:color w:val="auto"/>
                <w:highlight w:val="none"/>
              </w:rPr>
            </w:pPr>
          </w:p>
        </w:tc>
        <w:tc>
          <w:tcPr>
            <w:tcW w:w="587" w:type="pct"/>
            <w:tcBorders>
              <w:left w:val="single" w:color="auto" w:sz="4" w:space="0"/>
            </w:tcBorders>
            <w:shd w:val="clear" w:color="auto" w:fill="auto"/>
            <w:vAlign w:val="center"/>
          </w:tcPr>
          <w:p w14:paraId="11BF0CC7">
            <w:pPr>
              <w:spacing w:line="240" w:lineRule="atLeast"/>
              <w:ind w:left="-48" w:leftChars="-23" w:right="-65" w:rightChars="-31"/>
              <w:jc w:val="left"/>
              <w:rPr>
                <w:rFonts w:cs="宋体"/>
                <w:color w:val="auto"/>
                <w:highlight w:val="none"/>
              </w:rPr>
            </w:pPr>
          </w:p>
        </w:tc>
      </w:tr>
      <w:tr w14:paraId="7A9406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58B9AAA6">
            <w:pPr>
              <w:tabs>
                <w:tab w:val="left" w:pos="61"/>
              </w:tabs>
              <w:jc w:val="center"/>
              <w:rPr>
                <w:color w:val="auto"/>
                <w:highlight w:val="none"/>
              </w:rPr>
            </w:pPr>
          </w:p>
        </w:tc>
        <w:tc>
          <w:tcPr>
            <w:tcW w:w="201" w:type="pct"/>
            <w:vMerge w:val="continue"/>
            <w:shd w:val="clear" w:color="auto" w:fill="auto"/>
            <w:vAlign w:val="center"/>
          </w:tcPr>
          <w:p w14:paraId="28727333">
            <w:pPr>
              <w:tabs>
                <w:tab w:val="left" w:pos="0"/>
                <w:tab w:val="left" w:pos="56"/>
              </w:tabs>
              <w:ind w:left="479" w:hanging="478" w:hangingChars="228"/>
              <w:jc w:val="center"/>
              <w:rPr>
                <w:color w:val="auto"/>
                <w:highlight w:val="none"/>
              </w:rPr>
            </w:pPr>
          </w:p>
        </w:tc>
        <w:tc>
          <w:tcPr>
            <w:tcW w:w="380" w:type="pct"/>
            <w:vMerge w:val="continue"/>
            <w:shd w:val="clear" w:color="auto" w:fill="auto"/>
            <w:vAlign w:val="center"/>
          </w:tcPr>
          <w:p w14:paraId="61F414D2">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shd w:val="clear" w:color="auto" w:fill="auto"/>
            <w:vAlign w:val="center"/>
          </w:tcPr>
          <w:p w14:paraId="55C49D78">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shd w:val="clear" w:color="auto" w:fill="auto"/>
            <w:vAlign w:val="center"/>
          </w:tcPr>
          <w:p w14:paraId="093C76DB">
            <w:pPr>
              <w:spacing w:line="240" w:lineRule="atLeast"/>
              <w:ind w:left="-48" w:leftChars="-23" w:right="-65" w:rightChars="-31"/>
              <w:jc w:val="left"/>
              <w:rPr>
                <w:rFonts w:cs="宋体"/>
                <w:color w:val="auto"/>
                <w:highlight w:val="none"/>
              </w:rPr>
            </w:pPr>
          </w:p>
        </w:tc>
        <w:tc>
          <w:tcPr>
            <w:tcW w:w="692" w:type="pct"/>
            <w:vMerge w:val="continue"/>
            <w:tcBorders>
              <w:left w:val="single" w:color="auto" w:sz="4" w:space="0"/>
              <w:right w:val="single" w:color="auto" w:sz="4" w:space="0"/>
            </w:tcBorders>
            <w:vAlign w:val="center"/>
          </w:tcPr>
          <w:p w14:paraId="5B9D314B">
            <w:pPr>
              <w:spacing w:line="240" w:lineRule="atLeast"/>
              <w:ind w:left="-48" w:leftChars="-23" w:right="-65" w:rightChars="-31"/>
              <w:jc w:val="left"/>
              <w:rPr>
                <w:rFonts w:cs="宋体"/>
                <w:color w:val="auto"/>
                <w:highlight w:val="none"/>
              </w:rPr>
            </w:pPr>
          </w:p>
        </w:tc>
        <w:tc>
          <w:tcPr>
            <w:tcW w:w="560" w:type="pct"/>
            <w:tcBorders>
              <w:left w:val="single" w:color="auto" w:sz="4" w:space="0"/>
            </w:tcBorders>
            <w:shd w:val="clear" w:color="auto" w:fill="auto"/>
            <w:vAlign w:val="center"/>
          </w:tcPr>
          <w:p w14:paraId="10750C26">
            <w:pPr>
              <w:spacing w:line="240" w:lineRule="atLeast"/>
              <w:ind w:left="-48" w:leftChars="-23" w:right="-65" w:rightChars="-31"/>
              <w:jc w:val="left"/>
              <w:rPr>
                <w:rFonts w:cs="宋体"/>
                <w:color w:val="auto"/>
                <w:highlight w:val="none"/>
              </w:rPr>
            </w:pPr>
            <w:r>
              <w:rPr>
                <w:rFonts w:hint="eastAsia" w:cs="宋体"/>
                <w:color w:val="auto"/>
                <w:highlight w:val="none"/>
              </w:rPr>
              <w:t>...</w:t>
            </w:r>
          </w:p>
        </w:tc>
        <w:tc>
          <w:tcPr>
            <w:tcW w:w="511" w:type="pct"/>
            <w:tcBorders>
              <w:left w:val="single" w:color="auto" w:sz="4" w:space="0"/>
            </w:tcBorders>
            <w:shd w:val="clear" w:color="auto" w:fill="auto"/>
            <w:vAlign w:val="center"/>
          </w:tcPr>
          <w:p w14:paraId="15FB51EB">
            <w:pPr>
              <w:spacing w:line="240" w:lineRule="atLeast"/>
              <w:ind w:left="-48" w:leftChars="-23" w:right="-65" w:rightChars="-31"/>
              <w:jc w:val="left"/>
              <w:rPr>
                <w:rFonts w:cs="宋体"/>
                <w:color w:val="auto"/>
                <w:highlight w:val="none"/>
              </w:rPr>
            </w:pPr>
          </w:p>
        </w:tc>
        <w:tc>
          <w:tcPr>
            <w:tcW w:w="606" w:type="pct"/>
            <w:tcBorders>
              <w:left w:val="single" w:color="auto" w:sz="4" w:space="0"/>
            </w:tcBorders>
            <w:shd w:val="clear" w:color="auto" w:fill="auto"/>
            <w:vAlign w:val="center"/>
          </w:tcPr>
          <w:p w14:paraId="603E829A">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shd w:val="clear" w:color="auto" w:fill="auto"/>
            <w:vAlign w:val="center"/>
          </w:tcPr>
          <w:p w14:paraId="66A84BEA">
            <w:pPr>
              <w:spacing w:line="240" w:lineRule="atLeast"/>
              <w:ind w:left="-48" w:leftChars="-23" w:right="-65" w:rightChars="-31"/>
              <w:jc w:val="left"/>
              <w:rPr>
                <w:rFonts w:cs="宋体"/>
                <w:color w:val="auto"/>
                <w:highlight w:val="none"/>
              </w:rPr>
            </w:pPr>
          </w:p>
        </w:tc>
        <w:tc>
          <w:tcPr>
            <w:tcW w:w="587" w:type="pct"/>
            <w:tcBorders>
              <w:left w:val="single" w:color="auto" w:sz="4" w:space="0"/>
            </w:tcBorders>
            <w:shd w:val="clear" w:color="auto" w:fill="auto"/>
            <w:vAlign w:val="center"/>
          </w:tcPr>
          <w:p w14:paraId="37556AE3">
            <w:pPr>
              <w:spacing w:line="240" w:lineRule="atLeast"/>
              <w:ind w:left="-48" w:leftChars="-23" w:right="-65" w:rightChars="-31"/>
              <w:jc w:val="left"/>
              <w:rPr>
                <w:rFonts w:cs="宋体"/>
                <w:color w:val="auto"/>
                <w:highlight w:val="none"/>
              </w:rPr>
            </w:pPr>
          </w:p>
        </w:tc>
      </w:tr>
      <w:tr w14:paraId="539568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1C6B82CA">
            <w:pPr>
              <w:tabs>
                <w:tab w:val="left" w:pos="61"/>
              </w:tabs>
              <w:jc w:val="center"/>
              <w:rPr>
                <w:color w:val="auto"/>
                <w:highlight w:val="none"/>
              </w:rPr>
            </w:pPr>
          </w:p>
        </w:tc>
        <w:tc>
          <w:tcPr>
            <w:tcW w:w="201" w:type="pct"/>
            <w:vMerge w:val="continue"/>
            <w:shd w:val="clear" w:color="auto" w:fill="auto"/>
            <w:vAlign w:val="center"/>
          </w:tcPr>
          <w:p w14:paraId="4051DC3F">
            <w:pPr>
              <w:tabs>
                <w:tab w:val="left" w:pos="0"/>
                <w:tab w:val="left" w:pos="56"/>
              </w:tabs>
              <w:ind w:left="479" w:hanging="478" w:hangingChars="228"/>
              <w:jc w:val="center"/>
              <w:rPr>
                <w:color w:val="auto"/>
                <w:highlight w:val="none"/>
              </w:rPr>
            </w:pPr>
          </w:p>
        </w:tc>
        <w:tc>
          <w:tcPr>
            <w:tcW w:w="380" w:type="pct"/>
            <w:vMerge w:val="continue"/>
            <w:shd w:val="clear" w:color="auto" w:fill="auto"/>
            <w:vAlign w:val="center"/>
          </w:tcPr>
          <w:p w14:paraId="22C1E393">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shd w:val="clear" w:color="auto" w:fill="auto"/>
            <w:vAlign w:val="center"/>
          </w:tcPr>
          <w:p w14:paraId="6108B74E">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shd w:val="clear" w:color="auto" w:fill="auto"/>
            <w:vAlign w:val="center"/>
          </w:tcPr>
          <w:p w14:paraId="3402B0BD">
            <w:pPr>
              <w:spacing w:line="240" w:lineRule="atLeast"/>
              <w:ind w:left="-48" w:leftChars="-23" w:right="-65" w:rightChars="-31"/>
              <w:jc w:val="left"/>
              <w:rPr>
                <w:rFonts w:cs="宋体"/>
                <w:color w:val="auto"/>
                <w:highlight w:val="none"/>
              </w:rPr>
            </w:pPr>
          </w:p>
        </w:tc>
        <w:tc>
          <w:tcPr>
            <w:tcW w:w="692" w:type="pct"/>
            <w:tcBorders>
              <w:left w:val="single" w:color="auto" w:sz="4" w:space="0"/>
              <w:right w:val="single" w:color="auto" w:sz="4" w:space="0"/>
            </w:tcBorders>
            <w:vAlign w:val="center"/>
          </w:tcPr>
          <w:p w14:paraId="704288C9">
            <w:pPr>
              <w:spacing w:line="240" w:lineRule="atLeast"/>
              <w:ind w:left="-48" w:leftChars="-23" w:right="-65" w:rightChars="-31"/>
              <w:jc w:val="left"/>
              <w:rPr>
                <w:rFonts w:cs="宋体"/>
                <w:color w:val="auto"/>
                <w:highlight w:val="none"/>
              </w:rPr>
            </w:pPr>
            <w:r>
              <w:rPr>
                <w:rFonts w:hint="eastAsia" w:cs="宋体"/>
                <w:color w:val="auto"/>
                <w:highlight w:val="none"/>
              </w:rPr>
              <w:t>其他成本</w:t>
            </w:r>
          </w:p>
        </w:tc>
        <w:tc>
          <w:tcPr>
            <w:tcW w:w="560" w:type="pct"/>
            <w:tcBorders>
              <w:left w:val="single" w:color="auto" w:sz="4" w:space="0"/>
            </w:tcBorders>
            <w:shd w:val="clear" w:color="auto" w:fill="auto"/>
            <w:vAlign w:val="center"/>
          </w:tcPr>
          <w:p w14:paraId="550385A7">
            <w:pPr>
              <w:spacing w:line="240" w:lineRule="atLeast"/>
              <w:ind w:left="-48" w:leftChars="-23" w:right="-65" w:rightChars="-31"/>
              <w:jc w:val="left"/>
              <w:rPr>
                <w:rFonts w:cs="宋体"/>
                <w:color w:val="auto"/>
                <w:highlight w:val="none"/>
              </w:rPr>
            </w:pPr>
          </w:p>
        </w:tc>
        <w:tc>
          <w:tcPr>
            <w:tcW w:w="511" w:type="pct"/>
            <w:tcBorders>
              <w:left w:val="single" w:color="auto" w:sz="4" w:space="0"/>
            </w:tcBorders>
            <w:shd w:val="clear" w:color="auto" w:fill="auto"/>
            <w:vAlign w:val="center"/>
          </w:tcPr>
          <w:p w14:paraId="388A3A3B">
            <w:pPr>
              <w:spacing w:line="240" w:lineRule="atLeast"/>
              <w:ind w:left="-48" w:leftChars="-23" w:right="-65" w:rightChars="-31"/>
              <w:jc w:val="left"/>
              <w:rPr>
                <w:rFonts w:cs="宋体"/>
                <w:color w:val="auto"/>
                <w:highlight w:val="none"/>
              </w:rPr>
            </w:pPr>
          </w:p>
        </w:tc>
        <w:tc>
          <w:tcPr>
            <w:tcW w:w="606" w:type="pct"/>
            <w:tcBorders>
              <w:left w:val="single" w:color="auto" w:sz="4" w:space="0"/>
            </w:tcBorders>
            <w:shd w:val="clear" w:color="auto" w:fill="auto"/>
            <w:vAlign w:val="center"/>
          </w:tcPr>
          <w:p w14:paraId="65942ABC">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shd w:val="clear" w:color="auto" w:fill="auto"/>
            <w:vAlign w:val="center"/>
          </w:tcPr>
          <w:p w14:paraId="2C8C5787">
            <w:pPr>
              <w:spacing w:line="240" w:lineRule="atLeast"/>
              <w:ind w:left="-48" w:leftChars="-23" w:right="-65" w:rightChars="-31"/>
              <w:jc w:val="left"/>
              <w:rPr>
                <w:rFonts w:cs="宋体"/>
                <w:color w:val="auto"/>
                <w:highlight w:val="none"/>
              </w:rPr>
            </w:pPr>
          </w:p>
        </w:tc>
        <w:tc>
          <w:tcPr>
            <w:tcW w:w="587" w:type="pct"/>
            <w:tcBorders>
              <w:left w:val="single" w:color="auto" w:sz="4" w:space="0"/>
            </w:tcBorders>
            <w:shd w:val="clear" w:color="auto" w:fill="auto"/>
            <w:vAlign w:val="center"/>
          </w:tcPr>
          <w:p w14:paraId="2D6C0340">
            <w:pPr>
              <w:spacing w:line="240" w:lineRule="atLeast"/>
              <w:ind w:left="-48" w:leftChars="-23" w:right="-65" w:rightChars="-31"/>
              <w:jc w:val="left"/>
              <w:rPr>
                <w:rFonts w:cs="宋体"/>
                <w:color w:val="auto"/>
                <w:highlight w:val="none"/>
              </w:rPr>
            </w:pPr>
          </w:p>
        </w:tc>
      </w:tr>
      <w:tr w14:paraId="097EB1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shd w:val="clear" w:color="auto" w:fill="auto"/>
            <w:vAlign w:val="center"/>
          </w:tcPr>
          <w:p w14:paraId="26B8585D">
            <w:pPr>
              <w:tabs>
                <w:tab w:val="left" w:pos="61"/>
              </w:tabs>
              <w:jc w:val="center"/>
              <w:rPr>
                <w:color w:val="auto"/>
                <w:highlight w:val="none"/>
              </w:rPr>
            </w:pPr>
            <w:r>
              <w:rPr>
                <w:rFonts w:hint="eastAsia"/>
                <w:color w:val="auto"/>
                <w:highlight w:val="none"/>
              </w:rPr>
              <w:t>2</w:t>
            </w:r>
          </w:p>
        </w:tc>
        <w:tc>
          <w:tcPr>
            <w:tcW w:w="201" w:type="pct"/>
            <w:shd w:val="clear" w:color="auto" w:fill="auto"/>
            <w:vAlign w:val="center"/>
          </w:tcPr>
          <w:p w14:paraId="667A25AA">
            <w:pPr>
              <w:tabs>
                <w:tab w:val="left" w:pos="0"/>
                <w:tab w:val="left" w:pos="56"/>
              </w:tabs>
              <w:ind w:left="479" w:hanging="478" w:hangingChars="228"/>
              <w:jc w:val="center"/>
              <w:rPr>
                <w:color w:val="auto"/>
                <w:highlight w:val="none"/>
              </w:rPr>
            </w:pPr>
          </w:p>
        </w:tc>
        <w:tc>
          <w:tcPr>
            <w:tcW w:w="380" w:type="pct"/>
            <w:shd w:val="clear" w:color="auto" w:fill="auto"/>
            <w:vAlign w:val="center"/>
          </w:tcPr>
          <w:p w14:paraId="5738053A">
            <w:pPr>
              <w:spacing w:line="240" w:lineRule="atLeast"/>
              <w:ind w:left="-48" w:leftChars="-23" w:right="-65" w:rightChars="-31"/>
              <w:jc w:val="left"/>
              <w:rPr>
                <w:rFonts w:cs="宋体"/>
                <w:color w:val="auto"/>
                <w:highlight w:val="none"/>
              </w:rPr>
            </w:pPr>
          </w:p>
        </w:tc>
        <w:tc>
          <w:tcPr>
            <w:tcW w:w="282" w:type="pct"/>
            <w:tcBorders>
              <w:left w:val="single" w:color="auto" w:sz="4" w:space="0"/>
            </w:tcBorders>
            <w:shd w:val="clear" w:color="auto" w:fill="auto"/>
            <w:vAlign w:val="center"/>
          </w:tcPr>
          <w:p w14:paraId="37CF34E1">
            <w:pPr>
              <w:spacing w:line="240" w:lineRule="atLeast"/>
              <w:ind w:left="-48" w:leftChars="-23" w:right="-65" w:rightChars="-31"/>
              <w:jc w:val="left"/>
              <w:rPr>
                <w:rFonts w:cs="宋体"/>
                <w:color w:val="auto"/>
                <w:highlight w:val="none"/>
              </w:rPr>
            </w:pPr>
          </w:p>
        </w:tc>
        <w:tc>
          <w:tcPr>
            <w:tcW w:w="478" w:type="pct"/>
            <w:tcBorders>
              <w:left w:val="single" w:color="auto" w:sz="4" w:space="0"/>
              <w:right w:val="single" w:color="auto" w:sz="4" w:space="0"/>
            </w:tcBorders>
            <w:shd w:val="clear" w:color="auto" w:fill="auto"/>
            <w:vAlign w:val="center"/>
          </w:tcPr>
          <w:p w14:paraId="6453613A">
            <w:pPr>
              <w:spacing w:line="240" w:lineRule="atLeast"/>
              <w:ind w:left="-48" w:leftChars="-23" w:right="-65" w:rightChars="-31"/>
              <w:jc w:val="left"/>
              <w:rPr>
                <w:rFonts w:cs="宋体"/>
                <w:color w:val="auto"/>
                <w:highlight w:val="none"/>
              </w:rPr>
            </w:pPr>
          </w:p>
        </w:tc>
        <w:tc>
          <w:tcPr>
            <w:tcW w:w="692" w:type="pct"/>
            <w:tcBorders>
              <w:left w:val="single" w:color="auto" w:sz="4" w:space="0"/>
              <w:right w:val="single" w:color="auto" w:sz="4" w:space="0"/>
            </w:tcBorders>
          </w:tcPr>
          <w:p w14:paraId="7EBEDC07">
            <w:pPr>
              <w:spacing w:line="240" w:lineRule="atLeast"/>
              <w:ind w:left="-48" w:leftChars="-23" w:right="-65" w:rightChars="-31"/>
              <w:jc w:val="left"/>
              <w:rPr>
                <w:rFonts w:cs="宋体"/>
                <w:color w:val="auto"/>
                <w:highlight w:val="none"/>
              </w:rPr>
            </w:pPr>
          </w:p>
        </w:tc>
        <w:tc>
          <w:tcPr>
            <w:tcW w:w="560" w:type="pct"/>
            <w:tcBorders>
              <w:left w:val="single" w:color="auto" w:sz="4" w:space="0"/>
            </w:tcBorders>
            <w:shd w:val="clear" w:color="auto" w:fill="auto"/>
            <w:vAlign w:val="center"/>
          </w:tcPr>
          <w:p w14:paraId="0BF6B032">
            <w:pPr>
              <w:spacing w:line="240" w:lineRule="atLeast"/>
              <w:ind w:left="-48" w:leftChars="-23" w:right="-65" w:rightChars="-31"/>
              <w:jc w:val="left"/>
              <w:rPr>
                <w:rFonts w:cs="宋体"/>
                <w:color w:val="auto"/>
                <w:highlight w:val="none"/>
              </w:rPr>
            </w:pPr>
          </w:p>
        </w:tc>
        <w:tc>
          <w:tcPr>
            <w:tcW w:w="511" w:type="pct"/>
            <w:tcBorders>
              <w:left w:val="single" w:color="auto" w:sz="4" w:space="0"/>
            </w:tcBorders>
            <w:shd w:val="clear" w:color="auto" w:fill="auto"/>
            <w:vAlign w:val="center"/>
          </w:tcPr>
          <w:p w14:paraId="73D7629B">
            <w:pPr>
              <w:spacing w:line="240" w:lineRule="atLeast"/>
              <w:ind w:left="-48" w:leftChars="-23" w:right="-65" w:rightChars="-31"/>
              <w:jc w:val="left"/>
              <w:rPr>
                <w:rFonts w:cs="宋体"/>
                <w:color w:val="auto"/>
                <w:highlight w:val="none"/>
              </w:rPr>
            </w:pPr>
          </w:p>
        </w:tc>
        <w:tc>
          <w:tcPr>
            <w:tcW w:w="606" w:type="pct"/>
            <w:tcBorders>
              <w:left w:val="single" w:color="auto" w:sz="4" w:space="0"/>
            </w:tcBorders>
            <w:shd w:val="clear" w:color="auto" w:fill="auto"/>
            <w:vAlign w:val="center"/>
          </w:tcPr>
          <w:p w14:paraId="4BD6C9DE">
            <w:pPr>
              <w:spacing w:line="240" w:lineRule="atLeast"/>
              <w:ind w:left="-48" w:leftChars="-23" w:right="-65" w:rightChars="-31"/>
              <w:jc w:val="left"/>
              <w:rPr>
                <w:rFonts w:cs="宋体"/>
                <w:color w:val="auto"/>
                <w:highlight w:val="none"/>
              </w:rPr>
            </w:pPr>
          </w:p>
        </w:tc>
        <w:tc>
          <w:tcPr>
            <w:tcW w:w="449" w:type="pct"/>
            <w:tcBorders>
              <w:left w:val="single" w:color="auto" w:sz="4" w:space="0"/>
            </w:tcBorders>
            <w:shd w:val="clear" w:color="auto" w:fill="auto"/>
            <w:vAlign w:val="center"/>
          </w:tcPr>
          <w:p w14:paraId="50F6DB77">
            <w:pPr>
              <w:spacing w:line="240" w:lineRule="atLeast"/>
              <w:ind w:left="-48" w:leftChars="-23" w:right="-65" w:rightChars="-31"/>
              <w:jc w:val="left"/>
              <w:rPr>
                <w:rFonts w:cs="宋体"/>
                <w:color w:val="auto"/>
                <w:highlight w:val="none"/>
              </w:rPr>
            </w:pPr>
          </w:p>
        </w:tc>
        <w:tc>
          <w:tcPr>
            <w:tcW w:w="587" w:type="pct"/>
            <w:tcBorders>
              <w:left w:val="single" w:color="auto" w:sz="4" w:space="0"/>
            </w:tcBorders>
            <w:shd w:val="clear" w:color="auto" w:fill="auto"/>
            <w:vAlign w:val="center"/>
          </w:tcPr>
          <w:p w14:paraId="33F01DF6">
            <w:pPr>
              <w:spacing w:line="240" w:lineRule="atLeast"/>
              <w:ind w:left="-48" w:leftChars="-23" w:right="-65" w:rightChars="-31"/>
              <w:jc w:val="left"/>
              <w:rPr>
                <w:rFonts w:cs="宋体"/>
                <w:color w:val="auto"/>
                <w:highlight w:val="none"/>
              </w:rPr>
            </w:pPr>
          </w:p>
        </w:tc>
      </w:tr>
      <w:tr w14:paraId="3C603F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shd w:val="clear" w:color="auto" w:fill="auto"/>
            <w:vAlign w:val="center"/>
          </w:tcPr>
          <w:p w14:paraId="69606839">
            <w:pPr>
              <w:tabs>
                <w:tab w:val="left" w:pos="82"/>
              </w:tabs>
              <w:jc w:val="center"/>
              <w:rPr>
                <w:color w:val="auto"/>
                <w:highlight w:val="none"/>
              </w:rPr>
            </w:pPr>
            <w:r>
              <w:rPr>
                <w:rFonts w:hint="eastAsia"/>
                <w:color w:val="auto"/>
                <w:highlight w:val="none"/>
              </w:rPr>
              <w:t>…</w:t>
            </w:r>
          </w:p>
        </w:tc>
        <w:tc>
          <w:tcPr>
            <w:tcW w:w="201" w:type="pct"/>
            <w:tcBorders>
              <w:bottom w:val="single" w:color="auto" w:sz="4" w:space="0"/>
            </w:tcBorders>
            <w:shd w:val="clear" w:color="auto" w:fill="auto"/>
            <w:vAlign w:val="center"/>
          </w:tcPr>
          <w:p w14:paraId="545A89BD">
            <w:pPr>
              <w:spacing w:line="240" w:lineRule="atLeast"/>
              <w:ind w:left="-48" w:leftChars="-23" w:right="-65" w:rightChars="-31"/>
              <w:jc w:val="left"/>
              <w:rPr>
                <w:rFonts w:cs="宋体"/>
                <w:color w:val="auto"/>
                <w:highlight w:val="none"/>
              </w:rPr>
            </w:pPr>
          </w:p>
        </w:tc>
        <w:tc>
          <w:tcPr>
            <w:tcW w:w="380" w:type="pct"/>
            <w:tcBorders>
              <w:bottom w:val="single" w:color="auto" w:sz="4" w:space="0"/>
            </w:tcBorders>
            <w:shd w:val="clear" w:color="auto" w:fill="auto"/>
            <w:vAlign w:val="center"/>
          </w:tcPr>
          <w:p w14:paraId="26F633E3">
            <w:pPr>
              <w:spacing w:line="240" w:lineRule="atLeast"/>
              <w:ind w:left="-48" w:leftChars="-23" w:right="-65" w:rightChars="-31"/>
              <w:jc w:val="left"/>
              <w:rPr>
                <w:rFonts w:cs="宋体"/>
                <w:color w:val="auto"/>
                <w:highlight w:val="none"/>
              </w:rPr>
            </w:pPr>
          </w:p>
        </w:tc>
        <w:tc>
          <w:tcPr>
            <w:tcW w:w="282" w:type="pct"/>
            <w:tcBorders>
              <w:left w:val="single" w:color="auto" w:sz="4" w:space="0"/>
              <w:bottom w:val="single" w:color="auto" w:sz="4" w:space="0"/>
            </w:tcBorders>
            <w:shd w:val="clear" w:color="auto" w:fill="auto"/>
            <w:vAlign w:val="center"/>
          </w:tcPr>
          <w:p w14:paraId="5A71AAE6">
            <w:pPr>
              <w:spacing w:line="240" w:lineRule="atLeast"/>
              <w:ind w:left="-48" w:leftChars="-23" w:right="-65" w:rightChars="-31"/>
              <w:jc w:val="left"/>
              <w:rPr>
                <w:rFonts w:cs="宋体"/>
                <w:color w:val="auto"/>
                <w:highlight w:val="none"/>
              </w:rPr>
            </w:pPr>
          </w:p>
        </w:tc>
        <w:tc>
          <w:tcPr>
            <w:tcW w:w="478" w:type="pct"/>
            <w:tcBorders>
              <w:left w:val="single" w:color="auto" w:sz="4" w:space="0"/>
              <w:bottom w:val="single" w:color="auto" w:sz="4" w:space="0"/>
              <w:right w:val="single" w:color="auto" w:sz="4" w:space="0"/>
            </w:tcBorders>
            <w:shd w:val="clear" w:color="auto" w:fill="auto"/>
            <w:vAlign w:val="center"/>
          </w:tcPr>
          <w:p w14:paraId="1AC86C63">
            <w:pPr>
              <w:spacing w:line="240" w:lineRule="atLeast"/>
              <w:ind w:left="-48" w:leftChars="-23" w:right="-65" w:rightChars="-31"/>
              <w:jc w:val="left"/>
              <w:rPr>
                <w:rFonts w:cs="宋体"/>
                <w:color w:val="auto"/>
                <w:highlight w:val="none"/>
              </w:rPr>
            </w:pPr>
          </w:p>
        </w:tc>
        <w:tc>
          <w:tcPr>
            <w:tcW w:w="692" w:type="pct"/>
            <w:tcBorders>
              <w:left w:val="single" w:color="auto" w:sz="4" w:space="0"/>
              <w:bottom w:val="single" w:color="auto" w:sz="4" w:space="0"/>
              <w:right w:val="single" w:color="auto" w:sz="4" w:space="0"/>
            </w:tcBorders>
          </w:tcPr>
          <w:p w14:paraId="1F266868">
            <w:pPr>
              <w:spacing w:line="240" w:lineRule="atLeast"/>
              <w:ind w:left="-48" w:leftChars="-23" w:right="-65" w:rightChars="-31"/>
              <w:jc w:val="left"/>
              <w:rPr>
                <w:rFonts w:cs="宋体"/>
                <w:color w:val="auto"/>
                <w:highlight w:val="none"/>
              </w:rPr>
            </w:pPr>
          </w:p>
        </w:tc>
        <w:tc>
          <w:tcPr>
            <w:tcW w:w="560" w:type="pct"/>
            <w:tcBorders>
              <w:left w:val="single" w:color="auto" w:sz="4" w:space="0"/>
              <w:bottom w:val="single" w:color="auto" w:sz="4" w:space="0"/>
            </w:tcBorders>
            <w:shd w:val="clear" w:color="auto" w:fill="auto"/>
            <w:vAlign w:val="center"/>
          </w:tcPr>
          <w:p w14:paraId="6A1D397C">
            <w:pPr>
              <w:spacing w:line="240" w:lineRule="atLeast"/>
              <w:ind w:left="-48" w:leftChars="-23" w:right="-65" w:rightChars="-31"/>
              <w:jc w:val="left"/>
              <w:rPr>
                <w:rFonts w:cs="宋体"/>
                <w:color w:val="auto"/>
                <w:highlight w:val="none"/>
              </w:rPr>
            </w:pPr>
          </w:p>
        </w:tc>
        <w:tc>
          <w:tcPr>
            <w:tcW w:w="511" w:type="pct"/>
            <w:tcBorders>
              <w:left w:val="single" w:color="auto" w:sz="4" w:space="0"/>
              <w:bottom w:val="single" w:color="auto" w:sz="4" w:space="0"/>
            </w:tcBorders>
            <w:shd w:val="clear" w:color="auto" w:fill="auto"/>
            <w:vAlign w:val="center"/>
          </w:tcPr>
          <w:p w14:paraId="7D9A5052">
            <w:pPr>
              <w:spacing w:line="240" w:lineRule="atLeast"/>
              <w:ind w:left="-48" w:leftChars="-23" w:right="-65" w:rightChars="-31"/>
              <w:jc w:val="left"/>
              <w:rPr>
                <w:rFonts w:cs="宋体"/>
                <w:color w:val="auto"/>
                <w:highlight w:val="none"/>
              </w:rPr>
            </w:pPr>
          </w:p>
          <w:p w14:paraId="76F19830">
            <w:pPr>
              <w:rPr>
                <w:color w:val="auto"/>
                <w:highlight w:val="none"/>
              </w:rPr>
            </w:pPr>
          </w:p>
        </w:tc>
        <w:tc>
          <w:tcPr>
            <w:tcW w:w="606" w:type="pct"/>
            <w:tcBorders>
              <w:left w:val="single" w:color="auto" w:sz="4" w:space="0"/>
              <w:bottom w:val="single" w:color="auto" w:sz="4" w:space="0"/>
            </w:tcBorders>
            <w:shd w:val="clear" w:color="auto" w:fill="auto"/>
            <w:vAlign w:val="center"/>
          </w:tcPr>
          <w:p w14:paraId="79845B08">
            <w:pPr>
              <w:rPr>
                <w:color w:val="auto"/>
                <w:highlight w:val="none"/>
              </w:rPr>
            </w:pPr>
          </w:p>
        </w:tc>
        <w:tc>
          <w:tcPr>
            <w:tcW w:w="449" w:type="pct"/>
            <w:tcBorders>
              <w:left w:val="single" w:color="auto" w:sz="4" w:space="0"/>
              <w:bottom w:val="single" w:color="auto" w:sz="4" w:space="0"/>
            </w:tcBorders>
            <w:shd w:val="clear" w:color="auto" w:fill="auto"/>
            <w:vAlign w:val="center"/>
          </w:tcPr>
          <w:p w14:paraId="7AD5A031">
            <w:pPr>
              <w:spacing w:line="240" w:lineRule="atLeast"/>
              <w:ind w:left="-48" w:leftChars="-23" w:right="-65" w:rightChars="-31"/>
              <w:jc w:val="left"/>
              <w:rPr>
                <w:rFonts w:cs="宋体"/>
                <w:color w:val="auto"/>
                <w:highlight w:val="none"/>
              </w:rPr>
            </w:pPr>
          </w:p>
        </w:tc>
        <w:tc>
          <w:tcPr>
            <w:tcW w:w="587" w:type="pct"/>
            <w:tcBorders>
              <w:left w:val="single" w:color="auto" w:sz="4" w:space="0"/>
              <w:bottom w:val="single" w:color="auto" w:sz="4" w:space="0"/>
            </w:tcBorders>
            <w:shd w:val="clear" w:color="auto" w:fill="auto"/>
            <w:vAlign w:val="center"/>
          </w:tcPr>
          <w:p w14:paraId="2A2338A8">
            <w:pPr>
              <w:spacing w:line="240" w:lineRule="atLeast"/>
              <w:ind w:left="-48" w:leftChars="-23" w:right="-65" w:rightChars="-31"/>
              <w:jc w:val="left"/>
              <w:rPr>
                <w:rFonts w:cs="宋体"/>
                <w:color w:val="auto"/>
                <w:highlight w:val="none"/>
              </w:rPr>
            </w:pPr>
          </w:p>
        </w:tc>
      </w:tr>
    </w:tbl>
    <w:p w14:paraId="1B61BBCA">
      <w:pPr>
        <w:spacing w:line="360" w:lineRule="auto"/>
        <w:jc w:val="left"/>
        <w:rPr>
          <w:color w:val="auto"/>
          <w:szCs w:val="21"/>
          <w:highlight w:val="none"/>
        </w:rPr>
      </w:pPr>
    </w:p>
    <w:p w14:paraId="592095BA">
      <w:pPr>
        <w:spacing w:line="360" w:lineRule="auto"/>
        <w:jc w:val="left"/>
        <w:rPr>
          <w:color w:val="auto"/>
          <w:szCs w:val="21"/>
          <w:highlight w:val="none"/>
        </w:rPr>
      </w:pPr>
      <w:r>
        <w:rPr>
          <w:rFonts w:hint="eastAsia"/>
          <w:color w:val="auto"/>
          <w:szCs w:val="21"/>
          <w:highlight w:val="none"/>
        </w:rPr>
        <w:t>说明：项目具体成本测算等与报价合理性相关的书面说明及必要的证明材料，包括但不限于原材料成本、人工成本、制造费用等</w:t>
      </w:r>
    </w:p>
    <w:p w14:paraId="6112DE78">
      <w:pPr>
        <w:spacing w:line="360" w:lineRule="auto"/>
        <w:ind w:firstLine="6090" w:firstLineChars="2900"/>
        <w:jc w:val="left"/>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0F53CF94">
      <w:pPr>
        <w:spacing w:line="360" w:lineRule="auto"/>
        <w:ind w:firstLine="6090" w:firstLineChars="2900"/>
        <w:jc w:val="left"/>
        <w:rPr>
          <w:color w:val="auto"/>
          <w:szCs w:val="21"/>
          <w:highlight w:val="none"/>
        </w:rPr>
        <w:sectPr>
          <w:pgSz w:w="11906" w:h="16838"/>
          <w:pgMar w:top="1418" w:right="1133" w:bottom="1246" w:left="1418" w:header="851" w:footer="992" w:gutter="0"/>
          <w:cols w:space="720" w:num="1"/>
          <w:docGrid w:linePitch="312" w:charSpace="0"/>
        </w:sectPr>
      </w:pPr>
      <w:r>
        <w:rPr>
          <w:color w:val="auto"/>
          <w:szCs w:val="21"/>
          <w:highlight w:val="none"/>
        </w:rPr>
        <w:t>日  期</w:t>
      </w:r>
      <w:r>
        <w:rPr>
          <w:rFonts w:hint="eastAsia"/>
          <w:color w:val="auto"/>
          <w:szCs w:val="21"/>
          <w:highlight w:val="none"/>
        </w:rPr>
        <w:t>：</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14:paraId="7CE843C6">
      <w:pPr>
        <w:widowControl/>
        <w:jc w:val="left"/>
        <w:outlineLvl w:val="1"/>
        <w:rPr>
          <w:color w:val="auto"/>
          <w:szCs w:val="21"/>
          <w:highlight w:val="none"/>
        </w:rPr>
      </w:pPr>
      <w:r>
        <w:rPr>
          <w:color w:val="auto"/>
          <w:szCs w:val="21"/>
          <w:highlight w:val="none"/>
        </w:rPr>
        <w:t>4</w:t>
      </w:r>
      <w:r>
        <w:rPr>
          <w:rFonts w:hint="eastAsia"/>
          <w:color w:val="auto"/>
          <w:szCs w:val="21"/>
          <w:highlight w:val="none"/>
        </w:rPr>
        <w:t>．开标一览表</w:t>
      </w:r>
    </w:p>
    <w:p w14:paraId="7E097A61">
      <w:pPr>
        <w:widowControl/>
        <w:jc w:val="left"/>
        <w:rPr>
          <w:color w:val="auto"/>
          <w:szCs w:val="21"/>
          <w:highlight w:val="none"/>
        </w:rPr>
      </w:pPr>
    </w:p>
    <w:p w14:paraId="01168184">
      <w:pPr>
        <w:widowControl/>
        <w:jc w:val="left"/>
        <w:rPr>
          <w:color w:val="auto"/>
          <w:szCs w:val="21"/>
          <w:highlight w:val="none"/>
        </w:rPr>
      </w:pPr>
    </w:p>
    <w:p w14:paraId="1FE36928">
      <w:pPr>
        <w:widowControl/>
        <w:jc w:val="left"/>
        <w:rPr>
          <w:color w:val="auto"/>
          <w:szCs w:val="21"/>
          <w:highlight w:val="none"/>
        </w:rPr>
      </w:pPr>
    </w:p>
    <w:p w14:paraId="28574B35">
      <w:pPr>
        <w:rPr>
          <w:b/>
          <w:color w:val="auto"/>
          <w:szCs w:val="21"/>
          <w:highlight w:val="none"/>
        </w:rPr>
      </w:pPr>
    </w:p>
    <w:p w14:paraId="13CE2EEA">
      <w:pPr>
        <w:rPr>
          <w:b/>
          <w:color w:val="auto"/>
          <w:szCs w:val="21"/>
          <w:highlight w:val="none"/>
        </w:rPr>
      </w:pPr>
    </w:p>
    <w:p w14:paraId="44EED5E8">
      <w:pPr>
        <w:rPr>
          <w:b/>
          <w:color w:val="auto"/>
          <w:szCs w:val="21"/>
          <w:highlight w:val="none"/>
        </w:rPr>
      </w:pPr>
      <w:r>
        <w:rPr>
          <w:rFonts w:hint="eastAsia"/>
          <w:b/>
          <w:color w:val="auto"/>
          <w:szCs w:val="21"/>
          <w:highlight w:val="none"/>
        </w:rPr>
        <w:t>格式详见广西政府采购云平台，且仅在广西政府采购云平台填写即可。</w:t>
      </w:r>
    </w:p>
    <w:bookmarkEnd w:id="97"/>
    <w:p w14:paraId="5DFE8BD0">
      <w:pPr>
        <w:snapToGrid w:val="0"/>
        <w:spacing w:before="120" w:beforeLines="50" w:after="50" w:line="440" w:lineRule="exact"/>
        <w:jc w:val="left"/>
        <w:outlineLvl w:val="1"/>
        <w:rPr>
          <w:bCs/>
          <w:color w:val="auto"/>
          <w:sz w:val="24"/>
          <w:highlight w:val="none"/>
        </w:rPr>
      </w:pPr>
    </w:p>
    <w:sectPr>
      <w:pgSz w:w="11906" w:h="16838"/>
      <w:pgMar w:top="1418" w:right="1274"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7F" w:usb3="00000000" w:csb0="203F01FF" w:csb1="DFFF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KSOFE4500885">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06CAC">
    <w:pPr>
      <w:pStyle w:val="31"/>
      <w:framePr w:wrap="around" w:vAnchor="text" w:hAnchor="margin" w:xAlign="center" w:y="1"/>
      <w:rPr>
        <w:rStyle w:val="55"/>
      </w:rPr>
    </w:pPr>
    <w:r>
      <w:fldChar w:fldCharType="begin"/>
    </w:r>
    <w:r>
      <w:rPr>
        <w:rStyle w:val="55"/>
      </w:rPr>
      <w:instrText xml:space="preserve">PAGE  </w:instrText>
    </w:r>
    <w:r>
      <w:fldChar w:fldCharType="end"/>
    </w:r>
  </w:p>
  <w:p w14:paraId="49431720">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41351">
    <w:pPr>
      <w:pStyle w:val="31"/>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59B05">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3</w:t>
    </w:r>
    <w:r>
      <w:fldChar w:fldCharType="end"/>
    </w:r>
  </w:p>
  <w:p w14:paraId="2D860C8A">
    <w:pPr>
      <w:pStyle w:val="31"/>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C7CD1">
    <w:pPr>
      <w:pStyle w:val="31"/>
      <w:jc w:val="center"/>
    </w:pPr>
    <w:r>
      <w:fldChar w:fldCharType="begin"/>
    </w:r>
    <w:r>
      <w:instrText xml:space="preserve">PAGE   \* MERGEFORMAT</w:instrText>
    </w:r>
    <w:r>
      <w:fldChar w:fldCharType="separate"/>
    </w:r>
    <w:r>
      <w:rPr>
        <w:lang w:val="zh-CN"/>
      </w:rP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D66F8">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16</w:t>
    </w:r>
    <w:r>
      <w:fldChar w:fldCharType="end"/>
    </w:r>
  </w:p>
  <w:p w14:paraId="46455A7F">
    <w:pPr>
      <w:pStyle w:val="31"/>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1B1FB">
    <w:pPr>
      <w:pStyle w:val="31"/>
      <w:jc w:val="center"/>
    </w:pPr>
    <w:r>
      <w:fldChar w:fldCharType="begin"/>
    </w:r>
    <w:r>
      <w:instrText xml:space="preserve">PAGE   \* MERGEFORMAT</w:instrText>
    </w:r>
    <w:r>
      <w:fldChar w:fldCharType="separate"/>
    </w:r>
    <w:r>
      <w:rPr>
        <w:lang w:val="zh-CN"/>
      </w:rPr>
      <w:t>13</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6B6F1">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37</w:t>
    </w:r>
    <w:r>
      <w:fldChar w:fldCharType="end"/>
    </w:r>
  </w:p>
  <w:p w14:paraId="00DFE824">
    <w:pPr>
      <w:pStyle w:val="31"/>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0C192">
    <w:pPr>
      <w:pStyle w:val="32"/>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C9739">
    <w:pPr>
      <w:rPr>
        <w:sz w:val="18"/>
        <w:szCs w:val="18"/>
        <w:u w:val="single"/>
      </w:rPr>
    </w:pPr>
    <w:r>
      <w:rPr>
        <w:rFonts w:hint="eastAsia"/>
        <w:sz w:val="18"/>
        <w:szCs w:val="18"/>
        <w:u w:val="single"/>
      </w:rPr>
      <w:t xml:space="preserve">广西机电设备招标有限公司招标文件                                                </w:t>
    </w:r>
    <w:r>
      <w:rPr>
        <w:sz w:val="18"/>
        <w:szCs w:val="18"/>
        <w:u w:val="single"/>
      </w:rPr>
      <w:t xml:space="preserve">           </w:t>
    </w:r>
    <w:r>
      <w:rPr>
        <w:rFonts w:hint="eastAsia"/>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B9F4A">
    <w:pPr>
      <w:pStyle w:val="32"/>
      <w:jc w:val="left"/>
    </w:pPr>
    <w:r>
      <w:rPr>
        <w:rFonts w:hint="eastAsia"/>
      </w:rPr>
      <w:t xml:space="preserve">广西机电设备招标有限公司招标文件                                                               </w:t>
    </w:r>
  </w:p>
  <w:p w14:paraId="598A6AAC">
    <w:pPr>
      <w:pStyle w:val="3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2B1B1">
    <w:pPr>
      <w:pStyle w:val="32"/>
      <w:jc w:val="left"/>
    </w:pPr>
    <w:r>
      <w:rPr>
        <w:rFonts w:hint="eastAsia"/>
      </w:rPr>
      <w:t xml:space="preserve">广西机电设备招标有限公司招标文件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10F0A">
    <w:pPr>
      <w:pStyle w:val="32"/>
      <w:jc w:val="left"/>
    </w:pPr>
    <w:r>
      <w:rPr>
        <w:rFonts w:hint="eastAsia"/>
      </w:rPr>
      <w:t>广西机电设备招标有限公司招标文件                                                              招标公告</w:t>
    </w:r>
  </w:p>
  <w:p w14:paraId="1DE57230">
    <w:pPr>
      <w:pStyle w:val="32"/>
      <w:pBdr>
        <w:bottom w:val="none" w:color="auto"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0F5D9">
    <w:pPr>
      <w:pStyle w:val="32"/>
      <w:jc w:val="left"/>
    </w:pPr>
    <w:r>
      <w:rPr>
        <w:rFonts w:hint="eastAsia"/>
      </w:rPr>
      <w:t xml:space="preserve">广西机电设备招标有限公司招标文件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7E5BD">
    <w:pPr>
      <w:pStyle w:val="32"/>
      <w:jc w:val="left"/>
    </w:pPr>
    <w:r>
      <w:rPr>
        <w:rFonts w:hint="eastAsia"/>
      </w:rPr>
      <w:t xml:space="preserve">广西机电设备招标有限公司招标文件                                                            </w:t>
    </w:r>
  </w:p>
  <w:p w14:paraId="3CA3F23D">
    <w:pPr>
      <w:pStyle w:val="32"/>
      <w:pBdr>
        <w:bottom w:val="none" w:color="auto" w:sz="0" w:space="0"/>
      </w:pBdr>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A3DB3">
    <w:pPr>
      <w:pStyle w:val="32"/>
      <w:jc w:val="left"/>
    </w:pPr>
    <w:r>
      <w:rPr>
        <w:rFonts w:hint="eastAsia"/>
      </w:rPr>
      <w:t xml:space="preserve">广西机电设备招标有限公司招标文件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E5162">
    <w:pPr>
      <w:pStyle w:val="32"/>
      <w:ind w:left="2790" w:hanging="2790" w:hangingChars="1550"/>
      <w:jc w:val="left"/>
    </w:pPr>
    <w:r>
      <w:rPr>
        <w:rFonts w:hint="eastAsia"/>
      </w:rPr>
      <w:t xml:space="preserve">广西机电设备招标有限公司招标文件  </w:t>
    </w:r>
    <w:r>
      <w:t xml:space="preserve">                                                 </w:t>
    </w:r>
    <w:r>
      <w:rPr>
        <w:rFonts w:hint="eastAsia"/>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29AF6">
    <w:pPr>
      <w:rPr>
        <w:sz w:val="18"/>
        <w:szCs w:val="18"/>
        <w:u w:val="single"/>
      </w:rPr>
    </w:pPr>
    <w:r>
      <w:rPr>
        <w:rFonts w:hint="eastAsia"/>
        <w:sz w:val="18"/>
        <w:szCs w:val="18"/>
        <w:u w:val="single"/>
      </w:rPr>
      <w:t xml:space="preserve">广西机电设备招标有限公司招标文件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0053208E"/>
    <w:multiLevelType w:val="singleLevel"/>
    <w:tmpl w:val="0053208E"/>
    <w:lvl w:ilvl="0" w:tentative="0">
      <w:start w:val="1"/>
      <w:numFmt w:val="decimal"/>
      <w:lvlText w:val="%1."/>
      <w:lvlJc w:val="left"/>
      <w:pPr>
        <w:ind w:left="0"/>
      </w:pPr>
    </w:lvl>
  </w:abstractNum>
  <w:abstractNum w:abstractNumId="2">
    <w:nsid w:val="08917E1B"/>
    <w:multiLevelType w:val="singleLevel"/>
    <w:tmpl w:val="08917E1B"/>
    <w:lvl w:ilvl="0" w:tentative="0">
      <w:start w:val="2"/>
      <w:numFmt w:val="decimal"/>
      <w:suff w:val="nothing"/>
      <w:lvlText w:val="%1、"/>
      <w:lvlJc w:val="left"/>
    </w:lvl>
  </w:abstractNum>
  <w:abstractNum w:abstractNumId="3">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k3NjlhMzJkMWNhYTgzMzUxNGM1YmI0YmEwMDYzMmUifQ=="/>
  </w:docVars>
  <w:rsids>
    <w:rsidRoot w:val="00172A27"/>
    <w:rsid w:val="000001BC"/>
    <w:rsid w:val="000003EF"/>
    <w:rsid w:val="0000091B"/>
    <w:rsid w:val="00000D0A"/>
    <w:rsid w:val="00000D19"/>
    <w:rsid w:val="00000E1A"/>
    <w:rsid w:val="00001B3E"/>
    <w:rsid w:val="00001CD6"/>
    <w:rsid w:val="00002018"/>
    <w:rsid w:val="00002425"/>
    <w:rsid w:val="00002DDA"/>
    <w:rsid w:val="00003DAE"/>
    <w:rsid w:val="00003ED2"/>
    <w:rsid w:val="000049EF"/>
    <w:rsid w:val="000058D7"/>
    <w:rsid w:val="00005E55"/>
    <w:rsid w:val="00005E85"/>
    <w:rsid w:val="00006E2C"/>
    <w:rsid w:val="000079FF"/>
    <w:rsid w:val="00007B0D"/>
    <w:rsid w:val="000102A9"/>
    <w:rsid w:val="00010802"/>
    <w:rsid w:val="00010F49"/>
    <w:rsid w:val="00011D32"/>
    <w:rsid w:val="00011D72"/>
    <w:rsid w:val="00012078"/>
    <w:rsid w:val="000125A6"/>
    <w:rsid w:val="00013748"/>
    <w:rsid w:val="00013D41"/>
    <w:rsid w:val="000143A3"/>
    <w:rsid w:val="00014DD6"/>
    <w:rsid w:val="0001598C"/>
    <w:rsid w:val="00016C31"/>
    <w:rsid w:val="00020A87"/>
    <w:rsid w:val="00020BB1"/>
    <w:rsid w:val="00020BF0"/>
    <w:rsid w:val="000215B7"/>
    <w:rsid w:val="000217BF"/>
    <w:rsid w:val="00021C98"/>
    <w:rsid w:val="00021CCD"/>
    <w:rsid w:val="00021EE3"/>
    <w:rsid w:val="0002231A"/>
    <w:rsid w:val="0002246E"/>
    <w:rsid w:val="000226F2"/>
    <w:rsid w:val="000228AB"/>
    <w:rsid w:val="000233CA"/>
    <w:rsid w:val="00023652"/>
    <w:rsid w:val="00024633"/>
    <w:rsid w:val="000252C0"/>
    <w:rsid w:val="0002560A"/>
    <w:rsid w:val="00025DA0"/>
    <w:rsid w:val="0002696D"/>
    <w:rsid w:val="0002754D"/>
    <w:rsid w:val="00027666"/>
    <w:rsid w:val="000276B2"/>
    <w:rsid w:val="00027804"/>
    <w:rsid w:val="00027A46"/>
    <w:rsid w:val="00027AF3"/>
    <w:rsid w:val="00027B87"/>
    <w:rsid w:val="00030024"/>
    <w:rsid w:val="00030124"/>
    <w:rsid w:val="000305FD"/>
    <w:rsid w:val="0003084F"/>
    <w:rsid w:val="00030C2F"/>
    <w:rsid w:val="00030EF3"/>
    <w:rsid w:val="00031757"/>
    <w:rsid w:val="00031D96"/>
    <w:rsid w:val="00032686"/>
    <w:rsid w:val="000326DA"/>
    <w:rsid w:val="0003274B"/>
    <w:rsid w:val="00032AD8"/>
    <w:rsid w:val="000330D8"/>
    <w:rsid w:val="000331CC"/>
    <w:rsid w:val="0003322E"/>
    <w:rsid w:val="00033422"/>
    <w:rsid w:val="00033927"/>
    <w:rsid w:val="00035152"/>
    <w:rsid w:val="00035507"/>
    <w:rsid w:val="00035840"/>
    <w:rsid w:val="00035844"/>
    <w:rsid w:val="00036BAA"/>
    <w:rsid w:val="0003779D"/>
    <w:rsid w:val="00037B8B"/>
    <w:rsid w:val="00037C63"/>
    <w:rsid w:val="00037CE4"/>
    <w:rsid w:val="00037D6E"/>
    <w:rsid w:val="00040187"/>
    <w:rsid w:val="00040AC1"/>
    <w:rsid w:val="000418B1"/>
    <w:rsid w:val="00042BF9"/>
    <w:rsid w:val="00043295"/>
    <w:rsid w:val="000433F1"/>
    <w:rsid w:val="00045069"/>
    <w:rsid w:val="00045265"/>
    <w:rsid w:val="000457FE"/>
    <w:rsid w:val="00045947"/>
    <w:rsid w:val="000462A8"/>
    <w:rsid w:val="00046360"/>
    <w:rsid w:val="0004653D"/>
    <w:rsid w:val="000465AB"/>
    <w:rsid w:val="00046E59"/>
    <w:rsid w:val="00046FF5"/>
    <w:rsid w:val="000472E6"/>
    <w:rsid w:val="000479CD"/>
    <w:rsid w:val="000500E6"/>
    <w:rsid w:val="000504B1"/>
    <w:rsid w:val="000504FE"/>
    <w:rsid w:val="000505B5"/>
    <w:rsid w:val="00050B52"/>
    <w:rsid w:val="00050DAB"/>
    <w:rsid w:val="00051BF6"/>
    <w:rsid w:val="00053AAC"/>
    <w:rsid w:val="00053BFC"/>
    <w:rsid w:val="0005428F"/>
    <w:rsid w:val="00054870"/>
    <w:rsid w:val="00054ABD"/>
    <w:rsid w:val="00054F7D"/>
    <w:rsid w:val="00055230"/>
    <w:rsid w:val="00055557"/>
    <w:rsid w:val="00055A8A"/>
    <w:rsid w:val="00055BBB"/>
    <w:rsid w:val="00055E6D"/>
    <w:rsid w:val="0005625F"/>
    <w:rsid w:val="0005649E"/>
    <w:rsid w:val="0005700C"/>
    <w:rsid w:val="00057393"/>
    <w:rsid w:val="00057E45"/>
    <w:rsid w:val="000606B6"/>
    <w:rsid w:val="00060CE9"/>
    <w:rsid w:val="00062637"/>
    <w:rsid w:val="00063143"/>
    <w:rsid w:val="000631AC"/>
    <w:rsid w:val="000631B7"/>
    <w:rsid w:val="000639D4"/>
    <w:rsid w:val="00064A48"/>
    <w:rsid w:val="00064C80"/>
    <w:rsid w:val="00065749"/>
    <w:rsid w:val="00065AB7"/>
    <w:rsid w:val="00065AF3"/>
    <w:rsid w:val="00065B00"/>
    <w:rsid w:val="00065D71"/>
    <w:rsid w:val="0006676F"/>
    <w:rsid w:val="000673D8"/>
    <w:rsid w:val="00067DE7"/>
    <w:rsid w:val="000706AC"/>
    <w:rsid w:val="00070775"/>
    <w:rsid w:val="00070950"/>
    <w:rsid w:val="000709D3"/>
    <w:rsid w:val="000712F8"/>
    <w:rsid w:val="00071A6A"/>
    <w:rsid w:val="00071A79"/>
    <w:rsid w:val="00071C95"/>
    <w:rsid w:val="00072009"/>
    <w:rsid w:val="00072600"/>
    <w:rsid w:val="000729C9"/>
    <w:rsid w:val="00072A95"/>
    <w:rsid w:val="000736DF"/>
    <w:rsid w:val="00074923"/>
    <w:rsid w:val="000750EA"/>
    <w:rsid w:val="00075D8E"/>
    <w:rsid w:val="0007724C"/>
    <w:rsid w:val="00077698"/>
    <w:rsid w:val="00077891"/>
    <w:rsid w:val="0007797E"/>
    <w:rsid w:val="0008017C"/>
    <w:rsid w:val="00080462"/>
    <w:rsid w:val="000807A9"/>
    <w:rsid w:val="00080AA6"/>
    <w:rsid w:val="00081C1C"/>
    <w:rsid w:val="000822F0"/>
    <w:rsid w:val="00082611"/>
    <w:rsid w:val="0008264F"/>
    <w:rsid w:val="00082AC4"/>
    <w:rsid w:val="00082DF3"/>
    <w:rsid w:val="00082E71"/>
    <w:rsid w:val="00083194"/>
    <w:rsid w:val="0008372E"/>
    <w:rsid w:val="00083A64"/>
    <w:rsid w:val="00083B97"/>
    <w:rsid w:val="00084AFE"/>
    <w:rsid w:val="00085459"/>
    <w:rsid w:val="00085CBE"/>
    <w:rsid w:val="00085F23"/>
    <w:rsid w:val="0008619C"/>
    <w:rsid w:val="000866A9"/>
    <w:rsid w:val="000867B2"/>
    <w:rsid w:val="00086EC2"/>
    <w:rsid w:val="00087358"/>
    <w:rsid w:val="000873F5"/>
    <w:rsid w:val="00087EA5"/>
    <w:rsid w:val="000900DF"/>
    <w:rsid w:val="00090193"/>
    <w:rsid w:val="0009021F"/>
    <w:rsid w:val="00091D8D"/>
    <w:rsid w:val="000920E8"/>
    <w:rsid w:val="00093126"/>
    <w:rsid w:val="00093170"/>
    <w:rsid w:val="00093836"/>
    <w:rsid w:val="00093DF8"/>
    <w:rsid w:val="000941F6"/>
    <w:rsid w:val="00094460"/>
    <w:rsid w:val="00094505"/>
    <w:rsid w:val="000945C5"/>
    <w:rsid w:val="00094ECF"/>
    <w:rsid w:val="0009592E"/>
    <w:rsid w:val="00095F4B"/>
    <w:rsid w:val="0009606A"/>
    <w:rsid w:val="000968CD"/>
    <w:rsid w:val="0009715C"/>
    <w:rsid w:val="000973D7"/>
    <w:rsid w:val="000A10DB"/>
    <w:rsid w:val="000A10DE"/>
    <w:rsid w:val="000A1ECD"/>
    <w:rsid w:val="000A2968"/>
    <w:rsid w:val="000A3515"/>
    <w:rsid w:val="000A3518"/>
    <w:rsid w:val="000A4E45"/>
    <w:rsid w:val="000A6204"/>
    <w:rsid w:val="000A63AB"/>
    <w:rsid w:val="000A6BF2"/>
    <w:rsid w:val="000A6F1D"/>
    <w:rsid w:val="000A70C7"/>
    <w:rsid w:val="000A7238"/>
    <w:rsid w:val="000A791D"/>
    <w:rsid w:val="000B0504"/>
    <w:rsid w:val="000B09FE"/>
    <w:rsid w:val="000B15EF"/>
    <w:rsid w:val="000B26D6"/>
    <w:rsid w:val="000B316D"/>
    <w:rsid w:val="000B3194"/>
    <w:rsid w:val="000B3CFE"/>
    <w:rsid w:val="000B4451"/>
    <w:rsid w:val="000B474A"/>
    <w:rsid w:val="000B4EF3"/>
    <w:rsid w:val="000B554C"/>
    <w:rsid w:val="000B56AF"/>
    <w:rsid w:val="000B5A2B"/>
    <w:rsid w:val="000B5B3A"/>
    <w:rsid w:val="000B5D87"/>
    <w:rsid w:val="000B693E"/>
    <w:rsid w:val="000B6F18"/>
    <w:rsid w:val="000B7258"/>
    <w:rsid w:val="000B7ABB"/>
    <w:rsid w:val="000B7E6D"/>
    <w:rsid w:val="000C0DAB"/>
    <w:rsid w:val="000C0F92"/>
    <w:rsid w:val="000C214A"/>
    <w:rsid w:val="000C2157"/>
    <w:rsid w:val="000C23B5"/>
    <w:rsid w:val="000C24B3"/>
    <w:rsid w:val="000C2E3D"/>
    <w:rsid w:val="000C350A"/>
    <w:rsid w:val="000C4048"/>
    <w:rsid w:val="000C4988"/>
    <w:rsid w:val="000C5331"/>
    <w:rsid w:val="000C59D1"/>
    <w:rsid w:val="000C5F41"/>
    <w:rsid w:val="000C7045"/>
    <w:rsid w:val="000C757A"/>
    <w:rsid w:val="000C7654"/>
    <w:rsid w:val="000C7D9F"/>
    <w:rsid w:val="000C7E89"/>
    <w:rsid w:val="000C7FB2"/>
    <w:rsid w:val="000D2859"/>
    <w:rsid w:val="000D3C5A"/>
    <w:rsid w:val="000D3E1B"/>
    <w:rsid w:val="000D4061"/>
    <w:rsid w:val="000D481F"/>
    <w:rsid w:val="000D4860"/>
    <w:rsid w:val="000D48FB"/>
    <w:rsid w:val="000D4AB8"/>
    <w:rsid w:val="000D4B4F"/>
    <w:rsid w:val="000D4EC1"/>
    <w:rsid w:val="000D55FD"/>
    <w:rsid w:val="000D5C14"/>
    <w:rsid w:val="000D6EC7"/>
    <w:rsid w:val="000D71A3"/>
    <w:rsid w:val="000D75B1"/>
    <w:rsid w:val="000E01DF"/>
    <w:rsid w:val="000E1A80"/>
    <w:rsid w:val="000E1C04"/>
    <w:rsid w:val="000E2AD1"/>
    <w:rsid w:val="000E3215"/>
    <w:rsid w:val="000E3226"/>
    <w:rsid w:val="000E3D2F"/>
    <w:rsid w:val="000E4712"/>
    <w:rsid w:val="000E4E88"/>
    <w:rsid w:val="000E528E"/>
    <w:rsid w:val="000E6022"/>
    <w:rsid w:val="000E612C"/>
    <w:rsid w:val="000E6D38"/>
    <w:rsid w:val="000E72E7"/>
    <w:rsid w:val="000E72F6"/>
    <w:rsid w:val="000E742B"/>
    <w:rsid w:val="000E75B3"/>
    <w:rsid w:val="000E7CC8"/>
    <w:rsid w:val="000F04AE"/>
    <w:rsid w:val="000F107F"/>
    <w:rsid w:val="000F1B78"/>
    <w:rsid w:val="000F1F51"/>
    <w:rsid w:val="000F1FB0"/>
    <w:rsid w:val="000F2181"/>
    <w:rsid w:val="000F21CE"/>
    <w:rsid w:val="000F24AC"/>
    <w:rsid w:val="000F24D5"/>
    <w:rsid w:val="000F24E0"/>
    <w:rsid w:val="000F2F60"/>
    <w:rsid w:val="000F47D9"/>
    <w:rsid w:val="000F4B3A"/>
    <w:rsid w:val="000F5331"/>
    <w:rsid w:val="000F5356"/>
    <w:rsid w:val="000F55C9"/>
    <w:rsid w:val="000F59D6"/>
    <w:rsid w:val="000F6242"/>
    <w:rsid w:val="000F6F32"/>
    <w:rsid w:val="000F7276"/>
    <w:rsid w:val="000F75A8"/>
    <w:rsid w:val="000F76E0"/>
    <w:rsid w:val="00100331"/>
    <w:rsid w:val="00101255"/>
    <w:rsid w:val="001016BB"/>
    <w:rsid w:val="00101879"/>
    <w:rsid w:val="0010251A"/>
    <w:rsid w:val="00102768"/>
    <w:rsid w:val="00102BC3"/>
    <w:rsid w:val="00103458"/>
    <w:rsid w:val="0010425A"/>
    <w:rsid w:val="00104346"/>
    <w:rsid w:val="00104A86"/>
    <w:rsid w:val="00104AFF"/>
    <w:rsid w:val="00104FCC"/>
    <w:rsid w:val="00105991"/>
    <w:rsid w:val="00105A06"/>
    <w:rsid w:val="001078F4"/>
    <w:rsid w:val="00110797"/>
    <w:rsid w:val="00110F60"/>
    <w:rsid w:val="00111ECD"/>
    <w:rsid w:val="001120FF"/>
    <w:rsid w:val="001121DD"/>
    <w:rsid w:val="00112DBF"/>
    <w:rsid w:val="00113646"/>
    <w:rsid w:val="0011487E"/>
    <w:rsid w:val="00115ABE"/>
    <w:rsid w:val="00116258"/>
    <w:rsid w:val="0011783B"/>
    <w:rsid w:val="00120541"/>
    <w:rsid w:val="0012077F"/>
    <w:rsid w:val="00120813"/>
    <w:rsid w:val="0012099E"/>
    <w:rsid w:val="00120A8D"/>
    <w:rsid w:val="00120BF2"/>
    <w:rsid w:val="00120E60"/>
    <w:rsid w:val="0012130E"/>
    <w:rsid w:val="001213B0"/>
    <w:rsid w:val="00121741"/>
    <w:rsid w:val="00121832"/>
    <w:rsid w:val="00121EEE"/>
    <w:rsid w:val="001221FC"/>
    <w:rsid w:val="001222CD"/>
    <w:rsid w:val="0012235C"/>
    <w:rsid w:val="00122A75"/>
    <w:rsid w:val="001241D1"/>
    <w:rsid w:val="00124985"/>
    <w:rsid w:val="00124FF9"/>
    <w:rsid w:val="00125237"/>
    <w:rsid w:val="00125609"/>
    <w:rsid w:val="00125EC8"/>
    <w:rsid w:val="00126655"/>
    <w:rsid w:val="00126707"/>
    <w:rsid w:val="001267D3"/>
    <w:rsid w:val="001269E0"/>
    <w:rsid w:val="00126C9D"/>
    <w:rsid w:val="001271AC"/>
    <w:rsid w:val="001313CE"/>
    <w:rsid w:val="0013190A"/>
    <w:rsid w:val="00131C94"/>
    <w:rsid w:val="00131DE6"/>
    <w:rsid w:val="001326DF"/>
    <w:rsid w:val="00132AD8"/>
    <w:rsid w:val="00132CCE"/>
    <w:rsid w:val="00133D01"/>
    <w:rsid w:val="00134305"/>
    <w:rsid w:val="001343D3"/>
    <w:rsid w:val="00134510"/>
    <w:rsid w:val="00134EF1"/>
    <w:rsid w:val="00136073"/>
    <w:rsid w:val="001361F7"/>
    <w:rsid w:val="0013656A"/>
    <w:rsid w:val="00136606"/>
    <w:rsid w:val="00136806"/>
    <w:rsid w:val="001369A6"/>
    <w:rsid w:val="00136BD6"/>
    <w:rsid w:val="00136DBC"/>
    <w:rsid w:val="00136DDA"/>
    <w:rsid w:val="00136F77"/>
    <w:rsid w:val="00137856"/>
    <w:rsid w:val="00137BD8"/>
    <w:rsid w:val="00140291"/>
    <w:rsid w:val="001422D4"/>
    <w:rsid w:val="00142ED9"/>
    <w:rsid w:val="00143AE7"/>
    <w:rsid w:val="00143F8A"/>
    <w:rsid w:val="001442C2"/>
    <w:rsid w:val="001449E1"/>
    <w:rsid w:val="00144D5F"/>
    <w:rsid w:val="00145ABB"/>
    <w:rsid w:val="00145F5C"/>
    <w:rsid w:val="0014647C"/>
    <w:rsid w:val="0014694C"/>
    <w:rsid w:val="001475BF"/>
    <w:rsid w:val="0014764D"/>
    <w:rsid w:val="00147916"/>
    <w:rsid w:val="0014795D"/>
    <w:rsid w:val="001479AA"/>
    <w:rsid w:val="00147F00"/>
    <w:rsid w:val="00147F94"/>
    <w:rsid w:val="00150564"/>
    <w:rsid w:val="001506A7"/>
    <w:rsid w:val="00150882"/>
    <w:rsid w:val="001509F0"/>
    <w:rsid w:val="00150A4A"/>
    <w:rsid w:val="001518B5"/>
    <w:rsid w:val="00151BBA"/>
    <w:rsid w:val="0015252D"/>
    <w:rsid w:val="00152656"/>
    <w:rsid w:val="00152C00"/>
    <w:rsid w:val="00152C2B"/>
    <w:rsid w:val="00152E98"/>
    <w:rsid w:val="00153084"/>
    <w:rsid w:val="00153DEB"/>
    <w:rsid w:val="00154304"/>
    <w:rsid w:val="0015477A"/>
    <w:rsid w:val="001547DF"/>
    <w:rsid w:val="00154F0A"/>
    <w:rsid w:val="00156891"/>
    <w:rsid w:val="001569C0"/>
    <w:rsid w:val="00156BA3"/>
    <w:rsid w:val="00157060"/>
    <w:rsid w:val="001570A2"/>
    <w:rsid w:val="00157320"/>
    <w:rsid w:val="001579B9"/>
    <w:rsid w:val="0016010D"/>
    <w:rsid w:val="001602EB"/>
    <w:rsid w:val="00160DEA"/>
    <w:rsid w:val="00160E9E"/>
    <w:rsid w:val="001610EB"/>
    <w:rsid w:val="00161C1F"/>
    <w:rsid w:val="00161C2F"/>
    <w:rsid w:val="001620B6"/>
    <w:rsid w:val="00162664"/>
    <w:rsid w:val="00163194"/>
    <w:rsid w:val="00163DB9"/>
    <w:rsid w:val="00164F8F"/>
    <w:rsid w:val="0016529F"/>
    <w:rsid w:val="001658F5"/>
    <w:rsid w:val="00165D95"/>
    <w:rsid w:val="00165E39"/>
    <w:rsid w:val="00165F38"/>
    <w:rsid w:val="001661B8"/>
    <w:rsid w:val="00166237"/>
    <w:rsid w:val="0016644D"/>
    <w:rsid w:val="00166EE6"/>
    <w:rsid w:val="001672AF"/>
    <w:rsid w:val="00167F6F"/>
    <w:rsid w:val="00170A14"/>
    <w:rsid w:val="00170B6C"/>
    <w:rsid w:val="0017112B"/>
    <w:rsid w:val="001726CF"/>
    <w:rsid w:val="00172A27"/>
    <w:rsid w:val="00172BAF"/>
    <w:rsid w:val="00172EC0"/>
    <w:rsid w:val="00173191"/>
    <w:rsid w:val="001737FE"/>
    <w:rsid w:val="0017426E"/>
    <w:rsid w:val="001760DB"/>
    <w:rsid w:val="00176E50"/>
    <w:rsid w:val="00177106"/>
    <w:rsid w:val="0017723E"/>
    <w:rsid w:val="001775DA"/>
    <w:rsid w:val="0017787E"/>
    <w:rsid w:val="00177AD0"/>
    <w:rsid w:val="00181135"/>
    <w:rsid w:val="00181C0B"/>
    <w:rsid w:val="00182096"/>
    <w:rsid w:val="00182382"/>
    <w:rsid w:val="00182DF8"/>
    <w:rsid w:val="00185002"/>
    <w:rsid w:val="001853D0"/>
    <w:rsid w:val="00185D6F"/>
    <w:rsid w:val="00185E0C"/>
    <w:rsid w:val="00186CEF"/>
    <w:rsid w:val="00187892"/>
    <w:rsid w:val="00187DFB"/>
    <w:rsid w:val="00190463"/>
    <w:rsid w:val="001904CF"/>
    <w:rsid w:val="00191435"/>
    <w:rsid w:val="00192213"/>
    <w:rsid w:val="001927A2"/>
    <w:rsid w:val="0019335B"/>
    <w:rsid w:val="0019423A"/>
    <w:rsid w:val="00194FA4"/>
    <w:rsid w:val="00195648"/>
    <w:rsid w:val="001959DC"/>
    <w:rsid w:val="00195F44"/>
    <w:rsid w:val="00196019"/>
    <w:rsid w:val="0019630F"/>
    <w:rsid w:val="00196C83"/>
    <w:rsid w:val="00196E92"/>
    <w:rsid w:val="00197469"/>
    <w:rsid w:val="001A0112"/>
    <w:rsid w:val="001A0896"/>
    <w:rsid w:val="001A29AC"/>
    <w:rsid w:val="001A315B"/>
    <w:rsid w:val="001A35FF"/>
    <w:rsid w:val="001A3856"/>
    <w:rsid w:val="001A3F6D"/>
    <w:rsid w:val="001A4664"/>
    <w:rsid w:val="001A4953"/>
    <w:rsid w:val="001A4C94"/>
    <w:rsid w:val="001A5DA1"/>
    <w:rsid w:val="001A68CE"/>
    <w:rsid w:val="001A775C"/>
    <w:rsid w:val="001A7CBA"/>
    <w:rsid w:val="001A7E72"/>
    <w:rsid w:val="001B069F"/>
    <w:rsid w:val="001B0ADB"/>
    <w:rsid w:val="001B1736"/>
    <w:rsid w:val="001B1AE6"/>
    <w:rsid w:val="001B1F92"/>
    <w:rsid w:val="001B21AC"/>
    <w:rsid w:val="001B2FCF"/>
    <w:rsid w:val="001B32D3"/>
    <w:rsid w:val="001B32E4"/>
    <w:rsid w:val="001B3778"/>
    <w:rsid w:val="001B3E30"/>
    <w:rsid w:val="001B4ED3"/>
    <w:rsid w:val="001B50CC"/>
    <w:rsid w:val="001B51E8"/>
    <w:rsid w:val="001B5221"/>
    <w:rsid w:val="001B5355"/>
    <w:rsid w:val="001B6049"/>
    <w:rsid w:val="001B60D4"/>
    <w:rsid w:val="001B6482"/>
    <w:rsid w:val="001B65C5"/>
    <w:rsid w:val="001B7014"/>
    <w:rsid w:val="001B7C32"/>
    <w:rsid w:val="001B7CBF"/>
    <w:rsid w:val="001C0619"/>
    <w:rsid w:val="001C0E29"/>
    <w:rsid w:val="001C1344"/>
    <w:rsid w:val="001C13D0"/>
    <w:rsid w:val="001C148A"/>
    <w:rsid w:val="001C15DB"/>
    <w:rsid w:val="001C1814"/>
    <w:rsid w:val="001C1968"/>
    <w:rsid w:val="001C1DD6"/>
    <w:rsid w:val="001C2082"/>
    <w:rsid w:val="001C3B70"/>
    <w:rsid w:val="001C3D80"/>
    <w:rsid w:val="001C4361"/>
    <w:rsid w:val="001C505B"/>
    <w:rsid w:val="001C51A3"/>
    <w:rsid w:val="001C5358"/>
    <w:rsid w:val="001C56D1"/>
    <w:rsid w:val="001C5AD3"/>
    <w:rsid w:val="001C7A8C"/>
    <w:rsid w:val="001D0AA9"/>
    <w:rsid w:val="001D15D9"/>
    <w:rsid w:val="001D23EF"/>
    <w:rsid w:val="001D3262"/>
    <w:rsid w:val="001D3534"/>
    <w:rsid w:val="001D3E6D"/>
    <w:rsid w:val="001D537F"/>
    <w:rsid w:val="001D55D2"/>
    <w:rsid w:val="001D55F2"/>
    <w:rsid w:val="001D629D"/>
    <w:rsid w:val="001D723E"/>
    <w:rsid w:val="001D7681"/>
    <w:rsid w:val="001D7892"/>
    <w:rsid w:val="001E131D"/>
    <w:rsid w:val="001E15A7"/>
    <w:rsid w:val="001E1FA3"/>
    <w:rsid w:val="001E21AC"/>
    <w:rsid w:val="001E24A4"/>
    <w:rsid w:val="001E28CC"/>
    <w:rsid w:val="001E321D"/>
    <w:rsid w:val="001E38B1"/>
    <w:rsid w:val="001E3AC5"/>
    <w:rsid w:val="001E478C"/>
    <w:rsid w:val="001E4C00"/>
    <w:rsid w:val="001E4D12"/>
    <w:rsid w:val="001E4D56"/>
    <w:rsid w:val="001E631E"/>
    <w:rsid w:val="001E6CE0"/>
    <w:rsid w:val="001E6E30"/>
    <w:rsid w:val="001E6EC8"/>
    <w:rsid w:val="001E72E0"/>
    <w:rsid w:val="001F0064"/>
    <w:rsid w:val="001F05D5"/>
    <w:rsid w:val="001F16DF"/>
    <w:rsid w:val="001F1960"/>
    <w:rsid w:val="001F3603"/>
    <w:rsid w:val="001F3DAE"/>
    <w:rsid w:val="001F41DE"/>
    <w:rsid w:val="001F4A98"/>
    <w:rsid w:val="001F5294"/>
    <w:rsid w:val="001F6078"/>
    <w:rsid w:val="001F6159"/>
    <w:rsid w:val="001F6680"/>
    <w:rsid w:val="001F6E82"/>
    <w:rsid w:val="001F6FB6"/>
    <w:rsid w:val="001F740D"/>
    <w:rsid w:val="001F792F"/>
    <w:rsid w:val="001F7AC9"/>
    <w:rsid w:val="001F7B9E"/>
    <w:rsid w:val="001F7BE1"/>
    <w:rsid w:val="001F7C97"/>
    <w:rsid w:val="00200A84"/>
    <w:rsid w:val="00200BED"/>
    <w:rsid w:val="002014F7"/>
    <w:rsid w:val="00202576"/>
    <w:rsid w:val="00202B50"/>
    <w:rsid w:val="00202EF9"/>
    <w:rsid w:val="00202F93"/>
    <w:rsid w:val="00203204"/>
    <w:rsid w:val="00203236"/>
    <w:rsid w:val="002036E8"/>
    <w:rsid w:val="00203752"/>
    <w:rsid w:val="00203B3F"/>
    <w:rsid w:val="002048AD"/>
    <w:rsid w:val="00204B5C"/>
    <w:rsid w:val="002051F7"/>
    <w:rsid w:val="0020531C"/>
    <w:rsid w:val="002067D2"/>
    <w:rsid w:val="00206F81"/>
    <w:rsid w:val="0020708A"/>
    <w:rsid w:val="0020738E"/>
    <w:rsid w:val="00207642"/>
    <w:rsid w:val="00207838"/>
    <w:rsid w:val="00207F6A"/>
    <w:rsid w:val="00210256"/>
    <w:rsid w:val="00210394"/>
    <w:rsid w:val="0021076E"/>
    <w:rsid w:val="00211180"/>
    <w:rsid w:val="00211EC3"/>
    <w:rsid w:val="002124DD"/>
    <w:rsid w:val="00212B08"/>
    <w:rsid w:val="00213289"/>
    <w:rsid w:val="00213825"/>
    <w:rsid w:val="00214189"/>
    <w:rsid w:val="00214ADD"/>
    <w:rsid w:val="00214DBB"/>
    <w:rsid w:val="00214DF9"/>
    <w:rsid w:val="0021525B"/>
    <w:rsid w:val="00215D73"/>
    <w:rsid w:val="00216B19"/>
    <w:rsid w:val="00216CCC"/>
    <w:rsid w:val="00216E16"/>
    <w:rsid w:val="0021738B"/>
    <w:rsid w:val="00220082"/>
    <w:rsid w:val="002203BD"/>
    <w:rsid w:val="00220776"/>
    <w:rsid w:val="002207D0"/>
    <w:rsid w:val="002221C3"/>
    <w:rsid w:val="0022299A"/>
    <w:rsid w:val="00222B91"/>
    <w:rsid w:val="002230FD"/>
    <w:rsid w:val="002232B3"/>
    <w:rsid w:val="00224756"/>
    <w:rsid w:val="00224878"/>
    <w:rsid w:val="0022514D"/>
    <w:rsid w:val="002256C2"/>
    <w:rsid w:val="00225CEE"/>
    <w:rsid w:val="00226447"/>
    <w:rsid w:val="002266DB"/>
    <w:rsid w:val="00226894"/>
    <w:rsid w:val="002268B0"/>
    <w:rsid w:val="0022701D"/>
    <w:rsid w:val="00227577"/>
    <w:rsid w:val="002277E9"/>
    <w:rsid w:val="002303A6"/>
    <w:rsid w:val="00230894"/>
    <w:rsid w:val="002308E9"/>
    <w:rsid w:val="00230C61"/>
    <w:rsid w:val="00231584"/>
    <w:rsid w:val="00231B36"/>
    <w:rsid w:val="00231CFD"/>
    <w:rsid w:val="00231F9E"/>
    <w:rsid w:val="00232498"/>
    <w:rsid w:val="0023254E"/>
    <w:rsid w:val="00232918"/>
    <w:rsid w:val="00232B2D"/>
    <w:rsid w:val="0023350C"/>
    <w:rsid w:val="00233E70"/>
    <w:rsid w:val="00234281"/>
    <w:rsid w:val="00234FD3"/>
    <w:rsid w:val="00235B1B"/>
    <w:rsid w:val="00236B90"/>
    <w:rsid w:val="002371BF"/>
    <w:rsid w:val="00237A87"/>
    <w:rsid w:val="00240310"/>
    <w:rsid w:val="002404C3"/>
    <w:rsid w:val="002409B5"/>
    <w:rsid w:val="00241129"/>
    <w:rsid w:val="00241840"/>
    <w:rsid w:val="00241C36"/>
    <w:rsid w:val="00241F9B"/>
    <w:rsid w:val="00242608"/>
    <w:rsid w:val="002427EB"/>
    <w:rsid w:val="002427F0"/>
    <w:rsid w:val="002428BD"/>
    <w:rsid w:val="00242E09"/>
    <w:rsid w:val="002432B7"/>
    <w:rsid w:val="00243A92"/>
    <w:rsid w:val="00243C06"/>
    <w:rsid w:val="002440B2"/>
    <w:rsid w:val="0024551D"/>
    <w:rsid w:val="002458CE"/>
    <w:rsid w:val="00246513"/>
    <w:rsid w:val="00246B1D"/>
    <w:rsid w:val="00247BDE"/>
    <w:rsid w:val="00247EE8"/>
    <w:rsid w:val="00250B11"/>
    <w:rsid w:val="00251C98"/>
    <w:rsid w:val="00251EB3"/>
    <w:rsid w:val="0025329B"/>
    <w:rsid w:val="00253375"/>
    <w:rsid w:val="002538BA"/>
    <w:rsid w:val="00253EC4"/>
    <w:rsid w:val="0025418A"/>
    <w:rsid w:val="00254240"/>
    <w:rsid w:val="002557AE"/>
    <w:rsid w:val="00255BC2"/>
    <w:rsid w:val="00256539"/>
    <w:rsid w:val="00256DEA"/>
    <w:rsid w:val="002572BD"/>
    <w:rsid w:val="002579EC"/>
    <w:rsid w:val="00257C49"/>
    <w:rsid w:val="0026072F"/>
    <w:rsid w:val="00260952"/>
    <w:rsid w:val="00261192"/>
    <w:rsid w:val="00261A11"/>
    <w:rsid w:val="00261CB5"/>
    <w:rsid w:val="002625F2"/>
    <w:rsid w:val="00263413"/>
    <w:rsid w:val="0026431A"/>
    <w:rsid w:val="002644A4"/>
    <w:rsid w:val="00265066"/>
    <w:rsid w:val="00265599"/>
    <w:rsid w:val="00265C93"/>
    <w:rsid w:val="00266300"/>
    <w:rsid w:val="00271150"/>
    <w:rsid w:val="00274075"/>
    <w:rsid w:val="002747CC"/>
    <w:rsid w:val="00274830"/>
    <w:rsid w:val="00274DF9"/>
    <w:rsid w:val="00275170"/>
    <w:rsid w:val="00275D77"/>
    <w:rsid w:val="00275F0A"/>
    <w:rsid w:val="002778F2"/>
    <w:rsid w:val="00277EA0"/>
    <w:rsid w:val="00277F0D"/>
    <w:rsid w:val="00277F52"/>
    <w:rsid w:val="002809A3"/>
    <w:rsid w:val="00280BF2"/>
    <w:rsid w:val="00281780"/>
    <w:rsid w:val="00281979"/>
    <w:rsid w:val="00281E85"/>
    <w:rsid w:val="00282113"/>
    <w:rsid w:val="002837F8"/>
    <w:rsid w:val="00283844"/>
    <w:rsid w:val="002838FA"/>
    <w:rsid w:val="00283ACF"/>
    <w:rsid w:val="00283C99"/>
    <w:rsid w:val="0028473D"/>
    <w:rsid w:val="00284824"/>
    <w:rsid w:val="00284850"/>
    <w:rsid w:val="00284D22"/>
    <w:rsid w:val="00285326"/>
    <w:rsid w:val="002854BE"/>
    <w:rsid w:val="00285DE8"/>
    <w:rsid w:val="00285F07"/>
    <w:rsid w:val="002863F2"/>
    <w:rsid w:val="00286F15"/>
    <w:rsid w:val="0028735F"/>
    <w:rsid w:val="00290283"/>
    <w:rsid w:val="00290891"/>
    <w:rsid w:val="00291326"/>
    <w:rsid w:val="0029166A"/>
    <w:rsid w:val="00291DA9"/>
    <w:rsid w:val="00292773"/>
    <w:rsid w:val="002927AC"/>
    <w:rsid w:val="002927F9"/>
    <w:rsid w:val="0029469F"/>
    <w:rsid w:val="002946E9"/>
    <w:rsid w:val="00294A07"/>
    <w:rsid w:val="00295405"/>
    <w:rsid w:val="002954FB"/>
    <w:rsid w:val="002955F0"/>
    <w:rsid w:val="0029618D"/>
    <w:rsid w:val="002963FB"/>
    <w:rsid w:val="002965BA"/>
    <w:rsid w:val="00296814"/>
    <w:rsid w:val="002969CD"/>
    <w:rsid w:val="0029716C"/>
    <w:rsid w:val="00297CC2"/>
    <w:rsid w:val="002A00F4"/>
    <w:rsid w:val="002A0DD4"/>
    <w:rsid w:val="002A1D02"/>
    <w:rsid w:val="002A1E21"/>
    <w:rsid w:val="002A2537"/>
    <w:rsid w:val="002A2AB8"/>
    <w:rsid w:val="002A2B8E"/>
    <w:rsid w:val="002A5126"/>
    <w:rsid w:val="002A53C9"/>
    <w:rsid w:val="002A5948"/>
    <w:rsid w:val="002A64F2"/>
    <w:rsid w:val="002A6590"/>
    <w:rsid w:val="002A6AEB"/>
    <w:rsid w:val="002A7478"/>
    <w:rsid w:val="002A7AEB"/>
    <w:rsid w:val="002A7B26"/>
    <w:rsid w:val="002B01AD"/>
    <w:rsid w:val="002B047F"/>
    <w:rsid w:val="002B2D78"/>
    <w:rsid w:val="002B32B5"/>
    <w:rsid w:val="002B32C9"/>
    <w:rsid w:val="002B3736"/>
    <w:rsid w:val="002B3C0E"/>
    <w:rsid w:val="002B4054"/>
    <w:rsid w:val="002B41B4"/>
    <w:rsid w:val="002B46FF"/>
    <w:rsid w:val="002B497D"/>
    <w:rsid w:val="002B4D0E"/>
    <w:rsid w:val="002B51E2"/>
    <w:rsid w:val="002B542A"/>
    <w:rsid w:val="002B5495"/>
    <w:rsid w:val="002B54C5"/>
    <w:rsid w:val="002B55E5"/>
    <w:rsid w:val="002B653E"/>
    <w:rsid w:val="002B6703"/>
    <w:rsid w:val="002B6A46"/>
    <w:rsid w:val="002B6D69"/>
    <w:rsid w:val="002B6F67"/>
    <w:rsid w:val="002B7411"/>
    <w:rsid w:val="002B7F1B"/>
    <w:rsid w:val="002C0083"/>
    <w:rsid w:val="002C032E"/>
    <w:rsid w:val="002C081A"/>
    <w:rsid w:val="002C108A"/>
    <w:rsid w:val="002C1446"/>
    <w:rsid w:val="002C1553"/>
    <w:rsid w:val="002C2B35"/>
    <w:rsid w:val="002C2CCD"/>
    <w:rsid w:val="002C2F7F"/>
    <w:rsid w:val="002C2FB4"/>
    <w:rsid w:val="002C2FD3"/>
    <w:rsid w:val="002C3683"/>
    <w:rsid w:val="002C4177"/>
    <w:rsid w:val="002C433A"/>
    <w:rsid w:val="002C5B8D"/>
    <w:rsid w:val="002C682C"/>
    <w:rsid w:val="002C6DC2"/>
    <w:rsid w:val="002C6DDA"/>
    <w:rsid w:val="002C713E"/>
    <w:rsid w:val="002D04C8"/>
    <w:rsid w:val="002D053D"/>
    <w:rsid w:val="002D0B99"/>
    <w:rsid w:val="002D0F9E"/>
    <w:rsid w:val="002D1936"/>
    <w:rsid w:val="002D1CE8"/>
    <w:rsid w:val="002D2129"/>
    <w:rsid w:val="002D2FB2"/>
    <w:rsid w:val="002D3782"/>
    <w:rsid w:val="002D4896"/>
    <w:rsid w:val="002D48E6"/>
    <w:rsid w:val="002D53A7"/>
    <w:rsid w:val="002D5B16"/>
    <w:rsid w:val="002D769A"/>
    <w:rsid w:val="002D7789"/>
    <w:rsid w:val="002D77B7"/>
    <w:rsid w:val="002D7CC4"/>
    <w:rsid w:val="002D7DBC"/>
    <w:rsid w:val="002E02B6"/>
    <w:rsid w:val="002E0C21"/>
    <w:rsid w:val="002E1812"/>
    <w:rsid w:val="002E192A"/>
    <w:rsid w:val="002E2378"/>
    <w:rsid w:val="002E2471"/>
    <w:rsid w:val="002E2A80"/>
    <w:rsid w:val="002E2B84"/>
    <w:rsid w:val="002E300A"/>
    <w:rsid w:val="002E3543"/>
    <w:rsid w:val="002E3B82"/>
    <w:rsid w:val="002E3C95"/>
    <w:rsid w:val="002E40D7"/>
    <w:rsid w:val="002E48E1"/>
    <w:rsid w:val="002E4CCE"/>
    <w:rsid w:val="002E5554"/>
    <w:rsid w:val="002E58D2"/>
    <w:rsid w:val="002E5E11"/>
    <w:rsid w:val="002E5F0D"/>
    <w:rsid w:val="002E6262"/>
    <w:rsid w:val="002E6EE7"/>
    <w:rsid w:val="002F05FB"/>
    <w:rsid w:val="002F0C24"/>
    <w:rsid w:val="002F0C6B"/>
    <w:rsid w:val="002F0F9E"/>
    <w:rsid w:val="002F119A"/>
    <w:rsid w:val="002F1CD0"/>
    <w:rsid w:val="002F1D5C"/>
    <w:rsid w:val="002F207F"/>
    <w:rsid w:val="002F24AF"/>
    <w:rsid w:val="002F2902"/>
    <w:rsid w:val="002F32ED"/>
    <w:rsid w:val="002F3799"/>
    <w:rsid w:val="002F3FF3"/>
    <w:rsid w:val="002F43B6"/>
    <w:rsid w:val="002F45B2"/>
    <w:rsid w:val="002F4803"/>
    <w:rsid w:val="002F49F9"/>
    <w:rsid w:val="002F515D"/>
    <w:rsid w:val="002F537A"/>
    <w:rsid w:val="002F5F8A"/>
    <w:rsid w:val="002F6058"/>
    <w:rsid w:val="002F6673"/>
    <w:rsid w:val="002F66DB"/>
    <w:rsid w:val="002F6CCF"/>
    <w:rsid w:val="002F760C"/>
    <w:rsid w:val="002F7EB8"/>
    <w:rsid w:val="0030086D"/>
    <w:rsid w:val="00300D86"/>
    <w:rsid w:val="003017E1"/>
    <w:rsid w:val="00302891"/>
    <w:rsid w:val="00302F6A"/>
    <w:rsid w:val="00303AEB"/>
    <w:rsid w:val="003040C0"/>
    <w:rsid w:val="003048B5"/>
    <w:rsid w:val="00304DAF"/>
    <w:rsid w:val="00305989"/>
    <w:rsid w:val="00305CC7"/>
    <w:rsid w:val="00305F62"/>
    <w:rsid w:val="0030688B"/>
    <w:rsid w:val="00306B1E"/>
    <w:rsid w:val="003074FD"/>
    <w:rsid w:val="00307A2D"/>
    <w:rsid w:val="00310204"/>
    <w:rsid w:val="00310272"/>
    <w:rsid w:val="0031041F"/>
    <w:rsid w:val="00310991"/>
    <w:rsid w:val="00310D86"/>
    <w:rsid w:val="00310F34"/>
    <w:rsid w:val="003111D7"/>
    <w:rsid w:val="00312AF6"/>
    <w:rsid w:val="00312CB7"/>
    <w:rsid w:val="00312E68"/>
    <w:rsid w:val="0031351A"/>
    <w:rsid w:val="00314AFF"/>
    <w:rsid w:val="00315A7B"/>
    <w:rsid w:val="00315BD4"/>
    <w:rsid w:val="003161E5"/>
    <w:rsid w:val="00316C18"/>
    <w:rsid w:val="00316EDC"/>
    <w:rsid w:val="00317071"/>
    <w:rsid w:val="003170F2"/>
    <w:rsid w:val="00320168"/>
    <w:rsid w:val="003204DA"/>
    <w:rsid w:val="00320582"/>
    <w:rsid w:val="00321282"/>
    <w:rsid w:val="0032130E"/>
    <w:rsid w:val="0032187E"/>
    <w:rsid w:val="003218EA"/>
    <w:rsid w:val="00321F93"/>
    <w:rsid w:val="00322489"/>
    <w:rsid w:val="0032278A"/>
    <w:rsid w:val="0032279E"/>
    <w:rsid w:val="00322A25"/>
    <w:rsid w:val="00322C47"/>
    <w:rsid w:val="0032318E"/>
    <w:rsid w:val="00323A57"/>
    <w:rsid w:val="00324289"/>
    <w:rsid w:val="00324A14"/>
    <w:rsid w:val="00325668"/>
    <w:rsid w:val="003262AB"/>
    <w:rsid w:val="0032659C"/>
    <w:rsid w:val="003271D5"/>
    <w:rsid w:val="00327292"/>
    <w:rsid w:val="003272FD"/>
    <w:rsid w:val="0032744E"/>
    <w:rsid w:val="00327480"/>
    <w:rsid w:val="003275C7"/>
    <w:rsid w:val="00327C92"/>
    <w:rsid w:val="003307FF"/>
    <w:rsid w:val="00330A37"/>
    <w:rsid w:val="00330B81"/>
    <w:rsid w:val="00331424"/>
    <w:rsid w:val="00332A38"/>
    <w:rsid w:val="00333471"/>
    <w:rsid w:val="003334DE"/>
    <w:rsid w:val="00333A15"/>
    <w:rsid w:val="00333A6D"/>
    <w:rsid w:val="00333F1D"/>
    <w:rsid w:val="0033545E"/>
    <w:rsid w:val="00335776"/>
    <w:rsid w:val="00335E25"/>
    <w:rsid w:val="00336075"/>
    <w:rsid w:val="003370B4"/>
    <w:rsid w:val="003374B9"/>
    <w:rsid w:val="003375AB"/>
    <w:rsid w:val="003378B1"/>
    <w:rsid w:val="003408E2"/>
    <w:rsid w:val="003415A2"/>
    <w:rsid w:val="00341999"/>
    <w:rsid w:val="00341C6F"/>
    <w:rsid w:val="00342CB4"/>
    <w:rsid w:val="0034312D"/>
    <w:rsid w:val="0034330F"/>
    <w:rsid w:val="0034362E"/>
    <w:rsid w:val="00343669"/>
    <w:rsid w:val="00343732"/>
    <w:rsid w:val="003438E5"/>
    <w:rsid w:val="00343C67"/>
    <w:rsid w:val="00343E03"/>
    <w:rsid w:val="0034413A"/>
    <w:rsid w:val="00344BA3"/>
    <w:rsid w:val="00344BDC"/>
    <w:rsid w:val="00344D5E"/>
    <w:rsid w:val="003451C1"/>
    <w:rsid w:val="00345475"/>
    <w:rsid w:val="00346455"/>
    <w:rsid w:val="00346481"/>
    <w:rsid w:val="00346AE5"/>
    <w:rsid w:val="00346C56"/>
    <w:rsid w:val="00347782"/>
    <w:rsid w:val="00347D51"/>
    <w:rsid w:val="00347E11"/>
    <w:rsid w:val="00350268"/>
    <w:rsid w:val="00350594"/>
    <w:rsid w:val="003518DC"/>
    <w:rsid w:val="00352542"/>
    <w:rsid w:val="003527CE"/>
    <w:rsid w:val="0035326A"/>
    <w:rsid w:val="0035327A"/>
    <w:rsid w:val="003534CB"/>
    <w:rsid w:val="00353FC5"/>
    <w:rsid w:val="00354407"/>
    <w:rsid w:val="00354730"/>
    <w:rsid w:val="00354CC2"/>
    <w:rsid w:val="00354E45"/>
    <w:rsid w:val="003555CF"/>
    <w:rsid w:val="00355B59"/>
    <w:rsid w:val="00356164"/>
    <w:rsid w:val="0035620E"/>
    <w:rsid w:val="00356219"/>
    <w:rsid w:val="003564B6"/>
    <w:rsid w:val="0035669E"/>
    <w:rsid w:val="0035672B"/>
    <w:rsid w:val="00356991"/>
    <w:rsid w:val="003571AF"/>
    <w:rsid w:val="003574FA"/>
    <w:rsid w:val="00357C05"/>
    <w:rsid w:val="00357DE5"/>
    <w:rsid w:val="0036071E"/>
    <w:rsid w:val="00363B12"/>
    <w:rsid w:val="00363CA5"/>
    <w:rsid w:val="00363DA1"/>
    <w:rsid w:val="00364206"/>
    <w:rsid w:val="0036423C"/>
    <w:rsid w:val="003648BB"/>
    <w:rsid w:val="00364D59"/>
    <w:rsid w:val="003654BE"/>
    <w:rsid w:val="003654DD"/>
    <w:rsid w:val="00365572"/>
    <w:rsid w:val="00365D2E"/>
    <w:rsid w:val="00365DBB"/>
    <w:rsid w:val="003672E3"/>
    <w:rsid w:val="003673E6"/>
    <w:rsid w:val="003675F0"/>
    <w:rsid w:val="00367A90"/>
    <w:rsid w:val="00367E42"/>
    <w:rsid w:val="0037006D"/>
    <w:rsid w:val="00370115"/>
    <w:rsid w:val="003703EC"/>
    <w:rsid w:val="00370963"/>
    <w:rsid w:val="00371009"/>
    <w:rsid w:val="00371BC4"/>
    <w:rsid w:val="003722E8"/>
    <w:rsid w:val="003725FF"/>
    <w:rsid w:val="00372733"/>
    <w:rsid w:val="0037280D"/>
    <w:rsid w:val="003728E1"/>
    <w:rsid w:val="00372C4C"/>
    <w:rsid w:val="00373B8C"/>
    <w:rsid w:val="00373B9D"/>
    <w:rsid w:val="00373F9A"/>
    <w:rsid w:val="00374294"/>
    <w:rsid w:val="003745D0"/>
    <w:rsid w:val="00375B8A"/>
    <w:rsid w:val="00375D31"/>
    <w:rsid w:val="00375E04"/>
    <w:rsid w:val="003760E4"/>
    <w:rsid w:val="0037642E"/>
    <w:rsid w:val="003777F9"/>
    <w:rsid w:val="00377D45"/>
    <w:rsid w:val="003801DC"/>
    <w:rsid w:val="00380C74"/>
    <w:rsid w:val="00380CF1"/>
    <w:rsid w:val="00380E15"/>
    <w:rsid w:val="00380F51"/>
    <w:rsid w:val="00381993"/>
    <w:rsid w:val="00381B3A"/>
    <w:rsid w:val="00381D4A"/>
    <w:rsid w:val="00381F38"/>
    <w:rsid w:val="00381F75"/>
    <w:rsid w:val="0038248C"/>
    <w:rsid w:val="00383E24"/>
    <w:rsid w:val="00384837"/>
    <w:rsid w:val="00384976"/>
    <w:rsid w:val="00384B51"/>
    <w:rsid w:val="003856C6"/>
    <w:rsid w:val="00385E50"/>
    <w:rsid w:val="0038685F"/>
    <w:rsid w:val="00386B43"/>
    <w:rsid w:val="00386CBA"/>
    <w:rsid w:val="00386FC4"/>
    <w:rsid w:val="00387B59"/>
    <w:rsid w:val="00390AA4"/>
    <w:rsid w:val="003912E4"/>
    <w:rsid w:val="00391901"/>
    <w:rsid w:val="0039192C"/>
    <w:rsid w:val="00391AC1"/>
    <w:rsid w:val="00391B2B"/>
    <w:rsid w:val="00392361"/>
    <w:rsid w:val="003923E6"/>
    <w:rsid w:val="0039240B"/>
    <w:rsid w:val="00393129"/>
    <w:rsid w:val="00393478"/>
    <w:rsid w:val="00393FE9"/>
    <w:rsid w:val="003941B4"/>
    <w:rsid w:val="003943FE"/>
    <w:rsid w:val="0039476B"/>
    <w:rsid w:val="00394F4C"/>
    <w:rsid w:val="00395BDA"/>
    <w:rsid w:val="00396113"/>
    <w:rsid w:val="00396BF6"/>
    <w:rsid w:val="00396F26"/>
    <w:rsid w:val="003973FD"/>
    <w:rsid w:val="00397413"/>
    <w:rsid w:val="00397418"/>
    <w:rsid w:val="003976E4"/>
    <w:rsid w:val="00397E21"/>
    <w:rsid w:val="00397FDC"/>
    <w:rsid w:val="003A04AE"/>
    <w:rsid w:val="003A0667"/>
    <w:rsid w:val="003A19D6"/>
    <w:rsid w:val="003A2B0C"/>
    <w:rsid w:val="003A2D4E"/>
    <w:rsid w:val="003A2E4A"/>
    <w:rsid w:val="003A2E89"/>
    <w:rsid w:val="003A3999"/>
    <w:rsid w:val="003A4462"/>
    <w:rsid w:val="003A4663"/>
    <w:rsid w:val="003A4BFF"/>
    <w:rsid w:val="003A4F4E"/>
    <w:rsid w:val="003A5D90"/>
    <w:rsid w:val="003A62DA"/>
    <w:rsid w:val="003A6F24"/>
    <w:rsid w:val="003A7B14"/>
    <w:rsid w:val="003A7B7B"/>
    <w:rsid w:val="003A7D2A"/>
    <w:rsid w:val="003A7D38"/>
    <w:rsid w:val="003B08CD"/>
    <w:rsid w:val="003B14FD"/>
    <w:rsid w:val="003B2427"/>
    <w:rsid w:val="003B2D7D"/>
    <w:rsid w:val="003B3E12"/>
    <w:rsid w:val="003B4279"/>
    <w:rsid w:val="003B4696"/>
    <w:rsid w:val="003B489E"/>
    <w:rsid w:val="003B4E65"/>
    <w:rsid w:val="003B4EB6"/>
    <w:rsid w:val="003B51E6"/>
    <w:rsid w:val="003B6031"/>
    <w:rsid w:val="003B6E81"/>
    <w:rsid w:val="003B6FA1"/>
    <w:rsid w:val="003B707F"/>
    <w:rsid w:val="003B7821"/>
    <w:rsid w:val="003B7E05"/>
    <w:rsid w:val="003C052A"/>
    <w:rsid w:val="003C131E"/>
    <w:rsid w:val="003C19A5"/>
    <w:rsid w:val="003C1C85"/>
    <w:rsid w:val="003C1D19"/>
    <w:rsid w:val="003C1F69"/>
    <w:rsid w:val="003C2A5C"/>
    <w:rsid w:val="003C3A2A"/>
    <w:rsid w:val="003C3E7F"/>
    <w:rsid w:val="003C4482"/>
    <w:rsid w:val="003C5260"/>
    <w:rsid w:val="003C5EA1"/>
    <w:rsid w:val="003C612F"/>
    <w:rsid w:val="003C6468"/>
    <w:rsid w:val="003D0AF6"/>
    <w:rsid w:val="003D0BFD"/>
    <w:rsid w:val="003D11D9"/>
    <w:rsid w:val="003D1E5A"/>
    <w:rsid w:val="003D35FD"/>
    <w:rsid w:val="003D3990"/>
    <w:rsid w:val="003D42CB"/>
    <w:rsid w:val="003D43E2"/>
    <w:rsid w:val="003D4B62"/>
    <w:rsid w:val="003D4E9A"/>
    <w:rsid w:val="003D51F4"/>
    <w:rsid w:val="003D5811"/>
    <w:rsid w:val="003D58C5"/>
    <w:rsid w:val="003D6638"/>
    <w:rsid w:val="003D67D4"/>
    <w:rsid w:val="003D7786"/>
    <w:rsid w:val="003D7CE5"/>
    <w:rsid w:val="003D7FC4"/>
    <w:rsid w:val="003E0354"/>
    <w:rsid w:val="003E08DC"/>
    <w:rsid w:val="003E184A"/>
    <w:rsid w:val="003E1887"/>
    <w:rsid w:val="003E18C9"/>
    <w:rsid w:val="003E19E2"/>
    <w:rsid w:val="003E2014"/>
    <w:rsid w:val="003E2538"/>
    <w:rsid w:val="003E278F"/>
    <w:rsid w:val="003E2E55"/>
    <w:rsid w:val="003E3642"/>
    <w:rsid w:val="003E4296"/>
    <w:rsid w:val="003E43C8"/>
    <w:rsid w:val="003E4918"/>
    <w:rsid w:val="003E4B5F"/>
    <w:rsid w:val="003E530F"/>
    <w:rsid w:val="003E550A"/>
    <w:rsid w:val="003E5A33"/>
    <w:rsid w:val="003E5E89"/>
    <w:rsid w:val="003E6457"/>
    <w:rsid w:val="003E65FD"/>
    <w:rsid w:val="003E69CF"/>
    <w:rsid w:val="003E6BEE"/>
    <w:rsid w:val="003E6DA0"/>
    <w:rsid w:val="003E72DA"/>
    <w:rsid w:val="003F031C"/>
    <w:rsid w:val="003F1622"/>
    <w:rsid w:val="003F1AA3"/>
    <w:rsid w:val="003F25EF"/>
    <w:rsid w:val="003F3000"/>
    <w:rsid w:val="003F3277"/>
    <w:rsid w:val="003F3A1A"/>
    <w:rsid w:val="003F3E0C"/>
    <w:rsid w:val="003F43D1"/>
    <w:rsid w:val="003F4C79"/>
    <w:rsid w:val="003F4E06"/>
    <w:rsid w:val="003F5322"/>
    <w:rsid w:val="003F5590"/>
    <w:rsid w:val="003F5E3F"/>
    <w:rsid w:val="003F5EB7"/>
    <w:rsid w:val="003F6496"/>
    <w:rsid w:val="003F67CB"/>
    <w:rsid w:val="003F7133"/>
    <w:rsid w:val="003F759C"/>
    <w:rsid w:val="003F7A84"/>
    <w:rsid w:val="00401ABA"/>
    <w:rsid w:val="00401CD0"/>
    <w:rsid w:val="00402608"/>
    <w:rsid w:val="00402E6B"/>
    <w:rsid w:val="00403542"/>
    <w:rsid w:val="00403A15"/>
    <w:rsid w:val="00403FA5"/>
    <w:rsid w:val="0040544F"/>
    <w:rsid w:val="00405461"/>
    <w:rsid w:val="00405477"/>
    <w:rsid w:val="0040566B"/>
    <w:rsid w:val="004067F1"/>
    <w:rsid w:val="00406C6B"/>
    <w:rsid w:val="00406C91"/>
    <w:rsid w:val="00406ECC"/>
    <w:rsid w:val="00407F34"/>
    <w:rsid w:val="004103EB"/>
    <w:rsid w:val="00410441"/>
    <w:rsid w:val="0041078F"/>
    <w:rsid w:val="00410B02"/>
    <w:rsid w:val="00410B78"/>
    <w:rsid w:val="0041102C"/>
    <w:rsid w:val="00411154"/>
    <w:rsid w:val="00411468"/>
    <w:rsid w:val="00412BDE"/>
    <w:rsid w:val="004146E5"/>
    <w:rsid w:val="00414937"/>
    <w:rsid w:val="00414DE0"/>
    <w:rsid w:val="004150FE"/>
    <w:rsid w:val="004158A0"/>
    <w:rsid w:val="00415D69"/>
    <w:rsid w:val="00415FAD"/>
    <w:rsid w:val="0041619C"/>
    <w:rsid w:val="0041747C"/>
    <w:rsid w:val="00417701"/>
    <w:rsid w:val="00417988"/>
    <w:rsid w:val="00417C68"/>
    <w:rsid w:val="00417D7A"/>
    <w:rsid w:val="004203AA"/>
    <w:rsid w:val="00420BA6"/>
    <w:rsid w:val="0042121D"/>
    <w:rsid w:val="0042181C"/>
    <w:rsid w:val="00422508"/>
    <w:rsid w:val="0042267A"/>
    <w:rsid w:val="00422C59"/>
    <w:rsid w:val="00422CFC"/>
    <w:rsid w:val="0042412E"/>
    <w:rsid w:val="0042472D"/>
    <w:rsid w:val="00424ABD"/>
    <w:rsid w:val="0042505E"/>
    <w:rsid w:val="004257A7"/>
    <w:rsid w:val="00425EF9"/>
    <w:rsid w:val="00427FEE"/>
    <w:rsid w:val="0043011A"/>
    <w:rsid w:val="0043040E"/>
    <w:rsid w:val="004305C5"/>
    <w:rsid w:val="00430C70"/>
    <w:rsid w:val="004318F9"/>
    <w:rsid w:val="00432B9E"/>
    <w:rsid w:val="00434374"/>
    <w:rsid w:val="00435012"/>
    <w:rsid w:val="00435197"/>
    <w:rsid w:val="0043678E"/>
    <w:rsid w:val="004377D6"/>
    <w:rsid w:val="00437B57"/>
    <w:rsid w:val="00440AFD"/>
    <w:rsid w:val="00440FD6"/>
    <w:rsid w:val="004410BC"/>
    <w:rsid w:val="00441164"/>
    <w:rsid w:val="004414D3"/>
    <w:rsid w:val="00441A6C"/>
    <w:rsid w:val="004420F9"/>
    <w:rsid w:val="00442CCD"/>
    <w:rsid w:val="00442DC9"/>
    <w:rsid w:val="004435D7"/>
    <w:rsid w:val="00443E2F"/>
    <w:rsid w:val="00444188"/>
    <w:rsid w:val="00444473"/>
    <w:rsid w:val="0044482D"/>
    <w:rsid w:val="00444927"/>
    <w:rsid w:val="00444FEA"/>
    <w:rsid w:val="004458AB"/>
    <w:rsid w:val="00445C9F"/>
    <w:rsid w:val="00446D64"/>
    <w:rsid w:val="004475D5"/>
    <w:rsid w:val="00450347"/>
    <w:rsid w:val="004503A1"/>
    <w:rsid w:val="00450674"/>
    <w:rsid w:val="00451846"/>
    <w:rsid w:val="00451E7F"/>
    <w:rsid w:val="0045201A"/>
    <w:rsid w:val="004536EF"/>
    <w:rsid w:val="00453DB3"/>
    <w:rsid w:val="00454800"/>
    <w:rsid w:val="00454858"/>
    <w:rsid w:val="00454B8F"/>
    <w:rsid w:val="00454C20"/>
    <w:rsid w:val="00454F7D"/>
    <w:rsid w:val="0045535F"/>
    <w:rsid w:val="004557BD"/>
    <w:rsid w:val="004558FA"/>
    <w:rsid w:val="00455CAE"/>
    <w:rsid w:val="00455D96"/>
    <w:rsid w:val="00455E9B"/>
    <w:rsid w:val="00455EA7"/>
    <w:rsid w:val="004566DC"/>
    <w:rsid w:val="00456D15"/>
    <w:rsid w:val="004578E3"/>
    <w:rsid w:val="00460181"/>
    <w:rsid w:val="004602D4"/>
    <w:rsid w:val="00460A4B"/>
    <w:rsid w:val="00461252"/>
    <w:rsid w:val="004613B8"/>
    <w:rsid w:val="0046159B"/>
    <w:rsid w:val="00461A84"/>
    <w:rsid w:val="0046215E"/>
    <w:rsid w:val="00462286"/>
    <w:rsid w:val="00462F25"/>
    <w:rsid w:val="004631A1"/>
    <w:rsid w:val="0046330C"/>
    <w:rsid w:val="00463717"/>
    <w:rsid w:val="00463754"/>
    <w:rsid w:val="004637CD"/>
    <w:rsid w:val="0046405D"/>
    <w:rsid w:val="0046427F"/>
    <w:rsid w:val="004653AD"/>
    <w:rsid w:val="00465498"/>
    <w:rsid w:val="00465A3C"/>
    <w:rsid w:val="00465F55"/>
    <w:rsid w:val="0046615C"/>
    <w:rsid w:val="004665C7"/>
    <w:rsid w:val="00466742"/>
    <w:rsid w:val="00466AE4"/>
    <w:rsid w:val="0046756D"/>
    <w:rsid w:val="00467B68"/>
    <w:rsid w:val="00470883"/>
    <w:rsid w:val="00470A80"/>
    <w:rsid w:val="00471361"/>
    <w:rsid w:val="0047140D"/>
    <w:rsid w:val="0047240C"/>
    <w:rsid w:val="00472834"/>
    <w:rsid w:val="00472ADA"/>
    <w:rsid w:val="00472AF9"/>
    <w:rsid w:val="00472E87"/>
    <w:rsid w:val="00472FD2"/>
    <w:rsid w:val="00473F72"/>
    <w:rsid w:val="00474322"/>
    <w:rsid w:val="00474620"/>
    <w:rsid w:val="004746DF"/>
    <w:rsid w:val="004751F6"/>
    <w:rsid w:val="0047548C"/>
    <w:rsid w:val="00475DC2"/>
    <w:rsid w:val="00476446"/>
    <w:rsid w:val="004778F1"/>
    <w:rsid w:val="004779AB"/>
    <w:rsid w:val="00477FA2"/>
    <w:rsid w:val="004801BA"/>
    <w:rsid w:val="0048028B"/>
    <w:rsid w:val="00481C87"/>
    <w:rsid w:val="004828B4"/>
    <w:rsid w:val="00482B8F"/>
    <w:rsid w:val="00482F94"/>
    <w:rsid w:val="004836EF"/>
    <w:rsid w:val="004840B7"/>
    <w:rsid w:val="00484F5A"/>
    <w:rsid w:val="00485352"/>
    <w:rsid w:val="0048639E"/>
    <w:rsid w:val="004876C2"/>
    <w:rsid w:val="004878B6"/>
    <w:rsid w:val="00490831"/>
    <w:rsid w:val="00490999"/>
    <w:rsid w:val="00491095"/>
    <w:rsid w:val="004918B1"/>
    <w:rsid w:val="00491A2E"/>
    <w:rsid w:val="00491AA2"/>
    <w:rsid w:val="00492C56"/>
    <w:rsid w:val="00492E49"/>
    <w:rsid w:val="00492F1A"/>
    <w:rsid w:val="00493419"/>
    <w:rsid w:val="00493782"/>
    <w:rsid w:val="00493B66"/>
    <w:rsid w:val="00493CF5"/>
    <w:rsid w:val="00493E2D"/>
    <w:rsid w:val="00494AD0"/>
    <w:rsid w:val="00494B2E"/>
    <w:rsid w:val="004952A2"/>
    <w:rsid w:val="0049590C"/>
    <w:rsid w:val="00495D9A"/>
    <w:rsid w:val="00496562"/>
    <w:rsid w:val="004966E0"/>
    <w:rsid w:val="00496B70"/>
    <w:rsid w:val="00497775"/>
    <w:rsid w:val="004A0ECC"/>
    <w:rsid w:val="004A103A"/>
    <w:rsid w:val="004A1246"/>
    <w:rsid w:val="004A17D3"/>
    <w:rsid w:val="004A17FA"/>
    <w:rsid w:val="004A25D9"/>
    <w:rsid w:val="004A37BC"/>
    <w:rsid w:val="004A3F18"/>
    <w:rsid w:val="004A43C8"/>
    <w:rsid w:val="004A4C54"/>
    <w:rsid w:val="004A4D06"/>
    <w:rsid w:val="004A4FC8"/>
    <w:rsid w:val="004A5232"/>
    <w:rsid w:val="004A76F0"/>
    <w:rsid w:val="004B000C"/>
    <w:rsid w:val="004B0A5F"/>
    <w:rsid w:val="004B11AD"/>
    <w:rsid w:val="004B157C"/>
    <w:rsid w:val="004B15CE"/>
    <w:rsid w:val="004B2630"/>
    <w:rsid w:val="004B4A7F"/>
    <w:rsid w:val="004B51A3"/>
    <w:rsid w:val="004B534E"/>
    <w:rsid w:val="004B59CB"/>
    <w:rsid w:val="004B6901"/>
    <w:rsid w:val="004B6F05"/>
    <w:rsid w:val="004C0712"/>
    <w:rsid w:val="004C0F0D"/>
    <w:rsid w:val="004C1062"/>
    <w:rsid w:val="004C1208"/>
    <w:rsid w:val="004C1838"/>
    <w:rsid w:val="004C1C11"/>
    <w:rsid w:val="004C1CE3"/>
    <w:rsid w:val="004C1E63"/>
    <w:rsid w:val="004C2D28"/>
    <w:rsid w:val="004C3FD7"/>
    <w:rsid w:val="004C49A0"/>
    <w:rsid w:val="004C4F85"/>
    <w:rsid w:val="004C5164"/>
    <w:rsid w:val="004C5AA1"/>
    <w:rsid w:val="004C600D"/>
    <w:rsid w:val="004C6374"/>
    <w:rsid w:val="004C64D0"/>
    <w:rsid w:val="004C683A"/>
    <w:rsid w:val="004C6979"/>
    <w:rsid w:val="004C6B4F"/>
    <w:rsid w:val="004C6D63"/>
    <w:rsid w:val="004C6DF5"/>
    <w:rsid w:val="004C79D9"/>
    <w:rsid w:val="004D00CF"/>
    <w:rsid w:val="004D1865"/>
    <w:rsid w:val="004D25E2"/>
    <w:rsid w:val="004D394A"/>
    <w:rsid w:val="004D3A17"/>
    <w:rsid w:val="004D4685"/>
    <w:rsid w:val="004D4AC2"/>
    <w:rsid w:val="004D5038"/>
    <w:rsid w:val="004D566B"/>
    <w:rsid w:val="004D5C26"/>
    <w:rsid w:val="004D5EBD"/>
    <w:rsid w:val="004D61E5"/>
    <w:rsid w:val="004D6314"/>
    <w:rsid w:val="004D676F"/>
    <w:rsid w:val="004D6A67"/>
    <w:rsid w:val="004D6D81"/>
    <w:rsid w:val="004D7312"/>
    <w:rsid w:val="004D7420"/>
    <w:rsid w:val="004D76A6"/>
    <w:rsid w:val="004E001F"/>
    <w:rsid w:val="004E054D"/>
    <w:rsid w:val="004E07DA"/>
    <w:rsid w:val="004E1454"/>
    <w:rsid w:val="004E2921"/>
    <w:rsid w:val="004E2BC5"/>
    <w:rsid w:val="004E305F"/>
    <w:rsid w:val="004E325F"/>
    <w:rsid w:val="004E3C85"/>
    <w:rsid w:val="004E3FB6"/>
    <w:rsid w:val="004E41AF"/>
    <w:rsid w:val="004E4277"/>
    <w:rsid w:val="004E4F95"/>
    <w:rsid w:val="004E53FC"/>
    <w:rsid w:val="004E578F"/>
    <w:rsid w:val="004E5CF5"/>
    <w:rsid w:val="004E62BD"/>
    <w:rsid w:val="004E7540"/>
    <w:rsid w:val="004E7A4B"/>
    <w:rsid w:val="004E7FC0"/>
    <w:rsid w:val="004F05B8"/>
    <w:rsid w:val="004F0657"/>
    <w:rsid w:val="004F1A7E"/>
    <w:rsid w:val="004F2F35"/>
    <w:rsid w:val="004F3786"/>
    <w:rsid w:val="004F3BE6"/>
    <w:rsid w:val="004F3D20"/>
    <w:rsid w:val="004F4978"/>
    <w:rsid w:val="004F4CE3"/>
    <w:rsid w:val="004F4ED1"/>
    <w:rsid w:val="004F4F47"/>
    <w:rsid w:val="004F56ED"/>
    <w:rsid w:val="004F5D56"/>
    <w:rsid w:val="004F5FA0"/>
    <w:rsid w:val="004F6045"/>
    <w:rsid w:val="004F6147"/>
    <w:rsid w:val="004F614F"/>
    <w:rsid w:val="004F69FE"/>
    <w:rsid w:val="004F752A"/>
    <w:rsid w:val="004F781C"/>
    <w:rsid w:val="004F7918"/>
    <w:rsid w:val="0050098F"/>
    <w:rsid w:val="00500AE6"/>
    <w:rsid w:val="00500B30"/>
    <w:rsid w:val="00500CC6"/>
    <w:rsid w:val="005014B2"/>
    <w:rsid w:val="00502C8D"/>
    <w:rsid w:val="00503797"/>
    <w:rsid w:val="0050398F"/>
    <w:rsid w:val="00503F6D"/>
    <w:rsid w:val="00505B35"/>
    <w:rsid w:val="005067EB"/>
    <w:rsid w:val="00506B64"/>
    <w:rsid w:val="005111E1"/>
    <w:rsid w:val="00511308"/>
    <w:rsid w:val="00511D96"/>
    <w:rsid w:val="0051227C"/>
    <w:rsid w:val="0051254F"/>
    <w:rsid w:val="005130A1"/>
    <w:rsid w:val="00513E25"/>
    <w:rsid w:val="0051430B"/>
    <w:rsid w:val="005144B5"/>
    <w:rsid w:val="00514710"/>
    <w:rsid w:val="005162F1"/>
    <w:rsid w:val="00516603"/>
    <w:rsid w:val="0051788F"/>
    <w:rsid w:val="00520D07"/>
    <w:rsid w:val="005219BF"/>
    <w:rsid w:val="005219D0"/>
    <w:rsid w:val="005234BC"/>
    <w:rsid w:val="00523A99"/>
    <w:rsid w:val="00523D53"/>
    <w:rsid w:val="00523F12"/>
    <w:rsid w:val="00523FCF"/>
    <w:rsid w:val="00525285"/>
    <w:rsid w:val="0052553B"/>
    <w:rsid w:val="00525BBB"/>
    <w:rsid w:val="00526118"/>
    <w:rsid w:val="005263EB"/>
    <w:rsid w:val="0052699C"/>
    <w:rsid w:val="00526F84"/>
    <w:rsid w:val="0052700A"/>
    <w:rsid w:val="00527A3A"/>
    <w:rsid w:val="00527A5E"/>
    <w:rsid w:val="00527BA9"/>
    <w:rsid w:val="00530166"/>
    <w:rsid w:val="00530771"/>
    <w:rsid w:val="00530783"/>
    <w:rsid w:val="00530833"/>
    <w:rsid w:val="00530DE9"/>
    <w:rsid w:val="005320EA"/>
    <w:rsid w:val="005327DB"/>
    <w:rsid w:val="0053516D"/>
    <w:rsid w:val="00535681"/>
    <w:rsid w:val="005359C4"/>
    <w:rsid w:val="0053625D"/>
    <w:rsid w:val="00536895"/>
    <w:rsid w:val="00536F59"/>
    <w:rsid w:val="00537507"/>
    <w:rsid w:val="00537A32"/>
    <w:rsid w:val="00537D1F"/>
    <w:rsid w:val="00537D7C"/>
    <w:rsid w:val="0054077E"/>
    <w:rsid w:val="00540889"/>
    <w:rsid w:val="00540997"/>
    <w:rsid w:val="00540FAC"/>
    <w:rsid w:val="005412F3"/>
    <w:rsid w:val="00541413"/>
    <w:rsid w:val="00542264"/>
    <w:rsid w:val="00542BA4"/>
    <w:rsid w:val="005431F0"/>
    <w:rsid w:val="005431FC"/>
    <w:rsid w:val="005434FF"/>
    <w:rsid w:val="00543D2C"/>
    <w:rsid w:val="00544329"/>
    <w:rsid w:val="00544453"/>
    <w:rsid w:val="005446AA"/>
    <w:rsid w:val="005449A3"/>
    <w:rsid w:val="00545125"/>
    <w:rsid w:val="00545C3B"/>
    <w:rsid w:val="00545DC1"/>
    <w:rsid w:val="0054766B"/>
    <w:rsid w:val="005477A8"/>
    <w:rsid w:val="00547AFA"/>
    <w:rsid w:val="00547D11"/>
    <w:rsid w:val="00547D87"/>
    <w:rsid w:val="005503D4"/>
    <w:rsid w:val="00550AA6"/>
    <w:rsid w:val="005516BD"/>
    <w:rsid w:val="00552061"/>
    <w:rsid w:val="00552A9A"/>
    <w:rsid w:val="005530E3"/>
    <w:rsid w:val="00553457"/>
    <w:rsid w:val="005539EC"/>
    <w:rsid w:val="00553A0B"/>
    <w:rsid w:val="00554607"/>
    <w:rsid w:val="00554627"/>
    <w:rsid w:val="005547FF"/>
    <w:rsid w:val="0055582F"/>
    <w:rsid w:val="00555E12"/>
    <w:rsid w:val="005560BF"/>
    <w:rsid w:val="005563C9"/>
    <w:rsid w:val="005574F9"/>
    <w:rsid w:val="0055764E"/>
    <w:rsid w:val="00557E4A"/>
    <w:rsid w:val="00560026"/>
    <w:rsid w:val="00560031"/>
    <w:rsid w:val="0056023C"/>
    <w:rsid w:val="00560381"/>
    <w:rsid w:val="00560624"/>
    <w:rsid w:val="00560C38"/>
    <w:rsid w:val="00560DE2"/>
    <w:rsid w:val="00560FAC"/>
    <w:rsid w:val="005612D4"/>
    <w:rsid w:val="005613A3"/>
    <w:rsid w:val="005613A7"/>
    <w:rsid w:val="005619B7"/>
    <w:rsid w:val="00561C1C"/>
    <w:rsid w:val="00562E3D"/>
    <w:rsid w:val="00563ADB"/>
    <w:rsid w:val="00563F75"/>
    <w:rsid w:val="005640EB"/>
    <w:rsid w:val="00564129"/>
    <w:rsid w:val="00564671"/>
    <w:rsid w:val="00565514"/>
    <w:rsid w:val="00566803"/>
    <w:rsid w:val="00566845"/>
    <w:rsid w:val="00567EC7"/>
    <w:rsid w:val="00570499"/>
    <w:rsid w:val="00570584"/>
    <w:rsid w:val="005712D6"/>
    <w:rsid w:val="00571812"/>
    <w:rsid w:val="00571DCD"/>
    <w:rsid w:val="0057218C"/>
    <w:rsid w:val="0057272D"/>
    <w:rsid w:val="00572C81"/>
    <w:rsid w:val="00572E70"/>
    <w:rsid w:val="00573369"/>
    <w:rsid w:val="00573814"/>
    <w:rsid w:val="00573C20"/>
    <w:rsid w:val="00573DD9"/>
    <w:rsid w:val="00574120"/>
    <w:rsid w:val="0057418A"/>
    <w:rsid w:val="0057483B"/>
    <w:rsid w:val="00574923"/>
    <w:rsid w:val="00574D59"/>
    <w:rsid w:val="00575C24"/>
    <w:rsid w:val="00576226"/>
    <w:rsid w:val="005762EA"/>
    <w:rsid w:val="005767AE"/>
    <w:rsid w:val="00576B97"/>
    <w:rsid w:val="00576FDE"/>
    <w:rsid w:val="00580390"/>
    <w:rsid w:val="005817B2"/>
    <w:rsid w:val="005819F7"/>
    <w:rsid w:val="00581C35"/>
    <w:rsid w:val="00582004"/>
    <w:rsid w:val="005824C6"/>
    <w:rsid w:val="00582674"/>
    <w:rsid w:val="0058271E"/>
    <w:rsid w:val="0058283F"/>
    <w:rsid w:val="005829C1"/>
    <w:rsid w:val="00583930"/>
    <w:rsid w:val="00583BAF"/>
    <w:rsid w:val="00583BFE"/>
    <w:rsid w:val="00583D8A"/>
    <w:rsid w:val="005840EF"/>
    <w:rsid w:val="00584272"/>
    <w:rsid w:val="00584356"/>
    <w:rsid w:val="005845A3"/>
    <w:rsid w:val="005848F8"/>
    <w:rsid w:val="00584B72"/>
    <w:rsid w:val="00584D14"/>
    <w:rsid w:val="00584E2F"/>
    <w:rsid w:val="00585151"/>
    <w:rsid w:val="0058525B"/>
    <w:rsid w:val="00585C03"/>
    <w:rsid w:val="00586637"/>
    <w:rsid w:val="00587A2A"/>
    <w:rsid w:val="00587C46"/>
    <w:rsid w:val="00587F56"/>
    <w:rsid w:val="00587FD9"/>
    <w:rsid w:val="005906A9"/>
    <w:rsid w:val="005908B9"/>
    <w:rsid w:val="00591265"/>
    <w:rsid w:val="00591283"/>
    <w:rsid w:val="005915A4"/>
    <w:rsid w:val="005922D3"/>
    <w:rsid w:val="005924D3"/>
    <w:rsid w:val="005924F1"/>
    <w:rsid w:val="005925E3"/>
    <w:rsid w:val="0059304D"/>
    <w:rsid w:val="005933AE"/>
    <w:rsid w:val="00593431"/>
    <w:rsid w:val="00593D8F"/>
    <w:rsid w:val="00594318"/>
    <w:rsid w:val="00594710"/>
    <w:rsid w:val="00594CD1"/>
    <w:rsid w:val="00595156"/>
    <w:rsid w:val="00595A58"/>
    <w:rsid w:val="00595CE4"/>
    <w:rsid w:val="00596832"/>
    <w:rsid w:val="00596CCB"/>
    <w:rsid w:val="00596DB6"/>
    <w:rsid w:val="00596FD6"/>
    <w:rsid w:val="00597753"/>
    <w:rsid w:val="00597E6F"/>
    <w:rsid w:val="005A01D5"/>
    <w:rsid w:val="005A0203"/>
    <w:rsid w:val="005A052F"/>
    <w:rsid w:val="005A0EFC"/>
    <w:rsid w:val="005A1018"/>
    <w:rsid w:val="005A1099"/>
    <w:rsid w:val="005A12EF"/>
    <w:rsid w:val="005A1980"/>
    <w:rsid w:val="005A1A26"/>
    <w:rsid w:val="005A1F74"/>
    <w:rsid w:val="005A2130"/>
    <w:rsid w:val="005A2593"/>
    <w:rsid w:val="005A27E6"/>
    <w:rsid w:val="005A3196"/>
    <w:rsid w:val="005A339E"/>
    <w:rsid w:val="005A3CA4"/>
    <w:rsid w:val="005A408B"/>
    <w:rsid w:val="005A4F9C"/>
    <w:rsid w:val="005A5908"/>
    <w:rsid w:val="005A6F80"/>
    <w:rsid w:val="005A7215"/>
    <w:rsid w:val="005A726F"/>
    <w:rsid w:val="005A782E"/>
    <w:rsid w:val="005A793B"/>
    <w:rsid w:val="005A79AE"/>
    <w:rsid w:val="005B0084"/>
    <w:rsid w:val="005B1592"/>
    <w:rsid w:val="005B2054"/>
    <w:rsid w:val="005B2607"/>
    <w:rsid w:val="005B26FD"/>
    <w:rsid w:val="005B274E"/>
    <w:rsid w:val="005B2DE2"/>
    <w:rsid w:val="005B31CD"/>
    <w:rsid w:val="005B429E"/>
    <w:rsid w:val="005B44D0"/>
    <w:rsid w:val="005B4B13"/>
    <w:rsid w:val="005B4CD8"/>
    <w:rsid w:val="005B5B11"/>
    <w:rsid w:val="005B60BD"/>
    <w:rsid w:val="005B6837"/>
    <w:rsid w:val="005B7C79"/>
    <w:rsid w:val="005C0607"/>
    <w:rsid w:val="005C0A76"/>
    <w:rsid w:val="005C0F51"/>
    <w:rsid w:val="005C11E6"/>
    <w:rsid w:val="005C1F3B"/>
    <w:rsid w:val="005C208C"/>
    <w:rsid w:val="005C2E67"/>
    <w:rsid w:val="005C35ED"/>
    <w:rsid w:val="005C35FA"/>
    <w:rsid w:val="005C47AB"/>
    <w:rsid w:val="005C4D24"/>
    <w:rsid w:val="005C4DD7"/>
    <w:rsid w:val="005C539A"/>
    <w:rsid w:val="005C60BE"/>
    <w:rsid w:val="005C641A"/>
    <w:rsid w:val="005C778A"/>
    <w:rsid w:val="005C784B"/>
    <w:rsid w:val="005C794A"/>
    <w:rsid w:val="005C7B1F"/>
    <w:rsid w:val="005C7F78"/>
    <w:rsid w:val="005D12BF"/>
    <w:rsid w:val="005D130E"/>
    <w:rsid w:val="005D14E9"/>
    <w:rsid w:val="005D1947"/>
    <w:rsid w:val="005D1B75"/>
    <w:rsid w:val="005D1C71"/>
    <w:rsid w:val="005D21A6"/>
    <w:rsid w:val="005D29D5"/>
    <w:rsid w:val="005D37A5"/>
    <w:rsid w:val="005D3CD9"/>
    <w:rsid w:val="005D3E97"/>
    <w:rsid w:val="005D3F76"/>
    <w:rsid w:val="005D4095"/>
    <w:rsid w:val="005D4641"/>
    <w:rsid w:val="005D49FF"/>
    <w:rsid w:val="005D4D0A"/>
    <w:rsid w:val="005D52E7"/>
    <w:rsid w:val="005D5695"/>
    <w:rsid w:val="005D63D6"/>
    <w:rsid w:val="005D76D8"/>
    <w:rsid w:val="005D7ED3"/>
    <w:rsid w:val="005E0862"/>
    <w:rsid w:val="005E0AE1"/>
    <w:rsid w:val="005E1375"/>
    <w:rsid w:val="005E147F"/>
    <w:rsid w:val="005E1CEB"/>
    <w:rsid w:val="005E2A30"/>
    <w:rsid w:val="005E2A82"/>
    <w:rsid w:val="005E2FF1"/>
    <w:rsid w:val="005E357E"/>
    <w:rsid w:val="005E3850"/>
    <w:rsid w:val="005E3DEF"/>
    <w:rsid w:val="005E4418"/>
    <w:rsid w:val="005E4E97"/>
    <w:rsid w:val="005E5006"/>
    <w:rsid w:val="005E5C65"/>
    <w:rsid w:val="005E5DFA"/>
    <w:rsid w:val="005E682E"/>
    <w:rsid w:val="005E6F86"/>
    <w:rsid w:val="005E7479"/>
    <w:rsid w:val="005E7892"/>
    <w:rsid w:val="005E7DE8"/>
    <w:rsid w:val="005F0245"/>
    <w:rsid w:val="005F0652"/>
    <w:rsid w:val="005F0719"/>
    <w:rsid w:val="005F07BE"/>
    <w:rsid w:val="005F1146"/>
    <w:rsid w:val="005F2E56"/>
    <w:rsid w:val="005F36BE"/>
    <w:rsid w:val="005F37A6"/>
    <w:rsid w:val="005F3CEA"/>
    <w:rsid w:val="005F4065"/>
    <w:rsid w:val="005F43D6"/>
    <w:rsid w:val="005F448F"/>
    <w:rsid w:val="005F46E8"/>
    <w:rsid w:val="005F4A97"/>
    <w:rsid w:val="005F4E85"/>
    <w:rsid w:val="005F4F56"/>
    <w:rsid w:val="005F537C"/>
    <w:rsid w:val="005F546F"/>
    <w:rsid w:val="005F5479"/>
    <w:rsid w:val="005F5B32"/>
    <w:rsid w:val="005F66DC"/>
    <w:rsid w:val="005F6754"/>
    <w:rsid w:val="005F6E00"/>
    <w:rsid w:val="005F731B"/>
    <w:rsid w:val="005F790D"/>
    <w:rsid w:val="005F7CEC"/>
    <w:rsid w:val="00601229"/>
    <w:rsid w:val="006012B7"/>
    <w:rsid w:val="006013FB"/>
    <w:rsid w:val="0060162F"/>
    <w:rsid w:val="00601CF8"/>
    <w:rsid w:val="00601F1A"/>
    <w:rsid w:val="00602191"/>
    <w:rsid w:val="00602746"/>
    <w:rsid w:val="0060294C"/>
    <w:rsid w:val="00603073"/>
    <w:rsid w:val="0060307F"/>
    <w:rsid w:val="00603128"/>
    <w:rsid w:val="006033B0"/>
    <w:rsid w:val="006036E2"/>
    <w:rsid w:val="006037C5"/>
    <w:rsid w:val="00604F87"/>
    <w:rsid w:val="006052B9"/>
    <w:rsid w:val="00605607"/>
    <w:rsid w:val="00605E4D"/>
    <w:rsid w:val="00606458"/>
    <w:rsid w:val="0060684C"/>
    <w:rsid w:val="00606B63"/>
    <w:rsid w:val="00606CC5"/>
    <w:rsid w:val="006070F5"/>
    <w:rsid w:val="00607141"/>
    <w:rsid w:val="00607B23"/>
    <w:rsid w:val="00607C47"/>
    <w:rsid w:val="00611189"/>
    <w:rsid w:val="006125C5"/>
    <w:rsid w:val="0061278B"/>
    <w:rsid w:val="006139FC"/>
    <w:rsid w:val="006144BB"/>
    <w:rsid w:val="00616900"/>
    <w:rsid w:val="00616ACC"/>
    <w:rsid w:val="00616B2A"/>
    <w:rsid w:val="00616C2F"/>
    <w:rsid w:val="006172C6"/>
    <w:rsid w:val="0061744E"/>
    <w:rsid w:val="006176AA"/>
    <w:rsid w:val="0061799E"/>
    <w:rsid w:val="00617CDA"/>
    <w:rsid w:val="00617D13"/>
    <w:rsid w:val="0062014C"/>
    <w:rsid w:val="006204D9"/>
    <w:rsid w:val="006205AD"/>
    <w:rsid w:val="00620B83"/>
    <w:rsid w:val="00620F8E"/>
    <w:rsid w:val="00621934"/>
    <w:rsid w:val="00622007"/>
    <w:rsid w:val="006220CD"/>
    <w:rsid w:val="00623A9C"/>
    <w:rsid w:val="00623D94"/>
    <w:rsid w:val="00623F1D"/>
    <w:rsid w:val="00624174"/>
    <w:rsid w:val="00624D93"/>
    <w:rsid w:val="00625248"/>
    <w:rsid w:val="006254B1"/>
    <w:rsid w:val="00625577"/>
    <w:rsid w:val="00630007"/>
    <w:rsid w:val="006300AB"/>
    <w:rsid w:val="006305AE"/>
    <w:rsid w:val="0063063C"/>
    <w:rsid w:val="00630909"/>
    <w:rsid w:val="00630940"/>
    <w:rsid w:val="00630B6A"/>
    <w:rsid w:val="006312F7"/>
    <w:rsid w:val="006320CB"/>
    <w:rsid w:val="00632656"/>
    <w:rsid w:val="00632996"/>
    <w:rsid w:val="00632F67"/>
    <w:rsid w:val="00634182"/>
    <w:rsid w:val="006345ED"/>
    <w:rsid w:val="006345EE"/>
    <w:rsid w:val="006346B6"/>
    <w:rsid w:val="00636B32"/>
    <w:rsid w:val="00636C33"/>
    <w:rsid w:val="00637F8D"/>
    <w:rsid w:val="00640005"/>
    <w:rsid w:val="0064043A"/>
    <w:rsid w:val="0064099A"/>
    <w:rsid w:val="00641758"/>
    <w:rsid w:val="00641B2C"/>
    <w:rsid w:val="00641DF1"/>
    <w:rsid w:val="00642B83"/>
    <w:rsid w:val="0064341D"/>
    <w:rsid w:val="0064406E"/>
    <w:rsid w:val="00644143"/>
    <w:rsid w:val="00644462"/>
    <w:rsid w:val="00644C00"/>
    <w:rsid w:val="00645164"/>
    <w:rsid w:val="006456E3"/>
    <w:rsid w:val="00645969"/>
    <w:rsid w:val="00646006"/>
    <w:rsid w:val="00646600"/>
    <w:rsid w:val="006469A2"/>
    <w:rsid w:val="00646AB8"/>
    <w:rsid w:val="00646D0D"/>
    <w:rsid w:val="006471F9"/>
    <w:rsid w:val="0064782E"/>
    <w:rsid w:val="00650606"/>
    <w:rsid w:val="006507E9"/>
    <w:rsid w:val="00650822"/>
    <w:rsid w:val="00650A98"/>
    <w:rsid w:val="00651164"/>
    <w:rsid w:val="00652863"/>
    <w:rsid w:val="0065290E"/>
    <w:rsid w:val="00652921"/>
    <w:rsid w:val="00653631"/>
    <w:rsid w:val="006539BF"/>
    <w:rsid w:val="00653C4B"/>
    <w:rsid w:val="00653D6D"/>
    <w:rsid w:val="00654978"/>
    <w:rsid w:val="0065520B"/>
    <w:rsid w:val="006560A2"/>
    <w:rsid w:val="00656401"/>
    <w:rsid w:val="0065683B"/>
    <w:rsid w:val="00656989"/>
    <w:rsid w:val="006572C7"/>
    <w:rsid w:val="006578FA"/>
    <w:rsid w:val="00657C7D"/>
    <w:rsid w:val="00657D38"/>
    <w:rsid w:val="0066011E"/>
    <w:rsid w:val="0066025F"/>
    <w:rsid w:val="0066047B"/>
    <w:rsid w:val="00660CA0"/>
    <w:rsid w:val="00660E13"/>
    <w:rsid w:val="00660EE7"/>
    <w:rsid w:val="0066141F"/>
    <w:rsid w:val="00661B9D"/>
    <w:rsid w:val="00662356"/>
    <w:rsid w:val="00662E8A"/>
    <w:rsid w:val="0066303D"/>
    <w:rsid w:val="00663040"/>
    <w:rsid w:val="00663136"/>
    <w:rsid w:val="00663BB8"/>
    <w:rsid w:val="00663CFC"/>
    <w:rsid w:val="0066419D"/>
    <w:rsid w:val="0066434A"/>
    <w:rsid w:val="00664F27"/>
    <w:rsid w:val="006655C3"/>
    <w:rsid w:val="006661AE"/>
    <w:rsid w:val="006661E7"/>
    <w:rsid w:val="00666ECC"/>
    <w:rsid w:val="0066711D"/>
    <w:rsid w:val="006674AF"/>
    <w:rsid w:val="00667861"/>
    <w:rsid w:val="00667EF3"/>
    <w:rsid w:val="00667FEE"/>
    <w:rsid w:val="006701A1"/>
    <w:rsid w:val="006707CC"/>
    <w:rsid w:val="00670E7B"/>
    <w:rsid w:val="00670ECD"/>
    <w:rsid w:val="00671A8F"/>
    <w:rsid w:val="00673173"/>
    <w:rsid w:val="006735DF"/>
    <w:rsid w:val="006738F4"/>
    <w:rsid w:val="00673BEE"/>
    <w:rsid w:val="006740EF"/>
    <w:rsid w:val="006746D0"/>
    <w:rsid w:val="00675115"/>
    <w:rsid w:val="006756AB"/>
    <w:rsid w:val="00675FA0"/>
    <w:rsid w:val="006773C2"/>
    <w:rsid w:val="00677B79"/>
    <w:rsid w:val="00677CE7"/>
    <w:rsid w:val="00677FAC"/>
    <w:rsid w:val="0068036D"/>
    <w:rsid w:val="00680B1F"/>
    <w:rsid w:val="00680E20"/>
    <w:rsid w:val="00681D97"/>
    <w:rsid w:val="00681F24"/>
    <w:rsid w:val="006826D6"/>
    <w:rsid w:val="00682E7A"/>
    <w:rsid w:val="00682F49"/>
    <w:rsid w:val="006831B5"/>
    <w:rsid w:val="006838FF"/>
    <w:rsid w:val="00683FCA"/>
    <w:rsid w:val="006840C7"/>
    <w:rsid w:val="0068441B"/>
    <w:rsid w:val="0068476F"/>
    <w:rsid w:val="00684923"/>
    <w:rsid w:val="00684C89"/>
    <w:rsid w:val="00684FB5"/>
    <w:rsid w:val="0068553C"/>
    <w:rsid w:val="006865B6"/>
    <w:rsid w:val="00686A01"/>
    <w:rsid w:val="00686F72"/>
    <w:rsid w:val="0068744E"/>
    <w:rsid w:val="00687644"/>
    <w:rsid w:val="00687A58"/>
    <w:rsid w:val="00687CF6"/>
    <w:rsid w:val="00687D00"/>
    <w:rsid w:val="0069098B"/>
    <w:rsid w:val="006909D5"/>
    <w:rsid w:val="006914F0"/>
    <w:rsid w:val="006914F5"/>
    <w:rsid w:val="00691C8C"/>
    <w:rsid w:val="00692264"/>
    <w:rsid w:val="00692D39"/>
    <w:rsid w:val="006930F8"/>
    <w:rsid w:val="006937B2"/>
    <w:rsid w:val="00693912"/>
    <w:rsid w:val="00693BDB"/>
    <w:rsid w:val="006940D3"/>
    <w:rsid w:val="006940F0"/>
    <w:rsid w:val="00694113"/>
    <w:rsid w:val="00694776"/>
    <w:rsid w:val="006949CD"/>
    <w:rsid w:val="00694EC2"/>
    <w:rsid w:val="006951E2"/>
    <w:rsid w:val="00695C9D"/>
    <w:rsid w:val="006966DF"/>
    <w:rsid w:val="00697663"/>
    <w:rsid w:val="006A04A4"/>
    <w:rsid w:val="006A0747"/>
    <w:rsid w:val="006A18E6"/>
    <w:rsid w:val="006A1DBF"/>
    <w:rsid w:val="006A29F8"/>
    <w:rsid w:val="006A4C31"/>
    <w:rsid w:val="006A55B0"/>
    <w:rsid w:val="006A6C1F"/>
    <w:rsid w:val="006A7621"/>
    <w:rsid w:val="006A77AB"/>
    <w:rsid w:val="006A7D09"/>
    <w:rsid w:val="006B03E3"/>
    <w:rsid w:val="006B05BB"/>
    <w:rsid w:val="006B0723"/>
    <w:rsid w:val="006B0794"/>
    <w:rsid w:val="006B14B4"/>
    <w:rsid w:val="006B1692"/>
    <w:rsid w:val="006B2071"/>
    <w:rsid w:val="006B25B8"/>
    <w:rsid w:val="006B316F"/>
    <w:rsid w:val="006B37CB"/>
    <w:rsid w:val="006B38DF"/>
    <w:rsid w:val="006B3A35"/>
    <w:rsid w:val="006B3B20"/>
    <w:rsid w:val="006B3E1A"/>
    <w:rsid w:val="006B3F37"/>
    <w:rsid w:val="006B51B9"/>
    <w:rsid w:val="006B75B6"/>
    <w:rsid w:val="006B7772"/>
    <w:rsid w:val="006C0484"/>
    <w:rsid w:val="006C05A9"/>
    <w:rsid w:val="006C081C"/>
    <w:rsid w:val="006C09CC"/>
    <w:rsid w:val="006C179E"/>
    <w:rsid w:val="006C1850"/>
    <w:rsid w:val="006C198A"/>
    <w:rsid w:val="006C3AB5"/>
    <w:rsid w:val="006C562C"/>
    <w:rsid w:val="006C61A8"/>
    <w:rsid w:val="006C65A0"/>
    <w:rsid w:val="006C6E7A"/>
    <w:rsid w:val="006C76C7"/>
    <w:rsid w:val="006C7EC3"/>
    <w:rsid w:val="006D0793"/>
    <w:rsid w:val="006D0F97"/>
    <w:rsid w:val="006D1987"/>
    <w:rsid w:val="006D1DBE"/>
    <w:rsid w:val="006D2384"/>
    <w:rsid w:val="006D25D6"/>
    <w:rsid w:val="006D2889"/>
    <w:rsid w:val="006D348B"/>
    <w:rsid w:val="006D3522"/>
    <w:rsid w:val="006D3530"/>
    <w:rsid w:val="006D3751"/>
    <w:rsid w:val="006D4415"/>
    <w:rsid w:val="006D47F4"/>
    <w:rsid w:val="006D4CB5"/>
    <w:rsid w:val="006D4E6C"/>
    <w:rsid w:val="006D5683"/>
    <w:rsid w:val="006D5F98"/>
    <w:rsid w:val="006D60C9"/>
    <w:rsid w:val="006D7CC4"/>
    <w:rsid w:val="006D7EAC"/>
    <w:rsid w:val="006E17E8"/>
    <w:rsid w:val="006E1A47"/>
    <w:rsid w:val="006E3984"/>
    <w:rsid w:val="006E566E"/>
    <w:rsid w:val="006E5E9D"/>
    <w:rsid w:val="006E737E"/>
    <w:rsid w:val="006E7A3D"/>
    <w:rsid w:val="006E7CBD"/>
    <w:rsid w:val="006F003B"/>
    <w:rsid w:val="006F27E3"/>
    <w:rsid w:val="006F28FB"/>
    <w:rsid w:val="006F316D"/>
    <w:rsid w:val="006F39CD"/>
    <w:rsid w:val="006F3DAA"/>
    <w:rsid w:val="006F3E73"/>
    <w:rsid w:val="006F4017"/>
    <w:rsid w:val="006F4C1E"/>
    <w:rsid w:val="006F7DDF"/>
    <w:rsid w:val="00700123"/>
    <w:rsid w:val="007004A0"/>
    <w:rsid w:val="007004BE"/>
    <w:rsid w:val="00700583"/>
    <w:rsid w:val="0070109F"/>
    <w:rsid w:val="00701447"/>
    <w:rsid w:val="007016D3"/>
    <w:rsid w:val="00701979"/>
    <w:rsid w:val="00701C8A"/>
    <w:rsid w:val="00701F65"/>
    <w:rsid w:val="007023A5"/>
    <w:rsid w:val="007023D0"/>
    <w:rsid w:val="00702F78"/>
    <w:rsid w:val="00702F7F"/>
    <w:rsid w:val="00703C9A"/>
    <w:rsid w:val="00703DFD"/>
    <w:rsid w:val="00703E2E"/>
    <w:rsid w:val="00703FAC"/>
    <w:rsid w:val="00704449"/>
    <w:rsid w:val="00704A0E"/>
    <w:rsid w:val="00705495"/>
    <w:rsid w:val="007055DE"/>
    <w:rsid w:val="007056E8"/>
    <w:rsid w:val="0070698D"/>
    <w:rsid w:val="00706F45"/>
    <w:rsid w:val="00706FCE"/>
    <w:rsid w:val="0070742B"/>
    <w:rsid w:val="00707892"/>
    <w:rsid w:val="00707BBD"/>
    <w:rsid w:val="007104DD"/>
    <w:rsid w:val="0071089D"/>
    <w:rsid w:val="00711057"/>
    <w:rsid w:val="00711196"/>
    <w:rsid w:val="00711B3F"/>
    <w:rsid w:val="007121B4"/>
    <w:rsid w:val="00712886"/>
    <w:rsid w:val="0071337F"/>
    <w:rsid w:val="00714306"/>
    <w:rsid w:val="00714553"/>
    <w:rsid w:val="007150D4"/>
    <w:rsid w:val="007161A2"/>
    <w:rsid w:val="00717B75"/>
    <w:rsid w:val="00717ECB"/>
    <w:rsid w:val="00717FE8"/>
    <w:rsid w:val="007203E3"/>
    <w:rsid w:val="00720C72"/>
    <w:rsid w:val="0072133A"/>
    <w:rsid w:val="007213E4"/>
    <w:rsid w:val="007214FD"/>
    <w:rsid w:val="0072163E"/>
    <w:rsid w:val="00722F33"/>
    <w:rsid w:val="00723F70"/>
    <w:rsid w:val="00723F99"/>
    <w:rsid w:val="0072578A"/>
    <w:rsid w:val="0072662E"/>
    <w:rsid w:val="00727D35"/>
    <w:rsid w:val="00730355"/>
    <w:rsid w:val="0073114A"/>
    <w:rsid w:val="0073158E"/>
    <w:rsid w:val="0073172A"/>
    <w:rsid w:val="0073213C"/>
    <w:rsid w:val="00732773"/>
    <w:rsid w:val="00732E04"/>
    <w:rsid w:val="00732EBC"/>
    <w:rsid w:val="00733672"/>
    <w:rsid w:val="0073379C"/>
    <w:rsid w:val="00733FFC"/>
    <w:rsid w:val="0073414D"/>
    <w:rsid w:val="00734289"/>
    <w:rsid w:val="007345C7"/>
    <w:rsid w:val="00734FA0"/>
    <w:rsid w:val="00735231"/>
    <w:rsid w:val="00735263"/>
    <w:rsid w:val="00735626"/>
    <w:rsid w:val="00735944"/>
    <w:rsid w:val="00735977"/>
    <w:rsid w:val="00735C2D"/>
    <w:rsid w:val="00736137"/>
    <w:rsid w:val="00736733"/>
    <w:rsid w:val="007369A5"/>
    <w:rsid w:val="00736BB2"/>
    <w:rsid w:val="007371A6"/>
    <w:rsid w:val="00737221"/>
    <w:rsid w:val="00737264"/>
    <w:rsid w:val="007375D8"/>
    <w:rsid w:val="0073782C"/>
    <w:rsid w:val="007378B7"/>
    <w:rsid w:val="00737BA6"/>
    <w:rsid w:val="0074044B"/>
    <w:rsid w:val="00740908"/>
    <w:rsid w:val="007409B2"/>
    <w:rsid w:val="00741510"/>
    <w:rsid w:val="00742935"/>
    <w:rsid w:val="00743871"/>
    <w:rsid w:val="00743ADC"/>
    <w:rsid w:val="00743EB0"/>
    <w:rsid w:val="007442D2"/>
    <w:rsid w:val="00744416"/>
    <w:rsid w:val="0074446F"/>
    <w:rsid w:val="00744493"/>
    <w:rsid w:val="00744C97"/>
    <w:rsid w:val="00745849"/>
    <w:rsid w:val="00745907"/>
    <w:rsid w:val="007462EC"/>
    <w:rsid w:val="00746589"/>
    <w:rsid w:val="0074663B"/>
    <w:rsid w:val="007466C6"/>
    <w:rsid w:val="00746FCF"/>
    <w:rsid w:val="00747547"/>
    <w:rsid w:val="0075090A"/>
    <w:rsid w:val="00750B94"/>
    <w:rsid w:val="00751195"/>
    <w:rsid w:val="0075156B"/>
    <w:rsid w:val="007522AF"/>
    <w:rsid w:val="00752B81"/>
    <w:rsid w:val="0075320A"/>
    <w:rsid w:val="007533C9"/>
    <w:rsid w:val="007539CB"/>
    <w:rsid w:val="007544A9"/>
    <w:rsid w:val="00754A8C"/>
    <w:rsid w:val="007550AB"/>
    <w:rsid w:val="00755D9A"/>
    <w:rsid w:val="00756934"/>
    <w:rsid w:val="00756B31"/>
    <w:rsid w:val="00757425"/>
    <w:rsid w:val="00760417"/>
    <w:rsid w:val="00761147"/>
    <w:rsid w:val="0076148D"/>
    <w:rsid w:val="007619B5"/>
    <w:rsid w:val="00761AC8"/>
    <w:rsid w:val="0076206F"/>
    <w:rsid w:val="00762CF0"/>
    <w:rsid w:val="007632E0"/>
    <w:rsid w:val="00764453"/>
    <w:rsid w:val="00764801"/>
    <w:rsid w:val="00764926"/>
    <w:rsid w:val="00764C4A"/>
    <w:rsid w:val="00764FFA"/>
    <w:rsid w:val="0076515D"/>
    <w:rsid w:val="0076519D"/>
    <w:rsid w:val="007655FA"/>
    <w:rsid w:val="007658E5"/>
    <w:rsid w:val="00765AA7"/>
    <w:rsid w:val="00766FC0"/>
    <w:rsid w:val="007679EB"/>
    <w:rsid w:val="00770D94"/>
    <w:rsid w:val="00771631"/>
    <w:rsid w:val="00771D33"/>
    <w:rsid w:val="00771F9B"/>
    <w:rsid w:val="0077261D"/>
    <w:rsid w:val="0077271B"/>
    <w:rsid w:val="00772ADE"/>
    <w:rsid w:val="00774761"/>
    <w:rsid w:val="00774B06"/>
    <w:rsid w:val="00774C2B"/>
    <w:rsid w:val="00775DBF"/>
    <w:rsid w:val="007762CD"/>
    <w:rsid w:val="0077645A"/>
    <w:rsid w:val="00777290"/>
    <w:rsid w:val="007774E8"/>
    <w:rsid w:val="00780273"/>
    <w:rsid w:val="00780482"/>
    <w:rsid w:val="007808C2"/>
    <w:rsid w:val="00780956"/>
    <w:rsid w:val="007809D2"/>
    <w:rsid w:val="00780D18"/>
    <w:rsid w:val="0078233F"/>
    <w:rsid w:val="00782D8F"/>
    <w:rsid w:val="00782F00"/>
    <w:rsid w:val="00782FC5"/>
    <w:rsid w:val="00783533"/>
    <w:rsid w:val="0078357E"/>
    <w:rsid w:val="0078385A"/>
    <w:rsid w:val="007839E7"/>
    <w:rsid w:val="00783C90"/>
    <w:rsid w:val="007841FF"/>
    <w:rsid w:val="00785009"/>
    <w:rsid w:val="00785E26"/>
    <w:rsid w:val="00785EFF"/>
    <w:rsid w:val="00786824"/>
    <w:rsid w:val="0078724C"/>
    <w:rsid w:val="00787C9D"/>
    <w:rsid w:val="007906CA"/>
    <w:rsid w:val="00791503"/>
    <w:rsid w:val="0079226C"/>
    <w:rsid w:val="0079255B"/>
    <w:rsid w:val="007934D4"/>
    <w:rsid w:val="007939BD"/>
    <w:rsid w:val="00793C16"/>
    <w:rsid w:val="00793FBD"/>
    <w:rsid w:val="007948B9"/>
    <w:rsid w:val="00795610"/>
    <w:rsid w:val="00795792"/>
    <w:rsid w:val="00795B14"/>
    <w:rsid w:val="00796619"/>
    <w:rsid w:val="00796985"/>
    <w:rsid w:val="00796AC3"/>
    <w:rsid w:val="00796C5E"/>
    <w:rsid w:val="0079775B"/>
    <w:rsid w:val="007A0692"/>
    <w:rsid w:val="007A0B62"/>
    <w:rsid w:val="007A11B0"/>
    <w:rsid w:val="007A1236"/>
    <w:rsid w:val="007A1A9E"/>
    <w:rsid w:val="007A1D32"/>
    <w:rsid w:val="007A1FF1"/>
    <w:rsid w:val="007A21A0"/>
    <w:rsid w:val="007A2445"/>
    <w:rsid w:val="007A2A69"/>
    <w:rsid w:val="007A2A6F"/>
    <w:rsid w:val="007A3827"/>
    <w:rsid w:val="007A39D3"/>
    <w:rsid w:val="007A3BDD"/>
    <w:rsid w:val="007A3E4D"/>
    <w:rsid w:val="007A4436"/>
    <w:rsid w:val="007A4506"/>
    <w:rsid w:val="007A4A78"/>
    <w:rsid w:val="007A4F19"/>
    <w:rsid w:val="007A57AE"/>
    <w:rsid w:val="007A66E6"/>
    <w:rsid w:val="007A6E20"/>
    <w:rsid w:val="007A73DA"/>
    <w:rsid w:val="007A74B2"/>
    <w:rsid w:val="007A7E06"/>
    <w:rsid w:val="007B07C4"/>
    <w:rsid w:val="007B0B94"/>
    <w:rsid w:val="007B11EC"/>
    <w:rsid w:val="007B1F57"/>
    <w:rsid w:val="007B1FE7"/>
    <w:rsid w:val="007B3766"/>
    <w:rsid w:val="007B4597"/>
    <w:rsid w:val="007B47A0"/>
    <w:rsid w:val="007B5174"/>
    <w:rsid w:val="007B5336"/>
    <w:rsid w:val="007B55C5"/>
    <w:rsid w:val="007B57D2"/>
    <w:rsid w:val="007B5912"/>
    <w:rsid w:val="007B5E43"/>
    <w:rsid w:val="007B61F9"/>
    <w:rsid w:val="007B6F00"/>
    <w:rsid w:val="007B6FDF"/>
    <w:rsid w:val="007B70FB"/>
    <w:rsid w:val="007B74DB"/>
    <w:rsid w:val="007B75D7"/>
    <w:rsid w:val="007C0482"/>
    <w:rsid w:val="007C0A60"/>
    <w:rsid w:val="007C123C"/>
    <w:rsid w:val="007C1DC9"/>
    <w:rsid w:val="007C20FE"/>
    <w:rsid w:val="007C2678"/>
    <w:rsid w:val="007C2A9A"/>
    <w:rsid w:val="007C3435"/>
    <w:rsid w:val="007C35BC"/>
    <w:rsid w:val="007C376A"/>
    <w:rsid w:val="007C4A77"/>
    <w:rsid w:val="007C55BE"/>
    <w:rsid w:val="007C5AB5"/>
    <w:rsid w:val="007C766F"/>
    <w:rsid w:val="007C7AD6"/>
    <w:rsid w:val="007C7C59"/>
    <w:rsid w:val="007C7DC7"/>
    <w:rsid w:val="007D0D0A"/>
    <w:rsid w:val="007D1767"/>
    <w:rsid w:val="007D1AAA"/>
    <w:rsid w:val="007D3F77"/>
    <w:rsid w:val="007D40F5"/>
    <w:rsid w:val="007D45BD"/>
    <w:rsid w:val="007D46D8"/>
    <w:rsid w:val="007D4892"/>
    <w:rsid w:val="007D48E9"/>
    <w:rsid w:val="007D53CB"/>
    <w:rsid w:val="007D5857"/>
    <w:rsid w:val="007D6F86"/>
    <w:rsid w:val="007D72EB"/>
    <w:rsid w:val="007D7FC2"/>
    <w:rsid w:val="007E03B3"/>
    <w:rsid w:val="007E060F"/>
    <w:rsid w:val="007E0F8F"/>
    <w:rsid w:val="007E192F"/>
    <w:rsid w:val="007E317C"/>
    <w:rsid w:val="007E340C"/>
    <w:rsid w:val="007E3E82"/>
    <w:rsid w:val="007E4101"/>
    <w:rsid w:val="007E44F9"/>
    <w:rsid w:val="007E4860"/>
    <w:rsid w:val="007E5ED9"/>
    <w:rsid w:val="007E5EDC"/>
    <w:rsid w:val="007E6646"/>
    <w:rsid w:val="007E6A26"/>
    <w:rsid w:val="007E6B40"/>
    <w:rsid w:val="007E6B67"/>
    <w:rsid w:val="007E6C51"/>
    <w:rsid w:val="007E7232"/>
    <w:rsid w:val="007E72AB"/>
    <w:rsid w:val="007E7A7D"/>
    <w:rsid w:val="007F0378"/>
    <w:rsid w:val="007F0684"/>
    <w:rsid w:val="007F06B6"/>
    <w:rsid w:val="007F06E8"/>
    <w:rsid w:val="007F0AF8"/>
    <w:rsid w:val="007F1C60"/>
    <w:rsid w:val="007F219A"/>
    <w:rsid w:val="007F31BC"/>
    <w:rsid w:val="007F3F16"/>
    <w:rsid w:val="007F4981"/>
    <w:rsid w:val="007F556F"/>
    <w:rsid w:val="007F65DB"/>
    <w:rsid w:val="007F6761"/>
    <w:rsid w:val="007F6BC4"/>
    <w:rsid w:val="007F6D1D"/>
    <w:rsid w:val="007F7023"/>
    <w:rsid w:val="007F7095"/>
    <w:rsid w:val="007F70D4"/>
    <w:rsid w:val="007F76B6"/>
    <w:rsid w:val="007F79F3"/>
    <w:rsid w:val="0080030C"/>
    <w:rsid w:val="0080073F"/>
    <w:rsid w:val="008013B2"/>
    <w:rsid w:val="00801CB1"/>
    <w:rsid w:val="008025D9"/>
    <w:rsid w:val="00802AA7"/>
    <w:rsid w:val="00802B6F"/>
    <w:rsid w:val="00802C00"/>
    <w:rsid w:val="008038FF"/>
    <w:rsid w:val="00803ACE"/>
    <w:rsid w:val="00803B8E"/>
    <w:rsid w:val="00805B99"/>
    <w:rsid w:val="00806CC9"/>
    <w:rsid w:val="00806E16"/>
    <w:rsid w:val="00806E9B"/>
    <w:rsid w:val="00807090"/>
    <w:rsid w:val="00807926"/>
    <w:rsid w:val="00807A15"/>
    <w:rsid w:val="00807AB5"/>
    <w:rsid w:val="00807C32"/>
    <w:rsid w:val="008100A2"/>
    <w:rsid w:val="00810357"/>
    <w:rsid w:val="008107F5"/>
    <w:rsid w:val="00810E30"/>
    <w:rsid w:val="00810ED7"/>
    <w:rsid w:val="00811973"/>
    <w:rsid w:val="008129D1"/>
    <w:rsid w:val="00813AEB"/>
    <w:rsid w:val="00814CAD"/>
    <w:rsid w:val="00816FBA"/>
    <w:rsid w:val="00817D96"/>
    <w:rsid w:val="00817F9A"/>
    <w:rsid w:val="008227FA"/>
    <w:rsid w:val="008229A2"/>
    <w:rsid w:val="00822B56"/>
    <w:rsid w:val="00823BBB"/>
    <w:rsid w:val="0082443D"/>
    <w:rsid w:val="00824A9E"/>
    <w:rsid w:val="00825A66"/>
    <w:rsid w:val="00825F58"/>
    <w:rsid w:val="008268CF"/>
    <w:rsid w:val="008270EE"/>
    <w:rsid w:val="00827497"/>
    <w:rsid w:val="00827615"/>
    <w:rsid w:val="0083026B"/>
    <w:rsid w:val="00831472"/>
    <w:rsid w:val="008329FF"/>
    <w:rsid w:val="00832ECB"/>
    <w:rsid w:val="00833526"/>
    <w:rsid w:val="00833D24"/>
    <w:rsid w:val="008340EC"/>
    <w:rsid w:val="00834B47"/>
    <w:rsid w:val="00834E85"/>
    <w:rsid w:val="00835459"/>
    <w:rsid w:val="0083553C"/>
    <w:rsid w:val="008374E1"/>
    <w:rsid w:val="00837C92"/>
    <w:rsid w:val="00837F0F"/>
    <w:rsid w:val="00837FA4"/>
    <w:rsid w:val="008414CC"/>
    <w:rsid w:val="008416E5"/>
    <w:rsid w:val="0084188C"/>
    <w:rsid w:val="0084210C"/>
    <w:rsid w:val="008423BD"/>
    <w:rsid w:val="00842BBA"/>
    <w:rsid w:val="00842D41"/>
    <w:rsid w:val="00843029"/>
    <w:rsid w:val="00843420"/>
    <w:rsid w:val="00843B5D"/>
    <w:rsid w:val="008447D4"/>
    <w:rsid w:val="0084506C"/>
    <w:rsid w:val="008454BD"/>
    <w:rsid w:val="00845A22"/>
    <w:rsid w:val="00845A8C"/>
    <w:rsid w:val="00845A8E"/>
    <w:rsid w:val="008463F3"/>
    <w:rsid w:val="008469FE"/>
    <w:rsid w:val="00846D76"/>
    <w:rsid w:val="0085005F"/>
    <w:rsid w:val="0085062F"/>
    <w:rsid w:val="0085112A"/>
    <w:rsid w:val="00851307"/>
    <w:rsid w:val="008515B1"/>
    <w:rsid w:val="0085201C"/>
    <w:rsid w:val="00852508"/>
    <w:rsid w:val="00852E5B"/>
    <w:rsid w:val="00853677"/>
    <w:rsid w:val="00853ACD"/>
    <w:rsid w:val="00853ACF"/>
    <w:rsid w:val="00853F1F"/>
    <w:rsid w:val="008544D3"/>
    <w:rsid w:val="0085457E"/>
    <w:rsid w:val="00855461"/>
    <w:rsid w:val="008558A1"/>
    <w:rsid w:val="0085642F"/>
    <w:rsid w:val="008564DA"/>
    <w:rsid w:val="00857076"/>
    <w:rsid w:val="008573AF"/>
    <w:rsid w:val="00857645"/>
    <w:rsid w:val="00857D80"/>
    <w:rsid w:val="008602FC"/>
    <w:rsid w:val="00860989"/>
    <w:rsid w:val="00860CF9"/>
    <w:rsid w:val="00860DF0"/>
    <w:rsid w:val="00860E53"/>
    <w:rsid w:val="008622D3"/>
    <w:rsid w:val="0086268A"/>
    <w:rsid w:val="0086375F"/>
    <w:rsid w:val="008639A2"/>
    <w:rsid w:val="00863BBB"/>
    <w:rsid w:val="008640FD"/>
    <w:rsid w:val="0086426C"/>
    <w:rsid w:val="008653D4"/>
    <w:rsid w:val="0086564F"/>
    <w:rsid w:val="00865681"/>
    <w:rsid w:val="00866618"/>
    <w:rsid w:val="00866E73"/>
    <w:rsid w:val="0086709E"/>
    <w:rsid w:val="00867B6B"/>
    <w:rsid w:val="00867CDA"/>
    <w:rsid w:val="00870A79"/>
    <w:rsid w:val="00870AFC"/>
    <w:rsid w:val="008715CC"/>
    <w:rsid w:val="00872589"/>
    <w:rsid w:val="00872770"/>
    <w:rsid w:val="00873410"/>
    <w:rsid w:val="008736AF"/>
    <w:rsid w:val="00873754"/>
    <w:rsid w:val="00874394"/>
    <w:rsid w:val="008752FC"/>
    <w:rsid w:val="00875FA4"/>
    <w:rsid w:val="008763B9"/>
    <w:rsid w:val="008763C8"/>
    <w:rsid w:val="008766C0"/>
    <w:rsid w:val="00877492"/>
    <w:rsid w:val="00877922"/>
    <w:rsid w:val="00877D6E"/>
    <w:rsid w:val="00877E35"/>
    <w:rsid w:val="0088014E"/>
    <w:rsid w:val="00880BAB"/>
    <w:rsid w:val="0088143E"/>
    <w:rsid w:val="00881769"/>
    <w:rsid w:val="008817FF"/>
    <w:rsid w:val="0088239C"/>
    <w:rsid w:val="00882745"/>
    <w:rsid w:val="008828F7"/>
    <w:rsid w:val="00882A65"/>
    <w:rsid w:val="00882E58"/>
    <w:rsid w:val="0088323D"/>
    <w:rsid w:val="008835B1"/>
    <w:rsid w:val="0088377B"/>
    <w:rsid w:val="00883B3F"/>
    <w:rsid w:val="00884491"/>
    <w:rsid w:val="00884DE2"/>
    <w:rsid w:val="008851BE"/>
    <w:rsid w:val="00885538"/>
    <w:rsid w:val="00885D3C"/>
    <w:rsid w:val="00886188"/>
    <w:rsid w:val="00886C33"/>
    <w:rsid w:val="00887063"/>
    <w:rsid w:val="00887F1B"/>
    <w:rsid w:val="008900CF"/>
    <w:rsid w:val="00890E19"/>
    <w:rsid w:val="00891A88"/>
    <w:rsid w:val="00891C0B"/>
    <w:rsid w:val="00892153"/>
    <w:rsid w:val="008922CF"/>
    <w:rsid w:val="008923D1"/>
    <w:rsid w:val="008925B9"/>
    <w:rsid w:val="00892C63"/>
    <w:rsid w:val="00893202"/>
    <w:rsid w:val="008937CB"/>
    <w:rsid w:val="0089427B"/>
    <w:rsid w:val="00894669"/>
    <w:rsid w:val="0089483C"/>
    <w:rsid w:val="00894A6B"/>
    <w:rsid w:val="00894A7F"/>
    <w:rsid w:val="00894EEF"/>
    <w:rsid w:val="00895573"/>
    <w:rsid w:val="00895E5A"/>
    <w:rsid w:val="00897502"/>
    <w:rsid w:val="00897855"/>
    <w:rsid w:val="008A0E63"/>
    <w:rsid w:val="008A1088"/>
    <w:rsid w:val="008A1438"/>
    <w:rsid w:val="008A173F"/>
    <w:rsid w:val="008A1EFD"/>
    <w:rsid w:val="008A25C3"/>
    <w:rsid w:val="008A2790"/>
    <w:rsid w:val="008A2C5D"/>
    <w:rsid w:val="008A3C32"/>
    <w:rsid w:val="008A4F57"/>
    <w:rsid w:val="008A52CE"/>
    <w:rsid w:val="008A574C"/>
    <w:rsid w:val="008A5B73"/>
    <w:rsid w:val="008A68A0"/>
    <w:rsid w:val="008A6A25"/>
    <w:rsid w:val="008A6CE6"/>
    <w:rsid w:val="008A6D28"/>
    <w:rsid w:val="008B0182"/>
    <w:rsid w:val="008B069A"/>
    <w:rsid w:val="008B0707"/>
    <w:rsid w:val="008B07AF"/>
    <w:rsid w:val="008B091D"/>
    <w:rsid w:val="008B0BA7"/>
    <w:rsid w:val="008B1DF8"/>
    <w:rsid w:val="008B1E06"/>
    <w:rsid w:val="008B20A4"/>
    <w:rsid w:val="008B2BD9"/>
    <w:rsid w:val="008B2DE5"/>
    <w:rsid w:val="008B2F1A"/>
    <w:rsid w:val="008B31AD"/>
    <w:rsid w:val="008B32E4"/>
    <w:rsid w:val="008B331F"/>
    <w:rsid w:val="008B3A87"/>
    <w:rsid w:val="008B3C1F"/>
    <w:rsid w:val="008B3D67"/>
    <w:rsid w:val="008B4243"/>
    <w:rsid w:val="008B4953"/>
    <w:rsid w:val="008B4E19"/>
    <w:rsid w:val="008B4F72"/>
    <w:rsid w:val="008B5F58"/>
    <w:rsid w:val="008B6367"/>
    <w:rsid w:val="008B63AD"/>
    <w:rsid w:val="008B6E1E"/>
    <w:rsid w:val="008B7546"/>
    <w:rsid w:val="008C0557"/>
    <w:rsid w:val="008C0771"/>
    <w:rsid w:val="008C0845"/>
    <w:rsid w:val="008C111C"/>
    <w:rsid w:val="008C1779"/>
    <w:rsid w:val="008C1DC1"/>
    <w:rsid w:val="008C28B3"/>
    <w:rsid w:val="008C3023"/>
    <w:rsid w:val="008C3591"/>
    <w:rsid w:val="008C35DB"/>
    <w:rsid w:val="008C3A88"/>
    <w:rsid w:val="008C3AC1"/>
    <w:rsid w:val="008C4B69"/>
    <w:rsid w:val="008C4EB8"/>
    <w:rsid w:val="008C61B0"/>
    <w:rsid w:val="008C6FD3"/>
    <w:rsid w:val="008C70EB"/>
    <w:rsid w:val="008C7EFC"/>
    <w:rsid w:val="008C7FA7"/>
    <w:rsid w:val="008D04B6"/>
    <w:rsid w:val="008D057C"/>
    <w:rsid w:val="008D1545"/>
    <w:rsid w:val="008D155D"/>
    <w:rsid w:val="008D15E6"/>
    <w:rsid w:val="008D1AED"/>
    <w:rsid w:val="008D1C9A"/>
    <w:rsid w:val="008D229E"/>
    <w:rsid w:val="008D24C5"/>
    <w:rsid w:val="008D35A9"/>
    <w:rsid w:val="008D36D2"/>
    <w:rsid w:val="008D3FE4"/>
    <w:rsid w:val="008D415F"/>
    <w:rsid w:val="008D5506"/>
    <w:rsid w:val="008D5B6F"/>
    <w:rsid w:val="008D5DAB"/>
    <w:rsid w:val="008D6641"/>
    <w:rsid w:val="008D6847"/>
    <w:rsid w:val="008D6968"/>
    <w:rsid w:val="008D6C68"/>
    <w:rsid w:val="008D71F3"/>
    <w:rsid w:val="008D7AFD"/>
    <w:rsid w:val="008D7E3E"/>
    <w:rsid w:val="008D7EA6"/>
    <w:rsid w:val="008E0029"/>
    <w:rsid w:val="008E01BA"/>
    <w:rsid w:val="008E0219"/>
    <w:rsid w:val="008E0DE2"/>
    <w:rsid w:val="008E1CA4"/>
    <w:rsid w:val="008E2BCC"/>
    <w:rsid w:val="008E3AAA"/>
    <w:rsid w:val="008E3F1C"/>
    <w:rsid w:val="008E46B7"/>
    <w:rsid w:val="008E5A4E"/>
    <w:rsid w:val="008E5E7E"/>
    <w:rsid w:val="008E6D37"/>
    <w:rsid w:val="008E6F6B"/>
    <w:rsid w:val="008E7155"/>
    <w:rsid w:val="008E71FB"/>
    <w:rsid w:val="008E7365"/>
    <w:rsid w:val="008F0248"/>
    <w:rsid w:val="008F07B8"/>
    <w:rsid w:val="008F0932"/>
    <w:rsid w:val="008F0EF5"/>
    <w:rsid w:val="008F1238"/>
    <w:rsid w:val="008F1F94"/>
    <w:rsid w:val="008F257A"/>
    <w:rsid w:val="008F301E"/>
    <w:rsid w:val="008F3225"/>
    <w:rsid w:val="008F35D9"/>
    <w:rsid w:val="008F3793"/>
    <w:rsid w:val="008F438C"/>
    <w:rsid w:val="008F4CB8"/>
    <w:rsid w:val="008F525C"/>
    <w:rsid w:val="008F533A"/>
    <w:rsid w:val="008F540C"/>
    <w:rsid w:val="008F6060"/>
    <w:rsid w:val="008F6426"/>
    <w:rsid w:val="008F6B8B"/>
    <w:rsid w:val="008F752E"/>
    <w:rsid w:val="0090146E"/>
    <w:rsid w:val="00901A3E"/>
    <w:rsid w:val="00901E4D"/>
    <w:rsid w:val="009020DE"/>
    <w:rsid w:val="00903424"/>
    <w:rsid w:val="00904010"/>
    <w:rsid w:val="00904206"/>
    <w:rsid w:val="00905456"/>
    <w:rsid w:val="0090621C"/>
    <w:rsid w:val="00906618"/>
    <w:rsid w:val="00906C4A"/>
    <w:rsid w:val="0090736C"/>
    <w:rsid w:val="0090751B"/>
    <w:rsid w:val="00910400"/>
    <w:rsid w:val="00910451"/>
    <w:rsid w:val="00910629"/>
    <w:rsid w:val="0091071F"/>
    <w:rsid w:val="00910866"/>
    <w:rsid w:val="009110AD"/>
    <w:rsid w:val="009111CC"/>
    <w:rsid w:val="009114FF"/>
    <w:rsid w:val="00911A79"/>
    <w:rsid w:val="00911C55"/>
    <w:rsid w:val="00911D8B"/>
    <w:rsid w:val="00912025"/>
    <w:rsid w:val="009127CC"/>
    <w:rsid w:val="00913EBD"/>
    <w:rsid w:val="00914573"/>
    <w:rsid w:val="00914B78"/>
    <w:rsid w:val="009158B9"/>
    <w:rsid w:val="00915B61"/>
    <w:rsid w:val="00915DC8"/>
    <w:rsid w:val="0091620A"/>
    <w:rsid w:val="00916863"/>
    <w:rsid w:val="009168F0"/>
    <w:rsid w:val="009172A6"/>
    <w:rsid w:val="00917458"/>
    <w:rsid w:val="00917A98"/>
    <w:rsid w:val="0092096D"/>
    <w:rsid w:val="00921E56"/>
    <w:rsid w:val="00922166"/>
    <w:rsid w:val="009221ED"/>
    <w:rsid w:val="0092259C"/>
    <w:rsid w:val="00922AAE"/>
    <w:rsid w:val="00922C63"/>
    <w:rsid w:val="00923201"/>
    <w:rsid w:val="00926F09"/>
    <w:rsid w:val="00926F12"/>
    <w:rsid w:val="00927DE3"/>
    <w:rsid w:val="009301E0"/>
    <w:rsid w:val="00930372"/>
    <w:rsid w:val="00930591"/>
    <w:rsid w:val="00930609"/>
    <w:rsid w:val="00930B72"/>
    <w:rsid w:val="0093196E"/>
    <w:rsid w:val="00931A58"/>
    <w:rsid w:val="00932113"/>
    <w:rsid w:val="009324E6"/>
    <w:rsid w:val="00932AD7"/>
    <w:rsid w:val="00932E71"/>
    <w:rsid w:val="00932ED3"/>
    <w:rsid w:val="0093312B"/>
    <w:rsid w:val="009341B7"/>
    <w:rsid w:val="009352C5"/>
    <w:rsid w:val="00935534"/>
    <w:rsid w:val="0093562F"/>
    <w:rsid w:val="00935F61"/>
    <w:rsid w:val="009360BB"/>
    <w:rsid w:val="00936772"/>
    <w:rsid w:val="00936B1F"/>
    <w:rsid w:val="009370A4"/>
    <w:rsid w:val="009378CF"/>
    <w:rsid w:val="009379F0"/>
    <w:rsid w:val="00937A67"/>
    <w:rsid w:val="00940820"/>
    <w:rsid w:val="00940CAF"/>
    <w:rsid w:val="00941946"/>
    <w:rsid w:val="009425E7"/>
    <w:rsid w:val="00942B2E"/>
    <w:rsid w:val="009431A8"/>
    <w:rsid w:val="00943238"/>
    <w:rsid w:val="00943CFE"/>
    <w:rsid w:val="00943F96"/>
    <w:rsid w:val="00943FA2"/>
    <w:rsid w:val="00944115"/>
    <w:rsid w:val="0094494D"/>
    <w:rsid w:val="00944E59"/>
    <w:rsid w:val="00944E95"/>
    <w:rsid w:val="00945401"/>
    <w:rsid w:val="00945648"/>
    <w:rsid w:val="009459F4"/>
    <w:rsid w:val="00945ABE"/>
    <w:rsid w:val="00945E58"/>
    <w:rsid w:val="00946127"/>
    <w:rsid w:val="00946907"/>
    <w:rsid w:val="00946DB0"/>
    <w:rsid w:val="009477C7"/>
    <w:rsid w:val="00950CAE"/>
    <w:rsid w:val="009512EC"/>
    <w:rsid w:val="009523F9"/>
    <w:rsid w:val="009526CD"/>
    <w:rsid w:val="0095315A"/>
    <w:rsid w:val="009534DD"/>
    <w:rsid w:val="009535C2"/>
    <w:rsid w:val="00953A73"/>
    <w:rsid w:val="00954D5A"/>
    <w:rsid w:val="009551A8"/>
    <w:rsid w:val="00956B34"/>
    <w:rsid w:val="00956B6C"/>
    <w:rsid w:val="00957383"/>
    <w:rsid w:val="00957B5B"/>
    <w:rsid w:val="00957E69"/>
    <w:rsid w:val="009601CB"/>
    <w:rsid w:val="0096059A"/>
    <w:rsid w:val="0096081E"/>
    <w:rsid w:val="00960D39"/>
    <w:rsid w:val="00960F7E"/>
    <w:rsid w:val="009611A5"/>
    <w:rsid w:val="0096193B"/>
    <w:rsid w:val="00961C02"/>
    <w:rsid w:val="009628D6"/>
    <w:rsid w:val="00963188"/>
    <w:rsid w:val="00963240"/>
    <w:rsid w:val="00963A0E"/>
    <w:rsid w:val="00963B82"/>
    <w:rsid w:val="00964475"/>
    <w:rsid w:val="00964A6E"/>
    <w:rsid w:val="00964FB4"/>
    <w:rsid w:val="00965327"/>
    <w:rsid w:val="00965C61"/>
    <w:rsid w:val="009666BD"/>
    <w:rsid w:val="00966BE4"/>
    <w:rsid w:val="00966BFB"/>
    <w:rsid w:val="00967CDA"/>
    <w:rsid w:val="00970048"/>
    <w:rsid w:val="00970960"/>
    <w:rsid w:val="009709D4"/>
    <w:rsid w:val="00970A77"/>
    <w:rsid w:val="00970EF9"/>
    <w:rsid w:val="00971145"/>
    <w:rsid w:val="00971831"/>
    <w:rsid w:val="00971940"/>
    <w:rsid w:val="00972113"/>
    <w:rsid w:val="0097216D"/>
    <w:rsid w:val="00972CB8"/>
    <w:rsid w:val="00972D8F"/>
    <w:rsid w:val="00973299"/>
    <w:rsid w:val="00973C2B"/>
    <w:rsid w:val="0097437B"/>
    <w:rsid w:val="0097441E"/>
    <w:rsid w:val="00975394"/>
    <w:rsid w:val="00975E7D"/>
    <w:rsid w:val="00975F87"/>
    <w:rsid w:val="00975FB0"/>
    <w:rsid w:val="009762C7"/>
    <w:rsid w:val="009766CB"/>
    <w:rsid w:val="0097670F"/>
    <w:rsid w:val="00976C32"/>
    <w:rsid w:val="00976C61"/>
    <w:rsid w:val="009803EC"/>
    <w:rsid w:val="00981215"/>
    <w:rsid w:val="009812FC"/>
    <w:rsid w:val="009813BF"/>
    <w:rsid w:val="009819CD"/>
    <w:rsid w:val="00981B60"/>
    <w:rsid w:val="00982582"/>
    <w:rsid w:val="0098284A"/>
    <w:rsid w:val="00982C0D"/>
    <w:rsid w:val="00982DAE"/>
    <w:rsid w:val="00983D98"/>
    <w:rsid w:val="00984367"/>
    <w:rsid w:val="009844B4"/>
    <w:rsid w:val="0098453B"/>
    <w:rsid w:val="00984D82"/>
    <w:rsid w:val="00984EC5"/>
    <w:rsid w:val="0098572B"/>
    <w:rsid w:val="00985CDA"/>
    <w:rsid w:val="00985E82"/>
    <w:rsid w:val="0098603A"/>
    <w:rsid w:val="00986137"/>
    <w:rsid w:val="00986339"/>
    <w:rsid w:val="00986B96"/>
    <w:rsid w:val="00987351"/>
    <w:rsid w:val="0098740B"/>
    <w:rsid w:val="00987C6F"/>
    <w:rsid w:val="0099018C"/>
    <w:rsid w:val="00990708"/>
    <w:rsid w:val="00990AA8"/>
    <w:rsid w:val="00990C3D"/>
    <w:rsid w:val="0099199D"/>
    <w:rsid w:val="00991B9A"/>
    <w:rsid w:val="00991BF9"/>
    <w:rsid w:val="0099214E"/>
    <w:rsid w:val="009923C3"/>
    <w:rsid w:val="00993499"/>
    <w:rsid w:val="009934DB"/>
    <w:rsid w:val="009939C7"/>
    <w:rsid w:val="009939CB"/>
    <w:rsid w:val="00993D95"/>
    <w:rsid w:val="009948FE"/>
    <w:rsid w:val="00995756"/>
    <w:rsid w:val="00997125"/>
    <w:rsid w:val="00997960"/>
    <w:rsid w:val="009A002D"/>
    <w:rsid w:val="009A01EB"/>
    <w:rsid w:val="009A0208"/>
    <w:rsid w:val="009A0B05"/>
    <w:rsid w:val="009A11A6"/>
    <w:rsid w:val="009A1B80"/>
    <w:rsid w:val="009A21EE"/>
    <w:rsid w:val="009A253B"/>
    <w:rsid w:val="009A3C6E"/>
    <w:rsid w:val="009A42AB"/>
    <w:rsid w:val="009A4472"/>
    <w:rsid w:val="009A552D"/>
    <w:rsid w:val="009A5566"/>
    <w:rsid w:val="009A63C5"/>
    <w:rsid w:val="009A640C"/>
    <w:rsid w:val="009A6722"/>
    <w:rsid w:val="009A6A04"/>
    <w:rsid w:val="009A6A34"/>
    <w:rsid w:val="009A6F26"/>
    <w:rsid w:val="009A78A6"/>
    <w:rsid w:val="009B01AE"/>
    <w:rsid w:val="009B04F2"/>
    <w:rsid w:val="009B0763"/>
    <w:rsid w:val="009B076D"/>
    <w:rsid w:val="009B0A43"/>
    <w:rsid w:val="009B0A66"/>
    <w:rsid w:val="009B123D"/>
    <w:rsid w:val="009B1C1B"/>
    <w:rsid w:val="009B1E55"/>
    <w:rsid w:val="009B35BF"/>
    <w:rsid w:val="009B4194"/>
    <w:rsid w:val="009B4C3E"/>
    <w:rsid w:val="009B4D2F"/>
    <w:rsid w:val="009B5038"/>
    <w:rsid w:val="009B5121"/>
    <w:rsid w:val="009B56BE"/>
    <w:rsid w:val="009B573C"/>
    <w:rsid w:val="009B5B0B"/>
    <w:rsid w:val="009B6E08"/>
    <w:rsid w:val="009B6E0F"/>
    <w:rsid w:val="009B7356"/>
    <w:rsid w:val="009B7A8A"/>
    <w:rsid w:val="009C04DE"/>
    <w:rsid w:val="009C099B"/>
    <w:rsid w:val="009C0B86"/>
    <w:rsid w:val="009C0D9A"/>
    <w:rsid w:val="009C1219"/>
    <w:rsid w:val="009C1470"/>
    <w:rsid w:val="009C19F1"/>
    <w:rsid w:val="009C1ADB"/>
    <w:rsid w:val="009C37BF"/>
    <w:rsid w:val="009C398A"/>
    <w:rsid w:val="009C40BF"/>
    <w:rsid w:val="009C4676"/>
    <w:rsid w:val="009C5C27"/>
    <w:rsid w:val="009C5FC3"/>
    <w:rsid w:val="009C60E9"/>
    <w:rsid w:val="009C61F4"/>
    <w:rsid w:val="009C6629"/>
    <w:rsid w:val="009C6B64"/>
    <w:rsid w:val="009C7896"/>
    <w:rsid w:val="009C7D0B"/>
    <w:rsid w:val="009D010B"/>
    <w:rsid w:val="009D0530"/>
    <w:rsid w:val="009D056C"/>
    <w:rsid w:val="009D0596"/>
    <w:rsid w:val="009D0C23"/>
    <w:rsid w:val="009D0CF4"/>
    <w:rsid w:val="009D0D52"/>
    <w:rsid w:val="009D140A"/>
    <w:rsid w:val="009D1A74"/>
    <w:rsid w:val="009D2B26"/>
    <w:rsid w:val="009D2B87"/>
    <w:rsid w:val="009D36C8"/>
    <w:rsid w:val="009D39E1"/>
    <w:rsid w:val="009D3B6A"/>
    <w:rsid w:val="009D3D90"/>
    <w:rsid w:val="009D43C4"/>
    <w:rsid w:val="009D44A1"/>
    <w:rsid w:val="009D4C5D"/>
    <w:rsid w:val="009D5B6D"/>
    <w:rsid w:val="009D6019"/>
    <w:rsid w:val="009D645F"/>
    <w:rsid w:val="009D6D3F"/>
    <w:rsid w:val="009D6F87"/>
    <w:rsid w:val="009D7067"/>
    <w:rsid w:val="009D70A2"/>
    <w:rsid w:val="009D7203"/>
    <w:rsid w:val="009D7410"/>
    <w:rsid w:val="009D7601"/>
    <w:rsid w:val="009D7622"/>
    <w:rsid w:val="009E05A2"/>
    <w:rsid w:val="009E1377"/>
    <w:rsid w:val="009E1908"/>
    <w:rsid w:val="009E2463"/>
    <w:rsid w:val="009E2B4C"/>
    <w:rsid w:val="009E2C55"/>
    <w:rsid w:val="009E2E3F"/>
    <w:rsid w:val="009E2FAC"/>
    <w:rsid w:val="009E37B0"/>
    <w:rsid w:val="009E3F94"/>
    <w:rsid w:val="009E44A4"/>
    <w:rsid w:val="009E486C"/>
    <w:rsid w:val="009E4A34"/>
    <w:rsid w:val="009E4A5F"/>
    <w:rsid w:val="009E4E3B"/>
    <w:rsid w:val="009E59F4"/>
    <w:rsid w:val="009E61B0"/>
    <w:rsid w:val="009E63F0"/>
    <w:rsid w:val="009E7BCD"/>
    <w:rsid w:val="009F012F"/>
    <w:rsid w:val="009F046E"/>
    <w:rsid w:val="009F05AC"/>
    <w:rsid w:val="009F086C"/>
    <w:rsid w:val="009F0971"/>
    <w:rsid w:val="009F1443"/>
    <w:rsid w:val="009F1778"/>
    <w:rsid w:val="009F1EEE"/>
    <w:rsid w:val="009F236B"/>
    <w:rsid w:val="009F239C"/>
    <w:rsid w:val="009F2B35"/>
    <w:rsid w:val="009F2E88"/>
    <w:rsid w:val="009F4220"/>
    <w:rsid w:val="009F4825"/>
    <w:rsid w:val="009F49FF"/>
    <w:rsid w:val="009F50FA"/>
    <w:rsid w:val="009F52E0"/>
    <w:rsid w:val="009F5CE6"/>
    <w:rsid w:val="009F60E0"/>
    <w:rsid w:val="009F667D"/>
    <w:rsid w:val="009F68A3"/>
    <w:rsid w:val="009F6B75"/>
    <w:rsid w:val="009F7007"/>
    <w:rsid w:val="009F74DB"/>
    <w:rsid w:val="009F77DF"/>
    <w:rsid w:val="009F7813"/>
    <w:rsid w:val="00A00221"/>
    <w:rsid w:val="00A00437"/>
    <w:rsid w:val="00A00BE9"/>
    <w:rsid w:val="00A00DDA"/>
    <w:rsid w:val="00A01385"/>
    <w:rsid w:val="00A01B9D"/>
    <w:rsid w:val="00A02C0A"/>
    <w:rsid w:val="00A031CE"/>
    <w:rsid w:val="00A03652"/>
    <w:rsid w:val="00A03A2A"/>
    <w:rsid w:val="00A047FA"/>
    <w:rsid w:val="00A0480E"/>
    <w:rsid w:val="00A04844"/>
    <w:rsid w:val="00A04BF3"/>
    <w:rsid w:val="00A054CA"/>
    <w:rsid w:val="00A06ED8"/>
    <w:rsid w:val="00A07570"/>
    <w:rsid w:val="00A10103"/>
    <w:rsid w:val="00A10D64"/>
    <w:rsid w:val="00A11137"/>
    <w:rsid w:val="00A111EA"/>
    <w:rsid w:val="00A1135E"/>
    <w:rsid w:val="00A11447"/>
    <w:rsid w:val="00A11B67"/>
    <w:rsid w:val="00A11DEE"/>
    <w:rsid w:val="00A12195"/>
    <w:rsid w:val="00A123D5"/>
    <w:rsid w:val="00A12B28"/>
    <w:rsid w:val="00A135AE"/>
    <w:rsid w:val="00A13A38"/>
    <w:rsid w:val="00A13EAB"/>
    <w:rsid w:val="00A1423C"/>
    <w:rsid w:val="00A1538B"/>
    <w:rsid w:val="00A15AB8"/>
    <w:rsid w:val="00A162DF"/>
    <w:rsid w:val="00A16324"/>
    <w:rsid w:val="00A16DCB"/>
    <w:rsid w:val="00A17013"/>
    <w:rsid w:val="00A176A3"/>
    <w:rsid w:val="00A17AF1"/>
    <w:rsid w:val="00A17B4D"/>
    <w:rsid w:val="00A17B91"/>
    <w:rsid w:val="00A20220"/>
    <w:rsid w:val="00A20CAE"/>
    <w:rsid w:val="00A21A7C"/>
    <w:rsid w:val="00A21C7C"/>
    <w:rsid w:val="00A21E7F"/>
    <w:rsid w:val="00A23269"/>
    <w:rsid w:val="00A23F95"/>
    <w:rsid w:val="00A25E6E"/>
    <w:rsid w:val="00A2610D"/>
    <w:rsid w:val="00A26462"/>
    <w:rsid w:val="00A26700"/>
    <w:rsid w:val="00A26A0F"/>
    <w:rsid w:val="00A26B21"/>
    <w:rsid w:val="00A27323"/>
    <w:rsid w:val="00A274E2"/>
    <w:rsid w:val="00A27727"/>
    <w:rsid w:val="00A27F30"/>
    <w:rsid w:val="00A30562"/>
    <w:rsid w:val="00A307DF"/>
    <w:rsid w:val="00A30B97"/>
    <w:rsid w:val="00A31193"/>
    <w:rsid w:val="00A312AD"/>
    <w:rsid w:val="00A312FC"/>
    <w:rsid w:val="00A31909"/>
    <w:rsid w:val="00A31A9F"/>
    <w:rsid w:val="00A31F9A"/>
    <w:rsid w:val="00A32237"/>
    <w:rsid w:val="00A3288D"/>
    <w:rsid w:val="00A3307A"/>
    <w:rsid w:val="00A34BDA"/>
    <w:rsid w:val="00A358DC"/>
    <w:rsid w:val="00A35A09"/>
    <w:rsid w:val="00A362FE"/>
    <w:rsid w:val="00A36969"/>
    <w:rsid w:val="00A36979"/>
    <w:rsid w:val="00A36BED"/>
    <w:rsid w:val="00A37640"/>
    <w:rsid w:val="00A37789"/>
    <w:rsid w:val="00A37B75"/>
    <w:rsid w:val="00A40079"/>
    <w:rsid w:val="00A40C15"/>
    <w:rsid w:val="00A4164A"/>
    <w:rsid w:val="00A41C3D"/>
    <w:rsid w:val="00A41F2E"/>
    <w:rsid w:val="00A42822"/>
    <w:rsid w:val="00A42BB2"/>
    <w:rsid w:val="00A432A0"/>
    <w:rsid w:val="00A4354B"/>
    <w:rsid w:val="00A43BFD"/>
    <w:rsid w:val="00A43F0A"/>
    <w:rsid w:val="00A43FF9"/>
    <w:rsid w:val="00A44220"/>
    <w:rsid w:val="00A452DB"/>
    <w:rsid w:val="00A465E9"/>
    <w:rsid w:val="00A46A4B"/>
    <w:rsid w:val="00A4752A"/>
    <w:rsid w:val="00A47774"/>
    <w:rsid w:val="00A4783E"/>
    <w:rsid w:val="00A47BC1"/>
    <w:rsid w:val="00A47D25"/>
    <w:rsid w:val="00A50899"/>
    <w:rsid w:val="00A50F8C"/>
    <w:rsid w:val="00A510CD"/>
    <w:rsid w:val="00A512A2"/>
    <w:rsid w:val="00A5216F"/>
    <w:rsid w:val="00A52254"/>
    <w:rsid w:val="00A522FD"/>
    <w:rsid w:val="00A52401"/>
    <w:rsid w:val="00A5287D"/>
    <w:rsid w:val="00A534A7"/>
    <w:rsid w:val="00A550F7"/>
    <w:rsid w:val="00A55474"/>
    <w:rsid w:val="00A562BE"/>
    <w:rsid w:val="00A56A4F"/>
    <w:rsid w:val="00A56B72"/>
    <w:rsid w:val="00A56DDE"/>
    <w:rsid w:val="00A56FEE"/>
    <w:rsid w:val="00A5787F"/>
    <w:rsid w:val="00A57E73"/>
    <w:rsid w:val="00A60436"/>
    <w:rsid w:val="00A607D9"/>
    <w:rsid w:val="00A60A8B"/>
    <w:rsid w:val="00A60C3A"/>
    <w:rsid w:val="00A6124D"/>
    <w:rsid w:val="00A62199"/>
    <w:rsid w:val="00A621B7"/>
    <w:rsid w:val="00A63037"/>
    <w:rsid w:val="00A6323E"/>
    <w:rsid w:val="00A63575"/>
    <w:rsid w:val="00A63AF3"/>
    <w:rsid w:val="00A6419E"/>
    <w:rsid w:val="00A64A06"/>
    <w:rsid w:val="00A64E8C"/>
    <w:rsid w:val="00A64EF8"/>
    <w:rsid w:val="00A65A63"/>
    <w:rsid w:val="00A65CC9"/>
    <w:rsid w:val="00A65E01"/>
    <w:rsid w:val="00A66413"/>
    <w:rsid w:val="00A664B6"/>
    <w:rsid w:val="00A6677B"/>
    <w:rsid w:val="00A67A3C"/>
    <w:rsid w:val="00A67D1C"/>
    <w:rsid w:val="00A67D72"/>
    <w:rsid w:val="00A710AC"/>
    <w:rsid w:val="00A717AD"/>
    <w:rsid w:val="00A7186E"/>
    <w:rsid w:val="00A719E2"/>
    <w:rsid w:val="00A71FC9"/>
    <w:rsid w:val="00A7220A"/>
    <w:rsid w:val="00A725DB"/>
    <w:rsid w:val="00A72751"/>
    <w:rsid w:val="00A73655"/>
    <w:rsid w:val="00A73667"/>
    <w:rsid w:val="00A73738"/>
    <w:rsid w:val="00A73D7C"/>
    <w:rsid w:val="00A73E8F"/>
    <w:rsid w:val="00A747DC"/>
    <w:rsid w:val="00A74D4E"/>
    <w:rsid w:val="00A753BD"/>
    <w:rsid w:val="00A7616A"/>
    <w:rsid w:val="00A761EE"/>
    <w:rsid w:val="00A762FD"/>
    <w:rsid w:val="00A76B33"/>
    <w:rsid w:val="00A77933"/>
    <w:rsid w:val="00A77F98"/>
    <w:rsid w:val="00A80813"/>
    <w:rsid w:val="00A80EA4"/>
    <w:rsid w:val="00A819DD"/>
    <w:rsid w:val="00A81C95"/>
    <w:rsid w:val="00A8316D"/>
    <w:rsid w:val="00A83509"/>
    <w:rsid w:val="00A83903"/>
    <w:rsid w:val="00A83A16"/>
    <w:rsid w:val="00A83CA5"/>
    <w:rsid w:val="00A84336"/>
    <w:rsid w:val="00A84863"/>
    <w:rsid w:val="00A84EBD"/>
    <w:rsid w:val="00A84EDD"/>
    <w:rsid w:val="00A84F34"/>
    <w:rsid w:val="00A854BC"/>
    <w:rsid w:val="00A85B89"/>
    <w:rsid w:val="00A8620E"/>
    <w:rsid w:val="00A864E9"/>
    <w:rsid w:val="00A86CC9"/>
    <w:rsid w:val="00A87906"/>
    <w:rsid w:val="00A87958"/>
    <w:rsid w:val="00A87E9E"/>
    <w:rsid w:val="00A901BE"/>
    <w:rsid w:val="00A904E2"/>
    <w:rsid w:val="00A908FF"/>
    <w:rsid w:val="00A90D2E"/>
    <w:rsid w:val="00A90F25"/>
    <w:rsid w:val="00A912E7"/>
    <w:rsid w:val="00A91A2C"/>
    <w:rsid w:val="00A91E97"/>
    <w:rsid w:val="00A92BCF"/>
    <w:rsid w:val="00A93095"/>
    <w:rsid w:val="00A93A32"/>
    <w:rsid w:val="00A93E6F"/>
    <w:rsid w:val="00A96085"/>
    <w:rsid w:val="00A9628F"/>
    <w:rsid w:val="00A96424"/>
    <w:rsid w:val="00A969D8"/>
    <w:rsid w:val="00A96BEA"/>
    <w:rsid w:val="00AA19A6"/>
    <w:rsid w:val="00AA1AED"/>
    <w:rsid w:val="00AA20B1"/>
    <w:rsid w:val="00AA262E"/>
    <w:rsid w:val="00AA2C89"/>
    <w:rsid w:val="00AA3451"/>
    <w:rsid w:val="00AA43BD"/>
    <w:rsid w:val="00AA46E6"/>
    <w:rsid w:val="00AA48C1"/>
    <w:rsid w:val="00AA4945"/>
    <w:rsid w:val="00AA4FC0"/>
    <w:rsid w:val="00AA5889"/>
    <w:rsid w:val="00AA60A4"/>
    <w:rsid w:val="00AA64DE"/>
    <w:rsid w:val="00AA6D8A"/>
    <w:rsid w:val="00AA73A8"/>
    <w:rsid w:val="00AB006F"/>
    <w:rsid w:val="00AB106B"/>
    <w:rsid w:val="00AB114C"/>
    <w:rsid w:val="00AB1685"/>
    <w:rsid w:val="00AB1A9F"/>
    <w:rsid w:val="00AB2A38"/>
    <w:rsid w:val="00AB2A74"/>
    <w:rsid w:val="00AB3037"/>
    <w:rsid w:val="00AB3184"/>
    <w:rsid w:val="00AB33F9"/>
    <w:rsid w:val="00AB3CEC"/>
    <w:rsid w:val="00AB3D70"/>
    <w:rsid w:val="00AB3E8B"/>
    <w:rsid w:val="00AB43F5"/>
    <w:rsid w:val="00AB4AFF"/>
    <w:rsid w:val="00AB537C"/>
    <w:rsid w:val="00AB5887"/>
    <w:rsid w:val="00AB5B81"/>
    <w:rsid w:val="00AB5C13"/>
    <w:rsid w:val="00AB5D24"/>
    <w:rsid w:val="00AB64E5"/>
    <w:rsid w:val="00AB6C31"/>
    <w:rsid w:val="00AB7213"/>
    <w:rsid w:val="00AB73F4"/>
    <w:rsid w:val="00AB7442"/>
    <w:rsid w:val="00AB7D4B"/>
    <w:rsid w:val="00AB7D75"/>
    <w:rsid w:val="00AB7FA0"/>
    <w:rsid w:val="00AC0478"/>
    <w:rsid w:val="00AC1226"/>
    <w:rsid w:val="00AC14E0"/>
    <w:rsid w:val="00AC1686"/>
    <w:rsid w:val="00AC179A"/>
    <w:rsid w:val="00AC24F6"/>
    <w:rsid w:val="00AC299E"/>
    <w:rsid w:val="00AC3834"/>
    <w:rsid w:val="00AC55C1"/>
    <w:rsid w:val="00AC5774"/>
    <w:rsid w:val="00AC5C6A"/>
    <w:rsid w:val="00AC5EA2"/>
    <w:rsid w:val="00AC5F59"/>
    <w:rsid w:val="00AC60DA"/>
    <w:rsid w:val="00AC65AF"/>
    <w:rsid w:val="00AC6DA9"/>
    <w:rsid w:val="00AC7052"/>
    <w:rsid w:val="00AC739C"/>
    <w:rsid w:val="00AC7672"/>
    <w:rsid w:val="00AC7703"/>
    <w:rsid w:val="00AC7E57"/>
    <w:rsid w:val="00AD0558"/>
    <w:rsid w:val="00AD0C0E"/>
    <w:rsid w:val="00AD10E5"/>
    <w:rsid w:val="00AD150C"/>
    <w:rsid w:val="00AD1F44"/>
    <w:rsid w:val="00AD1FF4"/>
    <w:rsid w:val="00AD23CC"/>
    <w:rsid w:val="00AD31EC"/>
    <w:rsid w:val="00AD35A4"/>
    <w:rsid w:val="00AD37E4"/>
    <w:rsid w:val="00AD37F0"/>
    <w:rsid w:val="00AD3C2A"/>
    <w:rsid w:val="00AD3E6B"/>
    <w:rsid w:val="00AD4379"/>
    <w:rsid w:val="00AD5D9A"/>
    <w:rsid w:val="00AD6676"/>
    <w:rsid w:val="00AD6769"/>
    <w:rsid w:val="00AD6833"/>
    <w:rsid w:val="00AD715B"/>
    <w:rsid w:val="00AD77FA"/>
    <w:rsid w:val="00AE0D15"/>
    <w:rsid w:val="00AE156A"/>
    <w:rsid w:val="00AE1923"/>
    <w:rsid w:val="00AE1C81"/>
    <w:rsid w:val="00AE1D4C"/>
    <w:rsid w:val="00AE252A"/>
    <w:rsid w:val="00AE35BF"/>
    <w:rsid w:val="00AE39A6"/>
    <w:rsid w:val="00AE4199"/>
    <w:rsid w:val="00AE4207"/>
    <w:rsid w:val="00AE486A"/>
    <w:rsid w:val="00AE48A4"/>
    <w:rsid w:val="00AE4C70"/>
    <w:rsid w:val="00AE4F38"/>
    <w:rsid w:val="00AE507F"/>
    <w:rsid w:val="00AE6068"/>
    <w:rsid w:val="00AE6873"/>
    <w:rsid w:val="00AE6D21"/>
    <w:rsid w:val="00AE78CF"/>
    <w:rsid w:val="00AE7F9B"/>
    <w:rsid w:val="00AF0016"/>
    <w:rsid w:val="00AF0F7F"/>
    <w:rsid w:val="00AF1DE2"/>
    <w:rsid w:val="00AF24F2"/>
    <w:rsid w:val="00AF2806"/>
    <w:rsid w:val="00AF3A91"/>
    <w:rsid w:val="00AF3BDB"/>
    <w:rsid w:val="00AF406C"/>
    <w:rsid w:val="00AF40A9"/>
    <w:rsid w:val="00AF40E0"/>
    <w:rsid w:val="00AF41B6"/>
    <w:rsid w:val="00AF428A"/>
    <w:rsid w:val="00AF45AF"/>
    <w:rsid w:val="00AF498E"/>
    <w:rsid w:val="00AF4AF0"/>
    <w:rsid w:val="00AF4E90"/>
    <w:rsid w:val="00AF5912"/>
    <w:rsid w:val="00AF5D8B"/>
    <w:rsid w:val="00AF7341"/>
    <w:rsid w:val="00B0063B"/>
    <w:rsid w:val="00B00F17"/>
    <w:rsid w:val="00B01C0B"/>
    <w:rsid w:val="00B01DB9"/>
    <w:rsid w:val="00B01E36"/>
    <w:rsid w:val="00B03388"/>
    <w:rsid w:val="00B03DEF"/>
    <w:rsid w:val="00B043FA"/>
    <w:rsid w:val="00B04C10"/>
    <w:rsid w:val="00B05579"/>
    <w:rsid w:val="00B0575B"/>
    <w:rsid w:val="00B0581C"/>
    <w:rsid w:val="00B0588C"/>
    <w:rsid w:val="00B068E4"/>
    <w:rsid w:val="00B068FF"/>
    <w:rsid w:val="00B1114A"/>
    <w:rsid w:val="00B115ED"/>
    <w:rsid w:val="00B117CB"/>
    <w:rsid w:val="00B117D7"/>
    <w:rsid w:val="00B12425"/>
    <w:rsid w:val="00B12732"/>
    <w:rsid w:val="00B13785"/>
    <w:rsid w:val="00B13B8E"/>
    <w:rsid w:val="00B13F9C"/>
    <w:rsid w:val="00B142E0"/>
    <w:rsid w:val="00B15237"/>
    <w:rsid w:val="00B16610"/>
    <w:rsid w:val="00B16817"/>
    <w:rsid w:val="00B20497"/>
    <w:rsid w:val="00B2128C"/>
    <w:rsid w:val="00B21406"/>
    <w:rsid w:val="00B2238D"/>
    <w:rsid w:val="00B229A1"/>
    <w:rsid w:val="00B23034"/>
    <w:rsid w:val="00B231BC"/>
    <w:rsid w:val="00B23573"/>
    <w:rsid w:val="00B23ABE"/>
    <w:rsid w:val="00B23B67"/>
    <w:rsid w:val="00B24B78"/>
    <w:rsid w:val="00B24C03"/>
    <w:rsid w:val="00B254C0"/>
    <w:rsid w:val="00B266F1"/>
    <w:rsid w:val="00B26797"/>
    <w:rsid w:val="00B26C98"/>
    <w:rsid w:val="00B26E4F"/>
    <w:rsid w:val="00B271E8"/>
    <w:rsid w:val="00B27548"/>
    <w:rsid w:val="00B275D8"/>
    <w:rsid w:val="00B27C62"/>
    <w:rsid w:val="00B313F6"/>
    <w:rsid w:val="00B318E3"/>
    <w:rsid w:val="00B32506"/>
    <w:rsid w:val="00B32F66"/>
    <w:rsid w:val="00B33678"/>
    <w:rsid w:val="00B33850"/>
    <w:rsid w:val="00B338BA"/>
    <w:rsid w:val="00B33F6F"/>
    <w:rsid w:val="00B33FD6"/>
    <w:rsid w:val="00B34AFD"/>
    <w:rsid w:val="00B3512D"/>
    <w:rsid w:val="00B354E2"/>
    <w:rsid w:val="00B358C1"/>
    <w:rsid w:val="00B36705"/>
    <w:rsid w:val="00B36A7A"/>
    <w:rsid w:val="00B37073"/>
    <w:rsid w:val="00B37C50"/>
    <w:rsid w:val="00B40037"/>
    <w:rsid w:val="00B4055F"/>
    <w:rsid w:val="00B40572"/>
    <w:rsid w:val="00B4108E"/>
    <w:rsid w:val="00B41314"/>
    <w:rsid w:val="00B413D2"/>
    <w:rsid w:val="00B41861"/>
    <w:rsid w:val="00B41A1A"/>
    <w:rsid w:val="00B42107"/>
    <w:rsid w:val="00B425D2"/>
    <w:rsid w:val="00B42F63"/>
    <w:rsid w:val="00B431AD"/>
    <w:rsid w:val="00B4365C"/>
    <w:rsid w:val="00B436E2"/>
    <w:rsid w:val="00B439B0"/>
    <w:rsid w:val="00B439E5"/>
    <w:rsid w:val="00B440D1"/>
    <w:rsid w:val="00B44A28"/>
    <w:rsid w:val="00B453BC"/>
    <w:rsid w:val="00B457F9"/>
    <w:rsid w:val="00B45BBA"/>
    <w:rsid w:val="00B45FDC"/>
    <w:rsid w:val="00B462D8"/>
    <w:rsid w:val="00B46347"/>
    <w:rsid w:val="00B46444"/>
    <w:rsid w:val="00B46A16"/>
    <w:rsid w:val="00B472E3"/>
    <w:rsid w:val="00B4762E"/>
    <w:rsid w:val="00B507E3"/>
    <w:rsid w:val="00B512C2"/>
    <w:rsid w:val="00B5139C"/>
    <w:rsid w:val="00B51D8B"/>
    <w:rsid w:val="00B52EAD"/>
    <w:rsid w:val="00B52F36"/>
    <w:rsid w:val="00B535DF"/>
    <w:rsid w:val="00B536F9"/>
    <w:rsid w:val="00B5463E"/>
    <w:rsid w:val="00B5474A"/>
    <w:rsid w:val="00B54B97"/>
    <w:rsid w:val="00B5505C"/>
    <w:rsid w:val="00B55825"/>
    <w:rsid w:val="00B55E9E"/>
    <w:rsid w:val="00B56101"/>
    <w:rsid w:val="00B57320"/>
    <w:rsid w:val="00B574FC"/>
    <w:rsid w:val="00B60E24"/>
    <w:rsid w:val="00B61068"/>
    <w:rsid w:val="00B6118D"/>
    <w:rsid w:val="00B629F8"/>
    <w:rsid w:val="00B62AB3"/>
    <w:rsid w:val="00B62AF2"/>
    <w:rsid w:val="00B63B4B"/>
    <w:rsid w:val="00B656D5"/>
    <w:rsid w:val="00B65EAD"/>
    <w:rsid w:val="00B6699A"/>
    <w:rsid w:val="00B66F41"/>
    <w:rsid w:val="00B674BE"/>
    <w:rsid w:val="00B67A5D"/>
    <w:rsid w:val="00B67BF5"/>
    <w:rsid w:val="00B70240"/>
    <w:rsid w:val="00B706E0"/>
    <w:rsid w:val="00B70E68"/>
    <w:rsid w:val="00B7115C"/>
    <w:rsid w:val="00B71267"/>
    <w:rsid w:val="00B71802"/>
    <w:rsid w:val="00B71BEA"/>
    <w:rsid w:val="00B71D0E"/>
    <w:rsid w:val="00B71D57"/>
    <w:rsid w:val="00B71F1E"/>
    <w:rsid w:val="00B72616"/>
    <w:rsid w:val="00B727C3"/>
    <w:rsid w:val="00B7351F"/>
    <w:rsid w:val="00B743DF"/>
    <w:rsid w:val="00B74B6F"/>
    <w:rsid w:val="00B74BD5"/>
    <w:rsid w:val="00B752A3"/>
    <w:rsid w:val="00B75640"/>
    <w:rsid w:val="00B75690"/>
    <w:rsid w:val="00B75BF1"/>
    <w:rsid w:val="00B76A80"/>
    <w:rsid w:val="00B76E86"/>
    <w:rsid w:val="00B77355"/>
    <w:rsid w:val="00B779BE"/>
    <w:rsid w:val="00B77E94"/>
    <w:rsid w:val="00B77EC0"/>
    <w:rsid w:val="00B80321"/>
    <w:rsid w:val="00B81895"/>
    <w:rsid w:val="00B83B02"/>
    <w:rsid w:val="00B83BE8"/>
    <w:rsid w:val="00B8562C"/>
    <w:rsid w:val="00B862F5"/>
    <w:rsid w:val="00B863E7"/>
    <w:rsid w:val="00B875FA"/>
    <w:rsid w:val="00B8778B"/>
    <w:rsid w:val="00B87A0E"/>
    <w:rsid w:val="00B90076"/>
    <w:rsid w:val="00B9029E"/>
    <w:rsid w:val="00B9031C"/>
    <w:rsid w:val="00B90653"/>
    <w:rsid w:val="00B90BB1"/>
    <w:rsid w:val="00B925DB"/>
    <w:rsid w:val="00B92B1F"/>
    <w:rsid w:val="00B92BCA"/>
    <w:rsid w:val="00B92CDD"/>
    <w:rsid w:val="00B9333B"/>
    <w:rsid w:val="00B938E4"/>
    <w:rsid w:val="00B947BF"/>
    <w:rsid w:val="00B9490A"/>
    <w:rsid w:val="00B94E55"/>
    <w:rsid w:val="00B94F87"/>
    <w:rsid w:val="00B951C1"/>
    <w:rsid w:val="00B9550F"/>
    <w:rsid w:val="00B9556E"/>
    <w:rsid w:val="00B95AB0"/>
    <w:rsid w:val="00B95DC7"/>
    <w:rsid w:val="00B95FFF"/>
    <w:rsid w:val="00B9691F"/>
    <w:rsid w:val="00B96C53"/>
    <w:rsid w:val="00B975CF"/>
    <w:rsid w:val="00BA0218"/>
    <w:rsid w:val="00BA07B1"/>
    <w:rsid w:val="00BA0F89"/>
    <w:rsid w:val="00BA1049"/>
    <w:rsid w:val="00BA179D"/>
    <w:rsid w:val="00BA1AFD"/>
    <w:rsid w:val="00BA1FE9"/>
    <w:rsid w:val="00BA217B"/>
    <w:rsid w:val="00BA2898"/>
    <w:rsid w:val="00BA2A85"/>
    <w:rsid w:val="00BA2D16"/>
    <w:rsid w:val="00BA4525"/>
    <w:rsid w:val="00BA4BFB"/>
    <w:rsid w:val="00BA51F6"/>
    <w:rsid w:val="00BA5B47"/>
    <w:rsid w:val="00BA5D22"/>
    <w:rsid w:val="00BA5ED6"/>
    <w:rsid w:val="00BA5FEB"/>
    <w:rsid w:val="00BA648B"/>
    <w:rsid w:val="00BA65B4"/>
    <w:rsid w:val="00BA6818"/>
    <w:rsid w:val="00BA6F75"/>
    <w:rsid w:val="00BA77DE"/>
    <w:rsid w:val="00BA782E"/>
    <w:rsid w:val="00BA7A25"/>
    <w:rsid w:val="00BA7AFF"/>
    <w:rsid w:val="00BB04EB"/>
    <w:rsid w:val="00BB05F4"/>
    <w:rsid w:val="00BB0630"/>
    <w:rsid w:val="00BB0BEC"/>
    <w:rsid w:val="00BB12F6"/>
    <w:rsid w:val="00BB13AC"/>
    <w:rsid w:val="00BB155B"/>
    <w:rsid w:val="00BB3436"/>
    <w:rsid w:val="00BB3A7C"/>
    <w:rsid w:val="00BB3D9E"/>
    <w:rsid w:val="00BB3F3D"/>
    <w:rsid w:val="00BB48F9"/>
    <w:rsid w:val="00BB4EEE"/>
    <w:rsid w:val="00BB51DC"/>
    <w:rsid w:val="00BB5776"/>
    <w:rsid w:val="00BB588D"/>
    <w:rsid w:val="00BB5B56"/>
    <w:rsid w:val="00BB6172"/>
    <w:rsid w:val="00BB6853"/>
    <w:rsid w:val="00BB6B0B"/>
    <w:rsid w:val="00BB6C0B"/>
    <w:rsid w:val="00BB6DEB"/>
    <w:rsid w:val="00BB6F1C"/>
    <w:rsid w:val="00BB772D"/>
    <w:rsid w:val="00BB7FFA"/>
    <w:rsid w:val="00BC091B"/>
    <w:rsid w:val="00BC13E1"/>
    <w:rsid w:val="00BC23C0"/>
    <w:rsid w:val="00BC265E"/>
    <w:rsid w:val="00BC2978"/>
    <w:rsid w:val="00BC2C40"/>
    <w:rsid w:val="00BC2C7A"/>
    <w:rsid w:val="00BC3288"/>
    <w:rsid w:val="00BC3563"/>
    <w:rsid w:val="00BC3677"/>
    <w:rsid w:val="00BC4B99"/>
    <w:rsid w:val="00BC6794"/>
    <w:rsid w:val="00BC6F8F"/>
    <w:rsid w:val="00BC730B"/>
    <w:rsid w:val="00BC7AB1"/>
    <w:rsid w:val="00BC7ACD"/>
    <w:rsid w:val="00BC7C23"/>
    <w:rsid w:val="00BD0750"/>
    <w:rsid w:val="00BD0CA0"/>
    <w:rsid w:val="00BD0E33"/>
    <w:rsid w:val="00BD1D83"/>
    <w:rsid w:val="00BD29E2"/>
    <w:rsid w:val="00BD35F1"/>
    <w:rsid w:val="00BD37BA"/>
    <w:rsid w:val="00BD383C"/>
    <w:rsid w:val="00BD4CCC"/>
    <w:rsid w:val="00BD5EB2"/>
    <w:rsid w:val="00BD601C"/>
    <w:rsid w:val="00BD609B"/>
    <w:rsid w:val="00BD68FA"/>
    <w:rsid w:val="00BD6B3D"/>
    <w:rsid w:val="00BD70AE"/>
    <w:rsid w:val="00BD734C"/>
    <w:rsid w:val="00BE0DCB"/>
    <w:rsid w:val="00BE1227"/>
    <w:rsid w:val="00BE1859"/>
    <w:rsid w:val="00BE1A96"/>
    <w:rsid w:val="00BE213C"/>
    <w:rsid w:val="00BE24E9"/>
    <w:rsid w:val="00BE28C7"/>
    <w:rsid w:val="00BE2D0C"/>
    <w:rsid w:val="00BE2F05"/>
    <w:rsid w:val="00BE35F6"/>
    <w:rsid w:val="00BE396B"/>
    <w:rsid w:val="00BE4180"/>
    <w:rsid w:val="00BE4695"/>
    <w:rsid w:val="00BE499A"/>
    <w:rsid w:val="00BE4A14"/>
    <w:rsid w:val="00BE538C"/>
    <w:rsid w:val="00BE63D8"/>
    <w:rsid w:val="00BE6738"/>
    <w:rsid w:val="00BE756C"/>
    <w:rsid w:val="00BE7822"/>
    <w:rsid w:val="00BE7934"/>
    <w:rsid w:val="00BE7AC2"/>
    <w:rsid w:val="00BF01F1"/>
    <w:rsid w:val="00BF04AD"/>
    <w:rsid w:val="00BF07D6"/>
    <w:rsid w:val="00BF0D2C"/>
    <w:rsid w:val="00BF1740"/>
    <w:rsid w:val="00BF175C"/>
    <w:rsid w:val="00BF1BFC"/>
    <w:rsid w:val="00BF2184"/>
    <w:rsid w:val="00BF2F85"/>
    <w:rsid w:val="00BF35E4"/>
    <w:rsid w:val="00BF381C"/>
    <w:rsid w:val="00BF3B26"/>
    <w:rsid w:val="00BF41D3"/>
    <w:rsid w:val="00BF4733"/>
    <w:rsid w:val="00BF498B"/>
    <w:rsid w:val="00BF4E26"/>
    <w:rsid w:val="00BF4EB8"/>
    <w:rsid w:val="00BF5D42"/>
    <w:rsid w:val="00BF6690"/>
    <w:rsid w:val="00BF75F5"/>
    <w:rsid w:val="00BF7E99"/>
    <w:rsid w:val="00C002F0"/>
    <w:rsid w:val="00C00469"/>
    <w:rsid w:val="00C0047B"/>
    <w:rsid w:val="00C010FA"/>
    <w:rsid w:val="00C016D5"/>
    <w:rsid w:val="00C01BB0"/>
    <w:rsid w:val="00C03FC3"/>
    <w:rsid w:val="00C042FB"/>
    <w:rsid w:val="00C05075"/>
    <w:rsid w:val="00C05422"/>
    <w:rsid w:val="00C05541"/>
    <w:rsid w:val="00C0591B"/>
    <w:rsid w:val="00C0643E"/>
    <w:rsid w:val="00C06515"/>
    <w:rsid w:val="00C06FD8"/>
    <w:rsid w:val="00C076A5"/>
    <w:rsid w:val="00C07AE4"/>
    <w:rsid w:val="00C10107"/>
    <w:rsid w:val="00C107DD"/>
    <w:rsid w:val="00C10E4A"/>
    <w:rsid w:val="00C10F84"/>
    <w:rsid w:val="00C11958"/>
    <w:rsid w:val="00C11D58"/>
    <w:rsid w:val="00C11E76"/>
    <w:rsid w:val="00C129C1"/>
    <w:rsid w:val="00C13EC6"/>
    <w:rsid w:val="00C14145"/>
    <w:rsid w:val="00C1428D"/>
    <w:rsid w:val="00C14872"/>
    <w:rsid w:val="00C14D49"/>
    <w:rsid w:val="00C15346"/>
    <w:rsid w:val="00C15E18"/>
    <w:rsid w:val="00C16712"/>
    <w:rsid w:val="00C16DA8"/>
    <w:rsid w:val="00C17D16"/>
    <w:rsid w:val="00C202DC"/>
    <w:rsid w:val="00C20431"/>
    <w:rsid w:val="00C20D32"/>
    <w:rsid w:val="00C20DA8"/>
    <w:rsid w:val="00C20DF3"/>
    <w:rsid w:val="00C20E3D"/>
    <w:rsid w:val="00C21563"/>
    <w:rsid w:val="00C21792"/>
    <w:rsid w:val="00C21910"/>
    <w:rsid w:val="00C2200C"/>
    <w:rsid w:val="00C224D0"/>
    <w:rsid w:val="00C22E4B"/>
    <w:rsid w:val="00C22EF9"/>
    <w:rsid w:val="00C23BC5"/>
    <w:rsid w:val="00C23E65"/>
    <w:rsid w:val="00C240D2"/>
    <w:rsid w:val="00C2410B"/>
    <w:rsid w:val="00C24886"/>
    <w:rsid w:val="00C24960"/>
    <w:rsid w:val="00C24A19"/>
    <w:rsid w:val="00C24A20"/>
    <w:rsid w:val="00C25770"/>
    <w:rsid w:val="00C2607D"/>
    <w:rsid w:val="00C2636E"/>
    <w:rsid w:val="00C268C6"/>
    <w:rsid w:val="00C27F83"/>
    <w:rsid w:val="00C3055A"/>
    <w:rsid w:val="00C3074B"/>
    <w:rsid w:val="00C30904"/>
    <w:rsid w:val="00C3121C"/>
    <w:rsid w:val="00C3156C"/>
    <w:rsid w:val="00C3188A"/>
    <w:rsid w:val="00C318AF"/>
    <w:rsid w:val="00C321FC"/>
    <w:rsid w:val="00C324F0"/>
    <w:rsid w:val="00C3267E"/>
    <w:rsid w:val="00C327BC"/>
    <w:rsid w:val="00C33824"/>
    <w:rsid w:val="00C3385B"/>
    <w:rsid w:val="00C34193"/>
    <w:rsid w:val="00C35323"/>
    <w:rsid w:val="00C35747"/>
    <w:rsid w:val="00C35A2D"/>
    <w:rsid w:val="00C3671C"/>
    <w:rsid w:val="00C368B2"/>
    <w:rsid w:val="00C36FB7"/>
    <w:rsid w:val="00C37102"/>
    <w:rsid w:val="00C37A49"/>
    <w:rsid w:val="00C40D09"/>
    <w:rsid w:val="00C418AB"/>
    <w:rsid w:val="00C4227F"/>
    <w:rsid w:val="00C42FB1"/>
    <w:rsid w:val="00C43770"/>
    <w:rsid w:val="00C43AD5"/>
    <w:rsid w:val="00C43DB2"/>
    <w:rsid w:val="00C43F3C"/>
    <w:rsid w:val="00C44B2F"/>
    <w:rsid w:val="00C4508E"/>
    <w:rsid w:val="00C45EA1"/>
    <w:rsid w:val="00C46905"/>
    <w:rsid w:val="00C4786D"/>
    <w:rsid w:val="00C47DE2"/>
    <w:rsid w:val="00C50543"/>
    <w:rsid w:val="00C505BA"/>
    <w:rsid w:val="00C5157D"/>
    <w:rsid w:val="00C52CEE"/>
    <w:rsid w:val="00C52F9A"/>
    <w:rsid w:val="00C530B7"/>
    <w:rsid w:val="00C53C97"/>
    <w:rsid w:val="00C54C3C"/>
    <w:rsid w:val="00C55C52"/>
    <w:rsid w:val="00C56DA7"/>
    <w:rsid w:val="00C56EA1"/>
    <w:rsid w:val="00C57439"/>
    <w:rsid w:val="00C5752E"/>
    <w:rsid w:val="00C57A01"/>
    <w:rsid w:val="00C57A60"/>
    <w:rsid w:val="00C57C31"/>
    <w:rsid w:val="00C60065"/>
    <w:rsid w:val="00C61102"/>
    <w:rsid w:val="00C620C3"/>
    <w:rsid w:val="00C624A9"/>
    <w:rsid w:val="00C6290A"/>
    <w:rsid w:val="00C62B22"/>
    <w:rsid w:val="00C63304"/>
    <w:rsid w:val="00C63BC0"/>
    <w:rsid w:val="00C63D7F"/>
    <w:rsid w:val="00C64D09"/>
    <w:rsid w:val="00C65AE0"/>
    <w:rsid w:val="00C661CD"/>
    <w:rsid w:val="00C666AD"/>
    <w:rsid w:val="00C66925"/>
    <w:rsid w:val="00C66F8A"/>
    <w:rsid w:val="00C66FFA"/>
    <w:rsid w:val="00C670B9"/>
    <w:rsid w:val="00C6779C"/>
    <w:rsid w:val="00C67BA4"/>
    <w:rsid w:val="00C70746"/>
    <w:rsid w:val="00C7112E"/>
    <w:rsid w:val="00C71A7E"/>
    <w:rsid w:val="00C71C06"/>
    <w:rsid w:val="00C72540"/>
    <w:rsid w:val="00C7346A"/>
    <w:rsid w:val="00C736A6"/>
    <w:rsid w:val="00C737D4"/>
    <w:rsid w:val="00C73BEB"/>
    <w:rsid w:val="00C73F09"/>
    <w:rsid w:val="00C74BE6"/>
    <w:rsid w:val="00C7524C"/>
    <w:rsid w:val="00C75D57"/>
    <w:rsid w:val="00C766FC"/>
    <w:rsid w:val="00C76C34"/>
    <w:rsid w:val="00C76D6D"/>
    <w:rsid w:val="00C771A9"/>
    <w:rsid w:val="00C7724A"/>
    <w:rsid w:val="00C776FD"/>
    <w:rsid w:val="00C80033"/>
    <w:rsid w:val="00C8020F"/>
    <w:rsid w:val="00C804E2"/>
    <w:rsid w:val="00C811C0"/>
    <w:rsid w:val="00C81555"/>
    <w:rsid w:val="00C81842"/>
    <w:rsid w:val="00C8225E"/>
    <w:rsid w:val="00C82E09"/>
    <w:rsid w:val="00C8345E"/>
    <w:rsid w:val="00C83948"/>
    <w:rsid w:val="00C83FC0"/>
    <w:rsid w:val="00C84351"/>
    <w:rsid w:val="00C845DF"/>
    <w:rsid w:val="00C848BA"/>
    <w:rsid w:val="00C84F98"/>
    <w:rsid w:val="00C852CD"/>
    <w:rsid w:val="00C85392"/>
    <w:rsid w:val="00C85810"/>
    <w:rsid w:val="00C85A6D"/>
    <w:rsid w:val="00C85C14"/>
    <w:rsid w:val="00C863E3"/>
    <w:rsid w:val="00C86576"/>
    <w:rsid w:val="00C867A0"/>
    <w:rsid w:val="00C86A07"/>
    <w:rsid w:val="00C871C2"/>
    <w:rsid w:val="00C8799A"/>
    <w:rsid w:val="00C903B9"/>
    <w:rsid w:val="00C9086C"/>
    <w:rsid w:val="00C90D16"/>
    <w:rsid w:val="00C91B89"/>
    <w:rsid w:val="00C91C46"/>
    <w:rsid w:val="00C925B9"/>
    <w:rsid w:val="00C93087"/>
    <w:rsid w:val="00C93944"/>
    <w:rsid w:val="00C9424C"/>
    <w:rsid w:val="00C94660"/>
    <w:rsid w:val="00C94796"/>
    <w:rsid w:val="00C94C8D"/>
    <w:rsid w:val="00C955D7"/>
    <w:rsid w:val="00C95F4E"/>
    <w:rsid w:val="00C9623E"/>
    <w:rsid w:val="00C96502"/>
    <w:rsid w:val="00C971AB"/>
    <w:rsid w:val="00C9724C"/>
    <w:rsid w:val="00C97CB1"/>
    <w:rsid w:val="00CA043B"/>
    <w:rsid w:val="00CA062B"/>
    <w:rsid w:val="00CA0CFC"/>
    <w:rsid w:val="00CA1D40"/>
    <w:rsid w:val="00CA2076"/>
    <w:rsid w:val="00CA2207"/>
    <w:rsid w:val="00CA2E6A"/>
    <w:rsid w:val="00CA301A"/>
    <w:rsid w:val="00CA3970"/>
    <w:rsid w:val="00CA3981"/>
    <w:rsid w:val="00CA3BBD"/>
    <w:rsid w:val="00CA46A4"/>
    <w:rsid w:val="00CA476E"/>
    <w:rsid w:val="00CA4B8E"/>
    <w:rsid w:val="00CA4CB1"/>
    <w:rsid w:val="00CA5A78"/>
    <w:rsid w:val="00CA689A"/>
    <w:rsid w:val="00CA68D4"/>
    <w:rsid w:val="00CB0479"/>
    <w:rsid w:val="00CB08BD"/>
    <w:rsid w:val="00CB0A16"/>
    <w:rsid w:val="00CB0B62"/>
    <w:rsid w:val="00CB1696"/>
    <w:rsid w:val="00CB1852"/>
    <w:rsid w:val="00CB1DCD"/>
    <w:rsid w:val="00CB22FC"/>
    <w:rsid w:val="00CB2774"/>
    <w:rsid w:val="00CB2A32"/>
    <w:rsid w:val="00CB2F96"/>
    <w:rsid w:val="00CB32CE"/>
    <w:rsid w:val="00CB3AE4"/>
    <w:rsid w:val="00CB4562"/>
    <w:rsid w:val="00CB47F9"/>
    <w:rsid w:val="00CB4CD7"/>
    <w:rsid w:val="00CB5679"/>
    <w:rsid w:val="00CB5713"/>
    <w:rsid w:val="00CB60AD"/>
    <w:rsid w:val="00CB68A2"/>
    <w:rsid w:val="00CB731B"/>
    <w:rsid w:val="00CB73FA"/>
    <w:rsid w:val="00CB75D1"/>
    <w:rsid w:val="00CB77D5"/>
    <w:rsid w:val="00CB7F3B"/>
    <w:rsid w:val="00CC01EB"/>
    <w:rsid w:val="00CC02A5"/>
    <w:rsid w:val="00CC03BF"/>
    <w:rsid w:val="00CC06A8"/>
    <w:rsid w:val="00CC0A7F"/>
    <w:rsid w:val="00CC150E"/>
    <w:rsid w:val="00CC25FD"/>
    <w:rsid w:val="00CC2CA2"/>
    <w:rsid w:val="00CC327F"/>
    <w:rsid w:val="00CC474A"/>
    <w:rsid w:val="00CC4785"/>
    <w:rsid w:val="00CC4C03"/>
    <w:rsid w:val="00CC4E6E"/>
    <w:rsid w:val="00CC4FB3"/>
    <w:rsid w:val="00CC5B01"/>
    <w:rsid w:val="00CC61AA"/>
    <w:rsid w:val="00CC71A0"/>
    <w:rsid w:val="00CC75C2"/>
    <w:rsid w:val="00CC778A"/>
    <w:rsid w:val="00CC7F41"/>
    <w:rsid w:val="00CD0246"/>
    <w:rsid w:val="00CD0842"/>
    <w:rsid w:val="00CD0D42"/>
    <w:rsid w:val="00CD157B"/>
    <w:rsid w:val="00CD1836"/>
    <w:rsid w:val="00CD20D5"/>
    <w:rsid w:val="00CD23D6"/>
    <w:rsid w:val="00CD2421"/>
    <w:rsid w:val="00CD2656"/>
    <w:rsid w:val="00CD2DCD"/>
    <w:rsid w:val="00CD2E5F"/>
    <w:rsid w:val="00CD31A5"/>
    <w:rsid w:val="00CD365A"/>
    <w:rsid w:val="00CD3F18"/>
    <w:rsid w:val="00CD45E3"/>
    <w:rsid w:val="00CD4B8D"/>
    <w:rsid w:val="00CD4ECA"/>
    <w:rsid w:val="00CD51D2"/>
    <w:rsid w:val="00CD5857"/>
    <w:rsid w:val="00CD5FFD"/>
    <w:rsid w:val="00CD688F"/>
    <w:rsid w:val="00CD75DE"/>
    <w:rsid w:val="00CD7B0A"/>
    <w:rsid w:val="00CD7CC3"/>
    <w:rsid w:val="00CE02E6"/>
    <w:rsid w:val="00CE1043"/>
    <w:rsid w:val="00CE1AC9"/>
    <w:rsid w:val="00CE1F54"/>
    <w:rsid w:val="00CE2A21"/>
    <w:rsid w:val="00CE31E5"/>
    <w:rsid w:val="00CE3214"/>
    <w:rsid w:val="00CE3564"/>
    <w:rsid w:val="00CE42A1"/>
    <w:rsid w:val="00CE4E08"/>
    <w:rsid w:val="00CE528E"/>
    <w:rsid w:val="00CE6528"/>
    <w:rsid w:val="00CE6B16"/>
    <w:rsid w:val="00CE6BB0"/>
    <w:rsid w:val="00CE6F27"/>
    <w:rsid w:val="00CE79FE"/>
    <w:rsid w:val="00CE7E16"/>
    <w:rsid w:val="00CF010F"/>
    <w:rsid w:val="00CF027F"/>
    <w:rsid w:val="00CF072B"/>
    <w:rsid w:val="00CF0ADD"/>
    <w:rsid w:val="00CF0AFE"/>
    <w:rsid w:val="00CF0D20"/>
    <w:rsid w:val="00CF0DE7"/>
    <w:rsid w:val="00CF28EE"/>
    <w:rsid w:val="00CF3159"/>
    <w:rsid w:val="00CF3488"/>
    <w:rsid w:val="00CF402D"/>
    <w:rsid w:val="00CF431B"/>
    <w:rsid w:val="00CF49E3"/>
    <w:rsid w:val="00CF4CD4"/>
    <w:rsid w:val="00CF5577"/>
    <w:rsid w:val="00CF5BF6"/>
    <w:rsid w:val="00CF62A8"/>
    <w:rsid w:val="00CF6DF4"/>
    <w:rsid w:val="00CF6EA7"/>
    <w:rsid w:val="00CF7684"/>
    <w:rsid w:val="00D0093A"/>
    <w:rsid w:val="00D011F0"/>
    <w:rsid w:val="00D01731"/>
    <w:rsid w:val="00D0212E"/>
    <w:rsid w:val="00D04F7B"/>
    <w:rsid w:val="00D0512C"/>
    <w:rsid w:val="00D058AF"/>
    <w:rsid w:val="00D06163"/>
    <w:rsid w:val="00D06211"/>
    <w:rsid w:val="00D06E9F"/>
    <w:rsid w:val="00D06FFF"/>
    <w:rsid w:val="00D0795F"/>
    <w:rsid w:val="00D07B7D"/>
    <w:rsid w:val="00D07CAD"/>
    <w:rsid w:val="00D07D59"/>
    <w:rsid w:val="00D113E7"/>
    <w:rsid w:val="00D116F0"/>
    <w:rsid w:val="00D119B8"/>
    <w:rsid w:val="00D11B26"/>
    <w:rsid w:val="00D11E6A"/>
    <w:rsid w:val="00D122BD"/>
    <w:rsid w:val="00D12A77"/>
    <w:rsid w:val="00D12E24"/>
    <w:rsid w:val="00D1347B"/>
    <w:rsid w:val="00D13ADD"/>
    <w:rsid w:val="00D13CD4"/>
    <w:rsid w:val="00D14332"/>
    <w:rsid w:val="00D148FB"/>
    <w:rsid w:val="00D15178"/>
    <w:rsid w:val="00D15B0C"/>
    <w:rsid w:val="00D167E6"/>
    <w:rsid w:val="00D169DA"/>
    <w:rsid w:val="00D16F9B"/>
    <w:rsid w:val="00D17611"/>
    <w:rsid w:val="00D17E36"/>
    <w:rsid w:val="00D21A5A"/>
    <w:rsid w:val="00D22863"/>
    <w:rsid w:val="00D22A36"/>
    <w:rsid w:val="00D23502"/>
    <w:rsid w:val="00D24778"/>
    <w:rsid w:val="00D24D4F"/>
    <w:rsid w:val="00D25ADF"/>
    <w:rsid w:val="00D25BE6"/>
    <w:rsid w:val="00D25C2E"/>
    <w:rsid w:val="00D25FFA"/>
    <w:rsid w:val="00D264A4"/>
    <w:rsid w:val="00D26727"/>
    <w:rsid w:val="00D268A9"/>
    <w:rsid w:val="00D26E87"/>
    <w:rsid w:val="00D27086"/>
    <w:rsid w:val="00D27CDB"/>
    <w:rsid w:val="00D3012A"/>
    <w:rsid w:val="00D30458"/>
    <w:rsid w:val="00D30B67"/>
    <w:rsid w:val="00D30D2F"/>
    <w:rsid w:val="00D31529"/>
    <w:rsid w:val="00D3190D"/>
    <w:rsid w:val="00D31A06"/>
    <w:rsid w:val="00D31B78"/>
    <w:rsid w:val="00D3345B"/>
    <w:rsid w:val="00D33755"/>
    <w:rsid w:val="00D33974"/>
    <w:rsid w:val="00D346EB"/>
    <w:rsid w:val="00D35DEF"/>
    <w:rsid w:val="00D362D1"/>
    <w:rsid w:val="00D36FEC"/>
    <w:rsid w:val="00D370B0"/>
    <w:rsid w:val="00D3723B"/>
    <w:rsid w:val="00D377B1"/>
    <w:rsid w:val="00D37996"/>
    <w:rsid w:val="00D37AF6"/>
    <w:rsid w:val="00D37D43"/>
    <w:rsid w:val="00D37DF7"/>
    <w:rsid w:val="00D37E01"/>
    <w:rsid w:val="00D37FEF"/>
    <w:rsid w:val="00D405B2"/>
    <w:rsid w:val="00D4101C"/>
    <w:rsid w:val="00D411AB"/>
    <w:rsid w:val="00D41BD7"/>
    <w:rsid w:val="00D41C9A"/>
    <w:rsid w:val="00D41E32"/>
    <w:rsid w:val="00D42078"/>
    <w:rsid w:val="00D4227E"/>
    <w:rsid w:val="00D42CC1"/>
    <w:rsid w:val="00D42F6C"/>
    <w:rsid w:val="00D43A1F"/>
    <w:rsid w:val="00D43E29"/>
    <w:rsid w:val="00D44755"/>
    <w:rsid w:val="00D447B7"/>
    <w:rsid w:val="00D452CD"/>
    <w:rsid w:val="00D45EDA"/>
    <w:rsid w:val="00D46126"/>
    <w:rsid w:val="00D464AF"/>
    <w:rsid w:val="00D5020B"/>
    <w:rsid w:val="00D5095D"/>
    <w:rsid w:val="00D50BB5"/>
    <w:rsid w:val="00D50DFF"/>
    <w:rsid w:val="00D512A4"/>
    <w:rsid w:val="00D5138A"/>
    <w:rsid w:val="00D51A7A"/>
    <w:rsid w:val="00D521C2"/>
    <w:rsid w:val="00D52CA1"/>
    <w:rsid w:val="00D53401"/>
    <w:rsid w:val="00D5370C"/>
    <w:rsid w:val="00D53A72"/>
    <w:rsid w:val="00D54213"/>
    <w:rsid w:val="00D54510"/>
    <w:rsid w:val="00D54E5C"/>
    <w:rsid w:val="00D54F96"/>
    <w:rsid w:val="00D5509A"/>
    <w:rsid w:val="00D55302"/>
    <w:rsid w:val="00D57027"/>
    <w:rsid w:val="00D578DF"/>
    <w:rsid w:val="00D579C3"/>
    <w:rsid w:val="00D60147"/>
    <w:rsid w:val="00D60DEF"/>
    <w:rsid w:val="00D6114F"/>
    <w:rsid w:val="00D6142F"/>
    <w:rsid w:val="00D614D6"/>
    <w:rsid w:val="00D61D9D"/>
    <w:rsid w:val="00D62056"/>
    <w:rsid w:val="00D6217D"/>
    <w:rsid w:val="00D6231B"/>
    <w:rsid w:val="00D62D22"/>
    <w:rsid w:val="00D62DFA"/>
    <w:rsid w:val="00D63142"/>
    <w:rsid w:val="00D63ACC"/>
    <w:rsid w:val="00D64AE6"/>
    <w:rsid w:val="00D654E1"/>
    <w:rsid w:val="00D65603"/>
    <w:rsid w:val="00D66949"/>
    <w:rsid w:val="00D67077"/>
    <w:rsid w:val="00D67217"/>
    <w:rsid w:val="00D67A60"/>
    <w:rsid w:val="00D70016"/>
    <w:rsid w:val="00D70178"/>
    <w:rsid w:val="00D701D4"/>
    <w:rsid w:val="00D7100B"/>
    <w:rsid w:val="00D7105D"/>
    <w:rsid w:val="00D71336"/>
    <w:rsid w:val="00D71461"/>
    <w:rsid w:val="00D71471"/>
    <w:rsid w:val="00D71C56"/>
    <w:rsid w:val="00D73C72"/>
    <w:rsid w:val="00D73DDB"/>
    <w:rsid w:val="00D7519D"/>
    <w:rsid w:val="00D75281"/>
    <w:rsid w:val="00D75B25"/>
    <w:rsid w:val="00D760D5"/>
    <w:rsid w:val="00D7657C"/>
    <w:rsid w:val="00D76BAD"/>
    <w:rsid w:val="00D76E8B"/>
    <w:rsid w:val="00D7706C"/>
    <w:rsid w:val="00D77433"/>
    <w:rsid w:val="00D77966"/>
    <w:rsid w:val="00D80347"/>
    <w:rsid w:val="00D80517"/>
    <w:rsid w:val="00D80F0E"/>
    <w:rsid w:val="00D810BB"/>
    <w:rsid w:val="00D81801"/>
    <w:rsid w:val="00D8205D"/>
    <w:rsid w:val="00D82A69"/>
    <w:rsid w:val="00D82D66"/>
    <w:rsid w:val="00D83023"/>
    <w:rsid w:val="00D83237"/>
    <w:rsid w:val="00D839FC"/>
    <w:rsid w:val="00D844C1"/>
    <w:rsid w:val="00D845C6"/>
    <w:rsid w:val="00D846FB"/>
    <w:rsid w:val="00D84E58"/>
    <w:rsid w:val="00D8567A"/>
    <w:rsid w:val="00D86512"/>
    <w:rsid w:val="00D86695"/>
    <w:rsid w:val="00D867A8"/>
    <w:rsid w:val="00D86A06"/>
    <w:rsid w:val="00D86ABB"/>
    <w:rsid w:val="00D86AD8"/>
    <w:rsid w:val="00D86C54"/>
    <w:rsid w:val="00D87080"/>
    <w:rsid w:val="00D87110"/>
    <w:rsid w:val="00D87115"/>
    <w:rsid w:val="00D879C1"/>
    <w:rsid w:val="00D90803"/>
    <w:rsid w:val="00D90A77"/>
    <w:rsid w:val="00D90BA1"/>
    <w:rsid w:val="00D912D6"/>
    <w:rsid w:val="00D91911"/>
    <w:rsid w:val="00D91B8A"/>
    <w:rsid w:val="00D921F7"/>
    <w:rsid w:val="00D92633"/>
    <w:rsid w:val="00D92EB3"/>
    <w:rsid w:val="00D9376B"/>
    <w:rsid w:val="00D93E53"/>
    <w:rsid w:val="00D9449B"/>
    <w:rsid w:val="00D94A33"/>
    <w:rsid w:val="00D9543D"/>
    <w:rsid w:val="00D958D0"/>
    <w:rsid w:val="00D97110"/>
    <w:rsid w:val="00D97CB3"/>
    <w:rsid w:val="00DA037D"/>
    <w:rsid w:val="00DA182E"/>
    <w:rsid w:val="00DA1E23"/>
    <w:rsid w:val="00DA32AF"/>
    <w:rsid w:val="00DA33EF"/>
    <w:rsid w:val="00DA35AD"/>
    <w:rsid w:val="00DA3EAD"/>
    <w:rsid w:val="00DA4370"/>
    <w:rsid w:val="00DA477A"/>
    <w:rsid w:val="00DA4973"/>
    <w:rsid w:val="00DA5172"/>
    <w:rsid w:val="00DA5259"/>
    <w:rsid w:val="00DA545B"/>
    <w:rsid w:val="00DA67B4"/>
    <w:rsid w:val="00DA6B61"/>
    <w:rsid w:val="00DA6CF4"/>
    <w:rsid w:val="00DA70E8"/>
    <w:rsid w:val="00DA73AF"/>
    <w:rsid w:val="00DA7CFE"/>
    <w:rsid w:val="00DB0056"/>
    <w:rsid w:val="00DB016D"/>
    <w:rsid w:val="00DB0DD9"/>
    <w:rsid w:val="00DB152B"/>
    <w:rsid w:val="00DB30F4"/>
    <w:rsid w:val="00DB3A12"/>
    <w:rsid w:val="00DB3D95"/>
    <w:rsid w:val="00DB40C6"/>
    <w:rsid w:val="00DB49CD"/>
    <w:rsid w:val="00DB59FC"/>
    <w:rsid w:val="00DB6E07"/>
    <w:rsid w:val="00DB7113"/>
    <w:rsid w:val="00DB73D7"/>
    <w:rsid w:val="00DB7ED2"/>
    <w:rsid w:val="00DC0138"/>
    <w:rsid w:val="00DC0D2B"/>
    <w:rsid w:val="00DC1926"/>
    <w:rsid w:val="00DC1937"/>
    <w:rsid w:val="00DC1A8F"/>
    <w:rsid w:val="00DC1A98"/>
    <w:rsid w:val="00DC1C01"/>
    <w:rsid w:val="00DC1E36"/>
    <w:rsid w:val="00DC1FFA"/>
    <w:rsid w:val="00DC2886"/>
    <w:rsid w:val="00DC2BBB"/>
    <w:rsid w:val="00DC3012"/>
    <w:rsid w:val="00DC390F"/>
    <w:rsid w:val="00DC3A85"/>
    <w:rsid w:val="00DC4BC8"/>
    <w:rsid w:val="00DC55EF"/>
    <w:rsid w:val="00DC5DB6"/>
    <w:rsid w:val="00DC6C74"/>
    <w:rsid w:val="00DC7C54"/>
    <w:rsid w:val="00DD2301"/>
    <w:rsid w:val="00DD2520"/>
    <w:rsid w:val="00DD26EB"/>
    <w:rsid w:val="00DD2863"/>
    <w:rsid w:val="00DD28FB"/>
    <w:rsid w:val="00DD30CB"/>
    <w:rsid w:val="00DD3791"/>
    <w:rsid w:val="00DD3A1E"/>
    <w:rsid w:val="00DD4752"/>
    <w:rsid w:val="00DD488F"/>
    <w:rsid w:val="00DD4D46"/>
    <w:rsid w:val="00DD4DAF"/>
    <w:rsid w:val="00DD5948"/>
    <w:rsid w:val="00DD6294"/>
    <w:rsid w:val="00DD67E5"/>
    <w:rsid w:val="00DD6A57"/>
    <w:rsid w:val="00DD6DE4"/>
    <w:rsid w:val="00DD7215"/>
    <w:rsid w:val="00DD733A"/>
    <w:rsid w:val="00DD7848"/>
    <w:rsid w:val="00DD7EAF"/>
    <w:rsid w:val="00DD7F81"/>
    <w:rsid w:val="00DE0FBE"/>
    <w:rsid w:val="00DE1343"/>
    <w:rsid w:val="00DE1A30"/>
    <w:rsid w:val="00DE1B18"/>
    <w:rsid w:val="00DE1D5F"/>
    <w:rsid w:val="00DE1DCD"/>
    <w:rsid w:val="00DE20F1"/>
    <w:rsid w:val="00DE21F5"/>
    <w:rsid w:val="00DE2445"/>
    <w:rsid w:val="00DE2792"/>
    <w:rsid w:val="00DE2DC2"/>
    <w:rsid w:val="00DE2EB4"/>
    <w:rsid w:val="00DE34E7"/>
    <w:rsid w:val="00DE357C"/>
    <w:rsid w:val="00DE37A4"/>
    <w:rsid w:val="00DE38E9"/>
    <w:rsid w:val="00DE3A21"/>
    <w:rsid w:val="00DE3CE5"/>
    <w:rsid w:val="00DE4063"/>
    <w:rsid w:val="00DE408F"/>
    <w:rsid w:val="00DE43C1"/>
    <w:rsid w:val="00DE472C"/>
    <w:rsid w:val="00DE5F1B"/>
    <w:rsid w:val="00DE6D7A"/>
    <w:rsid w:val="00DE6EB9"/>
    <w:rsid w:val="00DE7B6E"/>
    <w:rsid w:val="00DF074F"/>
    <w:rsid w:val="00DF0BAD"/>
    <w:rsid w:val="00DF12B3"/>
    <w:rsid w:val="00DF1613"/>
    <w:rsid w:val="00DF1A16"/>
    <w:rsid w:val="00DF1C08"/>
    <w:rsid w:val="00DF21F4"/>
    <w:rsid w:val="00DF2583"/>
    <w:rsid w:val="00DF26B1"/>
    <w:rsid w:val="00DF2AF3"/>
    <w:rsid w:val="00DF2CE5"/>
    <w:rsid w:val="00DF2E7F"/>
    <w:rsid w:val="00DF3158"/>
    <w:rsid w:val="00DF3219"/>
    <w:rsid w:val="00DF3CC5"/>
    <w:rsid w:val="00DF3DA5"/>
    <w:rsid w:val="00DF4506"/>
    <w:rsid w:val="00DF4FB9"/>
    <w:rsid w:val="00DF6037"/>
    <w:rsid w:val="00DF6B4D"/>
    <w:rsid w:val="00DF72B0"/>
    <w:rsid w:val="00DF781D"/>
    <w:rsid w:val="00E0085F"/>
    <w:rsid w:val="00E00C25"/>
    <w:rsid w:val="00E01A40"/>
    <w:rsid w:val="00E01CA7"/>
    <w:rsid w:val="00E029D7"/>
    <w:rsid w:val="00E02E95"/>
    <w:rsid w:val="00E033BA"/>
    <w:rsid w:val="00E03692"/>
    <w:rsid w:val="00E0382F"/>
    <w:rsid w:val="00E03980"/>
    <w:rsid w:val="00E041EC"/>
    <w:rsid w:val="00E047AD"/>
    <w:rsid w:val="00E05696"/>
    <w:rsid w:val="00E058EE"/>
    <w:rsid w:val="00E06676"/>
    <w:rsid w:val="00E06A0D"/>
    <w:rsid w:val="00E075BD"/>
    <w:rsid w:val="00E075DE"/>
    <w:rsid w:val="00E07761"/>
    <w:rsid w:val="00E07AA3"/>
    <w:rsid w:val="00E07AB5"/>
    <w:rsid w:val="00E105F3"/>
    <w:rsid w:val="00E10F2D"/>
    <w:rsid w:val="00E11BF2"/>
    <w:rsid w:val="00E11DB0"/>
    <w:rsid w:val="00E1213E"/>
    <w:rsid w:val="00E12CBB"/>
    <w:rsid w:val="00E12CC4"/>
    <w:rsid w:val="00E12D6C"/>
    <w:rsid w:val="00E12EDF"/>
    <w:rsid w:val="00E13509"/>
    <w:rsid w:val="00E13597"/>
    <w:rsid w:val="00E1448C"/>
    <w:rsid w:val="00E14610"/>
    <w:rsid w:val="00E14B7B"/>
    <w:rsid w:val="00E14D04"/>
    <w:rsid w:val="00E15B76"/>
    <w:rsid w:val="00E16067"/>
    <w:rsid w:val="00E163C6"/>
    <w:rsid w:val="00E164F4"/>
    <w:rsid w:val="00E16B28"/>
    <w:rsid w:val="00E16D2F"/>
    <w:rsid w:val="00E16F51"/>
    <w:rsid w:val="00E17B40"/>
    <w:rsid w:val="00E17D6E"/>
    <w:rsid w:val="00E17F71"/>
    <w:rsid w:val="00E21224"/>
    <w:rsid w:val="00E21351"/>
    <w:rsid w:val="00E224A9"/>
    <w:rsid w:val="00E229FE"/>
    <w:rsid w:val="00E22E57"/>
    <w:rsid w:val="00E22E87"/>
    <w:rsid w:val="00E2360B"/>
    <w:rsid w:val="00E2361F"/>
    <w:rsid w:val="00E23C52"/>
    <w:rsid w:val="00E23C67"/>
    <w:rsid w:val="00E23CEF"/>
    <w:rsid w:val="00E23D0D"/>
    <w:rsid w:val="00E25459"/>
    <w:rsid w:val="00E25A89"/>
    <w:rsid w:val="00E2631F"/>
    <w:rsid w:val="00E26A6B"/>
    <w:rsid w:val="00E27665"/>
    <w:rsid w:val="00E278AC"/>
    <w:rsid w:val="00E27BEE"/>
    <w:rsid w:val="00E30324"/>
    <w:rsid w:val="00E3046D"/>
    <w:rsid w:val="00E3052B"/>
    <w:rsid w:val="00E30544"/>
    <w:rsid w:val="00E30E0B"/>
    <w:rsid w:val="00E31710"/>
    <w:rsid w:val="00E3180D"/>
    <w:rsid w:val="00E31A16"/>
    <w:rsid w:val="00E32188"/>
    <w:rsid w:val="00E327EE"/>
    <w:rsid w:val="00E328D8"/>
    <w:rsid w:val="00E32CE2"/>
    <w:rsid w:val="00E32D37"/>
    <w:rsid w:val="00E33C12"/>
    <w:rsid w:val="00E33F65"/>
    <w:rsid w:val="00E34142"/>
    <w:rsid w:val="00E3495E"/>
    <w:rsid w:val="00E35C74"/>
    <w:rsid w:val="00E37289"/>
    <w:rsid w:val="00E3750A"/>
    <w:rsid w:val="00E37667"/>
    <w:rsid w:val="00E378C0"/>
    <w:rsid w:val="00E406DA"/>
    <w:rsid w:val="00E40ADA"/>
    <w:rsid w:val="00E415FC"/>
    <w:rsid w:val="00E4170E"/>
    <w:rsid w:val="00E43398"/>
    <w:rsid w:val="00E43C5A"/>
    <w:rsid w:val="00E43FB8"/>
    <w:rsid w:val="00E44028"/>
    <w:rsid w:val="00E44214"/>
    <w:rsid w:val="00E44A83"/>
    <w:rsid w:val="00E44B43"/>
    <w:rsid w:val="00E44BFF"/>
    <w:rsid w:val="00E44C59"/>
    <w:rsid w:val="00E44EBC"/>
    <w:rsid w:val="00E4549D"/>
    <w:rsid w:val="00E45634"/>
    <w:rsid w:val="00E45BF2"/>
    <w:rsid w:val="00E45DEA"/>
    <w:rsid w:val="00E47684"/>
    <w:rsid w:val="00E50C4C"/>
    <w:rsid w:val="00E51829"/>
    <w:rsid w:val="00E52439"/>
    <w:rsid w:val="00E526A3"/>
    <w:rsid w:val="00E52A46"/>
    <w:rsid w:val="00E5350C"/>
    <w:rsid w:val="00E54291"/>
    <w:rsid w:val="00E5459C"/>
    <w:rsid w:val="00E549C2"/>
    <w:rsid w:val="00E54C6D"/>
    <w:rsid w:val="00E557B5"/>
    <w:rsid w:val="00E56BD8"/>
    <w:rsid w:val="00E56F3C"/>
    <w:rsid w:val="00E57B6A"/>
    <w:rsid w:val="00E60952"/>
    <w:rsid w:val="00E60A48"/>
    <w:rsid w:val="00E61098"/>
    <w:rsid w:val="00E61AA0"/>
    <w:rsid w:val="00E61E23"/>
    <w:rsid w:val="00E620A6"/>
    <w:rsid w:val="00E6210D"/>
    <w:rsid w:val="00E62171"/>
    <w:rsid w:val="00E62768"/>
    <w:rsid w:val="00E629C4"/>
    <w:rsid w:val="00E632F9"/>
    <w:rsid w:val="00E6369F"/>
    <w:rsid w:val="00E6462C"/>
    <w:rsid w:val="00E65BCA"/>
    <w:rsid w:val="00E66365"/>
    <w:rsid w:val="00E668A0"/>
    <w:rsid w:val="00E70BF0"/>
    <w:rsid w:val="00E70D4D"/>
    <w:rsid w:val="00E71702"/>
    <w:rsid w:val="00E7174E"/>
    <w:rsid w:val="00E719D3"/>
    <w:rsid w:val="00E720D0"/>
    <w:rsid w:val="00E720FE"/>
    <w:rsid w:val="00E72A86"/>
    <w:rsid w:val="00E72C29"/>
    <w:rsid w:val="00E73583"/>
    <w:rsid w:val="00E74C89"/>
    <w:rsid w:val="00E74EE7"/>
    <w:rsid w:val="00E76782"/>
    <w:rsid w:val="00E76956"/>
    <w:rsid w:val="00E76FD7"/>
    <w:rsid w:val="00E77030"/>
    <w:rsid w:val="00E77171"/>
    <w:rsid w:val="00E779CB"/>
    <w:rsid w:val="00E80193"/>
    <w:rsid w:val="00E80B80"/>
    <w:rsid w:val="00E80F03"/>
    <w:rsid w:val="00E814BC"/>
    <w:rsid w:val="00E81603"/>
    <w:rsid w:val="00E81A4E"/>
    <w:rsid w:val="00E83D1B"/>
    <w:rsid w:val="00E84AB4"/>
    <w:rsid w:val="00E84B48"/>
    <w:rsid w:val="00E84EBF"/>
    <w:rsid w:val="00E856F6"/>
    <w:rsid w:val="00E8590A"/>
    <w:rsid w:val="00E85F38"/>
    <w:rsid w:val="00E861A8"/>
    <w:rsid w:val="00E86ED2"/>
    <w:rsid w:val="00E87629"/>
    <w:rsid w:val="00E87846"/>
    <w:rsid w:val="00E87853"/>
    <w:rsid w:val="00E90423"/>
    <w:rsid w:val="00E9047F"/>
    <w:rsid w:val="00E90602"/>
    <w:rsid w:val="00E90630"/>
    <w:rsid w:val="00E91273"/>
    <w:rsid w:val="00E91621"/>
    <w:rsid w:val="00E91C47"/>
    <w:rsid w:val="00E91D47"/>
    <w:rsid w:val="00E92935"/>
    <w:rsid w:val="00E92D6D"/>
    <w:rsid w:val="00E94323"/>
    <w:rsid w:val="00E949D3"/>
    <w:rsid w:val="00E950B7"/>
    <w:rsid w:val="00E96473"/>
    <w:rsid w:val="00E9686D"/>
    <w:rsid w:val="00E96A08"/>
    <w:rsid w:val="00E97928"/>
    <w:rsid w:val="00E97A5E"/>
    <w:rsid w:val="00E97B27"/>
    <w:rsid w:val="00EA01C2"/>
    <w:rsid w:val="00EA060C"/>
    <w:rsid w:val="00EA0D57"/>
    <w:rsid w:val="00EA0E45"/>
    <w:rsid w:val="00EA1EAD"/>
    <w:rsid w:val="00EA205B"/>
    <w:rsid w:val="00EA20FA"/>
    <w:rsid w:val="00EA4582"/>
    <w:rsid w:val="00EA4907"/>
    <w:rsid w:val="00EA4974"/>
    <w:rsid w:val="00EA4A2E"/>
    <w:rsid w:val="00EA5618"/>
    <w:rsid w:val="00EA56B3"/>
    <w:rsid w:val="00EA6303"/>
    <w:rsid w:val="00EA66CD"/>
    <w:rsid w:val="00EA6872"/>
    <w:rsid w:val="00EA6B90"/>
    <w:rsid w:val="00EA6EA1"/>
    <w:rsid w:val="00EA7A0F"/>
    <w:rsid w:val="00EB04B5"/>
    <w:rsid w:val="00EB0F0D"/>
    <w:rsid w:val="00EB1073"/>
    <w:rsid w:val="00EB199B"/>
    <w:rsid w:val="00EB210B"/>
    <w:rsid w:val="00EB269D"/>
    <w:rsid w:val="00EB2979"/>
    <w:rsid w:val="00EB39F9"/>
    <w:rsid w:val="00EB3BCE"/>
    <w:rsid w:val="00EB3C82"/>
    <w:rsid w:val="00EB3E3A"/>
    <w:rsid w:val="00EB47E5"/>
    <w:rsid w:val="00EB537C"/>
    <w:rsid w:val="00EB53A3"/>
    <w:rsid w:val="00EB5877"/>
    <w:rsid w:val="00EB5BA4"/>
    <w:rsid w:val="00EB5CAD"/>
    <w:rsid w:val="00EB621E"/>
    <w:rsid w:val="00EB65A1"/>
    <w:rsid w:val="00EB6633"/>
    <w:rsid w:val="00EB684B"/>
    <w:rsid w:val="00EB6AA5"/>
    <w:rsid w:val="00EB7939"/>
    <w:rsid w:val="00EB7C89"/>
    <w:rsid w:val="00EC0DD2"/>
    <w:rsid w:val="00EC0E73"/>
    <w:rsid w:val="00EC0F63"/>
    <w:rsid w:val="00EC1543"/>
    <w:rsid w:val="00EC1930"/>
    <w:rsid w:val="00EC23B5"/>
    <w:rsid w:val="00EC2C2F"/>
    <w:rsid w:val="00EC2CF2"/>
    <w:rsid w:val="00EC3159"/>
    <w:rsid w:val="00EC323A"/>
    <w:rsid w:val="00EC34E3"/>
    <w:rsid w:val="00EC3D4A"/>
    <w:rsid w:val="00EC4820"/>
    <w:rsid w:val="00EC5DD1"/>
    <w:rsid w:val="00EC6830"/>
    <w:rsid w:val="00EC70F7"/>
    <w:rsid w:val="00EC7C78"/>
    <w:rsid w:val="00EC7EB7"/>
    <w:rsid w:val="00ED053F"/>
    <w:rsid w:val="00ED0DE8"/>
    <w:rsid w:val="00ED1925"/>
    <w:rsid w:val="00ED1A2D"/>
    <w:rsid w:val="00ED241C"/>
    <w:rsid w:val="00ED28D4"/>
    <w:rsid w:val="00ED2F2E"/>
    <w:rsid w:val="00ED2F32"/>
    <w:rsid w:val="00ED3319"/>
    <w:rsid w:val="00ED3A50"/>
    <w:rsid w:val="00ED3CFE"/>
    <w:rsid w:val="00ED3E46"/>
    <w:rsid w:val="00ED456E"/>
    <w:rsid w:val="00ED46D7"/>
    <w:rsid w:val="00ED4E9D"/>
    <w:rsid w:val="00ED542F"/>
    <w:rsid w:val="00ED6A8D"/>
    <w:rsid w:val="00ED6B2E"/>
    <w:rsid w:val="00ED710B"/>
    <w:rsid w:val="00ED7133"/>
    <w:rsid w:val="00EE11F8"/>
    <w:rsid w:val="00EE224B"/>
    <w:rsid w:val="00EE27E2"/>
    <w:rsid w:val="00EE2819"/>
    <w:rsid w:val="00EE2C81"/>
    <w:rsid w:val="00EE2EC4"/>
    <w:rsid w:val="00EE38B4"/>
    <w:rsid w:val="00EE392A"/>
    <w:rsid w:val="00EE3F23"/>
    <w:rsid w:val="00EE5921"/>
    <w:rsid w:val="00EE59ED"/>
    <w:rsid w:val="00EE6168"/>
    <w:rsid w:val="00EE6853"/>
    <w:rsid w:val="00EE6BD8"/>
    <w:rsid w:val="00EE6C9F"/>
    <w:rsid w:val="00EE79BC"/>
    <w:rsid w:val="00EE7E5F"/>
    <w:rsid w:val="00EF00D9"/>
    <w:rsid w:val="00EF02B0"/>
    <w:rsid w:val="00EF04B9"/>
    <w:rsid w:val="00EF067D"/>
    <w:rsid w:val="00EF105D"/>
    <w:rsid w:val="00EF16C3"/>
    <w:rsid w:val="00EF1824"/>
    <w:rsid w:val="00EF201C"/>
    <w:rsid w:val="00EF24F5"/>
    <w:rsid w:val="00EF251D"/>
    <w:rsid w:val="00EF2565"/>
    <w:rsid w:val="00EF27D0"/>
    <w:rsid w:val="00EF28B1"/>
    <w:rsid w:val="00EF2DE8"/>
    <w:rsid w:val="00EF32F6"/>
    <w:rsid w:val="00EF4580"/>
    <w:rsid w:val="00EF539F"/>
    <w:rsid w:val="00EF5C32"/>
    <w:rsid w:val="00EF6600"/>
    <w:rsid w:val="00EF662C"/>
    <w:rsid w:val="00EF6928"/>
    <w:rsid w:val="00EF7AE2"/>
    <w:rsid w:val="00F016E4"/>
    <w:rsid w:val="00F01B75"/>
    <w:rsid w:val="00F0245D"/>
    <w:rsid w:val="00F0268A"/>
    <w:rsid w:val="00F03C06"/>
    <w:rsid w:val="00F04097"/>
    <w:rsid w:val="00F045E2"/>
    <w:rsid w:val="00F05409"/>
    <w:rsid w:val="00F059B9"/>
    <w:rsid w:val="00F06448"/>
    <w:rsid w:val="00F0689B"/>
    <w:rsid w:val="00F06C5A"/>
    <w:rsid w:val="00F06E52"/>
    <w:rsid w:val="00F06F62"/>
    <w:rsid w:val="00F07EC3"/>
    <w:rsid w:val="00F100E0"/>
    <w:rsid w:val="00F10625"/>
    <w:rsid w:val="00F1079D"/>
    <w:rsid w:val="00F11209"/>
    <w:rsid w:val="00F11C39"/>
    <w:rsid w:val="00F11CEB"/>
    <w:rsid w:val="00F1248F"/>
    <w:rsid w:val="00F1264C"/>
    <w:rsid w:val="00F1327D"/>
    <w:rsid w:val="00F13573"/>
    <w:rsid w:val="00F13B7A"/>
    <w:rsid w:val="00F14060"/>
    <w:rsid w:val="00F14673"/>
    <w:rsid w:val="00F1469A"/>
    <w:rsid w:val="00F1480E"/>
    <w:rsid w:val="00F149A3"/>
    <w:rsid w:val="00F15443"/>
    <w:rsid w:val="00F1575F"/>
    <w:rsid w:val="00F15BD1"/>
    <w:rsid w:val="00F161F9"/>
    <w:rsid w:val="00F1677E"/>
    <w:rsid w:val="00F16E82"/>
    <w:rsid w:val="00F1767B"/>
    <w:rsid w:val="00F1784C"/>
    <w:rsid w:val="00F17CF5"/>
    <w:rsid w:val="00F200EA"/>
    <w:rsid w:val="00F20E6E"/>
    <w:rsid w:val="00F211C1"/>
    <w:rsid w:val="00F21EEB"/>
    <w:rsid w:val="00F2227D"/>
    <w:rsid w:val="00F22A44"/>
    <w:rsid w:val="00F23077"/>
    <w:rsid w:val="00F234F2"/>
    <w:rsid w:val="00F25592"/>
    <w:rsid w:val="00F25F15"/>
    <w:rsid w:val="00F26877"/>
    <w:rsid w:val="00F27BD9"/>
    <w:rsid w:val="00F30013"/>
    <w:rsid w:val="00F30562"/>
    <w:rsid w:val="00F30CB3"/>
    <w:rsid w:val="00F30E40"/>
    <w:rsid w:val="00F3163A"/>
    <w:rsid w:val="00F31A97"/>
    <w:rsid w:val="00F320EB"/>
    <w:rsid w:val="00F3231E"/>
    <w:rsid w:val="00F32530"/>
    <w:rsid w:val="00F32E30"/>
    <w:rsid w:val="00F3312F"/>
    <w:rsid w:val="00F3344A"/>
    <w:rsid w:val="00F335B5"/>
    <w:rsid w:val="00F3372C"/>
    <w:rsid w:val="00F33FEC"/>
    <w:rsid w:val="00F345BB"/>
    <w:rsid w:val="00F35842"/>
    <w:rsid w:val="00F36501"/>
    <w:rsid w:val="00F3664B"/>
    <w:rsid w:val="00F36694"/>
    <w:rsid w:val="00F36CD4"/>
    <w:rsid w:val="00F3767D"/>
    <w:rsid w:val="00F40360"/>
    <w:rsid w:val="00F4093E"/>
    <w:rsid w:val="00F40C8A"/>
    <w:rsid w:val="00F4170C"/>
    <w:rsid w:val="00F41879"/>
    <w:rsid w:val="00F419B1"/>
    <w:rsid w:val="00F41CFF"/>
    <w:rsid w:val="00F42010"/>
    <w:rsid w:val="00F4243B"/>
    <w:rsid w:val="00F42646"/>
    <w:rsid w:val="00F42EA6"/>
    <w:rsid w:val="00F43598"/>
    <w:rsid w:val="00F43A0D"/>
    <w:rsid w:val="00F44038"/>
    <w:rsid w:val="00F45BBF"/>
    <w:rsid w:val="00F4667C"/>
    <w:rsid w:val="00F46963"/>
    <w:rsid w:val="00F47047"/>
    <w:rsid w:val="00F50392"/>
    <w:rsid w:val="00F50828"/>
    <w:rsid w:val="00F50906"/>
    <w:rsid w:val="00F50AA7"/>
    <w:rsid w:val="00F5101E"/>
    <w:rsid w:val="00F52798"/>
    <w:rsid w:val="00F53002"/>
    <w:rsid w:val="00F53C02"/>
    <w:rsid w:val="00F54714"/>
    <w:rsid w:val="00F54B91"/>
    <w:rsid w:val="00F54BA2"/>
    <w:rsid w:val="00F55175"/>
    <w:rsid w:val="00F558D4"/>
    <w:rsid w:val="00F55FFC"/>
    <w:rsid w:val="00F56F60"/>
    <w:rsid w:val="00F577C6"/>
    <w:rsid w:val="00F57800"/>
    <w:rsid w:val="00F603F5"/>
    <w:rsid w:val="00F6185D"/>
    <w:rsid w:val="00F61E12"/>
    <w:rsid w:val="00F62238"/>
    <w:rsid w:val="00F62391"/>
    <w:rsid w:val="00F62A2D"/>
    <w:rsid w:val="00F63A0E"/>
    <w:rsid w:val="00F642E8"/>
    <w:rsid w:val="00F6463A"/>
    <w:rsid w:val="00F64954"/>
    <w:rsid w:val="00F64B72"/>
    <w:rsid w:val="00F64FC3"/>
    <w:rsid w:val="00F65A96"/>
    <w:rsid w:val="00F65B4B"/>
    <w:rsid w:val="00F66F43"/>
    <w:rsid w:val="00F7113A"/>
    <w:rsid w:val="00F7132A"/>
    <w:rsid w:val="00F721EA"/>
    <w:rsid w:val="00F72B0E"/>
    <w:rsid w:val="00F72BF8"/>
    <w:rsid w:val="00F72D40"/>
    <w:rsid w:val="00F72F42"/>
    <w:rsid w:val="00F731D2"/>
    <w:rsid w:val="00F736AF"/>
    <w:rsid w:val="00F736F8"/>
    <w:rsid w:val="00F73A5D"/>
    <w:rsid w:val="00F73C9D"/>
    <w:rsid w:val="00F73E94"/>
    <w:rsid w:val="00F74D09"/>
    <w:rsid w:val="00F74FA0"/>
    <w:rsid w:val="00F75320"/>
    <w:rsid w:val="00F756F1"/>
    <w:rsid w:val="00F757DF"/>
    <w:rsid w:val="00F75913"/>
    <w:rsid w:val="00F76030"/>
    <w:rsid w:val="00F76222"/>
    <w:rsid w:val="00F76D63"/>
    <w:rsid w:val="00F77748"/>
    <w:rsid w:val="00F77E2A"/>
    <w:rsid w:val="00F8050A"/>
    <w:rsid w:val="00F80C8A"/>
    <w:rsid w:val="00F81169"/>
    <w:rsid w:val="00F81852"/>
    <w:rsid w:val="00F819D7"/>
    <w:rsid w:val="00F82251"/>
    <w:rsid w:val="00F82588"/>
    <w:rsid w:val="00F83339"/>
    <w:rsid w:val="00F83651"/>
    <w:rsid w:val="00F83660"/>
    <w:rsid w:val="00F847D1"/>
    <w:rsid w:val="00F84CA9"/>
    <w:rsid w:val="00F85A8A"/>
    <w:rsid w:val="00F85E5F"/>
    <w:rsid w:val="00F8681C"/>
    <w:rsid w:val="00F8690B"/>
    <w:rsid w:val="00F86C07"/>
    <w:rsid w:val="00F8714E"/>
    <w:rsid w:val="00F87671"/>
    <w:rsid w:val="00F87A7C"/>
    <w:rsid w:val="00F90A06"/>
    <w:rsid w:val="00F912FF"/>
    <w:rsid w:val="00F92E4A"/>
    <w:rsid w:val="00F93C2D"/>
    <w:rsid w:val="00F9431A"/>
    <w:rsid w:val="00F94CF3"/>
    <w:rsid w:val="00F957C9"/>
    <w:rsid w:val="00F96182"/>
    <w:rsid w:val="00F963DA"/>
    <w:rsid w:val="00F9643D"/>
    <w:rsid w:val="00F9658B"/>
    <w:rsid w:val="00F967F7"/>
    <w:rsid w:val="00FA0D6C"/>
    <w:rsid w:val="00FA106A"/>
    <w:rsid w:val="00FA1F78"/>
    <w:rsid w:val="00FA2038"/>
    <w:rsid w:val="00FA20B1"/>
    <w:rsid w:val="00FA2240"/>
    <w:rsid w:val="00FA27B3"/>
    <w:rsid w:val="00FA343C"/>
    <w:rsid w:val="00FA5B44"/>
    <w:rsid w:val="00FA6220"/>
    <w:rsid w:val="00FA68B5"/>
    <w:rsid w:val="00FA6E3B"/>
    <w:rsid w:val="00FA7753"/>
    <w:rsid w:val="00FA77BD"/>
    <w:rsid w:val="00FA7D8F"/>
    <w:rsid w:val="00FB06B8"/>
    <w:rsid w:val="00FB0D75"/>
    <w:rsid w:val="00FB13CA"/>
    <w:rsid w:val="00FB188E"/>
    <w:rsid w:val="00FB20FB"/>
    <w:rsid w:val="00FB21C9"/>
    <w:rsid w:val="00FB240E"/>
    <w:rsid w:val="00FB280F"/>
    <w:rsid w:val="00FB3415"/>
    <w:rsid w:val="00FB35FD"/>
    <w:rsid w:val="00FB44B4"/>
    <w:rsid w:val="00FB5AF6"/>
    <w:rsid w:val="00FB5E5B"/>
    <w:rsid w:val="00FB674F"/>
    <w:rsid w:val="00FB791F"/>
    <w:rsid w:val="00FB7943"/>
    <w:rsid w:val="00FB7C6D"/>
    <w:rsid w:val="00FB7F47"/>
    <w:rsid w:val="00FC197D"/>
    <w:rsid w:val="00FC1A59"/>
    <w:rsid w:val="00FC1B2C"/>
    <w:rsid w:val="00FC2034"/>
    <w:rsid w:val="00FC247E"/>
    <w:rsid w:val="00FC2DF9"/>
    <w:rsid w:val="00FC317E"/>
    <w:rsid w:val="00FC3FA0"/>
    <w:rsid w:val="00FC49E2"/>
    <w:rsid w:val="00FC503A"/>
    <w:rsid w:val="00FC58F4"/>
    <w:rsid w:val="00FC630C"/>
    <w:rsid w:val="00FC6452"/>
    <w:rsid w:val="00FC6D9B"/>
    <w:rsid w:val="00FC6FB3"/>
    <w:rsid w:val="00FC7517"/>
    <w:rsid w:val="00FC7661"/>
    <w:rsid w:val="00FC77EA"/>
    <w:rsid w:val="00FC799F"/>
    <w:rsid w:val="00FD0020"/>
    <w:rsid w:val="00FD0637"/>
    <w:rsid w:val="00FD11D9"/>
    <w:rsid w:val="00FD11F8"/>
    <w:rsid w:val="00FD1613"/>
    <w:rsid w:val="00FD16AB"/>
    <w:rsid w:val="00FD2229"/>
    <w:rsid w:val="00FD2812"/>
    <w:rsid w:val="00FD36F8"/>
    <w:rsid w:val="00FD4326"/>
    <w:rsid w:val="00FD4BC6"/>
    <w:rsid w:val="00FD5C7D"/>
    <w:rsid w:val="00FD6A99"/>
    <w:rsid w:val="00FD733E"/>
    <w:rsid w:val="00FD798A"/>
    <w:rsid w:val="00FE03F1"/>
    <w:rsid w:val="00FE098C"/>
    <w:rsid w:val="00FE0AF5"/>
    <w:rsid w:val="00FE0D21"/>
    <w:rsid w:val="00FE162B"/>
    <w:rsid w:val="00FE21E9"/>
    <w:rsid w:val="00FE25D9"/>
    <w:rsid w:val="00FE2952"/>
    <w:rsid w:val="00FE2D16"/>
    <w:rsid w:val="00FE2F77"/>
    <w:rsid w:val="00FE31B2"/>
    <w:rsid w:val="00FE3480"/>
    <w:rsid w:val="00FE3716"/>
    <w:rsid w:val="00FE3ABE"/>
    <w:rsid w:val="00FE3BFE"/>
    <w:rsid w:val="00FE4D74"/>
    <w:rsid w:val="00FE4D95"/>
    <w:rsid w:val="00FE559F"/>
    <w:rsid w:val="00FE5CD6"/>
    <w:rsid w:val="00FE7473"/>
    <w:rsid w:val="00FE779B"/>
    <w:rsid w:val="00FF0CD1"/>
    <w:rsid w:val="00FF14A6"/>
    <w:rsid w:val="00FF33A9"/>
    <w:rsid w:val="00FF3582"/>
    <w:rsid w:val="00FF380B"/>
    <w:rsid w:val="00FF3907"/>
    <w:rsid w:val="00FF3BC9"/>
    <w:rsid w:val="00FF4F68"/>
    <w:rsid w:val="00FF5044"/>
    <w:rsid w:val="00FF52A9"/>
    <w:rsid w:val="00FF52DE"/>
    <w:rsid w:val="00FF565C"/>
    <w:rsid w:val="00FF58A0"/>
    <w:rsid w:val="00FF5F0C"/>
    <w:rsid w:val="00FF601C"/>
    <w:rsid w:val="00FF64BE"/>
    <w:rsid w:val="00FF6E2B"/>
    <w:rsid w:val="00FF70B5"/>
    <w:rsid w:val="00FF7189"/>
    <w:rsid w:val="00FF7721"/>
    <w:rsid w:val="00FF7F30"/>
    <w:rsid w:val="011A11A4"/>
    <w:rsid w:val="014B5B44"/>
    <w:rsid w:val="018C5F7F"/>
    <w:rsid w:val="01BC28E7"/>
    <w:rsid w:val="01BE4069"/>
    <w:rsid w:val="01BE5800"/>
    <w:rsid w:val="01DF54E4"/>
    <w:rsid w:val="01E46F65"/>
    <w:rsid w:val="01EE1EFC"/>
    <w:rsid w:val="025A7081"/>
    <w:rsid w:val="02E536DD"/>
    <w:rsid w:val="031506E1"/>
    <w:rsid w:val="03433F84"/>
    <w:rsid w:val="034F11C2"/>
    <w:rsid w:val="03854DBD"/>
    <w:rsid w:val="03BB6210"/>
    <w:rsid w:val="03C56925"/>
    <w:rsid w:val="03D36D1F"/>
    <w:rsid w:val="03F06C42"/>
    <w:rsid w:val="041B3357"/>
    <w:rsid w:val="049513E0"/>
    <w:rsid w:val="04AD789B"/>
    <w:rsid w:val="04C34346"/>
    <w:rsid w:val="04E30437"/>
    <w:rsid w:val="05726804"/>
    <w:rsid w:val="05AD70FE"/>
    <w:rsid w:val="05F41FAA"/>
    <w:rsid w:val="063B78DC"/>
    <w:rsid w:val="06507266"/>
    <w:rsid w:val="06791CB3"/>
    <w:rsid w:val="06CD5507"/>
    <w:rsid w:val="06EB2DC7"/>
    <w:rsid w:val="07177C01"/>
    <w:rsid w:val="076E0F6D"/>
    <w:rsid w:val="076F59D4"/>
    <w:rsid w:val="07921501"/>
    <w:rsid w:val="07E84F31"/>
    <w:rsid w:val="08283BC2"/>
    <w:rsid w:val="0839529D"/>
    <w:rsid w:val="09104908"/>
    <w:rsid w:val="091F2D9D"/>
    <w:rsid w:val="09974C33"/>
    <w:rsid w:val="09B71760"/>
    <w:rsid w:val="09B82947"/>
    <w:rsid w:val="09D8654B"/>
    <w:rsid w:val="09EA4947"/>
    <w:rsid w:val="0A59408D"/>
    <w:rsid w:val="0A850077"/>
    <w:rsid w:val="0AC12E12"/>
    <w:rsid w:val="0AD2112B"/>
    <w:rsid w:val="0BF958C7"/>
    <w:rsid w:val="0C32764F"/>
    <w:rsid w:val="0C3F3332"/>
    <w:rsid w:val="0C5A09A9"/>
    <w:rsid w:val="0CB26704"/>
    <w:rsid w:val="0CDB719E"/>
    <w:rsid w:val="0D9E2E85"/>
    <w:rsid w:val="0E00004B"/>
    <w:rsid w:val="0E0812B7"/>
    <w:rsid w:val="0E1002EC"/>
    <w:rsid w:val="0EAA797E"/>
    <w:rsid w:val="0EAB6A73"/>
    <w:rsid w:val="0F4D0707"/>
    <w:rsid w:val="0FBA2A45"/>
    <w:rsid w:val="0FC3106C"/>
    <w:rsid w:val="0FC41654"/>
    <w:rsid w:val="0FCE749C"/>
    <w:rsid w:val="0FDE7285"/>
    <w:rsid w:val="0FEC6F22"/>
    <w:rsid w:val="102A3FB6"/>
    <w:rsid w:val="10721C05"/>
    <w:rsid w:val="11001AA9"/>
    <w:rsid w:val="118C2ED5"/>
    <w:rsid w:val="11A010E5"/>
    <w:rsid w:val="11A93E36"/>
    <w:rsid w:val="11B83D31"/>
    <w:rsid w:val="12160FAA"/>
    <w:rsid w:val="12243AF9"/>
    <w:rsid w:val="12795B29"/>
    <w:rsid w:val="12F62B63"/>
    <w:rsid w:val="13696837"/>
    <w:rsid w:val="13B31AEC"/>
    <w:rsid w:val="13FE3FBA"/>
    <w:rsid w:val="140E1568"/>
    <w:rsid w:val="14404369"/>
    <w:rsid w:val="14714AA0"/>
    <w:rsid w:val="14D7122C"/>
    <w:rsid w:val="14DC5FE6"/>
    <w:rsid w:val="14EA5349"/>
    <w:rsid w:val="158847C9"/>
    <w:rsid w:val="15A41023"/>
    <w:rsid w:val="16595E44"/>
    <w:rsid w:val="16931FE8"/>
    <w:rsid w:val="1726324F"/>
    <w:rsid w:val="173C56DA"/>
    <w:rsid w:val="175D674F"/>
    <w:rsid w:val="178766DD"/>
    <w:rsid w:val="17987343"/>
    <w:rsid w:val="17CD2550"/>
    <w:rsid w:val="17CF4DAE"/>
    <w:rsid w:val="18114189"/>
    <w:rsid w:val="18671C71"/>
    <w:rsid w:val="18784728"/>
    <w:rsid w:val="18AA2E23"/>
    <w:rsid w:val="18B14D58"/>
    <w:rsid w:val="18D712BE"/>
    <w:rsid w:val="18F06F2D"/>
    <w:rsid w:val="19146D13"/>
    <w:rsid w:val="192B584F"/>
    <w:rsid w:val="19661307"/>
    <w:rsid w:val="19AD7F51"/>
    <w:rsid w:val="19BD4AB6"/>
    <w:rsid w:val="1A172581"/>
    <w:rsid w:val="1ADE23E1"/>
    <w:rsid w:val="1B283FA0"/>
    <w:rsid w:val="1B3E0506"/>
    <w:rsid w:val="1B6A6383"/>
    <w:rsid w:val="1BA50D14"/>
    <w:rsid w:val="1BA677E7"/>
    <w:rsid w:val="1BA67CD5"/>
    <w:rsid w:val="1C0748A3"/>
    <w:rsid w:val="1C091C16"/>
    <w:rsid w:val="1C0F5E7D"/>
    <w:rsid w:val="1C326CFA"/>
    <w:rsid w:val="1C625D30"/>
    <w:rsid w:val="1C7671E3"/>
    <w:rsid w:val="1C777601"/>
    <w:rsid w:val="1C7C3C41"/>
    <w:rsid w:val="1C8A493E"/>
    <w:rsid w:val="1CA7512B"/>
    <w:rsid w:val="1CCB6998"/>
    <w:rsid w:val="1CD6623F"/>
    <w:rsid w:val="1CD80091"/>
    <w:rsid w:val="1CE423BC"/>
    <w:rsid w:val="1CF90898"/>
    <w:rsid w:val="1CFA0FE7"/>
    <w:rsid w:val="1D4660B9"/>
    <w:rsid w:val="1D8C69C4"/>
    <w:rsid w:val="1DB44AA7"/>
    <w:rsid w:val="1E1C7C6C"/>
    <w:rsid w:val="1E3E73CA"/>
    <w:rsid w:val="1E4B558D"/>
    <w:rsid w:val="1E745C54"/>
    <w:rsid w:val="1E786F00"/>
    <w:rsid w:val="1E79566B"/>
    <w:rsid w:val="1EBB34DD"/>
    <w:rsid w:val="1EE77EB3"/>
    <w:rsid w:val="1F1F65F5"/>
    <w:rsid w:val="1F343C02"/>
    <w:rsid w:val="1F343DCF"/>
    <w:rsid w:val="1F3D627E"/>
    <w:rsid w:val="1F841754"/>
    <w:rsid w:val="1FA33080"/>
    <w:rsid w:val="1FAA65AC"/>
    <w:rsid w:val="1FAC7E53"/>
    <w:rsid w:val="20517FE3"/>
    <w:rsid w:val="20B16579"/>
    <w:rsid w:val="20B86F0B"/>
    <w:rsid w:val="20CE2C18"/>
    <w:rsid w:val="20E00C0C"/>
    <w:rsid w:val="210466A8"/>
    <w:rsid w:val="217559CD"/>
    <w:rsid w:val="217C1DAF"/>
    <w:rsid w:val="218220DE"/>
    <w:rsid w:val="21A6088D"/>
    <w:rsid w:val="222C76C6"/>
    <w:rsid w:val="22466CF3"/>
    <w:rsid w:val="22576B59"/>
    <w:rsid w:val="22883309"/>
    <w:rsid w:val="22A344E7"/>
    <w:rsid w:val="22DE3197"/>
    <w:rsid w:val="230E0741"/>
    <w:rsid w:val="23135810"/>
    <w:rsid w:val="235414DB"/>
    <w:rsid w:val="23597F78"/>
    <w:rsid w:val="238D3524"/>
    <w:rsid w:val="239F6FB1"/>
    <w:rsid w:val="23F63E16"/>
    <w:rsid w:val="24016243"/>
    <w:rsid w:val="243A32C2"/>
    <w:rsid w:val="24803B0D"/>
    <w:rsid w:val="24A059D5"/>
    <w:rsid w:val="25093A3B"/>
    <w:rsid w:val="25236D0D"/>
    <w:rsid w:val="252F645D"/>
    <w:rsid w:val="25827F8A"/>
    <w:rsid w:val="258858A9"/>
    <w:rsid w:val="258D4014"/>
    <w:rsid w:val="25C343CF"/>
    <w:rsid w:val="25FA5B38"/>
    <w:rsid w:val="264B4D7A"/>
    <w:rsid w:val="265D1C24"/>
    <w:rsid w:val="26757E2C"/>
    <w:rsid w:val="26790701"/>
    <w:rsid w:val="26D71813"/>
    <w:rsid w:val="273508EE"/>
    <w:rsid w:val="27361586"/>
    <w:rsid w:val="27483692"/>
    <w:rsid w:val="275B0FEC"/>
    <w:rsid w:val="276F6E45"/>
    <w:rsid w:val="278066D7"/>
    <w:rsid w:val="27827B0F"/>
    <w:rsid w:val="27886287"/>
    <w:rsid w:val="27CC3116"/>
    <w:rsid w:val="27F53526"/>
    <w:rsid w:val="27FA5E76"/>
    <w:rsid w:val="283219A8"/>
    <w:rsid w:val="28690FE5"/>
    <w:rsid w:val="28762FE2"/>
    <w:rsid w:val="288E2BD2"/>
    <w:rsid w:val="28911B25"/>
    <w:rsid w:val="28CF2F29"/>
    <w:rsid w:val="28DC50AB"/>
    <w:rsid w:val="28E55271"/>
    <w:rsid w:val="2923374B"/>
    <w:rsid w:val="296C2B2B"/>
    <w:rsid w:val="29BD796F"/>
    <w:rsid w:val="2A1A3FB7"/>
    <w:rsid w:val="2A400B83"/>
    <w:rsid w:val="2A580CB2"/>
    <w:rsid w:val="2A73426C"/>
    <w:rsid w:val="2AAC3644"/>
    <w:rsid w:val="2ACD3FAF"/>
    <w:rsid w:val="2AF45374"/>
    <w:rsid w:val="2B2646C8"/>
    <w:rsid w:val="2B3E4349"/>
    <w:rsid w:val="2B7F5698"/>
    <w:rsid w:val="2B8946FF"/>
    <w:rsid w:val="2C0A4741"/>
    <w:rsid w:val="2C4838CE"/>
    <w:rsid w:val="2CAB6572"/>
    <w:rsid w:val="2CB8722B"/>
    <w:rsid w:val="2CC859B2"/>
    <w:rsid w:val="2CE77A69"/>
    <w:rsid w:val="2CF86E08"/>
    <w:rsid w:val="2D0B6F77"/>
    <w:rsid w:val="2D1C7E93"/>
    <w:rsid w:val="2D1E0582"/>
    <w:rsid w:val="2D3B3FF4"/>
    <w:rsid w:val="2D9B15EF"/>
    <w:rsid w:val="2DB47AC5"/>
    <w:rsid w:val="2E300F24"/>
    <w:rsid w:val="2E304308"/>
    <w:rsid w:val="2E7B1F74"/>
    <w:rsid w:val="2EB26D79"/>
    <w:rsid w:val="2F576681"/>
    <w:rsid w:val="2F7145F4"/>
    <w:rsid w:val="30580298"/>
    <w:rsid w:val="30646F90"/>
    <w:rsid w:val="30CB0402"/>
    <w:rsid w:val="30E7363B"/>
    <w:rsid w:val="31106014"/>
    <w:rsid w:val="31231E7A"/>
    <w:rsid w:val="31486886"/>
    <w:rsid w:val="31C00631"/>
    <w:rsid w:val="32344A28"/>
    <w:rsid w:val="324D2681"/>
    <w:rsid w:val="329B47DC"/>
    <w:rsid w:val="32E367A8"/>
    <w:rsid w:val="32F51DE3"/>
    <w:rsid w:val="33213874"/>
    <w:rsid w:val="33721B98"/>
    <w:rsid w:val="341615CD"/>
    <w:rsid w:val="342909D3"/>
    <w:rsid w:val="34457450"/>
    <w:rsid w:val="34914882"/>
    <w:rsid w:val="34AF3F03"/>
    <w:rsid w:val="35373F98"/>
    <w:rsid w:val="35845BB2"/>
    <w:rsid w:val="359A6E71"/>
    <w:rsid w:val="359D398D"/>
    <w:rsid w:val="35B0680E"/>
    <w:rsid w:val="35C506A4"/>
    <w:rsid w:val="363B7932"/>
    <w:rsid w:val="3667741D"/>
    <w:rsid w:val="36804F39"/>
    <w:rsid w:val="36AF1CE9"/>
    <w:rsid w:val="36BA6964"/>
    <w:rsid w:val="36C64B20"/>
    <w:rsid w:val="36D15C2A"/>
    <w:rsid w:val="36D7051C"/>
    <w:rsid w:val="36FA4BBC"/>
    <w:rsid w:val="371B42F4"/>
    <w:rsid w:val="371D61FE"/>
    <w:rsid w:val="374B5AC3"/>
    <w:rsid w:val="375E18B4"/>
    <w:rsid w:val="37733277"/>
    <w:rsid w:val="377F7586"/>
    <w:rsid w:val="379E6FC8"/>
    <w:rsid w:val="379F2ED0"/>
    <w:rsid w:val="37EB4622"/>
    <w:rsid w:val="38187E4F"/>
    <w:rsid w:val="3820445B"/>
    <w:rsid w:val="38210467"/>
    <w:rsid w:val="38401B73"/>
    <w:rsid w:val="384B1D2A"/>
    <w:rsid w:val="384C75ED"/>
    <w:rsid w:val="38832151"/>
    <w:rsid w:val="389F5A9B"/>
    <w:rsid w:val="38BE1E38"/>
    <w:rsid w:val="38CB5869"/>
    <w:rsid w:val="393B2354"/>
    <w:rsid w:val="39780BBB"/>
    <w:rsid w:val="39D001E5"/>
    <w:rsid w:val="39D617F2"/>
    <w:rsid w:val="39FD3633"/>
    <w:rsid w:val="3A1D6953"/>
    <w:rsid w:val="3A446A7E"/>
    <w:rsid w:val="3B040569"/>
    <w:rsid w:val="3B0E1700"/>
    <w:rsid w:val="3B731AB5"/>
    <w:rsid w:val="3B833738"/>
    <w:rsid w:val="3B874762"/>
    <w:rsid w:val="3B981440"/>
    <w:rsid w:val="3C2527C5"/>
    <w:rsid w:val="3C276692"/>
    <w:rsid w:val="3C5C5A17"/>
    <w:rsid w:val="3C846F33"/>
    <w:rsid w:val="3D421B01"/>
    <w:rsid w:val="3D6C70F8"/>
    <w:rsid w:val="3D6F75C9"/>
    <w:rsid w:val="3DD30C47"/>
    <w:rsid w:val="3DE90F01"/>
    <w:rsid w:val="3E266E35"/>
    <w:rsid w:val="3E9426DD"/>
    <w:rsid w:val="3F7212C1"/>
    <w:rsid w:val="3F7F04D5"/>
    <w:rsid w:val="3FED2FED"/>
    <w:rsid w:val="3FFC3D08"/>
    <w:rsid w:val="401945D4"/>
    <w:rsid w:val="405F66A4"/>
    <w:rsid w:val="40A005F0"/>
    <w:rsid w:val="410127AD"/>
    <w:rsid w:val="415D5357"/>
    <w:rsid w:val="416C142E"/>
    <w:rsid w:val="417E1386"/>
    <w:rsid w:val="422B6BF4"/>
    <w:rsid w:val="42307171"/>
    <w:rsid w:val="42347713"/>
    <w:rsid w:val="42EF585A"/>
    <w:rsid w:val="42F833AC"/>
    <w:rsid w:val="430B4389"/>
    <w:rsid w:val="43B00A8F"/>
    <w:rsid w:val="442619BB"/>
    <w:rsid w:val="44A6491E"/>
    <w:rsid w:val="450D0C9B"/>
    <w:rsid w:val="4541394E"/>
    <w:rsid w:val="45511B47"/>
    <w:rsid w:val="45522AB4"/>
    <w:rsid w:val="45A15DDB"/>
    <w:rsid w:val="45B22926"/>
    <w:rsid w:val="45CC22E1"/>
    <w:rsid w:val="463E25F1"/>
    <w:rsid w:val="4681712C"/>
    <w:rsid w:val="468B6718"/>
    <w:rsid w:val="46A31E28"/>
    <w:rsid w:val="472B5E38"/>
    <w:rsid w:val="473B23EB"/>
    <w:rsid w:val="47633200"/>
    <w:rsid w:val="476C53A1"/>
    <w:rsid w:val="47B32EAB"/>
    <w:rsid w:val="47BB24C6"/>
    <w:rsid w:val="47C40E8C"/>
    <w:rsid w:val="47EB385A"/>
    <w:rsid w:val="47FF0510"/>
    <w:rsid w:val="48557733"/>
    <w:rsid w:val="48B1218F"/>
    <w:rsid w:val="48B14AB0"/>
    <w:rsid w:val="48D6123C"/>
    <w:rsid w:val="49150F51"/>
    <w:rsid w:val="49480BD4"/>
    <w:rsid w:val="499F04DF"/>
    <w:rsid w:val="49CB3BFF"/>
    <w:rsid w:val="4A11580F"/>
    <w:rsid w:val="4A56432B"/>
    <w:rsid w:val="4AA4619B"/>
    <w:rsid w:val="4AD52CE0"/>
    <w:rsid w:val="4B284D77"/>
    <w:rsid w:val="4BEC1507"/>
    <w:rsid w:val="4C421DAA"/>
    <w:rsid w:val="4C4D68A6"/>
    <w:rsid w:val="4C7142F0"/>
    <w:rsid w:val="4C7E06ED"/>
    <w:rsid w:val="4CD363C9"/>
    <w:rsid w:val="4CD64AED"/>
    <w:rsid w:val="4CFF0D3B"/>
    <w:rsid w:val="4D2E18C1"/>
    <w:rsid w:val="4D7F6702"/>
    <w:rsid w:val="4D8E608C"/>
    <w:rsid w:val="4D981DA3"/>
    <w:rsid w:val="4DB51A36"/>
    <w:rsid w:val="4E8F1367"/>
    <w:rsid w:val="4F123950"/>
    <w:rsid w:val="4F134C73"/>
    <w:rsid w:val="4F5F7181"/>
    <w:rsid w:val="4F9A2104"/>
    <w:rsid w:val="506375CD"/>
    <w:rsid w:val="507519D9"/>
    <w:rsid w:val="508D043B"/>
    <w:rsid w:val="508D2FE6"/>
    <w:rsid w:val="50D7196A"/>
    <w:rsid w:val="50EC442B"/>
    <w:rsid w:val="510A67DD"/>
    <w:rsid w:val="52127D7D"/>
    <w:rsid w:val="52412A63"/>
    <w:rsid w:val="525564B4"/>
    <w:rsid w:val="527F23D0"/>
    <w:rsid w:val="52C901FD"/>
    <w:rsid w:val="52CB5BEE"/>
    <w:rsid w:val="52EA13D9"/>
    <w:rsid w:val="532B537A"/>
    <w:rsid w:val="53464A22"/>
    <w:rsid w:val="53763D4D"/>
    <w:rsid w:val="54135280"/>
    <w:rsid w:val="54C34F5B"/>
    <w:rsid w:val="5526139C"/>
    <w:rsid w:val="552B2D26"/>
    <w:rsid w:val="554231B4"/>
    <w:rsid w:val="554E1470"/>
    <w:rsid w:val="55986D51"/>
    <w:rsid w:val="55D42624"/>
    <w:rsid w:val="56133CA0"/>
    <w:rsid w:val="56614C8A"/>
    <w:rsid w:val="56B62776"/>
    <w:rsid w:val="56DD4ABD"/>
    <w:rsid w:val="5703231E"/>
    <w:rsid w:val="57116442"/>
    <w:rsid w:val="571D3CA0"/>
    <w:rsid w:val="57474003"/>
    <w:rsid w:val="576F7047"/>
    <w:rsid w:val="578D3493"/>
    <w:rsid w:val="579D45D0"/>
    <w:rsid w:val="58221F4C"/>
    <w:rsid w:val="586A7A45"/>
    <w:rsid w:val="587A5894"/>
    <w:rsid w:val="58914C8B"/>
    <w:rsid w:val="589570D6"/>
    <w:rsid w:val="58D75E75"/>
    <w:rsid w:val="58E3423E"/>
    <w:rsid w:val="58F23ED5"/>
    <w:rsid w:val="5956205C"/>
    <w:rsid w:val="595D1779"/>
    <w:rsid w:val="596826B7"/>
    <w:rsid w:val="596A6CE9"/>
    <w:rsid w:val="597C0DF8"/>
    <w:rsid w:val="599E6CB8"/>
    <w:rsid w:val="59A3011F"/>
    <w:rsid w:val="59E031E2"/>
    <w:rsid w:val="5AA974E8"/>
    <w:rsid w:val="5AC24662"/>
    <w:rsid w:val="5AC24977"/>
    <w:rsid w:val="5AED7BD2"/>
    <w:rsid w:val="5B703490"/>
    <w:rsid w:val="5B8340E7"/>
    <w:rsid w:val="5B8D0599"/>
    <w:rsid w:val="5B937814"/>
    <w:rsid w:val="5BA627EA"/>
    <w:rsid w:val="5BAA125C"/>
    <w:rsid w:val="5BE2525D"/>
    <w:rsid w:val="5C0240F1"/>
    <w:rsid w:val="5C183C08"/>
    <w:rsid w:val="5C2634D8"/>
    <w:rsid w:val="5C653798"/>
    <w:rsid w:val="5C6E79F1"/>
    <w:rsid w:val="5C8657B1"/>
    <w:rsid w:val="5CA73484"/>
    <w:rsid w:val="5CE5499C"/>
    <w:rsid w:val="5D77243C"/>
    <w:rsid w:val="5D8B26C2"/>
    <w:rsid w:val="5D9C3D56"/>
    <w:rsid w:val="5DDB24AE"/>
    <w:rsid w:val="5DFC1EDA"/>
    <w:rsid w:val="5E2F13E4"/>
    <w:rsid w:val="5E581BF3"/>
    <w:rsid w:val="5E9B023A"/>
    <w:rsid w:val="5EBB0F55"/>
    <w:rsid w:val="5EC546B7"/>
    <w:rsid w:val="5ED27BE1"/>
    <w:rsid w:val="5EE01513"/>
    <w:rsid w:val="5EF64B7B"/>
    <w:rsid w:val="5F0A48C8"/>
    <w:rsid w:val="5F5B6EE6"/>
    <w:rsid w:val="5F5D4BFA"/>
    <w:rsid w:val="5F61759D"/>
    <w:rsid w:val="5F8F54D4"/>
    <w:rsid w:val="5F900BA9"/>
    <w:rsid w:val="5FA3625F"/>
    <w:rsid w:val="5FA9036D"/>
    <w:rsid w:val="5FE20A6A"/>
    <w:rsid w:val="5FE80DF1"/>
    <w:rsid w:val="60394F33"/>
    <w:rsid w:val="607A028C"/>
    <w:rsid w:val="607E5F8A"/>
    <w:rsid w:val="60A9073B"/>
    <w:rsid w:val="614B11BE"/>
    <w:rsid w:val="61904268"/>
    <w:rsid w:val="61922827"/>
    <w:rsid w:val="61985AAE"/>
    <w:rsid w:val="619B21A0"/>
    <w:rsid w:val="61A6252D"/>
    <w:rsid w:val="61C95215"/>
    <w:rsid w:val="61D36DC8"/>
    <w:rsid w:val="620863D2"/>
    <w:rsid w:val="623A6C47"/>
    <w:rsid w:val="626058BD"/>
    <w:rsid w:val="62D638A3"/>
    <w:rsid w:val="62D70238"/>
    <w:rsid w:val="631F28F3"/>
    <w:rsid w:val="634353FE"/>
    <w:rsid w:val="634E5810"/>
    <w:rsid w:val="639826A5"/>
    <w:rsid w:val="639A2C3A"/>
    <w:rsid w:val="63A81226"/>
    <w:rsid w:val="63EF432A"/>
    <w:rsid w:val="63F420C1"/>
    <w:rsid w:val="64F34037"/>
    <w:rsid w:val="650A079C"/>
    <w:rsid w:val="652F2B95"/>
    <w:rsid w:val="6534538D"/>
    <w:rsid w:val="65406257"/>
    <w:rsid w:val="65A64487"/>
    <w:rsid w:val="65C119F9"/>
    <w:rsid w:val="65E5355A"/>
    <w:rsid w:val="65FF0092"/>
    <w:rsid w:val="661F7DDB"/>
    <w:rsid w:val="662343DC"/>
    <w:rsid w:val="662A2B19"/>
    <w:rsid w:val="669B65B2"/>
    <w:rsid w:val="66CD3247"/>
    <w:rsid w:val="66E31E89"/>
    <w:rsid w:val="67003A6A"/>
    <w:rsid w:val="674A3D4F"/>
    <w:rsid w:val="677E5425"/>
    <w:rsid w:val="679006E0"/>
    <w:rsid w:val="67BF5918"/>
    <w:rsid w:val="680776CD"/>
    <w:rsid w:val="6864772D"/>
    <w:rsid w:val="68661BEC"/>
    <w:rsid w:val="686B2C46"/>
    <w:rsid w:val="68BC6A3B"/>
    <w:rsid w:val="68DD7469"/>
    <w:rsid w:val="69973C7C"/>
    <w:rsid w:val="69CC3191"/>
    <w:rsid w:val="6A121AD7"/>
    <w:rsid w:val="6A3C248C"/>
    <w:rsid w:val="6A7E5E1C"/>
    <w:rsid w:val="6AD23B35"/>
    <w:rsid w:val="6B125161"/>
    <w:rsid w:val="6B706B7C"/>
    <w:rsid w:val="6BB03E03"/>
    <w:rsid w:val="6BB120FA"/>
    <w:rsid w:val="6BCB7ABB"/>
    <w:rsid w:val="6BF1329A"/>
    <w:rsid w:val="6C044D7B"/>
    <w:rsid w:val="6C0C028B"/>
    <w:rsid w:val="6C3226C6"/>
    <w:rsid w:val="6C411B2C"/>
    <w:rsid w:val="6C545FF5"/>
    <w:rsid w:val="6C591BE2"/>
    <w:rsid w:val="6C841A18"/>
    <w:rsid w:val="6CB53EBD"/>
    <w:rsid w:val="6CCB1A5C"/>
    <w:rsid w:val="6CCB71D2"/>
    <w:rsid w:val="6DFD1A82"/>
    <w:rsid w:val="6E0A4A26"/>
    <w:rsid w:val="6E5E1B6C"/>
    <w:rsid w:val="6E8B7D61"/>
    <w:rsid w:val="6E94218E"/>
    <w:rsid w:val="6EB65773"/>
    <w:rsid w:val="6EC707D9"/>
    <w:rsid w:val="6EEF71D1"/>
    <w:rsid w:val="6F021A16"/>
    <w:rsid w:val="6F1D40CE"/>
    <w:rsid w:val="6F9659EC"/>
    <w:rsid w:val="6F975F07"/>
    <w:rsid w:val="6FAF3250"/>
    <w:rsid w:val="6FB6427F"/>
    <w:rsid w:val="6FD83BCB"/>
    <w:rsid w:val="7051517A"/>
    <w:rsid w:val="705F6A24"/>
    <w:rsid w:val="70C20214"/>
    <w:rsid w:val="70D85BD1"/>
    <w:rsid w:val="715B338A"/>
    <w:rsid w:val="716A7ADC"/>
    <w:rsid w:val="71CF1988"/>
    <w:rsid w:val="71DE2E53"/>
    <w:rsid w:val="721B4BCD"/>
    <w:rsid w:val="721F39FF"/>
    <w:rsid w:val="725364A2"/>
    <w:rsid w:val="72560F79"/>
    <w:rsid w:val="729E121E"/>
    <w:rsid w:val="72B069AF"/>
    <w:rsid w:val="72E23A7A"/>
    <w:rsid w:val="72F6179B"/>
    <w:rsid w:val="733D0EC9"/>
    <w:rsid w:val="738003CA"/>
    <w:rsid w:val="73BD58F6"/>
    <w:rsid w:val="73C31046"/>
    <w:rsid w:val="73C56EED"/>
    <w:rsid w:val="73F50EE2"/>
    <w:rsid w:val="7454602D"/>
    <w:rsid w:val="747F468C"/>
    <w:rsid w:val="748842FC"/>
    <w:rsid w:val="74A87632"/>
    <w:rsid w:val="74D60A36"/>
    <w:rsid w:val="7501454E"/>
    <w:rsid w:val="750A3303"/>
    <w:rsid w:val="75472E90"/>
    <w:rsid w:val="758D4AB4"/>
    <w:rsid w:val="75AD1FE0"/>
    <w:rsid w:val="75D12961"/>
    <w:rsid w:val="760A1402"/>
    <w:rsid w:val="765941C5"/>
    <w:rsid w:val="771858B5"/>
    <w:rsid w:val="773B6CD4"/>
    <w:rsid w:val="77AA51AE"/>
    <w:rsid w:val="77D61CCD"/>
    <w:rsid w:val="77E30949"/>
    <w:rsid w:val="77F16A53"/>
    <w:rsid w:val="781774FC"/>
    <w:rsid w:val="783525A0"/>
    <w:rsid w:val="78586343"/>
    <w:rsid w:val="786C7D9D"/>
    <w:rsid w:val="786F12BD"/>
    <w:rsid w:val="786F1AA9"/>
    <w:rsid w:val="7872551D"/>
    <w:rsid w:val="78D50848"/>
    <w:rsid w:val="78EC2E1F"/>
    <w:rsid w:val="78F817C4"/>
    <w:rsid w:val="79110AD8"/>
    <w:rsid w:val="7920071D"/>
    <w:rsid w:val="79603277"/>
    <w:rsid w:val="79A30975"/>
    <w:rsid w:val="79C52BC7"/>
    <w:rsid w:val="79C747F6"/>
    <w:rsid w:val="79C913B2"/>
    <w:rsid w:val="79F1117D"/>
    <w:rsid w:val="7A36659D"/>
    <w:rsid w:val="7A5F2F11"/>
    <w:rsid w:val="7A6027C1"/>
    <w:rsid w:val="7A735F93"/>
    <w:rsid w:val="7A854A12"/>
    <w:rsid w:val="7AB91427"/>
    <w:rsid w:val="7AD20620"/>
    <w:rsid w:val="7B237820"/>
    <w:rsid w:val="7B571FDE"/>
    <w:rsid w:val="7B822B58"/>
    <w:rsid w:val="7B974622"/>
    <w:rsid w:val="7BB15D01"/>
    <w:rsid w:val="7BE62A19"/>
    <w:rsid w:val="7C817D22"/>
    <w:rsid w:val="7CAD133B"/>
    <w:rsid w:val="7CEE48F3"/>
    <w:rsid w:val="7D4E72F0"/>
    <w:rsid w:val="7D6B63CB"/>
    <w:rsid w:val="7E9219F9"/>
    <w:rsid w:val="7E9C52E7"/>
    <w:rsid w:val="7EC42C6A"/>
    <w:rsid w:val="7EE24BA7"/>
    <w:rsid w:val="7EF87B3E"/>
    <w:rsid w:val="7EFC7B34"/>
    <w:rsid w:val="7F0F1615"/>
    <w:rsid w:val="7F924DA0"/>
    <w:rsid w:val="7FAF63F3"/>
    <w:rsid w:val="7FCC1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0"/>
    <w:qFormat/>
    <w:uiPriority w:val="9"/>
    <w:pPr>
      <w:keepNext/>
      <w:keepLines/>
      <w:spacing w:before="340" w:after="330" w:line="576" w:lineRule="auto"/>
      <w:outlineLvl w:val="0"/>
    </w:pPr>
    <w:rPr>
      <w:b/>
      <w:bCs/>
      <w:kern w:val="44"/>
      <w:sz w:val="44"/>
      <w:szCs w:val="44"/>
    </w:rPr>
  </w:style>
  <w:style w:type="paragraph" w:styleId="3">
    <w:name w:val="heading 2"/>
    <w:basedOn w:val="1"/>
    <w:next w:val="1"/>
    <w:link w:val="61"/>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62"/>
    <w:qFormat/>
    <w:uiPriority w:val="0"/>
    <w:pPr>
      <w:keepNext/>
      <w:keepLines/>
      <w:spacing w:before="260" w:after="260" w:line="413" w:lineRule="auto"/>
      <w:outlineLvl w:val="2"/>
    </w:pPr>
    <w:rPr>
      <w:b/>
      <w:bCs/>
      <w:sz w:val="32"/>
      <w:szCs w:val="32"/>
    </w:rPr>
  </w:style>
  <w:style w:type="paragraph" w:styleId="5">
    <w:name w:val="heading 4"/>
    <w:basedOn w:val="1"/>
    <w:next w:val="1"/>
    <w:link w:val="63"/>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link w:val="64"/>
    <w:qFormat/>
    <w:uiPriority w:val="0"/>
    <w:pPr>
      <w:keepNext/>
      <w:keepLines/>
      <w:spacing w:before="280" w:after="290" w:line="372" w:lineRule="auto"/>
      <w:outlineLvl w:val="4"/>
    </w:pPr>
    <w:rPr>
      <w:b/>
      <w:sz w:val="28"/>
    </w:rPr>
  </w:style>
  <w:style w:type="paragraph" w:styleId="8">
    <w:name w:val="heading 6"/>
    <w:basedOn w:val="1"/>
    <w:next w:val="7"/>
    <w:link w:val="65"/>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7"/>
    <w:link w:val="66"/>
    <w:qFormat/>
    <w:uiPriority w:val="0"/>
    <w:pPr>
      <w:keepNext/>
      <w:keepLines/>
      <w:spacing w:before="240" w:after="64" w:line="317" w:lineRule="auto"/>
      <w:outlineLvl w:val="6"/>
    </w:pPr>
    <w:rPr>
      <w:b/>
      <w:sz w:val="24"/>
    </w:rPr>
  </w:style>
  <w:style w:type="paragraph" w:styleId="10">
    <w:name w:val="heading 8"/>
    <w:basedOn w:val="1"/>
    <w:next w:val="7"/>
    <w:link w:val="67"/>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7"/>
    <w:link w:val="68"/>
    <w:qFormat/>
    <w:uiPriority w:val="0"/>
    <w:pPr>
      <w:keepNext/>
      <w:keepLines/>
      <w:spacing w:before="240" w:after="64" w:line="317" w:lineRule="auto"/>
      <w:outlineLvl w:val="8"/>
    </w:pPr>
    <w:rPr>
      <w:rFonts w:ascii="Arial" w:hAnsi="Arial" w:eastAsia="黑体"/>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69"/>
    <w:qFormat/>
    <w:uiPriority w:val="0"/>
    <w:pPr>
      <w:shd w:val="clear" w:color="auto" w:fill="000080"/>
      <w:adjustRightInd w:val="0"/>
      <w:spacing w:line="312" w:lineRule="atLeast"/>
      <w:textAlignment w:val="baseline"/>
    </w:pPr>
    <w:rPr>
      <w:kern w:val="0"/>
      <w:szCs w:val="20"/>
    </w:rPr>
  </w:style>
  <w:style w:type="paragraph" w:styleId="17">
    <w:name w:val="annotation text"/>
    <w:basedOn w:val="1"/>
    <w:link w:val="70"/>
    <w:qFormat/>
    <w:uiPriority w:val="0"/>
    <w:pPr>
      <w:jc w:val="left"/>
    </w:pPr>
  </w:style>
  <w:style w:type="paragraph" w:styleId="18">
    <w:name w:val="Body Text 3"/>
    <w:basedOn w:val="1"/>
    <w:link w:val="71"/>
    <w:qFormat/>
    <w:uiPriority w:val="0"/>
    <w:pPr>
      <w:spacing w:line="500" w:lineRule="exact"/>
    </w:pPr>
    <w:rPr>
      <w:b/>
      <w:bCs/>
      <w:sz w:val="24"/>
    </w:rPr>
  </w:style>
  <w:style w:type="paragraph" w:styleId="19">
    <w:name w:val="Body Text"/>
    <w:basedOn w:val="1"/>
    <w:link w:val="72"/>
    <w:qFormat/>
    <w:uiPriority w:val="99"/>
    <w:pPr>
      <w:spacing w:line="380" w:lineRule="exact"/>
    </w:pPr>
    <w:rPr>
      <w:sz w:val="24"/>
    </w:rPr>
  </w:style>
  <w:style w:type="paragraph" w:styleId="20">
    <w:name w:val="Body Text Indent"/>
    <w:basedOn w:val="1"/>
    <w:link w:val="73"/>
    <w:qFormat/>
    <w:uiPriority w:val="99"/>
    <w:pPr>
      <w:ind w:firstLine="830" w:firstLineChars="352"/>
    </w:pPr>
    <w:rPr>
      <w:rFonts w:ascii="仿宋_GB2312" w:eastAsia="仿宋_GB2312"/>
      <w:sz w:val="32"/>
      <w:szCs w:val="20"/>
    </w:rPr>
  </w:style>
  <w:style w:type="paragraph" w:styleId="21">
    <w:name w:val="List Number 3"/>
    <w:basedOn w:val="1"/>
    <w:qFormat/>
    <w:uiPriority w:val="0"/>
    <w:pPr>
      <w:tabs>
        <w:tab w:val="left" w:pos="1200"/>
      </w:tabs>
      <w:ind w:left="1200" w:leftChars="400" w:hanging="360" w:hangingChars="20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5">
    <w:name w:val="toc 3"/>
    <w:basedOn w:val="1"/>
    <w:next w:val="1"/>
    <w:qFormat/>
    <w:uiPriority w:val="39"/>
    <w:pPr>
      <w:ind w:left="840" w:leftChars="400"/>
    </w:pPr>
  </w:style>
  <w:style w:type="paragraph" w:styleId="26">
    <w:name w:val="Plain Text"/>
    <w:basedOn w:val="1"/>
    <w:next w:val="5"/>
    <w:link w:val="74"/>
    <w:qFormat/>
    <w:uiPriority w:val="0"/>
    <w:rPr>
      <w:rFonts w:ascii="宋体" w:hAnsi="Courier New" w:cs="Courier New"/>
      <w:szCs w:val="21"/>
    </w:rPr>
  </w:style>
  <w:style w:type="paragraph" w:styleId="27">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8">
    <w:name w:val="Date"/>
    <w:basedOn w:val="1"/>
    <w:next w:val="1"/>
    <w:link w:val="75"/>
    <w:qFormat/>
    <w:uiPriority w:val="0"/>
    <w:pPr>
      <w:ind w:left="100" w:leftChars="2500"/>
    </w:pPr>
    <w:rPr>
      <w:rFonts w:ascii="宋体" w:hAnsi="Courier New"/>
      <w:szCs w:val="21"/>
    </w:rPr>
  </w:style>
  <w:style w:type="paragraph" w:styleId="29">
    <w:name w:val="Body Text Indent 2"/>
    <w:basedOn w:val="1"/>
    <w:link w:val="76"/>
    <w:qFormat/>
    <w:uiPriority w:val="0"/>
    <w:pPr>
      <w:ind w:firstLine="630"/>
    </w:pPr>
    <w:rPr>
      <w:sz w:val="32"/>
      <w:szCs w:val="20"/>
    </w:rPr>
  </w:style>
  <w:style w:type="paragraph" w:styleId="30">
    <w:name w:val="Balloon Text"/>
    <w:basedOn w:val="1"/>
    <w:link w:val="77"/>
    <w:qFormat/>
    <w:uiPriority w:val="0"/>
    <w:rPr>
      <w:sz w:val="18"/>
      <w:szCs w:val="18"/>
    </w:rPr>
  </w:style>
  <w:style w:type="paragraph" w:styleId="31">
    <w:name w:val="footer"/>
    <w:basedOn w:val="1"/>
    <w:link w:val="78"/>
    <w:qFormat/>
    <w:uiPriority w:val="0"/>
    <w:pPr>
      <w:tabs>
        <w:tab w:val="center" w:pos="4153"/>
        <w:tab w:val="right" w:pos="8306"/>
      </w:tabs>
      <w:snapToGrid w:val="0"/>
      <w:jc w:val="left"/>
    </w:pPr>
    <w:rPr>
      <w:sz w:val="18"/>
      <w:szCs w:val="18"/>
    </w:rPr>
  </w:style>
  <w:style w:type="paragraph" w:styleId="32">
    <w:name w:val="header"/>
    <w:basedOn w:val="1"/>
    <w:link w:val="79"/>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7">
    <w:name w:val="List 5"/>
    <w:basedOn w:val="1"/>
    <w:qFormat/>
    <w:uiPriority w:val="0"/>
    <w:pPr>
      <w:ind w:left="2100" w:hanging="420"/>
    </w:pPr>
    <w:rPr>
      <w:szCs w:val="20"/>
    </w:rPr>
  </w:style>
  <w:style w:type="paragraph" w:styleId="38">
    <w:name w:val="Body Text Indent 3"/>
    <w:basedOn w:val="1"/>
    <w:link w:val="80"/>
    <w:qFormat/>
    <w:uiPriority w:val="0"/>
    <w:pPr>
      <w:spacing w:after="120"/>
      <w:ind w:left="420" w:leftChars="200"/>
    </w:pPr>
    <w:rPr>
      <w:sz w:val="16"/>
      <w:szCs w:val="16"/>
    </w:rPr>
  </w:style>
  <w:style w:type="paragraph" w:styleId="39">
    <w:name w:val="toc 2"/>
    <w:basedOn w:val="1"/>
    <w:next w:val="1"/>
    <w:qFormat/>
    <w:uiPriority w:val="39"/>
    <w:pPr>
      <w:ind w:left="420" w:leftChars="200"/>
    </w:pPr>
  </w:style>
  <w:style w:type="paragraph" w:styleId="40">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1">
    <w:name w:val="Body Text 2"/>
    <w:basedOn w:val="1"/>
    <w:link w:val="81"/>
    <w:qFormat/>
    <w:uiPriority w:val="0"/>
    <w:pPr>
      <w:spacing w:after="120" w:line="480" w:lineRule="auto"/>
    </w:pPr>
  </w:style>
  <w:style w:type="paragraph" w:styleId="42">
    <w:name w:val="List 4"/>
    <w:basedOn w:val="1"/>
    <w:qFormat/>
    <w:uiPriority w:val="0"/>
    <w:pPr>
      <w:ind w:left="100" w:leftChars="600" w:hanging="200" w:hangingChars="200"/>
    </w:pPr>
  </w:style>
  <w:style w:type="paragraph" w:styleId="43">
    <w:name w:val="List Continue 2"/>
    <w:basedOn w:val="1"/>
    <w:qFormat/>
    <w:uiPriority w:val="0"/>
    <w:pPr>
      <w:spacing w:after="120"/>
      <w:ind w:left="840" w:leftChars="400"/>
    </w:pPr>
  </w:style>
  <w:style w:type="paragraph" w:styleId="44">
    <w:name w:val="HTML Preformatted"/>
    <w:basedOn w:val="1"/>
    <w:link w:val="8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5">
    <w:name w:val="Normal (Web)"/>
    <w:basedOn w:val="1"/>
    <w:qFormat/>
    <w:uiPriority w:val="99"/>
    <w:pPr>
      <w:widowControl/>
      <w:spacing w:before="100" w:beforeAutospacing="1" w:after="100" w:afterAutospacing="1"/>
      <w:jc w:val="left"/>
    </w:pPr>
    <w:rPr>
      <w:rFonts w:ascii="宋体" w:hAnsi="宋体"/>
      <w:kern w:val="0"/>
      <w:sz w:val="24"/>
    </w:rPr>
  </w:style>
  <w:style w:type="paragraph" w:styleId="46">
    <w:name w:val="index 1"/>
    <w:basedOn w:val="1"/>
    <w:next w:val="1"/>
    <w:qFormat/>
    <w:uiPriority w:val="0"/>
    <w:pPr>
      <w:spacing w:line="400" w:lineRule="exact"/>
      <w:ind w:firstLine="420" w:firstLineChars="200"/>
    </w:pPr>
    <w:rPr>
      <w:rFonts w:ascii="宋体" w:hAnsi="Courier New"/>
      <w:b/>
      <w:szCs w:val="20"/>
    </w:rPr>
  </w:style>
  <w:style w:type="paragraph" w:styleId="47">
    <w:name w:val="Title"/>
    <w:basedOn w:val="1"/>
    <w:link w:val="83"/>
    <w:qFormat/>
    <w:uiPriority w:val="0"/>
    <w:pPr>
      <w:jc w:val="center"/>
    </w:pPr>
    <w:rPr>
      <w:sz w:val="30"/>
    </w:rPr>
  </w:style>
  <w:style w:type="paragraph" w:styleId="48">
    <w:name w:val="annotation subject"/>
    <w:basedOn w:val="17"/>
    <w:next w:val="17"/>
    <w:link w:val="84"/>
    <w:qFormat/>
    <w:uiPriority w:val="0"/>
    <w:rPr>
      <w:b/>
      <w:bCs/>
    </w:rPr>
  </w:style>
  <w:style w:type="paragraph" w:styleId="49">
    <w:name w:val="Body Text First Indent"/>
    <w:basedOn w:val="19"/>
    <w:link w:val="85"/>
    <w:qFormat/>
    <w:uiPriority w:val="0"/>
    <w:pPr>
      <w:spacing w:after="120" w:line="240" w:lineRule="auto"/>
      <w:ind w:firstLine="420" w:firstLineChars="100"/>
    </w:pPr>
    <w:rPr>
      <w:sz w:val="21"/>
    </w:rPr>
  </w:style>
  <w:style w:type="paragraph" w:styleId="50">
    <w:name w:val="Body Text First Indent 2"/>
    <w:basedOn w:val="1"/>
    <w:next w:val="1"/>
    <w:link w:val="86"/>
    <w:qFormat/>
    <w:uiPriority w:val="0"/>
    <w:pPr>
      <w:spacing w:after="120"/>
      <w:ind w:left="420" w:leftChars="200" w:firstLine="420" w:firstLineChars="200"/>
    </w:pPr>
  </w:style>
  <w:style w:type="table" w:styleId="52">
    <w:name w:val="Table Grid"/>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22"/>
    <w:rPr>
      <w:b/>
      <w:bCs/>
    </w:rPr>
  </w:style>
  <w:style w:type="character" w:styleId="55">
    <w:name w:val="page number"/>
    <w:qFormat/>
    <w:uiPriority w:val="0"/>
  </w:style>
  <w:style w:type="character" w:styleId="56">
    <w:name w:val="FollowedHyperlink"/>
    <w:qFormat/>
    <w:uiPriority w:val="99"/>
    <w:rPr>
      <w:color w:val="800080"/>
      <w:u w:val="single"/>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paragraph" w:customStyle="1" w:styleId="59">
    <w:name w:val="列出段落1"/>
    <w:basedOn w:val="1"/>
    <w:qFormat/>
    <w:uiPriority w:val="99"/>
    <w:pPr>
      <w:adjustRightInd w:val="0"/>
      <w:spacing w:line="360" w:lineRule="atLeast"/>
      <w:ind w:firstLine="420" w:firstLineChars="200"/>
      <w:jc w:val="left"/>
      <w:textAlignment w:val="baseline"/>
    </w:pPr>
    <w:rPr>
      <w:rFonts w:ascii="Calibri" w:hAnsi="Calibri"/>
      <w:kern w:val="0"/>
      <w:sz w:val="24"/>
      <w:szCs w:val="22"/>
    </w:rPr>
  </w:style>
  <w:style w:type="character" w:customStyle="1" w:styleId="60">
    <w:name w:val="标题 1 字符"/>
    <w:link w:val="2"/>
    <w:qFormat/>
    <w:uiPriority w:val="9"/>
    <w:rPr>
      <w:rFonts w:eastAsia="宋体"/>
      <w:b/>
      <w:bCs/>
      <w:kern w:val="44"/>
      <w:sz w:val="44"/>
      <w:szCs w:val="44"/>
      <w:lang w:val="en-US" w:eastAsia="zh-CN" w:bidi="ar-SA"/>
    </w:rPr>
  </w:style>
  <w:style w:type="character" w:customStyle="1" w:styleId="61">
    <w:name w:val="标题 2 字符"/>
    <w:link w:val="3"/>
    <w:qFormat/>
    <w:uiPriority w:val="0"/>
    <w:rPr>
      <w:rFonts w:ascii="Arial" w:hAnsi="Arial" w:eastAsia="黑体"/>
      <w:b/>
      <w:bCs/>
      <w:kern w:val="2"/>
      <w:sz w:val="32"/>
      <w:szCs w:val="32"/>
    </w:rPr>
  </w:style>
  <w:style w:type="character" w:customStyle="1" w:styleId="62">
    <w:name w:val="标题 3 字符"/>
    <w:link w:val="4"/>
    <w:qFormat/>
    <w:uiPriority w:val="0"/>
    <w:rPr>
      <w:b/>
      <w:bCs/>
      <w:kern w:val="2"/>
      <w:sz w:val="32"/>
      <w:szCs w:val="32"/>
    </w:rPr>
  </w:style>
  <w:style w:type="character" w:customStyle="1" w:styleId="63">
    <w:name w:val="标题 4 字符"/>
    <w:link w:val="5"/>
    <w:qFormat/>
    <w:uiPriority w:val="0"/>
    <w:rPr>
      <w:rFonts w:ascii="Arial" w:hAnsi="Arial" w:eastAsia="黑体"/>
      <w:sz w:val="28"/>
    </w:rPr>
  </w:style>
  <w:style w:type="character" w:customStyle="1" w:styleId="64">
    <w:name w:val="标题 5 字符"/>
    <w:link w:val="6"/>
    <w:qFormat/>
    <w:uiPriority w:val="0"/>
    <w:rPr>
      <w:b/>
      <w:kern w:val="2"/>
      <w:sz w:val="28"/>
      <w:szCs w:val="24"/>
    </w:rPr>
  </w:style>
  <w:style w:type="character" w:customStyle="1" w:styleId="65">
    <w:name w:val="标题 6 字符"/>
    <w:link w:val="8"/>
    <w:qFormat/>
    <w:uiPriority w:val="0"/>
    <w:rPr>
      <w:rFonts w:ascii="Arial" w:hAnsi="Arial" w:eastAsia="黑体"/>
      <w:b/>
      <w:kern w:val="2"/>
      <w:sz w:val="24"/>
      <w:szCs w:val="24"/>
    </w:rPr>
  </w:style>
  <w:style w:type="character" w:customStyle="1" w:styleId="66">
    <w:name w:val="标题 7 字符"/>
    <w:link w:val="9"/>
    <w:qFormat/>
    <w:uiPriority w:val="0"/>
    <w:rPr>
      <w:b/>
      <w:kern w:val="2"/>
      <w:sz w:val="24"/>
      <w:szCs w:val="24"/>
    </w:rPr>
  </w:style>
  <w:style w:type="character" w:customStyle="1" w:styleId="67">
    <w:name w:val="标题 8 字符"/>
    <w:link w:val="10"/>
    <w:qFormat/>
    <w:uiPriority w:val="0"/>
    <w:rPr>
      <w:rFonts w:ascii="Arial" w:hAnsi="Arial" w:eastAsia="黑体"/>
      <w:kern w:val="2"/>
      <w:sz w:val="24"/>
      <w:szCs w:val="24"/>
    </w:rPr>
  </w:style>
  <w:style w:type="character" w:customStyle="1" w:styleId="68">
    <w:name w:val="标题 9 字符"/>
    <w:link w:val="11"/>
    <w:qFormat/>
    <w:uiPriority w:val="0"/>
    <w:rPr>
      <w:rFonts w:ascii="Arial" w:hAnsi="Arial" w:eastAsia="黑体"/>
      <w:kern w:val="2"/>
      <w:sz w:val="21"/>
      <w:szCs w:val="24"/>
    </w:rPr>
  </w:style>
  <w:style w:type="character" w:customStyle="1" w:styleId="69">
    <w:name w:val="文档结构图 字符"/>
    <w:link w:val="16"/>
    <w:qFormat/>
    <w:uiPriority w:val="0"/>
    <w:rPr>
      <w:sz w:val="21"/>
      <w:shd w:val="clear" w:color="auto" w:fill="000080"/>
    </w:rPr>
  </w:style>
  <w:style w:type="character" w:customStyle="1" w:styleId="70">
    <w:name w:val="批注文字 字符"/>
    <w:link w:val="17"/>
    <w:qFormat/>
    <w:uiPriority w:val="0"/>
    <w:rPr>
      <w:kern w:val="2"/>
      <w:sz w:val="21"/>
      <w:szCs w:val="24"/>
    </w:rPr>
  </w:style>
  <w:style w:type="character" w:customStyle="1" w:styleId="71">
    <w:name w:val="正文文本 3 字符"/>
    <w:link w:val="18"/>
    <w:qFormat/>
    <w:uiPriority w:val="0"/>
    <w:rPr>
      <w:b/>
      <w:bCs/>
      <w:kern w:val="2"/>
      <w:sz w:val="24"/>
      <w:szCs w:val="24"/>
    </w:rPr>
  </w:style>
  <w:style w:type="character" w:customStyle="1" w:styleId="72">
    <w:name w:val="正文文本 字符"/>
    <w:link w:val="19"/>
    <w:qFormat/>
    <w:uiPriority w:val="99"/>
    <w:rPr>
      <w:kern w:val="2"/>
      <w:sz w:val="24"/>
      <w:szCs w:val="24"/>
    </w:rPr>
  </w:style>
  <w:style w:type="character" w:customStyle="1" w:styleId="73">
    <w:name w:val="正文文本缩进 字符"/>
    <w:link w:val="20"/>
    <w:qFormat/>
    <w:uiPriority w:val="99"/>
    <w:rPr>
      <w:rFonts w:ascii="仿宋_GB2312" w:eastAsia="仿宋_GB2312"/>
      <w:kern w:val="2"/>
      <w:sz w:val="32"/>
    </w:rPr>
  </w:style>
  <w:style w:type="character" w:customStyle="1" w:styleId="74">
    <w:name w:val="纯文本 字符"/>
    <w:link w:val="26"/>
    <w:qFormat/>
    <w:uiPriority w:val="99"/>
    <w:rPr>
      <w:rFonts w:ascii="宋体" w:hAnsi="Courier New" w:eastAsia="宋体" w:cs="Courier New"/>
      <w:kern w:val="2"/>
      <w:sz w:val="21"/>
      <w:szCs w:val="21"/>
      <w:lang w:val="en-US" w:eastAsia="zh-CN" w:bidi="ar-SA"/>
    </w:rPr>
  </w:style>
  <w:style w:type="character" w:customStyle="1" w:styleId="75">
    <w:name w:val="日期 字符"/>
    <w:link w:val="28"/>
    <w:qFormat/>
    <w:uiPriority w:val="0"/>
    <w:rPr>
      <w:rFonts w:ascii="宋体" w:hAnsi="Courier New" w:cs="Courier New"/>
      <w:kern w:val="2"/>
      <w:sz w:val="21"/>
      <w:szCs w:val="21"/>
    </w:rPr>
  </w:style>
  <w:style w:type="character" w:customStyle="1" w:styleId="76">
    <w:name w:val="正文文本缩进 2 字符"/>
    <w:link w:val="29"/>
    <w:qFormat/>
    <w:uiPriority w:val="0"/>
    <w:rPr>
      <w:kern w:val="2"/>
      <w:sz w:val="32"/>
    </w:rPr>
  </w:style>
  <w:style w:type="character" w:customStyle="1" w:styleId="77">
    <w:name w:val="批注框文本 字符"/>
    <w:link w:val="30"/>
    <w:qFormat/>
    <w:uiPriority w:val="0"/>
    <w:rPr>
      <w:kern w:val="2"/>
      <w:sz w:val="18"/>
      <w:szCs w:val="18"/>
    </w:rPr>
  </w:style>
  <w:style w:type="character" w:customStyle="1" w:styleId="78">
    <w:name w:val="页脚 字符"/>
    <w:link w:val="31"/>
    <w:qFormat/>
    <w:uiPriority w:val="0"/>
    <w:rPr>
      <w:kern w:val="2"/>
      <w:sz w:val="18"/>
      <w:szCs w:val="18"/>
    </w:rPr>
  </w:style>
  <w:style w:type="character" w:customStyle="1" w:styleId="79">
    <w:name w:val="页眉 字符"/>
    <w:link w:val="32"/>
    <w:qFormat/>
    <w:uiPriority w:val="99"/>
    <w:rPr>
      <w:kern w:val="2"/>
      <w:sz w:val="18"/>
      <w:szCs w:val="18"/>
    </w:rPr>
  </w:style>
  <w:style w:type="character" w:customStyle="1" w:styleId="80">
    <w:name w:val="正文文本缩进 3 字符"/>
    <w:link w:val="38"/>
    <w:qFormat/>
    <w:uiPriority w:val="0"/>
    <w:rPr>
      <w:kern w:val="2"/>
      <w:sz w:val="16"/>
      <w:szCs w:val="16"/>
    </w:rPr>
  </w:style>
  <w:style w:type="character" w:customStyle="1" w:styleId="81">
    <w:name w:val="正文文本 2 字符"/>
    <w:link w:val="41"/>
    <w:qFormat/>
    <w:uiPriority w:val="0"/>
    <w:rPr>
      <w:kern w:val="2"/>
      <w:sz w:val="21"/>
      <w:szCs w:val="24"/>
    </w:rPr>
  </w:style>
  <w:style w:type="character" w:customStyle="1" w:styleId="82">
    <w:name w:val="HTML 预设格式 字符"/>
    <w:link w:val="44"/>
    <w:qFormat/>
    <w:uiPriority w:val="0"/>
    <w:rPr>
      <w:rFonts w:ascii="黑体" w:hAnsi="Courier New" w:eastAsia="黑体" w:cs="Courier New"/>
    </w:rPr>
  </w:style>
  <w:style w:type="character" w:customStyle="1" w:styleId="83">
    <w:name w:val="标题 字符"/>
    <w:link w:val="47"/>
    <w:qFormat/>
    <w:uiPriority w:val="0"/>
    <w:rPr>
      <w:kern w:val="2"/>
      <w:sz w:val="30"/>
      <w:szCs w:val="24"/>
    </w:rPr>
  </w:style>
  <w:style w:type="character" w:customStyle="1" w:styleId="84">
    <w:name w:val="批注主题 字符"/>
    <w:link w:val="48"/>
    <w:qFormat/>
    <w:uiPriority w:val="0"/>
    <w:rPr>
      <w:b/>
      <w:bCs/>
      <w:kern w:val="2"/>
      <w:sz w:val="21"/>
      <w:szCs w:val="24"/>
    </w:rPr>
  </w:style>
  <w:style w:type="character" w:customStyle="1" w:styleId="85">
    <w:name w:val="正文首行缩进 字符"/>
    <w:link w:val="49"/>
    <w:qFormat/>
    <w:uiPriority w:val="0"/>
    <w:rPr>
      <w:kern w:val="2"/>
      <w:sz w:val="21"/>
      <w:szCs w:val="24"/>
    </w:rPr>
  </w:style>
  <w:style w:type="character" w:customStyle="1" w:styleId="86">
    <w:name w:val="正文首行缩进 2 字符"/>
    <w:link w:val="50"/>
    <w:qFormat/>
    <w:uiPriority w:val="0"/>
    <w:rPr>
      <w:kern w:val="2"/>
      <w:sz w:val="21"/>
      <w:szCs w:val="24"/>
    </w:rPr>
  </w:style>
  <w:style w:type="character" w:customStyle="1" w:styleId="87">
    <w:name w:val="small"/>
    <w:qFormat/>
    <w:uiPriority w:val="0"/>
  </w:style>
  <w:style w:type="character" w:customStyle="1" w:styleId="88">
    <w:name w:val="white"/>
    <w:qFormat/>
    <w:uiPriority w:val="0"/>
  </w:style>
  <w:style w:type="character" w:customStyle="1" w:styleId="89">
    <w:name w:val="z-窗体顶端 字符"/>
    <w:link w:val="90"/>
    <w:qFormat/>
    <w:uiPriority w:val="0"/>
    <w:rPr>
      <w:rFonts w:ascii="Arial"/>
      <w:vanish/>
      <w:kern w:val="2"/>
      <w:sz w:val="16"/>
      <w:szCs w:val="24"/>
    </w:rPr>
  </w:style>
  <w:style w:type="paragraph" w:customStyle="1" w:styleId="90">
    <w:name w:val="_Style 88"/>
    <w:basedOn w:val="1"/>
    <w:next w:val="1"/>
    <w:link w:val="89"/>
    <w:qFormat/>
    <w:uiPriority w:val="0"/>
    <w:pPr>
      <w:pBdr>
        <w:bottom w:val="single" w:color="auto" w:sz="6" w:space="1"/>
      </w:pBdr>
      <w:jc w:val="center"/>
    </w:pPr>
    <w:rPr>
      <w:rFonts w:ascii="Arial"/>
      <w:vanish/>
      <w:sz w:val="16"/>
    </w:rPr>
  </w:style>
  <w:style w:type="character" w:customStyle="1" w:styleId="91">
    <w:name w:val="f151"/>
    <w:qFormat/>
    <w:uiPriority w:val="0"/>
    <w:rPr>
      <w:sz w:val="23"/>
      <w:szCs w:val="23"/>
    </w:rPr>
  </w:style>
  <w:style w:type="character" w:customStyle="1" w:styleId="92">
    <w:name w:val="apple-converted-space"/>
    <w:qFormat/>
    <w:uiPriority w:val="0"/>
  </w:style>
  <w:style w:type="character" w:customStyle="1" w:styleId="93">
    <w:name w:val="gray12"/>
    <w:qFormat/>
    <w:uiPriority w:val="0"/>
  </w:style>
  <w:style w:type="character" w:customStyle="1" w:styleId="94">
    <w:name w:val="style21"/>
    <w:qFormat/>
    <w:uiPriority w:val="0"/>
    <w:rPr>
      <w:sz w:val="17"/>
      <w:szCs w:val="17"/>
    </w:rPr>
  </w:style>
  <w:style w:type="character" w:customStyle="1" w:styleId="95">
    <w:name w:val="mark8"/>
    <w:qFormat/>
    <w:uiPriority w:val="0"/>
    <w:rPr>
      <w:b/>
      <w:bCs/>
      <w:sz w:val="21"/>
      <w:szCs w:val="21"/>
    </w:rPr>
  </w:style>
  <w:style w:type="character" w:customStyle="1" w:styleId="96">
    <w:name w:val="content2"/>
    <w:qFormat/>
    <w:uiPriority w:val="0"/>
  </w:style>
  <w:style w:type="character" w:customStyle="1" w:styleId="97">
    <w:name w:val="1ji Char"/>
    <w:link w:val="98"/>
    <w:qFormat/>
    <w:uiPriority w:val="0"/>
    <w:rPr>
      <w:rFonts w:ascii="宋体" w:hAnsi="宋体" w:eastAsia="宋体"/>
      <w:b/>
      <w:bCs/>
      <w:kern w:val="44"/>
      <w:sz w:val="36"/>
      <w:szCs w:val="44"/>
      <w:lang w:val="en-US" w:eastAsia="zh-CN" w:bidi="ar-SA"/>
    </w:rPr>
  </w:style>
  <w:style w:type="paragraph" w:customStyle="1" w:styleId="98">
    <w:name w:val="1ji"/>
    <w:basedOn w:val="2"/>
    <w:link w:val="97"/>
    <w:qFormat/>
    <w:uiPriority w:val="0"/>
    <w:pPr>
      <w:keepLines w:val="0"/>
      <w:widowControl/>
      <w:spacing w:before="0" w:after="0" w:line="240" w:lineRule="auto"/>
      <w:jc w:val="center"/>
    </w:pPr>
    <w:rPr>
      <w:rFonts w:ascii="宋体" w:hAnsi="宋体"/>
      <w:sz w:val="36"/>
    </w:rPr>
  </w:style>
  <w:style w:type="character" w:customStyle="1" w:styleId="99">
    <w:name w:val="case31"/>
    <w:qFormat/>
    <w:uiPriority w:val="0"/>
    <w:rPr>
      <w:rFonts w:hint="default" w:ascii="_x000B__x000C_" w:hAnsi="_x000B__x000C_"/>
      <w:sz w:val="21"/>
      <w:szCs w:val="21"/>
    </w:rPr>
  </w:style>
  <w:style w:type="character" w:customStyle="1" w:styleId="100">
    <w:name w:val="批注文字 Char2"/>
    <w:qFormat/>
    <w:uiPriority w:val="0"/>
    <w:rPr>
      <w:kern w:val="2"/>
      <w:sz w:val="21"/>
      <w:szCs w:val="24"/>
      <w:lang w:bidi="ar-SA"/>
    </w:rPr>
  </w:style>
  <w:style w:type="character" w:customStyle="1" w:styleId="101">
    <w:name w:val="标题3 Char"/>
    <w:link w:val="102"/>
    <w:qFormat/>
    <w:uiPriority w:val="0"/>
    <w:rPr>
      <w:rFonts w:ascii="宋体" w:hAnsi="宋体"/>
      <w:b/>
      <w:bCs/>
      <w:kern w:val="44"/>
      <w:sz w:val="24"/>
      <w:szCs w:val="24"/>
    </w:rPr>
  </w:style>
  <w:style w:type="paragraph" w:customStyle="1" w:styleId="102">
    <w:name w:val="标题3"/>
    <w:basedOn w:val="2"/>
    <w:link w:val="101"/>
    <w:qFormat/>
    <w:uiPriority w:val="0"/>
    <w:pPr>
      <w:spacing w:before="0" w:beforeLines="50" w:after="0" w:afterLines="50" w:line="400" w:lineRule="exact"/>
    </w:pPr>
    <w:rPr>
      <w:rFonts w:ascii="宋体" w:hAnsi="宋体"/>
      <w:sz w:val="24"/>
      <w:szCs w:val="24"/>
    </w:rPr>
  </w:style>
  <w:style w:type="character" w:customStyle="1" w:styleId="103">
    <w:name w:val="graytext1"/>
    <w:qFormat/>
    <w:uiPriority w:val="0"/>
    <w:rPr>
      <w:color w:val="666666"/>
    </w:rPr>
  </w:style>
  <w:style w:type="character" w:customStyle="1" w:styleId="104">
    <w:name w:val="font01"/>
    <w:qFormat/>
    <w:uiPriority w:val="0"/>
    <w:rPr>
      <w:rFonts w:hint="eastAsia" w:ascii="宋体" w:hAnsi="宋体" w:eastAsia="宋体"/>
      <w:color w:val="000000"/>
      <w:sz w:val="22"/>
      <w:szCs w:val="22"/>
      <w:u w:val="none"/>
    </w:rPr>
  </w:style>
  <w:style w:type="character" w:customStyle="1" w:styleId="105">
    <w:name w:val="short_text1"/>
    <w:qFormat/>
    <w:uiPriority w:val="0"/>
    <w:rPr>
      <w:sz w:val="26"/>
    </w:rPr>
  </w:style>
  <w:style w:type="character" w:customStyle="1" w:styleId="106">
    <w:name w:val="unnamed3"/>
    <w:qFormat/>
    <w:uiPriority w:val="0"/>
  </w:style>
  <w:style w:type="character" w:customStyle="1" w:styleId="107">
    <w:name w:val="062"/>
    <w:qFormat/>
    <w:uiPriority w:val="0"/>
    <w:rPr>
      <w:rFonts w:ascii="宋体" w:hAnsi="宋体"/>
      <w:b/>
      <w:bCs/>
      <w:sz w:val="32"/>
    </w:rPr>
  </w:style>
  <w:style w:type="character" w:customStyle="1" w:styleId="108">
    <w:name w:val="style11"/>
    <w:qFormat/>
    <w:uiPriority w:val="0"/>
    <w:rPr>
      <w:rFonts w:hint="default" w:ascii="Arial" w:hAnsi="Arial" w:cs="Arial"/>
    </w:rPr>
  </w:style>
  <w:style w:type="character" w:customStyle="1" w:styleId="109">
    <w:name w:val="纯文本 Char1"/>
    <w:qFormat/>
    <w:uiPriority w:val="0"/>
    <w:rPr>
      <w:rFonts w:ascii="宋体" w:hAnsi="Courier New" w:eastAsia="宋体" w:cs="Courier New"/>
      <w:kern w:val="2"/>
      <w:sz w:val="21"/>
      <w:szCs w:val="21"/>
      <w:lang w:val="en-US" w:eastAsia="zh-CN" w:bidi="ar-SA"/>
    </w:rPr>
  </w:style>
  <w:style w:type="character" w:customStyle="1" w:styleId="110">
    <w:name w:val="text11"/>
    <w:qFormat/>
    <w:uiPriority w:val="0"/>
    <w:rPr>
      <w:rFonts w:hint="default" w:ascii="Verdana" w:hAnsi="Verdana"/>
      <w:color w:val="4E4E4E"/>
      <w:sz w:val="18"/>
      <w:szCs w:val="18"/>
    </w:rPr>
  </w:style>
  <w:style w:type="character" w:customStyle="1" w:styleId="111">
    <w:name w:val="1051"/>
    <w:qFormat/>
    <w:uiPriority w:val="0"/>
    <w:rPr>
      <w:sz w:val="21"/>
      <w:szCs w:val="21"/>
    </w:rPr>
  </w:style>
  <w:style w:type="paragraph" w:customStyle="1" w:styleId="112">
    <w:name w:val="_Style 110"/>
    <w:unhideWhenUsed/>
    <w:qFormat/>
    <w:uiPriority w:val="99"/>
    <w:rPr>
      <w:rFonts w:ascii="Times New Roman" w:hAnsi="Times New Roman" w:eastAsia="宋体" w:cs="Times New Roman"/>
      <w:kern w:val="2"/>
      <w:sz w:val="21"/>
      <w:szCs w:val="24"/>
      <w:lang w:val="en-US" w:eastAsia="zh-CN" w:bidi="ar-SA"/>
    </w:rPr>
  </w:style>
  <w:style w:type="paragraph" w:customStyle="1" w:styleId="113">
    <w:name w:val="List Paragraph1"/>
    <w:basedOn w:val="1"/>
    <w:qFormat/>
    <w:uiPriority w:val="0"/>
    <w:pPr>
      <w:ind w:firstLine="420" w:firstLineChars="200"/>
    </w:pPr>
    <w:rPr>
      <w:rFonts w:ascii="Calibri" w:hAnsi="Calibri"/>
      <w:szCs w:val="22"/>
    </w:rPr>
  </w:style>
  <w:style w:type="paragraph" w:customStyle="1" w:styleId="114">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15">
    <w:name w:val="_Style 113"/>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16">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1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8">
    <w:name w:val="默认段落字体 Para Char"/>
    <w:basedOn w:val="1"/>
    <w:qFormat/>
    <w:uiPriority w:val="0"/>
    <w:pPr>
      <w:adjustRightInd w:val="0"/>
      <w:spacing w:line="360" w:lineRule="auto"/>
    </w:pPr>
    <w:rPr>
      <w:kern w:val="0"/>
      <w:sz w:val="24"/>
      <w:szCs w:val="20"/>
    </w:rPr>
  </w:style>
  <w:style w:type="paragraph" w:customStyle="1" w:styleId="119">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21">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2">
    <w:name w:val="Char Char Char Char Char Char Char Char Char Char Char Char Char1"/>
    <w:basedOn w:val="16"/>
    <w:qFormat/>
    <w:uiPriority w:val="0"/>
    <w:pPr>
      <w:adjustRightInd/>
      <w:spacing w:line="240" w:lineRule="auto"/>
      <w:textAlignment w:val="auto"/>
    </w:pPr>
    <w:rPr>
      <w:rFonts w:ascii="Tahoma" w:hAnsi="Tahoma"/>
      <w:kern w:val="2"/>
      <w:sz w:val="24"/>
      <w:szCs w:val="24"/>
    </w:rPr>
  </w:style>
  <w:style w:type="paragraph" w:customStyle="1" w:styleId="123">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24">
    <w:name w:val="Char1"/>
    <w:basedOn w:val="1"/>
    <w:qFormat/>
    <w:uiPriority w:val="0"/>
    <w:rPr>
      <w:szCs w:val="21"/>
    </w:rPr>
  </w:style>
  <w:style w:type="paragraph" w:customStyle="1" w:styleId="125">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26">
    <w:name w:val="次小点说明 Char"/>
    <w:basedOn w:val="7"/>
    <w:qFormat/>
    <w:uiPriority w:val="0"/>
    <w:pPr>
      <w:ind w:firstLine="0"/>
    </w:pPr>
    <w:rPr>
      <w:sz w:val="24"/>
      <w:szCs w:val="24"/>
    </w:rPr>
  </w:style>
  <w:style w:type="paragraph" w:customStyle="1" w:styleId="127">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28">
    <w:name w:val="2ji"/>
    <w:basedOn w:val="3"/>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29">
    <w:name w:val="正文段"/>
    <w:basedOn w:val="1"/>
    <w:qFormat/>
    <w:uiPriority w:val="0"/>
    <w:pPr>
      <w:widowControl/>
      <w:snapToGrid w:val="0"/>
      <w:spacing w:after="156" w:afterLines="50"/>
      <w:ind w:firstLine="200" w:firstLineChars="200"/>
    </w:pPr>
    <w:rPr>
      <w:kern w:val="0"/>
      <w:sz w:val="24"/>
      <w:szCs w:val="20"/>
    </w:rPr>
  </w:style>
  <w:style w:type="paragraph" w:customStyle="1" w:styleId="130">
    <w:name w:val="图"/>
    <w:basedOn w:val="1"/>
    <w:qFormat/>
    <w:uiPriority w:val="0"/>
    <w:pPr>
      <w:keepNext/>
      <w:adjustRightInd w:val="0"/>
      <w:snapToGrid w:val="0"/>
      <w:spacing w:before="60" w:after="60" w:line="300" w:lineRule="auto"/>
      <w:jc w:val="center"/>
    </w:pPr>
    <w:rPr>
      <w:spacing w:val="20"/>
      <w:kern w:val="0"/>
      <w:sz w:val="24"/>
      <w:szCs w:val="20"/>
    </w:rPr>
  </w:style>
  <w:style w:type="paragraph" w:styleId="131">
    <w:name w:val="List Paragraph"/>
    <w:basedOn w:val="1"/>
    <w:qFormat/>
    <w:uiPriority w:val="34"/>
    <w:pPr>
      <w:ind w:firstLine="420" w:firstLineChars="200"/>
    </w:pPr>
    <w:rPr>
      <w:rFonts w:ascii="Calibri" w:hAnsi="Calibri"/>
      <w:szCs w:val="22"/>
    </w:rPr>
  </w:style>
  <w:style w:type="paragraph" w:customStyle="1" w:styleId="132">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3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4">
    <w:name w:val="Char Char Char Char Char Char Char"/>
    <w:basedOn w:val="1"/>
    <w:qFormat/>
    <w:uiPriority w:val="0"/>
  </w:style>
  <w:style w:type="paragraph" w:customStyle="1" w:styleId="135">
    <w:name w:val="缺省文本"/>
    <w:basedOn w:val="1"/>
    <w:qFormat/>
    <w:uiPriority w:val="0"/>
    <w:pPr>
      <w:autoSpaceDE w:val="0"/>
      <w:autoSpaceDN w:val="0"/>
      <w:adjustRightInd w:val="0"/>
      <w:spacing w:line="360" w:lineRule="auto"/>
      <w:jc w:val="left"/>
    </w:pPr>
    <w:rPr>
      <w:kern w:val="0"/>
      <w:sz w:val="24"/>
      <w:szCs w:val="20"/>
    </w:rPr>
  </w:style>
  <w:style w:type="paragraph" w:customStyle="1" w:styleId="136">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7">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8">
    <w:name w:val="样式1"/>
    <w:basedOn w:val="1"/>
    <w:qFormat/>
    <w:uiPriority w:val="0"/>
    <w:pPr>
      <w:spacing w:before="120" w:after="120" w:line="300" w:lineRule="auto"/>
    </w:pPr>
    <w:rPr>
      <w:rFonts w:ascii="宋体" w:hAnsi="宋体"/>
      <w:b/>
      <w:sz w:val="24"/>
      <w:szCs w:val="20"/>
    </w:rPr>
  </w:style>
  <w:style w:type="paragraph" w:customStyle="1" w:styleId="139">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140">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2">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43">
    <w:name w:val="样式 首行缩进:  2 字符"/>
    <w:basedOn w:val="1"/>
    <w:qFormat/>
    <w:uiPriority w:val="0"/>
    <w:pPr>
      <w:spacing w:line="400" w:lineRule="exact"/>
      <w:ind w:firstLine="200" w:firstLineChars="200"/>
    </w:pPr>
    <w:rPr>
      <w:rFonts w:cs="宋体"/>
      <w:sz w:val="24"/>
    </w:rPr>
  </w:style>
  <w:style w:type="paragraph" w:customStyle="1" w:styleId="144">
    <w:name w:val="正文首行缩进两字符"/>
    <w:basedOn w:val="1"/>
    <w:qFormat/>
    <w:uiPriority w:val="0"/>
    <w:pPr>
      <w:spacing w:line="360" w:lineRule="auto"/>
      <w:ind w:firstLine="200" w:firstLineChars="200"/>
    </w:pPr>
  </w:style>
  <w:style w:type="paragraph" w:customStyle="1" w:styleId="145">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46">
    <w:name w:val="444"/>
    <w:basedOn w:val="1"/>
    <w:qFormat/>
    <w:uiPriority w:val="0"/>
    <w:pPr>
      <w:adjustRightInd w:val="0"/>
      <w:spacing w:line="312" w:lineRule="atLeast"/>
      <w:jc w:val="center"/>
      <w:textAlignment w:val="baseline"/>
    </w:pPr>
    <w:rPr>
      <w:b/>
      <w:kern w:val="0"/>
      <w:sz w:val="36"/>
      <w:szCs w:val="36"/>
    </w:rPr>
  </w:style>
  <w:style w:type="paragraph" w:customStyle="1" w:styleId="14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48">
    <w:name w:val="默认段落字体 Para Char Char Char Char Char Char Char Char Char1 Char Char Char Char"/>
    <w:basedOn w:val="1"/>
    <w:qFormat/>
    <w:uiPriority w:val="0"/>
    <w:rPr>
      <w:rFonts w:ascii="Tahoma" w:hAnsi="Tahoma"/>
      <w:sz w:val="24"/>
      <w:szCs w:val="20"/>
    </w:rPr>
  </w:style>
  <w:style w:type="paragraph" w:customStyle="1" w:styleId="149">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150">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51">
    <w:name w:val="Char31"/>
    <w:basedOn w:val="1"/>
    <w:qFormat/>
    <w:uiPriority w:val="0"/>
    <w:pPr>
      <w:tabs>
        <w:tab w:val="left" w:pos="360"/>
      </w:tabs>
      <w:ind w:left="252" w:hanging="252" w:hangingChars="140"/>
    </w:pPr>
    <w:rPr>
      <w:rFonts w:ascii="宋体"/>
      <w:sz w:val="18"/>
      <w:szCs w:val="18"/>
    </w:rPr>
  </w:style>
  <w:style w:type="paragraph" w:customStyle="1" w:styleId="152">
    <w:name w:val="Char Char Char"/>
    <w:basedOn w:val="1"/>
    <w:qFormat/>
    <w:uiPriority w:val="0"/>
    <w:rPr>
      <w:rFonts w:ascii="Tahoma" w:hAnsi="Tahoma"/>
      <w:sz w:val="24"/>
      <w:szCs w:val="20"/>
    </w:rPr>
  </w:style>
  <w:style w:type="paragraph" w:customStyle="1" w:styleId="153">
    <w:name w:val="表格"/>
    <w:basedOn w:val="1"/>
    <w:qFormat/>
    <w:uiPriority w:val="0"/>
    <w:pPr>
      <w:spacing w:line="400" w:lineRule="exact"/>
    </w:pPr>
    <w:rPr>
      <w:sz w:val="24"/>
    </w:rPr>
  </w:style>
  <w:style w:type="paragraph" w:customStyle="1" w:styleId="154">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55">
    <w:name w:val="tgt1"/>
    <w:basedOn w:val="1"/>
    <w:qFormat/>
    <w:uiPriority w:val="0"/>
    <w:pPr>
      <w:widowControl/>
      <w:spacing w:after="150"/>
      <w:jc w:val="left"/>
    </w:pPr>
    <w:rPr>
      <w:rFonts w:ascii="宋体" w:hAnsi="宋体" w:cs="宋体"/>
      <w:kern w:val="0"/>
      <w:sz w:val="24"/>
    </w:rPr>
  </w:style>
  <w:style w:type="paragraph" w:customStyle="1" w:styleId="156">
    <w:name w:val="Char Char Char2"/>
    <w:basedOn w:val="16"/>
    <w:qFormat/>
    <w:uiPriority w:val="0"/>
    <w:pPr>
      <w:adjustRightInd/>
      <w:spacing w:line="240" w:lineRule="auto"/>
      <w:textAlignment w:val="auto"/>
    </w:pPr>
    <w:rPr>
      <w:rFonts w:ascii="Tahoma" w:hAnsi="Tahoma"/>
      <w:kern w:val="2"/>
      <w:sz w:val="24"/>
      <w:szCs w:val="24"/>
    </w:rPr>
  </w:style>
  <w:style w:type="paragraph" w:customStyle="1" w:styleId="157">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5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59">
    <w:name w:val="2-2ji"/>
    <w:basedOn w:val="3"/>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60">
    <w:name w:val="1"/>
    <w:basedOn w:val="1"/>
    <w:next w:val="26"/>
    <w:qFormat/>
    <w:uiPriority w:val="0"/>
    <w:rPr>
      <w:rFonts w:ascii="宋体" w:hAnsi="Courier New"/>
      <w:szCs w:val="20"/>
    </w:rPr>
  </w:style>
  <w:style w:type="paragraph" w:customStyle="1" w:styleId="16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62">
    <w:name w:val="Char Char Char Char Char Char Char1"/>
    <w:basedOn w:val="1"/>
    <w:qFormat/>
    <w:uiPriority w:val="0"/>
  </w:style>
  <w:style w:type="paragraph" w:customStyle="1" w:styleId="163">
    <w:name w:val="五号正文（标准）"/>
    <w:basedOn w:val="1"/>
    <w:qFormat/>
    <w:uiPriority w:val="0"/>
    <w:pPr>
      <w:spacing w:line="360" w:lineRule="auto"/>
      <w:ind w:right="55" w:firstLine="560" w:firstLineChars="200"/>
    </w:pPr>
    <w:rPr>
      <w:rFonts w:eastAsia="仿宋_GB2312"/>
      <w:sz w:val="28"/>
      <w:szCs w:val="20"/>
    </w:rPr>
  </w:style>
  <w:style w:type="paragraph" w:customStyle="1" w:styleId="164">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65">
    <w:name w:val="F2"/>
    <w:basedOn w:val="1"/>
    <w:qFormat/>
    <w:uiPriority w:val="0"/>
    <w:pPr>
      <w:autoSpaceDE w:val="0"/>
      <w:autoSpaceDN w:val="0"/>
      <w:adjustRightInd w:val="0"/>
      <w:ind w:firstLine="601"/>
      <w:textAlignment w:val="baseline"/>
    </w:pPr>
    <w:rPr>
      <w:kern w:val="0"/>
      <w:sz w:val="24"/>
      <w:szCs w:val="20"/>
    </w:rPr>
  </w:style>
  <w:style w:type="paragraph" w:customStyle="1" w:styleId="166">
    <w:name w:val="普通 (Web)"/>
    <w:basedOn w:val="1"/>
    <w:qFormat/>
    <w:uiPriority w:val="0"/>
    <w:pPr>
      <w:widowControl/>
      <w:spacing w:before="100" w:beforeAutospacing="1" w:after="100" w:afterAutospacing="1"/>
      <w:jc w:val="left"/>
    </w:pPr>
    <w:rPr>
      <w:rFonts w:ascii="宋体" w:hAnsi="宋体"/>
      <w:kern w:val="0"/>
      <w:sz w:val="24"/>
    </w:rPr>
  </w:style>
  <w:style w:type="character" w:customStyle="1" w:styleId="167">
    <w:name w:val="批注文字 字符1"/>
    <w:qFormat/>
    <w:uiPriority w:val="0"/>
    <w:rPr>
      <w:kern w:val="2"/>
      <w:sz w:val="21"/>
      <w:szCs w:val="24"/>
    </w:rPr>
  </w:style>
  <w:style w:type="character" w:customStyle="1" w:styleId="168">
    <w:name w:val="_Style 167"/>
    <w:unhideWhenUsed/>
    <w:qFormat/>
    <w:uiPriority w:val="99"/>
    <w:rPr>
      <w:color w:val="605E5C"/>
      <w:shd w:val="clear" w:color="auto" w:fill="E1DFDD"/>
    </w:rPr>
  </w:style>
  <w:style w:type="character" w:customStyle="1" w:styleId="169">
    <w:name w:val="纯文本 字符1"/>
    <w:qFormat/>
    <w:uiPriority w:val="99"/>
    <w:rPr>
      <w:rFonts w:ascii="宋体" w:hAnsi="Courier New" w:eastAsia="宋体" w:cs="Courier New"/>
      <w:kern w:val="2"/>
      <w:sz w:val="21"/>
      <w:szCs w:val="21"/>
      <w:lang w:val="en-US" w:eastAsia="zh-CN" w:bidi="ar-SA"/>
    </w:rPr>
  </w:style>
  <w:style w:type="character" w:customStyle="1" w:styleId="170">
    <w:name w:val="正文文本 字符1"/>
    <w:qFormat/>
    <w:uiPriority w:val="99"/>
    <w:rPr>
      <w:kern w:val="2"/>
      <w:sz w:val="24"/>
      <w:szCs w:val="24"/>
    </w:rPr>
  </w:style>
  <w:style w:type="paragraph" w:customStyle="1" w:styleId="171">
    <w:name w:val="正文-2字符首行缩进"/>
    <w:basedOn w:val="1"/>
    <w:link w:val="172"/>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2">
    <w:name w:val="正文-2字符首行缩进 Char"/>
    <w:link w:val="171"/>
    <w:qFormat/>
    <w:uiPriority w:val="0"/>
    <w:rPr>
      <w:rFonts w:ascii="仿宋_GB2312" w:hAnsi="Calibri" w:eastAsia="仿宋_GB2312"/>
      <w:sz w:val="28"/>
      <w:szCs w:val="22"/>
    </w:rPr>
  </w:style>
  <w:style w:type="paragraph" w:customStyle="1" w:styleId="173">
    <w:name w:val="纯文本1"/>
    <w:basedOn w:val="1"/>
    <w:next w:val="1"/>
    <w:qFormat/>
    <w:uiPriority w:val="0"/>
    <w:rPr>
      <w:rFonts w:ascii="宋体" w:hAnsi="宋体"/>
      <w:sz w:val="20"/>
      <w:szCs w:val="21"/>
    </w:rPr>
  </w:style>
  <w:style w:type="paragraph" w:customStyle="1" w:styleId="174">
    <w:name w:val="Title1"/>
    <w:basedOn w:val="1"/>
    <w:next w:val="1"/>
    <w:qFormat/>
    <w:uiPriority w:val="0"/>
    <w:pPr>
      <w:jc w:val="center"/>
      <w:outlineLvl w:val="0"/>
    </w:pPr>
    <w:rPr>
      <w:rFonts w:ascii="Calibri Light" w:hAnsi="Calibri Light" w:eastAsia="Arial Unicode MS"/>
      <w:b/>
    </w:rPr>
  </w:style>
  <w:style w:type="paragraph" w:customStyle="1" w:styleId="175">
    <w:name w:val="null3"/>
    <w:hidden/>
    <w:qFormat/>
    <w:uiPriority w:val="0"/>
    <w:rPr>
      <w:rFonts w:hint="eastAsia" w:asciiTheme="minorHAnsi" w:hAnsiTheme="minorHAnsi" w:eastAsiaTheme="minorEastAsia" w:cstheme="minorBidi"/>
      <w:lang w:val="en-US" w:eastAsia="en-US" w:bidi="ar-SA"/>
    </w:rPr>
  </w:style>
  <w:style w:type="character" w:customStyle="1" w:styleId="176">
    <w:name w:val="font11"/>
    <w:basedOn w:val="53"/>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header" Target="header9.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76</Pages>
  <Words>6739</Words>
  <Characters>7352</Characters>
  <Lines>414</Lines>
  <Paragraphs>116</Paragraphs>
  <TotalTime>20</TotalTime>
  <ScaleCrop>false</ScaleCrop>
  <LinksUpToDate>false</LinksUpToDate>
  <CharactersWithSpaces>7497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2021-12-22T08:58:00Z</dcterms:created>
  <dc:creator>微软用户</dc:creator>
  <cp:lastModifiedBy>LY冰</cp:lastModifiedBy>
  <cp:lastPrinted>2016-03-22T07:52:00Z</cp:lastPrinted>
  <dcterms:modified xsi:type="dcterms:W3CDTF">2026-08-24T07:15:40Z</dcterms:modified>
  <dc:title>桂财采〔2009〕 号</dc:title>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Level">
    <vt:lpwstr/>
  </property>
  <property fmtid="{D5CDD505-2E9C-101B-9397-08002B2CF9AE}" pid="3" name="Assigned To">
    <vt:lpwstr/>
  </property>
  <property fmtid="{D5CDD505-2E9C-101B-9397-08002B2CF9AE}" pid="4" name="Categories">
    <vt:lpwstr/>
  </property>
  <property fmtid="{D5CDD505-2E9C-101B-9397-08002B2CF9AE}" pid="5" name="ContentTypeId">
    <vt:lpwstr>0x010100766A5C3ADF4EA94E9357209EBD74570E</vt:lpwstr>
  </property>
  <property fmtid="{D5CDD505-2E9C-101B-9397-08002B2CF9AE}" pid="6" name="ICV">
    <vt:lpwstr>BD59C60FE0974B0FB15BF8AFEB833F2F_13</vt:lpwstr>
  </property>
  <property fmtid="{D5CDD505-2E9C-101B-9397-08002B2CF9AE}" pid="7" name="Keywords">
    <vt:lpwstr/>
  </property>
  <property fmtid="{D5CDD505-2E9C-101B-9397-08002B2CF9AE}" pid="8" name="KSOProductBuildVer">
    <vt:lpwstr>2052-12.1.0.28043</vt:lpwstr>
  </property>
  <property fmtid="{D5CDD505-2E9C-101B-9397-08002B2CF9AE}" pid="9" name="KSOTemplateDocerSaveRecord">
    <vt:lpwstr>eyJoZGlkIjoiNDY4Y2IxYTg4MmM0NDhhYmZkMGZlYWYyMjc2YjIwYzQiLCJ1c2VySWQiOiIzMTQ2MjU3MTIifQ==</vt:lpwstr>
  </property>
  <property fmtid="{D5CDD505-2E9C-101B-9397-08002B2CF9AE}" pid="10" name="Slides">
    <vt:lpwstr>0</vt:lpwstr>
  </property>
  <property fmtid="{D5CDD505-2E9C-101B-9397-08002B2CF9AE}" pid="11" name="Subject">
    <vt:lpwstr/>
  </property>
  <property fmtid="{D5CDD505-2E9C-101B-9397-08002B2CF9AE}" pid="12" name="_Author">
    <vt:lpwstr>微软用户</vt:lpwstr>
  </property>
  <property fmtid="{D5CDD505-2E9C-101B-9397-08002B2CF9AE}" pid="13" name="_Category">
    <vt:lpwstr/>
  </property>
  <property fmtid="{D5CDD505-2E9C-101B-9397-08002B2CF9AE}" pid="14" name="_Comments">
    <vt:lpwstr/>
  </property>
</Properties>
</file>