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E469D06">
      <w:pPr>
        <w:tabs>
          <w:tab w:val="left" w:pos="1710"/>
        </w:tabs>
        <w:rPr>
          <w:color w:val="auto"/>
          <w:highlight w:val="none"/>
        </w:rPr>
      </w:pPr>
      <w:bookmarkStart w:id="0" w:name="_Toc183682338"/>
      <w:bookmarkStart w:id="1" w:name="_Toc217446030"/>
      <w:r>
        <w:rPr>
          <w:rFonts w:hint="eastAsia"/>
          <w:color w:val="auto"/>
          <w:highlight w:val="none"/>
          <w:lang w:eastAsia="zh-CN"/>
        </w:rPr>
        <w:drawing>
          <wp:anchor distT="0" distB="0" distL="114300" distR="114300" simplePos="0" relativeHeight="251660288" behindDoc="1" locked="0" layoutInCell="1" allowOverlap="1">
            <wp:simplePos x="0" y="0"/>
            <wp:positionH relativeFrom="column">
              <wp:posOffset>-1005840</wp:posOffset>
            </wp:positionH>
            <wp:positionV relativeFrom="paragraph">
              <wp:posOffset>-945515</wp:posOffset>
            </wp:positionV>
            <wp:extent cx="7694930" cy="10781030"/>
            <wp:effectExtent l="0" t="0" r="127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0"/>
                    <a:stretch>
                      <a:fillRect/>
                    </a:stretch>
                  </pic:blipFill>
                  <pic:spPr>
                    <a:xfrm>
                      <a:off x="0" y="0"/>
                      <a:ext cx="7694930" cy="10781030"/>
                    </a:xfrm>
                    <a:prstGeom prst="rect">
                      <a:avLst/>
                    </a:prstGeom>
                  </pic:spPr>
                </pic:pic>
              </a:graphicData>
            </a:graphic>
          </wp:anchor>
        </w:drawing>
      </w:r>
    </w:p>
    <w:p w14:paraId="48B62401">
      <w:pPr>
        <w:tabs>
          <w:tab w:val="left" w:pos="1710"/>
        </w:tabs>
        <w:rPr>
          <w:color w:val="auto"/>
          <w:highlight w:val="none"/>
        </w:rPr>
      </w:pPr>
    </w:p>
    <w:p w14:paraId="2EE969A7">
      <w:pPr>
        <w:tabs>
          <w:tab w:val="left" w:pos="1710"/>
        </w:tabs>
        <w:rPr>
          <w:color w:val="auto"/>
          <w:highlight w:val="none"/>
        </w:rPr>
      </w:pPr>
      <w:r>
        <w:rPr>
          <w:rFonts w:hint="eastAsia"/>
          <w:color w:val="auto"/>
          <w:highlight w:val="none"/>
          <w:lang w:eastAsia="zh-CN"/>
        </w:rPr>
        <w:drawing>
          <wp:anchor distT="0" distB="0" distL="114300" distR="114300" simplePos="0" relativeHeight="251661312" behindDoc="0" locked="0" layoutInCell="1" allowOverlap="1">
            <wp:simplePos x="0" y="0"/>
            <wp:positionH relativeFrom="column">
              <wp:posOffset>311785</wp:posOffset>
            </wp:positionH>
            <wp:positionV relativeFrom="paragraph">
              <wp:posOffset>32385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1"/>
                    <a:stretch>
                      <a:fillRect/>
                    </a:stretch>
                  </pic:blipFill>
                  <pic:spPr>
                    <a:xfrm>
                      <a:off x="0" y="0"/>
                      <a:ext cx="4654550" cy="584200"/>
                    </a:xfrm>
                    <a:prstGeom prst="rect">
                      <a:avLst/>
                    </a:prstGeom>
                  </pic:spPr>
                </pic:pic>
              </a:graphicData>
            </a:graphic>
          </wp:anchor>
        </w:drawing>
      </w:r>
    </w:p>
    <w:p w14:paraId="34E1D292">
      <w:pPr>
        <w:tabs>
          <w:tab w:val="left" w:pos="1710"/>
        </w:tabs>
        <w:rPr>
          <w:color w:val="auto"/>
          <w:highlight w:val="none"/>
        </w:rPr>
      </w:pPr>
    </w:p>
    <w:p w14:paraId="39774F24">
      <w:pPr>
        <w:tabs>
          <w:tab w:val="left" w:pos="1710"/>
        </w:tabs>
        <w:rPr>
          <w:color w:val="auto"/>
          <w:highlight w:val="none"/>
        </w:rPr>
      </w:pPr>
    </w:p>
    <w:p w14:paraId="2C5D1A44">
      <w:pPr>
        <w:tabs>
          <w:tab w:val="left" w:pos="1710"/>
        </w:tabs>
        <w:rPr>
          <w:color w:val="auto"/>
          <w:highlight w:val="none"/>
        </w:rPr>
      </w:pPr>
    </w:p>
    <w:p w14:paraId="69EC04ED">
      <w:pPr>
        <w:tabs>
          <w:tab w:val="left" w:pos="1710"/>
        </w:tabs>
        <w:rPr>
          <w:color w:val="auto"/>
          <w:highlight w:val="none"/>
        </w:rPr>
      </w:pPr>
    </w:p>
    <w:p w14:paraId="4B8B59A3">
      <w:pPr>
        <w:tabs>
          <w:tab w:val="left" w:pos="1710"/>
        </w:tabs>
        <w:rPr>
          <w:color w:val="auto"/>
          <w:highlight w:val="none"/>
        </w:rPr>
      </w:pPr>
    </w:p>
    <w:p w14:paraId="5CF20C1F">
      <w:pPr>
        <w:tabs>
          <w:tab w:val="left" w:pos="1710"/>
        </w:tabs>
        <w:rPr>
          <w:color w:val="auto"/>
          <w:highlight w:val="none"/>
        </w:rPr>
      </w:pPr>
    </w:p>
    <w:p w14:paraId="31944A62">
      <w:pPr>
        <w:tabs>
          <w:tab w:val="left" w:pos="1710"/>
        </w:tabs>
        <w:rPr>
          <w:color w:val="auto"/>
          <w:highlight w:val="none"/>
        </w:rPr>
      </w:pPr>
    </w:p>
    <w:p w14:paraId="6209E250">
      <w:pPr>
        <w:tabs>
          <w:tab w:val="left" w:pos="1710"/>
        </w:tabs>
        <w:rPr>
          <w:color w:val="auto"/>
          <w:highlight w:val="none"/>
        </w:rPr>
      </w:pPr>
    </w:p>
    <w:p w14:paraId="65283BBA">
      <w:pPr>
        <w:tabs>
          <w:tab w:val="left" w:pos="1710"/>
        </w:tabs>
        <w:rPr>
          <w:color w:val="auto"/>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196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noWrap w:val="0"/>
            <w:vAlign w:val="top"/>
          </w:tcPr>
          <w:p w14:paraId="7ABB357D">
            <w:pPr>
              <w:snapToGrid w:val="0"/>
              <w:spacing w:line="240" w:lineRule="atLeast"/>
              <w:jc w:val="center"/>
              <w:rPr>
                <w:b/>
                <w:color w:val="auto"/>
                <w:sz w:val="60"/>
                <w:szCs w:val="60"/>
                <w:highlight w:val="none"/>
              </w:rPr>
            </w:pPr>
            <w:r>
              <w:rPr>
                <w:rFonts w:hint="eastAsia"/>
                <w:b/>
                <w:color w:val="auto"/>
                <w:sz w:val="60"/>
                <w:szCs w:val="60"/>
                <w:highlight w:val="none"/>
              </w:rPr>
              <w:t>采购文件</w:t>
            </w:r>
          </w:p>
        </w:tc>
      </w:tr>
      <w:tr w14:paraId="2E54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CC1DAED">
            <w:pPr>
              <w:rPr>
                <w:b/>
                <w:color w:val="auto"/>
                <w:sz w:val="32"/>
                <w:szCs w:val="32"/>
                <w:highlight w:val="none"/>
              </w:rPr>
            </w:pPr>
            <w:r>
              <w:rPr>
                <w:b/>
                <w:color w:val="auto"/>
                <w:sz w:val="32"/>
                <w:szCs w:val="32"/>
                <w:highlight w:val="none"/>
              </w:rPr>
              <w:t>项目名称：</w:t>
            </w:r>
          </w:p>
        </w:tc>
        <w:tc>
          <w:tcPr>
            <w:tcW w:w="5433" w:type="dxa"/>
            <w:noWrap w:val="0"/>
            <w:vAlign w:val="center"/>
          </w:tcPr>
          <w:p w14:paraId="7E6C5A18">
            <w:pPr>
              <w:rPr>
                <w:rFonts w:hint="eastAsia" w:eastAsia="宋体"/>
                <w:b/>
                <w:color w:val="auto"/>
                <w:sz w:val="32"/>
                <w:szCs w:val="32"/>
                <w:highlight w:val="none"/>
                <w:lang w:eastAsia="zh-CN"/>
              </w:rPr>
            </w:pPr>
            <w:r>
              <w:rPr>
                <w:rFonts w:hint="eastAsia"/>
                <w:b/>
                <w:color w:val="auto"/>
                <w:sz w:val="32"/>
                <w:szCs w:val="32"/>
                <w:highlight w:val="none"/>
                <w:lang w:eastAsia="zh-CN"/>
              </w:rPr>
              <w:t>崇左市中心血站购买血液样本核酸检测服务项目</w:t>
            </w:r>
          </w:p>
        </w:tc>
      </w:tr>
      <w:tr w14:paraId="498F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3B69BB05">
            <w:pPr>
              <w:rPr>
                <w:b/>
                <w:color w:val="auto"/>
                <w:sz w:val="32"/>
                <w:szCs w:val="32"/>
                <w:highlight w:val="none"/>
              </w:rPr>
            </w:pPr>
            <w:r>
              <w:rPr>
                <w:b/>
                <w:color w:val="auto"/>
                <w:sz w:val="32"/>
                <w:szCs w:val="32"/>
                <w:highlight w:val="none"/>
              </w:rPr>
              <w:t>项目编号：</w:t>
            </w:r>
          </w:p>
        </w:tc>
        <w:tc>
          <w:tcPr>
            <w:tcW w:w="5433" w:type="dxa"/>
            <w:noWrap w:val="0"/>
            <w:vAlign w:val="center"/>
          </w:tcPr>
          <w:p w14:paraId="357F5E13">
            <w:pPr>
              <w:rPr>
                <w:b/>
                <w:color w:val="auto"/>
                <w:sz w:val="32"/>
                <w:szCs w:val="32"/>
                <w:highlight w:val="none"/>
              </w:rPr>
            </w:pPr>
            <w:r>
              <w:rPr>
                <w:rFonts w:hint="eastAsia"/>
                <w:b/>
                <w:color w:val="auto"/>
                <w:sz w:val="32"/>
                <w:szCs w:val="32"/>
                <w:highlight w:val="none"/>
              </w:rPr>
              <w:t>CZZC2026-J3-990167-JDZB</w:t>
            </w:r>
          </w:p>
        </w:tc>
      </w:tr>
      <w:tr w14:paraId="65D7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582DC2D">
            <w:pPr>
              <w:rPr>
                <w:b/>
                <w:color w:val="auto"/>
                <w:sz w:val="32"/>
                <w:szCs w:val="32"/>
                <w:highlight w:val="none"/>
              </w:rPr>
            </w:pPr>
            <w:r>
              <w:rPr>
                <w:b/>
                <w:color w:val="auto"/>
                <w:sz w:val="32"/>
                <w:szCs w:val="32"/>
                <w:highlight w:val="none"/>
              </w:rPr>
              <w:t>联系电话：</w:t>
            </w:r>
          </w:p>
        </w:tc>
        <w:tc>
          <w:tcPr>
            <w:tcW w:w="5433" w:type="dxa"/>
            <w:noWrap w:val="0"/>
            <w:vAlign w:val="center"/>
          </w:tcPr>
          <w:p w14:paraId="7242B7B8">
            <w:pPr>
              <w:rPr>
                <w:rFonts w:hint="eastAsia" w:eastAsia="宋体"/>
                <w:b/>
                <w:color w:val="auto"/>
                <w:sz w:val="32"/>
                <w:szCs w:val="32"/>
                <w:highlight w:val="none"/>
                <w:lang w:eastAsia="zh-CN"/>
              </w:rPr>
            </w:pPr>
            <w:r>
              <w:rPr>
                <w:rFonts w:hint="eastAsia"/>
                <w:b/>
                <w:color w:val="auto"/>
                <w:sz w:val="32"/>
                <w:szCs w:val="32"/>
                <w:highlight w:val="none"/>
                <w:lang w:eastAsia="zh-CN"/>
              </w:rPr>
              <w:t>0771-2808981</w:t>
            </w:r>
          </w:p>
        </w:tc>
      </w:tr>
      <w:tr w14:paraId="5AD1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38E00319">
            <w:pPr>
              <w:rPr>
                <w:b/>
                <w:color w:val="auto"/>
                <w:sz w:val="32"/>
                <w:szCs w:val="32"/>
                <w:highlight w:val="none"/>
              </w:rPr>
            </w:pPr>
            <w:r>
              <w:rPr>
                <w:rFonts w:hint="eastAsia"/>
                <w:b/>
                <w:color w:val="auto"/>
                <w:sz w:val="32"/>
                <w:szCs w:val="32"/>
                <w:highlight w:val="none"/>
              </w:rPr>
              <w:t>采购方式：</w:t>
            </w:r>
          </w:p>
        </w:tc>
        <w:tc>
          <w:tcPr>
            <w:tcW w:w="5433" w:type="dxa"/>
            <w:noWrap w:val="0"/>
            <w:vAlign w:val="center"/>
          </w:tcPr>
          <w:p w14:paraId="4C4532CB">
            <w:pPr>
              <w:rPr>
                <w:b/>
                <w:color w:val="auto"/>
                <w:sz w:val="32"/>
                <w:szCs w:val="32"/>
                <w:highlight w:val="none"/>
              </w:rPr>
            </w:pPr>
            <w:r>
              <w:rPr>
                <w:rFonts w:hint="eastAsia"/>
                <w:b/>
                <w:color w:val="auto"/>
                <w:sz w:val="32"/>
                <w:szCs w:val="32"/>
                <w:highlight w:val="none"/>
              </w:rPr>
              <w:t>竞争性谈判</w:t>
            </w:r>
          </w:p>
        </w:tc>
      </w:tr>
    </w:tbl>
    <w:p w14:paraId="2394C5DD">
      <w:pPr>
        <w:tabs>
          <w:tab w:val="left" w:pos="1710"/>
        </w:tabs>
        <w:rPr>
          <w:color w:val="auto"/>
          <w:highlight w:val="none"/>
        </w:rPr>
      </w:pPr>
    </w:p>
    <w:p w14:paraId="0D45C063">
      <w:pPr>
        <w:rPr>
          <w:color w:val="auto"/>
          <w:highlight w:val="none"/>
        </w:rPr>
      </w:pPr>
    </w:p>
    <w:p w14:paraId="3B23BC93">
      <w:pPr>
        <w:rPr>
          <w:color w:val="auto"/>
          <w:highlight w:val="none"/>
        </w:rPr>
      </w:pPr>
    </w:p>
    <w:p w14:paraId="71312CC0">
      <w:pPr>
        <w:rPr>
          <w:color w:val="auto"/>
          <w:highlight w:val="none"/>
        </w:rPr>
      </w:pPr>
    </w:p>
    <w:p w14:paraId="7F0AAA25">
      <w:pPr>
        <w:rPr>
          <w:color w:val="auto"/>
          <w:highlight w:val="none"/>
        </w:rPr>
      </w:pPr>
    </w:p>
    <w:p w14:paraId="773B2DC1">
      <w:pPr>
        <w:rPr>
          <w:color w:val="auto"/>
          <w:highlight w:val="none"/>
        </w:rPr>
      </w:pPr>
    </w:p>
    <w:p w14:paraId="09245B1B">
      <w:pPr>
        <w:rPr>
          <w:color w:val="auto"/>
          <w:highlight w:val="none"/>
        </w:rPr>
      </w:pPr>
    </w:p>
    <w:p w14:paraId="01C47A49">
      <w:pPr>
        <w:rPr>
          <w:color w:val="auto"/>
          <w:highlight w:val="none"/>
        </w:rPr>
      </w:pPr>
    </w:p>
    <w:p w14:paraId="71600A66">
      <w:pPr>
        <w:rPr>
          <w:color w:val="auto"/>
          <w:highlight w:val="none"/>
        </w:rPr>
      </w:pPr>
    </w:p>
    <w:p w14:paraId="65AFFCAF">
      <w:pPr>
        <w:rPr>
          <w:color w:val="auto"/>
          <w:highlight w:val="none"/>
        </w:rPr>
      </w:pPr>
    </w:p>
    <w:p w14:paraId="42B9D9F4">
      <w:pPr>
        <w:rPr>
          <w:color w:val="auto"/>
          <w:highlight w:val="none"/>
        </w:rPr>
      </w:pPr>
    </w:p>
    <w:p w14:paraId="0BA3D674">
      <w:pPr>
        <w:rPr>
          <w:color w:val="auto"/>
          <w:highlight w:val="none"/>
        </w:rPr>
      </w:pPr>
    </w:p>
    <w:p w14:paraId="74D84E6F">
      <w:pPr>
        <w:rPr>
          <w:color w:val="auto"/>
          <w:highlight w:val="none"/>
        </w:rPr>
      </w:pPr>
    </w:p>
    <w:p w14:paraId="412932B0">
      <w:pPr>
        <w:rPr>
          <w:color w:val="auto"/>
          <w:highlight w:val="none"/>
        </w:rPr>
      </w:pPr>
    </w:p>
    <w:p w14:paraId="506B3C1E">
      <w:pPr>
        <w:rPr>
          <w:color w:val="auto"/>
          <w:highlight w:val="none"/>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231F3A2C">
        <w:tblPrEx>
          <w:tblCellMar>
            <w:top w:w="0" w:type="dxa"/>
            <w:left w:w="108" w:type="dxa"/>
            <w:bottom w:w="0" w:type="dxa"/>
            <w:right w:w="108" w:type="dxa"/>
          </w:tblCellMar>
        </w:tblPrEx>
        <w:trPr>
          <w:trHeight w:val="703" w:hRule="atLeast"/>
          <w:jc w:val="center"/>
        </w:trPr>
        <w:tc>
          <w:tcPr>
            <w:tcW w:w="2707" w:type="dxa"/>
            <w:noWrap w:val="0"/>
            <w:vAlign w:val="center"/>
          </w:tcPr>
          <w:p w14:paraId="0579024C">
            <w:pP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noWrap w:val="0"/>
            <w:vAlign w:val="center"/>
          </w:tcPr>
          <w:p w14:paraId="5FF9F55E">
            <w:pPr>
              <w:autoSpaceDE w:val="0"/>
              <w:autoSpaceDN w:val="0"/>
              <w:adjustRightInd w:val="0"/>
              <w:jc w:val="left"/>
              <w:rPr>
                <w:b/>
                <w:color w:val="auto"/>
                <w:sz w:val="32"/>
                <w:szCs w:val="32"/>
                <w:highlight w:val="none"/>
              </w:rPr>
            </w:pPr>
            <w:r>
              <w:rPr>
                <w:rFonts w:hint="eastAsia"/>
                <w:b/>
                <w:color w:val="auto"/>
                <w:sz w:val="32"/>
                <w:szCs w:val="32"/>
                <w:highlight w:val="none"/>
              </w:rPr>
              <w:t>崇左市中心血站</w:t>
            </w:r>
          </w:p>
        </w:tc>
      </w:tr>
      <w:tr w14:paraId="0AF84F7F">
        <w:tblPrEx>
          <w:tblCellMar>
            <w:top w:w="0" w:type="dxa"/>
            <w:left w:w="108" w:type="dxa"/>
            <w:bottom w:w="0" w:type="dxa"/>
            <w:right w:w="108" w:type="dxa"/>
          </w:tblCellMar>
        </w:tblPrEx>
        <w:trPr>
          <w:trHeight w:val="703" w:hRule="atLeast"/>
          <w:jc w:val="center"/>
        </w:trPr>
        <w:tc>
          <w:tcPr>
            <w:tcW w:w="2713" w:type="dxa"/>
            <w:gridSpan w:val="2"/>
            <w:noWrap w:val="0"/>
            <w:vAlign w:val="top"/>
          </w:tcPr>
          <w:p w14:paraId="44780176">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noWrap w:val="0"/>
            <w:vAlign w:val="top"/>
          </w:tcPr>
          <w:p w14:paraId="4E152AB8">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2A2F528F">
      <w:pPr>
        <w:rPr>
          <w:color w:val="auto"/>
          <w:highlight w:val="none"/>
        </w:rPr>
      </w:pPr>
    </w:p>
    <w:p w14:paraId="6B880D8E">
      <w:pPr>
        <w:ind w:firstLine="321" w:firstLineChars="100"/>
        <w:jc w:val="center"/>
        <w:rPr>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b/>
          <w:color w:val="auto"/>
          <w:sz w:val="32"/>
          <w:szCs w:val="32"/>
          <w:highlight w:val="none"/>
        </w:rPr>
        <w:t>202</w:t>
      </w:r>
      <w:r>
        <w:rPr>
          <w:rFonts w:hint="eastAsia"/>
          <w:b/>
          <w:color w:val="auto"/>
          <w:sz w:val="32"/>
          <w:szCs w:val="32"/>
          <w:highlight w:val="none"/>
          <w:lang w:val="en-US" w:eastAsia="zh-CN"/>
        </w:rPr>
        <w:t>6</w:t>
      </w:r>
      <w:r>
        <w:rPr>
          <w:b/>
          <w:color w:val="auto"/>
          <w:sz w:val="32"/>
          <w:szCs w:val="32"/>
          <w:highlight w:val="none"/>
        </w:rPr>
        <w:t>年</w:t>
      </w:r>
      <w:r>
        <w:rPr>
          <w:rFonts w:hint="eastAsia"/>
          <w:b/>
          <w:color w:val="auto"/>
          <w:sz w:val="32"/>
          <w:szCs w:val="32"/>
          <w:highlight w:val="none"/>
          <w:lang w:val="en-US" w:eastAsia="zh-CN"/>
        </w:rPr>
        <w:t>8</w:t>
      </w:r>
      <w:r>
        <w:rPr>
          <w:b/>
          <w:color w:val="auto"/>
          <w:sz w:val="32"/>
          <w:szCs w:val="32"/>
          <w:highlight w:val="none"/>
        </w:rPr>
        <w:t>月</w:t>
      </w:r>
    </w:p>
    <w:p w14:paraId="0B8F1CAB">
      <w:pPr>
        <w:rPr>
          <w:color w:val="auto"/>
          <w:sz w:val="32"/>
          <w:szCs w:val="32"/>
          <w:highlight w:val="none"/>
        </w:rPr>
      </w:pPr>
    </w:p>
    <w:p w14:paraId="573607CE">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 w:name="_Toc25485"/>
      <w:bookmarkStart w:id="3" w:name="_Toc25234"/>
      <w:bookmarkStart w:id="4" w:name="_Toc30352"/>
      <w:bookmarkStart w:id="5" w:name="_Toc17133"/>
      <w:bookmarkStart w:id="6" w:name="_Toc10651"/>
      <w:r>
        <w:rPr>
          <w:rFonts w:ascii="Times New Roman" w:hAnsi="Times New Roman" w:cs="Times New Roman"/>
          <w:color w:val="auto"/>
          <w:sz w:val="32"/>
          <w:szCs w:val="32"/>
          <w:highlight w:val="none"/>
        </w:rPr>
        <w:t>目    录</w:t>
      </w:r>
      <w:bookmarkEnd w:id="2"/>
      <w:bookmarkEnd w:id="3"/>
      <w:bookmarkEnd w:id="4"/>
      <w:bookmarkEnd w:id="5"/>
      <w:bookmarkEnd w:id="6"/>
    </w:p>
    <w:p w14:paraId="34B8E9DC">
      <w:pPr>
        <w:pStyle w:val="33"/>
        <w:tabs>
          <w:tab w:val="right" w:leader="dot" w:pos="9070"/>
          <w:tab w:val="clear" w:pos="8398"/>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TOC \o "1-1" \h \u </w:instrText>
      </w:r>
      <w:r>
        <w:rPr>
          <w:rFonts w:ascii="Times New Roman" w:hAnsi="Times New Roman"/>
          <w:color w:val="auto"/>
          <w:highlight w:val="none"/>
        </w:rPr>
        <w:fldChar w:fldCharType="separate"/>
      </w:r>
      <w:r>
        <w:rPr>
          <w:rFonts w:ascii="Times New Roman" w:hAnsi="Times New Roman"/>
          <w:color w:val="auto"/>
          <w:highlight w:val="none"/>
        </w:rPr>
        <w:fldChar w:fldCharType="begin"/>
      </w:r>
      <w:r>
        <w:rPr>
          <w:rFonts w:ascii="Times New Roman" w:hAnsi="Times New Roman"/>
          <w:color w:val="auto"/>
          <w:highlight w:val="none"/>
        </w:rPr>
        <w:instrText xml:space="preserve"> HYPERLINK \l _Toc27207 </w:instrText>
      </w:r>
      <w:r>
        <w:rPr>
          <w:rFonts w:ascii="Times New Roman" w:hAnsi="Times New Roman"/>
          <w:color w:val="auto"/>
          <w:highlight w:val="none"/>
        </w:rPr>
        <w:fldChar w:fldCharType="separate"/>
      </w:r>
      <w:r>
        <w:rPr>
          <w:rFonts w:ascii="Times New Roman" w:hAnsi="Times New Roman" w:cs="Times New Roman"/>
          <w:color w:val="auto"/>
          <w:szCs w:val="32"/>
          <w:highlight w:val="none"/>
        </w:rPr>
        <w:t>第一章  竞争性谈判公告</w:t>
      </w:r>
      <w:r>
        <w:rPr>
          <w:color w:val="auto"/>
          <w:highlight w:val="none"/>
        </w:rPr>
        <w:tab/>
      </w:r>
      <w:r>
        <w:rPr>
          <w:color w:val="auto"/>
          <w:highlight w:val="none"/>
        </w:rPr>
        <w:fldChar w:fldCharType="begin"/>
      </w:r>
      <w:r>
        <w:rPr>
          <w:color w:val="auto"/>
          <w:highlight w:val="none"/>
        </w:rPr>
        <w:instrText xml:space="preserve"> PAGEREF _Toc27207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olor w:val="auto"/>
          <w:highlight w:val="none"/>
        </w:rPr>
        <w:fldChar w:fldCharType="end"/>
      </w:r>
    </w:p>
    <w:p w14:paraId="7591FD9B">
      <w:pPr>
        <w:pStyle w:val="33"/>
        <w:tabs>
          <w:tab w:val="right" w:leader="dot" w:pos="9070"/>
          <w:tab w:val="clear" w:pos="8398"/>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_Toc11415 </w:instrText>
      </w:r>
      <w:r>
        <w:rPr>
          <w:rFonts w:ascii="Times New Roman" w:hAnsi="Times New Roman"/>
          <w:color w:val="auto"/>
          <w:highlight w:val="none"/>
        </w:rPr>
        <w:fldChar w:fldCharType="separate"/>
      </w:r>
      <w:r>
        <w:rPr>
          <w:rFonts w:ascii="Times New Roman" w:hAnsi="Times New Roman" w:cs="Times New Roman"/>
          <w:color w:val="auto"/>
          <w:szCs w:val="32"/>
          <w:highlight w:val="none"/>
        </w:rPr>
        <w:t>第二章  项目采购需求</w:t>
      </w:r>
      <w:r>
        <w:rPr>
          <w:color w:val="auto"/>
          <w:highlight w:val="none"/>
        </w:rPr>
        <w:tab/>
      </w:r>
      <w:r>
        <w:rPr>
          <w:color w:val="auto"/>
          <w:highlight w:val="none"/>
        </w:rPr>
        <w:fldChar w:fldCharType="begin"/>
      </w:r>
      <w:r>
        <w:rPr>
          <w:color w:val="auto"/>
          <w:highlight w:val="none"/>
        </w:rPr>
        <w:instrText xml:space="preserve"> PAGEREF _Toc11415 \h </w:instrText>
      </w:r>
      <w:r>
        <w:rPr>
          <w:color w:val="auto"/>
          <w:highlight w:val="none"/>
        </w:rPr>
        <w:fldChar w:fldCharType="separate"/>
      </w:r>
      <w:r>
        <w:rPr>
          <w:color w:val="auto"/>
          <w:highlight w:val="none"/>
        </w:rPr>
        <w:t>4</w:t>
      </w:r>
      <w:r>
        <w:rPr>
          <w:color w:val="auto"/>
          <w:highlight w:val="none"/>
        </w:rPr>
        <w:fldChar w:fldCharType="end"/>
      </w:r>
      <w:r>
        <w:rPr>
          <w:rFonts w:ascii="Times New Roman" w:hAnsi="Times New Roman"/>
          <w:color w:val="auto"/>
          <w:highlight w:val="none"/>
        </w:rPr>
        <w:fldChar w:fldCharType="end"/>
      </w:r>
    </w:p>
    <w:p w14:paraId="239B0F0D">
      <w:pPr>
        <w:pStyle w:val="33"/>
        <w:tabs>
          <w:tab w:val="right" w:leader="dot" w:pos="9070"/>
          <w:tab w:val="clear" w:pos="8398"/>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_Toc31776 </w:instrText>
      </w:r>
      <w:r>
        <w:rPr>
          <w:rFonts w:ascii="Times New Roman" w:hAnsi="Times New Roman"/>
          <w:color w:val="auto"/>
          <w:highlight w:val="none"/>
        </w:rPr>
        <w:fldChar w:fldCharType="separate"/>
      </w:r>
      <w:r>
        <w:rPr>
          <w:rFonts w:ascii="Times New Roman" w:hAnsi="Times New Roman" w:cs="Times New Roman"/>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_Toc31776 \h </w:instrText>
      </w:r>
      <w:r>
        <w:rPr>
          <w:color w:val="auto"/>
          <w:highlight w:val="none"/>
        </w:rPr>
        <w:fldChar w:fldCharType="separate"/>
      </w:r>
      <w:r>
        <w:rPr>
          <w:color w:val="auto"/>
          <w:highlight w:val="none"/>
        </w:rPr>
        <w:t>13</w:t>
      </w:r>
      <w:r>
        <w:rPr>
          <w:color w:val="auto"/>
          <w:highlight w:val="none"/>
        </w:rPr>
        <w:fldChar w:fldCharType="end"/>
      </w:r>
      <w:r>
        <w:rPr>
          <w:rFonts w:ascii="Times New Roman" w:hAnsi="Times New Roman"/>
          <w:color w:val="auto"/>
          <w:highlight w:val="none"/>
        </w:rPr>
        <w:fldChar w:fldCharType="end"/>
      </w:r>
    </w:p>
    <w:p w14:paraId="57A02332">
      <w:pPr>
        <w:pStyle w:val="33"/>
        <w:tabs>
          <w:tab w:val="right" w:leader="dot" w:pos="9070"/>
          <w:tab w:val="clear" w:pos="8398"/>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_Toc8135 </w:instrText>
      </w:r>
      <w:r>
        <w:rPr>
          <w:rFonts w:ascii="Times New Roman" w:hAnsi="Times New Roman"/>
          <w:color w:val="auto"/>
          <w:highlight w:val="none"/>
        </w:rPr>
        <w:fldChar w:fldCharType="separate"/>
      </w:r>
      <w:r>
        <w:rPr>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_Toc8135 \h </w:instrText>
      </w:r>
      <w:r>
        <w:rPr>
          <w:color w:val="auto"/>
          <w:highlight w:val="none"/>
        </w:rPr>
        <w:fldChar w:fldCharType="separate"/>
      </w:r>
      <w:r>
        <w:rPr>
          <w:color w:val="auto"/>
          <w:highlight w:val="none"/>
        </w:rPr>
        <w:t>38</w:t>
      </w:r>
      <w:r>
        <w:rPr>
          <w:color w:val="auto"/>
          <w:highlight w:val="none"/>
        </w:rPr>
        <w:fldChar w:fldCharType="end"/>
      </w:r>
      <w:r>
        <w:rPr>
          <w:rFonts w:ascii="Times New Roman" w:hAnsi="Times New Roman"/>
          <w:color w:val="auto"/>
          <w:highlight w:val="none"/>
        </w:rPr>
        <w:fldChar w:fldCharType="end"/>
      </w:r>
    </w:p>
    <w:p w14:paraId="0FFB0761">
      <w:pPr>
        <w:pStyle w:val="33"/>
        <w:tabs>
          <w:tab w:val="right" w:leader="dot" w:pos="9070"/>
          <w:tab w:val="clear" w:pos="8398"/>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_Toc15610 </w:instrText>
      </w:r>
      <w:r>
        <w:rPr>
          <w:rFonts w:ascii="Times New Roman" w:hAnsi="Times New Roman"/>
          <w:color w:val="auto"/>
          <w:highlight w:val="none"/>
        </w:rPr>
        <w:fldChar w:fldCharType="separate"/>
      </w:r>
      <w:r>
        <w:rPr>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_Toc15610 \h </w:instrText>
      </w:r>
      <w:r>
        <w:rPr>
          <w:color w:val="auto"/>
          <w:highlight w:val="none"/>
        </w:rPr>
        <w:fldChar w:fldCharType="separate"/>
      </w:r>
      <w:r>
        <w:rPr>
          <w:color w:val="auto"/>
          <w:highlight w:val="none"/>
        </w:rPr>
        <w:t>42</w:t>
      </w:r>
      <w:r>
        <w:rPr>
          <w:color w:val="auto"/>
          <w:highlight w:val="none"/>
        </w:rPr>
        <w:fldChar w:fldCharType="end"/>
      </w:r>
      <w:r>
        <w:rPr>
          <w:rFonts w:ascii="Times New Roman" w:hAnsi="Times New Roman"/>
          <w:color w:val="auto"/>
          <w:highlight w:val="none"/>
        </w:rPr>
        <w:fldChar w:fldCharType="end"/>
      </w:r>
    </w:p>
    <w:p w14:paraId="16D12A01">
      <w:pPr>
        <w:pStyle w:val="33"/>
        <w:tabs>
          <w:tab w:val="right" w:leader="dot" w:pos="9070"/>
          <w:tab w:val="clear" w:pos="8398"/>
        </w:tabs>
        <w:rPr>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HYPERLINK \l _Toc20509 </w:instrText>
      </w:r>
      <w:r>
        <w:rPr>
          <w:rFonts w:ascii="Times New Roman" w:hAnsi="Times New Roman"/>
          <w:color w:val="auto"/>
          <w:highlight w:val="none"/>
        </w:rPr>
        <w:fldChar w:fldCharType="separate"/>
      </w:r>
      <w:r>
        <w:rPr>
          <w:rFonts w:ascii="Times New Roman" w:hAnsi="Times New Roman" w:cs="Times New Roman"/>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_Toc20509 \h </w:instrText>
      </w:r>
      <w:r>
        <w:rPr>
          <w:color w:val="auto"/>
          <w:highlight w:val="none"/>
        </w:rPr>
        <w:fldChar w:fldCharType="separate"/>
      </w:r>
      <w:r>
        <w:rPr>
          <w:color w:val="auto"/>
          <w:highlight w:val="none"/>
        </w:rPr>
        <w:t>47</w:t>
      </w:r>
      <w:r>
        <w:rPr>
          <w:color w:val="auto"/>
          <w:highlight w:val="none"/>
        </w:rPr>
        <w:fldChar w:fldCharType="end"/>
      </w:r>
      <w:r>
        <w:rPr>
          <w:rFonts w:ascii="Times New Roman" w:hAnsi="Times New Roman"/>
          <w:color w:val="auto"/>
          <w:highlight w:val="none"/>
        </w:rPr>
        <w:fldChar w:fldCharType="end"/>
      </w:r>
    </w:p>
    <w:p w14:paraId="6B9AD201">
      <w:pPr>
        <w:pStyle w:val="33"/>
        <w:ind w:firstLine="241"/>
        <w:rPr>
          <w:rFonts w:ascii="Times New Roman" w:hAnsi="Times New Roman"/>
          <w:color w:val="auto"/>
          <w:sz w:val="28"/>
          <w:szCs w:val="28"/>
          <w:highlight w:val="none"/>
        </w:rPr>
      </w:pPr>
      <w:r>
        <w:rPr>
          <w:rFonts w:ascii="Times New Roman" w:hAnsi="Times New Roman"/>
          <w:color w:val="auto"/>
          <w:highlight w:val="none"/>
        </w:rPr>
        <w:fldChar w:fldCharType="end"/>
      </w:r>
    </w:p>
    <w:p w14:paraId="084AC888">
      <w:pPr>
        <w:spacing w:before="120" w:beforeLines="50" w:line="480" w:lineRule="exact"/>
        <w:rPr>
          <w:color w:val="auto"/>
          <w:sz w:val="28"/>
          <w:szCs w:val="28"/>
          <w:highlight w:val="none"/>
        </w:rPr>
      </w:pPr>
    </w:p>
    <w:p w14:paraId="6910175B">
      <w:pPr>
        <w:spacing w:before="120" w:beforeLines="50" w:line="480" w:lineRule="exact"/>
        <w:rPr>
          <w:color w:val="auto"/>
          <w:sz w:val="30"/>
          <w:highlight w:val="none"/>
        </w:rPr>
        <w:sectPr>
          <w:headerReference r:id="rId7" w:type="first"/>
          <w:pgSz w:w="11906" w:h="16838"/>
          <w:pgMar w:top="1418" w:right="1418" w:bottom="1246" w:left="1418" w:header="851" w:footer="992" w:gutter="0"/>
          <w:pgNumType w:start="0"/>
          <w:cols w:space="720" w:num="1"/>
          <w:titlePg/>
          <w:docGrid w:linePitch="312" w:charSpace="0"/>
        </w:sectPr>
      </w:pPr>
    </w:p>
    <w:p w14:paraId="664C5190">
      <w:pPr>
        <w:rPr>
          <w:color w:val="auto"/>
          <w:highlight w:val="none"/>
        </w:rPr>
      </w:pPr>
      <w:bookmarkStart w:id="7" w:name="_Toc254970630"/>
      <w:bookmarkStart w:id="8" w:name="_Toc254970489"/>
      <w:bookmarkStart w:id="9" w:name="_Toc21148"/>
    </w:p>
    <w:p w14:paraId="71D75592">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10" w:name="_Toc27207"/>
      <w:bookmarkStart w:id="11" w:name="_Toc15112"/>
      <w:bookmarkStart w:id="12" w:name="_Toc18152"/>
      <w:bookmarkStart w:id="13" w:name="_Toc8790"/>
      <w:r>
        <w:rPr>
          <w:rFonts w:ascii="Times New Roman" w:hAnsi="Times New Roman" w:cs="Times New Roman"/>
          <w:color w:val="auto"/>
          <w:sz w:val="32"/>
          <w:szCs w:val="32"/>
          <w:highlight w:val="none"/>
        </w:rPr>
        <w:t xml:space="preserve">第一章  </w:t>
      </w:r>
      <w:bookmarkEnd w:id="7"/>
      <w:bookmarkEnd w:id="8"/>
      <w:r>
        <w:rPr>
          <w:rFonts w:ascii="Times New Roman" w:hAnsi="Times New Roman" w:cs="Times New Roman"/>
          <w:color w:val="auto"/>
          <w:sz w:val="32"/>
          <w:szCs w:val="32"/>
          <w:highlight w:val="none"/>
        </w:rPr>
        <w:t>竞争性谈判公告</w:t>
      </w:r>
      <w:bookmarkEnd w:id="9"/>
      <w:bookmarkEnd w:id="10"/>
      <w:bookmarkEnd w:id="11"/>
      <w:bookmarkEnd w:id="12"/>
      <w:bookmarkEnd w:id="13"/>
    </w:p>
    <w:p w14:paraId="08621D87">
      <w:pPr>
        <w:spacing w:line="400" w:lineRule="exact"/>
        <w:jc w:val="center"/>
        <w:rPr>
          <w:rFonts w:hint="eastAsia"/>
          <w:color w:val="auto"/>
          <w:kern w:val="0"/>
          <w:sz w:val="24"/>
          <w:highlight w:val="none"/>
          <w:lang w:eastAsia="zh-CN"/>
        </w:rPr>
      </w:pPr>
      <w:r>
        <w:rPr>
          <w:color w:val="auto"/>
          <w:kern w:val="0"/>
          <w:sz w:val="24"/>
          <w:highlight w:val="none"/>
        </w:rPr>
        <w:t>广西机电设备招标有限公司关于</w:t>
      </w:r>
      <w:r>
        <w:rPr>
          <w:rFonts w:hint="eastAsia"/>
          <w:color w:val="auto"/>
          <w:kern w:val="0"/>
          <w:sz w:val="24"/>
          <w:highlight w:val="none"/>
          <w:lang w:eastAsia="zh-CN"/>
        </w:rPr>
        <w:t>崇左市中心血站购买血液样本核酸检测服务项目</w:t>
      </w:r>
    </w:p>
    <w:p w14:paraId="18943420">
      <w:pPr>
        <w:spacing w:line="400" w:lineRule="exact"/>
        <w:jc w:val="center"/>
        <w:rPr>
          <w:color w:val="auto"/>
          <w:kern w:val="0"/>
          <w:sz w:val="24"/>
          <w:highlight w:val="none"/>
        </w:rPr>
      </w:pPr>
      <w:r>
        <w:rPr>
          <w:color w:val="auto"/>
          <w:kern w:val="0"/>
          <w:sz w:val="24"/>
          <w:highlight w:val="none"/>
        </w:rPr>
        <w:t>竞争性谈判公告</w:t>
      </w:r>
    </w:p>
    <w:p w14:paraId="255A8854">
      <w:pPr>
        <w:ind w:firstLine="409" w:firstLineChars="195"/>
        <w:jc w:val="left"/>
        <w:rPr>
          <w:color w:val="auto"/>
          <w:kern w:val="0"/>
          <w:szCs w:val="21"/>
          <w:highlight w:val="none"/>
        </w:rPr>
      </w:pPr>
    </w:p>
    <w:p w14:paraId="323E4658">
      <w:pPr>
        <w:spacing w:line="312" w:lineRule="auto"/>
        <w:ind w:firstLine="420" w:firstLineChars="200"/>
        <w:jc w:val="left"/>
        <w:rPr>
          <w:b/>
          <w:bCs/>
          <w:color w:val="auto"/>
          <w:kern w:val="0"/>
          <w:sz w:val="22"/>
          <w:szCs w:val="22"/>
          <w:highlight w:val="none"/>
        </w:rPr>
      </w:pPr>
      <w:bookmarkStart w:id="14" w:name="_Hlk132795121"/>
      <w:r>
        <w:rPr>
          <w:rFonts w:hint="eastAsia"/>
          <w:color w:val="auto"/>
          <w:szCs w:val="21"/>
          <w:highlight w:val="none"/>
        </w:rPr>
        <w:t>项目概况：</w:t>
      </w:r>
      <w:r>
        <w:rPr>
          <w:rFonts w:hint="eastAsia"/>
          <w:color w:val="auto"/>
          <w:szCs w:val="21"/>
          <w:highlight w:val="none"/>
          <w:lang w:eastAsia="zh-CN"/>
        </w:rPr>
        <w:t>崇左市中心血站购买血液样本核酸检测服务项目</w:t>
      </w:r>
      <w:r>
        <w:rPr>
          <w:rFonts w:hint="eastAsia"/>
          <w:color w:val="auto"/>
          <w:szCs w:val="21"/>
          <w:highlight w:val="none"/>
        </w:rPr>
        <w:t>的潜在供应商应在广西政府采购云平台（https://www.gcy.zfcg.gxzf.gov.cn/）获取采购文件，并于</w:t>
      </w:r>
      <w:r>
        <w:rPr>
          <w:rFonts w:hint="eastAsia"/>
          <w:color w:val="auto"/>
          <w:szCs w:val="21"/>
          <w:highlight w:val="none"/>
          <w:lang w:val="en-US" w:eastAsia="zh-CN"/>
        </w:rPr>
        <w:t>2026</w:t>
      </w:r>
      <w:r>
        <w:rPr>
          <w:rFonts w:hint="eastAsia"/>
          <w:color w:val="auto"/>
          <w:szCs w:val="21"/>
          <w:highlight w:val="none"/>
        </w:rPr>
        <w:t>年</w:t>
      </w:r>
      <w:r>
        <w:rPr>
          <w:rFonts w:hint="eastAsia"/>
          <w:color w:val="auto"/>
          <w:szCs w:val="21"/>
          <w:highlight w:val="none"/>
          <w:lang w:val="en-US" w:eastAsia="zh-CN"/>
        </w:rPr>
        <w:t>9</w:t>
      </w:r>
      <w:r>
        <w:rPr>
          <w:rFonts w:hint="eastAsia"/>
          <w:color w:val="auto"/>
          <w:szCs w:val="21"/>
          <w:highlight w:val="none"/>
        </w:rPr>
        <w:t>月</w:t>
      </w:r>
      <w:r>
        <w:rPr>
          <w:rFonts w:hint="eastAsia"/>
          <w:color w:val="auto"/>
          <w:szCs w:val="21"/>
          <w:highlight w:val="none"/>
          <w:lang w:val="en-US" w:eastAsia="zh-CN"/>
        </w:rPr>
        <w:t>7</w:t>
      </w:r>
      <w:r>
        <w:rPr>
          <w:rFonts w:hint="eastAsia"/>
          <w:color w:val="auto"/>
          <w:szCs w:val="21"/>
          <w:highlight w:val="none"/>
        </w:rPr>
        <w:t>日</w:t>
      </w:r>
      <w:r>
        <w:rPr>
          <w:color w:val="auto"/>
          <w:szCs w:val="21"/>
          <w:highlight w:val="none"/>
        </w:rPr>
        <w:t xml:space="preserve"> </w:t>
      </w:r>
      <w:r>
        <w:rPr>
          <w:rFonts w:hint="eastAsia"/>
          <w:color w:val="auto"/>
          <w:szCs w:val="21"/>
          <w:highlight w:val="none"/>
          <w:lang w:val="en-US" w:eastAsia="zh-CN"/>
        </w:rPr>
        <w:t>9</w:t>
      </w:r>
      <w:r>
        <w:rPr>
          <w:color w:val="auto"/>
          <w:szCs w:val="21"/>
          <w:highlight w:val="none"/>
        </w:rPr>
        <w:t>:30</w:t>
      </w:r>
      <w:r>
        <w:rPr>
          <w:rFonts w:hint="eastAsia"/>
          <w:color w:val="auto"/>
          <w:szCs w:val="21"/>
          <w:highlight w:val="none"/>
        </w:rPr>
        <w:t>（北京时间）前提交响应文件。</w:t>
      </w:r>
      <w:bookmarkEnd w:id="14"/>
    </w:p>
    <w:p w14:paraId="3774E74C">
      <w:pPr>
        <w:spacing w:line="276"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一、项目基本情况</w:t>
      </w:r>
    </w:p>
    <w:p w14:paraId="4E26BC9F">
      <w:pPr>
        <w:spacing w:line="276" w:lineRule="auto"/>
        <w:ind w:firstLine="420" w:firstLineChars="200"/>
        <w:jc w:val="left"/>
        <w:rPr>
          <w:rFonts w:hint="eastAsia" w:eastAsia="宋体"/>
          <w:color w:val="auto"/>
          <w:kern w:val="0"/>
          <w:szCs w:val="21"/>
          <w:highlight w:val="none"/>
          <w:lang w:eastAsia="zh-CN"/>
        </w:rPr>
      </w:pPr>
      <w:r>
        <w:rPr>
          <w:color w:val="auto"/>
          <w:kern w:val="0"/>
          <w:szCs w:val="21"/>
          <w:highlight w:val="none"/>
        </w:rPr>
        <w:t>项目编号：</w:t>
      </w:r>
      <w:r>
        <w:rPr>
          <w:rFonts w:hint="eastAsia"/>
          <w:color w:val="auto"/>
          <w:kern w:val="0"/>
          <w:szCs w:val="21"/>
          <w:highlight w:val="none"/>
          <w:lang w:eastAsia="zh-CN"/>
        </w:rPr>
        <w:t>CZZC2026-J3-990167-JDZB</w:t>
      </w:r>
    </w:p>
    <w:p w14:paraId="4BA6C208">
      <w:pPr>
        <w:spacing w:line="312" w:lineRule="auto"/>
        <w:ind w:firstLine="420" w:firstLineChars="200"/>
        <w:jc w:val="left"/>
        <w:rPr>
          <w:rFonts w:hint="eastAsia"/>
          <w:color w:val="auto"/>
          <w:kern w:val="0"/>
          <w:szCs w:val="21"/>
          <w:highlight w:val="none"/>
        </w:rPr>
      </w:pPr>
      <w:r>
        <w:rPr>
          <w:color w:val="auto"/>
          <w:kern w:val="0"/>
          <w:szCs w:val="21"/>
          <w:highlight w:val="none"/>
        </w:rPr>
        <w:t>项目名称：</w:t>
      </w:r>
      <w:r>
        <w:rPr>
          <w:rFonts w:hint="eastAsia"/>
          <w:color w:val="auto"/>
          <w:kern w:val="0"/>
          <w:szCs w:val="21"/>
          <w:highlight w:val="none"/>
        </w:rPr>
        <w:t>崇左市中心血站购买血液样本核酸检测服务项目</w:t>
      </w:r>
    </w:p>
    <w:p w14:paraId="08E40885">
      <w:pPr>
        <w:spacing w:line="312" w:lineRule="auto"/>
        <w:ind w:firstLine="420" w:firstLineChars="200"/>
        <w:jc w:val="left"/>
        <w:rPr>
          <w:color w:val="auto"/>
          <w:kern w:val="0"/>
          <w:szCs w:val="21"/>
          <w:highlight w:val="none"/>
        </w:rPr>
      </w:pPr>
      <w:r>
        <w:rPr>
          <w:rFonts w:hint="eastAsia"/>
          <w:color w:val="auto"/>
          <w:kern w:val="0"/>
          <w:szCs w:val="21"/>
          <w:highlight w:val="none"/>
        </w:rPr>
        <w:t>采购方式：竞争性谈判</w:t>
      </w:r>
    </w:p>
    <w:p w14:paraId="249A8E4F">
      <w:pPr>
        <w:spacing w:line="312" w:lineRule="auto"/>
        <w:ind w:firstLine="420" w:firstLineChars="200"/>
        <w:jc w:val="left"/>
        <w:rPr>
          <w:color w:val="auto"/>
          <w:kern w:val="0"/>
          <w:szCs w:val="21"/>
          <w:highlight w:val="none"/>
        </w:rPr>
      </w:pPr>
      <w:bookmarkStart w:id="15" w:name="_Hlk132878038"/>
      <w:r>
        <w:rPr>
          <w:color w:val="auto"/>
          <w:kern w:val="0"/>
          <w:szCs w:val="21"/>
          <w:highlight w:val="none"/>
        </w:rPr>
        <w:t>预算</w:t>
      </w:r>
      <w:r>
        <w:rPr>
          <w:rFonts w:hint="eastAsia"/>
          <w:color w:val="auto"/>
          <w:kern w:val="0"/>
          <w:szCs w:val="21"/>
          <w:highlight w:val="none"/>
        </w:rPr>
        <w:t>总</w:t>
      </w:r>
      <w:r>
        <w:rPr>
          <w:color w:val="auto"/>
          <w:kern w:val="0"/>
          <w:szCs w:val="21"/>
          <w:highlight w:val="none"/>
        </w:rPr>
        <w:t>金额</w:t>
      </w:r>
      <w:r>
        <w:rPr>
          <w:rFonts w:hint="eastAsia"/>
          <w:color w:val="auto"/>
          <w:kern w:val="0"/>
          <w:szCs w:val="21"/>
          <w:highlight w:val="none"/>
        </w:rPr>
        <w:t>（元）</w:t>
      </w:r>
      <w:r>
        <w:rPr>
          <w:color w:val="auto"/>
          <w:kern w:val="0"/>
          <w:szCs w:val="21"/>
          <w:highlight w:val="none"/>
        </w:rPr>
        <w:t>：</w:t>
      </w:r>
      <w:r>
        <w:rPr>
          <w:rFonts w:hint="eastAsia"/>
          <w:color w:val="auto"/>
          <w:kern w:val="0"/>
          <w:szCs w:val="21"/>
          <w:highlight w:val="none"/>
        </w:rPr>
        <w:t>900000.00</w:t>
      </w:r>
    </w:p>
    <w:bookmarkEnd w:id="15"/>
    <w:p w14:paraId="71EF9819">
      <w:pPr>
        <w:spacing w:line="312" w:lineRule="auto"/>
        <w:ind w:firstLine="420" w:firstLineChars="200"/>
        <w:jc w:val="left"/>
        <w:rPr>
          <w:color w:val="auto"/>
          <w:kern w:val="0"/>
          <w:szCs w:val="21"/>
          <w:highlight w:val="none"/>
        </w:rPr>
      </w:pPr>
      <w:r>
        <w:rPr>
          <w:rFonts w:hint="eastAsia"/>
          <w:color w:val="auto"/>
          <w:kern w:val="0"/>
          <w:szCs w:val="21"/>
          <w:highlight w:val="none"/>
        </w:rPr>
        <w:t>采购需求</w:t>
      </w:r>
      <w:r>
        <w:rPr>
          <w:color w:val="auto"/>
          <w:kern w:val="0"/>
          <w:szCs w:val="21"/>
          <w:highlight w:val="none"/>
        </w:rPr>
        <w:t>：</w:t>
      </w:r>
    </w:p>
    <w:p w14:paraId="53FF26D3">
      <w:pPr>
        <w:spacing w:line="312" w:lineRule="auto"/>
        <w:ind w:firstLine="735" w:firstLineChars="350"/>
        <w:jc w:val="left"/>
        <w:rPr>
          <w:color w:val="auto"/>
          <w:kern w:val="0"/>
          <w:szCs w:val="21"/>
          <w:highlight w:val="none"/>
        </w:rPr>
      </w:pPr>
      <w:r>
        <w:rPr>
          <w:rFonts w:hint="eastAsia"/>
          <w:color w:val="auto"/>
          <w:kern w:val="0"/>
          <w:szCs w:val="21"/>
          <w:highlight w:val="none"/>
        </w:rPr>
        <w:t>标项名称：崇左市中心血站购买血液样本核酸检测服务项目</w:t>
      </w:r>
    </w:p>
    <w:p w14:paraId="775B0F13">
      <w:pPr>
        <w:spacing w:line="312" w:lineRule="auto"/>
        <w:ind w:firstLine="735" w:firstLineChars="350"/>
        <w:jc w:val="left"/>
        <w:rPr>
          <w:rFonts w:hint="default" w:eastAsia="宋体"/>
          <w:color w:val="auto"/>
          <w:kern w:val="0"/>
          <w:szCs w:val="21"/>
          <w:highlight w:val="none"/>
          <w:lang w:val="en-US" w:eastAsia="zh-CN"/>
        </w:rPr>
      </w:pPr>
      <w:r>
        <w:rPr>
          <w:rFonts w:hint="eastAsia"/>
          <w:color w:val="auto"/>
          <w:kern w:val="0"/>
          <w:szCs w:val="21"/>
          <w:highlight w:val="none"/>
        </w:rPr>
        <w:t>数量：</w:t>
      </w:r>
      <w:r>
        <w:rPr>
          <w:rFonts w:hint="eastAsia"/>
          <w:color w:val="auto"/>
          <w:kern w:val="0"/>
          <w:szCs w:val="21"/>
          <w:highlight w:val="none"/>
          <w:lang w:val="en-US" w:eastAsia="zh-CN"/>
        </w:rPr>
        <w:t>1项</w:t>
      </w:r>
    </w:p>
    <w:p w14:paraId="499849C4">
      <w:pPr>
        <w:spacing w:line="312" w:lineRule="auto"/>
        <w:ind w:firstLine="735" w:firstLineChars="350"/>
        <w:jc w:val="left"/>
        <w:rPr>
          <w:color w:val="auto"/>
          <w:kern w:val="0"/>
          <w:szCs w:val="21"/>
          <w:highlight w:val="none"/>
        </w:rPr>
      </w:pPr>
      <w:r>
        <w:rPr>
          <w:rFonts w:hint="eastAsia"/>
          <w:color w:val="auto"/>
          <w:kern w:val="0"/>
          <w:szCs w:val="21"/>
          <w:highlight w:val="none"/>
        </w:rPr>
        <w:t>预算金额（元）：900000.00</w:t>
      </w:r>
    </w:p>
    <w:p w14:paraId="657D145A">
      <w:pPr>
        <w:spacing w:line="312" w:lineRule="auto"/>
        <w:ind w:firstLine="735" w:firstLineChars="350"/>
        <w:jc w:val="left"/>
        <w:rPr>
          <w:color w:val="auto"/>
          <w:kern w:val="0"/>
          <w:szCs w:val="21"/>
          <w:highlight w:val="none"/>
        </w:rPr>
      </w:pPr>
      <w:r>
        <w:rPr>
          <w:rFonts w:hint="eastAsia"/>
          <w:color w:val="auto"/>
          <w:kern w:val="0"/>
          <w:szCs w:val="21"/>
          <w:highlight w:val="none"/>
        </w:rPr>
        <w:t>简要规格描述或项目基本概况介绍、用途：崇左市中心血站购买血液样本核酸检测服务项目1项，如需进一步了解详细内容，详见谈判文件。</w:t>
      </w:r>
    </w:p>
    <w:p w14:paraId="3F9E414F">
      <w:pPr>
        <w:spacing w:line="312" w:lineRule="auto"/>
        <w:ind w:firstLine="735" w:firstLineChars="350"/>
        <w:jc w:val="left"/>
        <w:rPr>
          <w:rFonts w:hint="eastAsia"/>
          <w:color w:val="auto"/>
          <w:kern w:val="0"/>
          <w:szCs w:val="21"/>
          <w:highlight w:val="none"/>
        </w:rPr>
      </w:pPr>
      <w:r>
        <w:rPr>
          <w:rFonts w:hint="eastAsia"/>
          <w:color w:val="auto"/>
          <w:kern w:val="0"/>
          <w:szCs w:val="21"/>
          <w:highlight w:val="none"/>
        </w:rPr>
        <w:t>最高限价（如有）：</w:t>
      </w:r>
      <w:r>
        <w:rPr>
          <w:rFonts w:hint="eastAsia"/>
          <w:color w:val="auto"/>
          <w:kern w:val="0"/>
          <w:szCs w:val="21"/>
          <w:highlight w:val="none"/>
          <w:lang w:val="en-US" w:eastAsia="zh-CN"/>
        </w:rPr>
        <w:t>9</w:t>
      </w:r>
      <w:r>
        <w:rPr>
          <w:rFonts w:hint="eastAsia"/>
          <w:color w:val="auto"/>
          <w:highlight w:val="none"/>
        </w:rPr>
        <w:t>00000.00</w:t>
      </w:r>
    </w:p>
    <w:p w14:paraId="560AEC57">
      <w:pPr>
        <w:spacing w:line="312" w:lineRule="auto"/>
        <w:ind w:firstLine="735" w:firstLineChars="350"/>
        <w:jc w:val="left"/>
        <w:rPr>
          <w:color w:val="auto"/>
          <w:kern w:val="0"/>
          <w:szCs w:val="21"/>
          <w:highlight w:val="none"/>
        </w:rPr>
      </w:pPr>
      <w:r>
        <w:rPr>
          <w:rFonts w:hint="eastAsia"/>
          <w:color w:val="auto"/>
          <w:kern w:val="0"/>
          <w:szCs w:val="21"/>
          <w:highlight w:val="none"/>
        </w:rPr>
        <w:t>合同履约期限：自签订合同之日起一年。</w:t>
      </w:r>
    </w:p>
    <w:p w14:paraId="7918B82C">
      <w:pPr>
        <w:spacing w:line="312" w:lineRule="auto"/>
        <w:ind w:firstLine="735" w:firstLineChars="35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w:t>
      </w:r>
      <w:r>
        <w:rPr>
          <w:rFonts w:hint="eastAsia"/>
          <w:color w:val="auto"/>
          <w:szCs w:val="21"/>
          <w:highlight w:val="none"/>
        </w:rPr>
        <w:t>否</w:t>
      </w:r>
      <w:r>
        <w:rPr>
          <w:rFonts w:hint="eastAsia"/>
          <w:color w:val="auto"/>
          <w:kern w:val="0"/>
          <w:szCs w:val="21"/>
          <w:highlight w:val="none"/>
        </w:rPr>
        <w:t>）接受</w:t>
      </w:r>
      <w:r>
        <w:rPr>
          <w:color w:val="auto"/>
          <w:kern w:val="0"/>
          <w:szCs w:val="21"/>
          <w:highlight w:val="none"/>
        </w:rPr>
        <w:t>联合体。</w:t>
      </w:r>
    </w:p>
    <w:p w14:paraId="15A08567">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备注：“预算金额”仅为供应商报价提供参考依据，并非实际采购金额。实际采购数量由采购人按实际工作需要做出采购计划进行采购，</w:t>
      </w:r>
      <w:r>
        <w:rPr>
          <w:rFonts w:hint="eastAsia"/>
          <w:color w:val="auto"/>
          <w:kern w:val="0"/>
          <w:szCs w:val="21"/>
          <w:highlight w:val="none"/>
          <w:lang w:val="en-US" w:eastAsia="zh-CN"/>
        </w:rPr>
        <w:t>付</w:t>
      </w:r>
      <w:r>
        <w:rPr>
          <w:rFonts w:hint="eastAsia"/>
          <w:color w:val="auto"/>
          <w:kern w:val="0"/>
          <w:szCs w:val="21"/>
          <w:highlight w:val="none"/>
        </w:rPr>
        <w:t>款按照供应商在合同期内实际检测数量及</w:t>
      </w:r>
      <w:r>
        <w:rPr>
          <w:rFonts w:hint="eastAsia"/>
          <w:color w:val="auto"/>
          <w:kern w:val="0"/>
          <w:szCs w:val="21"/>
          <w:highlight w:val="none"/>
          <w:lang w:val="en-US" w:eastAsia="zh-CN"/>
        </w:rPr>
        <w:t>供应商</w:t>
      </w:r>
      <w:r>
        <w:rPr>
          <w:rFonts w:hint="eastAsia"/>
          <w:color w:val="auto"/>
          <w:kern w:val="0"/>
          <w:szCs w:val="21"/>
          <w:highlight w:val="none"/>
        </w:rPr>
        <w:t>所报的固定单价进行定期结算。</w:t>
      </w:r>
    </w:p>
    <w:p w14:paraId="4B2B4F0A">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二、申请人的资格要求</w:t>
      </w:r>
    </w:p>
    <w:p w14:paraId="475D2638">
      <w:pPr>
        <w:spacing w:line="312" w:lineRule="auto"/>
        <w:ind w:firstLine="420" w:firstLineChars="200"/>
        <w:jc w:val="left"/>
        <w:rPr>
          <w:color w:val="auto"/>
          <w:szCs w:val="21"/>
          <w:highlight w:val="none"/>
        </w:rPr>
      </w:pPr>
      <w:r>
        <w:rPr>
          <w:rFonts w:hint="eastAsia" w:ascii="Times New Roman" w:hAnsi="Times New Roman" w:eastAsia="宋体" w:cs="Times New Roman"/>
          <w:color w:val="auto"/>
          <w:kern w:val="2"/>
          <w:szCs w:val="21"/>
          <w:highlight w:val="none"/>
        </w:rPr>
        <w:t>1.满足《中华人民</w:t>
      </w:r>
      <w:r>
        <w:rPr>
          <w:color w:val="auto"/>
          <w:kern w:val="0"/>
          <w:szCs w:val="21"/>
          <w:highlight w:val="none"/>
        </w:rPr>
        <w:t>共和国政府采购法》第二十二条规定；</w:t>
      </w:r>
      <w:r>
        <w:rPr>
          <w:color w:val="auto"/>
          <w:szCs w:val="21"/>
          <w:highlight w:val="none"/>
        </w:rPr>
        <w:t xml:space="preserve"> </w:t>
      </w:r>
    </w:p>
    <w:p w14:paraId="517798CD">
      <w:pPr>
        <w:spacing w:line="312" w:lineRule="auto"/>
        <w:ind w:firstLine="420" w:firstLineChars="200"/>
        <w:jc w:val="left"/>
        <w:rPr>
          <w:rFonts w:hint="eastAsia" w:eastAsia="宋体"/>
          <w:color w:val="auto"/>
          <w:szCs w:val="21"/>
          <w:highlight w:val="none"/>
          <w:lang w:val="en-US" w:eastAsia="zh-CN"/>
        </w:rPr>
      </w:pPr>
      <w:r>
        <w:rPr>
          <w:rFonts w:hint="eastAsia"/>
          <w:color w:val="auto"/>
          <w:szCs w:val="21"/>
          <w:highlight w:val="none"/>
        </w:rPr>
        <w:t>2.落实政府采购政策需满足的资格要求：</w:t>
      </w:r>
      <w:r>
        <w:rPr>
          <w:rFonts w:hint="eastAsia"/>
          <w:color w:val="auto"/>
          <w:szCs w:val="21"/>
          <w:highlight w:val="none"/>
          <w:lang w:val="en-US" w:eastAsia="zh-CN"/>
        </w:rPr>
        <w:t>无。</w:t>
      </w:r>
    </w:p>
    <w:p w14:paraId="614D33F2">
      <w:pPr>
        <w:spacing w:line="312" w:lineRule="auto"/>
        <w:ind w:firstLine="420" w:firstLineChars="200"/>
        <w:jc w:val="left"/>
        <w:rPr>
          <w:rFonts w:hint="eastAsia"/>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p>
    <w:p w14:paraId="604AC756">
      <w:pPr>
        <w:spacing w:line="312" w:lineRule="auto"/>
        <w:ind w:firstLine="420" w:firstLineChars="200"/>
        <w:jc w:val="left"/>
        <w:rPr>
          <w:rFonts w:hint="eastAsia"/>
          <w:color w:val="auto"/>
          <w:kern w:val="0"/>
          <w:szCs w:val="21"/>
          <w:highlight w:val="none"/>
        </w:rPr>
      </w:pPr>
      <w:r>
        <w:rPr>
          <w:color w:val="auto"/>
          <w:kern w:val="0"/>
          <w:szCs w:val="21"/>
          <w:highlight w:val="none"/>
        </w:rPr>
        <w:t>（1）资质要求：</w:t>
      </w:r>
      <w:r>
        <w:rPr>
          <w:rFonts w:hint="eastAsia"/>
          <w:color w:val="auto"/>
          <w:kern w:val="0"/>
          <w:szCs w:val="21"/>
          <w:highlight w:val="none"/>
        </w:rPr>
        <w:t>供应商须具备有效的医疗机构执业许可证或血站执业许可证，并具备病原微生物实验室备案证明。</w:t>
      </w:r>
    </w:p>
    <w:p w14:paraId="0CC6C817">
      <w:pPr>
        <w:spacing w:line="312" w:lineRule="auto"/>
        <w:ind w:firstLine="420" w:firstLineChars="200"/>
        <w:jc w:val="left"/>
        <w:rPr>
          <w:color w:val="auto"/>
          <w:kern w:val="0"/>
          <w:szCs w:val="21"/>
          <w:highlight w:val="none"/>
        </w:rPr>
      </w:pPr>
      <w:r>
        <w:rPr>
          <w:color w:val="auto"/>
          <w:kern w:val="0"/>
          <w:szCs w:val="21"/>
          <w:highlight w:val="none"/>
        </w:rPr>
        <w:t>（2）业绩要求：无。</w:t>
      </w:r>
    </w:p>
    <w:p w14:paraId="4414C296">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1CF2DF76">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4</w:t>
      </w:r>
      <w:r>
        <w:rPr>
          <w:rFonts w:hint="eastAsia"/>
          <w:color w:val="auto"/>
          <w:kern w:val="0"/>
          <w:szCs w:val="21"/>
          <w:highlight w:val="none"/>
        </w:rPr>
        <w:t>）</w:t>
      </w:r>
      <w:r>
        <w:rPr>
          <w:color w:val="auto"/>
          <w:kern w:val="0"/>
          <w:szCs w:val="21"/>
          <w:highlight w:val="none"/>
        </w:rPr>
        <w:t>未被列入失信被执行人、重大税收违法失信主体、政府采购严重违法失信行为记录名单。</w:t>
      </w:r>
    </w:p>
    <w:p w14:paraId="469C864C">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（5）本项目不允许分公司参与响应。</w:t>
      </w:r>
    </w:p>
    <w:p w14:paraId="0BF05E8B">
      <w:pPr>
        <w:spacing w:line="312" w:lineRule="auto"/>
        <w:ind w:firstLine="420" w:firstLineChars="200"/>
        <w:jc w:val="left"/>
        <w:rPr>
          <w:color w:val="auto"/>
          <w:kern w:val="0"/>
          <w:szCs w:val="21"/>
          <w:highlight w:val="none"/>
        </w:rPr>
      </w:pPr>
      <w:bookmarkStart w:id="16" w:name="_Hlk132732817"/>
      <w:r>
        <w:rPr>
          <w:rFonts w:hint="eastAsia"/>
          <w:color w:val="auto"/>
          <w:szCs w:val="21"/>
          <w:highlight w:val="none"/>
        </w:rPr>
        <w:t>（</w:t>
      </w:r>
      <w:r>
        <w:rPr>
          <w:color w:val="auto"/>
          <w:szCs w:val="21"/>
          <w:highlight w:val="none"/>
        </w:rPr>
        <w:t>6</w:t>
      </w:r>
      <w:r>
        <w:rPr>
          <w:rFonts w:hint="eastAsia"/>
          <w:color w:val="auto"/>
          <w:szCs w:val="21"/>
          <w:highlight w:val="none"/>
        </w:rPr>
        <w:t>）</w:t>
      </w:r>
      <w:r>
        <w:rPr>
          <w:rFonts w:hint="eastAsia"/>
          <w:color w:val="auto"/>
          <w:kern w:val="0"/>
          <w:szCs w:val="21"/>
          <w:highlight w:val="none"/>
        </w:rPr>
        <w:t>本项目不允许分包。</w:t>
      </w:r>
    </w:p>
    <w:p w14:paraId="244D3CC5">
      <w:pPr>
        <w:spacing w:line="312" w:lineRule="auto"/>
        <w:ind w:firstLine="420" w:firstLineChars="200"/>
        <w:jc w:val="left"/>
        <w:rPr>
          <w:rFonts w:hint="eastAsia"/>
          <w:color w:val="auto"/>
          <w:szCs w:val="21"/>
          <w:highlight w:val="none"/>
        </w:rPr>
      </w:pPr>
      <w:r>
        <w:rPr>
          <w:rFonts w:hint="eastAsia"/>
          <w:color w:val="auto"/>
          <w:kern w:val="0"/>
          <w:szCs w:val="21"/>
          <w:highlight w:val="none"/>
        </w:rPr>
        <w:t>（</w:t>
      </w:r>
      <w:r>
        <w:rPr>
          <w:color w:val="auto"/>
          <w:kern w:val="0"/>
          <w:szCs w:val="21"/>
          <w:highlight w:val="none"/>
        </w:rPr>
        <w:t>7</w:t>
      </w:r>
      <w:r>
        <w:rPr>
          <w:rFonts w:hint="eastAsia"/>
          <w:color w:val="auto"/>
          <w:kern w:val="0"/>
          <w:szCs w:val="21"/>
          <w:highlight w:val="none"/>
        </w:rPr>
        <w:t>）</w:t>
      </w:r>
      <w:r>
        <w:rPr>
          <w:color w:val="auto"/>
          <w:kern w:val="0"/>
          <w:szCs w:val="21"/>
          <w:highlight w:val="none"/>
        </w:rPr>
        <w:t>本项目不接受联合体。</w:t>
      </w:r>
      <w:bookmarkEnd w:id="16"/>
    </w:p>
    <w:p w14:paraId="6A0B85B1">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w:t>
      </w:r>
      <w:r>
        <w:rPr>
          <w:color w:val="auto"/>
          <w:kern w:val="0"/>
          <w:szCs w:val="21"/>
          <w:highlight w:val="none"/>
        </w:rPr>
        <w:t>8</w:t>
      </w:r>
      <w:r>
        <w:rPr>
          <w:rFonts w:hint="eastAsia"/>
          <w:color w:val="auto"/>
          <w:kern w:val="0"/>
          <w:szCs w:val="21"/>
          <w:highlight w:val="none"/>
        </w:rPr>
        <w:t>）</w:t>
      </w:r>
      <w:r>
        <w:rPr>
          <w:color w:val="auto"/>
          <w:kern w:val="0"/>
          <w:szCs w:val="21"/>
          <w:highlight w:val="none"/>
        </w:rPr>
        <w:t>按照</w:t>
      </w:r>
      <w:r>
        <w:rPr>
          <w:rFonts w:hint="eastAsia"/>
          <w:color w:val="auto"/>
          <w:highlight w:val="none"/>
        </w:rPr>
        <w:t>谈判</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bookmarkStart w:id="17" w:name="_Hlk92967676"/>
      <w:r>
        <w:rPr>
          <w:rFonts w:hint="eastAsia"/>
          <w:color w:val="auto"/>
          <w:kern w:val="0"/>
          <w:szCs w:val="21"/>
          <w:highlight w:val="none"/>
        </w:rPr>
        <w:t>采购文件有规定时按要求提交谈判保证金。</w:t>
      </w:r>
      <w:bookmarkEnd w:id="17"/>
    </w:p>
    <w:p w14:paraId="14887DDE">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三、获取采购文件</w:t>
      </w:r>
    </w:p>
    <w:p w14:paraId="18807D49">
      <w:pPr>
        <w:spacing w:line="312" w:lineRule="auto"/>
        <w:ind w:firstLine="420" w:firstLineChars="200"/>
        <w:jc w:val="left"/>
        <w:rPr>
          <w:rFonts w:hint="eastAsia"/>
          <w:color w:val="auto"/>
          <w:highlight w:val="none"/>
        </w:rPr>
      </w:pPr>
      <w:r>
        <w:rPr>
          <w:rFonts w:hint="eastAsia"/>
          <w:color w:val="auto"/>
          <w:highlight w:val="none"/>
        </w:rPr>
        <w:t>时间：</w:t>
      </w:r>
      <w:r>
        <w:rPr>
          <w:rFonts w:hint="eastAsia" w:ascii="Times New Roman" w:hAnsi="Times New Roman" w:eastAsia="宋体" w:cs="Times New Roman"/>
          <w:color w:val="auto"/>
          <w:highlight w:val="none"/>
          <w:u w:val="none"/>
        </w:rPr>
        <w:t>20</w:t>
      </w:r>
      <w:r>
        <w:rPr>
          <w:rFonts w:hint="eastAsia" w:ascii="Times New Roman" w:hAnsi="Times New Roman" w:eastAsia="宋体" w:cs="Times New Roman"/>
          <w:color w:val="auto"/>
          <w:highlight w:val="none"/>
          <w:u w:val="none"/>
          <w:lang w:val="en-US" w:eastAsia="zh-CN"/>
        </w:rPr>
        <w:t>26</w:t>
      </w:r>
      <w:r>
        <w:rPr>
          <w:rFonts w:hint="eastAsia" w:ascii="Times New Roman" w:hAnsi="Times New Roman" w:eastAsia="宋体" w:cs="Times New Roman"/>
          <w:color w:val="auto"/>
          <w:highlight w:val="none"/>
          <w:u w:val="none"/>
        </w:rPr>
        <w:t>年</w:t>
      </w:r>
      <w:r>
        <w:rPr>
          <w:rFonts w:hint="eastAsia" w:cs="Times New Roman"/>
          <w:color w:val="auto"/>
          <w:highlight w:val="none"/>
          <w:u w:val="none"/>
          <w:lang w:val="en-US" w:eastAsia="zh-CN"/>
        </w:rPr>
        <w:t>8</w:t>
      </w:r>
      <w:r>
        <w:rPr>
          <w:rFonts w:hint="eastAsia" w:ascii="Times New Roman" w:hAnsi="Times New Roman" w:eastAsia="宋体" w:cs="Times New Roman"/>
          <w:color w:val="auto"/>
          <w:highlight w:val="none"/>
          <w:u w:val="none"/>
        </w:rPr>
        <w:t>月</w:t>
      </w:r>
      <w:r>
        <w:rPr>
          <w:rFonts w:hint="eastAsia" w:cs="Times New Roman"/>
          <w:color w:val="auto"/>
          <w:highlight w:val="none"/>
          <w:u w:val="none"/>
          <w:lang w:val="en-US" w:eastAsia="zh-CN"/>
        </w:rPr>
        <w:t>31</w:t>
      </w:r>
      <w:r>
        <w:rPr>
          <w:rFonts w:hint="eastAsia" w:ascii="Times New Roman" w:hAnsi="Times New Roman" w:eastAsia="宋体" w:cs="Times New Roman"/>
          <w:color w:val="auto"/>
          <w:highlight w:val="none"/>
          <w:u w:val="none"/>
        </w:rPr>
        <w:t>日起至20</w:t>
      </w:r>
      <w:r>
        <w:rPr>
          <w:rFonts w:hint="eastAsia" w:ascii="Times New Roman" w:hAnsi="Times New Roman" w:eastAsia="宋体" w:cs="Times New Roman"/>
          <w:color w:val="auto"/>
          <w:highlight w:val="none"/>
          <w:u w:val="none"/>
          <w:lang w:val="en-US" w:eastAsia="zh-CN"/>
        </w:rPr>
        <w:t>26</w:t>
      </w:r>
      <w:r>
        <w:rPr>
          <w:rFonts w:hint="eastAsia" w:ascii="Times New Roman" w:hAnsi="Times New Roman" w:eastAsia="宋体" w:cs="Times New Roman"/>
          <w:color w:val="auto"/>
          <w:highlight w:val="none"/>
          <w:u w:val="none"/>
        </w:rPr>
        <w:t>年</w:t>
      </w:r>
      <w:r>
        <w:rPr>
          <w:rFonts w:hint="eastAsia" w:cs="Times New Roman"/>
          <w:color w:val="auto"/>
          <w:highlight w:val="none"/>
          <w:u w:val="none"/>
          <w:lang w:val="en-US" w:eastAsia="zh-CN"/>
        </w:rPr>
        <w:t>9</w:t>
      </w:r>
      <w:r>
        <w:rPr>
          <w:rFonts w:hint="eastAsia" w:ascii="Times New Roman" w:hAnsi="Times New Roman" w:eastAsia="宋体" w:cs="Times New Roman"/>
          <w:color w:val="auto"/>
          <w:highlight w:val="none"/>
          <w:u w:val="none"/>
        </w:rPr>
        <w:t>月</w:t>
      </w:r>
      <w:r>
        <w:rPr>
          <w:rFonts w:hint="eastAsia" w:cs="Times New Roman"/>
          <w:color w:val="auto"/>
          <w:highlight w:val="none"/>
          <w:u w:val="none"/>
          <w:lang w:val="en-US" w:eastAsia="zh-CN"/>
        </w:rPr>
        <w:t>3</w:t>
      </w:r>
      <w:r>
        <w:rPr>
          <w:rFonts w:hint="eastAsia" w:ascii="Times New Roman" w:hAnsi="Times New Roman" w:eastAsia="宋体" w:cs="Times New Roman"/>
          <w:color w:val="auto"/>
          <w:highlight w:val="none"/>
          <w:u w:val="none"/>
        </w:rPr>
        <w:t>日</w:t>
      </w:r>
      <w:r>
        <w:rPr>
          <w:rFonts w:hint="eastAsia" w:ascii="Times New Roman" w:hAnsi="Times New Roman" w:eastAsia="宋体" w:cs="Times New Roman"/>
          <w:color w:val="auto"/>
          <w:highlight w:val="none"/>
        </w:rPr>
        <w:t>，</w:t>
      </w:r>
      <w:r>
        <w:rPr>
          <w:rFonts w:hint="eastAsia"/>
          <w:color w:val="auto"/>
          <w:highlight w:val="none"/>
        </w:rPr>
        <w:t>每天00时00分至12时00分，12时00分至23时59分（北京时间，法定节假日除外）。</w:t>
      </w:r>
    </w:p>
    <w:p w14:paraId="37D48AF4">
      <w:pPr>
        <w:spacing w:line="312" w:lineRule="auto"/>
        <w:ind w:firstLine="420" w:firstLineChars="200"/>
        <w:jc w:val="left"/>
        <w:rPr>
          <w:color w:val="auto"/>
          <w:szCs w:val="21"/>
          <w:highlight w:val="none"/>
        </w:rPr>
      </w:pPr>
      <w:r>
        <w:rPr>
          <w:rFonts w:hint="eastAsia"/>
          <w:color w:val="auto"/>
          <w:highlight w:val="none"/>
        </w:rPr>
        <w:t>地点（网址）：</w:t>
      </w:r>
      <w:r>
        <w:rPr>
          <w:rFonts w:ascii="Arial" w:hAnsi="Arial" w:cs="Arial"/>
          <w:color w:val="auto"/>
          <w:kern w:val="0"/>
          <w:szCs w:val="21"/>
          <w:highlight w:val="none"/>
        </w:rPr>
        <w:t xml:space="preserve">广西政府采购云平台 </w:t>
      </w:r>
      <w:r>
        <w:rPr>
          <w:rFonts w:hint="eastAsia" w:ascii="Arial" w:hAnsi="Arial" w:cs="Arial"/>
          <w:color w:val="auto"/>
          <w:kern w:val="0"/>
          <w:szCs w:val="21"/>
          <w:highlight w:val="none"/>
        </w:rPr>
        <w:t>（</w:t>
      </w:r>
      <w:r>
        <w:rPr>
          <w:rFonts w:ascii="Arial" w:hAnsi="Arial" w:cs="Arial"/>
          <w:color w:val="auto"/>
          <w:kern w:val="0"/>
          <w:szCs w:val="21"/>
          <w:highlight w:val="none"/>
        </w:rPr>
        <w:fldChar w:fldCharType="begin"/>
      </w:r>
      <w:r>
        <w:rPr>
          <w:rFonts w:ascii="Arial" w:hAnsi="Arial" w:cs="Arial"/>
          <w:color w:val="auto"/>
          <w:kern w:val="0"/>
          <w:szCs w:val="21"/>
          <w:highlight w:val="none"/>
        </w:rPr>
        <w:instrText xml:space="preserve"> HYPERLINK "</w:instrText>
      </w:r>
      <w:r>
        <w:rPr>
          <w:rFonts w:hint="eastAsia" w:ascii="Arial" w:hAnsi="Arial" w:cs="Arial"/>
          <w:color w:val="auto"/>
          <w:kern w:val="0"/>
          <w:szCs w:val="21"/>
          <w:highlight w:val="none"/>
        </w:rPr>
        <w:instrText xml:space="preserve">https://www.gcy.zfcg.gxzf.gov.cn/</w:instrText>
      </w:r>
      <w:r>
        <w:rPr>
          <w:rFonts w:ascii="Arial" w:hAnsi="Arial" w:cs="Arial"/>
          <w:color w:val="auto"/>
          <w:kern w:val="0"/>
          <w:szCs w:val="21"/>
          <w:highlight w:val="none"/>
        </w:rPr>
        <w:instrText xml:space="preserve">" </w:instrText>
      </w:r>
      <w:r>
        <w:rPr>
          <w:rFonts w:ascii="Arial" w:hAnsi="Arial" w:cs="Arial"/>
          <w:color w:val="auto"/>
          <w:kern w:val="0"/>
          <w:szCs w:val="21"/>
          <w:highlight w:val="none"/>
        </w:rPr>
        <w:fldChar w:fldCharType="separate"/>
      </w:r>
      <w:r>
        <w:rPr>
          <w:rStyle w:val="57"/>
          <w:rFonts w:hint="eastAsia" w:ascii="Arial" w:hAnsi="Arial" w:cs="Arial"/>
          <w:color w:val="auto"/>
          <w:kern w:val="0"/>
          <w:szCs w:val="21"/>
          <w:highlight w:val="none"/>
        </w:rPr>
        <w:t>https://www.gcy.zfcg.gxzf.gov.cn/</w:t>
      </w:r>
      <w:r>
        <w:rPr>
          <w:rFonts w:ascii="Arial" w:hAnsi="Arial" w:cs="Arial"/>
          <w:color w:val="auto"/>
          <w:kern w:val="0"/>
          <w:szCs w:val="21"/>
          <w:highlight w:val="none"/>
        </w:rPr>
        <w:fldChar w:fldCharType="end"/>
      </w:r>
      <w:r>
        <w:rPr>
          <w:rFonts w:hint="eastAsia" w:ascii="Arial" w:hAnsi="Arial" w:cs="Arial"/>
          <w:color w:val="auto"/>
          <w:kern w:val="0"/>
          <w:szCs w:val="21"/>
          <w:highlight w:val="none"/>
        </w:rPr>
        <w:t>）</w:t>
      </w:r>
    </w:p>
    <w:p w14:paraId="0623ABC5">
      <w:pPr>
        <w:spacing w:line="312" w:lineRule="auto"/>
        <w:ind w:firstLine="420" w:firstLineChars="200"/>
        <w:jc w:val="left"/>
        <w:rPr>
          <w:color w:val="auto"/>
          <w:szCs w:val="21"/>
          <w:highlight w:val="none"/>
        </w:rPr>
      </w:pPr>
      <w:r>
        <w:rPr>
          <w:rFonts w:hint="eastAsia"/>
          <w:color w:val="auto"/>
          <w:szCs w:val="21"/>
          <w:highlight w:val="none"/>
        </w:rPr>
        <w:t>方式：</w:t>
      </w:r>
      <w:bookmarkStart w:id="18" w:name="_Hlk132878211"/>
      <w:r>
        <w:rPr>
          <w:rFonts w:hint="eastAsia"/>
          <w:color w:val="auto"/>
          <w:szCs w:val="21"/>
          <w:highlight w:val="none"/>
        </w:rPr>
        <w:t>供应商登录广西政府采购云平台在线申请获取采购文件（进入“项目采购”应用，在获取采购文件菜单中选择项目，申请获取采购文件）</w:t>
      </w:r>
      <w:bookmarkEnd w:id="18"/>
    </w:p>
    <w:p w14:paraId="6A25DB47">
      <w:pPr>
        <w:spacing w:line="312" w:lineRule="auto"/>
        <w:ind w:firstLine="420" w:firstLineChars="200"/>
        <w:jc w:val="left"/>
        <w:rPr>
          <w:color w:val="auto"/>
          <w:highlight w:val="none"/>
        </w:rPr>
      </w:pPr>
      <w:r>
        <w:rPr>
          <w:rFonts w:hint="eastAsia"/>
          <w:color w:val="auto"/>
          <w:highlight w:val="none"/>
        </w:rPr>
        <w:t>售价（元）：</w:t>
      </w:r>
      <w:r>
        <w:rPr>
          <w:color w:val="auto"/>
          <w:highlight w:val="none"/>
        </w:rPr>
        <w:t>0</w:t>
      </w:r>
    </w:p>
    <w:p w14:paraId="03AB2842">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四、响应文件提交</w:t>
      </w:r>
    </w:p>
    <w:p w14:paraId="553928AD">
      <w:pPr>
        <w:spacing w:line="312" w:lineRule="auto"/>
        <w:ind w:firstLine="420" w:firstLineChars="200"/>
        <w:jc w:val="left"/>
        <w:rPr>
          <w:color w:val="auto"/>
          <w:kern w:val="0"/>
          <w:szCs w:val="21"/>
          <w:highlight w:val="none"/>
        </w:rPr>
      </w:pPr>
      <w:r>
        <w:rPr>
          <w:rFonts w:hint="eastAsia"/>
          <w:color w:val="auto"/>
          <w:kern w:val="0"/>
          <w:szCs w:val="21"/>
          <w:highlight w:val="none"/>
        </w:rPr>
        <w:t>截止时间：</w:t>
      </w:r>
      <w:r>
        <w:rPr>
          <w:color w:val="auto"/>
          <w:kern w:val="0"/>
          <w:szCs w:val="21"/>
          <w:highlight w:val="none"/>
          <w:u w:val="single"/>
        </w:rPr>
        <w:t>20</w:t>
      </w:r>
      <w:r>
        <w:rPr>
          <w:rFonts w:hint="eastAsia"/>
          <w:color w:val="auto"/>
          <w:kern w:val="0"/>
          <w:szCs w:val="21"/>
          <w:highlight w:val="none"/>
          <w:u w:val="single"/>
          <w:lang w:val="en-US" w:eastAsia="zh-CN"/>
        </w:rPr>
        <w:t>26</w:t>
      </w:r>
      <w:r>
        <w:rPr>
          <w:color w:val="auto"/>
          <w:kern w:val="0"/>
          <w:szCs w:val="21"/>
          <w:highlight w:val="none"/>
          <w:u w:val="single"/>
        </w:rPr>
        <w:t>年</w:t>
      </w:r>
      <w:r>
        <w:rPr>
          <w:rFonts w:hint="eastAsia"/>
          <w:color w:val="auto"/>
          <w:kern w:val="0"/>
          <w:szCs w:val="21"/>
          <w:highlight w:val="none"/>
          <w:u w:val="single"/>
          <w:lang w:val="en-US" w:eastAsia="zh-CN"/>
        </w:rPr>
        <w:t>9</w:t>
      </w:r>
      <w:r>
        <w:rPr>
          <w:color w:val="auto"/>
          <w:kern w:val="0"/>
          <w:szCs w:val="21"/>
          <w:highlight w:val="none"/>
          <w:u w:val="single"/>
        </w:rPr>
        <w:t>月</w:t>
      </w:r>
      <w:r>
        <w:rPr>
          <w:rFonts w:hint="eastAsia"/>
          <w:color w:val="auto"/>
          <w:kern w:val="0"/>
          <w:szCs w:val="21"/>
          <w:highlight w:val="none"/>
          <w:u w:val="single"/>
          <w:lang w:val="en-US" w:eastAsia="zh-CN"/>
        </w:rPr>
        <w:t>7</w:t>
      </w:r>
      <w:r>
        <w:rPr>
          <w:color w:val="auto"/>
          <w:kern w:val="0"/>
          <w:szCs w:val="21"/>
          <w:highlight w:val="none"/>
          <w:u w:val="single"/>
        </w:rPr>
        <w:t>日</w:t>
      </w:r>
      <w:r>
        <w:rPr>
          <w:rFonts w:hint="eastAsia"/>
          <w:color w:val="auto"/>
          <w:kern w:val="0"/>
          <w:szCs w:val="21"/>
          <w:highlight w:val="none"/>
          <w:u w:val="single"/>
          <w:lang w:val="en-US" w:eastAsia="zh-CN"/>
        </w:rPr>
        <w:t>9:30</w:t>
      </w:r>
      <w:r>
        <w:rPr>
          <w:rFonts w:hint="eastAsia"/>
          <w:color w:val="auto"/>
          <w:kern w:val="0"/>
          <w:szCs w:val="21"/>
          <w:highlight w:val="none"/>
        </w:rPr>
        <w:t>（北京时间）</w:t>
      </w:r>
    </w:p>
    <w:p w14:paraId="3D3AD27E">
      <w:pPr>
        <w:spacing w:line="312" w:lineRule="auto"/>
        <w:ind w:firstLine="420" w:firstLineChars="200"/>
        <w:jc w:val="left"/>
        <w:rPr>
          <w:color w:val="auto"/>
          <w:kern w:val="0"/>
          <w:szCs w:val="21"/>
          <w:highlight w:val="none"/>
        </w:rPr>
      </w:pPr>
      <w:r>
        <w:rPr>
          <w:rFonts w:hint="eastAsia"/>
          <w:color w:val="auto"/>
          <w:kern w:val="0"/>
          <w:szCs w:val="21"/>
          <w:highlight w:val="none"/>
        </w:rPr>
        <w:t>地点（网址）：</w:t>
      </w:r>
      <w:r>
        <w:rPr>
          <w:rFonts w:hint="eastAsia"/>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color w:val="auto"/>
          <w:szCs w:val="21"/>
          <w:highlight w:val="none"/>
        </w:rPr>
        <w:t>A</w:t>
      </w:r>
      <w:r>
        <w:rPr>
          <w:rFonts w:hint="eastAsia"/>
          <w:color w:val="auto"/>
          <w:szCs w:val="21"/>
          <w:highlight w:val="none"/>
        </w:rPr>
        <w:t xml:space="preserve">认证编制、加密响应文件后在响应截止时间前上传至广西政府采购云平台，供应商在广西政府采购云平台提交电子版响应文件时，请填写参加远程截标活动经办人联系方式。 </w:t>
      </w:r>
    </w:p>
    <w:p w14:paraId="21404D6B">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五、开启</w:t>
      </w:r>
    </w:p>
    <w:p w14:paraId="0D23F2FC">
      <w:pPr>
        <w:spacing w:line="312" w:lineRule="auto"/>
        <w:ind w:firstLine="442" w:firstLineChars="200"/>
        <w:jc w:val="left"/>
        <w:rPr>
          <w:color w:val="auto"/>
          <w:kern w:val="0"/>
          <w:szCs w:val="21"/>
          <w:highlight w:val="none"/>
        </w:rPr>
      </w:pPr>
      <w:r>
        <w:rPr>
          <w:rFonts w:hint="eastAsia"/>
          <w:b/>
          <w:bCs/>
          <w:color w:val="auto"/>
          <w:kern w:val="0"/>
          <w:sz w:val="22"/>
          <w:szCs w:val="22"/>
          <w:highlight w:val="none"/>
        </w:rPr>
        <w:t>开启时间：</w:t>
      </w:r>
      <w:r>
        <w:rPr>
          <w:color w:val="auto"/>
          <w:kern w:val="0"/>
          <w:szCs w:val="21"/>
          <w:highlight w:val="none"/>
          <w:u w:val="single"/>
        </w:rPr>
        <w:t>20</w:t>
      </w:r>
      <w:r>
        <w:rPr>
          <w:rFonts w:hint="eastAsia"/>
          <w:color w:val="auto"/>
          <w:kern w:val="0"/>
          <w:szCs w:val="21"/>
          <w:highlight w:val="none"/>
          <w:u w:val="single"/>
          <w:lang w:val="en-US" w:eastAsia="zh-CN"/>
        </w:rPr>
        <w:t>26</w:t>
      </w:r>
      <w:r>
        <w:rPr>
          <w:color w:val="auto"/>
          <w:kern w:val="0"/>
          <w:szCs w:val="21"/>
          <w:highlight w:val="none"/>
          <w:u w:val="single"/>
        </w:rPr>
        <w:t>年</w:t>
      </w:r>
      <w:r>
        <w:rPr>
          <w:rFonts w:hint="eastAsia"/>
          <w:color w:val="auto"/>
          <w:kern w:val="0"/>
          <w:szCs w:val="21"/>
          <w:highlight w:val="none"/>
          <w:u w:val="single"/>
          <w:lang w:val="en-US" w:eastAsia="zh-CN"/>
        </w:rPr>
        <w:t>9</w:t>
      </w:r>
      <w:r>
        <w:rPr>
          <w:color w:val="auto"/>
          <w:kern w:val="0"/>
          <w:szCs w:val="21"/>
          <w:highlight w:val="none"/>
          <w:u w:val="single"/>
        </w:rPr>
        <w:t>月</w:t>
      </w:r>
      <w:r>
        <w:rPr>
          <w:rFonts w:hint="eastAsia"/>
          <w:color w:val="auto"/>
          <w:kern w:val="0"/>
          <w:szCs w:val="21"/>
          <w:highlight w:val="none"/>
          <w:u w:val="single"/>
          <w:lang w:val="en-US" w:eastAsia="zh-CN"/>
        </w:rPr>
        <w:t>7</w:t>
      </w:r>
      <w:r>
        <w:rPr>
          <w:color w:val="auto"/>
          <w:kern w:val="0"/>
          <w:szCs w:val="21"/>
          <w:highlight w:val="none"/>
          <w:u w:val="single"/>
        </w:rPr>
        <w:t>日</w:t>
      </w:r>
      <w:r>
        <w:rPr>
          <w:rFonts w:hint="eastAsia"/>
          <w:color w:val="auto"/>
          <w:kern w:val="0"/>
          <w:szCs w:val="21"/>
          <w:highlight w:val="none"/>
          <w:u w:val="single"/>
          <w:lang w:val="en-US" w:eastAsia="zh-CN"/>
        </w:rPr>
        <w:t>9:30</w:t>
      </w:r>
      <w:r>
        <w:rPr>
          <w:rFonts w:hint="eastAsia"/>
          <w:color w:val="auto"/>
          <w:kern w:val="0"/>
          <w:szCs w:val="21"/>
          <w:highlight w:val="none"/>
        </w:rPr>
        <w:t>（北京时间）</w:t>
      </w:r>
    </w:p>
    <w:p w14:paraId="6E600699">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地点：</w:t>
      </w:r>
      <w:r>
        <w:rPr>
          <w:rFonts w:hint="eastAsia"/>
          <w:color w:val="auto"/>
          <w:szCs w:val="21"/>
          <w:highlight w:val="none"/>
        </w:rPr>
        <w:t>供应商登录广西政府采购云平台电子开标大厅截标。</w:t>
      </w:r>
    </w:p>
    <w:p w14:paraId="2743F418">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六、公告期限</w:t>
      </w:r>
    </w:p>
    <w:p w14:paraId="536B37FD">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自本公告发布之日起</w:t>
      </w:r>
      <w:r>
        <w:rPr>
          <w:color w:val="auto"/>
          <w:kern w:val="0"/>
          <w:szCs w:val="21"/>
          <w:highlight w:val="none"/>
        </w:rPr>
        <w:t>3</w:t>
      </w:r>
      <w:r>
        <w:rPr>
          <w:rFonts w:hint="eastAsia"/>
          <w:color w:val="auto"/>
          <w:kern w:val="0"/>
          <w:szCs w:val="21"/>
          <w:highlight w:val="none"/>
        </w:rPr>
        <w:t>个工作日。</w:t>
      </w:r>
    </w:p>
    <w:p w14:paraId="56DAE9F3">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七、其他补充事宜</w:t>
      </w:r>
    </w:p>
    <w:p w14:paraId="438A8ACE">
      <w:pPr>
        <w:spacing w:line="312" w:lineRule="auto"/>
        <w:ind w:firstLine="420" w:firstLineChars="200"/>
        <w:jc w:val="left"/>
        <w:rPr>
          <w:color w:val="auto"/>
          <w:kern w:val="0"/>
          <w:szCs w:val="21"/>
          <w:highlight w:val="none"/>
        </w:rPr>
      </w:pPr>
      <w:r>
        <w:rPr>
          <w:rFonts w:hint="eastAsia"/>
          <w:color w:val="auto"/>
          <w:kern w:val="0"/>
          <w:szCs w:val="21"/>
          <w:highlight w:val="none"/>
        </w:rPr>
        <w:t>1</w:t>
      </w:r>
      <w:r>
        <w:rPr>
          <w:color w:val="auto"/>
          <w:kern w:val="0"/>
          <w:szCs w:val="21"/>
          <w:highlight w:val="none"/>
        </w:rPr>
        <w:t>.</w:t>
      </w:r>
      <w:r>
        <w:rPr>
          <w:rFonts w:hint="eastAsia"/>
          <w:color w:val="auto"/>
          <w:kern w:val="0"/>
          <w:szCs w:val="21"/>
          <w:highlight w:val="none"/>
        </w:rPr>
        <w:t>公告发布媒体：广西壮族自治区政府采购网、中国政府采购网</w:t>
      </w:r>
    </w:p>
    <w:p w14:paraId="37B1C11E">
      <w:pPr>
        <w:spacing w:line="312" w:lineRule="auto"/>
        <w:ind w:firstLine="420" w:firstLineChars="200"/>
        <w:jc w:val="left"/>
        <w:rPr>
          <w:color w:val="auto"/>
          <w:kern w:val="0"/>
          <w:szCs w:val="21"/>
          <w:highlight w:val="none"/>
        </w:rPr>
      </w:pPr>
      <w:r>
        <w:rPr>
          <w:rFonts w:hint="eastAsia"/>
          <w:color w:val="auto"/>
          <w:kern w:val="0"/>
          <w:szCs w:val="21"/>
          <w:highlight w:val="none"/>
        </w:rPr>
        <w:t>2</w:t>
      </w:r>
      <w:r>
        <w:rPr>
          <w:color w:val="auto"/>
          <w:kern w:val="0"/>
          <w:szCs w:val="21"/>
          <w:highlight w:val="none"/>
        </w:rPr>
        <w:t>.</w:t>
      </w:r>
      <w:bookmarkStart w:id="19" w:name="_Hlk89179680"/>
      <w:r>
        <w:rPr>
          <w:rFonts w:hint="eastAsia"/>
          <w:color w:val="auto"/>
          <w:kern w:val="0"/>
          <w:szCs w:val="21"/>
          <w:highlight w:val="none"/>
        </w:rPr>
        <w:t>需落实的政府采购政策：</w:t>
      </w:r>
      <w:bookmarkEnd w:id="19"/>
      <w:r>
        <w:rPr>
          <w:color w:val="auto"/>
          <w:kern w:val="0"/>
          <w:szCs w:val="21"/>
          <w:highlight w:val="none"/>
        </w:rPr>
        <w:t>政府采购促进中小企业、监狱企业发展、促进残疾人就业</w:t>
      </w:r>
      <w:r>
        <w:rPr>
          <w:rFonts w:hint="eastAsia"/>
          <w:color w:val="auto"/>
          <w:kern w:val="0"/>
          <w:szCs w:val="21"/>
          <w:highlight w:val="none"/>
        </w:rPr>
        <w:t>、</w:t>
      </w:r>
      <w:r>
        <w:rPr>
          <w:color w:val="auto"/>
          <w:kern w:val="0"/>
          <w:szCs w:val="21"/>
          <w:highlight w:val="none"/>
        </w:rPr>
        <w:t>节能环保</w:t>
      </w:r>
      <w:r>
        <w:rPr>
          <w:rFonts w:hint="eastAsia" w:eastAsia="宋体"/>
          <w:color w:val="auto"/>
          <w:kern w:val="0"/>
          <w:szCs w:val="21"/>
          <w:highlight w:val="none"/>
          <w:lang w:eastAsia="zh-CN"/>
        </w:rPr>
        <w:t>、对本国产品的支持</w:t>
      </w:r>
      <w:r>
        <w:rPr>
          <w:color w:val="auto"/>
          <w:kern w:val="0"/>
          <w:szCs w:val="21"/>
          <w:highlight w:val="none"/>
        </w:rPr>
        <w:t>等有关政策，具体详见</w:t>
      </w:r>
      <w:r>
        <w:rPr>
          <w:rFonts w:hint="eastAsia"/>
          <w:color w:val="auto"/>
          <w:highlight w:val="none"/>
        </w:rPr>
        <w:t>采购文件</w:t>
      </w:r>
      <w:r>
        <w:rPr>
          <w:color w:val="auto"/>
          <w:kern w:val="0"/>
          <w:szCs w:val="21"/>
          <w:highlight w:val="none"/>
        </w:rPr>
        <w:t>。</w:t>
      </w:r>
    </w:p>
    <w:p w14:paraId="4544C435">
      <w:pPr>
        <w:spacing w:line="312" w:lineRule="auto"/>
        <w:ind w:firstLine="420" w:firstLineChars="200"/>
        <w:jc w:val="left"/>
        <w:rPr>
          <w:rFonts w:eastAsia="楷体_GB2312"/>
          <w:b/>
          <w:color w:val="auto"/>
          <w:szCs w:val="21"/>
          <w:highlight w:val="none"/>
        </w:rPr>
      </w:pPr>
      <w:r>
        <w:rPr>
          <w:color w:val="auto"/>
          <w:kern w:val="0"/>
          <w:szCs w:val="21"/>
          <w:highlight w:val="none"/>
        </w:rPr>
        <w:t>3</w:t>
      </w:r>
      <w:r>
        <w:rPr>
          <w:rFonts w:hint="eastAsia"/>
          <w:color w:val="auto"/>
          <w:kern w:val="0"/>
          <w:szCs w:val="21"/>
          <w:highlight w:val="none"/>
        </w:rPr>
        <w:t>.本项目供应商的产生方式：</w:t>
      </w:r>
      <w:r>
        <w:rPr>
          <w:color w:val="auto"/>
          <w:highlight w:val="none"/>
        </w:rPr>
        <w:t>发布</w:t>
      </w:r>
      <w:r>
        <w:rPr>
          <w:rFonts w:hint="eastAsia"/>
          <w:color w:val="auto"/>
          <w:highlight w:val="none"/>
        </w:rPr>
        <w:t>公告征集</w:t>
      </w:r>
      <w:r>
        <w:rPr>
          <w:rFonts w:hint="eastAsia"/>
          <w:color w:val="auto"/>
          <w:highlight w:val="none"/>
          <w:lang w:eastAsia="zh-CN"/>
        </w:rPr>
        <w:t>。</w:t>
      </w:r>
    </w:p>
    <w:p w14:paraId="6F8E7179">
      <w:pPr>
        <w:spacing w:line="312" w:lineRule="auto"/>
        <w:ind w:firstLine="420" w:firstLineChars="200"/>
        <w:rPr>
          <w:color w:val="auto"/>
          <w:kern w:val="0"/>
          <w:szCs w:val="21"/>
          <w:highlight w:val="none"/>
        </w:rPr>
      </w:pPr>
      <w:r>
        <w:rPr>
          <w:color w:val="auto"/>
          <w:kern w:val="0"/>
          <w:szCs w:val="21"/>
          <w:highlight w:val="none"/>
        </w:rPr>
        <w:t>4.</w:t>
      </w:r>
      <w:r>
        <w:rPr>
          <w:rFonts w:hint="eastAsia"/>
          <w:color w:val="auto"/>
          <w:kern w:val="0"/>
          <w:szCs w:val="21"/>
          <w:highlight w:val="none"/>
        </w:rPr>
        <w:t>注意事项：</w:t>
      </w:r>
    </w:p>
    <w:p w14:paraId="68988E00">
      <w:pPr>
        <w:spacing w:line="276" w:lineRule="auto"/>
        <w:ind w:firstLine="420" w:firstLineChars="200"/>
        <w:rPr>
          <w:color w:val="auto"/>
          <w:szCs w:val="21"/>
          <w:highlight w:val="none"/>
        </w:rPr>
      </w:pPr>
      <w:r>
        <w:rPr>
          <w:rFonts w:hint="eastAsia"/>
          <w:color w:val="auto"/>
          <w:kern w:val="0"/>
          <w:szCs w:val="21"/>
          <w:highlight w:val="none"/>
        </w:rPr>
        <w:t>（1）</w:t>
      </w:r>
      <w:r>
        <w:rPr>
          <w:rFonts w:hint="eastAsia"/>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0E631052">
      <w:pPr>
        <w:spacing w:line="276" w:lineRule="auto"/>
        <w:ind w:firstLine="420" w:firstLineChars="200"/>
        <w:rPr>
          <w:color w:val="auto"/>
          <w:kern w:val="0"/>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5058D817">
      <w:pPr>
        <w:spacing w:line="276"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）若对项目采购电子交易系统操作有疑问，可登录广西政府采购云平台（https://www.gcy.zfcg.gxzf.gov.cn/），点击右侧咨询小采或帮助文档或拨打客服热线95763。</w:t>
      </w:r>
    </w:p>
    <w:p w14:paraId="11B7AA2D">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p w14:paraId="424083F7">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052A1EF1">
      <w:pPr>
        <w:spacing w:line="360" w:lineRule="exact"/>
        <w:ind w:firstLine="420" w:firstLineChars="200"/>
        <w:rPr>
          <w:rFonts w:hint="eastAsia" w:ascii="Arial" w:hAnsi="Arial" w:cs="Arial"/>
          <w:color w:val="auto"/>
          <w:kern w:val="0"/>
          <w:szCs w:val="21"/>
          <w:highlight w:val="none"/>
        </w:rPr>
      </w:pPr>
      <w:r>
        <w:rPr>
          <w:rFonts w:hint="eastAsia" w:ascii="宋体" w:hAnsi="宋体" w:eastAsia="宋体" w:cs="宋体"/>
          <w:color w:val="auto"/>
          <w:kern w:val="0"/>
          <w:szCs w:val="21"/>
          <w:highlight w:val="none"/>
        </w:rPr>
        <w:t>7. 本项目采用远程异地评审，主会场在广西机电设备招标有限公司崇左分公司评标室（广西崇左市德天路28号），副会场在广西机电设备招标有限公司（广西南宁市金湖路63号</w:t>
      </w:r>
      <w:r>
        <w:rPr>
          <w:rFonts w:hint="eastAsia" w:ascii="Arial" w:hAnsi="Arial" w:cs="Arial"/>
          <w:color w:val="auto"/>
          <w:kern w:val="0"/>
          <w:szCs w:val="21"/>
          <w:highlight w:val="none"/>
        </w:rPr>
        <w:t>金源</w:t>
      </w:r>
      <w:r>
        <w:rPr>
          <w:rFonts w:ascii="Arial" w:hAnsi="Arial" w:cs="Arial"/>
          <w:color w:val="auto"/>
          <w:kern w:val="0"/>
          <w:szCs w:val="21"/>
          <w:highlight w:val="none"/>
        </w:rPr>
        <w:t>CBD</w:t>
      </w:r>
      <w:r>
        <w:rPr>
          <w:rFonts w:hint="eastAsia" w:ascii="Arial" w:hAnsi="Arial" w:cs="Arial"/>
          <w:color w:val="auto"/>
          <w:kern w:val="0"/>
          <w:szCs w:val="21"/>
          <w:highlight w:val="none"/>
        </w:rPr>
        <w:t>现代城</w:t>
      </w:r>
      <w:r>
        <w:rPr>
          <w:rFonts w:ascii="Arial" w:hAnsi="Arial" w:cs="Arial"/>
          <w:color w:val="auto"/>
          <w:kern w:val="0"/>
          <w:szCs w:val="21"/>
          <w:highlight w:val="none"/>
        </w:rPr>
        <w:t>B</w:t>
      </w:r>
      <w:r>
        <w:rPr>
          <w:rFonts w:hint="eastAsia" w:ascii="Arial" w:hAnsi="Arial" w:cs="Arial"/>
          <w:color w:val="auto"/>
          <w:kern w:val="0"/>
          <w:szCs w:val="21"/>
          <w:highlight w:val="none"/>
        </w:rPr>
        <w:t>座</w:t>
      </w:r>
      <w:r>
        <w:rPr>
          <w:rFonts w:ascii="Arial" w:hAnsi="Arial" w:cs="Arial"/>
          <w:color w:val="auto"/>
          <w:kern w:val="0"/>
          <w:szCs w:val="21"/>
          <w:highlight w:val="none"/>
        </w:rPr>
        <w:t>7</w:t>
      </w:r>
      <w:r>
        <w:rPr>
          <w:rFonts w:hint="eastAsia" w:ascii="Arial" w:hAnsi="Arial" w:cs="Arial"/>
          <w:color w:val="auto"/>
          <w:kern w:val="0"/>
          <w:szCs w:val="21"/>
          <w:highlight w:val="none"/>
        </w:rPr>
        <w:t>层）。</w:t>
      </w:r>
    </w:p>
    <w:p w14:paraId="3251C17E">
      <w:pPr>
        <w:spacing w:line="360" w:lineRule="exact"/>
        <w:ind w:firstLine="420" w:firstLineChars="200"/>
        <w:rPr>
          <w:rFonts w:hint="default" w:ascii="Arial" w:hAnsi="Arial" w:eastAsia="宋体" w:cs="Arial"/>
          <w:color w:val="auto"/>
          <w:kern w:val="0"/>
          <w:szCs w:val="21"/>
          <w:highlight w:val="none"/>
          <w:lang w:val="en-US" w:eastAsia="zh-CN"/>
        </w:rPr>
      </w:pPr>
      <w:r>
        <w:rPr>
          <w:rFonts w:hint="eastAsia" w:ascii="Arial" w:hAnsi="Arial" w:cs="Arial"/>
          <w:color w:val="auto"/>
          <w:kern w:val="0"/>
          <w:szCs w:val="21"/>
          <w:highlight w:val="none"/>
          <w:lang w:val="en-US" w:eastAsia="zh-CN"/>
        </w:rPr>
        <w:t>8.采购计划号：CZZC2026-J3-00976-001、CZZC2026-J3-00976-002、CZZC2026-J3-00976-003。</w:t>
      </w:r>
    </w:p>
    <w:p w14:paraId="6E40C0D6">
      <w:pPr>
        <w:spacing w:line="276" w:lineRule="auto"/>
        <w:ind w:firstLine="442" w:firstLineChars="200"/>
        <w:rPr>
          <w:rFonts w:hint="eastAsia"/>
          <w:b/>
          <w:bCs/>
          <w:color w:val="auto"/>
          <w:kern w:val="0"/>
          <w:sz w:val="22"/>
          <w:szCs w:val="22"/>
          <w:highlight w:val="none"/>
        </w:rPr>
      </w:pPr>
      <w:r>
        <w:rPr>
          <w:rFonts w:hint="eastAsia"/>
          <w:b/>
          <w:bCs/>
          <w:color w:val="auto"/>
          <w:kern w:val="0"/>
          <w:sz w:val="22"/>
          <w:szCs w:val="22"/>
          <w:highlight w:val="none"/>
        </w:rPr>
        <w:t>八、对本次采购提出询问，请按以下方式联系</w:t>
      </w:r>
    </w:p>
    <w:p w14:paraId="6A0EB4CF">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1.采购人信息</w:t>
      </w:r>
    </w:p>
    <w:p w14:paraId="33B10B14">
      <w:pPr>
        <w:spacing w:line="312" w:lineRule="auto"/>
        <w:ind w:firstLine="420" w:firstLineChars="200"/>
        <w:jc w:val="left"/>
        <w:rPr>
          <w:rFonts w:hint="eastAsia" w:eastAsia="宋体"/>
          <w:color w:val="auto"/>
          <w:kern w:val="0"/>
          <w:szCs w:val="21"/>
          <w:highlight w:val="none"/>
          <w:u w:val="single"/>
          <w:lang w:eastAsia="zh-CN"/>
        </w:rPr>
      </w:pPr>
      <w:r>
        <w:rPr>
          <w:rFonts w:hint="eastAsia"/>
          <w:color w:val="auto"/>
          <w:kern w:val="0"/>
          <w:szCs w:val="21"/>
          <w:highlight w:val="none"/>
        </w:rPr>
        <w:t>名称</w:t>
      </w:r>
      <w:r>
        <w:rPr>
          <w:color w:val="auto"/>
          <w:kern w:val="0"/>
          <w:szCs w:val="21"/>
          <w:highlight w:val="none"/>
        </w:rPr>
        <w:t>：</w:t>
      </w:r>
      <w:r>
        <w:rPr>
          <w:rFonts w:hint="eastAsia"/>
          <w:color w:val="auto"/>
          <w:kern w:val="0"/>
          <w:szCs w:val="21"/>
          <w:highlight w:val="none"/>
          <w:u w:val="single"/>
          <w:lang w:eastAsia="zh-CN"/>
        </w:rPr>
        <w:t>崇左市中心血站</w:t>
      </w:r>
    </w:p>
    <w:p w14:paraId="13BD93B3">
      <w:pPr>
        <w:spacing w:line="312" w:lineRule="auto"/>
        <w:ind w:firstLine="420" w:firstLineChars="200"/>
        <w:jc w:val="left"/>
        <w:rPr>
          <w:color w:val="auto"/>
          <w:kern w:val="0"/>
          <w:szCs w:val="21"/>
          <w:highlight w:val="none"/>
          <w:u w:val="single"/>
        </w:rPr>
      </w:pPr>
      <w:r>
        <w:rPr>
          <w:color w:val="auto"/>
          <w:kern w:val="0"/>
          <w:szCs w:val="21"/>
          <w:highlight w:val="none"/>
        </w:rPr>
        <w:t>地址：</w:t>
      </w:r>
      <w:r>
        <w:rPr>
          <w:rFonts w:hint="eastAsia"/>
          <w:color w:val="auto"/>
          <w:kern w:val="0"/>
          <w:szCs w:val="21"/>
          <w:highlight w:val="none"/>
        </w:rPr>
        <w:t>崇左市江州区友谊大道17号</w:t>
      </w:r>
    </w:p>
    <w:p w14:paraId="0D39B85A">
      <w:pPr>
        <w:spacing w:line="312" w:lineRule="auto"/>
        <w:ind w:firstLine="420" w:firstLineChars="200"/>
        <w:jc w:val="left"/>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联系人：</w:t>
      </w:r>
      <w:r>
        <w:rPr>
          <w:rFonts w:hint="eastAsia" w:ascii="Arial" w:hAnsi="Arial" w:cs="Arial"/>
          <w:color w:val="auto"/>
          <w:kern w:val="0"/>
          <w:szCs w:val="21"/>
          <w:highlight w:val="none"/>
          <w:lang w:val="en-US" w:eastAsia="zh-CN"/>
        </w:rPr>
        <w:t>陈金菊</w:t>
      </w:r>
    </w:p>
    <w:p w14:paraId="024848DD">
      <w:pPr>
        <w:spacing w:line="312" w:lineRule="auto"/>
        <w:ind w:firstLine="420" w:firstLineChars="200"/>
        <w:jc w:val="left"/>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联系电话：</w:t>
      </w:r>
      <w:r>
        <w:rPr>
          <w:rFonts w:hint="default"/>
          <w:color w:val="auto"/>
          <w:highlight w:val="none"/>
          <w:lang w:val="en-US" w:eastAsia="zh-CN"/>
        </w:rPr>
        <w:t>0771-7835020</w:t>
      </w:r>
    </w:p>
    <w:p w14:paraId="7744AB82">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2.采购代理机构信息</w:t>
      </w:r>
    </w:p>
    <w:p w14:paraId="1F3A506A">
      <w:pPr>
        <w:spacing w:line="312" w:lineRule="auto"/>
        <w:ind w:firstLine="420" w:firstLineChars="200"/>
        <w:jc w:val="left"/>
        <w:rPr>
          <w:color w:val="auto"/>
          <w:kern w:val="0"/>
          <w:szCs w:val="21"/>
          <w:highlight w:val="none"/>
          <w:u w:val="single"/>
        </w:rPr>
      </w:pPr>
      <w:r>
        <w:rPr>
          <w:rFonts w:hint="eastAsia"/>
          <w:color w:val="auto"/>
          <w:kern w:val="0"/>
          <w:szCs w:val="21"/>
          <w:highlight w:val="none"/>
        </w:rPr>
        <w:t>名称</w:t>
      </w:r>
      <w:r>
        <w:rPr>
          <w:color w:val="auto"/>
          <w:kern w:val="0"/>
          <w:szCs w:val="21"/>
          <w:highlight w:val="none"/>
        </w:rPr>
        <w:t>：</w:t>
      </w:r>
      <w:r>
        <w:rPr>
          <w:color w:val="auto"/>
          <w:kern w:val="0"/>
          <w:szCs w:val="21"/>
          <w:highlight w:val="none"/>
          <w:u w:val="single"/>
        </w:rPr>
        <w:t>广西机电设备招标有限公司</w:t>
      </w:r>
    </w:p>
    <w:p w14:paraId="123FA7D8">
      <w:pPr>
        <w:spacing w:line="312" w:lineRule="auto"/>
        <w:ind w:firstLine="420" w:firstLineChars="200"/>
        <w:jc w:val="left"/>
        <w:rPr>
          <w:color w:val="auto"/>
          <w:kern w:val="0"/>
          <w:szCs w:val="21"/>
          <w:highlight w:val="none"/>
          <w:u w:val="single"/>
        </w:rPr>
      </w:pPr>
      <w:r>
        <w:rPr>
          <w:color w:val="auto"/>
          <w:kern w:val="0"/>
          <w:szCs w:val="21"/>
          <w:highlight w:val="none"/>
        </w:rPr>
        <w:t>地址：</w:t>
      </w:r>
      <w:r>
        <w:rPr>
          <w:color w:val="auto"/>
          <w:highlight w:val="none"/>
          <w:u w:val="single"/>
        </w:rPr>
        <w:t>广西南宁市金湖路63号金源CBD现代城B座7层</w:t>
      </w:r>
    </w:p>
    <w:p w14:paraId="7A30A351">
      <w:pPr>
        <w:spacing w:line="312" w:lineRule="auto"/>
        <w:ind w:firstLine="420" w:firstLineChars="200"/>
        <w:jc w:val="left"/>
        <w:rPr>
          <w:rFonts w:hint="default" w:ascii="Arial" w:hAnsi="Arial" w:cs="Arial"/>
          <w:color w:val="auto"/>
          <w:kern w:val="0"/>
          <w:szCs w:val="21"/>
          <w:highlight w:val="none"/>
          <w:lang w:val="en-US" w:eastAsia="zh-CN"/>
        </w:rPr>
      </w:pPr>
      <w:r>
        <w:rPr>
          <w:color w:val="auto"/>
          <w:kern w:val="0"/>
          <w:szCs w:val="21"/>
          <w:highlight w:val="none"/>
        </w:rPr>
        <w:t>项目联系人：</w:t>
      </w:r>
      <w:r>
        <w:rPr>
          <w:rFonts w:hint="eastAsia" w:ascii="Arial" w:hAnsi="Arial" w:cs="Arial"/>
          <w:color w:val="auto"/>
          <w:kern w:val="0"/>
          <w:szCs w:val="21"/>
          <w:highlight w:val="none"/>
          <w:lang w:val="en-US" w:eastAsia="zh-CN"/>
        </w:rPr>
        <w:t>梅莹、梁艳冰、陆丽春、陈健达</w:t>
      </w:r>
    </w:p>
    <w:p w14:paraId="151F5C90">
      <w:pPr>
        <w:spacing w:line="312" w:lineRule="auto"/>
        <w:ind w:right="420" w:firstLine="420" w:firstLineChars="200"/>
        <w:rPr>
          <w:rFonts w:hint="eastAsia"/>
          <w:color w:val="auto"/>
          <w:kern w:val="0"/>
          <w:szCs w:val="21"/>
          <w:highlight w:val="none"/>
        </w:rPr>
      </w:pPr>
      <w:r>
        <w:rPr>
          <w:rFonts w:hint="eastAsia"/>
          <w:color w:val="auto"/>
          <w:kern w:val="0"/>
          <w:szCs w:val="21"/>
          <w:highlight w:val="none"/>
        </w:rPr>
        <w:t>项目联系方式</w:t>
      </w:r>
      <w:r>
        <w:rPr>
          <w:color w:val="auto"/>
          <w:kern w:val="0"/>
          <w:szCs w:val="21"/>
          <w:highlight w:val="none"/>
        </w:rPr>
        <w:t>：</w:t>
      </w:r>
      <w:r>
        <w:rPr>
          <w:rFonts w:hint="eastAsia"/>
          <w:color w:val="auto"/>
          <w:kern w:val="0"/>
          <w:szCs w:val="21"/>
          <w:highlight w:val="none"/>
        </w:rPr>
        <w:t>0771-2808981</w:t>
      </w:r>
    </w:p>
    <w:p w14:paraId="0B9FF5C5">
      <w:pPr>
        <w:spacing w:line="312" w:lineRule="auto"/>
        <w:ind w:right="420" w:firstLine="420" w:firstLineChars="200"/>
        <w:rPr>
          <w:rFonts w:hint="eastAsia"/>
          <w:color w:val="auto"/>
          <w:kern w:val="0"/>
          <w:szCs w:val="21"/>
          <w:highlight w:val="none"/>
        </w:rPr>
      </w:pPr>
    </w:p>
    <w:p w14:paraId="5FBC2F2D">
      <w:pPr>
        <w:spacing w:line="312" w:lineRule="auto"/>
        <w:ind w:firstLine="420" w:firstLineChars="200"/>
        <w:jc w:val="right"/>
        <w:rPr>
          <w:color w:val="auto"/>
          <w:kern w:val="0"/>
          <w:szCs w:val="21"/>
          <w:highlight w:val="none"/>
        </w:rPr>
      </w:pPr>
      <w:r>
        <w:rPr>
          <w:color w:val="auto"/>
          <w:kern w:val="0"/>
          <w:szCs w:val="21"/>
          <w:highlight w:val="none"/>
        </w:rPr>
        <w:t>广西机电设备招标有限公司</w:t>
      </w:r>
    </w:p>
    <w:p w14:paraId="41B324A2">
      <w:pPr>
        <w:spacing w:line="312" w:lineRule="auto"/>
        <w:ind w:firstLine="420" w:firstLineChars="200"/>
        <w:jc w:val="right"/>
        <w:rPr>
          <w:color w:val="auto"/>
          <w:kern w:val="0"/>
          <w:sz w:val="18"/>
          <w:szCs w:val="18"/>
          <w:highlight w:val="none"/>
        </w:rPr>
      </w:pPr>
      <w:r>
        <w:rPr>
          <w:color w:val="auto"/>
          <w:kern w:val="0"/>
          <w:szCs w:val="21"/>
          <w:highlight w:val="none"/>
        </w:rPr>
        <w:t>2</w:t>
      </w:r>
      <w:r>
        <w:rPr>
          <w:rFonts w:hint="eastAsia"/>
          <w:color w:val="auto"/>
          <w:kern w:val="0"/>
          <w:szCs w:val="21"/>
          <w:highlight w:val="none"/>
          <w:lang w:val="en-US" w:eastAsia="zh-CN"/>
        </w:rPr>
        <w:t>026</w:t>
      </w:r>
      <w:r>
        <w:rPr>
          <w:color w:val="auto"/>
          <w:kern w:val="0"/>
          <w:szCs w:val="21"/>
          <w:highlight w:val="none"/>
        </w:rPr>
        <w:t>年</w:t>
      </w:r>
      <w:r>
        <w:rPr>
          <w:rFonts w:hint="eastAsia"/>
          <w:color w:val="auto"/>
          <w:kern w:val="0"/>
          <w:szCs w:val="21"/>
          <w:highlight w:val="none"/>
          <w:lang w:val="en-US" w:eastAsia="zh-CN"/>
        </w:rPr>
        <w:t>8</w:t>
      </w:r>
      <w:r>
        <w:rPr>
          <w:color w:val="auto"/>
          <w:kern w:val="0"/>
          <w:szCs w:val="21"/>
          <w:highlight w:val="none"/>
        </w:rPr>
        <w:t>月</w:t>
      </w:r>
      <w:r>
        <w:rPr>
          <w:rFonts w:hint="eastAsia"/>
          <w:color w:val="auto"/>
          <w:kern w:val="0"/>
          <w:szCs w:val="21"/>
          <w:highlight w:val="none"/>
          <w:lang w:val="en-US" w:eastAsia="zh-CN"/>
        </w:rPr>
        <w:t>31</w:t>
      </w:r>
      <w:r>
        <w:rPr>
          <w:color w:val="auto"/>
          <w:kern w:val="0"/>
          <w:szCs w:val="21"/>
          <w:highlight w:val="none"/>
        </w:rPr>
        <w:t>日</w:t>
      </w:r>
    </w:p>
    <w:p w14:paraId="4C025F98">
      <w:pPr>
        <w:ind w:firstLine="409" w:firstLineChars="195"/>
        <w:jc w:val="left"/>
        <w:rPr>
          <w:color w:val="auto"/>
          <w:kern w:val="0"/>
          <w:szCs w:val="21"/>
          <w:highlight w:val="none"/>
        </w:rPr>
      </w:pPr>
    </w:p>
    <w:p w14:paraId="110CC7A5">
      <w:pPr>
        <w:ind w:firstLine="409" w:firstLineChars="195"/>
        <w:jc w:val="left"/>
        <w:rPr>
          <w:rFonts w:hint="eastAsia"/>
          <w:color w:val="auto"/>
          <w:kern w:val="0"/>
          <w:szCs w:val="21"/>
          <w:highlight w:val="none"/>
        </w:rPr>
      </w:pPr>
    </w:p>
    <w:p w14:paraId="1065A182">
      <w:pPr>
        <w:pStyle w:val="26"/>
        <w:snapToGrid w:val="0"/>
        <w:spacing w:before="120" w:after="120" w:line="320" w:lineRule="exact"/>
        <w:jc w:val="center"/>
        <w:outlineLvl w:val="0"/>
        <w:rPr>
          <w:rFonts w:ascii="Times New Roman" w:hAnsi="Times New Roman" w:cs="Times New Roman"/>
          <w:color w:val="auto"/>
          <w:highlight w:val="none"/>
        </w:rPr>
        <w:sectPr>
          <w:headerReference r:id="rId9" w:type="first"/>
          <w:footerReference r:id="rId11" w:type="first"/>
          <w:headerReference r:id="rId8" w:type="default"/>
          <w:footerReference r:id="rId10" w:type="default"/>
          <w:pgSz w:w="11906" w:h="16838"/>
          <w:pgMar w:top="1135" w:right="1133" w:bottom="1246" w:left="1418" w:header="851" w:footer="903" w:gutter="0"/>
          <w:pgNumType w:start="1"/>
          <w:cols w:space="720" w:num="1"/>
          <w:docGrid w:linePitch="312" w:charSpace="0"/>
        </w:sectPr>
      </w:pPr>
    </w:p>
    <w:p w14:paraId="7279CCEE">
      <w:pPr>
        <w:rPr>
          <w:color w:val="auto"/>
          <w:highlight w:val="none"/>
        </w:rPr>
      </w:pPr>
      <w:bookmarkStart w:id="20" w:name="_Toc15694"/>
    </w:p>
    <w:p w14:paraId="389C5AE7">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1" w:name="_Toc24439"/>
      <w:bookmarkStart w:id="22" w:name="_Toc12824"/>
      <w:bookmarkStart w:id="23" w:name="_Toc11415"/>
      <w:bookmarkStart w:id="24" w:name="_Toc2421"/>
      <w:r>
        <w:rPr>
          <w:rFonts w:ascii="Times New Roman" w:hAnsi="Times New Roman" w:cs="Times New Roman"/>
          <w:color w:val="auto"/>
          <w:sz w:val="32"/>
          <w:szCs w:val="32"/>
          <w:highlight w:val="none"/>
        </w:rPr>
        <w:t>第二章  项目采购需求</w:t>
      </w:r>
      <w:bookmarkEnd w:id="20"/>
      <w:bookmarkEnd w:id="21"/>
      <w:bookmarkEnd w:id="22"/>
      <w:bookmarkEnd w:id="23"/>
      <w:bookmarkEnd w:id="24"/>
    </w:p>
    <w:p w14:paraId="1DD4B348">
      <w:pPr>
        <w:spacing w:before="120"/>
        <w:rPr>
          <w:rFonts w:ascii="宋体" w:hAnsi="宋体" w:cs="宋体"/>
          <w:b/>
          <w:bCs/>
          <w:color w:val="auto"/>
          <w:sz w:val="28"/>
          <w:szCs w:val="28"/>
          <w:highlight w:val="none"/>
        </w:rPr>
      </w:pPr>
    </w:p>
    <w:p w14:paraId="71BBC117">
      <w:pPr>
        <w:spacing w:line="360" w:lineRule="auto"/>
        <w:rPr>
          <w:rFonts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60574578">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236DC7E0">
      <w:pPr>
        <w:spacing w:line="360" w:lineRule="auto"/>
        <w:rPr>
          <w:color w:val="auto"/>
          <w:szCs w:val="21"/>
          <w:highlight w:val="none"/>
        </w:rPr>
      </w:pPr>
      <w:r>
        <w:rPr>
          <w:rFonts w:hint="eastAsia"/>
          <w:color w:val="auto"/>
          <w:szCs w:val="21"/>
          <w:highlight w:val="none"/>
        </w:rPr>
        <w:t>详见采购文件“评审方法及标准</w:t>
      </w:r>
      <w:r>
        <w:rPr>
          <w:color w:val="auto"/>
          <w:szCs w:val="21"/>
          <w:highlight w:val="none"/>
        </w:rPr>
        <w:t>/政府采购政策应用说明”。</w:t>
      </w:r>
    </w:p>
    <w:p w14:paraId="779EB40D">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采购人与成交供应商</w:t>
      </w:r>
      <w:r>
        <w:rPr>
          <w:color w:val="auto"/>
          <w:szCs w:val="21"/>
          <w:highlight w:val="none"/>
        </w:rPr>
        <w:t>在采购合同中约定。</w:t>
      </w:r>
    </w:p>
    <w:p w14:paraId="63A44651">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标注“▲”的条款或要求系指实质性条款或实质性要求，必须满足，如存在负偏离将导致响应</w:t>
      </w:r>
      <w:r>
        <w:rPr>
          <w:rFonts w:hint="eastAsia"/>
          <w:color w:val="auto"/>
          <w:szCs w:val="21"/>
          <w:highlight w:val="none"/>
          <w:lang w:val="en-US" w:eastAsia="zh-CN"/>
        </w:rPr>
        <w:t>无效</w:t>
      </w:r>
      <w:r>
        <w:rPr>
          <w:color w:val="auto"/>
          <w:szCs w:val="21"/>
          <w:highlight w:val="none"/>
        </w:rPr>
        <w:t>。</w:t>
      </w:r>
    </w:p>
    <w:p w14:paraId="65B98F0B">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70230909">
      <w:pPr>
        <w:spacing w:line="360" w:lineRule="auto"/>
        <w:rPr>
          <w:color w:val="auto"/>
          <w:szCs w:val="21"/>
          <w:highlight w:val="none"/>
        </w:rPr>
      </w:pPr>
      <w:r>
        <w:rPr>
          <w:rFonts w:hint="eastAsia"/>
          <w:color w:val="auto"/>
          <w:szCs w:val="21"/>
          <w:highlight w:val="none"/>
        </w:rPr>
        <w:t>1.需实现的功能、目标及应用场景</w:t>
      </w:r>
    </w:p>
    <w:p w14:paraId="426F525A">
      <w:pPr>
        <w:spacing w:line="360" w:lineRule="auto"/>
        <w:rPr>
          <w:rFonts w:hint="eastAsia"/>
          <w:color w:val="auto"/>
          <w:szCs w:val="21"/>
          <w:highlight w:val="none"/>
        </w:rPr>
      </w:pPr>
      <w:r>
        <w:rPr>
          <w:rFonts w:hint="eastAsia"/>
          <w:color w:val="auto"/>
          <w:szCs w:val="21"/>
          <w:highlight w:val="none"/>
        </w:rPr>
        <w:t>满足采购文件要求，验收达到合格标准。</w:t>
      </w:r>
    </w:p>
    <w:p w14:paraId="777D9034">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72E9B48B">
      <w:pPr>
        <w:spacing w:line="360" w:lineRule="auto"/>
        <w:rPr>
          <w:color w:val="auto"/>
          <w:szCs w:val="21"/>
          <w:highlight w:val="none"/>
        </w:rPr>
      </w:pPr>
      <w:r>
        <w:rPr>
          <w:color w:val="auto"/>
          <w:szCs w:val="21"/>
          <w:highlight w:val="none"/>
        </w:rPr>
        <w:sym w:font="Wingdings 2" w:char="F052"/>
      </w:r>
      <w:r>
        <w:rPr>
          <w:rFonts w:hint="eastAsia"/>
          <w:color w:val="auto"/>
          <w:szCs w:val="21"/>
          <w:highlight w:val="none"/>
        </w:rPr>
        <w:t>否</w:t>
      </w:r>
    </w:p>
    <w:p w14:paraId="6AD33275">
      <w:pPr>
        <w:spacing w:line="360" w:lineRule="auto"/>
        <w:rPr>
          <w:color w:val="auto"/>
          <w:szCs w:val="21"/>
          <w:highlight w:val="none"/>
        </w:rPr>
      </w:pPr>
      <w:r>
        <w:rPr>
          <w:rFonts w:hint="eastAsia"/>
          <w:color w:val="auto"/>
          <w:szCs w:val="21"/>
          <w:highlight w:val="none"/>
        </w:rPr>
        <w:t>注：（</w:t>
      </w:r>
      <w:r>
        <w:rPr>
          <w:color w:val="auto"/>
          <w:szCs w:val="21"/>
          <w:highlight w:val="none"/>
        </w:rPr>
        <w:t>1）以上所述不接受进口产品的，供应商不得选用进口产品参与响应，否则响应按无效响应处理；列明接受进口产品的分项，供应商可以选用进口产品参与响应，但不排斥国内产品。</w:t>
      </w:r>
    </w:p>
    <w:p w14:paraId="1AF8BC18">
      <w:pPr>
        <w:spacing w:line="360" w:lineRule="auto"/>
        <w:rPr>
          <w:color w:val="auto"/>
          <w:szCs w:val="21"/>
          <w:highlight w:val="none"/>
        </w:rPr>
      </w:pPr>
      <w:r>
        <w:rPr>
          <w:rFonts w:hint="eastAsia"/>
          <w:color w:val="auto"/>
          <w:szCs w:val="21"/>
          <w:highlight w:val="none"/>
        </w:rPr>
        <w:t>（</w:t>
      </w:r>
      <w:r>
        <w:rPr>
          <w:color w:val="auto"/>
          <w:szCs w:val="21"/>
          <w:highlight w:val="none"/>
        </w:rPr>
        <w:t>2）如本项目接受进口产品，供应商选择提供进口产品，则提供的必须为全新原装进口产品，报价中应包括关税等所有进口环节费用并由成交供应商办理进口相关手续，供应商报价中应自行考虑海关关税政策变化带来的风险，采购人不承担该政策变化所造成的费用增加。</w:t>
      </w:r>
    </w:p>
    <w:p w14:paraId="7DF3CCCD">
      <w:pPr>
        <w:spacing w:line="360" w:lineRule="auto"/>
        <w:rPr>
          <w:color w:val="auto"/>
          <w:szCs w:val="21"/>
          <w:highlight w:val="none"/>
        </w:rPr>
      </w:pPr>
      <w:r>
        <w:rPr>
          <w:rFonts w:hint="eastAsia"/>
          <w:color w:val="auto"/>
          <w:szCs w:val="21"/>
          <w:highlight w:val="none"/>
        </w:rPr>
        <w:t>（</w:t>
      </w:r>
      <w:r>
        <w:rPr>
          <w:color w:val="auto"/>
          <w:szCs w:val="21"/>
          <w:highlight w:val="none"/>
        </w:rPr>
        <w:t>3）进口产品是指通过中国海关报关验放进入中国境内且产自关境外的产品。</w:t>
      </w:r>
    </w:p>
    <w:p w14:paraId="501D8D5B">
      <w:pPr>
        <w:spacing w:line="360" w:lineRule="auto"/>
        <w:rPr>
          <w:rFonts w:hint="eastAsia"/>
          <w:color w:val="auto"/>
          <w:szCs w:val="21"/>
          <w:highlight w:val="none"/>
        </w:rPr>
      </w:pPr>
      <w:r>
        <w:rPr>
          <w:rFonts w:hint="eastAsia"/>
          <w:color w:val="auto"/>
          <w:szCs w:val="21"/>
          <w:highlight w:val="none"/>
        </w:rPr>
        <w:t>（</w:t>
      </w:r>
      <w:r>
        <w:rPr>
          <w:color w:val="auto"/>
          <w:szCs w:val="21"/>
          <w:highlight w:val="none"/>
        </w:rPr>
        <w:t>4）其余内容以《政府采购进口产品管理办法》（财库〔2007〕119号）和《关于政府采购进口产品管理有关问题的通知》（财办库</w:t>
      </w:r>
      <w:r>
        <w:rPr>
          <w:rFonts w:hint="eastAsia" w:eastAsia="宋体"/>
          <w:color w:val="auto"/>
          <w:szCs w:val="21"/>
          <w:highlight w:val="none"/>
          <w:lang w:eastAsia="zh-CN"/>
        </w:rPr>
        <w:t>〔2008〕248号</w:t>
      </w:r>
      <w:r>
        <w:rPr>
          <w:color w:val="auto"/>
          <w:szCs w:val="21"/>
          <w:highlight w:val="none"/>
        </w:rPr>
        <w:t>）的相关规定为准。</w:t>
      </w:r>
    </w:p>
    <w:p w14:paraId="118B16D0">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6B1526B1">
      <w:pPr>
        <w:spacing w:line="360" w:lineRule="auto"/>
        <w:rPr>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 xml:space="preserve"> </w:t>
      </w:r>
      <w:r>
        <w:rPr>
          <w:rFonts w:hint="eastAsia"/>
          <w:i/>
          <w:color w:val="auto"/>
          <w:szCs w:val="21"/>
          <w:highlight w:val="none"/>
          <w:u w:val="single"/>
        </w:rPr>
        <w:t>详见技术指标要求</w:t>
      </w:r>
      <w:r>
        <w:rPr>
          <w:i/>
          <w:color w:val="auto"/>
          <w:szCs w:val="21"/>
          <w:highlight w:val="none"/>
          <w:u w:val="single"/>
        </w:rPr>
        <w:t xml:space="preserve">   </w:t>
      </w:r>
      <w:r>
        <w:rPr>
          <w:color w:val="auto"/>
          <w:szCs w:val="21"/>
          <w:highlight w:val="none"/>
          <w:u w:val="single"/>
        </w:rPr>
        <w:t xml:space="preserve">  </w:t>
      </w:r>
    </w:p>
    <w:p w14:paraId="6BB510F5">
      <w:pPr>
        <w:spacing w:line="360" w:lineRule="auto"/>
        <w:rPr>
          <w:rFonts w:hint="eastAsia" w:eastAsia="宋体"/>
          <w:color w:val="auto"/>
          <w:szCs w:val="21"/>
          <w:highlight w:val="none"/>
          <w:lang w:val="en-US" w:eastAsia="zh-CN"/>
        </w:rPr>
      </w:pPr>
      <w:r>
        <w:rPr>
          <w:color w:val="auto"/>
          <w:szCs w:val="21"/>
          <w:highlight w:val="none"/>
        </w:rPr>
        <w:t>4</w:t>
      </w:r>
      <w:r>
        <w:rPr>
          <w:rFonts w:hint="eastAsia"/>
          <w:color w:val="auto"/>
          <w:szCs w:val="21"/>
          <w:highlight w:val="none"/>
        </w:rPr>
        <w:t>.标的所属行业：</w:t>
      </w:r>
      <w:r>
        <w:rPr>
          <w:rFonts w:hint="eastAsia"/>
          <w:b/>
          <w:bCs/>
          <w:color w:val="auto"/>
          <w:szCs w:val="21"/>
          <w:highlight w:val="none"/>
        </w:rPr>
        <w:t>其他未列明行业</w:t>
      </w:r>
      <w:r>
        <w:rPr>
          <w:rFonts w:hint="eastAsia"/>
          <w:color w:val="auto"/>
          <w:szCs w:val="21"/>
          <w:highlight w:val="none"/>
          <w:lang w:val="en-US" w:eastAsia="zh-CN"/>
        </w:rPr>
        <w:t>。</w:t>
      </w:r>
    </w:p>
    <w:p w14:paraId="348C2BCE">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51DCB68D">
      <w:pPr>
        <w:spacing w:line="360" w:lineRule="auto"/>
        <w:rPr>
          <w:color w:val="auto"/>
          <w:szCs w:val="21"/>
          <w:highlight w:val="none"/>
        </w:rPr>
      </w:pPr>
      <w:r>
        <w:rPr>
          <w:rFonts w:hint="eastAsia"/>
          <w:color w:val="auto"/>
          <w:szCs w:val="21"/>
          <w:highlight w:val="none"/>
        </w:rPr>
        <w:t>本项目为服务项目，不适用核心产品规定。</w:t>
      </w:r>
    </w:p>
    <w:p w14:paraId="573C717C">
      <w:pPr>
        <w:spacing w:line="360" w:lineRule="auto"/>
        <w:rPr>
          <w:rFonts w:hint="eastAsia"/>
          <w:color w:val="auto"/>
          <w:szCs w:val="21"/>
          <w:highlight w:val="none"/>
        </w:rPr>
      </w:pPr>
      <w:r>
        <w:rPr>
          <w:color w:val="auto"/>
          <w:szCs w:val="21"/>
          <w:highlight w:val="none"/>
        </w:rPr>
        <w:t>▲6</w:t>
      </w:r>
      <w:r>
        <w:rPr>
          <w:rFonts w:hint="eastAsia"/>
          <w:color w:val="auto"/>
          <w:szCs w:val="21"/>
          <w:highlight w:val="none"/>
        </w:rPr>
        <w:t>.服务内容和标准</w:t>
      </w:r>
      <w:bookmarkStart w:id="25" w:name="_Hlk132788047"/>
    </w:p>
    <w:bookmarkEnd w:id="25"/>
    <w:tbl>
      <w:tblPr>
        <w:tblStyle w:val="51"/>
        <w:tblW w:w="88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5"/>
        <w:gridCol w:w="1892"/>
        <w:gridCol w:w="928"/>
        <w:gridCol w:w="4986"/>
      </w:tblGrid>
      <w:tr w14:paraId="404FC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jc w:val="center"/>
        </w:trPr>
        <w:tc>
          <w:tcPr>
            <w:tcW w:w="1065" w:type="dxa"/>
            <w:noWrap w:val="0"/>
            <w:vAlign w:val="center"/>
          </w:tcPr>
          <w:p w14:paraId="13956306">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892" w:type="dxa"/>
            <w:noWrap w:val="0"/>
            <w:vAlign w:val="center"/>
          </w:tcPr>
          <w:p w14:paraId="6C9C6A5C">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928" w:type="dxa"/>
            <w:noWrap w:val="0"/>
            <w:vAlign w:val="center"/>
          </w:tcPr>
          <w:p w14:paraId="74FCCC35">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4986" w:type="dxa"/>
            <w:noWrap w:val="0"/>
            <w:vAlign w:val="center"/>
          </w:tcPr>
          <w:p w14:paraId="542CE7BB">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服务及</w:t>
            </w:r>
            <w:r>
              <w:rPr>
                <w:rFonts w:hint="eastAsia" w:ascii="宋体" w:hAnsi="宋体" w:cs="宋体"/>
                <w:color w:val="auto"/>
                <w:szCs w:val="21"/>
                <w:highlight w:val="none"/>
              </w:rPr>
              <w:t>技术要求</w:t>
            </w:r>
          </w:p>
        </w:tc>
      </w:tr>
      <w:tr w14:paraId="38070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6" w:hRule="atLeast"/>
          <w:jc w:val="center"/>
        </w:trPr>
        <w:tc>
          <w:tcPr>
            <w:tcW w:w="1065" w:type="dxa"/>
            <w:noWrap w:val="0"/>
            <w:vAlign w:val="center"/>
          </w:tcPr>
          <w:p w14:paraId="37F2B8C7">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892" w:type="dxa"/>
            <w:noWrap w:val="0"/>
            <w:vAlign w:val="center"/>
          </w:tcPr>
          <w:p w14:paraId="5FF2A0F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highlight w:val="none"/>
              </w:rPr>
            </w:pPr>
            <w:r>
              <w:rPr>
                <w:rFonts w:hint="eastAsia" w:ascii="宋体" w:hAnsi="宋体" w:eastAsia="宋体" w:cs="Times New Roman"/>
                <w:color w:val="auto"/>
                <w:szCs w:val="21"/>
                <w:highlight w:val="none"/>
                <w:lang w:eastAsia="zh-CN"/>
              </w:rPr>
              <w:t>血液样本核酸检测服务</w:t>
            </w:r>
          </w:p>
        </w:tc>
        <w:tc>
          <w:tcPr>
            <w:tcW w:w="928" w:type="dxa"/>
            <w:noWrap w:val="0"/>
            <w:vAlign w:val="center"/>
          </w:tcPr>
          <w:p w14:paraId="154B29E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（以实际送检的标本数量为准）</w:t>
            </w:r>
          </w:p>
        </w:tc>
        <w:tc>
          <w:tcPr>
            <w:tcW w:w="4986" w:type="dxa"/>
            <w:noWrap w:val="0"/>
            <w:vAlign w:val="center"/>
          </w:tcPr>
          <w:p w14:paraId="5C169FB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1.对</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送检的核酸检测标本采集、送检、处理及保存等过程进行管理和控制，确保血液标本符合检测要求。</w:t>
            </w:r>
          </w:p>
          <w:p w14:paraId="2A4CAD8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2.对</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的核酸检测报告的发放、收回、更改和重新签发等过程进行管理和控制，确保检测报告及时、准确。</w:t>
            </w:r>
          </w:p>
          <w:p w14:paraId="2D5372EE">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3.负责核酸检测标本的质量审核、接收、处理、保存及检测。</w:t>
            </w:r>
          </w:p>
          <w:p w14:paraId="25B1038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4.负责核酸检测报告的发放、收回、更改和重新签发。</w:t>
            </w:r>
          </w:p>
          <w:p w14:paraId="4B46304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5.核酸检测标本的管理要求：</w:t>
            </w:r>
          </w:p>
          <w:p w14:paraId="3DDA59DE">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5.1核酸检测标本采集前的准备</w:t>
            </w:r>
          </w:p>
          <w:p w14:paraId="26D2E3E9">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5.1.1标本采集人员的资质要求：应经过血液标本采集培训并考核合格，具有卫生专业技术资格。</w:t>
            </w:r>
          </w:p>
          <w:p w14:paraId="583D4FC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5.1.2标本容器要求：</w:t>
            </w:r>
          </w:p>
          <w:p w14:paraId="1249B081">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1)采血管无破裂、无污染，密闭性好，有一定的刚性、不易损坏，试管容量、材质等性能应满足</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要求。</w:t>
            </w:r>
          </w:p>
          <w:p w14:paraId="4A74CC74">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2)采用无菌、无DNA 酶、无RNA 酶含惰性分离胶的EDTA盐抗凝真空采血管。</w:t>
            </w:r>
          </w:p>
          <w:p w14:paraId="27E7DEF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5.1.3献血者知情同意：采集血液标本前应征得献血者的知情同意。</w:t>
            </w:r>
          </w:p>
          <w:p w14:paraId="46EB754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5.1.4献血者的身份确认：血液标本采集前应核对献血者身份。</w:t>
            </w:r>
          </w:p>
          <w:p w14:paraId="4882831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5.2核酸检测标本的采集</w:t>
            </w:r>
          </w:p>
          <w:p w14:paraId="720F3A57">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5.2.1标本量：至少5mlEDTA盐抗凝全血(采集量应满足全部检测的要求)。</w:t>
            </w:r>
          </w:p>
          <w:p w14:paraId="7E726FB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5.2.2标本标识：</w:t>
            </w:r>
          </w:p>
          <w:p w14:paraId="523BCDA0">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1)标本应有</w:t>
            </w:r>
            <w:r>
              <w:rPr>
                <w:rFonts w:hint="eastAsia" w:ascii="宋体" w:hAnsi="宋体" w:cs="宋体"/>
                <w:color w:val="auto"/>
                <w:highlight w:val="none"/>
                <w:lang w:val="en-US" w:eastAsia="zh-CN"/>
              </w:rPr>
              <w:t>唯一</w:t>
            </w:r>
            <w:r>
              <w:rPr>
                <w:rFonts w:hint="eastAsia" w:ascii="宋体" w:hAnsi="宋体" w:eastAsia="宋体" w:cs="宋体"/>
                <w:color w:val="auto"/>
                <w:highlight w:val="none"/>
                <w:lang w:val="en-US" w:eastAsia="zh-CN"/>
              </w:rPr>
              <w:t>性标识，并确保献血者的血袋、标本管和献血记录的同源性。</w:t>
            </w:r>
          </w:p>
          <w:p w14:paraId="2997798A">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2)条形码应完整清晰，包含</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单位代码。</w:t>
            </w:r>
          </w:p>
          <w:p w14:paraId="540B6398">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3)无污渍、无皱折、无脱落、笔划不应覆盖条形码。</w:t>
            </w:r>
          </w:p>
          <w:p w14:paraId="18F1ED88">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4)在距试管口1厘米处向下垂直粘贴条形码。</w:t>
            </w:r>
          </w:p>
          <w:p w14:paraId="76999505">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的标本应使用特殊颜色标识与</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的标本区别。</w:t>
            </w:r>
          </w:p>
          <w:p w14:paraId="5C5ED6E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5.2.3标本外观：</w:t>
            </w:r>
          </w:p>
          <w:p w14:paraId="5D97C04A">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1)无严重溶血、污染、稀释等情况。</w:t>
            </w:r>
          </w:p>
          <w:p w14:paraId="0E92EE2C">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2)容器无破损渗漏。</w:t>
            </w:r>
          </w:p>
          <w:p w14:paraId="3DDA1EFF">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3）核酸标本血浆和红细胞被分离胶隔离。</w:t>
            </w:r>
          </w:p>
          <w:p w14:paraId="5378702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5.2.4标本留取方法：</w:t>
            </w:r>
          </w:p>
          <w:p w14:paraId="1290F396">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1)应在采集血袋血液的同时或从血袋旁袋中同步留取，不得在献血者健康检查时提前留取。</w:t>
            </w:r>
          </w:p>
          <w:p w14:paraId="3598FBDB">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2)应单手操作，避免手被针头刺伤。</w:t>
            </w:r>
          </w:p>
          <w:p w14:paraId="6D35CB6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3)第1管用于酶免、生化等检测，第2管用于核酸检测，如需留特殊标本(如造血干细胞标本或其他标本)时先留血液标本后特殊标本。</w:t>
            </w:r>
          </w:p>
          <w:p w14:paraId="4767668D">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4)留取样本后应来回颠倒试管8～10次保证样本充分抗凝。 一次颠倒混匀是指将样本试管朝下倒置再立即朝上。每次颠倒，每个方向至少保持1秒，将试管朝下倒置，保持至少1秒；然后将标本朝上，保持至少1秒。</w:t>
            </w:r>
          </w:p>
          <w:p w14:paraId="383D9F24">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5)标本留取完毕后不得开启试管密封盖，避免被污染而影响检测结果。如需再次留取标本，应更换新的试管进行操作。</w:t>
            </w:r>
          </w:p>
          <w:p w14:paraId="65FBCCA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5.3核酸检测标本采集后的处理和保存</w:t>
            </w:r>
          </w:p>
          <w:p w14:paraId="45EBFA8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5.3.1标本在采血现场的临时保存温度为2～8℃,室温放置不应超过30分钟。</w:t>
            </w:r>
          </w:p>
          <w:p w14:paraId="47133567">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5.3.2标本采集后应在4小时内离心(离心条件1600g*15min), 分离细胞和血浆，由采血科移交检验科后，由检验科在-20℃以下冻存。</w:t>
            </w:r>
          </w:p>
          <w:p w14:paraId="19758F29">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5.4核酸检测标本的运送</w:t>
            </w:r>
          </w:p>
          <w:p w14:paraId="6CAB762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5.4.1标本应隔离密封包装，运输箱应防水、防破损、防外泄、保持温度、易于消毒。装箱时应保存标本管口向上。</w:t>
            </w:r>
          </w:p>
          <w:p w14:paraId="6D33CC1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5.4.2核酸标本的运输温度应在-40℃～-10℃。</w:t>
            </w:r>
          </w:p>
          <w:p w14:paraId="2469E244">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5.4.3运输过程应防止剧烈颠簸。</w:t>
            </w:r>
          </w:p>
          <w:p w14:paraId="4C7F85A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5.4.4应记录箱内温度。</w:t>
            </w:r>
          </w:p>
          <w:p w14:paraId="50F30DB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5.4.5标本应及时送交</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实验室。</w:t>
            </w:r>
          </w:p>
          <w:p w14:paraId="375FC1A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5.5血液标本的送检</w:t>
            </w:r>
          </w:p>
          <w:p w14:paraId="74492B4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5.5.1标本的质量检查：</w:t>
            </w:r>
          </w:p>
          <w:p w14:paraId="60EDC605">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1)标本来源、数量、采集时间等。</w:t>
            </w:r>
          </w:p>
          <w:p w14:paraId="0104E86D">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2)标本采集管使用是否正确。</w:t>
            </w:r>
          </w:p>
          <w:p w14:paraId="4045F2B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)标本与送检单信息对应性和完整性。</w:t>
            </w:r>
          </w:p>
          <w:p w14:paraId="449518F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)标本运输温度是否保持规定范围内</w:t>
            </w:r>
          </w:p>
          <w:p w14:paraId="07BD6D14">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5.5.2标本的交接：</w:t>
            </w:r>
          </w:p>
          <w:p w14:paraId="457B05A7">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将血液标本、血液标本送交单送交</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w:t>
            </w:r>
          </w:p>
          <w:p w14:paraId="6F145B66">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2)双方核实确认标本与记录是否一致、是否符合标本质量要求。</w:t>
            </w:r>
          </w:p>
          <w:p w14:paraId="6B153175">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录入标本信息后，打印标本交接记录，双方签名。</w:t>
            </w:r>
          </w:p>
          <w:p w14:paraId="3AE89A6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5.5.3标本的拒收：如有以下情形应拒收标本：</w:t>
            </w:r>
          </w:p>
          <w:p w14:paraId="6014A772">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1)纸张信息或电子信息的标本类型、采血日期、地点和总数量任一项错误或检测申请关键信息缺失或不符。</w:t>
            </w:r>
          </w:p>
          <w:p w14:paraId="6081E838">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2)标本管上无标识或标识不清、不正确。</w:t>
            </w:r>
          </w:p>
          <w:p w14:paraId="41EB5363">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3)标本保存不当造成严重溶血或标本管选用错误。</w:t>
            </w:r>
          </w:p>
          <w:p w14:paraId="78EB208F">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4)检测标本量少于检测需求量(应至少5ml)。</w:t>
            </w:r>
          </w:p>
          <w:p w14:paraId="3098DFA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5)不符合试剂说明书要求的情形。</w:t>
            </w:r>
          </w:p>
          <w:p w14:paraId="0ADD863F">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5.6不符合接收要求标本的处理</w:t>
            </w:r>
          </w:p>
          <w:p w14:paraId="7A77CDC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5.6.1如遇标本信息不符或出现错误、标本条码缺失或损坏，应将标本隔离放置，及时通知标本送交人员，纠正错误后给予接收。</w:t>
            </w:r>
          </w:p>
          <w:p w14:paraId="5DCFAAE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5.6.2如遇标本量少、溢漏、严重溶血等情况，</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应重新留取样本送交</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核收。</w:t>
            </w:r>
          </w:p>
          <w:p w14:paraId="371BA1A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5.6.3不合格情况处理须记录。</w:t>
            </w:r>
          </w:p>
          <w:p w14:paraId="34AD61E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5.7标本接收后的处理及保存</w:t>
            </w:r>
          </w:p>
          <w:p w14:paraId="7A8B9446">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5.7.1标本的离心：</w:t>
            </w:r>
          </w:p>
          <w:p w14:paraId="4C69D703">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1)应遵循生物安全守则，防止标本气溶胶对环境和人员的污染，标本应在不开启试管塞的情况下进行离心操作。</w:t>
            </w:r>
          </w:p>
          <w:p w14:paraId="0EBB5AFE">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2)若离心破管，应遵循生物安全守则，消毒离心槽和离心罐。立即通知</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，重新提取标本送检。</w:t>
            </w:r>
          </w:p>
          <w:p w14:paraId="7A2C90C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5.7.2冻存的标本应在2～8℃或18～25℃条件下复融。完 全复融后标本轻轻颠倒混匀3～5次，如有纤原析出，应在标本采集时的离心条件下进行再次离心，同时检查标本条码是否破顺。</w:t>
            </w:r>
          </w:p>
          <w:p w14:paraId="7B826DA2">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6标本的检测：</w:t>
            </w:r>
          </w:p>
          <w:p w14:paraId="4EA5C0FF">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▲6.1检测项目：乙型肝炎病毒核酸（HBV DNA）、丙型肝炎病毒核酸（HCV RNA）及人类免疫缺陷病毒核酸（HIV RNA）。</w:t>
            </w:r>
          </w:p>
          <w:p w14:paraId="5DB1E71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6.2检测流程须符合《血站实验室质量管理规范》、《血站技术操作规程（2019版）》以及其他现行国家相关标准、血站行业标准等要求。</w:t>
            </w:r>
          </w:p>
          <w:p w14:paraId="22B2217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6.3血液标本检测使用的试剂中进口试剂须占比60%。</w:t>
            </w:r>
          </w:p>
          <w:p w14:paraId="4BA226F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p>
          <w:p w14:paraId="410F703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.检测报告管理要求</w:t>
            </w:r>
          </w:p>
          <w:p w14:paraId="61D8D28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.1检测报告的发放</w:t>
            </w:r>
          </w:p>
          <w:p w14:paraId="25091EB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.1.1检测报告发放前应进行汇总，形成检测报告后，由授权人员对报告进行最终审核，以保证检测报告的正确和完整。</w:t>
            </w:r>
          </w:p>
          <w:p w14:paraId="6B21EAAB">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.1.2实验室检测结果报告内容应至少包括：检测实验室名称、标本信息、标本采集日期、检测项目、检测日期、检测方法、检测结果、检测结论、报告人、复核人和审核签发人的签名和日期。</w:t>
            </w:r>
          </w:p>
          <w:p w14:paraId="5D298A47">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.1.3检测报告的发放：</w:t>
            </w:r>
          </w:p>
          <w:p w14:paraId="27FE0349">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由实验室报告签发人员按报告审核签发程序核对后，经信息管理系统对血液检测结果进行审核和发布。实现检测报告电子信息传输至采购人，同时打印纸质报告签名后及时以传真或扫描后通过网络传输方式移交采购人，采购人核对电子信息和纸质报告(传真件或扫描件)后方能决定血液的放行。纸质报告可以在双方交接血液标本时当面移交。</w:t>
            </w:r>
            <w:r>
              <w:rPr>
                <w:rFonts w:hint="eastAsia" w:ascii="宋体" w:hAnsi="宋体" w:cs="宋体"/>
                <w:color w:val="auto"/>
                <w:lang w:val="en-US" w:eastAsia="zh-CN"/>
              </w:rPr>
              <w:t>检测结果</w:t>
            </w:r>
            <w:r>
              <w:rPr>
                <w:rFonts w:hint="eastAsia" w:ascii="宋体" w:hAnsi="宋体" w:eastAsia="宋体" w:cs="宋体"/>
                <w:color w:val="auto"/>
                <w:sz w:val="21"/>
                <w:szCs w:val="21"/>
              </w:rPr>
              <w:t>与血站主业务</w:t>
            </w:r>
            <w:r>
              <w:rPr>
                <w:rFonts w:hint="eastAsia" w:ascii="宋体" w:hAnsi="宋体" w:eastAsia="宋体" w:cs="宋体"/>
                <w:color w:val="auto"/>
                <w:sz w:val="21"/>
                <w:szCs w:val="21"/>
                <w:lang w:eastAsia="zh-CN"/>
              </w:rPr>
              <w:t>信息</w:t>
            </w:r>
            <w:r>
              <w:rPr>
                <w:rFonts w:hint="eastAsia" w:ascii="宋体" w:hAnsi="宋体" w:eastAsia="宋体" w:cs="宋体"/>
                <w:color w:val="auto"/>
                <w:sz w:val="21"/>
                <w:szCs w:val="21"/>
              </w:rPr>
              <w:t>系统数据无缝兼容对接</w:t>
            </w:r>
            <w:r>
              <w:rPr>
                <w:rFonts w:hint="eastAsia" w:ascii="宋体" w:hAnsi="宋体" w:eastAsia="宋体" w:cs="宋体"/>
                <w:color w:val="auto"/>
                <w:sz w:val="21"/>
                <w:szCs w:val="21"/>
                <w:lang w:val="en-US" w:eastAsia="zh-CN"/>
              </w:rPr>
              <w:t>。</w:t>
            </w:r>
            <w:r>
              <w:rPr>
                <w:rFonts w:hint="eastAsia" w:ascii="黑体" w:hAnsi="黑体" w:eastAsia="黑体" w:cs="黑体"/>
                <w:color w:val="auto"/>
                <w:sz w:val="21"/>
                <w:szCs w:val="21"/>
                <w:lang w:val="en-US" w:eastAsia="zh-CN"/>
              </w:rPr>
              <w:t>（注：供应商已具备</w:t>
            </w:r>
            <w:r>
              <w:rPr>
                <w:rFonts w:hint="eastAsia" w:ascii="黑体" w:hAnsi="黑体" w:eastAsia="黑体" w:cs="黑体"/>
                <w:color w:val="auto"/>
                <w:sz w:val="21"/>
                <w:szCs w:val="21"/>
              </w:rPr>
              <w:t>与血站主业务</w:t>
            </w:r>
            <w:r>
              <w:rPr>
                <w:rFonts w:hint="eastAsia" w:ascii="黑体" w:hAnsi="黑体" w:eastAsia="黑体" w:cs="黑体"/>
                <w:color w:val="auto"/>
                <w:sz w:val="21"/>
                <w:szCs w:val="21"/>
                <w:lang w:eastAsia="zh-CN"/>
              </w:rPr>
              <w:t>信息</w:t>
            </w:r>
            <w:r>
              <w:rPr>
                <w:rFonts w:hint="eastAsia" w:ascii="黑体" w:hAnsi="黑体" w:eastAsia="黑体" w:cs="黑体"/>
                <w:color w:val="auto"/>
                <w:sz w:val="21"/>
                <w:szCs w:val="21"/>
              </w:rPr>
              <w:t>系统数据无缝兼容对接</w:t>
            </w:r>
            <w:r>
              <w:rPr>
                <w:rFonts w:hint="eastAsia" w:ascii="黑体" w:hAnsi="黑体" w:eastAsia="黑体" w:cs="黑体"/>
                <w:color w:val="auto"/>
                <w:sz w:val="21"/>
                <w:szCs w:val="21"/>
                <w:lang w:val="en-US" w:eastAsia="zh-CN"/>
              </w:rPr>
              <w:t>条件的，须在响应文件中提供相关证明材料；供应商未具备</w:t>
            </w:r>
            <w:r>
              <w:rPr>
                <w:rFonts w:hint="eastAsia" w:ascii="黑体" w:hAnsi="黑体" w:eastAsia="黑体" w:cs="黑体"/>
                <w:color w:val="auto"/>
                <w:sz w:val="21"/>
                <w:szCs w:val="21"/>
              </w:rPr>
              <w:t>与血站主业务</w:t>
            </w:r>
            <w:r>
              <w:rPr>
                <w:rFonts w:hint="eastAsia" w:ascii="黑体" w:hAnsi="黑体" w:eastAsia="黑体" w:cs="黑体"/>
                <w:color w:val="auto"/>
                <w:sz w:val="21"/>
                <w:szCs w:val="21"/>
                <w:lang w:eastAsia="zh-CN"/>
              </w:rPr>
              <w:t>信息</w:t>
            </w:r>
            <w:r>
              <w:rPr>
                <w:rFonts w:hint="eastAsia" w:ascii="黑体" w:hAnsi="黑体" w:eastAsia="黑体" w:cs="黑体"/>
                <w:color w:val="auto"/>
                <w:sz w:val="21"/>
                <w:szCs w:val="21"/>
              </w:rPr>
              <w:t>系统数据无缝兼容对接</w:t>
            </w:r>
            <w:r>
              <w:rPr>
                <w:rFonts w:hint="eastAsia" w:ascii="黑体" w:hAnsi="黑体" w:eastAsia="黑体" w:cs="黑体"/>
                <w:color w:val="auto"/>
                <w:sz w:val="21"/>
                <w:szCs w:val="21"/>
                <w:lang w:val="en-US" w:eastAsia="zh-CN"/>
              </w:rPr>
              <w:t>条件的，须</w:t>
            </w:r>
            <w:r>
              <w:rPr>
                <w:rFonts w:hint="eastAsia" w:ascii="黑体" w:hAnsi="黑体" w:eastAsia="黑体" w:cs="黑体"/>
                <w:color w:val="auto"/>
                <w:sz w:val="21"/>
                <w:szCs w:val="21"/>
              </w:rPr>
              <w:t>在</w:t>
            </w:r>
            <w:r>
              <w:rPr>
                <w:rFonts w:hint="eastAsia" w:ascii="黑体" w:hAnsi="黑体" w:eastAsia="黑体" w:cs="黑体"/>
                <w:color w:val="auto"/>
                <w:sz w:val="21"/>
                <w:szCs w:val="21"/>
                <w:lang w:val="en-US" w:eastAsia="zh-CN"/>
              </w:rPr>
              <w:t>响应</w:t>
            </w:r>
            <w:r>
              <w:rPr>
                <w:rFonts w:hint="eastAsia" w:ascii="黑体" w:hAnsi="黑体" w:eastAsia="黑体" w:cs="黑体"/>
                <w:color w:val="auto"/>
                <w:sz w:val="21"/>
                <w:szCs w:val="21"/>
              </w:rPr>
              <w:t>文件中承诺</w:t>
            </w: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于收到成交通知书之日起3日内完成兼容对接建设且兼容对接，全部费用由成交供应商自行承担，</w:t>
            </w:r>
            <w:r>
              <w:rPr>
                <w:rFonts w:hint="eastAsia" w:ascii="黑体" w:hAnsi="黑体" w:eastAsia="黑体" w:cs="黑体"/>
                <w:b/>
                <w:bCs/>
                <w:color w:val="auto"/>
                <w:sz w:val="21"/>
                <w:szCs w:val="21"/>
              </w:rPr>
              <w:t>否则</w:t>
            </w:r>
            <w:r>
              <w:rPr>
                <w:rFonts w:hint="eastAsia" w:ascii="黑体" w:hAnsi="黑体" w:eastAsia="黑体" w:cs="黑体"/>
                <w:b/>
                <w:bCs/>
                <w:color w:val="auto"/>
                <w:sz w:val="21"/>
                <w:szCs w:val="21"/>
                <w:lang w:val="en-US" w:eastAsia="zh-CN"/>
              </w:rPr>
              <w:t>竞标</w:t>
            </w:r>
            <w:r>
              <w:rPr>
                <w:rFonts w:hint="eastAsia" w:ascii="黑体" w:hAnsi="黑体" w:eastAsia="黑体" w:cs="黑体"/>
                <w:b/>
                <w:bCs/>
                <w:color w:val="auto"/>
                <w:sz w:val="21"/>
                <w:szCs w:val="21"/>
              </w:rPr>
              <w:t>无效。</w:t>
            </w:r>
            <w:r>
              <w:rPr>
                <w:rFonts w:hint="eastAsia" w:ascii="黑体" w:hAnsi="黑体" w:eastAsia="黑体" w:cs="黑体"/>
                <w:color w:val="auto"/>
                <w:sz w:val="21"/>
                <w:szCs w:val="21"/>
                <w:lang w:eastAsia="zh-CN"/>
              </w:rPr>
              <w:t>）</w:t>
            </w:r>
          </w:p>
          <w:p w14:paraId="3C257B5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2)实验室应以及时、安全、有效的方式向委托方移交报告。</w:t>
            </w:r>
          </w:p>
          <w:p w14:paraId="312ADFA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.2检测报告的收回、更改和重新签发</w:t>
            </w:r>
          </w:p>
          <w:p w14:paraId="78A9BAA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.2.1已发布电子报告，但纸质报告还未以传真或扫描后通过网络传输方式移交至</w:t>
            </w:r>
            <w:r>
              <w:rPr>
                <w:rFonts w:hint="eastAsia" w:ascii="宋体" w:hAnsi="宋体" w:cs="宋体"/>
                <w:lang w:val="en-US" w:eastAsia="zh-CN"/>
              </w:rPr>
              <w:t>采购人</w:t>
            </w:r>
            <w:r>
              <w:rPr>
                <w:rFonts w:hint="eastAsia" w:ascii="宋体" w:hAnsi="宋体" w:eastAsia="宋体" w:cs="宋体"/>
                <w:lang w:val="en-US" w:eastAsia="zh-CN"/>
              </w:rPr>
              <w:t>的，由检测者或授权人员提出需重发申请，由复核者、审核者复核，签署意见，并报告实验室主管。实验室主管就报告重发申请的内容与检测关键控制点、检验结果分析检查等其它情况进行审核并针对不同情况决定实施以下程序：</w:t>
            </w:r>
          </w:p>
          <w:p w14:paraId="2BBC5F62">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1)错发：需回退，重新录入，重新发布检测报告。</w:t>
            </w:r>
          </w:p>
          <w:p w14:paraId="52DC01A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2)实验不成立：需全部回退。重新试验后再按照报告签发程序签发检测报告。</w:t>
            </w:r>
          </w:p>
          <w:p w14:paraId="27B6BD2F">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.2.2已发布电子报告并且纸质报告以传真或扫描后通过网络传输方式移交至</w:t>
            </w:r>
            <w:r>
              <w:rPr>
                <w:rFonts w:hint="eastAsia" w:ascii="宋体" w:hAnsi="宋体" w:cs="宋体"/>
                <w:lang w:val="en-US" w:eastAsia="zh-CN"/>
              </w:rPr>
              <w:t>采购人</w:t>
            </w:r>
            <w:r>
              <w:rPr>
                <w:rFonts w:hint="eastAsia" w:ascii="宋体" w:hAnsi="宋体" w:eastAsia="宋体" w:cs="宋体"/>
                <w:lang w:val="en-US" w:eastAsia="zh-CN"/>
              </w:rPr>
              <w:t>，但该批血液尚未放行：</w:t>
            </w:r>
          </w:p>
          <w:p w14:paraId="55A51BF2">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7.2.3</w:t>
            </w:r>
            <w:r>
              <w:rPr>
                <w:rFonts w:hint="eastAsia" w:ascii="宋体" w:hAnsi="宋体" w:eastAsia="宋体" w:cs="宋体"/>
                <w:lang w:val="en-US" w:eastAsia="zh-CN"/>
              </w:rPr>
              <w:t>紧急书面通知委托方停止该批血液放行，检测结果纸质报告紧急收回。</w:t>
            </w:r>
          </w:p>
          <w:p w14:paraId="15FA7ACB">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.2.</w:t>
            </w:r>
            <w:r>
              <w:rPr>
                <w:rFonts w:hint="eastAsia" w:ascii="宋体" w:hAnsi="宋体" w:cs="宋体"/>
                <w:lang w:val="en-US" w:eastAsia="zh-CN"/>
              </w:rPr>
              <w:t>4</w:t>
            </w:r>
            <w:r>
              <w:rPr>
                <w:rFonts w:hint="eastAsia" w:ascii="宋体" w:hAnsi="宋体" w:eastAsia="宋体" w:cs="宋体"/>
                <w:lang w:val="en-US" w:eastAsia="zh-CN"/>
              </w:rPr>
              <w:t>已发布电子报告并且纸质报告以传真或扫描后通过网络传输方式移交至</w:t>
            </w:r>
            <w:r>
              <w:rPr>
                <w:rFonts w:hint="eastAsia" w:ascii="宋体" w:hAnsi="宋体" w:cs="宋体"/>
                <w:lang w:val="en-US" w:eastAsia="zh-CN"/>
              </w:rPr>
              <w:t>采购人</w:t>
            </w:r>
            <w:r>
              <w:rPr>
                <w:rFonts w:hint="eastAsia" w:ascii="宋体" w:hAnsi="宋体" w:eastAsia="宋体" w:cs="宋体"/>
                <w:lang w:val="en-US" w:eastAsia="zh-CN"/>
              </w:rPr>
              <w:t>，该批血液</w:t>
            </w:r>
            <w:r>
              <w:rPr>
                <w:rFonts w:hint="eastAsia" w:ascii="宋体" w:hAnsi="宋体" w:cs="宋体"/>
                <w:lang w:val="en-US" w:eastAsia="zh-CN"/>
              </w:rPr>
              <w:t>采购人</w:t>
            </w:r>
            <w:r>
              <w:rPr>
                <w:rFonts w:hint="eastAsia" w:ascii="宋体" w:hAnsi="宋体" w:eastAsia="宋体" w:cs="宋体"/>
                <w:lang w:val="en-US" w:eastAsia="zh-CN"/>
              </w:rPr>
              <w:t>已发往临床：</w:t>
            </w:r>
          </w:p>
          <w:p w14:paraId="2141625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1)由检测实验室形成文字材料，紧急报告</w:t>
            </w:r>
            <w:r>
              <w:rPr>
                <w:rFonts w:hint="eastAsia" w:ascii="宋体" w:hAnsi="宋体" w:cs="宋体"/>
                <w:lang w:val="en-US" w:eastAsia="zh-CN"/>
              </w:rPr>
              <w:t>成交供应商</w:t>
            </w:r>
            <w:r>
              <w:rPr>
                <w:rFonts w:hint="eastAsia" w:ascii="宋体" w:hAnsi="宋体" w:eastAsia="宋体" w:cs="宋体"/>
                <w:lang w:val="en-US" w:eastAsia="zh-CN"/>
              </w:rPr>
              <w:t>质量管理部门和</w:t>
            </w:r>
            <w:r>
              <w:rPr>
                <w:rFonts w:hint="eastAsia" w:ascii="宋体" w:hAnsi="宋体" w:cs="宋体"/>
                <w:lang w:val="en-US" w:eastAsia="zh-CN"/>
              </w:rPr>
              <w:t>采购人</w:t>
            </w:r>
            <w:r>
              <w:rPr>
                <w:rFonts w:hint="eastAsia" w:ascii="宋体" w:hAnsi="宋体" w:eastAsia="宋体" w:cs="宋体"/>
                <w:lang w:val="en-US" w:eastAsia="zh-CN"/>
              </w:rPr>
              <w:t>，</w:t>
            </w:r>
            <w:r>
              <w:rPr>
                <w:rFonts w:hint="eastAsia" w:ascii="宋体" w:hAnsi="宋体" w:cs="宋体"/>
                <w:lang w:val="en-US" w:eastAsia="zh-CN"/>
              </w:rPr>
              <w:t>成交供应商</w:t>
            </w:r>
            <w:r>
              <w:rPr>
                <w:rFonts w:hint="eastAsia" w:ascii="宋体" w:hAnsi="宋体" w:eastAsia="宋体" w:cs="宋体"/>
                <w:lang w:val="en-US" w:eastAsia="zh-CN"/>
              </w:rPr>
              <w:t>质量管理部门和</w:t>
            </w:r>
            <w:r>
              <w:rPr>
                <w:rFonts w:hint="eastAsia" w:ascii="宋体" w:hAnsi="宋体" w:cs="宋体"/>
                <w:lang w:val="en-US" w:eastAsia="zh-CN"/>
              </w:rPr>
              <w:t>采购人</w:t>
            </w:r>
            <w:r>
              <w:rPr>
                <w:rFonts w:hint="eastAsia" w:ascii="宋体" w:hAnsi="宋体" w:eastAsia="宋体" w:cs="宋体"/>
                <w:lang w:val="en-US" w:eastAsia="zh-CN"/>
              </w:rPr>
              <w:t>按血液收回程序处理相关血液。</w:t>
            </w:r>
          </w:p>
          <w:p w14:paraId="4B1E9A21">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2)通知</w:t>
            </w:r>
            <w:r>
              <w:rPr>
                <w:rFonts w:hint="eastAsia" w:ascii="宋体" w:hAnsi="宋体" w:cs="宋体"/>
                <w:lang w:val="en-US" w:eastAsia="zh-CN"/>
              </w:rPr>
              <w:t>采购人</w:t>
            </w:r>
            <w:r>
              <w:rPr>
                <w:rFonts w:hint="eastAsia" w:ascii="宋体" w:hAnsi="宋体" w:eastAsia="宋体" w:cs="宋体"/>
                <w:lang w:val="en-US" w:eastAsia="zh-CN"/>
              </w:rPr>
              <w:t>停发该批尚未发往临床的血液，并做物理隔离。</w:t>
            </w:r>
          </w:p>
          <w:p w14:paraId="098EACD7">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3</w:t>
            </w:r>
            <w:r>
              <w:rPr>
                <w:rFonts w:hint="eastAsia" w:ascii="宋体" w:hAnsi="宋体" w:eastAsia="宋体" w:cs="宋体"/>
                <w:lang w:val="en-US" w:eastAsia="zh-CN"/>
              </w:rPr>
              <w:t>)按照报告重新签发程序签发报告。</w:t>
            </w:r>
          </w:p>
          <w:p w14:paraId="537955D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rPr>
            </w:pPr>
            <w:r>
              <w:rPr>
                <w:rFonts w:hint="eastAsia" w:ascii="宋体" w:hAnsi="宋体" w:cs="宋体"/>
                <w:lang w:val="en-US" w:eastAsia="zh-CN"/>
              </w:rPr>
              <w:t>7</w:t>
            </w:r>
            <w:r>
              <w:rPr>
                <w:rFonts w:hint="eastAsia" w:ascii="宋体" w:hAnsi="宋体" w:eastAsia="宋体" w:cs="宋体"/>
                <w:lang w:val="en-US" w:eastAsia="zh-CN"/>
              </w:rPr>
              <w:t>.2.4报告收回、更改和重新签发由</w:t>
            </w:r>
            <w:r>
              <w:rPr>
                <w:rFonts w:hint="eastAsia" w:ascii="宋体" w:hAnsi="宋体" w:cs="宋体"/>
                <w:lang w:val="en-US" w:eastAsia="zh-CN"/>
              </w:rPr>
              <w:t>成交供应商</w:t>
            </w:r>
            <w:r>
              <w:rPr>
                <w:rFonts w:hint="eastAsia" w:ascii="宋体" w:hAnsi="宋体" w:eastAsia="宋体" w:cs="宋体"/>
                <w:lang w:val="en-US" w:eastAsia="zh-CN"/>
              </w:rPr>
              <w:t>负责解释和协调补救以尽可能消除不良影响。</w:t>
            </w:r>
          </w:p>
        </w:tc>
      </w:tr>
    </w:tbl>
    <w:p w14:paraId="3D149C51">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三、商务要求</w:t>
      </w:r>
    </w:p>
    <w:p w14:paraId="51F16FCE">
      <w:pPr>
        <w:spacing w:line="360" w:lineRule="auto"/>
        <w:rPr>
          <w:color w:val="auto"/>
          <w:szCs w:val="21"/>
          <w:highlight w:val="none"/>
        </w:rPr>
      </w:pPr>
      <w:r>
        <w:rPr>
          <w:rFonts w:hint="eastAsia" w:ascii="宋体" w:hAnsi="宋体" w:cs="宋体"/>
          <w:color w:val="auto"/>
          <w:szCs w:val="21"/>
          <w:highlight w:val="none"/>
        </w:rPr>
        <w:t>▲</w:t>
      </w:r>
      <w:r>
        <w:rPr>
          <w:rFonts w:hint="eastAsia"/>
          <w:color w:val="auto"/>
          <w:szCs w:val="21"/>
          <w:highlight w:val="none"/>
        </w:rPr>
        <w:t>1．报价要求</w:t>
      </w:r>
    </w:p>
    <w:p w14:paraId="79B153EB">
      <w:pPr>
        <w:spacing w:line="360" w:lineRule="auto"/>
        <w:rPr>
          <w:rFonts w:hint="eastAsia"/>
          <w:color w:val="auto"/>
          <w:szCs w:val="21"/>
          <w:highlight w:val="none"/>
        </w:rPr>
      </w:pPr>
      <w:r>
        <w:rPr>
          <w:rFonts w:hint="eastAsia"/>
          <w:color w:val="auto"/>
          <w:szCs w:val="21"/>
          <w:highlight w:val="none"/>
        </w:rPr>
        <w:t>本次报价须为人民币报价，包含本次采购范围内的所有服务以及其他所有成本费用的总和。</w:t>
      </w:r>
    </w:p>
    <w:p w14:paraId="4065C7DA">
      <w:pPr>
        <w:spacing w:line="360" w:lineRule="auto"/>
        <w:rPr>
          <w:color w:val="auto"/>
          <w:szCs w:val="21"/>
          <w:highlight w:val="none"/>
        </w:rPr>
      </w:pPr>
      <w:r>
        <w:rPr>
          <w:rFonts w:hint="eastAsia"/>
          <w:color w:val="auto"/>
          <w:szCs w:val="21"/>
          <w:highlight w:val="none"/>
        </w:rPr>
        <w:t>2.合同签订日期</w:t>
      </w:r>
    </w:p>
    <w:p w14:paraId="0ED73A32">
      <w:pPr>
        <w:spacing w:line="360" w:lineRule="auto"/>
        <w:rPr>
          <w:rFonts w:ascii="宋体" w:hAnsi="宋体"/>
          <w:i/>
          <w:color w:val="auto"/>
          <w:sz w:val="28"/>
          <w:szCs w:val="28"/>
          <w:highlight w:val="none"/>
        </w:rPr>
      </w:pPr>
      <w:r>
        <w:rPr>
          <w:rFonts w:hint="eastAsia"/>
          <w:color w:val="auto"/>
          <w:szCs w:val="21"/>
          <w:highlight w:val="none"/>
          <w:lang w:eastAsia="zh-CN"/>
        </w:rPr>
        <w:t>自成交通知书发出之日起15日内。</w:t>
      </w:r>
    </w:p>
    <w:p w14:paraId="20FB5386">
      <w:pPr>
        <w:spacing w:line="360" w:lineRule="auto"/>
        <w:rPr>
          <w:color w:val="auto"/>
          <w:szCs w:val="21"/>
          <w:highlight w:val="none"/>
        </w:rPr>
      </w:pPr>
      <w:r>
        <w:rPr>
          <w:rFonts w:hint="eastAsia"/>
          <w:color w:val="auto"/>
          <w:szCs w:val="21"/>
          <w:highlight w:val="none"/>
        </w:rPr>
        <w:t>3.交货（实施）时间</w:t>
      </w:r>
    </w:p>
    <w:p w14:paraId="12320C92">
      <w:pPr>
        <w:spacing w:line="360" w:lineRule="auto"/>
        <w:rPr>
          <w:rFonts w:hint="eastAsia"/>
          <w:color w:val="auto"/>
          <w:szCs w:val="21"/>
          <w:highlight w:val="none"/>
        </w:rPr>
      </w:pPr>
      <w:r>
        <w:rPr>
          <w:rFonts w:hint="eastAsia"/>
          <w:color w:val="auto"/>
          <w:szCs w:val="21"/>
          <w:highlight w:val="none"/>
        </w:rPr>
        <w:t>自签订合同之日起一年；</w:t>
      </w:r>
    </w:p>
    <w:p w14:paraId="38679AF0">
      <w:pPr>
        <w:numPr>
          <w:ilvl w:val="0"/>
          <w:numId w:val="0"/>
        </w:numPr>
        <w:spacing w:line="360" w:lineRule="auto"/>
        <w:rPr>
          <w:rFonts w:hint="eastAsia" w:ascii="宋体" w:hAnsi="宋体" w:cs="宋体"/>
          <w:color w:val="auto"/>
          <w:szCs w:val="21"/>
          <w:highlight w:val="none"/>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szCs w:val="21"/>
          <w:highlight w:val="none"/>
        </w:rPr>
        <w:t>合同形式：单价合同。</w:t>
      </w:r>
    </w:p>
    <w:p w14:paraId="46835163">
      <w:pPr>
        <w:numPr>
          <w:ilvl w:val="0"/>
          <w:numId w:val="0"/>
        </w:numPr>
        <w:spacing w:line="360" w:lineRule="auto"/>
        <w:rPr>
          <w:rFonts w:hint="eastAsia"/>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color w:val="auto"/>
          <w:szCs w:val="21"/>
          <w:highlight w:val="none"/>
        </w:rPr>
        <w:t>．</w:t>
      </w:r>
      <w:r>
        <w:rPr>
          <w:rFonts w:hint="eastAsia"/>
          <w:color w:val="auto"/>
          <w:szCs w:val="21"/>
          <w:highlight w:val="none"/>
          <w:lang w:val="en-US" w:eastAsia="zh-CN"/>
        </w:rPr>
        <w:t>单价最高限价</w:t>
      </w:r>
    </w:p>
    <w:p w14:paraId="27B94854">
      <w:pPr>
        <w:spacing w:line="360" w:lineRule="auto"/>
        <w:rPr>
          <w:rFonts w:hint="eastAsia"/>
          <w:color w:val="auto"/>
          <w:szCs w:val="21"/>
          <w:highlight w:val="none"/>
        </w:rPr>
      </w:pPr>
      <w:r>
        <w:rPr>
          <w:rFonts w:hint="eastAsia"/>
          <w:color w:val="auto"/>
          <w:szCs w:val="21"/>
          <w:highlight w:val="none"/>
          <w:lang w:val="en-US" w:eastAsia="zh-CN"/>
        </w:rPr>
        <w:t>本项目标本检测最高限价为每份45元，供应商报价采用单价报价形式，供应商的单价报价超出最高限价的，响应无效</w:t>
      </w:r>
      <w:r>
        <w:rPr>
          <w:rFonts w:hint="eastAsia"/>
          <w:color w:val="auto"/>
          <w:szCs w:val="21"/>
          <w:highlight w:val="none"/>
          <w:lang w:eastAsia="zh-CN"/>
        </w:rPr>
        <w:t>。</w:t>
      </w:r>
    </w:p>
    <w:p w14:paraId="1760DAE7">
      <w:pPr>
        <w:spacing w:line="360" w:lineRule="auto"/>
        <w:rPr>
          <w:color w:val="auto"/>
          <w:szCs w:val="21"/>
          <w:highlight w:val="none"/>
        </w:rPr>
      </w:pPr>
      <w:r>
        <w:rPr>
          <w:rFonts w:hint="eastAsia"/>
          <w:color w:val="auto"/>
          <w:szCs w:val="21"/>
          <w:highlight w:val="none"/>
          <w:lang w:val="en-US" w:eastAsia="zh-CN"/>
        </w:rPr>
        <w:t>6</w:t>
      </w:r>
      <w:r>
        <w:rPr>
          <w:rFonts w:hint="eastAsia"/>
          <w:color w:val="auto"/>
          <w:szCs w:val="21"/>
          <w:highlight w:val="none"/>
        </w:rPr>
        <w:t>.交货地点或服务地点</w:t>
      </w:r>
    </w:p>
    <w:p w14:paraId="13820E74">
      <w:pPr>
        <w:spacing w:line="360" w:lineRule="auto"/>
        <w:rPr>
          <w:rFonts w:hint="eastAsia"/>
          <w:color w:val="auto"/>
          <w:szCs w:val="21"/>
          <w:highlight w:val="none"/>
          <w:lang w:eastAsia="zh-CN"/>
        </w:rPr>
      </w:pPr>
      <w:r>
        <w:rPr>
          <w:rFonts w:hint="eastAsia"/>
          <w:color w:val="auto"/>
          <w:szCs w:val="21"/>
          <w:highlight w:val="none"/>
          <w:lang w:eastAsia="zh-CN"/>
        </w:rPr>
        <w:t>崇左市内采购人指定地点。</w:t>
      </w:r>
    </w:p>
    <w:p w14:paraId="35294229">
      <w:pPr>
        <w:spacing w:line="360" w:lineRule="auto"/>
        <w:rPr>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color w:val="auto"/>
          <w:szCs w:val="21"/>
          <w:highlight w:val="none"/>
        </w:rPr>
        <w:t>.验收标准</w:t>
      </w:r>
    </w:p>
    <w:p w14:paraId="17704FA4">
      <w:pPr>
        <w:spacing w:line="360" w:lineRule="auto"/>
        <w:rPr>
          <w:rFonts w:hint="eastAsia"/>
          <w:color w:val="auto"/>
          <w:szCs w:val="21"/>
          <w:highlight w:val="none"/>
        </w:rPr>
      </w:pPr>
      <w:r>
        <w:rPr>
          <w:rFonts w:hint="eastAsia" w:ascii="宋体" w:hAnsi="宋体" w:eastAsia="宋体" w:cs="宋体"/>
          <w:color w:val="auto"/>
          <w:sz w:val="21"/>
          <w:szCs w:val="21"/>
          <w:highlight w:val="none"/>
        </w:rPr>
        <w:t>符合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血站实验室质量管理规范</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血站技术操作规程（2019版）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临床输血技术规范</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以及其他</w:t>
      </w:r>
      <w:r>
        <w:rPr>
          <w:rFonts w:hint="eastAsia" w:ascii="宋体" w:hAnsi="宋体" w:eastAsia="宋体" w:cs="宋体"/>
          <w:color w:val="auto"/>
          <w:sz w:val="21"/>
          <w:szCs w:val="21"/>
          <w:highlight w:val="none"/>
        </w:rPr>
        <w:t>现行国家相关标准、</w:t>
      </w:r>
      <w:r>
        <w:rPr>
          <w:rFonts w:hint="eastAsia" w:ascii="宋体" w:hAnsi="宋体" w:cs="宋体"/>
          <w:color w:val="auto"/>
          <w:sz w:val="21"/>
          <w:szCs w:val="21"/>
          <w:highlight w:val="none"/>
          <w:lang w:val="en-US" w:eastAsia="zh-CN"/>
        </w:rPr>
        <w:t>血站</w:t>
      </w:r>
      <w:r>
        <w:rPr>
          <w:rFonts w:hint="eastAsia" w:ascii="宋体" w:hAnsi="宋体" w:eastAsia="宋体" w:cs="宋体"/>
          <w:color w:val="auto"/>
          <w:sz w:val="21"/>
          <w:szCs w:val="21"/>
          <w:highlight w:val="none"/>
        </w:rPr>
        <w:t>行业标准、地方标准或者其他</w:t>
      </w:r>
      <w:r>
        <w:rPr>
          <w:rFonts w:hint="eastAsia" w:ascii="宋体" w:hAnsi="宋体" w:eastAsia="宋体" w:cs="宋体"/>
          <w:color w:val="auto"/>
          <w:sz w:val="21"/>
          <w:szCs w:val="21"/>
          <w:highlight w:val="none"/>
          <w:lang w:eastAsia="zh-CN"/>
        </w:rPr>
        <w:t>标准、规范。</w:t>
      </w:r>
      <w:r>
        <w:rPr>
          <w:rFonts w:hint="eastAsia" w:ascii="宋体" w:hAnsi="宋体" w:cs="宋体"/>
          <w:color w:val="auto"/>
          <w:sz w:val="21"/>
          <w:szCs w:val="21"/>
          <w:highlight w:val="none"/>
          <w:lang w:val="en-US" w:eastAsia="zh-CN"/>
        </w:rPr>
        <w:t>委托方不定期对检测结果进行抽查，抽查频率不少15份/月，检测结果错误≥1份，</w:t>
      </w:r>
      <w:r>
        <w:rPr>
          <w:rFonts w:hint="eastAsia" w:ascii="宋体" w:hAnsi="宋体" w:eastAsia="宋体" w:cs="宋体"/>
          <w:color w:val="auto"/>
          <w:sz w:val="21"/>
          <w:szCs w:val="21"/>
          <w:highlight w:val="none"/>
        </w:rPr>
        <w:t>不</w:t>
      </w:r>
      <w:r>
        <w:rPr>
          <w:rFonts w:hint="eastAsia" w:ascii="宋体" w:hAnsi="宋体" w:eastAsia="宋体" w:cs="宋体"/>
          <w:color w:val="auto"/>
          <w:sz w:val="21"/>
          <w:szCs w:val="21"/>
          <w:highlight w:val="none"/>
          <w:lang w:val="en-US" w:eastAsia="zh-CN"/>
        </w:rPr>
        <w:t>通过</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不安排付款，按无效合同处理。</w:t>
      </w:r>
      <w:r>
        <w:rPr>
          <w:rFonts w:hint="eastAsia"/>
          <w:color w:val="auto"/>
          <w:szCs w:val="21"/>
          <w:highlight w:val="none"/>
          <w:lang w:val="en-US" w:eastAsia="zh-CN"/>
        </w:rPr>
        <w:t>8.</w:t>
      </w:r>
      <w:r>
        <w:rPr>
          <w:rFonts w:hint="eastAsia"/>
          <w:color w:val="auto"/>
          <w:szCs w:val="21"/>
          <w:highlight w:val="none"/>
        </w:rPr>
        <w:t>付款方式、时间及条件</w:t>
      </w:r>
    </w:p>
    <w:p w14:paraId="0CE85BA2">
      <w:pPr>
        <w:spacing w:line="360" w:lineRule="auto"/>
        <w:rPr>
          <w:rFonts w:hint="default" w:eastAsia="宋体"/>
          <w:color w:val="auto"/>
          <w:szCs w:val="21"/>
          <w:highlight w:val="none"/>
          <w:lang w:val="en-US" w:eastAsia="zh-CN"/>
        </w:rPr>
      </w:pPr>
      <w:r>
        <w:rPr>
          <w:rFonts w:hint="eastAsia"/>
          <w:color w:val="auto"/>
          <w:szCs w:val="21"/>
          <w:highlight w:val="none"/>
          <w:lang w:val="en-US" w:eastAsia="zh-CN"/>
        </w:rPr>
        <w:t>8.1实际结算价=实际检测数量×成交单价。</w:t>
      </w:r>
    </w:p>
    <w:p w14:paraId="5060B905">
      <w:pPr>
        <w:spacing w:line="360" w:lineRule="auto"/>
        <w:rPr>
          <w:rFonts w:hint="eastAsia"/>
          <w:color w:val="auto"/>
          <w:szCs w:val="21"/>
          <w:highlight w:val="none"/>
          <w:lang w:val="en-US" w:eastAsia="zh-CN"/>
        </w:rPr>
      </w:pPr>
      <w:r>
        <w:rPr>
          <w:rFonts w:hint="eastAsia"/>
          <w:color w:val="auto"/>
          <w:szCs w:val="21"/>
          <w:highlight w:val="none"/>
          <w:lang w:val="en-US" w:eastAsia="zh-CN"/>
        </w:rPr>
        <w:t>8.2合同签订后，成交供应商按照季度标本数量核算金额开具发票给采购人，采购人于每年 12 月 31 日前结清本年度全部应付服务款。</w:t>
      </w:r>
    </w:p>
    <w:p w14:paraId="6ACE410E">
      <w:pPr>
        <w:spacing w:line="360" w:lineRule="auto"/>
        <w:rPr>
          <w:color w:val="auto"/>
          <w:szCs w:val="21"/>
          <w:highlight w:val="none"/>
        </w:rPr>
      </w:pPr>
      <w:r>
        <w:rPr>
          <w:rFonts w:hint="eastAsia"/>
          <w:color w:val="auto"/>
          <w:szCs w:val="21"/>
          <w:highlight w:val="none"/>
          <w:lang w:val="en-US" w:eastAsia="zh-CN"/>
        </w:rPr>
        <w:t>9</w:t>
      </w:r>
      <w:r>
        <w:rPr>
          <w:rFonts w:hint="eastAsia"/>
          <w:color w:val="auto"/>
          <w:szCs w:val="21"/>
          <w:highlight w:val="none"/>
        </w:rPr>
        <w:t>.履约保证金</w:t>
      </w:r>
    </w:p>
    <w:p w14:paraId="7C3F1E1B">
      <w:pPr>
        <w:spacing w:line="360" w:lineRule="auto"/>
        <w:rPr>
          <w:color w:val="auto"/>
          <w:szCs w:val="21"/>
          <w:highlight w:val="none"/>
        </w:rPr>
      </w:pPr>
      <w:r>
        <w:rPr>
          <w:rFonts w:hint="eastAsia"/>
          <w:color w:val="auto"/>
          <w:szCs w:val="21"/>
          <w:highlight w:val="none"/>
        </w:rPr>
        <w:t>详见采购文件合同主要条款格式部分</w:t>
      </w:r>
    </w:p>
    <w:p w14:paraId="64B83F8C">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四、其他要求</w:t>
      </w:r>
    </w:p>
    <w:p w14:paraId="36A0362B">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sz w:val="21"/>
          <w:szCs w:val="21"/>
          <w:highlight w:val="none"/>
          <w:lang w:eastAsia="zh-CN"/>
        </w:rPr>
      </w:pPr>
      <w:bookmarkStart w:id="26" w:name="_Toc254970490"/>
      <w:bookmarkStart w:id="27" w:name="_Toc254970631"/>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所有服务均严格按</w:t>
      </w:r>
      <w:r>
        <w:rPr>
          <w:rFonts w:hint="default" w:ascii="Times New Roman" w:hAnsi="Times New Roman" w:eastAsia="宋体" w:cs="Times New Roman"/>
          <w:color w:val="auto"/>
          <w:sz w:val="21"/>
          <w:szCs w:val="21"/>
          <w:highlight w:val="none"/>
          <w:lang w:eastAsia="zh-CN"/>
        </w:rPr>
        <w:t>采购文件</w:t>
      </w:r>
      <w:r>
        <w:rPr>
          <w:rFonts w:hint="default" w:ascii="Times New Roman" w:hAnsi="Times New Roman" w:eastAsia="宋体" w:cs="Times New Roman"/>
          <w:color w:val="auto"/>
          <w:sz w:val="21"/>
          <w:szCs w:val="21"/>
          <w:highlight w:val="none"/>
        </w:rPr>
        <w:t>上购买服务内容</w:t>
      </w:r>
      <w:r>
        <w:rPr>
          <w:rFonts w:hint="default" w:ascii="Times New Roman" w:hAnsi="Times New Roman" w:eastAsia="宋体" w:cs="Times New Roman"/>
          <w:color w:val="auto"/>
          <w:sz w:val="21"/>
          <w:szCs w:val="21"/>
          <w:highlight w:val="none"/>
          <w:lang w:eastAsia="zh-CN"/>
        </w:rPr>
        <w:t>的</w:t>
      </w:r>
      <w:r>
        <w:rPr>
          <w:rFonts w:hint="default" w:ascii="Times New Roman" w:hAnsi="Times New Roman" w:eastAsia="宋体" w:cs="Times New Roman"/>
          <w:color w:val="auto"/>
          <w:sz w:val="21"/>
          <w:szCs w:val="21"/>
          <w:highlight w:val="none"/>
        </w:rPr>
        <w:t>的实质要求、供应商响应和承诺的服务内容等有关标准进行验收，达不到要求的不予验收</w:t>
      </w:r>
      <w:r>
        <w:rPr>
          <w:rFonts w:hint="default" w:ascii="Times New Roman" w:hAnsi="Times New Roman" w:eastAsia="宋体" w:cs="Times New Roman"/>
          <w:color w:val="auto"/>
          <w:sz w:val="21"/>
          <w:szCs w:val="21"/>
          <w:highlight w:val="none"/>
          <w:lang w:eastAsia="zh-CN"/>
        </w:rPr>
        <w:t>。</w:t>
      </w:r>
    </w:p>
    <w:p w14:paraId="1E7CEB16">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供应商根据项目需求及自身情况，于响应文件中提供相应的服务方案，该方案内容包括但不限于服务保障措施、增值服务方案。</w:t>
      </w:r>
    </w:p>
    <w:p w14:paraId="21323D61">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成交供应商未按</w:t>
      </w:r>
      <w:r>
        <w:rPr>
          <w:rFonts w:hint="default" w:ascii="Times New Roman" w:hAnsi="Times New Roman" w:eastAsia="宋体" w:cs="Times New Roman"/>
          <w:color w:val="auto"/>
          <w:sz w:val="21"/>
          <w:szCs w:val="21"/>
          <w:highlight w:val="none"/>
          <w:lang w:eastAsia="zh-CN"/>
        </w:rPr>
        <w:t>采购文件</w:t>
      </w:r>
      <w:r>
        <w:rPr>
          <w:rFonts w:hint="default" w:ascii="Times New Roman" w:hAnsi="Times New Roman" w:eastAsia="宋体" w:cs="Times New Roman"/>
          <w:color w:val="auto"/>
          <w:sz w:val="21"/>
          <w:szCs w:val="21"/>
          <w:highlight w:val="none"/>
        </w:rPr>
        <w:t>中《</w:t>
      </w:r>
      <w:r>
        <w:rPr>
          <w:rFonts w:hint="default" w:ascii="Times New Roman" w:hAnsi="Times New Roman" w:eastAsia="宋体" w:cs="Times New Roman"/>
          <w:color w:val="auto"/>
          <w:sz w:val="21"/>
          <w:szCs w:val="21"/>
          <w:highlight w:val="none"/>
          <w:lang w:val="en-US" w:eastAsia="zh-CN"/>
        </w:rPr>
        <w:t>采购</w:t>
      </w:r>
      <w:r>
        <w:rPr>
          <w:rFonts w:hint="default" w:ascii="Times New Roman" w:hAnsi="Times New Roman" w:eastAsia="宋体" w:cs="Times New Roman"/>
          <w:color w:val="auto"/>
          <w:sz w:val="21"/>
          <w:szCs w:val="21"/>
          <w:highlight w:val="none"/>
        </w:rPr>
        <w:t>需求一览表》中的</w:t>
      </w:r>
      <w:r>
        <w:rPr>
          <w:rFonts w:hint="default" w:ascii="Times New Roman" w:hAnsi="Times New Roman" w:eastAsia="宋体" w:cs="Times New Roman"/>
          <w:color w:val="auto"/>
          <w:sz w:val="21"/>
          <w:szCs w:val="21"/>
          <w:highlight w:val="none"/>
          <w:lang w:eastAsia="zh-CN"/>
        </w:rPr>
        <w:t>内</w:t>
      </w:r>
      <w:r>
        <w:rPr>
          <w:rFonts w:hint="default" w:ascii="Times New Roman" w:hAnsi="Times New Roman" w:eastAsia="宋体" w:cs="Times New Roman"/>
          <w:color w:val="auto"/>
          <w:sz w:val="21"/>
          <w:szCs w:val="21"/>
          <w:highlight w:val="none"/>
        </w:rPr>
        <w:t>容提供服务或服务未达标准的，采购人可解除本合同。</w:t>
      </w:r>
    </w:p>
    <w:p w14:paraId="6CFB0C61">
      <w:pPr>
        <w:spacing w:line="528" w:lineRule="exact"/>
        <w:ind w:firstLine="210" w:firstLineChars="100"/>
        <w:rPr>
          <w:color w:val="auto"/>
          <w:sz w:val="28"/>
          <w:szCs w:val="28"/>
          <w:highlight w:val="none"/>
        </w:rPr>
      </w:pPr>
      <w:r>
        <w:rPr>
          <w:color w:val="auto"/>
          <w:szCs w:val="21"/>
          <w:highlight w:val="none"/>
        </w:rPr>
        <w:br w:type="page"/>
      </w:r>
      <w:bookmarkStart w:id="28" w:name="_Hlk132878602"/>
      <w:r>
        <w:rPr>
          <w:rFonts w:hint="eastAsia"/>
          <w:color w:val="auto"/>
          <w:sz w:val="28"/>
          <w:szCs w:val="28"/>
          <w:highlight w:val="none"/>
        </w:rPr>
        <w:t xml:space="preserve">附件1： </w:t>
      </w:r>
      <w:r>
        <w:rPr>
          <w:color w:val="auto"/>
          <w:sz w:val="28"/>
          <w:szCs w:val="28"/>
          <w:highlight w:val="none"/>
        </w:rPr>
        <w:t xml:space="preserve">               </w:t>
      </w:r>
    </w:p>
    <w:p w14:paraId="4CC903DE">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AC95CC7">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7064C0DF">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091E64B4">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3DF3B688">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2CF2EF71">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5E5AED93">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5DBFA840">
            <w:pPr>
              <w:widowControl/>
              <w:jc w:val="left"/>
              <w:rPr>
                <w:color w:val="auto"/>
                <w:szCs w:val="21"/>
                <w:highlight w:val="none"/>
              </w:rPr>
            </w:pPr>
            <w:r>
              <w:rPr>
                <w:rFonts w:hint="eastAsia"/>
                <w:color w:val="auto"/>
                <w:szCs w:val="21"/>
                <w:highlight w:val="none"/>
              </w:rPr>
              <w:t>微型</w:t>
            </w:r>
          </w:p>
        </w:tc>
      </w:tr>
      <w:tr w14:paraId="3E3C073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03B896F1">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094C451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D41857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94A19C2">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7DA9A329">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6D13FA2C">
            <w:pPr>
              <w:widowControl/>
              <w:jc w:val="left"/>
              <w:rPr>
                <w:color w:val="auto"/>
                <w:szCs w:val="21"/>
                <w:highlight w:val="none"/>
              </w:rPr>
            </w:pPr>
            <w:r>
              <w:rPr>
                <w:rFonts w:hint="eastAsia"/>
                <w:color w:val="auto"/>
                <w:szCs w:val="21"/>
                <w:highlight w:val="none"/>
              </w:rPr>
              <w:t>Y＜50</w:t>
            </w:r>
          </w:p>
        </w:tc>
      </w:tr>
      <w:tr w14:paraId="567D5E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E20172B">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3148CB7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B2CF2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5B358BB">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B67155D">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6B049652">
            <w:pPr>
              <w:widowControl/>
              <w:jc w:val="left"/>
              <w:rPr>
                <w:color w:val="auto"/>
                <w:szCs w:val="21"/>
                <w:highlight w:val="none"/>
              </w:rPr>
            </w:pPr>
            <w:r>
              <w:rPr>
                <w:rFonts w:hint="eastAsia"/>
                <w:color w:val="auto"/>
                <w:szCs w:val="21"/>
                <w:highlight w:val="none"/>
              </w:rPr>
              <w:t>X＜20</w:t>
            </w:r>
          </w:p>
        </w:tc>
      </w:tr>
      <w:tr w14:paraId="58ECE99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388626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F89B6A2">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276928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4C78FC1">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72B7F616">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D63A52C">
            <w:pPr>
              <w:widowControl/>
              <w:jc w:val="left"/>
              <w:rPr>
                <w:color w:val="auto"/>
                <w:szCs w:val="21"/>
                <w:highlight w:val="none"/>
              </w:rPr>
            </w:pPr>
            <w:r>
              <w:rPr>
                <w:rFonts w:hint="eastAsia"/>
                <w:color w:val="auto"/>
                <w:szCs w:val="21"/>
                <w:highlight w:val="none"/>
              </w:rPr>
              <w:t>Y＜300</w:t>
            </w:r>
          </w:p>
        </w:tc>
      </w:tr>
      <w:tr w14:paraId="67138B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13BFE0D">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30903D2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9AFBA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ACACC1D">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5099C7A8">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2BD4C4D6">
            <w:pPr>
              <w:widowControl/>
              <w:jc w:val="left"/>
              <w:rPr>
                <w:color w:val="auto"/>
                <w:szCs w:val="21"/>
                <w:highlight w:val="none"/>
              </w:rPr>
            </w:pPr>
            <w:r>
              <w:rPr>
                <w:rFonts w:hint="eastAsia"/>
                <w:color w:val="auto"/>
                <w:szCs w:val="21"/>
                <w:highlight w:val="none"/>
              </w:rPr>
              <w:t>Y＜300</w:t>
            </w:r>
          </w:p>
        </w:tc>
      </w:tr>
      <w:tr w14:paraId="3ED6FF7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E08A9A">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67DAD29">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7E18AEC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C261467">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3B932C92">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193C66B6">
            <w:pPr>
              <w:widowControl/>
              <w:jc w:val="left"/>
              <w:rPr>
                <w:color w:val="auto"/>
                <w:szCs w:val="21"/>
                <w:highlight w:val="none"/>
              </w:rPr>
            </w:pPr>
            <w:r>
              <w:rPr>
                <w:rFonts w:hint="eastAsia"/>
                <w:color w:val="auto"/>
                <w:szCs w:val="21"/>
                <w:highlight w:val="none"/>
              </w:rPr>
              <w:t>Z＜300</w:t>
            </w:r>
          </w:p>
        </w:tc>
      </w:tr>
      <w:tr w14:paraId="7792FD6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B56329D">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B5B40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D59855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C525D33">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04FABD01">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4538429C">
            <w:pPr>
              <w:widowControl/>
              <w:jc w:val="left"/>
              <w:rPr>
                <w:color w:val="auto"/>
                <w:szCs w:val="21"/>
                <w:highlight w:val="none"/>
              </w:rPr>
            </w:pPr>
            <w:r>
              <w:rPr>
                <w:rFonts w:hint="eastAsia"/>
                <w:color w:val="auto"/>
                <w:szCs w:val="21"/>
                <w:highlight w:val="none"/>
              </w:rPr>
              <w:t>X＜5</w:t>
            </w:r>
          </w:p>
        </w:tc>
      </w:tr>
      <w:tr w14:paraId="7211783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B67BF92">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D71A82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6BE6D94">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8503882">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3A0ACDCC">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3D4D424A">
            <w:pPr>
              <w:widowControl/>
              <w:jc w:val="left"/>
              <w:rPr>
                <w:color w:val="auto"/>
                <w:szCs w:val="21"/>
                <w:highlight w:val="none"/>
              </w:rPr>
            </w:pPr>
            <w:r>
              <w:rPr>
                <w:rFonts w:hint="eastAsia"/>
                <w:color w:val="auto"/>
                <w:szCs w:val="21"/>
                <w:highlight w:val="none"/>
              </w:rPr>
              <w:t>Y＜1000</w:t>
            </w:r>
          </w:p>
        </w:tc>
      </w:tr>
      <w:tr w14:paraId="7F9BA87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F9BF24E">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146306B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67C1FEF">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0A81ED2">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6BB1552A">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91B4BDE">
            <w:pPr>
              <w:widowControl/>
              <w:jc w:val="left"/>
              <w:rPr>
                <w:color w:val="auto"/>
                <w:szCs w:val="21"/>
                <w:highlight w:val="none"/>
              </w:rPr>
            </w:pPr>
            <w:r>
              <w:rPr>
                <w:rFonts w:hint="eastAsia"/>
                <w:color w:val="auto"/>
                <w:szCs w:val="21"/>
                <w:highlight w:val="none"/>
              </w:rPr>
              <w:t>X＜10</w:t>
            </w:r>
          </w:p>
        </w:tc>
      </w:tr>
      <w:tr w14:paraId="1A8C3EE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56D5DC8">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15979B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8026E2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F4DD197">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0F41D17D">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227CF769">
            <w:pPr>
              <w:widowControl/>
              <w:jc w:val="left"/>
              <w:rPr>
                <w:color w:val="auto"/>
                <w:szCs w:val="21"/>
                <w:highlight w:val="none"/>
              </w:rPr>
            </w:pPr>
            <w:r>
              <w:rPr>
                <w:rFonts w:hint="eastAsia"/>
                <w:color w:val="auto"/>
                <w:szCs w:val="21"/>
                <w:highlight w:val="none"/>
              </w:rPr>
              <w:t>Y＜100</w:t>
            </w:r>
          </w:p>
        </w:tc>
      </w:tr>
      <w:tr w14:paraId="65277FD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A25751C">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08F522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8E7F6A1">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5A8C02D">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95E0CF7">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7FB40EA6">
            <w:pPr>
              <w:widowControl/>
              <w:jc w:val="left"/>
              <w:rPr>
                <w:color w:val="auto"/>
                <w:szCs w:val="21"/>
                <w:highlight w:val="none"/>
              </w:rPr>
            </w:pPr>
            <w:r>
              <w:rPr>
                <w:rFonts w:hint="eastAsia"/>
                <w:color w:val="auto"/>
                <w:szCs w:val="21"/>
                <w:highlight w:val="none"/>
              </w:rPr>
              <w:t>X＜20</w:t>
            </w:r>
          </w:p>
        </w:tc>
      </w:tr>
      <w:tr w14:paraId="679EA74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3F206B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728A26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F850AD4">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11921EC">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4726A70F">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732F335E">
            <w:pPr>
              <w:widowControl/>
              <w:jc w:val="left"/>
              <w:rPr>
                <w:color w:val="auto"/>
                <w:szCs w:val="21"/>
                <w:highlight w:val="none"/>
              </w:rPr>
            </w:pPr>
            <w:r>
              <w:rPr>
                <w:rFonts w:hint="eastAsia"/>
                <w:color w:val="auto"/>
                <w:szCs w:val="21"/>
                <w:highlight w:val="none"/>
              </w:rPr>
              <w:t>Y＜200</w:t>
            </w:r>
          </w:p>
        </w:tc>
      </w:tr>
      <w:tr w14:paraId="033DBAF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CB0E1AF">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75FF9B1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8CDF75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F1197C2">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3BC7874C">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5E838AF6">
            <w:pPr>
              <w:widowControl/>
              <w:jc w:val="left"/>
              <w:rPr>
                <w:color w:val="auto"/>
                <w:szCs w:val="21"/>
                <w:highlight w:val="none"/>
              </w:rPr>
            </w:pPr>
            <w:r>
              <w:rPr>
                <w:rFonts w:hint="eastAsia"/>
                <w:color w:val="auto"/>
                <w:szCs w:val="21"/>
                <w:highlight w:val="none"/>
              </w:rPr>
              <w:t>X＜20</w:t>
            </w:r>
          </w:p>
        </w:tc>
      </w:tr>
      <w:tr w14:paraId="218EA4B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C77FCF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A0A5E74">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A2A761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7361576">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BFB91E8">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72C880CD">
            <w:pPr>
              <w:widowControl/>
              <w:jc w:val="left"/>
              <w:rPr>
                <w:color w:val="auto"/>
                <w:szCs w:val="21"/>
                <w:highlight w:val="none"/>
              </w:rPr>
            </w:pPr>
            <w:r>
              <w:rPr>
                <w:rFonts w:hint="eastAsia"/>
                <w:color w:val="auto"/>
                <w:szCs w:val="21"/>
                <w:highlight w:val="none"/>
              </w:rPr>
              <w:t>Y＜100</w:t>
            </w:r>
          </w:p>
        </w:tc>
      </w:tr>
      <w:tr w14:paraId="5E64B8B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F5EAB4A">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661AEDF">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048E43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DF72DDB">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5B30D55">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6338A42E">
            <w:pPr>
              <w:widowControl/>
              <w:jc w:val="left"/>
              <w:rPr>
                <w:color w:val="auto"/>
                <w:szCs w:val="21"/>
                <w:highlight w:val="none"/>
              </w:rPr>
            </w:pPr>
            <w:r>
              <w:rPr>
                <w:rFonts w:hint="eastAsia"/>
                <w:color w:val="auto"/>
                <w:szCs w:val="21"/>
                <w:highlight w:val="none"/>
              </w:rPr>
              <w:t>X＜20</w:t>
            </w:r>
          </w:p>
        </w:tc>
      </w:tr>
      <w:tr w14:paraId="5142232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9826C5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3B2DA9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6E645B4">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208D60A">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77CFB2C6">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02DAF853">
            <w:pPr>
              <w:widowControl/>
              <w:jc w:val="left"/>
              <w:rPr>
                <w:color w:val="auto"/>
                <w:szCs w:val="21"/>
                <w:highlight w:val="none"/>
              </w:rPr>
            </w:pPr>
            <w:r>
              <w:rPr>
                <w:rFonts w:hint="eastAsia"/>
                <w:color w:val="auto"/>
                <w:szCs w:val="21"/>
                <w:highlight w:val="none"/>
              </w:rPr>
              <w:t>Y＜100</w:t>
            </w:r>
          </w:p>
        </w:tc>
      </w:tr>
      <w:tr w14:paraId="34C4E79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A8D7261">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0941C8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677826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C107FA7">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3560128">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9D0265F">
            <w:pPr>
              <w:widowControl/>
              <w:jc w:val="left"/>
              <w:rPr>
                <w:color w:val="auto"/>
                <w:szCs w:val="21"/>
                <w:highlight w:val="none"/>
              </w:rPr>
            </w:pPr>
            <w:r>
              <w:rPr>
                <w:rFonts w:hint="eastAsia"/>
                <w:color w:val="auto"/>
                <w:szCs w:val="21"/>
                <w:highlight w:val="none"/>
              </w:rPr>
              <w:t>X＜10</w:t>
            </w:r>
          </w:p>
        </w:tc>
      </w:tr>
      <w:tr w14:paraId="1FA12C8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03AC741">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E2D894">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7434BF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EADCCD4">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B96CD3B">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68E0D6A3">
            <w:pPr>
              <w:widowControl/>
              <w:jc w:val="left"/>
              <w:rPr>
                <w:color w:val="auto"/>
                <w:szCs w:val="21"/>
                <w:highlight w:val="none"/>
              </w:rPr>
            </w:pPr>
            <w:r>
              <w:rPr>
                <w:rFonts w:hint="eastAsia"/>
                <w:color w:val="auto"/>
                <w:szCs w:val="21"/>
                <w:highlight w:val="none"/>
              </w:rPr>
              <w:t>Y＜100</w:t>
            </w:r>
          </w:p>
        </w:tc>
      </w:tr>
      <w:tr w14:paraId="0683947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31588F9">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7242526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41CEE4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481B8B6">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9C10BEB">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17C48B30">
            <w:pPr>
              <w:widowControl/>
              <w:jc w:val="left"/>
              <w:rPr>
                <w:color w:val="auto"/>
                <w:szCs w:val="21"/>
                <w:highlight w:val="none"/>
              </w:rPr>
            </w:pPr>
            <w:r>
              <w:rPr>
                <w:rFonts w:hint="eastAsia"/>
                <w:color w:val="auto"/>
                <w:szCs w:val="21"/>
                <w:highlight w:val="none"/>
              </w:rPr>
              <w:t>X＜10</w:t>
            </w:r>
          </w:p>
        </w:tc>
      </w:tr>
      <w:tr w14:paraId="56AAFDB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7C145EE">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05F9F4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7CB6CA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06636F8">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4A1E9897">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68ECC05D">
            <w:pPr>
              <w:widowControl/>
              <w:jc w:val="left"/>
              <w:rPr>
                <w:color w:val="auto"/>
                <w:szCs w:val="21"/>
                <w:highlight w:val="none"/>
              </w:rPr>
            </w:pPr>
            <w:r>
              <w:rPr>
                <w:rFonts w:hint="eastAsia"/>
                <w:color w:val="auto"/>
                <w:szCs w:val="21"/>
                <w:highlight w:val="none"/>
              </w:rPr>
              <w:t>Y＜100</w:t>
            </w:r>
          </w:p>
        </w:tc>
      </w:tr>
      <w:tr w14:paraId="1FCB20B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28C5896">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28110FC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5FB33F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3EA6A5D">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8EB75D">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48AA903C">
            <w:pPr>
              <w:widowControl/>
              <w:jc w:val="left"/>
              <w:rPr>
                <w:color w:val="auto"/>
                <w:szCs w:val="21"/>
                <w:highlight w:val="none"/>
              </w:rPr>
            </w:pPr>
            <w:r>
              <w:rPr>
                <w:rFonts w:hint="eastAsia"/>
                <w:color w:val="auto"/>
                <w:szCs w:val="21"/>
                <w:highlight w:val="none"/>
              </w:rPr>
              <w:t>X＜10</w:t>
            </w:r>
          </w:p>
        </w:tc>
      </w:tr>
      <w:tr w14:paraId="1DB5775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83242A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04E445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D00154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1F28584">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0E9D1060">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1CDE7D19">
            <w:pPr>
              <w:widowControl/>
              <w:jc w:val="left"/>
              <w:rPr>
                <w:color w:val="auto"/>
                <w:szCs w:val="21"/>
                <w:highlight w:val="none"/>
              </w:rPr>
            </w:pPr>
            <w:r>
              <w:rPr>
                <w:rFonts w:hint="eastAsia"/>
                <w:color w:val="auto"/>
                <w:szCs w:val="21"/>
                <w:highlight w:val="none"/>
              </w:rPr>
              <w:t>Y＜100</w:t>
            </w:r>
          </w:p>
        </w:tc>
      </w:tr>
      <w:tr w14:paraId="0F5E140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15CF686">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1F6F176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CD2630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222F65D">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DAE5231">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03452C19">
            <w:pPr>
              <w:widowControl/>
              <w:jc w:val="left"/>
              <w:rPr>
                <w:color w:val="auto"/>
                <w:szCs w:val="21"/>
                <w:highlight w:val="none"/>
              </w:rPr>
            </w:pPr>
            <w:r>
              <w:rPr>
                <w:rFonts w:hint="eastAsia"/>
                <w:color w:val="auto"/>
                <w:szCs w:val="21"/>
                <w:highlight w:val="none"/>
              </w:rPr>
              <w:t>X＜10</w:t>
            </w:r>
          </w:p>
        </w:tc>
      </w:tr>
      <w:tr w14:paraId="33D51E7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63E61E6">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51031D4">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96F543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69867B7">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61C0A9D2">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33183987">
            <w:pPr>
              <w:widowControl/>
              <w:jc w:val="left"/>
              <w:rPr>
                <w:color w:val="auto"/>
                <w:szCs w:val="21"/>
                <w:highlight w:val="none"/>
              </w:rPr>
            </w:pPr>
            <w:r>
              <w:rPr>
                <w:rFonts w:hint="eastAsia"/>
                <w:color w:val="auto"/>
                <w:szCs w:val="21"/>
                <w:highlight w:val="none"/>
              </w:rPr>
              <w:t>Y＜50</w:t>
            </w:r>
          </w:p>
        </w:tc>
      </w:tr>
      <w:tr w14:paraId="695B24B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61AAF48">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5C3CB3E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B26A72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048F513">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027D4B49">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08785649">
            <w:pPr>
              <w:widowControl/>
              <w:jc w:val="left"/>
              <w:rPr>
                <w:color w:val="auto"/>
                <w:szCs w:val="21"/>
                <w:highlight w:val="none"/>
              </w:rPr>
            </w:pPr>
            <w:r>
              <w:rPr>
                <w:rFonts w:hint="eastAsia"/>
                <w:color w:val="auto"/>
                <w:szCs w:val="21"/>
                <w:highlight w:val="none"/>
              </w:rPr>
              <w:t>X＜100</w:t>
            </w:r>
          </w:p>
        </w:tc>
      </w:tr>
      <w:tr w14:paraId="3F42019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AA9B23">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89C83BF">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25ED5F6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893F498">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25500299">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20EB9D4C">
            <w:pPr>
              <w:widowControl/>
              <w:jc w:val="left"/>
              <w:rPr>
                <w:color w:val="auto"/>
                <w:szCs w:val="21"/>
                <w:highlight w:val="none"/>
              </w:rPr>
            </w:pPr>
            <w:r>
              <w:rPr>
                <w:rFonts w:hint="eastAsia"/>
                <w:color w:val="auto"/>
                <w:szCs w:val="21"/>
                <w:highlight w:val="none"/>
              </w:rPr>
              <w:t>Y＜2000</w:t>
            </w:r>
          </w:p>
        </w:tc>
      </w:tr>
      <w:tr w14:paraId="09FF222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9FCB5C8">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77A72EC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AB63B1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FECA80B">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3F4CD2AF">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53916C5C">
            <w:pPr>
              <w:widowControl/>
              <w:jc w:val="left"/>
              <w:rPr>
                <w:color w:val="auto"/>
                <w:szCs w:val="21"/>
                <w:highlight w:val="none"/>
              </w:rPr>
            </w:pPr>
            <w:r>
              <w:rPr>
                <w:rFonts w:hint="eastAsia"/>
                <w:color w:val="auto"/>
                <w:szCs w:val="21"/>
                <w:highlight w:val="none"/>
              </w:rPr>
              <w:t>X＜100</w:t>
            </w:r>
          </w:p>
        </w:tc>
      </w:tr>
      <w:tr w14:paraId="2661F5B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706907E">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D97B7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BACB1A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0DF15DE">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19DC482F">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027AA70F">
            <w:pPr>
              <w:widowControl/>
              <w:jc w:val="left"/>
              <w:rPr>
                <w:color w:val="auto"/>
                <w:szCs w:val="21"/>
                <w:highlight w:val="none"/>
              </w:rPr>
            </w:pPr>
            <w:r>
              <w:rPr>
                <w:rFonts w:hint="eastAsia"/>
                <w:color w:val="auto"/>
                <w:szCs w:val="21"/>
                <w:highlight w:val="none"/>
              </w:rPr>
              <w:t>Y＜500</w:t>
            </w:r>
          </w:p>
        </w:tc>
      </w:tr>
      <w:tr w14:paraId="3BFDEEE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FC705E4">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6E7BF35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1F262B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27108EF">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4C936F7">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868BB2F">
            <w:pPr>
              <w:widowControl/>
              <w:jc w:val="left"/>
              <w:rPr>
                <w:color w:val="auto"/>
                <w:szCs w:val="21"/>
                <w:highlight w:val="none"/>
              </w:rPr>
            </w:pPr>
            <w:r>
              <w:rPr>
                <w:rFonts w:hint="eastAsia"/>
                <w:color w:val="auto"/>
                <w:szCs w:val="21"/>
                <w:highlight w:val="none"/>
              </w:rPr>
              <w:t>X＜10</w:t>
            </w:r>
          </w:p>
        </w:tc>
      </w:tr>
      <w:tr w14:paraId="75AF32D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84C7AA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9139409">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33AFB5E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BCF0DE8">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744952E4">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7C638725">
            <w:pPr>
              <w:widowControl/>
              <w:jc w:val="left"/>
              <w:rPr>
                <w:color w:val="auto"/>
                <w:szCs w:val="21"/>
                <w:highlight w:val="none"/>
              </w:rPr>
            </w:pPr>
            <w:r>
              <w:rPr>
                <w:rFonts w:hint="eastAsia"/>
                <w:color w:val="auto"/>
                <w:szCs w:val="21"/>
                <w:highlight w:val="none"/>
              </w:rPr>
              <w:t>Y＜100</w:t>
            </w:r>
          </w:p>
        </w:tc>
      </w:tr>
      <w:tr w14:paraId="42AC0AE1">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61C2C1B9">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76BF73D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D84493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7CFB33B">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96646CF">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8FB04C2">
            <w:pPr>
              <w:widowControl/>
              <w:jc w:val="left"/>
              <w:rPr>
                <w:color w:val="auto"/>
                <w:szCs w:val="21"/>
                <w:highlight w:val="none"/>
              </w:rPr>
            </w:pPr>
            <w:r>
              <w:rPr>
                <w:rFonts w:hint="eastAsia"/>
                <w:color w:val="auto"/>
                <w:szCs w:val="21"/>
                <w:highlight w:val="none"/>
              </w:rPr>
              <w:t>X＜10</w:t>
            </w:r>
          </w:p>
        </w:tc>
      </w:tr>
    </w:tbl>
    <w:p w14:paraId="165A1E20">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w:t>
      </w:r>
      <w:r>
        <w:rPr>
          <w:rFonts w:hint="eastAsia"/>
          <w:color w:val="auto"/>
          <w:szCs w:val="21"/>
          <w:highlight w:val="none"/>
          <w:lang w:eastAsia="zh-CN"/>
        </w:rPr>
        <w:t>〔2011〕300号</w:t>
      </w:r>
      <w:r>
        <w:rPr>
          <w:rFonts w:hint="eastAsia"/>
          <w:color w:val="auto"/>
          <w:szCs w:val="21"/>
          <w:highlight w:val="none"/>
        </w:rPr>
        <w:t>），大型、中型和小型企业须同时满足所列指标的下限，否则下划一档；微型企业只须满足所列指标中的一项即可。</w:t>
      </w:r>
    </w:p>
    <w:bookmarkEnd w:id="28"/>
    <w:p w14:paraId="189F0DDC">
      <w:pPr>
        <w:spacing w:line="360" w:lineRule="auto"/>
        <w:rPr>
          <w:color w:val="auto"/>
          <w:sz w:val="28"/>
          <w:szCs w:val="28"/>
          <w:highlight w:val="none"/>
        </w:rPr>
      </w:pPr>
      <w:r>
        <w:rPr>
          <w:color w:val="auto"/>
          <w:szCs w:val="21"/>
          <w:highlight w:val="none"/>
        </w:rPr>
        <w:br w:type="page"/>
      </w:r>
      <w:bookmarkStart w:id="29" w:name="_Hlk132878609"/>
      <w:r>
        <w:rPr>
          <w:rFonts w:hint="eastAsia"/>
          <w:color w:val="auto"/>
          <w:sz w:val="28"/>
          <w:szCs w:val="28"/>
          <w:highlight w:val="none"/>
        </w:rPr>
        <w:t>附件2：</w:t>
      </w:r>
    </w:p>
    <w:p w14:paraId="305FEEB6">
      <w:pPr>
        <w:spacing w:line="360" w:lineRule="auto"/>
        <w:rPr>
          <w:rFonts w:hint="eastAsia"/>
          <w:color w:val="auto"/>
          <w:szCs w:val="21"/>
          <w:highlight w:val="none"/>
        </w:rPr>
        <w:sectPr>
          <w:footerReference r:id="rId13" w:type="first"/>
          <w:headerReference r:id="rId12" w:type="default"/>
          <w:pgSz w:w="11906" w:h="16838"/>
          <w:pgMar w:top="851" w:right="1133" w:bottom="1246" w:left="1418" w:header="851" w:footer="797" w:gutter="0"/>
          <w:cols w:space="720" w:num="1"/>
          <w:docGrid w:linePitch="312" w:charSpace="0"/>
        </w:sectPr>
      </w:pPr>
      <w:r>
        <w:rPr>
          <w:rFonts w:ascii="宋体" w:hAnsi="宋体" w:cs="宋体"/>
          <w:color w:val="auto"/>
          <w:position w:val="-335"/>
          <w:sz w:val="20"/>
          <w:szCs w:val="20"/>
          <w:highlight w:val="none"/>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2"/>
                    <a:stretch>
                      <a:fillRect/>
                    </a:stretch>
                  </pic:blipFill>
                  <pic:spPr>
                    <a:xfrm>
                      <a:off x="0" y="0"/>
                      <a:ext cx="5573395" cy="8125460"/>
                    </a:xfrm>
                    <a:prstGeom prst="rect">
                      <a:avLst/>
                    </a:prstGeom>
                    <a:noFill/>
                    <a:ln>
                      <a:noFill/>
                    </a:ln>
                  </pic:spPr>
                </pic:pic>
              </a:graphicData>
            </a:graphic>
          </wp:anchor>
        </w:drawing>
      </w:r>
      <w:bookmarkEnd w:id="29"/>
    </w:p>
    <w:bookmarkEnd w:id="26"/>
    <w:bookmarkEnd w:id="27"/>
    <w:p w14:paraId="5623948E">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30" w:name="_Toc31014"/>
      <w:bookmarkStart w:id="31" w:name="_Toc17309"/>
      <w:bookmarkStart w:id="32" w:name="_Toc27370"/>
      <w:bookmarkStart w:id="33" w:name="_Toc31776"/>
      <w:bookmarkStart w:id="34" w:name="_Toc6022"/>
      <w:r>
        <w:rPr>
          <w:rFonts w:ascii="Times New Roman" w:hAnsi="Times New Roman" w:cs="Times New Roman"/>
          <w:color w:val="auto"/>
          <w:sz w:val="32"/>
          <w:szCs w:val="32"/>
          <w:highlight w:val="none"/>
        </w:rPr>
        <w:t>第三章  供应商须知</w:t>
      </w:r>
      <w:bookmarkEnd w:id="30"/>
      <w:bookmarkEnd w:id="31"/>
      <w:bookmarkEnd w:id="32"/>
      <w:bookmarkEnd w:id="33"/>
      <w:bookmarkEnd w:id="34"/>
      <w:bookmarkStart w:id="35" w:name="_Toc254970526"/>
      <w:bookmarkStart w:id="36" w:name="_Toc254970667"/>
    </w:p>
    <w:p w14:paraId="2C2183F6">
      <w:pPr>
        <w:pStyle w:val="3"/>
        <w:spacing w:before="40" w:after="40"/>
        <w:jc w:val="center"/>
        <w:rPr>
          <w:rFonts w:hint="eastAsia" w:ascii="Times New Roman" w:hAnsi="Times New Roman" w:eastAsia="宋体"/>
          <w:color w:val="auto"/>
          <w:sz w:val="24"/>
          <w:szCs w:val="24"/>
          <w:highlight w:val="none"/>
        </w:rPr>
      </w:pPr>
      <w:bookmarkStart w:id="37" w:name="_Toc20790"/>
      <w:bookmarkStart w:id="38" w:name="_Toc245"/>
      <w:r>
        <w:rPr>
          <w:rFonts w:ascii="Times New Roman" w:hAnsi="Times New Roman" w:eastAsia="宋体"/>
          <w:color w:val="auto"/>
          <w:sz w:val="24"/>
          <w:szCs w:val="24"/>
          <w:highlight w:val="none"/>
        </w:rPr>
        <w:t>供应商须知前附表</w:t>
      </w:r>
      <w:bookmarkEnd w:id="37"/>
      <w:bookmarkEnd w:id="38"/>
    </w:p>
    <w:bookmarkEnd w:id="35"/>
    <w:bookmarkEnd w:id="36"/>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42D11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A4D6464">
            <w:pPr>
              <w:jc w:val="center"/>
              <w:rPr>
                <w:b/>
                <w:color w:val="auto"/>
                <w:szCs w:val="21"/>
                <w:highlight w:val="none"/>
              </w:rPr>
            </w:pPr>
            <w:bookmarkStart w:id="39" w:name="_投标人须知前附表"/>
            <w:bookmarkEnd w:id="39"/>
            <w:bookmarkStart w:id="40" w:name="_Hlk19088833"/>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9CFAC45">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DE4389A">
            <w:pPr>
              <w:jc w:val="center"/>
              <w:rPr>
                <w:b/>
                <w:color w:val="auto"/>
                <w:szCs w:val="21"/>
                <w:highlight w:val="none"/>
              </w:rPr>
            </w:pPr>
            <w:r>
              <w:rPr>
                <w:b/>
                <w:color w:val="auto"/>
                <w:szCs w:val="21"/>
                <w:highlight w:val="none"/>
              </w:rPr>
              <w:t>内容、要求</w:t>
            </w:r>
          </w:p>
        </w:tc>
      </w:tr>
      <w:tr w14:paraId="6F4F4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88C77F9">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22868A4">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E8CC3EA">
            <w:pPr>
              <w:spacing w:line="300" w:lineRule="exact"/>
              <w:jc w:val="left"/>
              <w:rPr>
                <w:rFonts w:hint="eastAsia"/>
                <w:color w:val="auto"/>
                <w:szCs w:val="21"/>
                <w:highlight w:val="none"/>
              </w:rPr>
            </w:pPr>
            <w:r>
              <w:rPr>
                <w:color w:val="auto"/>
                <w:szCs w:val="21"/>
                <w:highlight w:val="none"/>
              </w:rPr>
              <w:t>项目名称：</w:t>
            </w:r>
            <w:r>
              <w:rPr>
                <w:rFonts w:hint="eastAsia"/>
                <w:color w:val="auto"/>
                <w:szCs w:val="21"/>
                <w:highlight w:val="none"/>
              </w:rPr>
              <w:t>崇左市中心血站购买血液样本核酸检测服务项目</w:t>
            </w:r>
          </w:p>
          <w:p w14:paraId="131C46EF">
            <w:pPr>
              <w:spacing w:line="300" w:lineRule="exact"/>
              <w:jc w:val="left"/>
              <w:rPr>
                <w:rFonts w:hint="eastAsia" w:eastAsia="宋体"/>
                <w:color w:val="auto"/>
                <w:szCs w:val="21"/>
                <w:highlight w:val="none"/>
                <w:lang w:eastAsia="zh-CN"/>
              </w:rPr>
            </w:pPr>
            <w:r>
              <w:rPr>
                <w:color w:val="auto"/>
                <w:szCs w:val="21"/>
                <w:highlight w:val="none"/>
              </w:rPr>
              <w:t>项目编号：</w:t>
            </w:r>
            <w:r>
              <w:rPr>
                <w:rFonts w:hint="eastAsia"/>
                <w:color w:val="auto"/>
                <w:szCs w:val="21"/>
                <w:highlight w:val="none"/>
                <w:lang w:eastAsia="zh-CN"/>
              </w:rPr>
              <w:t>CZZC2026-J3-990167-JDZB</w:t>
            </w:r>
          </w:p>
          <w:p w14:paraId="6DCA6485">
            <w:pPr>
              <w:spacing w:line="300" w:lineRule="exact"/>
              <w:jc w:val="left"/>
              <w:rPr>
                <w:color w:val="auto"/>
                <w:szCs w:val="21"/>
                <w:highlight w:val="none"/>
              </w:rPr>
            </w:pPr>
            <w:r>
              <w:rPr>
                <w:rFonts w:hint="eastAsia"/>
                <w:color w:val="auto"/>
                <w:szCs w:val="21"/>
                <w:highlight w:val="none"/>
              </w:rPr>
              <w:t>采购计划号：CZZC2026-J3-00976-001、CZZC2</w:t>
            </w:r>
            <w:bookmarkStart w:id="144" w:name="_GoBack"/>
            <w:bookmarkEnd w:id="144"/>
            <w:r>
              <w:rPr>
                <w:rFonts w:hint="eastAsia"/>
                <w:color w:val="auto"/>
                <w:szCs w:val="21"/>
                <w:highlight w:val="none"/>
              </w:rPr>
              <w:t>026-J3-00976-002、CZZC2026-J3-00976-003</w:t>
            </w:r>
          </w:p>
        </w:tc>
      </w:tr>
      <w:tr w14:paraId="14CB0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9E41436">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8344432">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0F43FCD">
            <w:pPr>
              <w:spacing w:line="300" w:lineRule="exact"/>
              <w:jc w:val="left"/>
              <w:rPr>
                <w:color w:val="auto"/>
                <w:szCs w:val="21"/>
                <w:highlight w:val="none"/>
              </w:rPr>
            </w:pPr>
            <w:r>
              <w:rPr>
                <w:rFonts w:hint="eastAsia"/>
                <w:color w:val="auto"/>
                <w:szCs w:val="21"/>
                <w:highlight w:val="none"/>
              </w:rPr>
              <w:t>竞争性谈判。</w:t>
            </w:r>
          </w:p>
        </w:tc>
      </w:tr>
      <w:tr w14:paraId="2A7DA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3D628C7C">
            <w:pPr>
              <w:spacing w:line="300" w:lineRule="exact"/>
              <w:jc w:val="center"/>
              <w:rPr>
                <w:b/>
                <w:color w:val="auto"/>
                <w:szCs w:val="21"/>
                <w:highlight w:val="none"/>
              </w:rPr>
            </w:pPr>
            <w:r>
              <w:rPr>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C355D6D">
            <w:pPr>
              <w:spacing w:line="300" w:lineRule="exact"/>
              <w:jc w:val="center"/>
              <w:rPr>
                <w:rFonts w:hint="eastAsia"/>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85AE3F9">
            <w:pPr>
              <w:spacing w:line="300" w:lineRule="exact"/>
              <w:jc w:val="left"/>
              <w:rPr>
                <w:rFonts w:hint="eastAsia"/>
                <w:color w:val="auto"/>
                <w:szCs w:val="21"/>
                <w:highlight w:val="none"/>
              </w:rPr>
            </w:pPr>
            <w:r>
              <w:rPr>
                <w:rFonts w:hint="eastAsia"/>
                <w:color w:val="auto"/>
                <w:szCs w:val="21"/>
                <w:highlight w:val="none"/>
                <w:lang w:val="en-US" w:eastAsia="zh-CN"/>
              </w:rPr>
              <w:t>非</w:t>
            </w:r>
            <w:r>
              <w:rPr>
                <w:rFonts w:hint="eastAsia"/>
                <w:color w:val="auto"/>
                <w:szCs w:val="21"/>
                <w:highlight w:val="none"/>
              </w:rPr>
              <w:t>专门面向中小微企业采购。</w:t>
            </w:r>
          </w:p>
        </w:tc>
      </w:tr>
      <w:tr w14:paraId="651DC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5EC263EA">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EC82F23">
            <w:pPr>
              <w:spacing w:line="300" w:lineRule="exact"/>
              <w:jc w:val="center"/>
              <w:rPr>
                <w:color w:val="auto"/>
                <w:szCs w:val="21"/>
                <w:highlight w:val="none"/>
              </w:rPr>
            </w:pPr>
            <w:r>
              <w:rPr>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C4D3337">
            <w:pPr>
              <w:spacing w:line="300" w:lineRule="exact"/>
              <w:jc w:val="left"/>
              <w:rPr>
                <w:color w:val="auto"/>
                <w:szCs w:val="21"/>
                <w:highlight w:val="none"/>
              </w:rPr>
            </w:pPr>
            <w:r>
              <w:rPr>
                <w:rFonts w:hint="eastAsia"/>
                <w:color w:val="auto"/>
                <w:szCs w:val="21"/>
                <w:highlight w:val="none"/>
              </w:rPr>
              <w:t>详</w:t>
            </w:r>
            <w:r>
              <w:rPr>
                <w:color w:val="auto"/>
                <w:szCs w:val="21"/>
                <w:highlight w:val="none"/>
              </w:rPr>
              <w:t>见谈判公告</w:t>
            </w:r>
            <w:r>
              <w:rPr>
                <w:rFonts w:hint="eastAsia"/>
                <w:color w:val="auto"/>
                <w:szCs w:val="21"/>
                <w:highlight w:val="none"/>
              </w:rPr>
              <w:t>。</w:t>
            </w:r>
          </w:p>
        </w:tc>
      </w:tr>
      <w:tr w14:paraId="0DA8B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7" w:type="dxa"/>
            <w:tcBorders>
              <w:top w:val="single" w:color="auto" w:sz="4" w:space="0"/>
              <w:left w:val="single" w:color="auto" w:sz="4" w:space="0"/>
              <w:right w:val="single" w:color="auto" w:sz="4" w:space="0"/>
            </w:tcBorders>
            <w:noWrap w:val="0"/>
            <w:vAlign w:val="center"/>
          </w:tcPr>
          <w:p w14:paraId="4F4BE9DB">
            <w:pPr>
              <w:spacing w:line="300" w:lineRule="exact"/>
              <w:jc w:val="center"/>
              <w:rPr>
                <w:b/>
                <w:color w:val="auto"/>
                <w:szCs w:val="21"/>
                <w:highlight w:val="none"/>
              </w:rPr>
            </w:pPr>
            <w:bookmarkStart w:id="41" w:name="_Hlk85555568"/>
            <w:r>
              <w:rPr>
                <w:b/>
                <w:color w:val="auto"/>
                <w:szCs w:val="21"/>
                <w:highlight w:val="none"/>
              </w:rPr>
              <w:t>1.5.3</w:t>
            </w:r>
          </w:p>
        </w:tc>
        <w:tc>
          <w:tcPr>
            <w:tcW w:w="1248" w:type="dxa"/>
            <w:tcBorders>
              <w:top w:val="single" w:color="auto" w:sz="4" w:space="0"/>
              <w:left w:val="single" w:color="auto" w:sz="4" w:space="0"/>
              <w:right w:val="single" w:color="auto" w:sz="4" w:space="0"/>
            </w:tcBorders>
            <w:noWrap w:val="0"/>
            <w:vAlign w:val="center"/>
          </w:tcPr>
          <w:p w14:paraId="3AC60346">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noWrap w:val="0"/>
            <w:vAlign w:val="center"/>
          </w:tcPr>
          <w:p w14:paraId="6195D6D1">
            <w:pPr>
              <w:spacing w:line="300" w:lineRule="exact"/>
              <w:jc w:val="left"/>
              <w:rPr>
                <w:color w:val="auto"/>
                <w:szCs w:val="21"/>
                <w:highlight w:val="none"/>
              </w:rPr>
            </w:pPr>
            <w:r>
              <w:rPr>
                <w:rFonts w:hint="eastAsia"/>
                <w:color w:val="auto"/>
                <w:szCs w:val="21"/>
                <w:highlight w:val="none"/>
              </w:rPr>
              <w:t>是否接受联合体详见谈判公告</w:t>
            </w:r>
          </w:p>
        </w:tc>
      </w:tr>
      <w:bookmarkEnd w:id="41"/>
      <w:tr w14:paraId="464F11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14AE38A7">
            <w:pPr>
              <w:spacing w:line="300" w:lineRule="exact"/>
              <w:jc w:val="center"/>
              <w:rPr>
                <w:b/>
                <w:color w:val="auto"/>
                <w:szCs w:val="21"/>
                <w:highlight w:val="none"/>
              </w:rPr>
            </w:pPr>
            <w:r>
              <w:rPr>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EC4E84C">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2EEBDE">
            <w:pPr>
              <w:pStyle w:val="17"/>
              <w:rPr>
                <w:rFonts w:hint="eastAsia"/>
                <w:color w:val="auto"/>
                <w:szCs w:val="21"/>
                <w:highlight w:val="none"/>
              </w:rPr>
            </w:pPr>
            <w:r>
              <w:rPr>
                <w:color w:val="auto"/>
                <w:szCs w:val="21"/>
                <w:highlight w:val="none"/>
              </w:rPr>
              <w:sym w:font="Wingdings 2" w:char="0052"/>
            </w:r>
            <w:r>
              <w:rPr>
                <w:rFonts w:hint="eastAsia"/>
                <w:color w:val="auto"/>
                <w:szCs w:val="21"/>
                <w:highlight w:val="none"/>
                <w:lang w:val="en-US" w:eastAsia="zh-CN"/>
              </w:rPr>
              <w:t>不组织</w:t>
            </w:r>
            <w:r>
              <w:rPr>
                <w:rFonts w:hint="eastAsia"/>
                <w:color w:val="auto"/>
                <w:szCs w:val="21"/>
                <w:highlight w:val="none"/>
              </w:rPr>
              <w:t xml:space="preserve"> </w:t>
            </w:r>
          </w:p>
          <w:p w14:paraId="6DDF24E5">
            <w:pPr>
              <w:pStyle w:val="17"/>
              <w:rPr>
                <w:color w:val="auto"/>
                <w:szCs w:val="21"/>
                <w:highlight w:val="none"/>
              </w:rPr>
            </w:pPr>
            <w:r>
              <w:rPr>
                <w:rFonts w:hint="eastAsia"/>
                <w:color w:val="auto"/>
                <w:szCs w:val="21"/>
                <w:highlight w:val="none"/>
              </w:rPr>
              <w:t xml:space="preserve">☑自行踏勘  </w:t>
            </w:r>
          </w:p>
        </w:tc>
      </w:tr>
      <w:tr w14:paraId="5C8B8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6495832">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F3E985F">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153CFF6">
            <w:pPr>
              <w:spacing w:line="300" w:lineRule="exact"/>
              <w:jc w:val="left"/>
              <w:rPr>
                <w:rFonts w:hint="eastAsia"/>
                <w:color w:val="auto"/>
                <w:szCs w:val="21"/>
                <w:highlight w:val="none"/>
              </w:rPr>
            </w:pPr>
            <w:r>
              <w:rPr>
                <w:rFonts w:hint="eastAsia"/>
                <w:color w:val="auto"/>
                <w:szCs w:val="21"/>
                <w:highlight w:val="none"/>
              </w:rPr>
              <w:t>是否接受分包详见谈判公告</w:t>
            </w:r>
          </w:p>
        </w:tc>
      </w:tr>
      <w:tr w14:paraId="06F3A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EACB93">
            <w:pPr>
              <w:spacing w:line="300" w:lineRule="exact"/>
              <w:jc w:val="center"/>
              <w:rPr>
                <w:rFonts w:hint="default"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7E06D4">
            <w:pPr>
              <w:spacing w:line="300" w:lineRule="exact"/>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0A9980">
            <w:pPr>
              <w:spacing w:line="300" w:lineRule="exact"/>
              <w:jc w:val="left"/>
              <w:rPr>
                <w:rFonts w:hint="eastAsia"/>
                <w:color w:val="auto"/>
                <w:szCs w:val="21"/>
                <w:highlight w:val="none"/>
              </w:rPr>
            </w:pPr>
            <w:r>
              <w:rPr>
                <w:rFonts w:hint="eastAsia"/>
                <w:color w:val="auto"/>
                <w:szCs w:val="21"/>
                <w:highlight w:val="none"/>
              </w:rPr>
              <w:t>□适用</w:t>
            </w:r>
          </w:p>
          <w:p w14:paraId="79E74AFF">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eastAsia="zh-CN"/>
              </w:rPr>
              <w:t>☑</w:t>
            </w:r>
            <w:r>
              <w:rPr>
                <w:rFonts w:hint="eastAsia"/>
                <w:color w:val="auto"/>
                <w:szCs w:val="21"/>
                <w:highlight w:val="none"/>
              </w:rPr>
              <w:t>不适用</w:t>
            </w:r>
          </w:p>
        </w:tc>
      </w:tr>
      <w:tr w14:paraId="1D3AB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23ECB235">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1663DF3">
            <w:pPr>
              <w:spacing w:line="300" w:lineRule="exact"/>
              <w:jc w:val="center"/>
              <w:rPr>
                <w:color w:val="auto"/>
                <w:szCs w:val="21"/>
                <w:highlight w:val="none"/>
              </w:rPr>
            </w:pPr>
            <w:r>
              <w:rPr>
                <w:color w:val="auto"/>
                <w:szCs w:val="21"/>
                <w:highlight w:val="none"/>
              </w:rPr>
              <w:t>采购文件澄清、修改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C579FA9">
            <w:pPr>
              <w:spacing w:line="300" w:lineRule="exact"/>
              <w:jc w:val="left"/>
              <w:rPr>
                <w:color w:val="auto"/>
                <w:szCs w:val="21"/>
                <w:highlight w:val="none"/>
              </w:rPr>
            </w:pPr>
            <w:r>
              <w:rPr>
                <w:color w:val="auto"/>
                <w:szCs w:val="21"/>
                <w:highlight w:val="none"/>
              </w:rPr>
              <w:t>在谈判公告发布媒介发布</w:t>
            </w:r>
            <w:r>
              <w:rPr>
                <w:rFonts w:hint="eastAsia"/>
                <w:color w:val="auto"/>
                <w:szCs w:val="21"/>
                <w:highlight w:val="none"/>
              </w:rPr>
              <w:t>。</w:t>
            </w:r>
          </w:p>
        </w:tc>
      </w:tr>
      <w:tr w14:paraId="115A5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12E7E9D">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8FC952F">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D8C68AE">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自谈判公告</w:t>
            </w:r>
            <w:r>
              <w:rPr>
                <w:color w:val="auto"/>
                <w:szCs w:val="21"/>
                <w:highlight w:val="none"/>
              </w:rPr>
              <w:t>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谈判公告</w:t>
            </w:r>
            <w:r>
              <w:rPr>
                <w:color w:val="auto"/>
                <w:szCs w:val="21"/>
                <w:highlight w:val="none"/>
              </w:rPr>
              <w:t>发布媒</w:t>
            </w:r>
            <w:r>
              <w:rPr>
                <w:rFonts w:hint="eastAsia"/>
                <w:color w:val="auto"/>
                <w:szCs w:val="21"/>
                <w:highlight w:val="none"/>
              </w:rPr>
              <w:t>体</w:t>
            </w:r>
            <w:r>
              <w:rPr>
                <w:color w:val="auto"/>
                <w:szCs w:val="21"/>
                <w:highlight w:val="none"/>
              </w:rPr>
              <w:t>造成的损失，由供应商自行负责。</w:t>
            </w:r>
          </w:p>
        </w:tc>
      </w:tr>
      <w:tr w14:paraId="041272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C4652D6">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9DCF3CD">
            <w:pPr>
              <w:spacing w:line="300" w:lineRule="exact"/>
              <w:jc w:val="center"/>
              <w:rPr>
                <w:color w:val="auto"/>
                <w:szCs w:val="21"/>
                <w:highlight w:val="none"/>
              </w:rPr>
            </w:pPr>
            <w:r>
              <w:rPr>
                <w:color w:val="auto"/>
                <w:szCs w:val="21"/>
                <w:highlight w:val="none"/>
              </w:rPr>
              <w:t>响应有效期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F2F0AAF">
            <w:pPr>
              <w:spacing w:line="300" w:lineRule="exact"/>
              <w:jc w:val="left"/>
              <w:rPr>
                <w:color w:val="auto"/>
                <w:szCs w:val="21"/>
                <w:highlight w:val="none"/>
              </w:rPr>
            </w:pPr>
            <w:r>
              <w:rPr>
                <w:color w:val="auto"/>
                <w:szCs w:val="21"/>
                <w:highlight w:val="none"/>
              </w:rPr>
              <w:t>响应截止之日起90天。</w:t>
            </w:r>
          </w:p>
        </w:tc>
      </w:tr>
      <w:tr w14:paraId="171A1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256DB511">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15F8DAC">
            <w:pPr>
              <w:spacing w:line="300" w:lineRule="exact"/>
              <w:jc w:val="center"/>
              <w:rPr>
                <w:color w:val="auto"/>
                <w:szCs w:val="21"/>
                <w:highlight w:val="none"/>
              </w:rPr>
            </w:pPr>
            <w:r>
              <w:rPr>
                <w:color w:val="auto"/>
                <w:szCs w:val="21"/>
                <w:highlight w:val="none"/>
              </w:rPr>
              <w:t>谈判保证金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0609ABE">
            <w:pPr>
              <w:spacing w:line="300" w:lineRule="exact"/>
              <w:jc w:val="left"/>
              <w:rPr>
                <w:b/>
                <w:bCs/>
                <w:color w:val="auto"/>
                <w:szCs w:val="21"/>
                <w:highlight w:val="none"/>
              </w:rPr>
            </w:pPr>
            <w:r>
              <w:rPr>
                <w:rFonts w:hint="eastAsia"/>
                <w:color w:val="auto"/>
                <w:szCs w:val="21"/>
                <w:highlight w:val="none"/>
                <w:lang w:val="en-US" w:eastAsia="zh-CN"/>
              </w:rPr>
              <w:t>无</w:t>
            </w:r>
          </w:p>
        </w:tc>
      </w:tr>
      <w:tr w14:paraId="4F050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7BBA59DB">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noWrap w:val="0"/>
            <w:vAlign w:val="center"/>
          </w:tcPr>
          <w:p w14:paraId="194C2820">
            <w:pPr>
              <w:spacing w:line="300" w:lineRule="exact"/>
              <w:jc w:val="center"/>
              <w:rPr>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noWrap w:val="0"/>
            <w:vAlign w:val="center"/>
          </w:tcPr>
          <w:p w14:paraId="7087028D">
            <w:pPr>
              <w:spacing w:line="300" w:lineRule="exact"/>
              <w:jc w:val="left"/>
              <w:rPr>
                <w:color w:val="auto"/>
                <w:szCs w:val="21"/>
                <w:highlight w:val="none"/>
              </w:rPr>
            </w:pPr>
            <w:r>
              <w:rPr>
                <w:rFonts w:hint="eastAsia" w:hAnsi="宋体"/>
                <w:color w:val="auto"/>
                <w:szCs w:val="21"/>
                <w:highlight w:val="none"/>
              </w:rPr>
              <w:t>响应文件应按第六章响应文件格式分别编制并使用下载的广西政府采购云平台新版客户端制作并上传。</w:t>
            </w:r>
          </w:p>
        </w:tc>
      </w:tr>
      <w:tr w14:paraId="2DF938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F9F8463">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CAA2898">
            <w:pPr>
              <w:spacing w:line="300" w:lineRule="exact"/>
              <w:jc w:val="center"/>
              <w:rPr>
                <w:color w:val="auto"/>
                <w:szCs w:val="21"/>
                <w:highlight w:val="none"/>
              </w:rPr>
            </w:pPr>
            <w:r>
              <w:rPr>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D4598CB">
            <w:pPr>
              <w:spacing w:line="300" w:lineRule="exact"/>
              <w:jc w:val="left"/>
              <w:rPr>
                <w:color w:val="auto"/>
                <w:szCs w:val="21"/>
                <w:highlight w:val="none"/>
              </w:rPr>
            </w:pPr>
            <w:r>
              <w:rPr>
                <w:rFonts w:hint="eastAsia"/>
                <w:color w:val="auto"/>
                <w:kern w:val="0"/>
                <w:szCs w:val="21"/>
                <w:highlight w:val="none"/>
              </w:rPr>
              <w:t>见谈判公告要求</w:t>
            </w:r>
            <w:r>
              <w:rPr>
                <w:rFonts w:hint="eastAsia"/>
                <w:color w:val="auto"/>
                <w:szCs w:val="21"/>
                <w:highlight w:val="none"/>
              </w:rPr>
              <w:t>。</w:t>
            </w:r>
          </w:p>
        </w:tc>
      </w:tr>
      <w:tr w14:paraId="2C8A6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22C595A">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384E9E0">
            <w:pPr>
              <w:spacing w:line="300" w:lineRule="exact"/>
              <w:jc w:val="center"/>
              <w:rPr>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2C7BAE3">
            <w:pPr>
              <w:spacing w:line="276" w:lineRule="auto"/>
              <w:rPr>
                <w:rFonts w:ascii="宋体" w:hAnsi="宋体"/>
                <w:color w:val="auto"/>
                <w:szCs w:val="21"/>
                <w:highlight w:val="none"/>
              </w:rPr>
            </w:pPr>
            <w:r>
              <w:rPr>
                <w:rFonts w:hint="eastAsia" w:ascii="宋体" w:hAnsi="宋体"/>
                <w:color w:val="auto"/>
                <w:szCs w:val="21"/>
                <w:highlight w:val="none"/>
              </w:rPr>
              <w:t>本项目</w:t>
            </w:r>
            <w:r>
              <w:rPr>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备份响应文件</w:t>
            </w:r>
          </w:p>
          <w:p w14:paraId="64FC2582">
            <w:pPr>
              <w:spacing w:line="276" w:lineRule="auto"/>
              <w:rPr>
                <w:rFonts w:hint="eastAsia"/>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5F775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D86C799">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D48DC67">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66D1987">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否</w:t>
            </w:r>
          </w:p>
        </w:tc>
      </w:tr>
      <w:tr w14:paraId="4D3469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E662CE7">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95FBC68">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FEE1D1D">
            <w:pPr>
              <w:spacing w:line="276" w:lineRule="auto"/>
              <w:rPr>
                <w:color w:val="auto"/>
                <w:szCs w:val="21"/>
                <w:highlight w:val="none"/>
              </w:rPr>
            </w:pPr>
            <w:r>
              <w:rPr>
                <w:color w:val="auto"/>
                <w:sz w:val="24"/>
                <w:highlight w:val="none"/>
              </w:rPr>
              <w:sym w:font="Wingdings 2" w:char="F052"/>
            </w:r>
            <w:r>
              <w:rPr>
                <w:rFonts w:hint="eastAsia"/>
                <w:color w:val="auto"/>
                <w:szCs w:val="21"/>
                <w:highlight w:val="none"/>
              </w:rPr>
              <w:t>否</w:t>
            </w:r>
          </w:p>
        </w:tc>
      </w:tr>
      <w:tr w14:paraId="7F5CEB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8CF20B">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CD44E8">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信用查询</w:t>
            </w:r>
            <w:r>
              <w:rPr>
                <w:rFonts w:hint="eastAsia"/>
                <w:color w:val="auto"/>
                <w:highlight w:val="none"/>
                <w:lang w:val="en-US" w:eastAsia="zh-CN"/>
              </w:rPr>
              <w:t>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val="en-US" w:eastAsia="zh-CN"/>
              </w:rPr>
              <w:t>谈判小组</w:t>
            </w:r>
            <w:r>
              <w:rPr>
                <w:rFonts w:hint="eastAsia" w:ascii="宋体" w:hAnsi="宋体"/>
                <w:color w:val="auto"/>
                <w:szCs w:val="21"/>
                <w:highlight w:val="none"/>
                <w:lang w:eastAsia="zh-CN"/>
              </w:rPr>
              <w:t>在资格审查结束前，对</w:t>
            </w:r>
            <w:r>
              <w:rPr>
                <w:rFonts w:hint="eastAsia" w:ascii="宋体" w:hAnsi="宋体"/>
                <w:color w:val="auto"/>
                <w:szCs w:val="21"/>
                <w:highlight w:val="none"/>
                <w:lang w:val="en-US" w:eastAsia="zh-CN"/>
              </w:rPr>
              <w:t>供应商</w:t>
            </w:r>
            <w:r>
              <w:rPr>
                <w:rFonts w:hint="eastAsia" w:ascii="宋体" w:hAnsi="宋体"/>
                <w:color w:val="auto"/>
                <w:szCs w:val="21"/>
                <w:highlight w:val="none"/>
                <w:lang w:eastAsia="zh-CN"/>
              </w:rPr>
              <w:t>进行信用查询。</w:t>
            </w:r>
          </w:p>
          <w:p w14:paraId="3029BDC8">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）查询渠道：</w:t>
            </w:r>
            <w:r>
              <w:rPr>
                <w:rFonts w:hint="eastAsia" w:ascii="宋体" w:hAnsi="宋体"/>
                <w:color w:val="auto"/>
                <w:szCs w:val="21"/>
                <w:highlight w:val="none"/>
                <w:lang w:val="en-US" w:eastAsia="zh-CN"/>
              </w:rPr>
              <w:t>广西政府采购云平台</w:t>
            </w:r>
            <w:r>
              <w:rPr>
                <w:rFonts w:hint="eastAsia" w:ascii="宋体" w:hAnsi="宋体"/>
                <w:color w:val="auto"/>
                <w:szCs w:val="21"/>
                <w:highlight w:val="none"/>
                <w:lang w:eastAsia="zh-CN"/>
              </w:rPr>
              <w:t>“信用中国”网站(www.creditchina.gov.cn) 、中国政府采购网(www.ccgp.gov.cn)</w:t>
            </w:r>
            <w:r>
              <w:rPr>
                <w:rFonts w:hint="eastAsia" w:ascii="宋体" w:hAnsi="宋体"/>
                <w:color w:val="auto"/>
                <w:szCs w:val="21"/>
                <w:highlight w:val="none"/>
                <w:lang w:val="en-US" w:eastAsia="zh-CN"/>
              </w:rPr>
              <w:t>链接入口</w:t>
            </w:r>
            <w:r>
              <w:rPr>
                <w:rFonts w:hint="eastAsia" w:ascii="宋体" w:hAnsi="宋体"/>
                <w:color w:val="auto"/>
                <w:szCs w:val="21"/>
                <w:highlight w:val="none"/>
                <w:lang w:eastAsia="zh-CN"/>
              </w:rPr>
              <w:t>。</w:t>
            </w:r>
          </w:p>
          <w:p w14:paraId="2CE1D1B2">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）信用查询截止时点：</w:t>
            </w:r>
            <w:r>
              <w:rPr>
                <w:rFonts w:hint="eastAsia" w:ascii="宋体" w:hAnsi="宋体"/>
                <w:color w:val="auto"/>
                <w:szCs w:val="21"/>
                <w:highlight w:val="none"/>
                <w:lang w:val="en-US" w:eastAsia="zh-CN"/>
              </w:rPr>
              <w:t>资</w:t>
            </w:r>
            <w:r>
              <w:rPr>
                <w:rFonts w:hint="eastAsia" w:ascii="宋体" w:hAnsi="宋体"/>
                <w:color w:val="auto"/>
                <w:szCs w:val="21"/>
                <w:highlight w:val="none"/>
                <w:lang w:eastAsia="zh-CN"/>
              </w:rPr>
              <w:t>格审查结束前</w:t>
            </w:r>
          </w:p>
          <w:p w14:paraId="2B9DE05D">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）查询记录和证据留存方式：在查询网站中直接截图查询记录，截图作为在“广西政府采购云”平台作为附件上传保存。</w:t>
            </w:r>
          </w:p>
          <w:p w14:paraId="49F0EED9">
            <w:pPr>
              <w:snapToGrid w:val="0"/>
              <w:spacing w:line="380" w:lineRule="exac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5483D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A78AA0">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F5878B">
            <w:pPr>
              <w:spacing w:line="300" w:lineRule="exact"/>
              <w:jc w:val="center"/>
              <w:rPr>
                <w:rFonts w:hint="eastAsia"/>
                <w:color w:val="auto"/>
                <w:szCs w:val="21"/>
                <w:highlight w:val="none"/>
                <w:lang w:val="en-US" w:eastAsia="zh-CN"/>
              </w:rPr>
            </w:pPr>
            <w:r>
              <w:rPr>
                <w:rFonts w:hint="eastAsia"/>
                <w:color w:val="auto"/>
                <w:szCs w:val="21"/>
                <w:highlight w:val="none"/>
                <w:lang w:val="en-US" w:eastAsia="zh-CN"/>
              </w:rPr>
              <w:t>异常低价审查</w:t>
            </w:r>
          </w:p>
          <w:p w14:paraId="508D5C8D">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3FBDDD">
            <w:pPr>
              <w:spacing w:line="276" w:lineRule="auto"/>
              <w:jc w:val="left"/>
              <w:rPr>
                <w:rFonts w:hint="eastAsia"/>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评审中出现下列情形之一的，评审委员会应当启动异常低价响应审查程序：</w:t>
            </w:r>
          </w:p>
          <w:p w14:paraId="66E5B1FB">
            <w:pPr>
              <w:spacing w:line="276" w:lineRule="auto"/>
              <w:rPr>
                <w:rFonts w:hint="default"/>
                <w:color w:val="auto"/>
                <w:szCs w:val="21"/>
                <w:highlight w:val="none"/>
                <w:lang w:val="en-US" w:eastAsia="zh-CN"/>
              </w:rPr>
            </w:pPr>
            <w:r>
              <w:rPr>
                <w:rFonts w:hint="eastAsia"/>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583DFAB3">
            <w:pPr>
              <w:spacing w:line="276" w:lineRule="auto"/>
              <w:rPr>
                <w:rFonts w:hint="eastAsia"/>
                <w:color w:val="auto"/>
                <w:szCs w:val="21"/>
                <w:highlight w:val="none"/>
                <w:lang w:val="en-US" w:eastAsia="zh-CN"/>
              </w:rPr>
            </w:pPr>
            <w:r>
              <w:rPr>
                <w:rFonts w:hint="eastAsia"/>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7BE68E81">
            <w:pPr>
              <w:spacing w:line="276" w:lineRule="auto"/>
              <w:rPr>
                <w:rFonts w:hint="eastAsia"/>
                <w:color w:val="auto"/>
                <w:szCs w:val="21"/>
                <w:highlight w:val="none"/>
                <w:lang w:val="en-US" w:eastAsia="zh-CN"/>
              </w:rPr>
            </w:pPr>
            <w:r>
              <w:rPr>
                <w:rFonts w:hint="eastAsia"/>
                <w:color w:val="auto"/>
                <w:szCs w:val="21"/>
                <w:highlight w:val="none"/>
                <w:lang w:val="en-US" w:eastAsia="zh-CN"/>
              </w:rPr>
              <w:t>（3）投标（响应）报价低于采购项目最高限价45%的，即投标（响应）报价&lt;采购项目最高限价×45%；</w:t>
            </w:r>
          </w:p>
          <w:p w14:paraId="2189EF6F">
            <w:pPr>
              <w:spacing w:line="276" w:lineRule="auto"/>
              <w:rPr>
                <w:color w:val="auto"/>
                <w:kern w:val="2"/>
                <w:sz w:val="22"/>
                <w:szCs w:val="22"/>
                <w:highlight w:val="none"/>
                <w:lang w:val="en-US" w:eastAsia="zh-CN" w:bidi="ar-SA"/>
              </w:rPr>
            </w:pPr>
            <w:r>
              <w:rPr>
                <w:rFonts w:hint="eastAsia"/>
                <w:color w:val="auto"/>
                <w:szCs w:val="21"/>
                <w:highlight w:val="none"/>
                <w:lang w:val="en-US" w:eastAsia="zh-CN"/>
              </w:rPr>
              <w:t>（4）评审委员会基于专业判断，认为供应商报价过低，有可能影响产品质量或者不能诚信履约的其他情形。</w:t>
            </w:r>
          </w:p>
        </w:tc>
      </w:tr>
      <w:tr w14:paraId="67CB6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F12B710">
            <w:pPr>
              <w:spacing w:line="300" w:lineRule="exact"/>
              <w:jc w:val="center"/>
              <w:rPr>
                <w:b/>
                <w:color w:val="auto"/>
                <w:szCs w:val="21"/>
                <w:highlight w:val="none"/>
              </w:rPr>
            </w:pPr>
            <w:r>
              <w:rPr>
                <w:b/>
                <w:color w:val="auto"/>
                <w:szCs w:val="21"/>
                <w:highlight w:val="none"/>
              </w:rPr>
              <w:t>6.5.1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89CBF4E">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205C6DE">
            <w:pPr>
              <w:spacing w:line="300" w:lineRule="exact"/>
              <w:jc w:val="left"/>
              <w:rPr>
                <w:color w:val="auto"/>
                <w:szCs w:val="21"/>
                <w:highlight w:val="none"/>
              </w:rPr>
            </w:pPr>
            <w:r>
              <w:rPr>
                <w:color w:val="auto"/>
                <w:szCs w:val="21"/>
                <w:highlight w:val="none"/>
              </w:rPr>
              <w:t>采购代理机构在采购人依法确认成交供应商后2个工作日内在谈判公告发布的媒体上发布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10C20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0E2DD0C">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F450B32">
            <w:pPr>
              <w:spacing w:line="300" w:lineRule="exact"/>
              <w:jc w:val="center"/>
              <w:rPr>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B389DA7">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成交通知书。</w:t>
            </w:r>
          </w:p>
          <w:p w14:paraId="40F43E0C">
            <w:pPr>
              <w:spacing w:line="300" w:lineRule="exact"/>
              <w:jc w:val="left"/>
              <w:rPr>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0C1C9C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D413DB">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16CB40C">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532D7D8">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过程、中标</w:t>
            </w:r>
            <w:r>
              <w:rPr>
                <w:rFonts w:hint="eastAsia"/>
                <w:color w:val="auto"/>
                <w:szCs w:val="21"/>
                <w:highlight w:val="none"/>
              </w:rPr>
              <w:t>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608BF407">
            <w:pPr>
              <w:spacing w:line="300" w:lineRule="exact"/>
              <w:jc w:val="left"/>
              <w:rPr>
                <w:rFonts w:hint="eastAsia"/>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，供应商可通过现场或邮寄方式递交书面质疑材料。供应商应于质疑有效期内将质疑函原件递交或邮寄至谈判公告中采购代理机构信息中的联系人。</w:t>
            </w:r>
          </w:p>
        </w:tc>
      </w:tr>
      <w:tr w14:paraId="2AF0F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49532B0">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10F5A4A">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0DC4FA1">
            <w:pPr>
              <w:rPr>
                <w:color w:val="auto"/>
                <w:szCs w:val="21"/>
                <w:highlight w:val="none"/>
              </w:rPr>
            </w:pPr>
            <w:r>
              <w:rPr>
                <w:color w:val="auto"/>
                <w:szCs w:val="21"/>
                <w:highlight w:val="none"/>
              </w:rPr>
              <w:t>（1）</w:t>
            </w:r>
            <w:r>
              <w:rPr>
                <w:color w:val="auto"/>
                <w:szCs w:val="20"/>
                <w:highlight w:val="none"/>
              </w:rPr>
              <w:t>代理服务费</w:t>
            </w:r>
          </w:p>
          <w:p w14:paraId="034208A2">
            <w:pPr>
              <w:spacing w:line="300" w:lineRule="exact"/>
              <w:jc w:val="left"/>
              <w:rPr>
                <w:color w:val="auto"/>
                <w:szCs w:val="21"/>
                <w:highlight w:val="none"/>
              </w:rPr>
            </w:pPr>
            <w:r>
              <w:rPr>
                <w:color w:val="auto"/>
                <w:szCs w:val="21"/>
                <w:highlight w:val="none"/>
              </w:rPr>
              <w:sym w:font="Wingdings 2" w:char="F052"/>
            </w:r>
            <w:r>
              <w:rPr>
                <w:color w:val="auto"/>
                <w:szCs w:val="21"/>
                <w:highlight w:val="none"/>
              </w:rPr>
              <w:t>采购代理机构向成交供应商收取代理服务费。本项目代理服务费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(计价格﹝2002﹞1980号)、《国家发展改革委关于降低部分建设项目收费标准规范收费行为等有关问题的通知》(发改价格﹝2011﹞534号)</w:t>
            </w:r>
            <w:r>
              <w:rPr>
                <w:rFonts w:hint="eastAsia"/>
                <w:color w:val="auto"/>
                <w:szCs w:val="21"/>
                <w:highlight w:val="none"/>
              </w:rPr>
              <w:t>的</w:t>
            </w:r>
            <w:r>
              <w:rPr>
                <w:color w:val="auto"/>
                <w:szCs w:val="21"/>
                <w:highlight w:val="none"/>
              </w:rPr>
              <w:t>规定</w:t>
            </w:r>
            <w:r>
              <w:rPr>
                <w:rFonts w:hint="eastAsia"/>
                <w:color w:val="auto"/>
                <w:szCs w:val="21"/>
                <w:highlight w:val="none"/>
                <w:lang w:val="en-US" w:eastAsia="zh-CN"/>
              </w:rPr>
              <w:t>按项目采购预算金额</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w:t>
            </w:r>
            <w:r>
              <w:rPr>
                <w:rFonts w:hint="eastAsia"/>
                <w:color w:val="auto"/>
                <w:szCs w:val="21"/>
                <w:highlight w:val="none"/>
                <w:lang w:val="en-US" w:eastAsia="zh-CN"/>
              </w:rPr>
              <w:t>下浮20%</w:t>
            </w:r>
            <w:r>
              <w:rPr>
                <w:color w:val="auto"/>
                <w:szCs w:val="21"/>
                <w:highlight w:val="none"/>
              </w:rPr>
              <w:t>计算</w:t>
            </w:r>
            <w:r>
              <w:rPr>
                <w:rFonts w:hint="eastAsia"/>
                <w:color w:val="auto"/>
                <w:szCs w:val="21"/>
                <w:highlight w:val="none"/>
              </w:rPr>
              <w:t>。</w:t>
            </w:r>
          </w:p>
          <w:p w14:paraId="1D0BD2F6">
            <w:pPr>
              <w:spacing w:line="300" w:lineRule="exact"/>
              <w:jc w:val="left"/>
              <w:rPr>
                <w:color w:val="auto"/>
                <w:szCs w:val="21"/>
                <w:highlight w:val="none"/>
              </w:rPr>
            </w:pPr>
            <w:r>
              <w:rPr>
                <w:color w:val="auto"/>
                <w:szCs w:val="21"/>
                <w:highlight w:val="none"/>
              </w:rPr>
              <w:t>（2）成交供应商在成交通知书发出前以银行转账或现金形式支付代理服务费；采购代理机构也可以从成交供应商的谈判保证金中扣除上述金额的代理服务费，余款按供应商所汇入谈判保证金的账户原路退回，如无法原路返回，则按《代理服务费承诺书》列明的账户退回。</w:t>
            </w:r>
          </w:p>
          <w:p w14:paraId="5F87C531">
            <w:pPr>
              <w:spacing w:line="300" w:lineRule="exact"/>
              <w:jc w:val="left"/>
              <w:rPr>
                <w:rFonts w:hint="eastAsia"/>
                <w:color w:val="auto"/>
                <w:kern w:val="0"/>
                <w:szCs w:val="21"/>
                <w:highlight w:val="none"/>
              </w:rPr>
            </w:pPr>
            <w:r>
              <w:rPr>
                <w:rFonts w:hint="eastAsia"/>
                <w:color w:val="auto"/>
                <w:kern w:val="0"/>
                <w:szCs w:val="21"/>
                <w:highlight w:val="none"/>
              </w:rPr>
              <w:t>开户银行：广西北部湾银行南宁市金湖支行</w:t>
            </w:r>
          </w:p>
          <w:p w14:paraId="5CD234AD">
            <w:pPr>
              <w:spacing w:line="300" w:lineRule="exact"/>
              <w:jc w:val="left"/>
              <w:rPr>
                <w:rFonts w:hint="eastAsia"/>
                <w:color w:val="auto"/>
                <w:kern w:val="0"/>
                <w:szCs w:val="21"/>
                <w:highlight w:val="none"/>
              </w:rPr>
            </w:pPr>
            <w:r>
              <w:rPr>
                <w:rFonts w:hint="eastAsia"/>
                <w:color w:val="auto"/>
                <w:kern w:val="0"/>
                <w:szCs w:val="21"/>
                <w:highlight w:val="none"/>
              </w:rPr>
              <w:t>（银行地址：南宁市金湖路57号文德大厦1楼）</w:t>
            </w:r>
          </w:p>
          <w:p w14:paraId="2B9E717A">
            <w:pPr>
              <w:spacing w:line="300" w:lineRule="exact"/>
              <w:jc w:val="left"/>
              <w:rPr>
                <w:rFonts w:hint="eastAsia"/>
                <w:color w:val="auto"/>
                <w:kern w:val="0"/>
                <w:szCs w:val="21"/>
                <w:highlight w:val="none"/>
              </w:rPr>
            </w:pPr>
            <w:r>
              <w:rPr>
                <w:rFonts w:hint="eastAsia"/>
                <w:color w:val="auto"/>
                <w:kern w:val="0"/>
                <w:szCs w:val="21"/>
                <w:highlight w:val="none"/>
              </w:rPr>
              <w:t>开户名称：广西机电设备招标有限公司</w:t>
            </w:r>
          </w:p>
          <w:p w14:paraId="2B1AB9FD">
            <w:pPr>
              <w:spacing w:line="300" w:lineRule="exact"/>
              <w:jc w:val="left"/>
              <w:rPr>
                <w:rFonts w:hint="eastAsia"/>
                <w:color w:val="auto"/>
                <w:kern w:val="0"/>
                <w:szCs w:val="21"/>
                <w:highlight w:val="none"/>
              </w:rPr>
            </w:pPr>
            <w:r>
              <w:rPr>
                <w:rFonts w:hint="eastAsia"/>
                <w:color w:val="auto"/>
                <w:kern w:val="0"/>
                <w:szCs w:val="21"/>
                <w:highlight w:val="none"/>
              </w:rPr>
              <w:t>银行账号：1705012090027723 (联行号 313611017053)</w:t>
            </w:r>
          </w:p>
          <w:p w14:paraId="547A569B">
            <w:pPr>
              <w:spacing w:line="300" w:lineRule="exact"/>
              <w:jc w:val="left"/>
              <w:rPr>
                <w:rFonts w:hint="eastAsia"/>
                <w:color w:val="auto"/>
                <w:kern w:val="0"/>
                <w:szCs w:val="21"/>
                <w:highlight w:val="none"/>
              </w:rPr>
            </w:pPr>
            <w:r>
              <w:rPr>
                <w:rFonts w:hint="eastAsia"/>
                <w:color w:val="auto"/>
                <w:kern w:val="0"/>
                <w:szCs w:val="21"/>
                <w:highlight w:val="none"/>
              </w:rPr>
              <w:t>财务联系人：吴茜（电话：0771-2821398）</w:t>
            </w:r>
          </w:p>
        </w:tc>
      </w:tr>
      <w:tr w14:paraId="462CF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D8D1798">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7A10635">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12EA10F">
            <w:pPr>
              <w:spacing w:line="276" w:lineRule="auto"/>
              <w:rPr>
                <w:color w:val="auto"/>
                <w:szCs w:val="21"/>
                <w:highlight w:val="none"/>
                <w:u w:val="single"/>
              </w:rPr>
            </w:pPr>
            <w:r>
              <w:rPr>
                <w:color w:val="auto"/>
                <w:sz w:val="22"/>
                <w:szCs w:val="22"/>
                <w:highlight w:val="none"/>
              </w:rPr>
              <w:sym w:font="Wingdings 2" w:char="F052"/>
            </w:r>
            <w:r>
              <w:rPr>
                <w:rFonts w:hint="eastAsia"/>
                <w:color w:val="auto"/>
                <w:szCs w:val="21"/>
                <w:highlight w:val="none"/>
              </w:rPr>
              <w:t>无</w:t>
            </w:r>
          </w:p>
        </w:tc>
      </w:tr>
      <w:tr w14:paraId="7E0E1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06FE71A">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D00CD90">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8E98B0B">
            <w:pPr>
              <w:spacing w:line="276" w:lineRule="auto"/>
              <w:rPr>
                <w:color w:val="auto"/>
                <w:szCs w:val="21"/>
                <w:highlight w:val="none"/>
                <w:u w:val="single"/>
              </w:rPr>
            </w:pPr>
            <w:r>
              <w:rPr>
                <w:color w:val="auto"/>
                <w:sz w:val="22"/>
                <w:szCs w:val="22"/>
                <w:highlight w:val="none"/>
              </w:rPr>
              <w:sym w:font="Wingdings 2" w:char="F052"/>
            </w:r>
            <w:r>
              <w:rPr>
                <w:rFonts w:hint="eastAsia"/>
                <w:color w:val="auto"/>
                <w:szCs w:val="21"/>
                <w:highlight w:val="none"/>
              </w:rPr>
              <w:t>无</w:t>
            </w:r>
          </w:p>
        </w:tc>
      </w:tr>
      <w:tr w14:paraId="1E3FD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16A514E">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9FECF85">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65242D5">
            <w:pPr>
              <w:spacing w:line="276" w:lineRule="auto"/>
              <w:rPr>
                <w:color w:val="auto"/>
                <w:szCs w:val="21"/>
                <w:highlight w:val="none"/>
              </w:rPr>
            </w:pPr>
            <w:r>
              <w:rPr>
                <w:rFonts w:hint="eastAsia"/>
                <w:color w:val="auto"/>
                <w:szCs w:val="21"/>
                <w:highlight w:val="none"/>
              </w:rPr>
              <w:t>构成本采购文件的各个组成文件应互为解释，互为说明：</w:t>
            </w:r>
          </w:p>
          <w:p w14:paraId="24F9122D">
            <w:pPr>
              <w:spacing w:line="276" w:lineRule="auto"/>
              <w:rPr>
                <w:color w:val="auto"/>
                <w:sz w:val="24"/>
                <w:highlight w:val="none"/>
              </w:rPr>
            </w:pPr>
            <w:r>
              <w:rPr>
                <w:rFonts w:hint="eastAsia"/>
                <w:color w:val="auto"/>
                <w:szCs w:val="21"/>
                <w:highlight w:val="none"/>
              </w:rPr>
              <w:t>除采购文件中有特别规定外，仅适用于招标投标阶段的规定，按更正公告（澄清公告）、谈判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3EC47F3A">
      <w:pPr>
        <w:rPr>
          <w:color w:val="auto"/>
          <w:highlight w:val="none"/>
        </w:rPr>
      </w:pPr>
    </w:p>
    <w:p w14:paraId="22F72CF5">
      <w:pPr>
        <w:spacing w:before="120" w:line="320" w:lineRule="atLeast"/>
        <w:outlineLvl w:val="1"/>
        <w:rPr>
          <w:color w:val="auto"/>
          <w:highlight w:val="none"/>
        </w:rPr>
        <w:sectPr>
          <w:headerReference r:id="rId14" w:type="default"/>
          <w:pgSz w:w="11906" w:h="16838"/>
          <w:pgMar w:top="1418" w:right="1418" w:bottom="1246" w:left="1418" w:header="851" w:footer="992" w:gutter="0"/>
          <w:cols w:space="720" w:num="1"/>
          <w:docGrid w:linePitch="312" w:charSpace="0"/>
        </w:sectPr>
      </w:pPr>
    </w:p>
    <w:p w14:paraId="30114B9A">
      <w:pPr>
        <w:widowControl/>
        <w:spacing w:line="720" w:lineRule="exact"/>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4D0D548B">
      <w:pPr>
        <w:suppressAutoHyphens/>
        <w:rPr>
          <w:rFonts w:hint="eastAsia" w:ascii="Calibri" w:hAnsi="Calibri"/>
          <w:color w:val="auto"/>
          <w:highlight w:val="none"/>
        </w:rPr>
      </w:pPr>
    </w:p>
    <w:p w14:paraId="1A456DD0">
      <w:pPr>
        <w:spacing w:line="580" w:lineRule="exact"/>
        <w:jc w:val="center"/>
        <w:rPr>
          <w:rFonts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1E36A05F">
      <w:pPr>
        <w:spacing w:line="580" w:lineRule="exact"/>
        <w:ind w:firstLine="640" w:firstLineChars="200"/>
        <w:rPr>
          <w:rFonts w:hint="eastAsia" w:ascii="宋体" w:hAnsi="宋体" w:eastAsia="华文仿宋"/>
          <w:color w:val="auto"/>
          <w:sz w:val="32"/>
          <w:szCs w:val="32"/>
          <w:highlight w:val="none"/>
        </w:rPr>
      </w:pPr>
    </w:p>
    <w:p w14:paraId="7873B9F3">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346D660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2F79270F">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A2CFA36">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rFonts w:ascii="仿宋_GB2312" w:hAnsi="仿宋_GB2312" w:eastAsia="仿宋_GB2312" w:cs="仿宋_GB2312"/>
          <w:color w:val="auto"/>
          <w:sz w:val="32"/>
          <w:szCs w:val="32"/>
          <w:highlight w:val="none"/>
        </w:rPr>
        <w:fldChar w:fldCharType="begin"/>
      </w:r>
      <w:r>
        <w:rPr>
          <w:rFonts w:ascii="仿宋_GB2312" w:hAnsi="仿宋_GB2312" w:eastAsia="仿宋_GB2312" w:cs="仿宋_GB2312"/>
          <w:color w:val="auto"/>
          <w:sz w:val="32"/>
          <w:szCs w:val="32"/>
          <w:highlight w:val="none"/>
        </w:rPr>
        <w:instrText xml:space="preserve"> HYPERLINK "https://www.crcrfsp.com/" </w:instrText>
      </w:r>
      <w:r>
        <w:rPr>
          <w:rFonts w:ascii="仿宋_GB2312" w:hAnsi="仿宋_GB2312" w:eastAsia="仿宋_GB2312" w:cs="仿宋_GB2312"/>
          <w:color w:val="auto"/>
          <w:sz w:val="32"/>
          <w:szCs w:val="32"/>
          <w:highlight w:val="none"/>
        </w:rPr>
        <w:fldChar w:fldCharType="separate"/>
      </w:r>
      <w:r>
        <w:rPr>
          <w:rStyle w:val="57"/>
          <w:rFonts w:hint="eastAsia" w:ascii="仿宋_GB2312" w:hAnsi="仿宋_GB2312" w:eastAsia="仿宋_GB2312" w:cs="仿宋_GB2312"/>
          <w:color w:val="auto"/>
          <w:sz w:val="32"/>
          <w:szCs w:val="32"/>
          <w:highlight w:val="none"/>
        </w:rPr>
        <w:t>https://www.crcrfsp.com/</w:t>
      </w:r>
      <w:r>
        <w:rPr>
          <w:rFonts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3484B800">
      <w:pPr>
        <w:suppressAutoHyphens/>
        <w:rPr>
          <w:rFonts w:hint="eastAsia" w:ascii="仿宋_GB2312" w:hAnsi="仿宋_GB2312" w:eastAsia="仿宋_GB2312" w:cs="仿宋_GB2312"/>
          <w:color w:val="auto"/>
          <w:szCs w:val="32"/>
          <w:highlight w:val="none"/>
        </w:rPr>
      </w:pPr>
    </w:p>
    <w:p w14:paraId="03FFF24C">
      <w:pPr>
        <w:rPr>
          <w:rFonts w:hint="eastAsia" w:ascii="仿宋_GB2312" w:hAnsi="仿宋_GB2312" w:eastAsia="华文仿宋" w:cs="仿宋_GB2312"/>
          <w:color w:val="auto"/>
          <w:sz w:val="32"/>
          <w:szCs w:val="32"/>
          <w:highlight w:val="none"/>
        </w:rPr>
      </w:pPr>
    </w:p>
    <w:p w14:paraId="7C61A0CF">
      <w:pPr>
        <w:suppressAutoHyphens/>
        <w:rPr>
          <w:rFonts w:hint="eastAsia" w:ascii="仿宋_GB2312" w:hAnsi="仿宋_GB2312" w:cs="仿宋_GB2312"/>
          <w:color w:val="auto"/>
          <w:szCs w:val="32"/>
          <w:highlight w:val="none"/>
        </w:rPr>
      </w:pPr>
    </w:p>
    <w:p w14:paraId="42830295">
      <w:pPr>
        <w:rPr>
          <w:rFonts w:hint="eastAsia" w:ascii="仿宋_GB2312" w:hAnsi="仿宋_GB2312" w:eastAsia="华文仿宋" w:cs="仿宋_GB2312"/>
          <w:color w:val="auto"/>
          <w:sz w:val="32"/>
          <w:szCs w:val="32"/>
          <w:highlight w:val="none"/>
        </w:rPr>
      </w:pPr>
    </w:p>
    <w:p w14:paraId="3460E72E">
      <w:pPr>
        <w:rPr>
          <w:rFonts w:hint="eastAsia" w:ascii="仿宋_GB2312" w:hAnsi="仿宋_GB2312" w:eastAsia="华文仿宋" w:cs="仿宋_GB2312"/>
          <w:color w:val="auto"/>
          <w:sz w:val="32"/>
          <w:szCs w:val="32"/>
          <w:highlight w:val="none"/>
        </w:rPr>
      </w:pPr>
    </w:p>
    <w:p w14:paraId="6AD3F25A">
      <w:pPr>
        <w:suppressAutoHyphens/>
        <w:rPr>
          <w:rFonts w:hint="eastAsia" w:ascii="仿宋_GB2312" w:hAnsi="仿宋_GB2312" w:cs="仿宋_GB2312"/>
          <w:color w:val="auto"/>
          <w:szCs w:val="32"/>
          <w:highlight w:val="none"/>
        </w:rPr>
      </w:pPr>
    </w:p>
    <w:p w14:paraId="3B7DFACB">
      <w:pPr>
        <w:spacing w:line="540" w:lineRule="exact"/>
        <w:rPr>
          <w:rFonts w:hint="eastAsia" w:ascii="黑体" w:hAnsi="黑体" w:eastAsia="黑体" w:cs="黑体"/>
          <w:color w:val="auto"/>
          <w:sz w:val="32"/>
          <w:szCs w:val="32"/>
          <w:highlight w:val="none"/>
        </w:rPr>
      </w:pPr>
    </w:p>
    <w:p w14:paraId="3DE24D6C">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2A7A138E">
      <w:pPr>
        <w:suppressAutoHyphens/>
        <w:rPr>
          <w:rFonts w:hint="eastAsia" w:ascii="Calibri" w:hAnsi="Calibri"/>
          <w:color w:val="auto"/>
          <w:highlight w:val="none"/>
        </w:rPr>
      </w:pPr>
    </w:p>
    <w:p w14:paraId="7969F544">
      <w:pPr>
        <w:spacing w:line="600" w:lineRule="exact"/>
        <w:jc w:val="center"/>
        <w:rPr>
          <w:rFonts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6B47DA84">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3"/>
                    <a:stretch>
                      <a:fillRect/>
                    </a:stretch>
                  </pic:blipFill>
                  <pic:spPr>
                    <a:xfrm>
                      <a:off x="0" y="0"/>
                      <a:ext cx="4924425" cy="7000875"/>
                    </a:xfrm>
                    <a:prstGeom prst="rect">
                      <a:avLst/>
                    </a:prstGeom>
                    <a:noFill/>
                    <a:ln>
                      <a:noFill/>
                    </a:ln>
                  </pic:spPr>
                </pic:pic>
              </a:graphicData>
            </a:graphic>
          </wp:inline>
        </w:drawing>
      </w:r>
    </w:p>
    <w:p w14:paraId="7D71E716">
      <w:pPr>
        <w:widowControl/>
        <w:ind w:firstLine="640" w:firstLineChars="200"/>
        <w:rPr>
          <w:rFonts w:hint="eastAsia" w:ascii="宋体" w:hAnsi="宋体" w:eastAsia="华文仿宋"/>
          <w:color w:val="auto"/>
          <w:sz w:val="32"/>
          <w:szCs w:val="32"/>
          <w:highlight w:val="none"/>
        </w:rPr>
      </w:pPr>
    </w:p>
    <w:p w14:paraId="556898C0">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6F9A34B2">
      <w:pPr>
        <w:suppressAutoHyphens/>
        <w:rPr>
          <w:rFonts w:hint="eastAsia" w:ascii="Calibri" w:hAnsi="Calibri"/>
          <w:color w:val="auto"/>
          <w:highlight w:val="none"/>
        </w:rPr>
      </w:pPr>
    </w:p>
    <w:p w14:paraId="4F4B9A48">
      <w:pPr>
        <w:suppressAutoHyphens/>
        <w:jc w:val="center"/>
        <w:rPr>
          <w:rFonts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1"/>
        <w:tblW w:w="8310" w:type="dxa"/>
        <w:tblInd w:w="96" w:type="dxa"/>
        <w:tblLayout w:type="fixed"/>
        <w:tblCellMar>
          <w:top w:w="0" w:type="dxa"/>
          <w:left w:w="108" w:type="dxa"/>
          <w:bottom w:w="0" w:type="dxa"/>
          <w:right w:w="108" w:type="dxa"/>
        </w:tblCellMar>
      </w:tblPr>
      <w:tblGrid>
        <w:gridCol w:w="2673"/>
        <w:gridCol w:w="3513"/>
        <w:gridCol w:w="2124"/>
      </w:tblGrid>
      <w:tr w14:paraId="22FAE2C6">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0B3D5EA7">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47C7EEC">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4120AF3">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0873C680">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CF34240">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56692461">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F84ED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490E8B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C9BAA3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0771-7820436 0771-7820439</w:t>
            </w:r>
          </w:p>
        </w:tc>
      </w:tr>
      <w:tr w14:paraId="487FA7C9">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FCBFA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D612E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6FA2D4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0771-7917212</w:t>
            </w:r>
          </w:p>
        </w:tc>
      </w:tr>
      <w:tr w14:paraId="556FBC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56C26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2CFAB1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06A249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0771-7917054</w:t>
            </w:r>
          </w:p>
        </w:tc>
      </w:tr>
      <w:tr w14:paraId="6BC1192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FFD1A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560BA3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9EDFB5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0771-7831103</w:t>
            </w:r>
          </w:p>
        </w:tc>
      </w:tr>
      <w:tr w14:paraId="5076317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019F1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68BB98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C4F63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0771-7928650 0771-7920613</w:t>
            </w:r>
          </w:p>
        </w:tc>
      </w:tr>
      <w:tr w14:paraId="68C69C7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E6202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58453F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EE5D60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0771-7925660</w:t>
            </w:r>
          </w:p>
        </w:tc>
      </w:tr>
      <w:tr w14:paraId="31FFE05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39F28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F98899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387E7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0771-7968699</w:t>
            </w:r>
          </w:p>
        </w:tc>
      </w:tr>
      <w:tr w14:paraId="5BB3428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211B5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48310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71CC3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0771-7916636</w:t>
            </w:r>
          </w:p>
        </w:tc>
      </w:tr>
      <w:tr w14:paraId="0AF00E1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B3A08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C47545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7946D4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0771-7988895</w:t>
            </w:r>
          </w:p>
        </w:tc>
      </w:tr>
      <w:tr w14:paraId="3F77DFD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10A32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53B07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C99D1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0771-7960855</w:t>
            </w:r>
          </w:p>
        </w:tc>
      </w:tr>
      <w:tr w14:paraId="50326EE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C6E6D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2D06C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CDDE1F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0771-7821126</w:t>
            </w:r>
          </w:p>
        </w:tc>
      </w:tr>
      <w:tr w14:paraId="5AFB158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A4D9C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9FD8A4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C48C81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0771-7831866</w:t>
            </w:r>
          </w:p>
        </w:tc>
      </w:tr>
      <w:tr w14:paraId="5E46EF60">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307C4B8">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扶绥县</w:t>
            </w:r>
          </w:p>
        </w:tc>
      </w:tr>
      <w:tr w14:paraId="098DD367">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88600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49403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EBCE9A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0771-7535612</w:t>
            </w:r>
          </w:p>
        </w:tc>
      </w:tr>
      <w:tr w14:paraId="32450851">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9F89C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9145BF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3E61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0771-7917330</w:t>
            </w:r>
          </w:p>
        </w:tc>
      </w:tr>
      <w:tr w14:paraId="0D96FA8A">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ABF36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946EE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93DF33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0771-7516511 0771-7531157</w:t>
            </w:r>
          </w:p>
        </w:tc>
      </w:tr>
      <w:tr w14:paraId="596537F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60381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FD34BC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FBF6B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0771-7525822</w:t>
            </w:r>
          </w:p>
        </w:tc>
      </w:tr>
      <w:tr w14:paraId="3D58843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9F694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AD0713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06BBBB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0771-5025887</w:t>
            </w:r>
          </w:p>
        </w:tc>
      </w:tr>
      <w:tr w14:paraId="6924625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8DE36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FD2798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C6F9D5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0771-7533041</w:t>
            </w:r>
          </w:p>
        </w:tc>
      </w:tr>
      <w:tr w14:paraId="5BD59ED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53ACB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BFA8D0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4D3F87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0771-7536178 0771-7536177</w:t>
            </w:r>
          </w:p>
        </w:tc>
      </w:tr>
      <w:tr w14:paraId="17D3604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7EA85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264AD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4C872F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0771-7661101</w:t>
            </w:r>
          </w:p>
        </w:tc>
      </w:tr>
      <w:tr w14:paraId="78693C8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80725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A7D830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AA30DD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0771-7500768</w:t>
            </w:r>
          </w:p>
        </w:tc>
      </w:tr>
      <w:tr w14:paraId="3BAA731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8C553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E03388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AE7FB1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0771-7525678</w:t>
            </w:r>
          </w:p>
        </w:tc>
      </w:tr>
      <w:tr w14:paraId="01851176">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DB2203">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0B3BE4A">
            <w:pPr>
              <w:widowControl/>
              <w:jc w:val="left"/>
              <w:textAlignment w:val="center"/>
              <w:rPr>
                <w:rFonts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487D684">
            <w:pPr>
              <w:widowControl/>
              <w:jc w:val="center"/>
              <w:textAlignment w:val="center"/>
              <w:rPr>
                <w:rFonts w:ascii="宋体" w:hAnsi="宋体" w:cs="宋体"/>
                <w:color w:val="auto"/>
                <w:szCs w:val="21"/>
                <w:highlight w:val="none"/>
              </w:rPr>
            </w:pPr>
          </w:p>
        </w:tc>
      </w:tr>
      <w:tr w14:paraId="00C86CCE">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7A70E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50661F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7BF411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0771-8620729</w:t>
            </w:r>
          </w:p>
        </w:tc>
      </w:tr>
      <w:tr w14:paraId="03D9E5A6">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2B632E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BA4DAA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990D03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0771-7917093</w:t>
            </w:r>
          </w:p>
        </w:tc>
      </w:tr>
      <w:tr w14:paraId="4512BDA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B18F6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DB99CA0">
            <w:pPr>
              <w:widowControl/>
              <w:spacing w:after="90" w:line="23" w:lineRule="atLeast"/>
              <w:jc w:val="left"/>
              <w:rPr>
                <w:rFonts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073E60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0771-8629006</w:t>
            </w:r>
          </w:p>
        </w:tc>
      </w:tr>
      <w:tr w14:paraId="1A70AC1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281C9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06E0F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103CB2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0771-8628166</w:t>
            </w:r>
          </w:p>
        </w:tc>
      </w:tr>
      <w:tr w14:paraId="135AB056">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A9416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F0FDAB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227E1C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0771-8630787</w:t>
            </w:r>
          </w:p>
        </w:tc>
      </w:tr>
      <w:tr w14:paraId="1C27A06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481EFE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47CBA5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403519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0771-8622237</w:t>
            </w:r>
          </w:p>
        </w:tc>
      </w:tr>
      <w:tr w14:paraId="492CE300">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102C285">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大新县</w:t>
            </w:r>
          </w:p>
        </w:tc>
      </w:tr>
      <w:tr w14:paraId="2418A533">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255856">
            <w:pPr>
              <w:widowControl/>
              <w:jc w:val="left"/>
              <w:textAlignment w:val="center"/>
              <w:rPr>
                <w:rFonts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A8635FC">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9DA1FF0">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00C6F99C">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00B7A0A">
            <w:pPr>
              <w:widowControl/>
              <w:jc w:val="left"/>
              <w:textAlignment w:val="center"/>
              <w:rPr>
                <w:rFonts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9B4217A">
            <w:pPr>
              <w:widowControl/>
              <w:jc w:val="left"/>
              <w:textAlignment w:val="center"/>
              <w:rPr>
                <w:rFonts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4171B6C">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436533DE">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33543B">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8ACF2A4">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2C8723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16860BF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F036E5">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56200E1">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3499365">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31FD7F10">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BCE0C2">
            <w:pPr>
              <w:widowControl/>
              <w:jc w:val="left"/>
              <w:textAlignment w:val="center"/>
              <w:rPr>
                <w:rFonts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FFB0244">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AABD013">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39337A3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5EFD0E">
            <w:pPr>
              <w:widowControl/>
              <w:jc w:val="left"/>
              <w:textAlignment w:val="center"/>
              <w:rPr>
                <w:rFonts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424862">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AE31A3F">
            <w:pPr>
              <w:widowControl/>
              <w:jc w:val="center"/>
              <w:textAlignment w:val="center"/>
              <w:rPr>
                <w:rFonts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59B3952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66B4BF">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DC71974">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30A19C9">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42E7982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4061F7">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89B2563">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F6E0C7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7D54F3B5">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F86937">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E5EA11">
            <w:pPr>
              <w:widowControl/>
              <w:jc w:val="left"/>
              <w:textAlignment w:val="center"/>
              <w:rPr>
                <w:rFonts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F48C364">
            <w:pPr>
              <w:widowControl/>
              <w:jc w:val="center"/>
              <w:textAlignment w:val="center"/>
              <w:rPr>
                <w:rFonts w:ascii="宋体" w:hAnsi="宋体" w:cs="宋体"/>
                <w:color w:val="auto"/>
                <w:szCs w:val="21"/>
                <w:highlight w:val="none"/>
              </w:rPr>
            </w:pPr>
          </w:p>
        </w:tc>
      </w:tr>
      <w:tr w14:paraId="418F8FA6">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2E161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50F28B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BEF42A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0771-8868619</w:t>
            </w:r>
          </w:p>
        </w:tc>
      </w:tr>
      <w:tr w14:paraId="017DEB46">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EEFEB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5FE161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2B0D5D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0771-8812504</w:t>
            </w:r>
          </w:p>
        </w:tc>
      </w:tr>
      <w:tr w14:paraId="29F0D9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9E40A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DBB046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43EBB8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0771-8820525</w:t>
            </w:r>
          </w:p>
        </w:tc>
      </w:tr>
      <w:tr w14:paraId="63AAF944">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0E7C9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6DAB17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202AA9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0771-8813013</w:t>
            </w:r>
          </w:p>
        </w:tc>
      </w:tr>
      <w:tr w14:paraId="2AF8961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569CE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32D36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AAF145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0771-8871021</w:t>
            </w:r>
          </w:p>
        </w:tc>
      </w:tr>
      <w:tr w14:paraId="0CD41CE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7CA12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B43A8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FAA242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0771-8811533</w:t>
            </w:r>
          </w:p>
        </w:tc>
      </w:tr>
      <w:tr w14:paraId="73EB771E">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590801">
            <w:pPr>
              <w:widowControl/>
              <w:textAlignment w:val="center"/>
              <w:rPr>
                <w:rFonts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98BB585">
            <w:pPr>
              <w:widowControl/>
              <w:jc w:val="left"/>
              <w:textAlignment w:val="center"/>
              <w:rPr>
                <w:rFonts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B655932">
            <w:pPr>
              <w:widowControl/>
              <w:jc w:val="center"/>
              <w:textAlignment w:val="center"/>
              <w:rPr>
                <w:rFonts w:ascii="宋体" w:hAnsi="宋体" w:cs="宋体"/>
                <w:color w:val="auto"/>
                <w:szCs w:val="21"/>
                <w:highlight w:val="none"/>
              </w:rPr>
            </w:pPr>
          </w:p>
        </w:tc>
      </w:tr>
      <w:tr w14:paraId="10C01B4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2A286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7F87B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A5FF9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0771-3532211</w:t>
            </w:r>
          </w:p>
        </w:tc>
      </w:tr>
      <w:tr w14:paraId="155DED0B">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F5B1F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B290D0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066929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0771-7917046</w:t>
            </w:r>
          </w:p>
        </w:tc>
      </w:tr>
      <w:tr w14:paraId="0DC71C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00DFA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3926C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EA473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0771-3521361</w:t>
            </w:r>
          </w:p>
        </w:tc>
      </w:tr>
      <w:tr w14:paraId="00F8CC63">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1E57F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01376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30270C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0771-3522157</w:t>
            </w:r>
          </w:p>
        </w:tc>
      </w:tr>
      <w:tr w14:paraId="0FCDF52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3CF4B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E6F185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520594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0771-3528688</w:t>
            </w:r>
          </w:p>
        </w:tc>
      </w:tr>
      <w:tr w14:paraId="335CF385">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6C4EE9D">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凭祥市</w:t>
            </w:r>
          </w:p>
        </w:tc>
      </w:tr>
      <w:tr w14:paraId="26F61135">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4DDF2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82F92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AA799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0771-8529259</w:t>
            </w:r>
          </w:p>
        </w:tc>
      </w:tr>
      <w:tr w14:paraId="3E97F93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F3A0B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4625E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2CFCBD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0771-7917258</w:t>
            </w:r>
          </w:p>
        </w:tc>
      </w:tr>
      <w:tr w14:paraId="0CEB9B44">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08281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F93D07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EB7536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0771-8525068 0771-8536852</w:t>
            </w:r>
          </w:p>
        </w:tc>
      </w:tr>
      <w:tr w14:paraId="2AF137B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101C1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AF3EC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99FF2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0771-8551161</w:t>
            </w:r>
          </w:p>
        </w:tc>
      </w:tr>
      <w:tr w14:paraId="765AACB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BACA1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5BC4A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39AB75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0771-8561665</w:t>
            </w:r>
          </w:p>
        </w:tc>
      </w:tr>
      <w:tr w14:paraId="463A7AD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22854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C766A5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08E69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0771-8520356</w:t>
            </w:r>
          </w:p>
        </w:tc>
      </w:tr>
      <w:tr w14:paraId="3674E9F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3C615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3D336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68C970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0771-8535667</w:t>
            </w:r>
          </w:p>
        </w:tc>
      </w:tr>
      <w:tr w14:paraId="5B9EBCB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14615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134B4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34BACB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0771-8520550</w:t>
            </w:r>
          </w:p>
        </w:tc>
      </w:tr>
      <w:tr w14:paraId="1B6C2FC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E4277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3E76D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554F55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0771-8556667</w:t>
            </w:r>
          </w:p>
        </w:tc>
      </w:tr>
    </w:tbl>
    <w:p w14:paraId="0D0500B5">
      <w:pPr>
        <w:spacing w:before="120" w:line="320" w:lineRule="atLeast"/>
        <w:outlineLvl w:val="1"/>
        <w:rPr>
          <w:color w:val="auto"/>
          <w:highlight w:val="none"/>
        </w:rPr>
        <w:sectPr>
          <w:pgSz w:w="11906" w:h="16838"/>
          <w:pgMar w:top="1418" w:right="1418" w:bottom="1246" w:left="1418" w:header="851" w:footer="992" w:gutter="0"/>
          <w:cols w:space="720" w:num="1"/>
          <w:docGrid w:linePitch="312" w:charSpace="0"/>
        </w:sectPr>
      </w:pPr>
    </w:p>
    <w:p w14:paraId="37AF5214">
      <w:pPr>
        <w:spacing w:before="120" w:line="320" w:lineRule="atLeast"/>
        <w:outlineLvl w:val="1"/>
        <w:rPr>
          <w:b/>
          <w:bCs/>
          <w:color w:val="auto"/>
          <w:kern w:val="0"/>
          <w:szCs w:val="21"/>
          <w:highlight w:val="none"/>
        </w:rPr>
      </w:pPr>
      <w:bookmarkStart w:id="42" w:name="_Hlk88949215"/>
      <w:r>
        <w:rPr>
          <w:b/>
          <w:bCs/>
          <w:color w:val="auto"/>
          <w:kern w:val="0"/>
          <w:szCs w:val="21"/>
          <w:highlight w:val="none"/>
        </w:rPr>
        <w:t>1．总则</w:t>
      </w:r>
    </w:p>
    <w:p w14:paraId="3710A592">
      <w:pPr>
        <w:spacing w:before="120" w:line="320" w:lineRule="atLeast"/>
        <w:ind w:firstLine="422" w:firstLineChars="200"/>
        <w:outlineLvl w:val="2"/>
        <w:rPr>
          <w:b/>
          <w:bCs/>
          <w:color w:val="auto"/>
          <w:kern w:val="0"/>
          <w:szCs w:val="21"/>
          <w:highlight w:val="none"/>
        </w:rPr>
      </w:pPr>
      <w:bookmarkStart w:id="43" w:name="_Toc254970668"/>
      <w:bookmarkStart w:id="44" w:name="_Toc254970527"/>
      <w:r>
        <w:rPr>
          <w:b/>
          <w:bCs/>
          <w:color w:val="auto"/>
          <w:kern w:val="0"/>
          <w:szCs w:val="21"/>
          <w:highlight w:val="none"/>
        </w:rPr>
        <w:t>1.1适用范围</w:t>
      </w:r>
      <w:bookmarkEnd w:id="43"/>
      <w:bookmarkEnd w:id="44"/>
    </w:p>
    <w:p w14:paraId="7A09B254">
      <w:pP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46CB4EBD">
      <w:pPr>
        <w:spacing w:before="120" w:line="320" w:lineRule="atLeast"/>
        <w:ind w:firstLine="422" w:firstLineChars="200"/>
        <w:outlineLvl w:val="2"/>
        <w:rPr>
          <w:b/>
          <w:bCs/>
          <w:color w:val="auto"/>
          <w:kern w:val="0"/>
          <w:szCs w:val="21"/>
          <w:highlight w:val="none"/>
        </w:rPr>
      </w:pPr>
      <w:bookmarkStart w:id="45" w:name="_Toc254970669"/>
      <w:bookmarkStart w:id="46" w:name="_Toc254970528"/>
      <w:r>
        <w:rPr>
          <w:b/>
          <w:bCs/>
          <w:color w:val="auto"/>
          <w:kern w:val="0"/>
          <w:szCs w:val="21"/>
          <w:highlight w:val="none"/>
        </w:rPr>
        <w:t>1.2定义</w:t>
      </w:r>
      <w:bookmarkEnd w:id="45"/>
      <w:bookmarkEnd w:id="46"/>
    </w:p>
    <w:p w14:paraId="6B956D7D">
      <w:pP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3AE8A845">
      <w:pP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指响应招标、参加响应竞争的法人、其他组织或者自然人</w:t>
      </w:r>
      <w:r>
        <w:rPr>
          <w:color w:val="auto"/>
          <w:szCs w:val="21"/>
          <w:highlight w:val="none"/>
        </w:rPr>
        <w:t>。</w:t>
      </w:r>
    </w:p>
    <w:p w14:paraId="4909E5BD">
      <w:pPr>
        <w:spacing w:before="120" w:line="360" w:lineRule="auto"/>
        <w:ind w:firstLine="420" w:firstLineChars="200"/>
        <w:rPr>
          <w:rFonts w:hint="eastAsia"/>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color w:val="auto"/>
          <w:highlight w:val="none"/>
        </w:rPr>
        <w:t xml:space="preserve">    </w:t>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2058020F">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采购文件如有特殊规定，以采购文件规定为准。 </w:t>
      </w:r>
    </w:p>
    <w:p w14:paraId="6D9977EB">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6本项目的技术商务要求重要性分为“▲”（如有）、“#”（如有）和一般无标识指标。▲代表实质性要求指标，</w:t>
      </w:r>
      <w:r>
        <w:rPr>
          <w:rFonts w:hint="eastAsia"/>
          <w:b/>
          <w:bCs/>
          <w:color w:val="auto"/>
          <w:szCs w:val="21"/>
          <w:highlight w:val="none"/>
        </w:rPr>
        <w:t>不满足该指标项将导致响应被否决</w:t>
      </w:r>
      <w:r>
        <w:rPr>
          <w:rFonts w:hint="eastAsia"/>
          <w:color w:val="auto"/>
          <w:szCs w:val="21"/>
          <w:highlight w:val="none"/>
        </w:rPr>
        <w:t>，#代表重要指标，无标识则表示一般指标项。</w:t>
      </w:r>
    </w:p>
    <w:p w14:paraId="5728241E">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2F40D02A">
      <w:pPr>
        <w:spacing w:before="120" w:line="320" w:lineRule="atLeast"/>
        <w:ind w:firstLine="420" w:firstLineChars="200"/>
        <w:rPr>
          <w:rFonts w:hint="eastAsia"/>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6CACF3A5">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3AA7FFD3">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02F6C9EB">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629F32B4">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.4</w:t>
      </w:r>
      <w:r>
        <w:rPr>
          <w:rFonts w:hint="eastAsia"/>
          <w:b/>
          <w:bCs/>
          <w:color w:val="auto"/>
          <w:kern w:val="0"/>
          <w:szCs w:val="21"/>
          <w:highlight w:val="none"/>
        </w:rPr>
        <w:t>促进中小企业发展政策</w:t>
      </w:r>
    </w:p>
    <w:p w14:paraId="62C72AB7">
      <w:pPr>
        <w:spacing w:before="120" w:line="320" w:lineRule="atLeast"/>
        <w:ind w:left="2" w:leftChars="1" w:firstLine="420" w:firstLineChars="200"/>
        <w:rPr>
          <w:color w:val="auto"/>
          <w:szCs w:val="21"/>
          <w:highlight w:val="none"/>
        </w:rPr>
      </w:pPr>
      <w:r>
        <w:rPr>
          <w:color w:val="auto"/>
          <w:szCs w:val="21"/>
          <w:highlight w:val="none"/>
        </w:rPr>
        <w:t>1.4.1</w:t>
      </w:r>
      <w:r>
        <w:rPr>
          <w:rFonts w:hint="eastAsia"/>
          <w:color w:val="auto"/>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266EB865">
      <w:pPr>
        <w:spacing w:before="120" w:line="320" w:lineRule="atLeast"/>
        <w:ind w:left="2" w:leftChars="1" w:firstLine="420" w:firstLineChars="200"/>
        <w:rPr>
          <w:color w:val="auto"/>
          <w:szCs w:val="21"/>
          <w:highlight w:val="none"/>
        </w:rPr>
      </w:pPr>
      <w:bookmarkStart w:id="47" w:name="_Hlk92205820"/>
      <w:r>
        <w:rPr>
          <w:rFonts w:hint="eastAsia"/>
          <w:color w:val="auto"/>
          <w:szCs w:val="21"/>
          <w:highlight w:val="none"/>
        </w:rPr>
        <w:t>根 据《政府采购促进中小企业发展管理办法》（财库</w:t>
      </w:r>
      <w:r>
        <w:rPr>
          <w:rFonts w:hint="eastAsia"/>
          <w:color w:val="auto"/>
          <w:szCs w:val="21"/>
          <w:highlight w:val="none"/>
          <w:lang w:eastAsia="zh-CN"/>
        </w:rPr>
        <w:t>〔2020〕46号</w:t>
      </w:r>
      <w:r>
        <w:rPr>
          <w:rFonts w:hint="eastAsia"/>
          <w:color w:val="auto"/>
          <w:szCs w:val="21"/>
          <w:highlight w:val="none"/>
        </w:rPr>
        <w:t>）第九条以及《广西壮族自治区财政厅 广西壮族自治区工业和信息化厅转发财政部 工业和信息化部政府采购促进中小企业发展管理办法的通知》（桂财采</w:t>
      </w:r>
      <w:r>
        <w:rPr>
          <w:rFonts w:hint="eastAsia"/>
          <w:color w:val="auto"/>
          <w:szCs w:val="21"/>
          <w:highlight w:val="none"/>
          <w:lang w:eastAsia="zh-CN"/>
        </w:rPr>
        <w:t>〔2021〕70号</w:t>
      </w:r>
      <w:r>
        <w:rPr>
          <w:rFonts w:hint="eastAsia"/>
          <w:color w:val="auto"/>
          <w:szCs w:val="21"/>
          <w:highlight w:val="none"/>
        </w:rPr>
        <w:t>）规定，价格扣除比例在第四章评审方法及标准中规定，对小型企业和微型企业同等对待，不作区分。</w:t>
      </w:r>
    </w:p>
    <w:p w14:paraId="283654F2">
      <w:pPr>
        <w:spacing w:before="120" w:line="320" w:lineRule="atLeast"/>
        <w:ind w:left="2" w:leftChars="1" w:firstLine="420" w:firstLineChars="200"/>
        <w:rPr>
          <w:color w:val="auto"/>
          <w:szCs w:val="21"/>
          <w:highlight w:val="none"/>
        </w:rPr>
      </w:pPr>
      <w:r>
        <w:rPr>
          <w:color w:val="auto"/>
          <w:szCs w:val="21"/>
          <w:highlight w:val="none"/>
        </w:rPr>
        <w:t>1.4.2</w:t>
      </w:r>
      <w:r>
        <w:rPr>
          <w:rFonts w:hint="eastAsia"/>
          <w:color w:val="auto"/>
          <w:szCs w:val="21"/>
          <w:highlight w:val="none"/>
        </w:rPr>
        <w:t>中小企业定义</w:t>
      </w:r>
    </w:p>
    <w:p w14:paraId="0E358D0F">
      <w:pPr>
        <w:spacing w:before="120" w:line="320" w:lineRule="atLeast"/>
        <w:ind w:firstLine="420" w:firstLineChars="200"/>
        <w:rPr>
          <w:color w:val="auto"/>
          <w:szCs w:val="21"/>
          <w:highlight w:val="none"/>
        </w:rPr>
      </w:pPr>
      <w:r>
        <w:rPr>
          <w:color w:val="auto"/>
          <w:szCs w:val="21"/>
          <w:highlight w:val="none"/>
        </w:rPr>
        <w:t>1.4.2.1</w:t>
      </w:r>
      <w:r>
        <w:rPr>
          <w:rFonts w:hint="eastAsia"/>
          <w:color w:val="auto"/>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6D75C7F6">
      <w:pPr>
        <w:spacing w:before="120" w:line="320" w:lineRule="atLeast"/>
        <w:ind w:left="2" w:leftChars="1" w:firstLine="420" w:firstLineChars="200"/>
        <w:rPr>
          <w:color w:val="auto"/>
          <w:szCs w:val="21"/>
          <w:highlight w:val="none"/>
        </w:rPr>
      </w:pPr>
      <w:r>
        <w:rPr>
          <w:color w:val="auto"/>
          <w:szCs w:val="21"/>
          <w:highlight w:val="none"/>
        </w:rPr>
        <w:t>1.4.2.2</w:t>
      </w:r>
      <w:r>
        <w:rPr>
          <w:rFonts w:hint="eastAsia"/>
          <w:color w:val="auto"/>
          <w:szCs w:val="21"/>
          <w:highlight w:val="none"/>
        </w:rPr>
        <w:t>供应商提供的货物、工程或者服务符合下列情形的，享受本款规定的促进中小企业发展政策：</w:t>
      </w:r>
    </w:p>
    <w:p w14:paraId="47E7738E">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033A2B0B">
      <w:pPr>
        <w:spacing w:before="120" w:line="320" w:lineRule="atLeast"/>
        <w:ind w:left="2" w:leftChars="1" w:firstLine="420" w:firstLineChars="200"/>
        <w:rPr>
          <w:color w:val="auto"/>
          <w:szCs w:val="21"/>
          <w:highlight w:val="none"/>
        </w:rPr>
      </w:pPr>
      <w:r>
        <w:rPr>
          <w:rFonts w:hint="eastAsia"/>
          <w:color w:val="auto"/>
          <w:szCs w:val="21"/>
          <w:highlight w:val="none"/>
        </w:rPr>
        <w:t>在工程采购项目中，工程由中小企业承建，即工程施工单位为中小企业；</w:t>
      </w:r>
    </w:p>
    <w:p w14:paraId="2BC92392">
      <w:pPr>
        <w:spacing w:before="120" w:line="320" w:lineRule="atLeast"/>
        <w:ind w:left="2" w:leftChars="1" w:firstLine="420" w:firstLineChars="20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34CBDFA2">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2B6A87D5">
      <w:pPr>
        <w:spacing w:before="120" w:line="320" w:lineRule="atLeast"/>
        <w:ind w:firstLine="420" w:firstLineChars="200"/>
        <w:rPr>
          <w:color w:val="auto"/>
          <w:szCs w:val="21"/>
          <w:highlight w:val="none"/>
        </w:rPr>
      </w:pPr>
      <w:r>
        <w:rPr>
          <w:color w:val="auto"/>
          <w:szCs w:val="21"/>
          <w:highlight w:val="none"/>
        </w:rPr>
        <w:t>1.4.2</w:t>
      </w:r>
      <w:r>
        <w:rPr>
          <w:rFonts w:hint="eastAsia"/>
          <w:color w:val="auto"/>
          <w:szCs w:val="21"/>
          <w:highlight w:val="none"/>
        </w:rPr>
        <w:t>.</w:t>
      </w:r>
      <w:r>
        <w:rPr>
          <w:color w:val="auto"/>
          <w:szCs w:val="21"/>
          <w:highlight w:val="none"/>
        </w:rPr>
        <w:t>3</w:t>
      </w:r>
      <w:r>
        <w:rPr>
          <w:rFonts w:hint="eastAsia"/>
          <w:color w:val="auto"/>
          <w:szCs w:val="21"/>
          <w:highlight w:val="none"/>
        </w:rPr>
        <w:t>本项目标的所属行业在第二章采购需求中规定。供应商根据中小企业划分标准（《关于印发中小企业划型标准规定的通知》（工信部联企业〔2011〕300号）判断是否为中小企业。（见附件）</w:t>
      </w:r>
    </w:p>
    <w:p w14:paraId="501FAA9D">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0846E936">
      <w:pPr>
        <w:spacing w:before="120" w:line="320" w:lineRule="atLeast"/>
        <w:ind w:firstLine="420" w:firstLineChars="200"/>
        <w:rPr>
          <w:color w:val="auto"/>
          <w:szCs w:val="21"/>
          <w:highlight w:val="none"/>
        </w:rPr>
      </w:pPr>
      <w:r>
        <w:rPr>
          <w:color w:val="auto"/>
          <w:szCs w:val="21"/>
          <w:highlight w:val="none"/>
        </w:rPr>
        <w:t>1.4</w:t>
      </w: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视同中小企业情形</w:t>
      </w:r>
    </w:p>
    <w:p w14:paraId="13FEDEE6">
      <w:pPr>
        <w:spacing w:before="120" w:line="320" w:lineRule="atLeast"/>
        <w:ind w:firstLine="420" w:firstLineChars="200"/>
        <w:rPr>
          <w:color w:val="auto"/>
          <w:szCs w:val="21"/>
          <w:highlight w:val="none"/>
        </w:rPr>
      </w:pPr>
      <w:r>
        <w:rPr>
          <w:rFonts w:hint="eastAsia"/>
          <w:color w:val="auto"/>
          <w:szCs w:val="21"/>
          <w:highlight w:val="none"/>
        </w:rPr>
        <w:t>（1）符合中小企业划分标准的个体工商户，视同中小企业。</w:t>
      </w:r>
    </w:p>
    <w:p w14:paraId="2F0E7873">
      <w:pPr>
        <w:spacing w:before="120" w:line="320" w:lineRule="atLeast"/>
        <w:ind w:firstLine="420" w:firstLineChars="20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19BCB952">
      <w:pPr>
        <w:spacing w:before="120" w:line="320" w:lineRule="atLeast"/>
        <w:ind w:firstLine="420" w:firstLineChars="20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71D7BB35">
      <w:pPr>
        <w:spacing w:before="120" w:line="320" w:lineRule="atLeast"/>
        <w:ind w:left="2" w:leftChars="1" w:firstLine="420" w:firstLineChars="200"/>
        <w:rPr>
          <w:rFonts w:hint="eastAsia"/>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bookmarkEnd w:id="47"/>
    </w:p>
    <w:p w14:paraId="3063B1C6">
      <w:pP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7108E580">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18E5535D">
      <w:pPr>
        <w:spacing w:before="120" w:line="320" w:lineRule="atLeast"/>
        <w:ind w:firstLine="420" w:firstLineChars="200"/>
        <w:rPr>
          <w:color w:val="auto"/>
          <w:szCs w:val="21"/>
          <w:highlight w:val="none"/>
        </w:rPr>
      </w:pPr>
      <w:r>
        <w:rPr>
          <w:color w:val="auto"/>
          <w:szCs w:val="21"/>
          <w:highlight w:val="none"/>
        </w:rPr>
        <w:t>1.5.2按照谈判公告的规定获得采购文件。</w:t>
      </w:r>
    </w:p>
    <w:p w14:paraId="0DFE65A3">
      <w:pP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14896FA0">
      <w:pPr>
        <w:spacing w:before="120" w:line="320" w:lineRule="atLeast"/>
        <w:ind w:firstLine="420" w:firstLineChars="200"/>
        <w:rPr>
          <w:color w:val="auto"/>
          <w:szCs w:val="21"/>
          <w:highlight w:val="none"/>
        </w:rPr>
      </w:pPr>
      <w:r>
        <w:rPr>
          <w:rFonts w:hint="eastAsia"/>
          <w:color w:val="auto"/>
          <w:szCs w:val="21"/>
          <w:highlight w:val="none"/>
        </w:rPr>
        <w:t xml:space="preserve">如接受联合体响应，联合体响应要求如下： </w:t>
      </w:r>
    </w:p>
    <w:p w14:paraId="695298EF">
      <w:pPr>
        <w:spacing w:before="120" w:line="320" w:lineRule="atLeast"/>
        <w:ind w:firstLine="420" w:firstLineChars="200"/>
        <w:rPr>
          <w:color w:val="auto"/>
          <w:szCs w:val="21"/>
          <w:highlight w:val="none"/>
        </w:rPr>
      </w:pPr>
      <w:r>
        <w:rPr>
          <w:rFonts w:hint="eastAsia"/>
          <w:color w:val="auto"/>
          <w:szCs w:val="21"/>
          <w:highlight w:val="none"/>
        </w:rPr>
        <w:t>（1）供应商可以组成一个响应联合体，以一个供应商的身份共同参加响应。联合体响应的，须提供《联合体协议书》（格式后附）</w:t>
      </w:r>
    </w:p>
    <w:p w14:paraId="6D6EFD61">
      <w:pP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2F0CA643">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64731CFB">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63A2D779">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151D67F5">
      <w:pP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385096A5">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（7）供应商为联合体的，可以由联合体中的一方或者多方共同交纳谈判保证金，其交纳的保证金对联合体各方均具有约束力。</w:t>
      </w:r>
    </w:p>
    <w:p w14:paraId="53C5BE01">
      <w:pP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5EA96627">
      <w:pPr>
        <w:spacing w:before="120" w:line="320" w:lineRule="atLeast"/>
        <w:ind w:firstLine="422" w:firstLineChars="200"/>
        <w:outlineLvl w:val="2"/>
        <w:rPr>
          <w:b/>
          <w:bCs/>
          <w:color w:val="auto"/>
          <w:kern w:val="0"/>
          <w:szCs w:val="21"/>
          <w:highlight w:val="none"/>
        </w:rPr>
      </w:pPr>
      <w:bookmarkStart w:id="48" w:name="_Toc254970672"/>
      <w:bookmarkStart w:id="49" w:name="_Toc254970531"/>
      <w:r>
        <w:rPr>
          <w:b/>
          <w:bCs/>
          <w:color w:val="auto"/>
          <w:kern w:val="0"/>
          <w:szCs w:val="21"/>
          <w:highlight w:val="none"/>
        </w:rPr>
        <w:t>1.6现场踏勘及响应费用</w:t>
      </w:r>
      <w:bookmarkEnd w:id="48"/>
      <w:bookmarkEnd w:id="49"/>
    </w:p>
    <w:p w14:paraId="1AA243A2">
      <w:pP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73F8629A">
      <w:pP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3681F8F4">
      <w:pP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5893011E">
      <w:pP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7BA45ACB">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0819CF7C">
      <w:pPr>
        <w:spacing w:before="120" w:line="276" w:lineRule="auto"/>
        <w:ind w:firstLine="422" w:firstLineChars="200"/>
        <w:outlineLvl w:val="2"/>
        <w:rPr>
          <w:b/>
          <w:bCs/>
          <w:color w:val="auto"/>
          <w:kern w:val="0"/>
          <w:szCs w:val="21"/>
          <w:highlight w:val="none"/>
        </w:rPr>
      </w:pPr>
      <w:bookmarkStart w:id="50" w:name="_Toc254970673"/>
      <w:bookmarkStart w:id="51" w:name="_Toc254970532"/>
      <w:r>
        <w:rPr>
          <w:b/>
          <w:bCs/>
          <w:color w:val="auto"/>
          <w:kern w:val="0"/>
          <w:szCs w:val="21"/>
          <w:highlight w:val="none"/>
        </w:rPr>
        <w:t>1.8特别说明</w:t>
      </w:r>
      <w:bookmarkEnd w:id="50"/>
      <w:bookmarkEnd w:id="51"/>
    </w:p>
    <w:p w14:paraId="3965C36B">
      <w:pPr>
        <w:spacing w:line="276" w:lineRule="auto"/>
        <w:ind w:firstLine="420" w:firstLineChars="20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0315E73C">
      <w:pP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718CAF5D">
      <w:pP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 xml:space="preserve">报监管部门查处； </w:t>
      </w:r>
    </w:p>
    <w:p w14:paraId="52FE1D1C">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lang w:val="en-US" w:eastAsia="zh-CN"/>
        </w:rPr>
        <w:t xml:space="preserve">9 </w:t>
      </w:r>
      <w:r>
        <w:rPr>
          <w:rFonts w:hint="eastAsia"/>
          <w:b/>
          <w:bCs/>
          <w:color w:val="auto"/>
          <w:kern w:val="0"/>
          <w:szCs w:val="21"/>
          <w:highlight w:val="none"/>
        </w:rPr>
        <w:t>对本国产品的支持政策</w:t>
      </w:r>
    </w:p>
    <w:p w14:paraId="1735F010">
      <w:pPr>
        <w:spacing w:before="120" w:line="360" w:lineRule="auto"/>
        <w:ind w:left="819" w:leftChars="190" w:hanging="420" w:hangingChars="200"/>
        <w:rPr>
          <w:rFonts w:hint="default"/>
          <w:color w:val="auto"/>
          <w:szCs w:val="21"/>
          <w:highlight w:val="none"/>
          <w:lang w:val="en-US" w:eastAsia="zh-CN"/>
        </w:rPr>
      </w:pPr>
      <w:r>
        <w:rPr>
          <w:rFonts w:hint="eastAsia"/>
          <w:color w:val="auto"/>
          <w:szCs w:val="21"/>
          <w:highlight w:val="none"/>
          <w:lang w:val="en-US" w:eastAsia="zh-CN"/>
        </w:rPr>
        <w:t>1.9.1</w:t>
      </w:r>
      <w:r>
        <w:rPr>
          <w:rFonts w:hint="default"/>
          <w:color w:val="auto"/>
          <w:szCs w:val="21"/>
          <w:highlight w:val="none"/>
          <w:lang w:val="en-US" w:eastAsia="zh-CN"/>
        </w:rPr>
        <w:t>本国产品标准</w:t>
      </w:r>
    </w:p>
    <w:p w14:paraId="62AA31E9">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3C8D8837">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1412411B">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3272DA2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7D1505C8">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2FE38AC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35274560">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423F8CFB">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4E1D4160">
      <w:pPr>
        <w:spacing w:before="120" w:line="360" w:lineRule="auto"/>
        <w:ind w:left="819" w:leftChars="190" w:hanging="420" w:hangingChars="20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1E8DEA66">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lang w:val="en-US" w:eastAsia="zh-CN"/>
        </w:rPr>
        <w:t>本项目是否适用对本国产品的支持政策详见供应商须知前附表。</w:t>
      </w:r>
    </w:p>
    <w:p w14:paraId="6F1D138A">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1.9.3 价格评审优惠</w:t>
      </w:r>
    </w:p>
    <w:p w14:paraId="4B3D05C6">
      <w:pPr>
        <w:spacing w:before="120" w:line="320" w:lineRule="atLeast"/>
        <w:ind w:firstLine="420" w:firstLineChars="20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eastAsia="宋体"/>
          <w:color w:val="auto"/>
          <w:szCs w:val="21"/>
          <w:highlight w:val="none"/>
          <w:lang w:eastAsia="zh-CN"/>
        </w:rPr>
        <w:t>。</w:t>
      </w:r>
    </w:p>
    <w:p w14:paraId="5851C88A">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1.9.4政策执行要求</w:t>
      </w:r>
    </w:p>
    <w:p w14:paraId="0BCF661E">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w:t>
      </w:r>
      <w:r>
        <w:rPr>
          <w:rFonts w:hint="eastAsia"/>
          <w:color w:val="auto"/>
          <w:szCs w:val="21"/>
          <w:highlight w:val="none"/>
          <w:lang w:val="en-US" w:eastAsia="zh-CN"/>
        </w:rPr>
        <w:t>.</w:t>
      </w:r>
      <w:r>
        <w:rPr>
          <w:rFonts w:hint="eastAsia" w:ascii="Times New Roman" w:eastAsia="宋体"/>
          <w:color w:val="auto"/>
          <w:szCs w:val="21"/>
          <w:highlight w:val="none"/>
          <w:lang w:val="en-US" w:eastAsia="zh-CN"/>
        </w:rPr>
        <w:t>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color w:val="auto"/>
          <w:szCs w:val="21"/>
          <w:highlight w:val="none"/>
          <w:lang w:eastAsia="zh-CN"/>
        </w:rPr>
      </w:pPr>
      <w:r>
        <w:rPr>
          <w:rFonts w:hint="eastAsia" w:eastAsia="宋体"/>
          <w:color w:val="auto"/>
          <w:szCs w:val="21"/>
          <w:highlight w:val="none"/>
          <w:lang w:eastAsia="zh-CN"/>
        </w:rPr>
        <w:t>《中国境内生产的组件成本核算基本规则》</w:t>
      </w:r>
    </w:p>
    <w:p w14:paraId="26FF60BE">
      <w:pPr>
        <w:spacing w:before="120" w:line="240" w:lineRule="auto"/>
        <w:ind w:firstLine="420" w:firstLineChars="20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6779C0C2">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19"/>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69C1BF47">
      <w:pPr>
        <w:pStyle w:val="19"/>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澄清补正应当按照“6.3.3澄清、说明或补正”的规定提交。</w:t>
      </w:r>
    </w:p>
    <w:p w14:paraId="1C22056C">
      <w:pPr>
        <w:pStyle w:val="19"/>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36EC83CE">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详见响应文件格式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1.9.5 争议处理</w:t>
      </w:r>
    </w:p>
    <w:p w14:paraId="2129EDC2">
      <w:pPr>
        <w:spacing w:before="120" w:line="320" w:lineRule="atLeast"/>
        <w:ind w:firstLine="420" w:firstLineChars="200"/>
        <w:rPr>
          <w:color w:val="auto"/>
          <w:szCs w:val="21"/>
          <w:highlight w:val="none"/>
        </w:rPr>
      </w:pPr>
      <w:r>
        <w:rPr>
          <w:rFonts w:hint="eastAsia" w:ascii="Times New Roman" w:eastAsia="宋体"/>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AA23E66">
      <w:pPr>
        <w:spacing w:before="120" w:line="320" w:lineRule="atLeast"/>
        <w:ind w:left="2" w:leftChars="1" w:firstLine="422" w:firstLineChars="200"/>
        <w:outlineLvl w:val="1"/>
        <w:rPr>
          <w:b/>
          <w:bCs/>
          <w:color w:val="auto"/>
          <w:kern w:val="0"/>
          <w:szCs w:val="21"/>
          <w:highlight w:val="none"/>
        </w:rPr>
      </w:pPr>
      <w:bookmarkStart w:id="52" w:name="_Toc254970675"/>
      <w:bookmarkStart w:id="53" w:name="_Toc254970534"/>
      <w:r>
        <w:rPr>
          <w:b/>
          <w:bCs/>
          <w:color w:val="auto"/>
          <w:kern w:val="0"/>
          <w:szCs w:val="21"/>
          <w:highlight w:val="none"/>
        </w:rPr>
        <w:t>2．采购文件</w:t>
      </w:r>
      <w:bookmarkEnd w:id="52"/>
      <w:bookmarkEnd w:id="53"/>
    </w:p>
    <w:p w14:paraId="3C09580E">
      <w:pP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08208BE5">
      <w:pPr>
        <w:spacing w:before="120" w:line="320" w:lineRule="atLeast"/>
        <w:ind w:firstLine="420" w:firstLineChars="200"/>
        <w:rPr>
          <w:color w:val="auto"/>
          <w:szCs w:val="21"/>
          <w:highlight w:val="none"/>
        </w:rPr>
      </w:pPr>
      <w:r>
        <w:rPr>
          <w:color w:val="auto"/>
          <w:szCs w:val="21"/>
          <w:highlight w:val="none"/>
        </w:rPr>
        <w:t>第一章 谈判公告</w:t>
      </w:r>
    </w:p>
    <w:p w14:paraId="39CF503B">
      <w:pPr>
        <w:spacing w:before="120" w:line="320" w:lineRule="atLeast"/>
        <w:ind w:firstLine="420" w:firstLineChars="200"/>
        <w:rPr>
          <w:color w:val="auto"/>
          <w:szCs w:val="21"/>
          <w:highlight w:val="none"/>
        </w:rPr>
      </w:pPr>
      <w:r>
        <w:rPr>
          <w:color w:val="auto"/>
          <w:szCs w:val="21"/>
          <w:highlight w:val="none"/>
        </w:rPr>
        <w:t>第二章 采购需求</w:t>
      </w:r>
    </w:p>
    <w:p w14:paraId="179FC3F9">
      <w:pPr>
        <w:spacing w:before="120" w:line="320" w:lineRule="atLeast"/>
        <w:ind w:firstLine="420" w:firstLineChars="200"/>
        <w:rPr>
          <w:color w:val="auto"/>
          <w:szCs w:val="21"/>
          <w:highlight w:val="none"/>
        </w:rPr>
      </w:pPr>
      <w:r>
        <w:rPr>
          <w:color w:val="auto"/>
          <w:szCs w:val="21"/>
          <w:highlight w:val="none"/>
        </w:rPr>
        <w:t>第三章 供应商须知</w:t>
      </w:r>
    </w:p>
    <w:p w14:paraId="4EF5B490">
      <w:pPr>
        <w:spacing w:before="120" w:line="320" w:lineRule="atLeast"/>
        <w:ind w:firstLine="420" w:firstLineChars="200"/>
        <w:rPr>
          <w:color w:val="auto"/>
          <w:szCs w:val="21"/>
          <w:highlight w:val="none"/>
        </w:rPr>
      </w:pPr>
      <w:r>
        <w:rPr>
          <w:color w:val="auto"/>
          <w:szCs w:val="21"/>
          <w:highlight w:val="none"/>
        </w:rPr>
        <w:t>第四章 评审方法及标准</w:t>
      </w:r>
    </w:p>
    <w:p w14:paraId="58CC37F1">
      <w:pPr>
        <w:spacing w:before="120" w:line="320" w:lineRule="atLeast"/>
        <w:ind w:firstLine="420" w:firstLineChars="200"/>
        <w:rPr>
          <w:color w:val="auto"/>
          <w:szCs w:val="21"/>
          <w:highlight w:val="none"/>
        </w:rPr>
      </w:pPr>
      <w:r>
        <w:rPr>
          <w:color w:val="auto"/>
          <w:szCs w:val="21"/>
          <w:highlight w:val="none"/>
        </w:rPr>
        <w:t>第五章 合同主要条款格式</w:t>
      </w:r>
    </w:p>
    <w:p w14:paraId="2021F447">
      <w:pPr>
        <w:spacing w:before="120" w:line="320" w:lineRule="atLeast"/>
        <w:ind w:firstLine="420" w:firstLineChars="200"/>
        <w:rPr>
          <w:color w:val="auto"/>
          <w:szCs w:val="21"/>
          <w:highlight w:val="none"/>
        </w:rPr>
      </w:pPr>
      <w:r>
        <w:rPr>
          <w:color w:val="auto"/>
          <w:szCs w:val="21"/>
          <w:highlight w:val="none"/>
        </w:rPr>
        <w:t>第六章 响应文件格式</w:t>
      </w:r>
    </w:p>
    <w:p w14:paraId="394965B6">
      <w:pP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162F99AC">
      <w:pP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225E341B">
      <w:pP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64B22FA4">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00E4B405">
      <w:pPr>
        <w:spacing w:before="120" w:line="320" w:lineRule="atLeast"/>
        <w:ind w:firstLine="420" w:firstLineChars="200"/>
        <w:rPr>
          <w:rFonts w:hint="eastAsia"/>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w:t>
      </w:r>
      <w:r>
        <w:rPr>
          <w:color w:val="auto"/>
          <w:szCs w:val="21"/>
          <w:highlight w:val="none"/>
        </w:rPr>
        <w:t>3</w:t>
      </w:r>
      <w:r>
        <w:rPr>
          <w:rFonts w:hint="eastAsia"/>
          <w:color w:val="auto"/>
          <w:szCs w:val="21"/>
          <w:highlight w:val="none"/>
        </w:rPr>
        <w:t>个工作日前，</w:t>
      </w:r>
      <w:bookmarkStart w:id="54" w:name="_Hlk132790706"/>
      <w:r>
        <w:rPr>
          <w:rFonts w:hint="eastAsia"/>
          <w:color w:val="auto"/>
          <w:szCs w:val="21"/>
          <w:highlight w:val="none"/>
        </w:rPr>
        <w:t>在供应商须知前附表规定的方式通知所有获取采购文件的潜在</w:t>
      </w:r>
      <w:bookmarkEnd w:id="54"/>
      <w:r>
        <w:rPr>
          <w:rFonts w:hint="eastAsia"/>
          <w:color w:val="auto"/>
          <w:szCs w:val="21"/>
          <w:highlight w:val="none"/>
        </w:rPr>
        <w:t>供应商，不足</w:t>
      </w:r>
      <w:r>
        <w:rPr>
          <w:color w:val="auto"/>
          <w:szCs w:val="21"/>
          <w:highlight w:val="none"/>
        </w:rPr>
        <w:t>3</w:t>
      </w:r>
      <w:r>
        <w:rPr>
          <w:rFonts w:hint="eastAsia"/>
          <w:color w:val="auto"/>
          <w:szCs w:val="21"/>
          <w:highlight w:val="none"/>
        </w:rPr>
        <w:t>个工作日的，应当顺延提交首次响应文件截止之日。</w:t>
      </w:r>
      <w:r>
        <w:rPr>
          <w:color w:val="auto"/>
          <w:szCs w:val="21"/>
          <w:highlight w:val="none"/>
        </w:rPr>
        <w:t xml:space="preserve"> </w:t>
      </w:r>
    </w:p>
    <w:p w14:paraId="6B574C58">
      <w:pP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1FE9E7BD">
      <w:pPr>
        <w:spacing w:before="120" w:line="320" w:lineRule="atLeast"/>
        <w:ind w:left="2" w:leftChars="1" w:firstLine="422" w:firstLineChars="200"/>
        <w:outlineLvl w:val="1"/>
        <w:rPr>
          <w:b/>
          <w:bCs/>
          <w:color w:val="auto"/>
          <w:kern w:val="0"/>
          <w:szCs w:val="21"/>
          <w:highlight w:val="none"/>
        </w:rPr>
      </w:pPr>
      <w:bookmarkStart w:id="55" w:name="_Toc254970535"/>
      <w:bookmarkStart w:id="56" w:name="_Toc254970676"/>
      <w:r>
        <w:rPr>
          <w:b/>
          <w:bCs/>
          <w:color w:val="auto"/>
          <w:kern w:val="0"/>
          <w:szCs w:val="21"/>
          <w:highlight w:val="none"/>
        </w:rPr>
        <w:t>3．响应文件</w:t>
      </w:r>
      <w:bookmarkEnd w:id="55"/>
      <w:bookmarkEnd w:id="56"/>
    </w:p>
    <w:p w14:paraId="29A83839">
      <w:pPr>
        <w:spacing w:before="120" w:line="320" w:lineRule="atLeast"/>
        <w:ind w:firstLine="422" w:firstLineChars="200"/>
        <w:outlineLvl w:val="2"/>
        <w:rPr>
          <w:b/>
          <w:bCs/>
          <w:color w:val="auto"/>
          <w:kern w:val="0"/>
          <w:szCs w:val="21"/>
          <w:highlight w:val="none"/>
        </w:rPr>
      </w:pPr>
      <w:bookmarkStart w:id="57" w:name="_Toc254970536"/>
      <w:bookmarkStart w:id="58" w:name="_Toc254970677"/>
      <w:r>
        <w:rPr>
          <w:b/>
          <w:bCs/>
          <w:color w:val="auto"/>
          <w:kern w:val="0"/>
          <w:szCs w:val="21"/>
          <w:highlight w:val="none"/>
        </w:rPr>
        <w:t>3.1响应文件的组成</w:t>
      </w:r>
      <w:bookmarkEnd w:id="57"/>
      <w:bookmarkEnd w:id="58"/>
    </w:p>
    <w:p w14:paraId="0947792E">
      <w:pP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129158F1">
      <w:pPr>
        <w:spacing w:before="120" w:line="320" w:lineRule="atLeast"/>
        <w:ind w:firstLine="422" w:firstLineChars="200"/>
        <w:outlineLvl w:val="2"/>
        <w:rPr>
          <w:b/>
          <w:bCs/>
          <w:color w:val="auto"/>
          <w:kern w:val="0"/>
          <w:szCs w:val="21"/>
          <w:highlight w:val="none"/>
        </w:rPr>
      </w:pPr>
      <w:bookmarkStart w:id="59" w:name="_Toc254970678"/>
      <w:bookmarkStart w:id="60" w:name="_Toc254970537"/>
      <w:r>
        <w:rPr>
          <w:b/>
          <w:color w:val="auto"/>
          <w:szCs w:val="21"/>
          <w:highlight w:val="none"/>
        </w:rPr>
        <w:t>3.2</w:t>
      </w:r>
      <w:r>
        <w:rPr>
          <w:b/>
          <w:bCs/>
          <w:color w:val="auto"/>
          <w:kern w:val="0"/>
          <w:szCs w:val="21"/>
          <w:highlight w:val="none"/>
        </w:rPr>
        <w:t>响应文件的语言及计量</w:t>
      </w:r>
      <w:bookmarkEnd w:id="59"/>
      <w:bookmarkEnd w:id="60"/>
    </w:p>
    <w:p w14:paraId="758C3A7F">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5D5F4CC7">
      <w:pP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4C320F6A">
      <w:pPr>
        <w:spacing w:before="120" w:line="320" w:lineRule="atLeast"/>
        <w:ind w:firstLine="422" w:firstLineChars="200"/>
        <w:outlineLvl w:val="2"/>
        <w:rPr>
          <w:b/>
          <w:bCs/>
          <w:color w:val="auto"/>
          <w:kern w:val="0"/>
          <w:szCs w:val="21"/>
          <w:highlight w:val="none"/>
        </w:rPr>
      </w:pPr>
      <w:bookmarkStart w:id="61" w:name="_Toc254970679"/>
      <w:bookmarkStart w:id="62" w:name="_Toc254970538"/>
      <w:r>
        <w:rPr>
          <w:b/>
          <w:bCs/>
          <w:color w:val="auto"/>
          <w:kern w:val="0"/>
          <w:szCs w:val="21"/>
          <w:highlight w:val="none"/>
        </w:rPr>
        <w:t>3.3响应报价</w:t>
      </w:r>
      <w:bookmarkEnd w:id="61"/>
      <w:bookmarkEnd w:id="62"/>
    </w:p>
    <w:p w14:paraId="48E57D6A">
      <w:pP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1F348CB6">
      <w:pP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37CB5741">
      <w:pP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304DADB7">
      <w:pP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17B5C8C0">
      <w:pP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75DBBB5F">
      <w:pP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响应有效期则为响应截止之日起90天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1597A3D2">
      <w:pP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70D1591F">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供应商同意延长的响应有效期的，如本项目要求提交保证金则应相应延长其谈判保证金的有效期，但不得要求或被允许修改或撤销其响应文件；供应商拒绝延长的，其响应无效，但供应商有权收回其谈判保证金。</w:t>
      </w:r>
    </w:p>
    <w:p w14:paraId="1480D65D">
      <w:pPr>
        <w:spacing w:before="120" w:line="320" w:lineRule="atLeast"/>
        <w:ind w:firstLine="422" w:firstLineChars="200"/>
        <w:outlineLvl w:val="2"/>
        <w:rPr>
          <w:b/>
          <w:bCs/>
          <w:color w:val="auto"/>
          <w:kern w:val="0"/>
          <w:szCs w:val="21"/>
          <w:highlight w:val="none"/>
        </w:rPr>
      </w:pPr>
      <w:bookmarkStart w:id="63" w:name="_Toc254970541"/>
      <w:bookmarkStart w:id="64" w:name="_Toc254970682"/>
      <w:r>
        <w:rPr>
          <w:b/>
          <w:bCs/>
          <w:color w:val="auto"/>
          <w:kern w:val="0"/>
          <w:szCs w:val="21"/>
          <w:highlight w:val="none"/>
        </w:rPr>
        <w:t>3.5谈判保证金</w:t>
      </w:r>
      <w:bookmarkEnd w:id="63"/>
      <w:bookmarkEnd w:id="64"/>
    </w:p>
    <w:p w14:paraId="5C83B319">
      <w:pPr>
        <w:spacing w:before="120" w:line="320" w:lineRule="atLeast"/>
        <w:ind w:firstLine="420" w:firstLineChars="200"/>
        <w:rPr>
          <w:color w:val="auto"/>
          <w:szCs w:val="21"/>
          <w:highlight w:val="none"/>
        </w:rPr>
      </w:pPr>
      <w:r>
        <w:rPr>
          <w:color w:val="auto"/>
          <w:szCs w:val="21"/>
          <w:highlight w:val="none"/>
        </w:rPr>
        <w:t>3.5.1供应商须按须知前附表规定提交谈判保证金，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。除采购文件规定不予退还保证金的情形外，代理机构在规定时间内退回供应商的谈判保证金（供应商自行承担因未按供应商须知前附表要求交纳导致谈判保证金无法及时退还的责任）。</w:t>
      </w:r>
    </w:p>
    <w:p w14:paraId="395F0314">
      <w:pPr>
        <w:spacing w:before="120" w:line="320" w:lineRule="atLeast"/>
        <w:ind w:firstLine="420" w:firstLineChars="200"/>
        <w:rPr>
          <w:color w:val="auto"/>
          <w:szCs w:val="21"/>
          <w:highlight w:val="none"/>
        </w:rPr>
      </w:pPr>
      <w:r>
        <w:rPr>
          <w:color w:val="auto"/>
          <w:szCs w:val="21"/>
          <w:highlight w:val="none"/>
        </w:rPr>
        <w:t>3.5.2谈判保证金币种应与响应报价币种相同。</w:t>
      </w:r>
    </w:p>
    <w:p w14:paraId="36A26F6C">
      <w:pPr>
        <w:spacing w:before="120" w:line="320" w:lineRule="atLeast"/>
        <w:ind w:firstLine="420" w:firstLineChars="200"/>
        <w:rPr>
          <w:color w:val="auto"/>
          <w:szCs w:val="21"/>
          <w:highlight w:val="none"/>
        </w:rPr>
      </w:pPr>
      <w:r>
        <w:rPr>
          <w:color w:val="auto"/>
          <w:szCs w:val="21"/>
          <w:highlight w:val="none"/>
        </w:rPr>
        <w:t>3.5.3未成交供应商的谈判保证金在成交通知书发出后5个工作日内退还。成交供应商的谈判保证金在合同签订后5个工作日内退还（办理退还手续时需要向采购代理机构提供两份合同复印件）。</w:t>
      </w:r>
    </w:p>
    <w:p w14:paraId="2F34663C">
      <w:pPr>
        <w:spacing w:before="120" w:line="320" w:lineRule="atLeast"/>
        <w:ind w:firstLine="420" w:firstLineChars="200"/>
        <w:rPr>
          <w:color w:val="auto"/>
          <w:szCs w:val="21"/>
          <w:highlight w:val="none"/>
        </w:rPr>
      </w:pPr>
      <w:r>
        <w:rPr>
          <w:color w:val="auto"/>
          <w:szCs w:val="21"/>
          <w:highlight w:val="none"/>
        </w:rPr>
        <w:t>3.5.4供应商有下列情形之一的，谈判保证金将不予退还：</w:t>
      </w:r>
    </w:p>
    <w:p w14:paraId="497EC65B">
      <w:pPr>
        <w:numPr>
          <w:ilvl w:val="0"/>
          <w:numId w:val="1"/>
        </w:numPr>
        <w:spacing w:before="120" w:line="320" w:lineRule="atLeast"/>
        <w:rPr>
          <w:color w:val="auto"/>
          <w:szCs w:val="21"/>
          <w:highlight w:val="none"/>
        </w:rPr>
      </w:pPr>
      <w:r>
        <w:rPr>
          <w:rFonts w:hint="eastAsia"/>
          <w:color w:val="auto"/>
          <w:szCs w:val="21"/>
          <w:highlight w:val="none"/>
        </w:rPr>
        <w:t>供应商在响应有效期内撤销响应文件的；</w:t>
      </w:r>
    </w:p>
    <w:p w14:paraId="6C7ABDA4">
      <w:pPr>
        <w:numPr>
          <w:ilvl w:val="0"/>
          <w:numId w:val="1"/>
        </w:numPr>
        <w:spacing w:before="120" w:line="320" w:lineRule="atLeast"/>
        <w:rPr>
          <w:color w:val="auto"/>
          <w:szCs w:val="21"/>
          <w:highlight w:val="none"/>
        </w:rPr>
      </w:pPr>
      <w:r>
        <w:rPr>
          <w:rFonts w:hint="eastAsia"/>
          <w:color w:val="auto"/>
          <w:szCs w:val="21"/>
          <w:highlight w:val="none"/>
        </w:rPr>
        <w:t>供应商在提交响应文件截止时间后撤回响应文件的，但采取竞争性谈判方式采购且在提交最后报价之前退出谈判的情况除外；</w:t>
      </w:r>
    </w:p>
    <w:p w14:paraId="278889E9">
      <w:pPr>
        <w:numPr>
          <w:ilvl w:val="0"/>
          <w:numId w:val="1"/>
        </w:numPr>
        <w:spacing w:before="120" w:line="320" w:lineRule="atLeast"/>
        <w:rPr>
          <w:color w:val="auto"/>
          <w:szCs w:val="21"/>
          <w:highlight w:val="none"/>
        </w:rPr>
      </w:pPr>
      <w:r>
        <w:rPr>
          <w:rFonts w:hint="eastAsia"/>
          <w:color w:val="auto"/>
          <w:szCs w:val="21"/>
          <w:highlight w:val="none"/>
        </w:rPr>
        <w:t>供应商在响应过程中弄虚作假，提供虚假材料的；</w:t>
      </w:r>
    </w:p>
    <w:p w14:paraId="42BCC1E9">
      <w:pPr>
        <w:numPr>
          <w:ilvl w:val="0"/>
          <w:numId w:val="1"/>
        </w:numPr>
        <w:spacing w:before="120" w:line="320" w:lineRule="atLeast"/>
        <w:rPr>
          <w:color w:val="auto"/>
          <w:szCs w:val="21"/>
          <w:highlight w:val="none"/>
        </w:rPr>
      </w:pPr>
      <w:r>
        <w:rPr>
          <w:rFonts w:hint="eastAsia"/>
          <w:color w:val="auto"/>
          <w:szCs w:val="21"/>
          <w:highlight w:val="none"/>
        </w:rPr>
        <w:t>成交供应商无正当理由不与采购人签订合同的；</w:t>
      </w:r>
    </w:p>
    <w:p w14:paraId="4AC6582E">
      <w:pPr>
        <w:numPr>
          <w:ilvl w:val="0"/>
          <w:numId w:val="1"/>
        </w:numPr>
        <w:spacing w:before="120" w:line="320" w:lineRule="atLeast"/>
        <w:rPr>
          <w:color w:val="auto"/>
          <w:szCs w:val="21"/>
          <w:highlight w:val="none"/>
        </w:rPr>
      </w:pPr>
      <w:r>
        <w:rPr>
          <w:rFonts w:hint="eastAsia"/>
          <w:color w:val="auto"/>
          <w:szCs w:val="21"/>
          <w:highlight w:val="none"/>
        </w:rPr>
        <w:t>将成交项目转让给他人或者在响应文件中未说明且未经采购人同意，将成交项目分包给他人的；</w:t>
      </w:r>
    </w:p>
    <w:p w14:paraId="3537A01D">
      <w:pPr>
        <w:numPr>
          <w:ilvl w:val="0"/>
          <w:numId w:val="1"/>
        </w:numP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20ED2B4A">
      <w:pPr>
        <w:numPr>
          <w:ilvl w:val="0"/>
          <w:numId w:val="1"/>
        </w:numPr>
        <w:spacing w:before="120" w:line="320" w:lineRule="atLeast"/>
        <w:rPr>
          <w:color w:val="auto"/>
          <w:szCs w:val="21"/>
          <w:highlight w:val="none"/>
        </w:rPr>
      </w:pPr>
      <w:r>
        <w:rPr>
          <w:rFonts w:hint="eastAsia"/>
          <w:color w:val="auto"/>
          <w:szCs w:val="21"/>
          <w:highlight w:val="none"/>
        </w:rPr>
        <w:t>拒绝履行合同义务的；</w:t>
      </w:r>
    </w:p>
    <w:p w14:paraId="26FBC674">
      <w:pPr>
        <w:numPr>
          <w:ilvl w:val="0"/>
          <w:numId w:val="1"/>
        </w:numPr>
        <w:spacing w:before="120" w:line="320" w:lineRule="atLeast"/>
        <w:rPr>
          <w:rFonts w:hint="eastAsia"/>
          <w:color w:val="auto"/>
          <w:szCs w:val="21"/>
          <w:highlight w:val="none"/>
        </w:rPr>
      </w:pPr>
      <w:r>
        <w:rPr>
          <w:rFonts w:hint="eastAsia"/>
          <w:color w:val="auto"/>
          <w:szCs w:val="21"/>
          <w:highlight w:val="none"/>
        </w:rPr>
        <w:t>其他严重扰乱招投标程序的。</w:t>
      </w:r>
    </w:p>
    <w:p w14:paraId="7660275B">
      <w:pPr>
        <w:spacing w:before="120" w:line="320" w:lineRule="atLeast"/>
        <w:ind w:firstLine="422" w:firstLineChars="200"/>
        <w:outlineLvl w:val="2"/>
        <w:rPr>
          <w:b/>
          <w:bCs/>
          <w:color w:val="auto"/>
          <w:kern w:val="0"/>
          <w:szCs w:val="21"/>
          <w:highlight w:val="none"/>
        </w:rPr>
      </w:pPr>
      <w:bookmarkStart w:id="65" w:name="_Toc254970542"/>
      <w:bookmarkStart w:id="66" w:name="_Toc254970683"/>
      <w:r>
        <w:rPr>
          <w:b/>
          <w:bCs/>
          <w:color w:val="auto"/>
          <w:kern w:val="0"/>
          <w:szCs w:val="21"/>
          <w:highlight w:val="none"/>
        </w:rPr>
        <w:t>3.6响应文件的</w:t>
      </w:r>
      <w:bookmarkEnd w:id="65"/>
      <w:bookmarkEnd w:id="66"/>
      <w:r>
        <w:rPr>
          <w:b/>
          <w:bCs/>
          <w:color w:val="auto"/>
          <w:kern w:val="0"/>
          <w:szCs w:val="21"/>
          <w:highlight w:val="none"/>
        </w:rPr>
        <w:t>编制要求</w:t>
      </w:r>
    </w:p>
    <w:p w14:paraId="0137C4CC">
      <w:pP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3FE9B25B">
      <w:pPr>
        <w:spacing w:before="120" w:line="320" w:lineRule="atLeast"/>
        <w:ind w:firstLine="420" w:firstLineChars="200"/>
        <w:rPr>
          <w:color w:val="auto"/>
          <w:szCs w:val="21"/>
          <w:highlight w:val="none"/>
        </w:rPr>
      </w:pPr>
      <w:r>
        <w:rPr>
          <w:color w:val="auto"/>
          <w:szCs w:val="21"/>
          <w:highlight w:val="none"/>
        </w:rPr>
        <w:t>3.6.2</w:t>
      </w:r>
      <w:r>
        <w:rPr>
          <w:rFonts w:hint="eastAsia"/>
          <w:color w:val="auto"/>
          <w:szCs w:val="21"/>
          <w:highlight w:val="none"/>
        </w:rPr>
        <w:t>供应商应按本采购文件规定的格式和顺序编制响应文件并进行关联定位，以便谈判小组在评审时，点击评分项可直接定位到该评分项内容。如对采购文件的某项要求，供应商的响应文件未能关联定位提供相应的内容与其对应，则谈判小组在评审时如做出对供应商不利的评审由供应商自行承担。响应文件如内容不完整、编排混乱导致响应文件被误读、漏读，或者在按采购文件规定的部位查找不到相关内容的，由供应商自行承担。</w:t>
      </w:r>
    </w:p>
    <w:p w14:paraId="05B4B34F">
      <w:pPr>
        <w:spacing w:before="120" w:line="320" w:lineRule="atLeast"/>
        <w:ind w:firstLine="420" w:firstLineChars="200"/>
        <w:rPr>
          <w:b/>
          <w:bCs/>
          <w:color w:val="auto"/>
          <w:szCs w:val="21"/>
          <w:highlight w:val="none"/>
        </w:rPr>
      </w:pPr>
      <w:r>
        <w:rPr>
          <w:color w:val="auto"/>
          <w:szCs w:val="21"/>
          <w:highlight w:val="none"/>
        </w:rPr>
        <w:t xml:space="preserve">3.6.3 </w:t>
      </w:r>
      <w:r>
        <w:rPr>
          <w:rFonts w:hint="eastAsia"/>
          <w:color w:val="auto"/>
          <w:szCs w:val="21"/>
          <w:highlight w:val="none"/>
        </w:rPr>
        <w:t>供应商的响应文件未按照采购文件要求签署、盖章的，</w:t>
      </w:r>
      <w:r>
        <w:rPr>
          <w:rFonts w:hint="eastAsia"/>
          <w:b/>
          <w:bCs/>
          <w:color w:val="auto"/>
          <w:szCs w:val="21"/>
          <w:highlight w:val="none"/>
        </w:rPr>
        <w:t>其响应无效。</w:t>
      </w:r>
    </w:p>
    <w:p w14:paraId="7B3B4C3A">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2A4F0E75">
      <w:pPr>
        <w:spacing w:before="120" w:line="320" w:lineRule="atLeast"/>
        <w:ind w:firstLine="420" w:firstLineChars="200"/>
        <w:rPr>
          <w:b/>
          <w:bCs/>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7A862BB5">
      <w:pPr>
        <w:spacing w:before="120" w:line="320" w:lineRule="atLeast"/>
        <w:ind w:left="2" w:leftChars="1" w:firstLine="420" w:firstLineChars="200"/>
        <w:rPr>
          <w:rFonts w:hint="eastAsia"/>
          <w:color w:val="auto"/>
          <w:szCs w:val="21"/>
          <w:highlight w:val="none"/>
        </w:rPr>
      </w:pPr>
      <w:bookmarkStart w:id="67"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w:t>
      </w:r>
      <w:bookmarkStart w:id="68" w:name="_Hlk106638610"/>
      <w:bookmarkStart w:id="69" w:name="_Hlk106637937"/>
      <w:r>
        <w:rPr>
          <w:rFonts w:hint="eastAsia"/>
          <w:color w:val="auto"/>
          <w:szCs w:val="21"/>
          <w:highlight w:val="none"/>
        </w:rPr>
        <w:t>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bookmarkEnd w:id="68"/>
      <w:bookmarkEnd w:id="69"/>
      <w:r>
        <w:rPr>
          <w:rFonts w:hint="eastAsia"/>
          <w:color w:val="auto"/>
          <w:szCs w:val="21"/>
          <w:highlight w:val="none"/>
        </w:rPr>
        <w:t>，</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67"/>
    </w:p>
    <w:p w14:paraId="37C441CA">
      <w:pP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17C27DC2">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5375E8A5">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未在规定时间内提交或者未按照采购文件要求签章、加密的电子响应文件，广西政府采购云平台将拒收。 </w:t>
      </w:r>
    </w:p>
    <w:p w14:paraId="532C68C8">
      <w:pPr>
        <w:spacing w:before="120" w:line="320" w:lineRule="atLeast"/>
        <w:ind w:left="2" w:leftChars="1" w:firstLine="420" w:firstLineChars="200"/>
        <w:rPr>
          <w:color w:val="auto"/>
          <w:szCs w:val="21"/>
          <w:highlight w:val="none"/>
        </w:rPr>
      </w:pPr>
      <w:bookmarkStart w:id="70" w:name="_Toc254970685"/>
      <w:bookmarkStart w:id="71" w:name="_Toc254970544"/>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36E7CFEF">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4010C973">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4DD3F078">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70"/>
      <w:bookmarkEnd w:id="71"/>
    </w:p>
    <w:p w14:paraId="299541AA">
      <w:pP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1CD29D34">
      <w:pP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6A062728">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42915E60">
      <w:pPr>
        <w:spacing w:before="120" w:line="276" w:lineRule="auto"/>
        <w:ind w:firstLine="420" w:firstLineChars="200"/>
        <w:rPr>
          <w:color w:val="auto"/>
          <w:szCs w:val="21"/>
          <w:highlight w:val="none"/>
        </w:rPr>
      </w:pPr>
      <w:r>
        <w:rPr>
          <w:rFonts w:hint="eastAsia"/>
          <w:color w:val="auto"/>
          <w:szCs w:val="21"/>
          <w:highlight w:val="none"/>
        </w:rPr>
        <w:t xml:space="preserve">如供应商成功解密响应文件，但未在广西政府采购云平台电子开标大厅参加截标的，视同认可截标过程和结果，由此产生的后果由供应商自行负责。 </w:t>
      </w:r>
    </w:p>
    <w:p w14:paraId="1377826A">
      <w:pP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667BAA95">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4BA45877">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72" w:name="_Hlk106639817"/>
      <w:r>
        <w:rPr>
          <w:rFonts w:hint="eastAsia"/>
          <w:color w:val="auto"/>
          <w:highlight w:val="none"/>
        </w:rPr>
        <w:t>通知后供应商仍未在上述规定时间内解密响应文件</w:t>
      </w:r>
      <w:bookmarkEnd w:id="72"/>
      <w:r>
        <w:rPr>
          <w:rFonts w:hint="eastAsia"/>
          <w:color w:val="auto"/>
          <w:highlight w:val="none"/>
        </w:rPr>
        <w:t>，</w:t>
      </w:r>
      <w:r>
        <w:rPr>
          <w:rFonts w:hint="eastAsia"/>
          <w:color w:val="auto"/>
          <w:szCs w:val="21"/>
          <w:highlight w:val="none"/>
        </w:rPr>
        <w:t>或者供应商没预留联系方式或预留联系方式无效导致代理机构无法联系到供应商进行解密的，均视为无效响应。</w:t>
      </w:r>
    </w:p>
    <w:p w14:paraId="310B41F7">
      <w:pPr>
        <w:spacing w:before="120" w:line="320" w:lineRule="atLeast"/>
        <w:ind w:firstLine="420" w:firstLineChars="200"/>
        <w:rPr>
          <w:rFonts w:hint="eastAsia"/>
          <w:color w:val="auto"/>
          <w:szCs w:val="21"/>
          <w:highlight w:val="none"/>
        </w:rPr>
      </w:pPr>
      <w:r>
        <w:rPr>
          <w:rFonts w:hint="eastAsia"/>
          <w:color w:val="auto"/>
          <w:szCs w:val="21"/>
          <w:highlight w:val="none"/>
        </w:rPr>
        <w:t>4</w:t>
      </w:r>
      <w:r>
        <w:rPr>
          <w:color w:val="auto"/>
          <w:szCs w:val="21"/>
          <w:highlight w:val="none"/>
        </w:rPr>
        <w:t>.2.3</w:t>
      </w:r>
      <w:bookmarkStart w:id="73"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73"/>
    <w:p w14:paraId="45CD97ED">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155448BC">
      <w:pPr>
        <w:spacing w:before="120" w:line="320" w:lineRule="atLeast"/>
        <w:ind w:firstLine="420" w:firstLineChars="200"/>
        <w:rPr>
          <w:color w:val="auto"/>
          <w:szCs w:val="21"/>
          <w:highlight w:val="none"/>
        </w:rPr>
      </w:pPr>
      <w:r>
        <w:rPr>
          <w:color w:val="auto"/>
          <w:szCs w:val="21"/>
          <w:highlight w:val="none"/>
        </w:rPr>
        <w:t>4.2.5截标结束。</w:t>
      </w:r>
    </w:p>
    <w:p w14:paraId="27324CD0">
      <w:pPr>
        <w:pStyle w:val="26"/>
        <w:snapToGrid w:val="0"/>
        <w:spacing w:line="440" w:lineRule="exact"/>
        <w:ind w:firstLine="422" w:firstLineChars="200"/>
        <w:rPr>
          <w:rFonts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14F78047">
      <w:pP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2E4ECD18">
      <w:pP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5A293FB9">
      <w:pP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3AB536A5">
      <w:pP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3317DAB1">
      <w:pP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521A10D3">
      <w:pP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67A90F4E">
      <w:pPr>
        <w:spacing w:before="120" w:line="320" w:lineRule="atLeast"/>
        <w:ind w:firstLine="420" w:firstLineChars="200"/>
        <w:rPr>
          <w:color w:val="auto"/>
          <w:szCs w:val="21"/>
          <w:highlight w:val="none"/>
        </w:rPr>
      </w:pPr>
      <w:bookmarkStart w:id="74" w:name="_Toc254970686"/>
      <w:bookmarkStart w:id="75" w:name="_Toc254970545"/>
      <w:r>
        <w:rPr>
          <w:color w:val="auto"/>
          <w:szCs w:val="21"/>
          <w:highlight w:val="none"/>
        </w:rPr>
        <w:t>4.4.3样品封存或退还的说明请见第六章响应文件格式所附样品递交表。</w:t>
      </w:r>
    </w:p>
    <w:p w14:paraId="294B08F8">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292AC8A4">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谈判小组通过电子交易平台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05B043B6">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42B3B4F0">
      <w:pP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76BA3FE9">
      <w:pPr>
        <w:spacing w:line="276" w:lineRule="auto"/>
        <w:ind w:firstLine="420" w:firstLineChars="200"/>
        <w:rPr>
          <w:rFonts w:hint="eastAsia" w:hAnsi="宋体"/>
          <w:color w:val="auto"/>
          <w:szCs w:val="21"/>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w:t>
      </w:r>
      <w:r>
        <w:rPr>
          <w:rFonts w:hint="eastAsia"/>
          <w:color w:val="auto"/>
          <w:szCs w:val="21"/>
          <w:highlight w:val="none"/>
          <w:lang w:eastAsia="zh-CN"/>
        </w:rPr>
        <w:t>供应商</w:t>
      </w:r>
      <w:r>
        <w:rPr>
          <w:rFonts w:hint="eastAsia"/>
          <w:color w:val="auto"/>
          <w:szCs w:val="21"/>
          <w:highlight w:val="none"/>
        </w:rPr>
        <w:t>须知前附表”，广西政府采购云平台已与“信用中国”平台做接口，可直接在线查询）</w:t>
      </w:r>
    </w:p>
    <w:p w14:paraId="3EBA4ED5">
      <w:pPr>
        <w:spacing w:before="120" w:line="276" w:lineRule="auto"/>
        <w:ind w:firstLine="420" w:firstLineChars="200"/>
        <w:rPr>
          <w:rFonts w:hint="eastAsia"/>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bookmarkEnd w:id="74"/>
    <w:bookmarkEnd w:id="75"/>
    <w:p w14:paraId="784E9D03">
      <w:pPr>
        <w:spacing w:before="120" w:line="320" w:lineRule="atLeast"/>
        <w:ind w:left="2" w:leftChars="1" w:firstLine="422" w:firstLineChars="200"/>
        <w:outlineLvl w:val="1"/>
        <w:rPr>
          <w:b/>
          <w:bCs/>
          <w:color w:val="auto"/>
          <w:kern w:val="0"/>
          <w:szCs w:val="21"/>
          <w:highlight w:val="none"/>
        </w:rPr>
      </w:pPr>
      <w:bookmarkStart w:id="76" w:name="_Toc254970687"/>
      <w:bookmarkStart w:id="77" w:name="_Toc254970546"/>
      <w:r>
        <w:rPr>
          <w:b/>
          <w:bCs/>
          <w:color w:val="auto"/>
          <w:kern w:val="0"/>
          <w:szCs w:val="21"/>
          <w:highlight w:val="none"/>
        </w:rPr>
        <w:t>6．评审</w:t>
      </w:r>
    </w:p>
    <w:p w14:paraId="7D5A4748">
      <w:pP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w:t>
      </w:r>
      <w:r>
        <w:rPr>
          <w:rFonts w:hint="eastAsia"/>
          <w:b/>
          <w:bCs/>
          <w:color w:val="auto"/>
          <w:kern w:val="0"/>
          <w:szCs w:val="21"/>
          <w:highlight w:val="none"/>
        </w:rPr>
        <w:t>谈判</w:t>
      </w:r>
      <w:r>
        <w:rPr>
          <w:b/>
          <w:bCs/>
          <w:color w:val="auto"/>
          <w:kern w:val="0"/>
          <w:szCs w:val="21"/>
          <w:highlight w:val="none"/>
        </w:rPr>
        <w:t>小组</w:t>
      </w:r>
    </w:p>
    <w:p w14:paraId="17D3C5D1">
      <w:pP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评审工作由谈判</w:t>
      </w:r>
      <w:r>
        <w:rPr>
          <w:color w:val="auto"/>
          <w:szCs w:val="21"/>
          <w:highlight w:val="none"/>
        </w:rPr>
        <w:t>小组</w:t>
      </w:r>
      <w:r>
        <w:rPr>
          <w:rFonts w:hint="eastAsia"/>
          <w:color w:val="auto"/>
          <w:szCs w:val="21"/>
          <w:highlight w:val="none"/>
        </w:rPr>
        <w:t>负责，谈判小组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谈判小组评审时必须公平、公正、客观，不带任何倾向性和启发性；不得向外界透露任何与评审有关的内容；任何单位和个人不得干扰、影响评标的正常进行；谈判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1FEC212A">
      <w:pPr>
        <w:spacing w:before="120" w:line="320" w:lineRule="atLeast"/>
        <w:ind w:firstLine="420" w:firstLineChars="200"/>
        <w:rPr>
          <w:color w:val="auto"/>
          <w:szCs w:val="21"/>
          <w:highlight w:val="none"/>
        </w:rPr>
      </w:pPr>
      <w:r>
        <w:rPr>
          <w:rFonts w:hint="eastAsia"/>
          <w:color w:val="auto"/>
          <w:szCs w:val="21"/>
          <w:highlight w:val="none"/>
        </w:rPr>
        <w:t>6.1.2谈判小组成员应当通过电子交易平台进行独立评审，谈判小组成员对需要共同认定的事项存在争议的，应当按照少数服从多数的原则作出结论。持不同意见的谈判小组成员应当在评审报告上签署不同意见及理由，否则视为同意评审报告。如果在评审过程中出现法律法规和采购文件均没有明确规定的情形时，由谈判小组现场协商确定，协商不一致的，由全体谈判小组成员投票表决，应当按照少数服从多数的原则作出结论并记录在评审报告中。</w:t>
      </w:r>
    </w:p>
    <w:p w14:paraId="2B5AB4D9">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9652DEB">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0A27DF6E">
      <w:pP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3C54A560">
      <w:pP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74CE8D7C">
      <w:pP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谈判小组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2AA6B4FC">
      <w:pP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7D344965">
      <w:pPr>
        <w:spacing w:before="120" w:line="320" w:lineRule="atLeast"/>
        <w:ind w:firstLine="420" w:firstLineChars="200"/>
        <w:rPr>
          <w:color w:val="auto"/>
          <w:highlight w:val="none"/>
        </w:rPr>
      </w:pPr>
      <w:r>
        <w:rPr>
          <w:color w:val="auto"/>
          <w:highlight w:val="none"/>
        </w:rPr>
        <w:t>6.</w:t>
      </w:r>
      <w:bookmarkStart w:id="78" w:name="_Hlk19175507"/>
      <w:bookmarkStart w:id="79" w:name="_Hlk80956880"/>
      <w:r>
        <w:rPr>
          <w:color w:val="auto"/>
          <w:highlight w:val="none"/>
        </w:rPr>
        <w:t>3.1</w:t>
      </w:r>
      <w:r>
        <w:rPr>
          <w:rFonts w:hint="eastAsia"/>
          <w:color w:val="auto"/>
          <w:highlight w:val="none"/>
        </w:rPr>
        <w:t>符合性审查</w:t>
      </w:r>
    </w:p>
    <w:p w14:paraId="4FD289C9">
      <w:pP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谈判小组对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78"/>
    <w:bookmarkEnd w:id="79"/>
    <w:p w14:paraId="3DCC2C10">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372AFAA6">
      <w:pPr>
        <w:suppressAutoHyphens/>
        <w:spacing w:before="120" w:line="320" w:lineRule="atLeast"/>
        <w:ind w:firstLine="422" w:firstLineChars="201"/>
        <w:rPr>
          <w:color w:val="auto"/>
          <w:szCs w:val="21"/>
          <w:highlight w:val="none"/>
        </w:rPr>
      </w:pPr>
      <w:bookmarkStart w:id="80" w:name="_Hlk47714684"/>
      <w:r>
        <w:rPr>
          <w:rFonts w:hint="eastAsia"/>
          <w:color w:val="auto"/>
          <w:szCs w:val="21"/>
          <w:highlight w:val="none"/>
        </w:rPr>
        <w:t>（1）</w:t>
      </w:r>
      <w:bookmarkEnd w:id="80"/>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74B31E5F">
      <w:pPr>
        <w:spacing w:before="120" w:line="276" w:lineRule="auto"/>
        <w:ind w:firstLine="420" w:firstLineChars="200"/>
        <w:rPr>
          <w:color w:val="auto"/>
          <w:szCs w:val="21"/>
          <w:highlight w:val="none"/>
        </w:rPr>
      </w:pPr>
      <w:bookmarkStart w:id="81" w:name="_Hlk19176155"/>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65096D92">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lang w:eastAsia="zh-CN"/>
        </w:rPr>
        <w:t>“</w:t>
      </w:r>
      <w:r>
        <w:rPr>
          <w:rFonts w:hint="eastAsia"/>
          <w:color w:val="auto"/>
          <w:szCs w:val="21"/>
          <w:highlight w:val="none"/>
          <w:lang w:val="en-US" w:eastAsia="zh-CN"/>
        </w:rPr>
        <w:t>网络安全专用产品”内“产品类别”</w:t>
      </w:r>
      <w:r>
        <w:rPr>
          <w:rFonts w:hint="eastAsia"/>
          <w:color w:val="auto"/>
          <w:szCs w:val="21"/>
          <w:highlight w:val="none"/>
        </w:rPr>
        <w:t>共</w:t>
      </w:r>
      <w:r>
        <w:rPr>
          <w:rFonts w:hint="eastAsia"/>
          <w:color w:val="auto"/>
          <w:szCs w:val="21"/>
          <w:highlight w:val="none"/>
          <w:lang w:val="en-US" w:eastAsia="zh-CN"/>
        </w:rPr>
        <w:t>34</w:t>
      </w:r>
      <w:r>
        <w:rPr>
          <w:rFonts w:hint="eastAsia"/>
          <w:color w:val="auto"/>
          <w:szCs w:val="21"/>
          <w:highlight w:val="none"/>
        </w:rPr>
        <w:t>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w:t>
      </w:r>
      <w:r>
        <w:rPr>
          <w:rFonts w:hint="eastAsia"/>
          <w:color w:val="auto"/>
          <w:szCs w:val="21"/>
          <w:highlight w:val="none"/>
          <w:lang w:val="en-US" w:eastAsia="zh-CN"/>
        </w:rPr>
        <w:t>网络和终端隔离产品</w:t>
      </w:r>
      <w:r>
        <w:rPr>
          <w:rFonts w:hint="eastAsia"/>
          <w:color w:val="auto"/>
          <w:szCs w:val="21"/>
          <w:highlight w:val="none"/>
        </w:rPr>
        <w:t>、反垃圾邮件产品、网络综合审计</w:t>
      </w:r>
      <w:r>
        <w:rPr>
          <w:rFonts w:hint="eastAsia"/>
          <w:color w:val="auto"/>
          <w:szCs w:val="21"/>
          <w:highlight w:val="none"/>
          <w:lang w:val="en-US" w:eastAsia="zh-CN"/>
        </w:rPr>
        <w:t>产品</w:t>
      </w:r>
      <w:r>
        <w:rPr>
          <w:rFonts w:hint="eastAsia"/>
          <w:color w:val="auto"/>
          <w:szCs w:val="21"/>
          <w:highlight w:val="none"/>
        </w:rPr>
        <w:t>、网络脆弱性扫描产品、安全数据库系统、网站恢复产品</w:t>
      </w:r>
      <w:r>
        <w:rPr>
          <w:rFonts w:hint="eastAsia"/>
          <w:color w:val="auto"/>
          <w:szCs w:val="21"/>
          <w:highlight w:val="none"/>
          <w:lang w:eastAsia="zh-CN"/>
        </w:rPr>
        <w:t>、</w:t>
      </w:r>
      <w:r>
        <w:rPr>
          <w:rFonts w:hint="eastAsia"/>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36FD5CE5">
      <w:pPr>
        <w:spacing w:before="120" w:line="320" w:lineRule="atLeast"/>
        <w:ind w:firstLine="420" w:firstLineChars="200"/>
        <w:rPr>
          <w:color w:val="auto"/>
          <w:highlight w:val="none"/>
        </w:rPr>
      </w:pPr>
      <w:r>
        <w:rPr>
          <w:color w:val="auto"/>
          <w:highlight w:val="none"/>
        </w:rPr>
        <w:t>6.3.3澄清、说明或补正</w:t>
      </w:r>
    </w:p>
    <w:p w14:paraId="35B1F3D7">
      <w:pP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w:t>
      </w:r>
      <w:r>
        <w:rPr>
          <w:rFonts w:hint="eastAsia" w:hAnsi="宋体"/>
          <w:color w:val="auto"/>
          <w:highlight w:val="none"/>
        </w:rPr>
        <w:t>谈判</w:t>
      </w:r>
      <w:r>
        <w:rPr>
          <w:rFonts w:hint="eastAsia"/>
          <w:color w:val="auto"/>
          <w:highlight w:val="none"/>
        </w:rPr>
        <w:t>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w:t>
      </w:r>
      <w:r>
        <w:rPr>
          <w:rFonts w:hint="eastAsia" w:hAnsi="宋体"/>
          <w:color w:val="auto"/>
          <w:highlight w:val="none"/>
        </w:rPr>
        <w:t>谈判</w:t>
      </w:r>
      <w:r>
        <w:rPr>
          <w:rFonts w:hint="eastAsia"/>
          <w:color w:val="auto"/>
          <w:highlight w:val="none"/>
        </w:rPr>
        <w:t>小组。供应商的澄清、说明或者补正不得超出响应文件的范围或者改变响应文件的实质性内容。供应商未在规定时间内进行澄清、说明或者补正的，按无效响应处理。</w:t>
      </w:r>
    </w:p>
    <w:p w14:paraId="603D56E0">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w:t>
      </w:r>
      <w:r>
        <w:rPr>
          <w:rFonts w:hint="eastAsia" w:hAnsi="宋体"/>
          <w:color w:val="auto"/>
          <w:highlight w:val="none"/>
        </w:rPr>
        <w:t>谈判</w:t>
      </w:r>
      <w:r>
        <w:rPr>
          <w:rFonts w:hint="eastAsia"/>
          <w:color w:val="auto"/>
          <w:highlight w:val="none"/>
        </w:rPr>
        <w:t>小组以书面形式要求供应商在规定时间内作出必要的澄清、说明或者补正。供应商的澄清、说明或者补正必须采用书面形式，并加盖公章或者由法定代表人或者其授权的代表签字。</w:t>
      </w:r>
    </w:p>
    <w:p w14:paraId="7F96ADDA">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38A1E9B4">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2CBBBB54">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7705A962">
      <w:pP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3F250E83">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0AECAA69">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1F3BC72E">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349CA166">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）经供应商确认修正后的最后报价若超过采购预算金额或者最高限价，其响应文件作无效响应处理。</w:t>
      </w:r>
    </w:p>
    <w:p w14:paraId="793C77D6">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）经供应商确认修正后的最后报价作为签订合同的依据，并以此报价计算价格分。</w:t>
      </w:r>
    </w:p>
    <w:p w14:paraId="31D9111E">
      <w:pPr>
        <w:spacing w:before="120" w:line="320" w:lineRule="atLeast"/>
        <w:ind w:firstLine="420" w:firstLineChars="200"/>
        <w:rPr>
          <w:rFonts w:hint="eastAsia"/>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w:t>
      </w:r>
      <w:r>
        <w:rPr>
          <w:rFonts w:hint="eastAsia" w:hAnsi="宋体"/>
          <w:color w:val="auto"/>
          <w:highlight w:val="none"/>
        </w:rPr>
        <w:t>谈判</w:t>
      </w:r>
      <w:r>
        <w:rPr>
          <w:rFonts w:hint="eastAsia"/>
          <w:color w:val="auto"/>
          <w:szCs w:val="21"/>
          <w:highlight w:val="none"/>
        </w:rPr>
        <w:t>过程中有多轮报价的，</w:t>
      </w:r>
      <w:r>
        <w:rPr>
          <w:rFonts w:hint="eastAsia" w:hAnsi="宋体"/>
          <w:color w:val="auto"/>
          <w:highlight w:val="none"/>
        </w:rPr>
        <w:t>谈判</w:t>
      </w:r>
      <w:r>
        <w:rPr>
          <w:rFonts w:hint="eastAsia"/>
          <w:color w:val="auto"/>
          <w:szCs w:val="21"/>
          <w:highlight w:val="none"/>
        </w:rPr>
        <w:t>小组在每一轮报价均应按上述规则修正报价。</w:t>
      </w:r>
    </w:p>
    <w:p w14:paraId="5E7F82FF">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6.3.5异常低价审查</w:t>
      </w:r>
    </w:p>
    <w:p w14:paraId="5444E988">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lang w:val="en-US" w:eastAsia="zh-CN"/>
        </w:rPr>
        <w:t>异常低价审查情形见</w:t>
      </w:r>
      <w:r>
        <w:rPr>
          <w:color w:val="auto"/>
          <w:szCs w:val="21"/>
          <w:highlight w:val="none"/>
        </w:rPr>
        <w:t>“</w:t>
      </w:r>
      <w:r>
        <w:rPr>
          <w:rFonts w:hint="eastAsia"/>
          <w:color w:val="auto"/>
          <w:szCs w:val="21"/>
          <w:highlight w:val="none"/>
          <w:lang w:val="en-US" w:eastAsia="zh-CN"/>
        </w:rPr>
        <w:t>供应商</w:t>
      </w:r>
      <w:r>
        <w:rPr>
          <w:rFonts w:hint="eastAsia"/>
          <w:color w:val="auto"/>
          <w:szCs w:val="21"/>
          <w:highlight w:val="none"/>
          <w:lang w:eastAsia="zh-CN"/>
        </w:rPr>
        <w:t>须知</w:t>
      </w:r>
      <w:r>
        <w:rPr>
          <w:color w:val="auto"/>
          <w:szCs w:val="21"/>
          <w:highlight w:val="none"/>
        </w:rPr>
        <w:t>前附表”规定。</w:t>
      </w:r>
    </w:p>
    <w:p w14:paraId="6BFF4C10">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1D07FE73">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eastAsia"/>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r>
        <w:rPr>
          <w:rFonts w:hint="eastAsia"/>
          <w:color w:val="auto"/>
          <w:szCs w:val="21"/>
          <w:highlight w:val="none"/>
          <w:lang w:val="en-US" w:eastAsia="zh-CN"/>
        </w:rPr>
        <w:t>。</w:t>
      </w:r>
    </w:p>
    <w:p w14:paraId="574B2040">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lang w:val="en-US" w:eastAsia="zh-CN"/>
        </w:rPr>
        <w:t>6</w:t>
      </w:r>
      <w:r>
        <w:rPr>
          <w:rFonts w:hint="eastAsia"/>
          <w:color w:val="auto"/>
          <w:szCs w:val="21"/>
          <w:highlight w:val="none"/>
        </w:rPr>
        <w:t>相同品牌认定（仅适用于货物采购项目）</w:t>
      </w:r>
    </w:p>
    <w:p w14:paraId="03134EDB">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81"/>
    <w:p w14:paraId="6C21C1B8">
      <w:pPr>
        <w:spacing w:before="120" w:line="320" w:lineRule="atLeast"/>
        <w:ind w:firstLine="420" w:firstLineChars="200"/>
        <w:rPr>
          <w:color w:val="auto"/>
          <w:szCs w:val="21"/>
          <w:highlight w:val="none"/>
        </w:rPr>
      </w:pPr>
      <w:r>
        <w:rPr>
          <w:rFonts w:hint="eastAsia"/>
          <w:color w:val="auto"/>
          <w:szCs w:val="21"/>
          <w:highlight w:val="none"/>
        </w:rPr>
        <w:t>提供相同品牌产品的不同供应商参加同一合同项下响应的，以其中通过资格审查、符合性审查且报价最低的参加评标；报价相同的，由采购人或者采购人委托谈判小组按照采购文件规定的方式确定一个参加评标的供应商，采购文件未规定的采取随机抽取方式确定，其他响应无效。</w:t>
      </w:r>
    </w:p>
    <w:p w14:paraId="1FDB5FA7">
      <w:pP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46CC6489">
      <w:pPr>
        <w:spacing w:before="120" w:line="320" w:lineRule="atLeast"/>
        <w:ind w:firstLine="420" w:firstLineChars="200"/>
        <w:rPr>
          <w:rFonts w:hint="eastAsia"/>
          <w:color w:val="auto"/>
          <w:highlight w:val="none"/>
        </w:rPr>
      </w:pPr>
      <w:r>
        <w:rPr>
          <w:color w:val="auto"/>
          <w:highlight w:val="none"/>
        </w:rPr>
        <w:t>6.3.</w:t>
      </w:r>
      <w:r>
        <w:rPr>
          <w:rFonts w:hint="eastAsia"/>
          <w:color w:val="auto"/>
          <w:highlight w:val="none"/>
          <w:lang w:val="en-US" w:eastAsia="zh-CN"/>
        </w:rPr>
        <w:t>7</w:t>
      </w:r>
      <w:r>
        <w:rPr>
          <w:rFonts w:hint="eastAsia"/>
          <w:color w:val="auto"/>
          <w:highlight w:val="none"/>
        </w:rPr>
        <w:t>谈判</w:t>
      </w:r>
    </w:p>
    <w:p w14:paraId="6FF0FC7A">
      <w:pPr>
        <w:spacing w:before="120" w:line="320" w:lineRule="atLeast"/>
        <w:ind w:firstLine="420" w:firstLineChars="200"/>
        <w:rPr>
          <w:rFonts w:hint="eastAsia"/>
          <w:color w:val="auto"/>
          <w:highlight w:val="none"/>
        </w:rPr>
      </w:pPr>
      <w:r>
        <w:rPr>
          <w:rFonts w:hint="eastAsia"/>
          <w:color w:val="auto"/>
          <w:highlight w:val="none"/>
        </w:rPr>
        <w:t>（1）谈判小组按照供应商须知前附表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4B40A3E1">
      <w:pPr>
        <w:spacing w:before="120" w:line="320" w:lineRule="atLeast"/>
        <w:ind w:firstLine="420" w:firstLineChars="200"/>
        <w:rPr>
          <w:color w:val="auto"/>
          <w:highlight w:val="none"/>
        </w:rPr>
      </w:pPr>
      <w:r>
        <w:rPr>
          <w:rFonts w:hint="eastAsia"/>
          <w:color w:val="auto"/>
          <w:highlight w:val="none"/>
        </w:rPr>
        <w:t>（2）在谈判过程中，谈判小组可以根据采购文件和谈判情况实质性变动采购需求中的技术、服务要求以及合同草案条款，但不得变动采购文件中的其他内容。实质性变动的内容，须经采购人代表确认。</w:t>
      </w:r>
    </w:p>
    <w:p w14:paraId="2C00D1AF">
      <w:pP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对采购文件作出的实质性变动是采购文件的有效组成部分，由谈判小组通过广西政府采购云平台以书面形式同时通知所有参加谈判的供应商。</w:t>
      </w:r>
    </w:p>
    <w:p w14:paraId="0D23CD57">
      <w:pPr>
        <w:spacing w:before="120" w:line="320" w:lineRule="atLeast"/>
        <w:ind w:firstLine="420" w:firstLineChars="200"/>
        <w:rPr>
          <w:rFonts w:hint="eastAsia"/>
          <w:color w:val="auto"/>
          <w:highlight w:val="none"/>
        </w:rPr>
      </w:pPr>
      <w:r>
        <w:rPr>
          <w:rFonts w:hint="eastAsia"/>
          <w:color w:val="auto"/>
          <w:highlight w:val="none"/>
        </w:rPr>
        <w:t>（3）供应商必须按照采购文件的变动情况和谈判小组的要求重新提交响应文件，并在广西政府采购云平台在线编辑或上传PDF格式，使用电子签章后提交至谈判小组。参加谈判的供应商未在规定时间内重新提交响应文件的，视同退出谈判。</w:t>
      </w:r>
    </w:p>
    <w:p w14:paraId="162B99D4">
      <w:pPr>
        <w:spacing w:before="120" w:line="320" w:lineRule="atLeast"/>
        <w:ind w:firstLine="420" w:firstLineChars="200"/>
        <w:rPr>
          <w:color w:val="auto"/>
          <w:highlight w:val="none"/>
        </w:rPr>
      </w:pPr>
      <w:r>
        <w:rPr>
          <w:rFonts w:hint="eastAsia"/>
          <w:color w:val="auto"/>
          <w:highlight w:val="none"/>
        </w:rPr>
        <w:t>（4）供应商的法定代表人或其授权代表无须到现场参加谈判，提问及回答/响应均通过广西政府采购云平台进行。谈判过程中使用的电子签章应为供应商上传响应文件的同一签章。</w:t>
      </w:r>
    </w:p>
    <w:p w14:paraId="2AEF08C3">
      <w:pP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lang w:val="en-US" w:eastAsia="zh-CN"/>
        </w:rPr>
        <w:t>8</w:t>
      </w:r>
      <w:r>
        <w:rPr>
          <w:rFonts w:hint="eastAsia"/>
          <w:color w:val="auto"/>
          <w:highlight w:val="none"/>
        </w:rPr>
        <w:t>最后报价</w:t>
      </w:r>
    </w:p>
    <w:p w14:paraId="7A3B5789">
      <w:pPr>
        <w:spacing w:before="120" w:line="320" w:lineRule="atLeast"/>
        <w:ind w:firstLine="420" w:firstLineChars="200"/>
        <w:rPr>
          <w:rFonts w:hint="eastAsia"/>
          <w:color w:val="auto"/>
          <w:highlight w:val="none"/>
        </w:rPr>
      </w:pPr>
      <w:r>
        <w:rPr>
          <w:rFonts w:hint="eastAsia"/>
          <w:color w:val="auto"/>
          <w:highlight w:val="none"/>
        </w:rPr>
        <w:t xml:space="preserve">（1）采购文件能够详细列明采购标的的技术、服务要求的，谈判结束后，谈判小组应当要求所有实质性响应的供应商在规定时间内提交最后报价，提交最后报价的供应商不得少于3家。 </w:t>
      </w:r>
    </w:p>
    <w:p w14:paraId="6794C582">
      <w:pPr>
        <w:spacing w:before="120" w:line="320" w:lineRule="atLeast"/>
        <w:ind w:firstLine="420" w:firstLineChars="200"/>
        <w:rPr>
          <w:rFonts w:hint="eastAsia"/>
          <w:color w:val="auto"/>
          <w:highlight w:val="none"/>
        </w:rPr>
      </w:pPr>
      <w:r>
        <w:rPr>
          <w:rFonts w:hint="eastAsia"/>
          <w:color w:val="auto"/>
          <w:highlight w:val="none"/>
        </w:rPr>
        <w:t>采购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10CE180D">
      <w:pP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55E0F984">
      <w:pPr>
        <w:spacing w:before="120" w:line="320" w:lineRule="atLeast"/>
        <w:ind w:firstLine="420" w:firstLineChars="200"/>
        <w:rPr>
          <w:rFonts w:hint="eastAsia"/>
          <w:color w:val="auto"/>
          <w:highlight w:val="none"/>
        </w:rPr>
      </w:pPr>
      <w:r>
        <w:rPr>
          <w:rFonts w:hint="eastAsia"/>
          <w:color w:val="auto"/>
          <w:highlight w:val="none"/>
        </w:rPr>
        <w:t>（2）最后报价要求通过广西政府采购云平台发出，供应商需在广西政府采购云平台设置的时间内报价，最后报价不得超过采购预算金额且具有唯一性，否则否决其响应。</w:t>
      </w:r>
    </w:p>
    <w:p w14:paraId="71A113A3">
      <w:pPr>
        <w:spacing w:before="120" w:line="320" w:lineRule="atLeas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已提交响应文件的供应商，在提交最后报价之前，可以根据谈判情况退出谈判，退出谈判的供应商的响应文件无效。退出谈判的说明须经签字扫描后以电子邮件方式发送至采购代理机构，并及时通知项目负责人。谈判小组在评审报告中注明退出谈判的供应商名单。采购人、采购代理机构应当退还退出谈判的供应商的谈判保证金。</w:t>
      </w:r>
    </w:p>
    <w:p w14:paraId="077FE4F9">
      <w:pPr>
        <w:spacing w:before="120" w:line="320" w:lineRule="atLeast"/>
        <w:ind w:firstLine="420" w:firstLineChars="200"/>
        <w:rPr>
          <w:color w:val="auto"/>
          <w:highlight w:val="none"/>
        </w:rPr>
      </w:pPr>
      <w:r>
        <w:rPr>
          <w:rFonts w:hint="eastAsia"/>
          <w:color w:val="auto"/>
          <w:highlight w:val="none"/>
        </w:rPr>
        <w:t>（4）供应商未在规定时间内提交最后报价的，视同退出谈判。</w:t>
      </w:r>
    </w:p>
    <w:p w14:paraId="52605578">
      <w:pPr>
        <w:spacing w:before="120" w:line="320" w:lineRule="atLeast"/>
        <w:ind w:firstLine="420" w:firstLineChars="200"/>
        <w:rPr>
          <w:rFonts w:hint="eastAsia"/>
          <w:color w:val="auto"/>
          <w:highlight w:val="none"/>
        </w:rPr>
      </w:pPr>
      <w:r>
        <w:rPr>
          <w:rFonts w:hint="eastAsia"/>
          <w:color w:val="auto"/>
          <w:highlight w:val="none"/>
        </w:rPr>
        <w:t>（5）最后报价结束后，谈判小组不得再与供应商进行任何形式的商谈。</w:t>
      </w:r>
    </w:p>
    <w:p w14:paraId="7156D202">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9</w:t>
      </w:r>
      <w:r>
        <w:rPr>
          <w:color w:val="auto"/>
          <w:szCs w:val="21"/>
          <w:highlight w:val="none"/>
        </w:rPr>
        <w:t>串通投标认定</w:t>
      </w:r>
    </w:p>
    <w:p w14:paraId="12D4671F">
      <w:pPr>
        <w:spacing w:before="120" w:line="320" w:lineRule="atLeast"/>
        <w:ind w:firstLine="420" w:firstLineChars="200"/>
        <w:rPr>
          <w:color w:val="auto"/>
          <w:highlight w:val="none"/>
        </w:rPr>
      </w:pPr>
      <w:r>
        <w:rPr>
          <w:rFonts w:hint="eastAsia"/>
          <w:color w:val="auto"/>
          <w:szCs w:val="21"/>
          <w:highlight w:val="none"/>
        </w:rPr>
        <w:t>谈判</w:t>
      </w:r>
      <w:r>
        <w:rPr>
          <w:color w:val="auto"/>
          <w:szCs w:val="21"/>
          <w:highlight w:val="none"/>
        </w:rPr>
        <w:t>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76E0C494">
      <w:pPr>
        <w:spacing w:before="120" w:line="320" w:lineRule="atLeast"/>
        <w:ind w:firstLine="420" w:firstLineChars="200"/>
        <w:rPr>
          <w:color w:val="auto"/>
          <w:szCs w:val="21"/>
          <w:highlight w:val="none"/>
        </w:rPr>
      </w:pPr>
      <w:bookmarkStart w:id="82" w:name="_Hlk19122026"/>
      <w:r>
        <w:rPr>
          <w:rFonts w:hint="eastAsia"/>
          <w:color w:val="auto"/>
          <w:szCs w:val="21"/>
          <w:highlight w:val="none"/>
        </w:rPr>
        <w:t>（1）</w:t>
      </w:r>
      <w:bookmarkEnd w:id="82"/>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规定，出现下述情况的，相关供应商的投标作无效投标处理。</w:t>
      </w:r>
    </w:p>
    <w:p w14:paraId="634088FC">
      <w:pPr>
        <w:spacing w:before="120" w:line="320" w:lineRule="atLeast"/>
        <w:ind w:firstLine="420" w:firstLineChars="200"/>
        <w:rPr>
          <w:color w:val="auto"/>
          <w:szCs w:val="21"/>
          <w:highlight w:val="none"/>
        </w:rPr>
      </w:pPr>
      <w:bookmarkStart w:id="83"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0D872045">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668159D9">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83"/>
    <w:p w14:paraId="52E8B85E">
      <w:pPr>
        <w:spacing w:before="120" w:line="320" w:lineRule="atLeast"/>
        <w:ind w:firstLine="420" w:firstLineChars="200"/>
        <w:rPr>
          <w:color w:val="auto"/>
          <w:szCs w:val="21"/>
          <w:highlight w:val="none"/>
        </w:rPr>
      </w:pPr>
      <w:bookmarkStart w:id="84" w:name="_Hlk19122058"/>
      <w:r>
        <w:rPr>
          <w:rFonts w:hint="eastAsia"/>
          <w:color w:val="auto"/>
          <w:szCs w:val="21"/>
          <w:highlight w:val="none"/>
        </w:rPr>
        <w:t>（2）</w:t>
      </w:r>
      <w:bookmarkEnd w:id="84"/>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规定，有下列情形之一的视为供应商相互串通投标，响应文件将被视为无效。</w:t>
      </w:r>
    </w:p>
    <w:p w14:paraId="50D4A77E">
      <w:pPr>
        <w:spacing w:before="120" w:line="320" w:lineRule="atLeast"/>
        <w:ind w:firstLine="420" w:firstLineChars="200"/>
        <w:rPr>
          <w:color w:val="auto"/>
          <w:szCs w:val="21"/>
          <w:highlight w:val="none"/>
        </w:rPr>
      </w:pPr>
      <w:bookmarkStart w:id="85"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07453C3A">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302FDBF4">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1ECC8B89">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2BD0A17D">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4E2D5962">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85"/>
    <w:p w14:paraId="70304D54">
      <w:pPr>
        <w:spacing w:before="120" w:line="320" w:lineRule="atLeast"/>
        <w:ind w:firstLine="420" w:firstLineChars="200"/>
        <w:rPr>
          <w:color w:val="auto"/>
          <w:szCs w:val="21"/>
          <w:highlight w:val="none"/>
        </w:rPr>
      </w:pPr>
      <w:bookmarkStart w:id="86" w:name="_Hlk19122102"/>
      <w:r>
        <w:rPr>
          <w:rFonts w:hint="eastAsia"/>
          <w:color w:val="auto"/>
          <w:szCs w:val="21"/>
          <w:highlight w:val="none"/>
        </w:rPr>
        <w:t>（3）</w:t>
      </w:r>
      <w:bookmarkEnd w:id="86"/>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规定，供应商有下列情形之一的，属于恶意串通行为，响应文件将被视为无效。</w:t>
      </w:r>
    </w:p>
    <w:p w14:paraId="34EB5662">
      <w:pPr>
        <w:spacing w:before="120" w:line="320" w:lineRule="atLeast"/>
        <w:ind w:firstLine="420" w:firstLineChars="200"/>
        <w:rPr>
          <w:color w:val="auto"/>
          <w:szCs w:val="21"/>
          <w:highlight w:val="none"/>
        </w:rPr>
      </w:pPr>
      <w:bookmarkStart w:id="87"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3A530BD2">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r>
        <w:rPr>
          <w:rFonts w:hint="eastAsia"/>
          <w:color w:val="auto"/>
          <w:szCs w:val="21"/>
          <w:highlight w:val="none"/>
          <w:lang w:eastAsia="zh-CN"/>
        </w:rPr>
        <w:t>;</w:t>
      </w:r>
    </w:p>
    <w:p w14:paraId="510A2F1F">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36BCB102">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682DC1A5">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6DC4575C">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1009E25F">
      <w:pP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87"/>
    <w:p w14:paraId="5DA071AF">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64DA46CD">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206521BD">
      <w:pP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19A9B6C7">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6061BCBF">
      <w:pPr>
        <w:spacing w:before="120" w:line="320" w:lineRule="atLeast"/>
        <w:ind w:firstLine="420" w:firstLineChars="200"/>
        <w:rPr>
          <w:color w:val="auto"/>
          <w:szCs w:val="21"/>
          <w:highlight w:val="none"/>
        </w:rPr>
      </w:pPr>
      <w:bookmarkStart w:id="88"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谈判小组不得因装订、纸张、文件排序等非实质性的格式、形式问题认定投标无效或否决投标，从而限制和影响供应商投标（响应）。</w:t>
      </w:r>
    </w:p>
    <w:bookmarkEnd w:id="88"/>
    <w:p w14:paraId="27366107">
      <w:pPr>
        <w:spacing w:before="120" w:line="320" w:lineRule="atLeast"/>
        <w:ind w:firstLine="420" w:firstLineChars="200"/>
        <w:rPr>
          <w:color w:val="auto"/>
          <w:szCs w:val="21"/>
          <w:highlight w:val="none"/>
        </w:rPr>
      </w:pPr>
      <w:r>
        <w:rPr>
          <w:color w:val="auto"/>
          <w:szCs w:val="21"/>
          <w:highlight w:val="none"/>
        </w:rPr>
        <w:t>6.3.1</w:t>
      </w:r>
      <w:r>
        <w:rPr>
          <w:rFonts w:hint="eastAsia"/>
          <w:color w:val="auto"/>
          <w:szCs w:val="21"/>
          <w:highlight w:val="none"/>
          <w:lang w:val="en-US" w:eastAsia="zh-CN"/>
        </w:rPr>
        <w:t>1</w:t>
      </w:r>
      <w:r>
        <w:rPr>
          <w:color w:val="auto"/>
          <w:szCs w:val="21"/>
          <w:highlight w:val="none"/>
        </w:rPr>
        <w:t>比较</w:t>
      </w:r>
      <w:r>
        <w:rPr>
          <w:rFonts w:hint="eastAsia"/>
          <w:color w:val="auto"/>
          <w:szCs w:val="21"/>
          <w:highlight w:val="none"/>
        </w:rPr>
        <w:t>与评价</w:t>
      </w:r>
    </w:p>
    <w:p w14:paraId="5B5046E2">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谈判小组按扣除后的价格由低到高的顺序排列推荐3名以上供应商为本项目（或分标）的成交候选</w:t>
      </w:r>
      <w:r>
        <w:rPr>
          <w:rFonts w:hint="eastAsia"/>
          <w:color w:val="auto"/>
          <w:szCs w:val="21"/>
          <w:highlight w:val="none"/>
        </w:rPr>
        <w:t>供应商</w:t>
      </w:r>
      <w:r>
        <w:rPr>
          <w:color w:val="auto"/>
          <w:szCs w:val="21"/>
          <w:highlight w:val="none"/>
        </w:rPr>
        <w:t>，排名第一的为第一成交候选</w:t>
      </w:r>
      <w:r>
        <w:rPr>
          <w:rFonts w:hint="eastAsia"/>
          <w:color w:val="auto"/>
          <w:szCs w:val="21"/>
          <w:highlight w:val="none"/>
        </w:rPr>
        <w:t>供应商</w:t>
      </w:r>
      <w:r>
        <w:rPr>
          <w:color w:val="auto"/>
          <w:szCs w:val="21"/>
          <w:highlight w:val="none"/>
        </w:rPr>
        <w:t>。若供应商的响应</w:t>
      </w:r>
      <w:r>
        <w:rPr>
          <w:rFonts w:hint="eastAsia"/>
          <w:color w:val="auto"/>
          <w:szCs w:val="21"/>
          <w:highlight w:val="none"/>
        </w:rPr>
        <w:t>最后</w:t>
      </w:r>
      <w:r>
        <w:rPr>
          <w:color w:val="auto"/>
          <w:szCs w:val="21"/>
          <w:highlight w:val="none"/>
        </w:rPr>
        <w:t>报价经扣除后价格相同，则按服务条款的优劣顺序排列。若仍相同的，</w:t>
      </w:r>
      <w:r>
        <w:rPr>
          <w:rFonts w:hint="eastAsia"/>
          <w:color w:val="auto"/>
          <w:szCs w:val="21"/>
          <w:highlight w:val="none"/>
        </w:rPr>
        <w:t>由采购人自行确定</w:t>
      </w:r>
      <w:r>
        <w:rPr>
          <w:color w:val="auto"/>
          <w:szCs w:val="21"/>
          <w:highlight w:val="none"/>
        </w:rPr>
        <w:t>。</w:t>
      </w:r>
    </w:p>
    <w:p w14:paraId="0C763571">
      <w:pPr>
        <w:spacing w:before="120" w:line="320" w:lineRule="atLeast"/>
        <w:ind w:firstLine="420" w:firstLineChars="200"/>
        <w:rPr>
          <w:color w:val="auto"/>
          <w:highlight w:val="none"/>
        </w:rPr>
      </w:pPr>
      <w:r>
        <w:rPr>
          <w:rFonts w:hint="eastAsia"/>
          <w:color w:val="auto"/>
          <w:szCs w:val="21"/>
          <w:highlight w:val="none"/>
        </w:rPr>
        <w:t>（2）谈判小组根据评审记录及评审结果编写评审报告，谈判小组成员均应当在评审报告上签字，对自己的评审意见承担法律责任。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w:t>
      </w:r>
      <w:r>
        <w:rPr>
          <w:rFonts w:hint="eastAsia"/>
          <w:color w:val="auto"/>
          <w:highlight w:val="none"/>
        </w:rPr>
        <w:t>谈判</w:t>
      </w:r>
      <w:r>
        <w:rPr>
          <w:color w:val="auto"/>
          <w:highlight w:val="none"/>
        </w:rPr>
        <w:t>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w:t>
      </w:r>
      <w:r>
        <w:rPr>
          <w:rFonts w:hint="eastAsia"/>
          <w:color w:val="auto"/>
          <w:highlight w:val="none"/>
        </w:rPr>
        <w:t>谈判</w:t>
      </w:r>
      <w:r>
        <w:rPr>
          <w:color w:val="auto"/>
          <w:highlight w:val="none"/>
        </w:rPr>
        <w:t>小组进行重新评审。</w:t>
      </w:r>
    </w:p>
    <w:p w14:paraId="630529D1">
      <w:pPr>
        <w:spacing w:before="120" w:line="320" w:lineRule="atLeast"/>
        <w:ind w:firstLine="420" w:firstLineChars="200"/>
        <w:rPr>
          <w:rFonts w:hint="eastAsia"/>
          <w:color w:val="auto"/>
          <w:szCs w:val="21"/>
          <w:highlight w:val="none"/>
        </w:rPr>
      </w:pPr>
      <w:r>
        <w:rPr>
          <w:rFonts w:hint="eastAsia"/>
          <w:color w:val="auto"/>
          <w:highlight w:val="none"/>
        </w:rPr>
        <w:t>资格性检查认定错误、价格计算错误。</w:t>
      </w:r>
    </w:p>
    <w:bookmarkEnd w:id="76"/>
    <w:bookmarkEnd w:id="77"/>
    <w:p w14:paraId="0EBEBF21">
      <w:pP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5C0FA05B">
      <w:pPr>
        <w:spacing w:before="120" w:line="276" w:lineRule="auto"/>
        <w:ind w:firstLine="420" w:firstLineChars="200"/>
        <w:rPr>
          <w:color w:val="auto"/>
          <w:szCs w:val="21"/>
          <w:highlight w:val="none"/>
        </w:rPr>
      </w:pPr>
      <w:r>
        <w:rPr>
          <w:rFonts w:hint="eastAsia"/>
          <w:color w:val="auto"/>
          <w:szCs w:val="21"/>
          <w:highlight w:val="none"/>
        </w:rPr>
        <w:t>6.</w:t>
      </w:r>
      <w:r>
        <w:rPr>
          <w:color w:val="auto"/>
          <w:szCs w:val="21"/>
          <w:highlight w:val="none"/>
        </w:rPr>
        <w:t>4.1采购代理机构将在评审结束后2个工作日内将评审报告送采购人，采购人在5个工作日内按照评审报告中推荐的</w:t>
      </w:r>
      <w:r>
        <w:rPr>
          <w:rFonts w:hint="eastAsia"/>
          <w:color w:val="auto"/>
          <w:szCs w:val="21"/>
          <w:highlight w:val="none"/>
        </w:rPr>
        <w:t>成交</w:t>
      </w:r>
      <w:r>
        <w:rPr>
          <w:color w:val="auto"/>
          <w:szCs w:val="21"/>
          <w:highlight w:val="none"/>
        </w:rPr>
        <w:t>候选供应商顺序确定成交供应商。</w:t>
      </w:r>
    </w:p>
    <w:p w14:paraId="362A8551">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13FF4E9">
      <w:pP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343B8428">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r>
        <w:rPr>
          <w:rFonts w:hint="eastAsia"/>
          <w:color w:val="auto"/>
          <w:szCs w:val="21"/>
          <w:highlight w:val="none"/>
          <w:lang w:eastAsia="zh-CN"/>
        </w:rPr>
        <w:t>，成交</w:t>
      </w:r>
      <w:r>
        <w:rPr>
          <w:rFonts w:hint="eastAsia"/>
          <w:color w:val="auto"/>
          <w:szCs w:val="21"/>
          <w:highlight w:val="none"/>
        </w:rPr>
        <w:t>结果公告期限为1个工作日</w:t>
      </w:r>
      <w:r>
        <w:rPr>
          <w:rFonts w:hint="eastAsia"/>
          <w:color w:val="auto"/>
          <w:szCs w:val="21"/>
          <w:highlight w:val="none"/>
          <w:lang w:eastAsia="zh-CN"/>
        </w:rPr>
        <w:t>，</w:t>
      </w:r>
      <w:r>
        <w:rPr>
          <w:rFonts w:hint="eastAsia"/>
          <w:color w:val="auto"/>
          <w:szCs w:val="21"/>
          <w:highlight w:val="none"/>
        </w:rPr>
        <w:t>发布</w:t>
      </w:r>
      <w:r>
        <w:rPr>
          <w:rFonts w:hint="eastAsia"/>
          <w:color w:val="auto"/>
          <w:szCs w:val="21"/>
          <w:highlight w:val="none"/>
          <w:lang w:eastAsia="zh-CN"/>
        </w:rPr>
        <w:t>成交</w:t>
      </w:r>
      <w:r>
        <w:rPr>
          <w:rFonts w:hint="eastAsia"/>
          <w:color w:val="auto"/>
          <w:szCs w:val="21"/>
          <w:highlight w:val="none"/>
        </w:rPr>
        <w:t>结果公告的同时向</w:t>
      </w:r>
      <w:r>
        <w:rPr>
          <w:rFonts w:hint="eastAsia"/>
          <w:color w:val="auto"/>
          <w:szCs w:val="21"/>
          <w:highlight w:val="none"/>
          <w:lang w:eastAsia="zh-CN"/>
        </w:rPr>
        <w:t>成交</w:t>
      </w:r>
      <w:r>
        <w:rPr>
          <w:rFonts w:hint="eastAsia"/>
          <w:color w:val="auto"/>
          <w:szCs w:val="21"/>
          <w:highlight w:val="none"/>
        </w:rPr>
        <w:t>供应商发出</w:t>
      </w:r>
      <w:r>
        <w:rPr>
          <w:rFonts w:hint="eastAsia"/>
          <w:color w:val="auto"/>
          <w:szCs w:val="21"/>
          <w:highlight w:val="none"/>
          <w:lang w:eastAsia="zh-CN"/>
        </w:rPr>
        <w:t>成交</w:t>
      </w:r>
      <w:r>
        <w:rPr>
          <w:rFonts w:hint="eastAsia"/>
          <w:color w:val="auto"/>
          <w:szCs w:val="21"/>
          <w:highlight w:val="none"/>
        </w:rPr>
        <w:t>通知书。采购代理机构发出</w:t>
      </w:r>
      <w:r>
        <w:rPr>
          <w:rFonts w:hint="eastAsia"/>
          <w:color w:val="auto"/>
          <w:szCs w:val="21"/>
          <w:highlight w:val="none"/>
          <w:lang w:eastAsia="zh-CN"/>
        </w:rPr>
        <w:t>成交</w:t>
      </w:r>
      <w:r>
        <w:rPr>
          <w:rFonts w:hint="eastAsia"/>
          <w:color w:val="auto"/>
          <w:szCs w:val="21"/>
          <w:highlight w:val="none"/>
        </w:rPr>
        <w:t>通知书前，应当对</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信用进行核实，对列入失信被执行人、重大税收违法案件当事人名单、政府采购严重违法失信行为记录名单及其他不符合《中华人民共和国政府采购法》第二十二条规定条件的</w:t>
      </w:r>
      <w:r>
        <w:rPr>
          <w:rFonts w:hint="eastAsia"/>
          <w:color w:val="auto"/>
          <w:szCs w:val="21"/>
          <w:highlight w:val="none"/>
          <w:lang w:eastAsia="zh-CN"/>
        </w:rPr>
        <w:t>供应商</w:t>
      </w:r>
      <w:r>
        <w:rPr>
          <w:rFonts w:hint="eastAsia"/>
          <w:color w:val="auto"/>
          <w:szCs w:val="21"/>
          <w:highlight w:val="none"/>
        </w:rPr>
        <w:t>，取消其</w:t>
      </w:r>
      <w:r>
        <w:rPr>
          <w:rFonts w:hint="eastAsia"/>
          <w:color w:val="auto"/>
          <w:szCs w:val="21"/>
          <w:highlight w:val="none"/>
          <w:lang w:eastAsia="zh-CN"/>
        </w:rPr>
        <w:t>成交</w:t>
      </w:r>
      <w:r>
        <w:rPr>
          <w:rFonts w:hint="eastAsia"/>
          <w:color w:val="auto"/>
          <w:szCs w:val="21"/>
          <w:highlight w:val="none"/>
        </w:rPr>
        <w:t>资格，并确定排名第二的</w:t>
      </w:r>
      <w:r>
        <w:rPr>
          <w:rFonts w:hint="eastAsia"/>
          <w:color w:val="auto"/>
          <w:szCs w:val="21"/>
          <w:highlight w:val="none"/>
          <w:lang w:eastAsia="zh-CN"/>
        </w:rPr>
        <w:t>成交</w:t>
      </w:r>
      <w:r>
        <w:rPr>
          <w:rFonts w:hint="eastAsia"/>
          <w:color w:val="auto"/>
          <w:szCs w:val="21"/>
          <w:highlight w:val="none"/>
        </w:rPr>
        <w:t>候选人为</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。排名第二的</w:t>
      </w:r>
      <w:r>
        <w:rPr>
          <w:rFonts w:hint="eastAsia"/>
          <w:color w:val="auto"/>
          <w:szCs w:val="21"/>
          <w:highlight w:val="none"/>
          <w:lang w:eastAsia="zh-CN"/>
        </w:rPr>
        <w:t>成交</w:t>
      </w:r>
      <w:r>
        <w:rPr>
          <w:rFonts w:hint="eastAsia"/>
          <w:color w:val="auto"/>
          <w:szCs w:val="21"/>
          <w:highlight w:val="none"/>
        </w:rPr>
        <w:t>候选人因前款规定的同样原因被取消</w:t>
      </w:r>
      <w:r>
        <w:rPr>
          <w:rFonts w:hint="eastAsia"/>
          <w:color w:val="auto"/>
          <w:szCs w:val="21"/>
          <w:highlight w:val="none"/>
          <w:lang w:eastAsia="zh-CN"/>
        </w:rPr>
        <w:t>成交</w:t>
      </w:r>
      <w:r>
        <w:rPr>
          <w:rFonts w:hint="eastAsia"/>
          <w:color w:val="auto"/>
          <w:szCs w:val="21"/>
          <w:highlight w:val="none"/>
        </w:rPr>
        <w:t>资格的，</w:t>
      </w:r>
      <w:r>
        <w:rPr>
          <w:rFonts w:hint="eastAsia"/>
          <w:color w:val="auto"/>
          <w:szCs w:val="21"/>
          <w:highlight w:val="none"/>
          <w:lang w:val="en-US" w:eastAsia="zh-CN"/>
        </w:rPr>
        <w:t>采购人</w:t>
      </w:r>
      <w:r>
        <w:rPr>
          <w:rFonts w:hint="eastAsia"/>
          <w:color w:val="auto"/>
          <w:szCs w:val="21"/>
          <w:highlight w:val="none"/>
        </w:rPr>
        <w:t>可以确定排名第三的</w:t>
      </w:r>
      <w:r>
        <w:rPr>
          <w:rFonts w:hint="eastAsia"/>
          <w:color w:val="auto"/>
          <w:szCs w:val="21"/>
          <w:highlight w:val="none"/>
          <w:lang w:eastAsia="zh-CN"/>
        </w:rPr>
        <w:t>成交</w:t>
      </w:r>
      <w:r>
        <w:rPr>
          <w:rFonts w:hint="eastAsia"/>
          <w:color w:val="auto"/>
          <w:szCs w:val="21"/>
          <w:highlight w:val="none"/>
        </w:rPr>
        <w:t>候选人为</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，以此类推。以上信息查询记录及相关证据与采购文件一并保存。</w:t>
      </w:r>
    </w:p>
    <w:p w14:paraId="006A768D">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590EC690">
      <w:pP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708352D9">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53ECF86B">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06BE0828">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44036849">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4CD7CB73">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152F2C86">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48B8C542">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569A3089">
      <w:pP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1DFFEA75">
      <w:pP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 ，应在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没收谈判保证金</w:t>
      </w:r>
      <w:r>
        <w:rPr>
          <w:rFonts w:hint="eastAsia"/>
          <w:color w:val="auto"/>
          <w:szCs w:val="21"/>
          <w:highlight w:val="none"/>
        </w:rPr>
        <w:t>。</w:t>
      </w:r>
    </w:p>
    <w:p w14:paraId="3BD9E8B2">
      <w:pP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1BBA1827">
      <w:pP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49B4598A">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7B9AEA88">
      <w:pP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其谈判保证金将不予退还，并报由同级政府采购监督管理部门处理。</w:t>
      </w:r>
    </w:p>
    <w:p w14:paraId="34FE91F6">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28732EFC">
      <w:pPr>
        <w:spacing w:before="120" w:line="320" w:lineRule="atLeast"/>
        <w:ind w:firstLine="420" w:firstLineChars="200"/>
        <w:rPr>
          <w:rFonts w:hint="eastAsia"/>
          <w:color w:val="auto"/>
          <w:szCs w:val="21"/>
          <w:highlight w:val="none"/>
        </w:rPr>
      </w:pPr>
      <w:bookmarkStart w:id="89"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89"/>
    </w:p>
    <w:p w14:paraId="0EB4B23D">
      <w:pP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3B9FC77C">
      <w:pP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6A4D953E">
      <w:pP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02576853">
      <w:pPr>
        <w:spacing w:before="120" w:line="320" w:lineRule="atLeast"/>
        <w:ind w:firstLine="420" w:firstLineChars="200"/>
        <w:rPr>
          <w:rFonts w:hint="eastAsia"/>
          <w:color w:val="auto"/>
          <w:szCs w:val="21"/>
          <w:highlight w:val="none"/>
        </w:rPr>
      </w:pPr>
      <w:bookmarkStart w:id="90"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90"/>
    </w:p>
    <w:p w14:paraId="6F42A694">
      <w:pPr>
        <w:spacing w:before="120" w:line="320" w:lineRule="atLeast"/>
        <w:ind w:firstLine="422" w:firstLineChars="200"/>
        <w:outlineLvl w:val="2"/>
        <w:rPr>
          <w:b/>
          <w:bCs/>
          <w:color w:val="auto"/>
          <w:kern w:val="0"/>
          <w:szCs w:val="21"/>
          <w:highlight w:val="none"/>
        </w:rPr>
      </w:pPr>
      <w:r>
        <w:rPr>
          <w:b/>
          <w:bCs/>
          <w:color w:val="auto"/>
          <w:kern w:val="0"/>
          <w:szCs w:val="21"/>
          <w:highlight w:val="none"/>
        </w:rPr>
        <w:t>7.4 履行合同</w:t>
      </w:r>
    </w:p>
    <w:p w14:paraId="4ED205BE">
      <w:pPr>
        <w:spacing w:before="120" w:line="320" w:lineRule="atLeast"/>
        <w:ind w:firstLine="420" w:firstLineChars="200"/>
        <w:rPr>
          <w:color w:val="auto"/>
          <w:szCs w:val="21"/>
          <w:highlight w:val="none"/>
        </w:rPr>
      </w:pPr>
      <w:bookmarkStart w:id="91" w:name="_Toc217446070"/>
      <w:bookmarkStart w:id="92" w:name="_Toc308164814"/>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F44F5C6">
      <w:pP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91"/>
      <w:bookmarkEnd w:id="92"/>
    </w:p>
    <w:p w14:paraId="54B75354">
      <w:pP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4B1CB50F">
      <w:pP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76D4B3A2">
      <w:pP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277FE854">
      <w:pP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4A293A08">
      <w:pPr>
        <w:spacing w:before="120" w:line="320" w:lineRule="atLeast"/>
        <w:ind w:left="2" w:leftChars="1" w:firstLine="422" w:firstLineChars="200"/>
        <w:outlineLvl w:val="1"/>
        <w:rPr>
          <w:b/>
          <w:bCs/>
          <w:color w:val="auto"/>
          <w:kern w:val="0"/>
          <w:szCs w:val="21"/>
          <w:highlight w:val="none"/>
        </w:rPr>
      </w:pPr>
      <w:bookmarkStart w:id="93" w:name="_Toc254970674"/>
      <w:bookmarkStart w:id="94" w:name="_Toc254970533"/>
      <w:r>
        <w:rPr>
          <w:b/>
          <w:bCs/>
          <w:color w:val="auto"/>
          <w:kern w:val="0"/>
          <w:szCs w:val="21"/>
          <w:highlight w:val="none"/>
        </w:rPr>
        <w:t>8．质疑和投诉</w:t>
      </w:r>
      <w:bookmarkEnd w:id="93"/>
      <w:bookmarkEnd w:id="94"/>
    </w:p>
    <w:p w14:paraId="5CA84645">
      <w:pP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2A467D0E">
      <w:pPr>
        <w:spacing w:before="120" w:line="320" w:lineRule="atLeast"/>
        <w:ind w:firstLine="420" w:firstLineChars="200"/>
        <w:rPr>
          <w:color w:val="auto"/>
          <w:szCs w:val="21"/>
          <w:highlight w:val="none"/>
        </w:rPr>
      </w:pPr>
      <w:r>
        <w:rPr>
          <w:color w:val="auto"/>
          <w:szCs w:val="21"/>
          <w:highlight w:val="none"/>
        </w:rPr>
        <w:t>8.1.1质疑内容、时限</w:t>
      </w:r>
    </w:p>
    <w:p w14:paraId="5BCE1A77">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33689083">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lang w:eastAsia="zh-CN"/>
        </w:rPr>
        <w:t>供应商</w:t>
      </w:r>
      <w:r>
        <w:rPr>
          <w:rFonts w:hint="eastAsia"/>
          <w:color w:val="auto"/>
          <w:szCs w:val="21"/>
          <w:highlight w:val="none"/>
        </w:rPr>
        <w:t>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2A0C3070">
      <w:pPr>
        <w:spacing w:before="120" w:line="320" w:lineRule="atLeast"/>
        <w:ind w:firstLine="420" w:firstLineChars="200"/>
        <w:rPr>
          <w:color w:val="auto"/>
          <w:szCs w:val="21"/>
          <w:highlight w:val="none"/>
        </w:rPr>
      </w:pPr>
      <w:r>
        <w:rPr>
          <w:color w:val="auto"/>
          <w:szCs w:val="21"/>
          <w:highlight w:val="none"/>
        </w:rPr>
        <w:t>8.1.2质疑形式</w:t>
      </w:r>
    </w:p>
    <w:p w14:paraId="11A0380E">
      <w:pP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284EA08B">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4055A1EC">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25B7C494">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656FD169">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395C8391">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1EA70D3A">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3159A3C3">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7D8DD5F5">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34A3ADC5">
      <w:pP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2D55EDE5">
      <w:pP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3B7502A5">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519BB907">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9．其他事项</w:t>
      </w:r>
    </w:p>
    <w:p w14:paraId="272BFF7C">
      <w:pP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31910781">
      <w:pP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4A2C7386">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3DC9D21D">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4331EE5C">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1320117B">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029DD7D2">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1C0CD168">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4FB5C482">
      <w:pP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2DFAD2F7">
      <w:pP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0E40E2B3">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0821197A">
      <w:pP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531C3916">
      <w:pPr>
        <w:spacing w:before="120" w:line="320" w:lineRule="atLeast"/>
        <w:ind w:left="2" w:leftChars="1" w:firstLine="422" w:firstLineChars="200"/>
        <w:outlineLvl w:val="1"/>
        <w:rPr>
          <w:rFonts w:hint="eastAsia"/>
          <w:color w:val="auto"/>
          <w:sz w:val="32"/>
          <w:szCs w:val="32"/>
          <w:highlight w:val="none"/>
        </w:r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bookmarkEnd w:id="42"/>
    </w:p>
    <w:p w14:paraId="5970B20C">
      <w:pPr>
        <w:rPr>
          <w:color w:val="auto"/>
          <w:highlight w:val="none"/>
        </w:rPr>
      </w:pPr>
    </w:p>
    <w:bookmarkEnd w:id="40"/>
    <w:p w14:paraId="559AB1AC">
      <w:pPr>
        <w:spacing w:before="120" w:line="320" w:lineRule="atLeast"/>
        <w:jc w:val="center"/>
        <w:outlineLvl w:val="0"/>
        <w:rPr>
          <w:color w:val="auto"/>
          <w:sz w:val="32"/>
          <w:szCs w:val="32"/>
          <w:highlight w:val="none"/>
        </w:rPr>
      </w:pPr>
      <w:r>
        <w:rPr>
          <w:color w:val="auto"/>
          <w:szCs w:val="21"/>
          <w:highlight w:val="none"/>
        </w:rPr>
        <w:br w:type="page"/>
      </w:r>
      <w:bookmarkStart w:id="95" w:name="_Toc13891"/>
      <w:bookmarkStart w:id="96" w:name="_Toc8135"/>
      <w:bookmarkStart w:id="97" w:name="_Toc22905"/>
      <w:bookmarkStart w:id="98" w:name="_Toc699"/>
      <w:bookmarkStart w:id="99" w:name="_Toc13183"/>
      <w:bookmarkStart w:id="100" w:name="_Toc254970549"/>
      <w:bookmarkStart w:id="101" w:name="_Toc254970690"/>
      <w:r>
        <w:rPr>
          <w:color w:val="auto"/>
          <w:sz w:val="32"/>
          <w:szCs w:val="32"/>
          <w:highlight w:val="none"/>
        </w:rPr>
        <w:t>第四章  评审方法及标准</w:t>
      </w:r>
      <w:bookmarkEnd w:id="95"/>
      <w:bookmarkEnd w:id="96"/>
      <w:bookmarkEnd w:id="97"/>
      <w:bookmarkEnd w:id="98"/>
      <w:bookmarkEnd w:id="99"/>
    </w:p>
    <w:p w14:paraId="0D0F43BB">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150113E4">
      <w:pPr>
        <w:suppressAutoHyphens/>
        <w:spacing w:before="120" w:line="320" w:lineRule="atLeast"/>
        <w:ind w:firstLine="420" w:firstLineChars="200"/>
        <w:rPr>
          <w:color w:val="auto"/>
          <w:highlight w:val="none"/>
        </w:rPr>
      </w:pPr>
      <w:r>
        <w:rPr>
          <w:color w:val="auto"/>
          <w:szCs w:val="21"/>
          <w:highlight w:val="none"/>
        </w:rPr>
        <w:t>本项目采用</w:t>
      </w:r>
      <w:r>
        <w:rPr>
          <w:rFonts w:hint="eastAsia"/>
          <w:bCs/>
          <w:color w:val="auto"/>
          <w:kern w:val="1"/>
          <w:szCs w:val="21"/>
          <w:highlight w:val="none"/>
        </w:rPr>
        <w:t>最低评标价法</w:t>
      </w:r>
      <w:r>
        <w:rPr>
          <w:color w:val="auto"/>
          <w:szCs w:val="21"/>
          <w:highlight w:val="none"/>
        </w:rPr>
        <w:t>进行评审</w:t>
      </w:r>
      <w:r>
        <w:rPr>
          <w:bCs/>
          <w:color w:val="auto"/>
          <w:kern w:val="1"/>
          <w:szCs w:val="21"/>
          <w:highlight w:val="none"/>
        </w:rPr>
        <w:t>。</w:t>
      </w:r>
      <w:r>
        <w:rPr>
          <w:color w:val="auto"/>
          <w:szCs w:val="21"/>
          <w:highlight w:val="none"/>
        </w:rPr>
        <w:t>最低评标价法，是指</w:t>
      </w:r>
      <w:r>
        <w:rPr>
          <w:rFonts w:hint="eastAsia"/>
          <w:color w:val="auto"/>
          <w:szCs w:val="21"/>
          <w:highlight w:val="none"/>
        </w:rPr>
        <w:t>响应</w:t>
      </w:r>
      <w:r>
        <w:rPr>
          <w:color w:val="auto"/>
          <w:szCs w:val="21"/>
          <w:highlight w:val="none"/>
        </w:rPr>
        <w:t>文件满足</w:t>
      </w:r>
      <w:r>
        <w:rPr>
          <w:rFonts w:hint="eastAsia"/>
          <w:color w:val="auto"/>
          <w:szCs w:val="21"/>
          <w:highlight w:val="none"/>
        </w:rPr>
        <w:t>采购文件</w:t>
      </w:r>
      <w:r>
        <w:rPr>
          <w:color w:val="auto"/>
          <w:szCs w:val="21"/>
          <w:highlight w:val="none"/>
        </w:rPr>
        <w:t>全部实质性要求且</w:t>
      </w:r>
      <w:r>
        <w:rPr>
          <w:rFonts w:hint="eastAsia"/>
          <w:color w:val="auto"/>
          <w:szCs w:val="21"/>
          <w:highlight w:val="none"/>
        </w:rPr>
        <w:t>谈判</w:t>
      </w:r>
      <w:r>
        <w:rPr>
          <w:color w:val="auto"/>
          <w:szCs w:val="21"/>
          <w:highlight w:val="none"/>
        </w:rPr>
        <w:t>报价最低的供应商为</w:t>
      </w:r>
      <w:r>
        <w:rPr>
          <w:rFonts w:hint="eastAsia"/>
          <w:color w:val="auto"/>
          <w:szCs w:val="21"/>
          <w:highlight w:val="none"/>
        </w:rPr>
        <w:t>成交</w:t>
      </w:r>
      <w:r>
        <w:rPr>
          <w:color w:val="auto"/>
          <w:szCs w:val="21"/>
          <w:highlight w:val="none"/>
        </w:rPr>
        <w:t>候选人的评</w:t>
      </w:r>
      <w:r>
        <w:rPr>
          <w:rFonts w:hint="eastAsia"/>
          <w:color w:val="auto"/>
          <w:szCs w:val="21"/>
          <w:highlight w:val="none"/>
        </w:rPr>
        <w:t>审</w:t>
      </w:r>
      <w:r>
        <w:rPr>
          <w:color w:val="auto"/>
          <w:szCs w:val="21"/>
          <w:highlight w:val="none"/>
        </w:rPr>
        <w:t>方法。</w:t>
      </w:r>
      <w:r>
        <w:rPr>
          <w:color w:val="auto"/>
          <w:highlight w:val="none"/>
        </w:rPr>
        <w:t xml:space="preserve"> </w:t>
      </w:r>
    </w:p>
    <w:p w14:paraId="575C9632">
      <w:pP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59528026">
      <w:pPr>
        <w:spacing w:before="120" w:line="320" w:lineRule="atLeast"/>
        <w:ind w:firstLine="413" w:firstLineChars="196"/>
        <w:outlineLvl w:val="1"/>
        <w:rPr>
          <w:rFonts w:hint="eastAsia"/>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102" w:name="_Hlk160525103"/>
      <w:r>
        <w:rPr>
          <w:rFonts w:hint="eastAsia"/>
          <w:b/>
          <w:bCs/>
          <w:color w:val="auto"/>
          <w:kern w:val="0"/>
          <w:szCs w:val="21"/>
          <w:highlight w:val="none"/>
        </w:rPr>
        <w:t>联合体投标的，联合体各方均应提交第一项基本资格要求的资格证明文件）</w:t>
      </w:r>
      <w:bookmarkEnd w:id="102"/>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0F9D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2FF4140E">
            <w:pPr>
              <w:spacing w:line="240" w:lineRule="exact"/>
              <w:jc w:val="center"/>
              <w:rPr>
                <w:b/>
                <w:color w:val="auto"/>
                <w:kern w:val="0"/>
                <w:szCs w:val="21"/>
                <w:highlight w:val="none"/>
              </w:rPr>
            </w:pPr>
            <w:bookmarkStart w:id="103" w:name="_Hlk92979501"/>
            <w:r>
              <w:rPr>
                <w:rFonts w:hint="eastAsia"/>
                <w:b/>
                <w:color w:val="auto"/>
                <w:kern w:val="0"/>
                <w:szCs w:val="21"/>
                <w:highlight w:val="none"/>
              </w:rPr>
              <w:t>审查</w:t>
            </w:r>
            <w:r>
              <w:rPr>
                <w:b/>
                <w:color w:val="auto"/>
                <w:kern w:val="0"/>
                <w:szCs w:val="21"/>
                <w:highlight w:val="none"/>
              </w:rPr>
              <w:t>因素</w:t>
            </w:r>
          </w:p>
        </w:tc>
        <w:tc>
          <w:tcPr>
            <w:tcW w:w="1843" w:type="dxa"/>
            <w:noWrap w:val="0"/>
            <w:vAlign w:val="center"/>
          </w:tcPr>
          <w:p w14:paraId="2EEC144D">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noWrap w:val="0"/>
            <w:vAlign w:val="center"/>
          </w:tcPr>
          <w:p w14:paraId="794FE4AC">
            <w:pPr>
              <w:spacing w:line="240" w:lineRule="exact"/>
              <w:jc w:val="center"/>
              <w:rPr>
                <w:b/>
                <w:color w:val="auto"/>
                <w:kern w:val="0"/>
                <w:szCs w:val="21"/>
                <w:highlight w:val="none"/>
              </w:rPr>
            </w:pPr>
            <w:r>
              <w:rPr>
                <w:rFonts w:hint="eastAsia"/>
                <w:b/>
                <w:color w:val="auto"/>
                <w:kern w:val="0"/>
                <w:szCs w:val="21"/>
                <w:highlight w:val="none"/>
              </w:rPr>
              <w:t>说明</w:t>
            </w:r>
          </w:p>
        </w:tc>
      </w:tr>
      <w:tr w14:paraId="600B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846" w:type="dxa"/>
            <w:vMerge w:val="restart"/>
            <w:noWrap w:val="0"/>
            <w:vAlign w:val="center"/>
          </w:tcPr>
          <w:p w14:paraId="62A78838">
            <w:pPr>
              <w:wordWrap/>
              <w:spacing w:line="240" w:lineRule="exact"/>
              <w:jc w:val="center"/>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noWrap w:val="0"/>
            <w:vAlign w:val="center"/>
          </w:tcPr>
          <w:p w14:paraId="0BB20296">
            <w:pPr>
              <w:wordWrap/>
              <w:spacing w:line="240" w:lineRule="exact"/>
              <w:jc w:val="left"/>
              <w:rPr>
                <w:color w:val="auto"/>
                <w:szCs w:val="21"/>
                <w:highlight w:val="none"/>
              </w:rPr>
            </w:pPr>
            <w:r>
              <w:rPr>
                <w:color w:val="auto"/>
                <w:szCs w:val="21"/>
                <w:highlight w:val="none"/>
              </w:rPr>
              <w:t>（1）具有独立承担民事责任的能力</w:t>
            </w:r>
          </w:p>
        </w:tc>
        <w:tc>
          <w:tcPr>
            <w:tcW w:w="6242" w:type="dxa"/>
            <w:vMerge w:val="restart"/>
            <w:noWrap w:val="0"/>
            <w:vAlign w:val="center"/>
          </w:tcPr>
          <w:p w14:paraId="1AD4E12E">
            <w:pPr>
              <w:wordWrap/>
              <w:spacing w:line="240" w:lineRule="exact"/>
              <w:jc w:val="center"/>
              <w:rPr>
                <w:color w:val="auto"/>
                <w:szCs w:val="21"/>
                <w:highlight w:val="none"/>
              </w:rPr>
            </w:pPr>
            <w:r>
              <w:rPr>
                <w:rFonts w:hint="eastAsia" w:ascii="Arial" w:hAnsi="Arial" w:cs="Arial"/>
                <w:color w:val="auto"/>
                <w:szCs w:val="21"/>
                <w:highlight w:val="none"/>
              </w:rPr>
              <w:t>供应商以“信用承诺函”</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tc>
      </w:tr>
      <w:tr w14:paraId="65B9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6" w:type="dxa"/>
            <w:vMerge w:val="continue"/>
            <w:noWrap w:val="0"/>
            <w:vAlign w:val="center"/>
          </w:tcPr>
          <w:p w14:paraId="78494CB8">
            <w:pPr>
              <w:wordWrap/>
              <w:spacing w:line="240" w:lineRule="exact"/>
              <w:jc w:val="center"/>
              <w:rPr>
                <w:color w:val="auto"/>
                <w:szCs w:val="21"/>
                <w:highlight w:val="none"/>
                <w:lang w:val="zh-CN"/>
              </w:rPr>
            </w:pPr>
          </w:p>
        </w:tc>
        <w:tc>
          <w:tcPr>
            <w:tcW w:w="1843" w:type="dxa"/>
            <w:noWrap w:val="0"/>
            <w:vAlign w:val="center"/>
          </w:tcPr>
          <w:p w14:paraId="5037596A">
            <w:pPr>
              <w:wordWrap/>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vMerge w:val="continue"/>
            <w:noWrap w:val="0"/>
            <w:vAlign w:val="center"/>
          </w:tcPr>
          <w:p w14:paraId="46D4774A">
            <w:pPr>
              <w:wordWrap/>
              <w:spacing w:line="240" w:lineRule="exact"/>
              <w:jc w:val="center"/>
              <w:rPr>
                <w:color w:val="auto"/>
                <w:szCs w:val="21"/>
                <w:highlight w:val="none"/>
              </w:rPr>
            </w:pPr>
          </w:p>
        </w:tc>
      </w:tr>
      <w:tr w14:paraId="475C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6" w:type="dxa"/>
            <w:vMerge w:val="continue"/>
            <w:noWrap w:val="0"/>
            <w:vAlign w:val="center"/>
          </w:tcPr>
          <w:p w14:paraId="38A3C293">
            <w:pPr>
              <w:wordWrap/>
              <w:spacing w:line="240" w:lineRule="exact"/>
              <w:jc w:val="center"/>
              <w:rPr>
                <w:color w:val="auto"/>
                <w:szCs w:val="21"/>
                <w:highlight w:val="none"/>
                <w:lang w:val="zh-CN"/>
              </w:rPr>
            </w:pPr>
          </w:p>
        </w:tc>
        <w:tc>
          <w:tcPr>
            <w:tcW w:w="1843" w:type="dxa"/>
            <w:noWrap w:val="0"/>
            <w:vAlign w:val="center"/>
          </w:tcPr>
          <w:p w14:paraId="3A488183">
            <w:pPr>
              <w:wordWrap/>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vMerge w:val="continue"/>
            <w:noWrap w:val="0"/>
            <w:vAlign w:val="center"/>
          </w:tcPr>
          <w:p w14:paraId="5A1E2683">
            <w:pPr>
              <w:wordWrap/>
              <w:spacing w:line="240" w:lineRule="exact"/>
              <w:jc w:val="center"/>
              <w:rPr>
                <w:color w:val="auto"/>
                <w:szCs w:val="21"/>
                <w:highlight w:val="none"/>
              </w:rPr>
            </w:pPr>
          </w:p>
        </w:tc>
      </w:tr>
      <w:tr w14:paraId="47FE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6" w:type="dxa"/>
            <w:vMerge w:val="continue"/>
            <w:noWrap w:val="0"/>
            <w:vAlign w:val="center"/>
          </w:tcPr>
          <w:p w14:paraId="22981048">
            <w:pPr>
              <w:wordWrap/>
              <w:spacing w:line="240" w:lineRule="exact"/>
              <w:jc w:val="center"/>
              <w:rPr>
                <w:color w:val="auto"/>
                <w:szCs w:val="21"/>
                <w:highlight w:val="none"/>
                <w:lang w:val="zh-CN"/>
              </w:rPr>
            </w:pPr>
          </w:p>
        </w:tc>
        <w:tc>
          <w:tcPr>
            <w:tcW w:w="1843" w:type="dxa"/>
            <w:noWrap w:val="0"/>
            <w:vAlign w:val="center"/>
          </w:tcPr>
          <w:p w14:paraId="2DD4A517">
            <w:pPr>
              <w:wordWrap/>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vMerge w:val="continue"/>
            <w:noWrap w:val="0"/>
            <w:vAlign w:val="center"/>
          </w:tcPr>
          <w:p w14:paraId="0A85D94C">
            <w:pPr>
              <w:wordWrap/>
              <w:spacing w:line="240" w:lineRule="exact"/>
              <w:jc w:val="center"/>
              <w:rPr>
                <w:color w:val="auto"/>
                <w:szCs w:val="21"/>
                <w:highlight w:val="none"/>
              </w:rPr>
            </w:pPr>
          </w:p>
        </w:tc>
      </w:tr>
      <w:tr w14:paraId="41F7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6" w:type="dxa"/>
            <w:vMerge w:val="continue"/>
            <w:noWrap w:val="0"/>
            <w:vAlign w:val="center"/>
          </w:tcPr>
          <w:p w14:paraId="10FBF814">
            <w:pPr>
              <w:wordWrap/>
              <w:spacing w:line="240" w:lineRule="exact"/>
              <w:jc w:val="center"/>
              <w:rPr>
                <w:color w:val="auto"/>
                <w:szCs w:val="21"/>
                <w:highlight w:val="none"/>
                <w:lang w:val="zh-CN"/>
              </w:rPr>
            </w:pPr>
          </w:p>
        </w:tc>
        <w:tc>
          <w:tcPr>
            <w:tcW w:w="1843" w:type="dxa"/>
            <w:noWrap w:val="0"/>
            <w:vAlign w:val="center"/>
          </w:tcPr>
          <w:p w14:paraId="6FF69617">
            <w:pPr>
              <w:wordWrap/>
              <w:spacing w:line="240" w:lineRule="exact"/>
              <w:jc w:val="left"/>
              <w:rPr>
                <w:rFonts w:hint="eastAsia"/>
                <w:color w:val="auto"/>
                <w:szCs w:val="21"/>
                <w:highlight w:val="none"/>
              </w:rPr>
            </w:pPr>
            <w:r>
              <w:rPr>
                <w:color w:val="auto"/>
                <w:szCs w:val="21"/>
                <w:highlight w:val="none"/>
              </w:rPr>
              <w:t>（5）参加政府采购活动前三年内，在经营活动中没有重大违法记录</w:t>
            </w:r>
          </w:p>
        </w:tc>
        <w:tc>
          <w:tcPr>
            <w:tcW w:w="6242" w:type="dxa"/>
            <w:noWrap w:val="0"/>
            <w:vAlign w:val="center"/>
          </w:tcPr>
          <w:p w14:paraId="762DB8F6">
            <w:pPr>
              <w:wordWrap/>
              <w:spacing w:line="240" w:lineRule="exact"/>
              <w:jc w:val="center"/>
              <w:rPr>
                <w:color w:val="auto"/>
                <w:szCs w:val="21"/>
                <w:highlight w:val="none"/>
              </w:rPr>
            </w:pPr>
            <w:r>
              <w:rPr>
                <w:rFonts w:hint="eastAsia"/>
                <w:color w:val="auto"/>
                <w:szCs w:val="21"/>
                <w:highlight w:val="none"/>
              </w:rPr>
              <w:t xml:space="preserve">审查无重大违法记录声明。须提供，格式见第六章响应文件格式“响应声明书”。 </w:t>
            </w:r>
          </w:p>
        </w:tc>
      </w:tr>
      <w:tr w14:paraId="490F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6" w:type="dxa"/>
            <w:vMerge w:val="continue"/>
            <w:noWrap w:val="0"/>
            <w:vAlign w:val="center"/>
          </w:tcPr>
          <w:p w14:paraId="495A28DA">
            <w:pPr>
              <w:wordWrap/>
              <w:spacing w:line="240" w:lineRule="exact"/>
              <w:jc w:val="center"/>
              <w:rPr>
                <w:color w:val="auto"/>
                <w:szCs w:val="21"/>
                <w:highlight w:val="none"/>
                <w:lang w:val="zh-CN"/>
              </w:rPr>
            </w:pPr>
          </w:p>
        </w:tc>
        <w:tc>
          <w:tcPr>
            <w:tcW w:w="1843" w:type="dxa"/>
            <w:noWrap w:val="0"/>
            <w:vAlign w:val="center"/>
          </w:tcPr>
          <w:p w14:paraId="3F343D05">
            <w:pPr>
              <w:wordWrap/>
              <w:spacing w:line="240" w:lineRule="exact"/>
              <w:jc w:val="left"/>
              <w:rPr>
                <w:color w:val="auto"/>
                <w:szCs w:val="21"/>
                <w:highlight w:val="none"/>
              </w:rPr>
            </w:pPr>
            <w:r>
              <w:rPr>
                <w:color w:val="auto"/>
                <w:szCs w:val="21"/>
                <w:highlight w:val="none"/>
              </w:rPr>
              <w:t>（6）具备法律、行政法规规定的其他要求</w:t>
            </w:r>
          </w:p>
        </w:tc>
        <w:tc>
          <w:tcPr>
            <w:tcW w:w="6242" w:type="dxa"/>
            <w:noWrap w:val="0"/>
            <w:vAlign w:val="center"/>
          </w:tcPr>
          <w:p w14:paraId="1FFB5F11">
            <w:pPr>
              <w:wordWrap/>
              <w:spacing w:line="240" w:lineRule="exact"/>
              <w:jc w:val="both"/>
              <w:rPr>
                <w:color w:val="auto"/>
                <w:szCs w:val="21"/>
                <w:highlight w:val="none"/>
              </w:rPr>
            </w:pPr>
            <w:r>
              <w:rPr>
                <w:color w:val="auto"/>
                <w:szCs w:val="21"/>
                <w:highlight w:val="none"/>
              </w:rPr>
              <w:t>无。</w:t>
            </w:r>
          </w:p>
        </w:tc>
      </w:tr>
      <w:tr w14:paraId="1D6C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46" w:type="dxa"/>
            <w:noWrap w:val="0"/>
            <w:vAlign w:val="center"/>
          </w:tcPr>
          <w:p w14:paraId="19B97B55">
            <w:pPr>
              <w:wordWrap/>
              <w:spacing w:line="240" w:lineRule="exact"/>
              <w:jc w:val="center"/>
              <w:rPr>
                <w:color w:val="auto"/>
                <w:szCs w:val="21"/>
                <w:highlight w:val="none"/>
                <w:lang w:val="zh-CN"/>
              </w:rPr>
            </w:pPr>
            <w:r>
              <w:rPr>
                <w:rFonts w:hint="eastAsia"/>
                <w:color w:val="auto"/>
                <w:kern w:val="0"/>
                <w:szCs w:val="21"/>
                <w:highlight w:val="none"/>
              </w:rPr>
              <w:t>采购政策</w:t>
            </w:r>
          </w:p>
        </w:tc>
        <w:tc>
          <w:tcPr>
            <w:tcW w:w="1843" w:type="dxa"/>
            <w:noWrap w:val="0"/>
            <w:vAlign w:val="center"/>
          </w:tcPr>
          <w:p w14:paraId="03526ABC">
            <w:pPr>
              <w:wordWrap/>
              <w:spacing w:line="240" w:lineRule="exact"/>
              <w:jc w:val="center"/>
              <w:rPr>
                <w:color w:val="auto"/>
                <w:szCs w:val="21"/>
                <w:highlight w:val="none"/>
              </w:rPr>
            </w:pPr>
            <w:r>
              <w:rPr>
                <w:rFonts w:hint="eastAsia"/>
                <w:color w:val="auto"/>
                <w:szCs w:val="21"/>
                <w:highlight w:val="none"/>
              </w:rPr>
              <w:t>落实政府采购政策需满足的资格要求</w:t>
            </w:r>
          </w:p>
        </w:tc>
        <w:tc>
          <w:tcPr>
            <w:tcW w:w="6242" w:type="dxa"/>
            <w:noWrap w:val="0"/>
            <w:vAlign w:val="center"/>
          </w:tcPr>
          <w:p w14:paraId="6DAE1D53">
            <w:pPr>
              <w:wordWrap/>
              <w:spacing w:line="240" w:lineRule="exact"/>
              <w:jc w:val="left"/>
              <w:rPr>
                <w:rFonts w:hint="eastAsia" w:eastAsia="宋体"/>
                <w:color w:val="auto"/>
                <w:szCs w:val="21"/>
                <w:highlight w:val="none"/>
                <w:lang w:eastAsia="zh-CN"/>
              </w:rPr>
            </w:pPr>
            <w:r>
              <w:rPr>
                <w:rFonts w:hint="eastAsia" w:ascii="宋体" w:hAnsi="宋体" w:cs="宋体"/>
                <w:color w:val="auto"/>
                <w:szCs w:val="21"/>
                <w:highlight w:val="none"/>
                <w:lang w:val="en-US" w:eastAsia="zh-CN"/>
              </w:rPr>
              <w:t>无</w:t>
            </w:r>
          </w:p>
        </w:tc>
      </w:tr>
      <w:tr w14:paraId="2568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noWrap w:val="0"/>
            <w:vAlign w:val="center"/>
          </w:tcPr>
          <w:p w14:paraId="05ACEF41">
            <w:pPr>
              <w:spacing w:line="240" w:lineRule="exact"/>
              <w:jc w:val="center"/>
              <w:rPr>
                <w:color w:val="auto"/>
                <w:szCs w:val="21"/>
                <w:highlight w:val="none"/>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noWrap w:val="0"/>
            <w:vAlign w:val="center"/>
          </w:tcPr>
          <w:p w14:paraId="02D79119">
            <w:pPr>
              <w:spacing w:line="240" w:lineRule="exact"/>
              <w:jc w:val="center"/>
              <w:rPr>
                <w:color w:val="auto"/>
                <w:szCs w:val="21"/>
                <w:highlight w:val="none"/>
              </w:rPr>
            </w:pPr>
            <w:r>
              <w:rPr>
                <w:color w:val="auto"/>
                <w:szCs w:val="21"/>
                <w:highlight w:val="none"/>
              </w:rPr>
              <w:t>（1）资质</w:t>
            </w:r>
            <w:r>
              <w:rPr>
                <w:rFonts w:hint="eastAsia"/>
                <w:color w:val="auto"/>
                <w:szCs w:val="21"/>
                <w:highlight w:val="none"/>
              </w:rPr>
              <w:t>要求</w:t>
            </w:r>
          </w:p>
        </w:tc>
        <w:tc>
          <w:tcPr>
            <w:tcW w:w="6242" w:type="dxa"/>
            <w:noWrap w:val="0"/>
            <w:vAlign w:val="center"/>
          </w:tcPr>
          <w:p w14:paraId="015A0572">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6D01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52185AE">
            <w:pPr>
              <w:spacing w:line="240" w:lineRule="exact"/>
              <w:jc w:val="center"/>
              <w:rPr>
                <w:color w:val="auto"/>
                <w:szCs w:val="21"/>
                <w:highlight w:val="none"/>
              </w:rPr>
            </w:pPr>
          </w:p>
        </w:tc>
        <w:tc>
          <w:tcPr>
            <w:tcW w:w="1843" w:type="dxa"/>
            <w:noWrap w:val="0"/>
            <w:vAlign w:val="center"/>
          </w:tcPr>
          <w:p w14:paraId="7716F865">
            <w:pPr>
              <w:spacing w:line="240" w:lineRule="exact"/>
              <w:jc w:val="center"/>
              <w:rPr>
                <w:color w:val="auto"/>
                <w:szCs w:val="21"/>
                <w:highlight w:val="none"/>
              </w:rPr>
            </w:pPr>
            <w:r>
              <w:rPr>
                <w:color w:val="auto"/>
                <w:szCs w:val="21"/>
                <w:highlight w:val="none"/>
              </w:rPr>
              <w:t>（2）业绩要求</w:t>
            </w:r>
          </w:p>
        </w:tc>
        <w:tc>
          <w:tcPr>
            <w:tcW w:w="6242" w:type="dxa"/>
            <w:noWrap w:val="0"/>
            <w:vAlign w:val="center"/>
          </w:tcPr>
          <w:p w14:paraId="27968A1C">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4FCC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846" w:type="dxa"/>
            <w:vMerge w:val="continue"/>
            <w:noWrap w:val="0"/>
            <w:vAlign w:val="center"/>
          </w:tcPr>
          <w:p w14:paraId="60F7E6ED">
            <w:pPr>
              <w:spacing w:line="240" w:lineRule="exact"/>
              <w:jc w:val="center"/>
              <w:rPr>
                <w:color w:val="auto"/>
                <w:szCs w:val="21"/>
                <w:highlight w:val="none"/>
              </w:rPr>
            </w:pPr>
          </w:p>
        </w:tc>
        <w:tc>
          <w:tcPr>
            <w:tcW w:w="1843" w:type="dxa"/>
            <w:noWrap w:val="0"/>
            <w:vAlign w:val="center"/>
          </w:tcPr>
          <w:p w14:paraId="2A155484">
            <w:pPr>
              <w:spacing w:line="240" w:lineRule="exact"/>
              <w:jc w:val="center"/>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）供应商不得参加响应的情形</w:t>
            </w:r>
          </w:p>
        </w:tc>
        <w:tc>
          <w:tcPr>
            <w:tcW w:w="6242" w:type="dxa"/>
            <w:noWrap w:val="0"/>
            <w:vAlign w:val="center"/>
          </w:tcPr>
          <w:p w14:paraId="5DD877C3">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73742C34">
            <w:pPr>
              <w:spacing w:line="240" w:lineRule="exact"/>
              <w:jc w:val="left"/>
              <w:rPr>
                <w:color w:val="auto"/>
                <w:kern w:val="0"/>
                <w:szCs w:val="21"/>
                <w:highlight w:val="none"/>
              </w:rPr>
            </w:pPr>
            <w:r>
              <w:rPr>
                <w:color w:val="auto"/>
                <w:szCs w:val="21"/>
                <w:highlight w:val="none"/>
              </w:rPr>
              <w:t>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供应商直接控股股东、管理关系信息表</w:t>
            </w:r>
            <w:r>
              <w:rPr>
                <w:color w:val="auto"/>
                <w:szCs w:val="21"/>
                <w:highlight w:val="none"/>
              </w:rPr>
              <w:t>”。</w:t>
            </w:r>
          </w:p>
        </w:tc>
      </w:tr>
      <w:tr w14:paraId="6B3C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5183378C">
            <w:pPr>
              <w:spacing w:line="240" w:lineRule="exact"/>
              <w:jc w:val="center"/>
              <w:rPr>
                <w:color w:val="auto"/>
                <w:kern w:val="0"/>
                <w:szCs w:val="21"/>
                <w:highlight w:val="none"/>
              </w:rPr>
            </w:pPr>
          </w:p>
        </w:tc>
        <w:tc>
          <w:tcPr>
            <w:tcW w:w="1843" w:type="dxa"/>
            <w:noWrap w:val="0"/>
            <w:vAlign w:val="center"/>
          </w:tcPr>
          <w:p w14:paraId="63A0800B">
            <w:pPr>
              <w:spacing w:line="240" w:lineRule="exact"/>
              <w:jc w:val="center"/>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noWrap w:val="0"/>
            <w:vAlign w:val="center"/>
          </w:tcPr>
          <w:p w14:paraId="52CB5653">
            <w:pPr>
              <w:spacing w:line="240" w:lineRule="exact"/>
              <w:jc w:val="left"/>
              <w:rPr>
                <w:color w:val="auto"/>
                <w:kern w:val="0"/>
                <w:szCs w:val="21"/>
                <w:highlight w:val="none"/>
              </w:rPr>
            </w:pPr>
            <w:r>
              <w:rPr>
                <w:rFonts w:hint="eastAsia"/>
                <w:color w:val="auto"/>
                <w:szCs w:val="21"/>
                <w:highlight w:val="none"/>
              </w:rPr>
              <w:t>未被列入失信被执行人、</w:t>
            </w:r>
            <w:r>
              <w:rPr>
                <w:color w:val="auto"/>
                <w:szCs w:val="21"/>
                <w:highlight w:val="none"/>
              </w:rPr>
              <w:t>重大税收违法失信主体、政府采购严重违法失信行为记录名单</w:t>
            </w:r>
            <w:r>
              <w:rPr>
                <w:rFonts w:hint="eastAsia"/>
                <w:color w:val="auto"/>
                <w:szCs w:val="21"/>
                <w:highlight w:val="none"/>
              </w:rPr>
              <w:t>。</w:t>
            </w:r>
          </w:p>
        </w:tc>
      </w:tr>
      <w:tr w14:paraId="593A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1ED7180B">
            <w:pPr>
              <w:spacing w:line="240" w:lineRule="exact"/>
              <w:jc w:val="center"/>
              <w:rPr>
                <w:color w:val="auto"/>
                <w:kern w:val="0"/>
                <w:szCs w:val="21"/>
                <w:highlight w:val="none"/>
              </w:rPr>
            </w:pPr>
          </w:p>
        </w:tc>
        <w:tc>
          <w:tcPr>
            <w:tcW w:w="1843" w:type="dxa"/>
            <w:noWrap w:val="0"/>
            <w:vAlign w:val="center"/>
          </w:tcPr>
          <w:p w14:paraId="196F32DB">
            <w:pPr>
              <w:spacing w:line="240" w:lineRule="exact"/>
              <w:jc w:val="center"/>
              <w:rPr>
                <w:color w:val="auto"/>
                <w:szCs w:val="21"/>
                <w:highlight w:val="none"/>
              </w:rPr>
            </w:pPr>
            <w:r>
              <w:rPr>
                <w:rFonts w:hint="eastAsia"/>
                <w:color w:val="auto"/>
                <w:szCs w:val="21"/>
                <w:highlight w:val="none"/>
              </w:rPr>
              <w:t>（5）分公司</w:t>
            </w:r>
          </w:p>
        </w:tc>
        <w:tc>
          <w:tcPr>
            <w:tcW w:w="6242" w:type="dxa"/>
            <w:noWrap w:val="0"/>
            <w:vAlign w:val="center"/>
          </w:tcPr>
          <w:p w14:paraId="52257BAB">
            <w:pPr>
              <w:spacing w:line="240" w:lineRule="exact"/>
              <w:jc w:val="left"/>
              <w:rPr>
                <w:color w:val="auto"/>
                <w:szCs w:val="21"/>
                <w:highlight w:val="none"/>
              </w:rPr>
            </w:pPr>
            <w:r>
              <w:rPr>
                <w:rFonts w:hint="eastAsia"/>
                <w:color w:val="auto"/>
                <w:szCs w:val="21"/>
                <w:highlight w:val="none"/>
              </w:rPr>
              <w:t>允许分公司参与响应的，供应商须提供总公司出具的授权其参与本项目的授权文件或制度。</w:t>
            </w:r>
          </w:p>
        </w:tc>
      </w:tr>
      <w:tr w14:paraId="4831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619B11E8">
            <w:pPr>
              <w:spacing w:line="240" w:lineRule="exact"/>
              <w:jc w:val="center"/>
              <w:rPr>
                <w:color w:val="auto"/>
                <w:kern w:val="0"/>
                <w:szCs w:val="21"/>
                <w:highlight w:val="none"/>
              </w:rPr>
            </w:pPr>
          </w:p>
        </w:tc>
        <w:tc>
          <w:tcPr>
            <w:tcW w:w="1843" w:type="dxa"/>
            <w:noWrap w:val="0"/>
            <w:vAlign w:val="center"/>
          </w:tcPr>
          <w:p w14:paraId="72386CE6">
            <w:pPr>
              <w:spacing w:line="240" w:lineRule="exact"/>
              <w:jc w:val="center"/>
              <w:rPr>
                <w:rFonts w:hint="eastAsia"/>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noWrap w:val="0"/>
            <w:vAlign w:val="center"/>
          </w:tcPr>
          <w:p w14:paraId="752104F0">
            <w:pPr>
              <w:spacing w:line="240" w:lineRule="exact"/>
              <w:jc w:val="left"/>
              <w:rPr>
                <w:rFonts w:hint="eastAsia"/>
                <w:color w:val="auto"/>
                <w:szCs w:val="21"/>
                <w:highlight w:val="none"/>
                <w:lang w:val="zh-CN"/>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7371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14153724">
            <w:pPr>
              <w:spacing w:line="240" w:lineRule="exact"/>
              <w:jc w:val="center"/>
              <w:rPr>
                <w:color w:val="auto"/>
                <w:kern w:val="0"/>
                <w:szCs w:val="21"/>
                <w:highlight w:val="none"/>
              </w:rPr>
            </w:pPr>
          </w:p>
        </w:tc>
        <w:tc>
          <w:tcPr>
            <w:tcW w:w="1843" w:type="dxa"/>
            <w:noWrap w:val="0"/>
            <w:vAlign w:val="center"/>
          </w:tcPr>
          <w:p w14:paraId="58E0C053">
            <w:pPr>
              <w:spacing w:line="240" w:lineRule="exact"/>
              <w:jc w:val="center"/>
              <w:rPr>
                <w:rFonts w:hint="eastAsia"/>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noWrap w:val="0"/>
            <w:vAlign w:val="center"/>
          </w:tcPr>
          <w:p w14:paraId="557E857A">
            <w:pPr>
              <w:spacing w:line="240" w:lineRule="exact"/>
              <w:jc w:val="left"/>
              <w:rPr>
                <w:rFonts w:hint="eastAsia"/>
                <w:color w:val="auto"/>
                <w:szCs w:val="21"/>
                <w:highlight w:val="none"/>
              </w:rPr>
            </w:pPr>
            <w:r>
              <w:rPr>
                <w:rFonts w:hint="eastAsia"/>
                <w:color w:val="auto"/>
                <w:szCs w:val="21"/>
                <w:highlight w:val="none"/>
                <w:lang w:val="zh-CN"/>
              </w:rPr>
              <w:t>须符合“谈判公告”的要求</w:t>
            </w:r>
          </w:p>
        </w:tc>
      </w:tr>
      <w:tr w14:paraId="32F5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4DDEB1FE">
            <w:pPr>
              <w:spacing w:line="240" w:lineRule="exact"/>
              <w:jc w:val="center"/>
              <w:rPr>
                <w:color w:val="auto"/>
                <w:kern w:val="0"/>
                <w:szCs w:val="21"/>
                <w:highlight w:val="none"/>
              </w:rPr>
            </w:pPr>
          </w:p>
        </w:tc>
        <w:tc>
          <w:tcPr>
            <w:tcW w:w="1843" w:type="dxa"/>
            <w:noWrap w:val="0"/>
            <w:vAlign w:val="center"/>
          </w:tcPr>
          <w:p w14:paraId="662EA8BD">
            <w:pPr>
              <w:spacing w:line="240" w:lineRule="exact"/>
              <w:jc w:val="center"/>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noWrap w:val="0"/>
            <w:vAlign w:val="center"/>
          </w:tcPr>
          <w:p w14:paraId="2AAB375D">
            <w:pPr>
              <w:spacing w:line="312" w:lineRule="auto"/>
              <w:jc w:val="left"/>
              <w:rPr>
                <w:color w:val="auto"/>
                <w:kern w:val="0"/>
                <w:szCs w:val="21"/>
                <w:highlight w:val="none"/>
              </w:rPr>
            </w:pPr>
            <w:r>
              <w:rPr>
                <w:rFonts w:hint="eastAsia"/>
                <w:color w:val="auto"/>
                <w:kern w:val="0"/>
                <w:szCs w:val="21"/>
                <w:highlight w:val="none"/>
              </w:rPr>
              <w:t>按</w:t>
            </w:r>
            <w:r>
              <w:rPr>
                <w:color w:val="auto"/>
                <w:kern w:val="0"/>
                <w:szCs w:val="21"/>
                <w:highlight w:val="none"/>
              </w:rPr>
              <w:t>照</w:t>
            </w:r>
            <w:r>
              <w:rPr>
                <w:rFonts w:hint="eastAsia"/>
                <w:color w:val="auto"/>
                <w:kern w:val="0"/>
                <w:szCs w:val="21"/>
                <w:highlight w:val="none"/>
              </w:rPr>
              <w:t>谈判</w:t>
            </w:r>
            <w:r>
              <w:rPr>
                <w:color w:val="auto"/>
                <w:kern w:val="0"/>
                <w:szCs w:val="21"/>
                <w:highlight w:val="none"/>
              </w:rPr>
              <w:t>公告规定获得</w:t>
            </w:r>
            <w:r>
              <w:rPr>
                <w:rFonts w:hint="eastAsia"/>
                <w:color w:val="auto"/>
                <w:kern w:val="0"/>
                <w:szCs w:val="21"/>
                <w:highlight w:val="none"/>
              </w:rPr>
              <w:t>采购</w:t>
            </w:r>
            <w:r>
              <w:rPr>
                <w:color w:val="auto"/>
                <w:kern w:val="0"/>
                <w:szCs w:val="21"/>
                <w:highlight w:val="none"/>
              </w:rPr>
              <w:t>文件。</w:t>
            </w:r>
            <w:r>
              <w:rPr>
                <w:rFonts w:hint="eastAsia"/>
                <w:color w:val="auto"/>
                <w:kern w:val="0"/>
                <w:szCs w:val="21"/>
                <w:highlight w:val="none"/>
              </w:rPr>
              <w:t>足额、及时缴纳谈判保证金。</w:t>
            </w:r>
          </w:p>
        </w:tc>
      </w:tr>
      <w:bookmarkEnd w:id="103"/>
    </w:tbl>
    <w:p w14:paraId="100E7A91">
      <w:pPr>
        <w:spacing w:before="120" w:line="320" w:lineRule="atLeast"/>
        <w:ind w:firstLine="413" w:firstLineChars="196"/>
        <w:outlineLvl w:val="1"/>
        <w:rPr>
          <w:b/>
          <w:bCs/>
          <w:color w:val="auto"/>
          <w:kern w:val="0"/>
          <w:szCs w:val="21"/>
          <w:highlight w:val="none"/>
        </w:rPr>
      </w:pPr>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1"/>
        <w:tblpPr w:leftFromText="180" w:rightFromText="180" w:vertAnchor="text" w:horzAnchor="margin" w:tblpX="108" w:tblpY="20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2364"/>
        <w:gridCol w:w="5153"/>
      </w:tblGrid>
      <w:tr w14:paraId="3FF4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424" w:type="dxa"/>
            <w:noWrap w:val="0"/>
            <w:vAlign w:val="center"/>
          </w:tcPr>
          <w:p w14:paraId="5D5D08EE">
            <w:pPr>
              <w:spacing w:line="240" w:lineRule="exact"/>
              <w:jc w:val="center"/>
              <w:rPr>
                <w:b/>
                <w:color w:val="auto"/>
                <w:kern w:val="0"/>
                <w:szCs w:val="21"/>
                <w:highlight w:val="none"/>
              </w:rPr>
            </w:pPr>
            <w:bookmarkStart w:id="104" w:name="_Hlk20388968"/>
            <w:bookmarkStart w:id="105" w:name="_Hlk48146640"/>
            <w:r>
              <w:rPr>
                <w:rFonts w:hint="eastAsia"/>
                <w:b/>
                <w:color w:val="auto"/>
                <w:kern w:val="0"/>
                <w:szCs w:val="21"/>
                <w:highlight w:val="none"/>
              </w:rPr>
              <w:t>审查</w:t>
            </w:r>
            <w:r>
              <w:rPr>
                <w:b/>
                <w:color w:val="auto"/>
                <w:kern w:val="0"/>
                <w:szCs w:val="21"/>
                <w:highlight w:val="none"/>
              </w:rPr>
              <w:t>因素</w:t>
            </w:r>
          </w:p>
        </w:tc>
        <w:tc>
          <w:tcPr>
            <w:tcW w:w="2364" w:type="dxa"/>
            <w:noWrap w:val="0"/>
            <w:vAlign w:val="center"/>
          </w:tcPr>
          <w:p w14:paraId="7CA8273F">
            <w:pPr>
              <w:spacing w:line="240" w:lineRule="exact"/>
              <w:jc w:val="center"/>
              <w:rPr>
                <w:b/>
                <w:color w:val="auto"/>
                <w:kern w:val="0"/>
                <w:szCs w:val="21"/>
                <w:highlight w:val="none"/>
              </w:rPr>
            </w:pPr>
            <w:r>
              <w:rPr>
                <w:rFonts w:hint="eastAsia"/>
                <w:b/>
                <w:color w:val="auto"/>
                <w:kern w:val="0"/>
                <w:szCs w:val="21"/>
                <w:highlight w:val="none"/>
              </w:rPr>
              <w:t>审查内容</w:t>
            </w:r>
          </w:p>
        </w:tc>
        <w:tc>
          <w:tcPr>
            <w:tcW w:w="5153" w:type="dxa"/>
            <w:noWrap w:val="0"/>
            <w:vAlign w:val="top"/>
          </w:tcPr>
          <w:p w14:paraId="59A0163E">
            <w:pPr>
              <w:spacing w:line="240" w:lineRule="exact"/>
              <w:jc w:val="center"/>
              <w:rPr>
                <w:b/>
                <w:color w:val="auto"/>
                <w:kern w:val="0"/>
                <w:szCs w:val="21"/>
                <w:highlight w:val="none"/>
              </w:rPr>
            </w:pPr>
          </w:p>
          <w:p w14:paraId="4BAE5EE0">
            <w:pPr>
              <w:spacing w:line="240" w:lineRule="exact"/>
              <w:jc w:val="center"/>
              <w:rPr>
                <w:b/>
                <w:color w:val="auto"/>
                <w:kern w:val="0"/>
                <w:szCs w:val="21"/>
                <w:highlight w:val="none"/>
              </w:rPr>
            </w:pPr>
            <w:r>
              <w:rPr>
                <w:rFonts w:hint="eastAsia"/>
                <w:b/>
                <w:color w:val="auto"/>
                <w:kern w:val="0"/>
                <w:szCs w:val="21"/>
                <w:highlight w:val="none"/>
              </w:rPr>
              <w:t>说明</w:t>
            </w:r>
          </w:p>
        </w:tc>
      </w:tr>
      <w:tr w14:paraId="2FB9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1424" w:type="dxa"/>
            <w:vMerge w:val="restart"/>
            <w:noWrap w:val="0"/>
            <w:vAlign w:val="center"/>
          </w:tcPr>
          <w:p w14:paraId="226FF417">
            <w:pPr>
              <w:spacing w:line="240" w:lineRule="exact"/>
              <w:jc w:val="center"/>
              <w:rPr>
                <w:color w:val="auto"/>
                <w:kern w:val="0"/>
                <w:szCs w:val="21"/>
                <w:highlight w:val="none"/>
              </w:rPr>
            </w:pPr>
            <w:r>
              <w:rPr>
                <w:rFonts w:hint="eastAsia"/>
                <w:color w:val="auto"/>
                <w:kern w:val="0"/>
                <w:szCs w:val="21"/>
                <w:highlight w:val="none"/>
              </w:rPr>
              <w:t>商务资信</w:t>
            </w:r>
          </w:p>
        </w:tc>
        <w:tc>
          <w:tcPr>
            <w:tcW w:w="2364" w:type="dxa"/>
            <w:noWrap w:val="0"/>
            <w:vAlign w:val="center"/>
          </w:tcPr>
          <w:p w14:paraId="785EBC04">
            <w:pPr>
              <w:spacing w:line="240" w:lineRule="exact"/>
              <w:rPr>
                <w:color w:val="auto"/>
                <w:highlight w:val="none"/>
              </w:rPr>
            </w:pPr>
            <w:r>
              <w:rPr>
                <w:rFonts w:hint="eastAsia"/>
                <w:color w:val="auto"/>
                <w:highlight w:val="none"/>
              </w:rPr>
              <w:t>法定代表人身份证明及授权委托书</w:t>
            </w:r>
          </w:p>
        </w:tc>
        <w:tc>
          <w:tcPr>
            <w:tcW w:w="5153" w:type="dxa"/>
            <w:noWrap w:val="0"/>
            <w:vAlign w:val="center"/>
          </w:tcPr>
          <w:p w14:paraId="69772F8E">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参加响应</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78339735">
            <w:pPr>
              <w:spacing w:line="240" w:lineRule="exact"/>
              <w:rPr>
                <w:rFonts w:ascii="宋体" w:hAnsi="宋体"/>
                <w:color w:val="auto"/>
                <w:szCs w:val="21"/>
                <w:highlight w:val="none"/>
              </w:rPr>
            </w:pPr>
            <w:r>
              <w:rPr>
                <w:rFonts w:hint="eastAsia"/>
                <w:color w:val="auto"/>
                <w:szCs w:val="21"/>
                <w:highlight w:val="none"/>
              </w:rPr>
              <w:t>法定代表人直接参加响应</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4C929CAE">
            <w:pPr>
              <w:spacing w:line="240" w:lineRule="exact"/>
              <w:rPr>
                <w:color w:val="auto"/>
                <w:highlight w:val="none"/>
              </w:rPr>
            </w:pPr>
            <w:r>
              <w:rPr>
                <w:rFonts w:ascii="宋体" w:hAnsi="宋体"/>
                <w:color w:val="auto"/>
                <w:szCs w:val="21"/>
                <w:highlight w:val="none"/>
              </w:rPr>
              <w:t>格式及附件见第六章响应文件格式要求</w:t>
            </w:r>
          </w:p>
        </w:tc>
      </w:tr>
      <w:tr w14:paraId="7654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424" w:type="dxa"/>
            <w:vMerge w:val="continue"/>
            <w:noWrap w:val="0"/>
            <w:vAlign w:val="center"/>
          </w:tcPr>
          <w:p w14:paraId="586DDB5D">
            <w:pPr>
              <w:spacing w:line="240" w:lineRule="exact"/>
              <w:jc w:val="center"/>
              <w:rPr>
                <w:color w:val="auto"/>
                <w:kern w:val="0"/>
                <w:szCs w:val="21"/>
                <w:highlight w:val="none"/>
              </w:rPr>
            </w:pPr>
          </w:p>
        </w:tc>
        <w:tc>
          <w:tcPr>
            <w:tcW w:w="2364" w:type="dxa"/>
            <w:noWrap w:val="0"/>
            <w:vAlign w:val="center"/>
          </w:tcPr>
          <w:p w14:paraId="648BA481">
            <w:pPr>
              <w:spacing w:line="240" w:lineRule="exact"/>
              <w:rPr>
                <w:color w:val="auto"/>
                <w:szCs w:val="21"/>
                <w:highlight w:val="none"/>
              </w:rPr>
            </w:pPr>
            <w:r>
              <w:rPr>
                <w:rFonts w:hint="eastAsia"/>
                <w:color w:val="auto"/>
                <w:szCs w:val="21"/>
                <w:highlight w:val="none"/>
              </w:rPr>
              <w:t>实质性条款响应</w:t>
            </w:r>
          </w:p>
        </w:tc>
        <w:tc>
          <w:tcPr>
            <w:tcW w:w="5153" w:type="dxa"/>
            <w:noWrap w:val="0"/>
            <w:vAlign w:val="center"/>
          </w:tcPr>
          <w:p w14:paraId="3CC1C0A6">
            <w:pPr>
              <w:spacing w:line="240" w:lineRule="exact"/>
              <w:rPr>
                <w:color w:val="auto"/>
                <w:szCs w:val="21"/>
                <w:highlight w:val="none"/>
              </w:rPr>
            </w:pPr>
            <w:r>
              <w:rPr>
                <w:rFonts w:hint="eastAsia" w:ascii="宋体" w:hAnsi="宋体"/>
                <w:color w:val="auto"/>
                <w:szCs w:val="21"/>
                <w:highlight w:val="none"/>
              </w:rPr>
              <w:t>采购文件实质性要求响应均无负偏离</w:t>
            </w:r>
          </w:p>
        </w:tc>
      </w:tr>
      <w:tr w14:paraId="7382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424" w:type="dxa"/>
            <w:vMerge w:val="continue"/>
            <w:noWrap w:val="0"/>
            <w:vAlign w:val="center"/>
          </w:tcPr>
          <w:p w14:paraId="0964127B">
            <w:pPr>
              <w:spacing w:line="240" w:lineRule="exact"/>
              <w:jc w:val="center"/>
              <w:rPr>
                <w:color w:val="auto"/>
                <w:kern w:val="0"/>
                <w:szCs w:val="21"/>
                <w:highlight w:val="none"/>
              </w:rPr>
            </w:pPr>
          </w:p>
        </w:tc>
        <w:tc>
          <w:tcPr>
            <w:tcW w:w="2364" w:type="dxa"/>
            <w:noWrap w:val="0"/>
            <w:vAlign w:val="center"/>
          </w:tcPr>
          <w:p w14:paraId="71339751">
            <w:pPr>
              <w:spacing w:line="240" w:lineRule="exact"/>
              <w:rPr>
                <w:color w:val="auto"/>
                <w:szCs w:val="21"/>
                <w:highlight w:val="none"/>
              </w:rPr>
            </w:pPr>
            <w:r>
              <w:rPr>
                <w:rFonts w:hint="eastAsia"/>
                <w:color w:val="auto"/>
                <w:szCs w:val="21"/>
                <w:highlight w:val="none"/>
              </w:rPr>
              <w:t>串通投标</w:t>
            </w:r>
          </w:p>
        </w:tc>
        <w:tc>
          <w:tcPr>
            <w:tcW w:w="5153" w:type="dxa"/>
            <w:noWrap w:val="0"/>
            <w:vAlign w:val="center"/>
          </w:tcPr>
          <w:p w14:paraId="5FA6412B">
            <w:pPr>
              <w:spacing w:line="240" w:lineRule="exact"/>
              <w:rPr>
                <w:color w:val="auto"/>
                <w:szCs w:val="21"/>
                <w:highlight w:val="none"/>
              </w:rPr>
            </w:pPr>
            <w:r>
              <w:rPr>
                <w:rFonts w:hint="eastAsia" w:ascii="宋体" w:hAnsi="宋体"/>
                <w:color w:val="auto"/>
                <w:szCs w:val="21"/>
                <w:highlight w:val="none"/>
              </w:rPr>
              <w:t>不属于供应商须知正文第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规定的串通投标情形，见</w:t>
            </w:r>
            <w:r>
              <w:rPr>
                <w:rFonts w:ascii="宋体" w:hAnsi="宋体"/>
                <w:color w:val="auto"/>
                <w:szCs w:val="21"/>
                <w:highlight w:val="none"/>
              </w:rPr>
              <w:t>第六章响应文件格式要求</w:t>
            </w:r>
          </w:p>
        </w:tc>
      </w:tr>
      <w:tr w14:paraId="7C14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24" w:type="dxa"/>
            <w:vMerge w:val="restart"/>
            <w:noWrap w:val="0"/>
            <w:vAlign w:val="center"/>
          </w:tcPr>
          <w:p w14:paraId="43159B34">
            <w:pPr>
              <w:spacing w:line="240" w:lineRule="exact"/>
              <w:jc w:val="center"/>
              <w:rPr>
                <w:color w:val="auto"/>
                <w:kern w:val="0"/>
                <w:szCs w:val="21"/>
                <w:highlight w:val="none"/>
              </w:rPr>
            </w:pPr>
            <w:r>
              <w:rPr>
                <w:rFonts w:hint="eastAsia"/>
                <w:color w:val="auto"/>
                <w:kern w:val="0"/>
                <w:szCs w:val="21"/>
                <w:highlight w:val="none"/>
              </w:rPr>
              <w:t>报价</w:t>
            </w:r>
          </w:p>
        </w:tc>
        <w:tc>
          <w:tcPr>
            <w:tcW w:w="2364" w:type="dxa"/>
            <w:noWrap w:val="0"/>
            <w:vAlign w:val="center"/>
          </w:tcPr>
          <w:p w14:paraId="21F833DA">
            <w:pPr>
              <w:spacing w:line="240" w:lineRule="exact"/>
              <w:rPr>
                <w:color w:val="auto"/>
                <w:szCs w:val="21"/>
                <w:highlight w:val="none"/>
              </w:rPr>
            </w:pPr>
            <w:r>
              <w:rPr>
                <w:rFonts w:hint="eastAsia"/>
                <w:color w:val="auto"/>
                <w:szCs w:val="21"/>
                <w:highlight w:val="none"/>
              </w:rPr>
              <w:t>有效报价</w:t>
            </w:r>
          </w:p>
        </w:tc>
        <w:tc>
          <w:tcPr>
            <w:tcW w:w="5153" w:type="dxa"/>
            <w:noWrap w:val="0"/>
            <w:vAlign w:val="center"/>
          </w:tcPr>
          <w:p w14:paraId="03A64452">
            <w:pPr>
              <w:spacing w:line="240" w:lineRule="exact"/>
              <w:rPr>
                <w:bCs/>
                <w:color w:val="auto"/>
                <w:kern w:val="0"/>
                <w:szCs w:val="21"/>
                <w:highlight w:val="none"/>
              </w:rPr>
            </w:pPr>
            <w:r>
              <w:rPr>
                <w:rFonts w:hint="eastAsia"/>
                <w:color w:val="auto"/>
                <w:highlight w:val="none"/>
              </w:rPr>
              <w:t>报价未超出采购预算金额，也未超出最高限价（如有）</w:t>
            </w:r>
          </w:p>
        </w:tc>
      </w:tr>
      <w:tr w14:paraId="00E7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24" w:type="dxa"/>
            <w:vMerge w:val="continue"/>
            <w:noWrap w:val="0"/>
            <w:vAlign w:val="center"/>
          </w:tcPr>
          <w:p w14:paraId="4B449801">
            <w:pPr>
              <w:spacing w:line="240" w:lineRule="exact"/>
              <w:jc w:val="center"/>
              <w:rPr>
                <w:color w:val="auto"/>
                <w:kern w:val="0"/>
                <w:szCs w:val="21"/>
                <w:highlight w:val="none"/>
              </w:rPr>
            </w:pPr>
          </w:p>
        </w:tc>
        <w:tc>
          <w:tcPr>
            <w:tcW w:w="2364" w:type="dxa"/>
            <w:noWrap w:val="0"/>
            <w:vAlign w:val="center"/>
          </w:tcPr>
          <w:p w14:paraId="4E58233B">
            <w:pPr>
              <w:spacing w:line="240" w:lineRule="exact"/>
              <w:rPr>
                <w:bCs/>
                <w:color w:val="auto"/>
                <w:kern w:val="0"/>
                <w:szCs w:val="21"/>
                <w:highlight w:val="none"/>
              </w:rPr>
            </w:pPr>
            <w:r>
              <w:rPr>
                <w:rFonts w:hint="eastAsia"/>
                <w:bCs/>
                <w:color w:val="auto"/>
                <w:kern w:val="0"/>
                <w:szCs w:val="21"/>
                <w:highlight w:val="none"/>
              </w:rPr>
              <w:t>漏项报价</w:t>
            </w:r>
          </w:p>
        </w:tc>
        <w:tc>
          <w:tcPr>
            <w:tcW w:w="5153" w:type="dxa"/>
            <w:noWrap w:val="0"/>
            <w:vAlign w:val="center"/>
          </w:tcPr>
          <w:p w14:paraId="78B1DD34">
            <w:pPr>
              <w:spacing w:line="240" w:lineRule="exact"/>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6CC6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24" w:type="dxa"/>
            <w:vMerge w:val="continue"/>
            <w:noWrap w:val="0"/>
            <w:vAlign w:val="center"/>
          </w:tcPr>
          <w:p w14:paraId="2B41DD20">
            <w:pPr>
              <w:spacing w:line="240" w:lineRule="exact"/>
              <w:jc w:val="center"/>
              <w:rPr>
                <w:color w:val="auto"/>
                <w:kern w:val="0"/>
                <w:szCs w:val="21"/>
                <w:highlight w:val="none"/>
              </w:rPr>
            </w:pPr>
          </w:p>
        </w:tc>
        <w:tc>
          <w:tcPr>
            <w:tcW w:w="2364" w:type="dxa"/>
            <w:noWrap w:val="0"/>
            <w:vAlign w:val="center"/>
          </w:tcPr>
          <w:p w14:paraId="71AFD276">
            <w:pPr>
              <w:spacing w:line="240" w:lineRule="exact"/>
              <w:rPr>
                <w:rFonts w:hAnsi="宋体"/>
                <w:color w:val="auto"/>
                <w:szCs w:val="21"/>
                <w:highlight w:val="none"/>
              </w:rPr>
            </w:pPr>
            <w:r>
              <w:rPr>
                <w:rFonts w:hint="eastAsia" w:hAnsi="宋体"/>
                <w:color w:val="auto"/>
                <w:szCs w:val="21"/>
                <w:highlight w:val="none"/>
              </w:rPr>
              <w:t>响应报价唯一性</w:t>
            </w:r>
          </w:p>
        </w:tc>
        <w:tc>
          <w:tcPr>
            <w:tcW w:w="5153" w:type="dxa"/>
            <w:noWrap w:val="0"/>
            <w:vAlign w:val="center"/>
          </w:tcPr>
          <w:p w14:paraId="33DB4293">
            <w:pPr>
              <w:spacing w:line="240" w:lineRule="exact"/>
              <w:rPr>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391F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24" w:type="dxa"/>
            <w:vMerge w:val="continue"/>
            <w:noWrap w:val="0"/>
            <w:vAlign w:val="center"/>
          </w:tcPr>
          <w:p w14:paraId="6D77AD41">
            <w:pPr>
              <w:spacing w:line="240" w:lineRule="exact"/>
              <w:jc w:val="center"/>
              <w:rPr>
                <w:color w:val="auto"/>
                <w:kern w:val="0"/>
                <w:szCs w:val="21"/>
                <w:highlight w:val="none"/>
              </w:rPr>
            </w:pPr>
          </w:p>
        </w:tc>
        <w:tc>
          <w:tcPr>
            <w:tcW w:w="2364" w:type="dxa"/>
            <w:shd w:val="clear" w:color="auto" w:fill="auto"/>
            <w:noWrap w:val="0"/>
            <w:vAlign w:val="center"/>
          </w:tcPr>
          <w:p w14:paraId="051C06C0">
            <w:pPr>
              <w:spacing w:line="240" w:lineRule="exact"/>
              <w:rPr>
                <w:rFonts w:hint="eastAsia" w:ascii="Times New Roman" w:hAnsi="Times New Roman" w:eastAsia="宋体" w:cs="Times New Roman"/>
                <w:color w:val="auto"/>
                <w:kern w:val="2"/>
                <w:sz w:val="21"/>
                <w:szCs w:val="24"/>
                <w:highlight w:val="none"/>
                <w:lang w:val="zh-CN" w:eastAsia="zh-CN" w:bidi="ar-SA"/>
              </w:rPr>
            </w:pPr>
            <w:r>
              <w:rPr>
                <w:rFonts w:hint="eastAsia"/>
                <w:color w:val="auto"/>
                <w:szCs w:val="21"/>
                <w:highlight w:val="none"/>
                <w:lang w:val="zh-CN"/>
              </w:rPr>
              <w:t>过低报价合理性</w:t>
            </w:r>
          </w:p>
        </w:tc>
        <w:tc>
          <w:tcPr>
            <w:tcW w:w="5153" w:type="dxa"/>
            <w:shd w:val="clear" w:color="auto" w:fill="auto"/>
            <w:noWrap w:val="0"/>
            <w:vAlign w:val="center"/>
          </w:tcPr>
          <w:p w14:paraId="76E90367">
            <w:pPr>
              <w:spacing w:line="240" w:lineRule="exact"/>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eastAsia="zh-CN"/>
              </w:rPr>
              <w:t>的</w:t>
            </w:r>
            <w:r>
              <w:rPr>
                <w:rFonts w:hint="eastAsia"/>
                <w:color w:val="auto"/>
                <w:highlight w:val="none"/>
                <w:lang w:val="en-US" w:eastAsia="zh-CN"/>
              </w:rPr>
              <w:t>情形，评审委员会</w:t>
            </w:r>
            <w:r>
              <w:rPr>
                <w:rFonts w:hint="eastAsia"/>
                <w:color w:val="auto"/>
                <w:szCs w:val="21"/>
                <w:highlight w:val="none"/>
              </w:rPr>
              <w:t>应当要求其在评标现场合理的时间内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13FE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24" w:type="dxa"/>
            <w:vMerge w:val="continue"/>
            <w:noWrap w:val="0"/>
            <w:vAlign w:val="center"/>
          </w:tcPr>
          <w:p w14:paraId="138F530B">
            <w:pPr>
              <w:spacing w:line="240" w:lineRule="exact"/>
              <w:jc w:val="center"/>
              <w:rPr>
                <w:color w:val="auto"/>
                <w:kern w:val="0"/>
                <w:szCs w:val="21"/>
                <w:highlight w:val="none"/>
              </w:rPr>
            </w:pPr>
          </w:p>
        </w:tc>
        <w:tc>
          <w:tcPr>
            <w:tcW w:w="2364" w:type="dxa"/>
            <w:noWrap w:val="0"/>
            <w:vAlign w:val="center"/>
          </w:tcPr>
          <w:p w14:paraId="0AA87832">
            <w:pPr>
              <w:spacing w:line="240" w:lineRule="exact"/>
              <w:rPr>
                <w:rFonts w:ascii="宋体" w:hAnsi="宋体"/>
                <w:color w:val="auto"/>
                <w:szCs w:val="21"/>
                <w:highlight w:val="none"/>
              </w:rPr>
            </w:pPr>
            <w:r>
              <w:rPr>
                <w:rFonts w:hint="eastAsia"/>
                <w:color w:val="auto"/>
                <w:szCs w:val="21"/>
                <w:highlight w:val="none"/>
              </w:rPr>
              <w:t>响应有效期</w:t>
            </w:r>
          </w:p>
        </w:tc>
        <w:tc>
          <w:tcPr>
            <w:tcW w:w="5153" w:type="dxa"/>
            <w:noWrap w:val="0"/>
            <w:vAlign w:val="center"/>
          </w:tcPr>
          <w:p w14:paraId="54909D8B">
            <w:pPr>
              <w:spacing w:line="240" w:lineRule="exact"/>
              <w:rPr>
                <w:color w:val="auto"/>
                <w:szCs w:val="21"/>
                <w:highlight w:val="none"/>
              </w:rPr>
            </w:pPr>
            <w:r>
              <w:rPr>
                <w:rFonts w:hint="eastAsia" w:ascii="宋体" w:hAnsi="宋体"/>
                <w:color w:val="auto"/>
                <w:szCs w:val="21"/>
                <w:highlight w:val="none"/>
              </w:rPr>
              <w:t>满足采购文件规定</w:t>
            </w:r>
          </w:p>
        </w:tc>
      </w:tr>
      <w:bookmarkEnd w:id="104"/>
      <w:bookmarkEnd w:id="105"/>
    </w:tbl>
    <w:p w14:paraId="0D94A921">
      <w:pPr>
        <w:spacing w:before="120" w:line="320" w:lineRule="atLeast"/>
        <w:ind w:firstLine="316" w:firstLineChars="150"/>
        <w:rPr>
          <w:rFonts w:hint="eastAsia"/>
          <w:b/>
          <w:bCs/>
          <w:color w:val="auto"/>
          <w:kern w:val="0"/>
          <w:szCs w:val="21"/>
          <w:highlight w:val="none"/>
        </w:rPr>
      </w:pPr>
      <w:r>
        <w:rPr>
          <w:rFonts w:hint="eastAsia"/>
          <w:b/>
          <w:bCs/>
          <w:color w:val="auto"/>
          <w:kern w:val="0"/>
          <w:szCs w:val="21"/>
          <w:highlight w:val="none"/>
        </w:rPr>
        <w:t>注：涉及政府采购价格评审优惠政策叠加的，按照相关政策要求统一从对应报价的基础上进行价格扣除，用</w:t>
      </w:r>
      <w:r>
        <w:rPr>
          <w:rFonts w:hint="eastAsia"/>
          <w:b/>
          <w:bCs/>
          <w:color w:val="auto"/>
          <w:kern w:val="0"/>
          <w:szCs w:val="21"/>
          <w:highlight w:val="none"/>
          <w:lang w:eastAsia="zh-CN"/>
        </w:rPr>
        <w:t>响应</w:t>
      </w:r>
      <w:r>
        <w:rPr>
          <w:rFonts w:hint="eastAsia"/>
          <w:b/>
          <w:bCs/>
          <w:color w:val="auto"/>
          <w:kern w:val="0"/>
          <w:szCs w:val="21"/>
          <w:highlight w:val="none"/>
        </w:rPr>
        <w:t>总价减去扣除金额之和的价格参加评审。</w:t>
      </w:r>
    </w:p>
    <w:p w14:paraId="0E43E21D">
      <w:pPr>
        <w:spacing w:before="120" w:line="320" w:lineRule="atLeast"/>
        <w:ind w:firstLine="316" w:firstLineChars="150"/>
        <w:rPr>
          <w:rFonts w:hint="eastAsia" w:eastAsia="宋体"/>
          <w:b/>
          <w:bCs/>
          <w:color w:val="auto"/>
          <w:kern w:val="0"/>
          <w:szCs w:val="21"/>
          <w:highlight w:val="none"/>
          <w:lang w:eastAsia="zh-CN"/>
        </w:rPr>
      </w:pPr>
      <w:r>
        <w:rPr>
          <w:b/>
          <w:bCs/>
          <w:color w:val="auto"/>
          <w:kern w:val="0"/>
          <w:szCs w:val="21"/>
          <w:highlight w:val="none"/>
        </w:rPr>
        <w:t>政策性扣除计算方法</w:t>
      </w:r>
      <w:r>
        <w:rPr>
          <w:rFonts w:hint="eastAsia"/>
          <w:b/>
          <w:bCs/>
          <w:color w:val="auto"/>
          <w:kern w:val="0"/>
          <w:szCs w:val="21"/>
          <w:highlight w:val="none"/>
          <w:lang w:eastAsia="zh-CN"/>
        </w:rPr>
        <w:t>：</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0"/>
        <w:gridCol w:w="3379"/>
        <w:gridCol w:w="2551"/>
      </w:tblGrid>
      <w:tr w14:paraId="39F4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shd w:val="clear" w:color="auto" w:fill="auto"/>
            <w:noWrap w:val="0"/>
            <w:vAlign w:val="top"/>
          </w:tcPr>
          <w:p w14:paraId="63C60498">
            <w:pPr>
              <w:spacing w:before="120" w:line="320" w:lineRule="atLeast"/>
              <w:ind w:firstLine="315" w:firstLineChars="150"/>
              <w:jc w:val="left"/>
              <w:rPr>
                <w:rFonts w:hint="eastAsia" w:eastAsia="宋体"/>
                <w:color w:val="auto"/>
                <w:szCs w:val="21"/>
                <w:highlight w:val="none"/>
                <w:lang w:eastAsia="zh-CN"/>
              </w:rPr>
            </w:pPr>
            <w:r>
              <w:rPr>
                <w:rFonts w:hint="eastAsia"/>
                <w:color w:val="auto"/>
                <w:szCs w:val="21"/>
                <w:highlight w:val="none"/>
                <w:lang w:val="en-US" w:eastAsia="zh-CN"/>
              </w:rPr>
              <w:t>1）</w:t>
            </w:r>
            <w:r>
              <w:rPr>
                <w:rFonts w:hint="eastAsia" w:ascii="Times New Roman" w:eastAsia="宋体"/>
                <w:color w:val="auto"/>
                <w:szCs w:val="21"/>
                <w:highlight w:val="none"/>
                <w:lang w:val="en-US" w:eastAsia="zh-CN"/>
              </w:rPr>
              <w:t>小微企业的价格扣除计算:</w:t>
            </w:r>
            <w:r>
              <w:rPr>
                <w:rFonts w:hint="eastAsia"/>
                <w:color w:val="auto"/>
                <w:szCs w:val="21"/>
                <w:highlight w:val="none"/>
              </w:rPr>
              <w:t>供应商</w:t>
            </w:r>
            <w:r>
              <w:rPr>
                <w:rFonts w:hint="eastAsia"/>
                <w:color w:val="auto"/>
                <w:szCs w:val="21"/>
                <w:highlight w:val="none"/>
                <w:lang w:eastAsia="zh-CN"/>
              </w:rPr>
              <w:t>响应</w:t>
            </w:r>
            <w:r>
              <w:rPr>
                <w:color w:val="auto"/>
                <w:szCs w:val="21"/>
                <w:highlight w:val="none"/>
              </w:rPr>
              <w:t>报价将按相应比例进行扣除，用扣除后的价格参与评审（计算价格分）</w:t>
            </w:r>
            <w:r>
              <w:rPr>
                <w:rFonts w:hint="eastAsia"/>
                <w:color w:val="auto"/>
                <w:szCs w:val="21"/>
                <w:highlight w:val="none"/>
              </w:rPr>
              <w:t>，价格扣除比例分别如下：独立</w:t>
            </w:r>
            <w:r>
              <w:rPr>
                <w:rFonts w:hint="eastAsia"/>
                <w:color w:val="auto"/>
                <w:szCs w:val="21"/>
                <w:highlight w:val="none"/>
                <w:lang w:eastAsia="zh-CN"/>
              </w:rPr>
              <w:t>响应</w:t>
            </w:r>
          </w:p>
        </w:tc>
        <w:tc>
          <w:tcPr>
            <w:tcW w:w="3379" w:type="dxa"/>
            <w:shd w:val="clear" w:color="auto" w:fill="auto"/>
            <w:noWrap w:val="0"/>
            <w:vAlign w:val="top"/>
          </w:tcPr>
          <w:p w14:paraId="6E27F25C">
            <w:pPr>
              <w:spacing w:before="120" w:line="320" w:lineRule="atLeast"/>
              <w:ind w:firstLine="0" w:firstLineChars="0"/>
              <w:rPr>
                <w:color w:val="auto"/>
                <w:szCs w:val="21"/>
                <w:highlight w:val="none"/>
              </w:rPr>
            </w:pPr>
            <w:r>
              <w:rPr>
                <w:rFonts w:hint="eastAsia"/>
                <w:color w:val="auto"/>
                <w:szCs w:val="21"/>
                <w:highlight w:val="none"/>
              </w:rPr>
              <w:t>供应商所提供产品制造商均为所列企业之一（小型企业、微型企业、残疾人福利企业、监狱企业）</w:t>
            </w:r>
          </w:p>
        </w:tc>
        <w:tc>
          <w:tcPr>
            <w:tcW w:w="2551" w:type="dxa"/>
            <w:shd w:val="clear" w:color="auto" w:fill="auto"/>
            <w:noWrap w:val="0"/>
            <w:vAlign w:val="top"/>
          </w:tcPr>
          <w:p w14:paraId="0CC536D8">
            <w:pPr>
              <w:spacing w:before="120" w:line="320" w:lineRule="atLeast"/>
              <w:ind w:firstLine="0" w:firstLineChars="0"/>
              <w:rPr>
                <w:color w:val="auto"/>
                <w:szCs w:val="21"/>
                <w:highlight w:val="none"/>
              </w:rPr>
            </w:pPr>
            <w:r>
              <w:rPr>
                <w:rFonts w:hint="eastAsia"/>
                <w:color w:val="auto"/>
                <w:szCs w:val="21"/>
                <w:highlight w:val="none"/>
              </w:rPr>
              <w:t>价格扣除响应报价的10%</w:t>
            </w:r>
          </w:p>
        </w:tc>
      </w:tr>
      <w:tr w14:paraId="13D0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vMerge w:val="restart"/>
            <w:shd w:val="clear" w:color="auto" w:fill="auto"/>
            <w:noWrap w:val="0"/>
            <w:vAlign w:val="top"/>
          </w:tcPr>
          <w:p w14:paraId="31C34D25">
            <w:pPr>
              <w:spacing w:before="120" w:line="320" w:lineRule="atLeast"/>
              <w:jc w:val="center"/>
              <w:rPr>
                <w:color w:val="auto"/>
                <w:szCs w:val="21"/>
                <w:highlight w:val="none"/>
              </w:rPr>
            </w:pPr>
            <w:r>
              <w:rPr>
                <w:rFonts w:hint="eastAsia"/>
                <w:color w:val="auto"/>
                <w:szCs w:val="21"/>
                <w:highlight w:val="none"/>
              </w:rPr>
              <w:t>联合体或</w:t>
            </w:r>
          </w:p>
          <w:p w14:paraId="04DB8C27">
            <w:pPr>
              <w:spacing w:before="120" w:line="320" w:lineRule="atLeast"/>
              <w:jc w:val="center"/>
              <w:rPr>
                <w:color w:val="auto"/>
                <w:szCs w:val="21"/>
                <w:highlight w:val="none"/>
              </w:rPr>
            </w:pPr>
            <w:r>
              <w:rPr>
                <w:rFonts w:hint="eastAsia"/>
                <w:color w:val="auto"/>
                <w:szCs w:val="21"/>
                <w:highlight w:val="none"/>
              </w:rPr>
              <w:t>分包</w:t>
            </w:r>
          </w:p>
        </w:tc>
        <w:tc>
          <w:tcPr>
            <w:tcW w:w="3379" w:type="dxa"/>
            <w:shd w:val="clear" w:color="auto" w:fill="auto"/>
            <w:noWrap w:val="0"/>
            <w:vAlign w:val="top"/>
          </w:tcPr>
          <w:p w14:paraId="7DC088D8">
            <w:pPr>
              <w:spacing w:before="120" w:line="320" w:lineRule="atLeast"/>
              <w:rPr>
                <w:color w:val="auto"/>
                <w:szCs w:val="21"/>
                <w:highlight w:val="none"/>
              </w:rPr>
            </w:pPr>
            <w:r>
              <w:rPr>
                <w:rFonts w:hint="eastAsia"/>
                <w:color w:val="auto"/>
                <w:szCs w:val="21"/>
                <w:highlight w:val="none"/>
              </w:rPr>
              <w:t>小微企业制造商承担的金额比例为1</w:t>
            </w:r>
            <w:r>
              <w:rPr>
                <w:color w:val="auto"/>
                <w:szCs w:val="21"/>
                <w:highlight w:val="none"/>
              </w:rPr>
              <w:t>00</w:t>
            </w:r>
            <w:r>
              <w:rPr>
                <w:rFonts w:hint="eastAsia"/>
                <w:color w:val="auto"/>
                <w:szCs w:val="21"/>
                <w:highlight w:val="none"/>
              </w:rPr>
              <w:t>%</w:t>
            </w:r>
          </w:p>
        </w:tc>
        <w:tc>
          <w:tcPr>
            <w:tcW w:w="2551" w:type="dxa"/>
            <w:shd w:val="clear" w:color="auto" w:fill="auto"/>
            <w:noWrap w:val="0"/>
            <w:vAlign w:val="top"/>
          </w:tcPr>
          <w:p w14:paraId="527213F2">
            <w:pPr>
              <w:spacing w:before="120" w:line="320" w:lineRule="atLeast"/>
              <w:rPr>
                <w:color w:val="auto"/>
                <w:szCs w:val="21"/>
                <w:highlight w:val="none"/>
              </w:rPr>
            </w:pPr>
            <w:r>
              <w:rPr>
                <w:rFonts w:hint="eastAsia"/>
                <w:color w:val="auto"/>
                <w:szCs w:val="21"/>
                <w:highlight w:val="none"/>
              </w:rPr>
              <w:t>价格扣除响应报价的10%</w:t>
            </w:r>
          </w:p>
        </w:tc>
      </w:tr>
      <w:tr w14:paraId="3396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vMerge w:val="continue"/>
            <w:shd w:val="clear" w:color="auto" w:fill="auto"/>
            <w:noWrap w:val="0"/>
            <w:vAlign w:val="top"/>
          </w:tcPr>
          <w:p w14:paraId="69F825CC">
            <w:pPr>
              <w:spacing w:before="120" w:line="320" w:lineRule="atLeast"/>
              <w:rPr>
                <w:color w:val="auto"/>
                <w:szCs w:val="21"/>
                <w:highlight w:val="none"/>
              </w:rPr>
            </w:pPr>
          </w:p>
        </w:tc>
        <w:tc>
          <w:tcPr>
            <w:tcW w:w="3379" w:type="dxa"/>
            <w:shd w:val="clear" w:color="auto" w:fill="auto"/>
            <w:noWrap w:val="0"/>
            <w:vAlign w:val="top"/>
          </w:tcPr>
          <w:p w14:paraId="3B934C00">
            <w:pPr>
              <w:spacing w:before="120" w:line="320" w:lineRule="atLeast"/>
              <w:rPr>
                <w:color w:val="auto"/>
                <w:szCs w:val="21"/>
                <w:highlight w:val="none"/>
              </w:rPr>
            </w:pPr>
            <w:r>
              <w:rPr>
                <w:rFonts w:hint="eastAsia"/>
                <w:color w:val="auto"/>
                <w:szCs w:val="21"/>
                <w:highlight w:val="none"/>
              </w:rPr>
              <w:t>小微企业制造商承担的金额比例达到合同总金额3</w:t>
            </w:r>
            <w:r>
              <w:rPr>
                <w:color w:val="auto"/>
                <w:szCs w:val="21"/>
                <w:highlight w:val="none"/>
              </w:rPr>
              <w:t>0%</w:t>
            </w:r>
            <w:r>
              <w:rPr>
                <w:rFonts w:hint="eastAsia"/>
                <w:color w:val="auto"/>
                <w:szCs w:val="21"/>
                <w:highlight w:val="none"/>
              </w:rPr>
              <w:t>以上</w:t>
            </w:r>
          </w:p>
        </w:tc>
        <w:tc>
          <w:tcPr>
            <w:tcW w:w="2551" w:type="dxa"/>
            <w:shd w:val="clear" w:color="auto" w:fill="auto"/>
            <w:noWrap w:val="0"/>
            <w:vAlign w:val="top"/>
          </w:tcPr>
          <w:p w14:paraId="010F277B">
            <w:pPr>
              <w:spacing w:before="120" w:line="320" w:lineRule="atLeast"/>
              <w:rPr>
                <w:color w:val="auto"/>
                <w:szCs w:val="21"/>
                <w:highlight w:val="none"/>
              </w:rPr>
            </w:pPr>
            <w:r>
              <w:rPr>
                <w:rFonts w:hint="eastAsia"/>
                <w:color w:val="auto"/>
                <w:szCs w:val="21"/>
                <w:highlight w:val="none"/>
              </w:rPr>
              <w:t>价格扣除响应报价的</w:t>
            </w:r>
            <w:r>
              <w:rPr>
                <w:color w:val="auto"/>
                <w:szCs w:val="21"/>
                <w:highlight w:val="none"/>
              </w:rPr>
              <w:t>4</w:t>
            </w:r>
            <w:r>
              <w:rPr>
                <w:rFonts w:hint="eastAsia"/>
                <w:color w:val="auto"/>
                <w:szCs w:val="21"/>
                <w:highlight w:val="none"/>
              </w:rPr>
              <w:t>%</w:t>
            </w:r>
          </w:p>
        </w:tc>
      </w:tr>
      <w:tr w14:paraId="118D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1415A431">
            <w:pPr>
              <w:spacing w:before="120" w:line="320" w:lineRule="atLeast"/>
              <w:rPr>
                <w:color w:val="auto"/>
                <w:szCs w:val="21"/>
                <w:highlight w:val="none"/>
              </w:rPr>
            </w:pPr>
            <w:r>
              <w:rPr>
                <w:rFonts w:hint="eastAsia"/>
                <w:color w:val="auto"/>
                <w:szCs w:val="21"/>
                <w:highlight w:val="none"/>
              </w:rPr>
              <w:t>注：未提供《中小企业声明函》、《分包意向协议书》或《联合体协议书》或不符合条件的，不享受价格扣除优惠。</w:t>
            </w:r>
          </w:p>
        </w:tc>
      </w:tr>
    </w:tbl>
    <w:p w14:paraId="24465FAF">
      <w:pPr>
        <w:rPr>
          <w:color w:val="auto"/>
          <w:highlight w:val="none"/>
        </w:rPr>
      </w:pPr>
    </w:p>
    <w:p w14:paraId="52751929">
      <w:pPr>
        <w:ind w:firstLine="420" w:firstLineChars="200"/>
        <w:rPr>
          <w:rFonts w:hint="default" w:eastAsia="楷体_GB2312"/>
          <w:b/>
          <w:color w:val="auto"/>
          <w:sz w:val="24"/>
          <w:highlight w:val="none"/>
          <w:lang w:val="en-US"/>
        </w:rPr>
      </w:pPr>
      <w:r>
        <w:rPr>
          <w:rFonts w:hint="eastAsia"/>
          <w:color w:val="auto"/>
          <w:highlight w:val="none"/>
          <w:lang w:val="en-US" w:eastAsia="zh-CN"/>
        </w:rPr>
        <w:t>2）</w:t>
      </w:r>
      <w:r>
        <w:rPr>
          <w:rFonts w:hint="eastAsia" w:ascii="Times New Roman" w:eastAsia="宋体"/>
          <w:color w:val="auto"/>
          <w:highlight w:val="none"/>
          <w:lang w:val="en-US" w:eastAsia="zh-CN"/>
        </w:rPr>
        <w:t>本国产品的价格扣除计算：</w:t>
      </w:r>
      <w:r>
        <w:rPr>
          <w:rFonts w:hint="eastAsia"/>
          <w:color w:val="auto"/>
          <w:highlight w:val="none"/>
        </w:rPr>
        <w:t>供应商</w:t>
      </w:r>
      <w:r>
        <w:rPr>
          <w:rFonts w:hint="eastAsia"/>
          <w:color w:val="auto"/>
          <w:highlight w:val="none"/>
          <w:lang w:eastAsia="zh-CN"/>
        </w:rPr>
        <w:t>响应</w:t>
      </w:r>
      <w:r>
        <w:rPr>
          <w:color w:val="auto"/>
          <w:highlight w:val="none"/>
        </w:rPr>
        <w:t>报价将按相应比例进行扣除，用扣除后的价格参与评审（计算价格分）</w:t>
      </w:r>
      <w:r>
        <w:rPr>
          <w:rFonts w:hint="eastAsia"/>
          <w:color w:val="auto"/>
          <w:highlight w:val="none"/>
        </w:rPr>
        <w:t>，价格扣除比例分别如下：</w:t>
      </w:r>
    </w:p>
    <w:p w14:paraId="657B10A5">
      <w:pPr>
        <w:ind w:firstLine="420" w:firstLineChars="200"/>
        <w:rPr>
          <w:color w:val="auto"/>
          <w:highlight w:val="none"/>
        </w:rPr>
      </w:pP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4550"/>
        <w:gridCol w:w="2551"/>
      </w:tblGrid>
      <w:tr w14:paraId="0738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7EE29E26">
            <w:pPr>
              <w:rPr>
                <w:rFonts w:hint="default" w:eastAsia="宋体"/>
                <w:color w:val="auto"/>
                <w:highlight w:val="none"/>
                <w:lang w:val="en-US" w:eastAsia="zh-CN"/>
              </w:rPr>
            </w:pPr>
            <w:r>
              <w:rPr>
                <w:rFonts w:hint="eastAsia" w:ascii="Times New Roman" w:eastAsia="宋体"/>
                <w:color w:val="auto"/>
                <w:highlight w:val="none"/>
                <w:lang w:val="en-US" w:eastAsia="zh-CN"/>
              </w:rPr>
              <w:t>采购项目或者采购包中为单一产品</w:t>
            </w:r>
          </w:p>
        </w:tc>
        <w:tc>
          <w:tcPr>
            <w:tcW w:w="4550" w:type="dxa"/>
            <w:shd w:val="clear" w:color="auto" w:fill="auto"/>
            <w:noWrap w:val="0"/>
            <w:vAlign w:val="top"/>
          </w:tcPr>
          <w:p w14:paraId="26B36F33">
            <w:pPr>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供应商所提供</w:t>
            </w:r>
            <w:r>
              <w:rPr>
                <w:rFonts w:hint="eastAsia" w:ascii="Times New Roman" w:eastAsia="宋体"/>
                <w:color w:val="auto"/>
                <w:highlight w:val="none"/>
                <w:lang w:val="en-US" w:eastAsia="zh-CN"/>
              </w:rPr>
              <w:t>符合</w:t>
            </w:r>
            <w:r>
              <w:rPr>
                <w:rFonts w:hint="eastAsia"/>
                <w:color w:val="auto"/>
                <w:highlight w:val="none"/>
              </w:rPr>
              <w:t>本国产品标准的产品</w:t>
            </w:r>
          </w:p>
        </w:tc>
        <w:tc>
          <w:tcPr>
            <w:tcW w:w="2551" w:type="dxa"/>
            <w:vMerge w:val="restart"/>
            <w:shd w:val="clear" w:color="auto" w:fill="auto"/>
            <w:noWrap w:val="0"/>
            <w:vAlign w:val="top"/>
          </w:tcPr>
          <w:p w14:paraId="37D9FDC0">
            <w:pPr>
              <w:rPr>
                <w:rFonts w:hint="eastAsia"/>
                <w:color w:val="auto"/>
                <w:highlight w:val="none"/>
              </w:rPr>
            </w:pPr>
          </w:p>
          <w:p w14:paraId="38F3BB45">
            <w:pPr>
              <w:rPr>
                <w:rFonts w:hint="eastAsia"/>
                <w:color w:val="auto"/>
                <w:highlight w:val="none"/>
              </w:rPr>
            </w:pPr>
          </w:p>
          <w:p w14:paraId="4DB5FFD5">
            <w:pPr>
              <w:rPr>
                <w:rFonts w:hint="eastAsia"/>
                <w:color w:val="auto"/>
                <w:highlight w:val="none"/>
              </w:rPr>
            </w:pPr>
          </w:p>
          <w:p w14:paraId="68A9DE16">
            <w:pPr>
              <w:rPr>
                <w:color w:val="auto"/>
                <w:highlight w:val="none"/>
              </w:rPr>
            </w:pPr>
            <w:r>
              <w:rPr>
                <w:rFonts w:hint="eastAsia"/>
                <w:color w:val="auto"/>
                <w:highlight w:val="none"/>
              </w:rPr>
              <w:t>价格扣除</w:t>
            </w:r>
            <w:r>
              <w:rPr>
                <w:rFonts w:hint="eastAsia" w:ascii="Times New Roman" w:eastAsia="宋体"/>
                <w:color w:val="auto"/>
                <w:highlight w:val="none"/>
                <w:lang w:val="en-US" w:eastAsia="zh-CN"/>
              </w:rPr>
              <w:t>全部产品报价</w:t>
            </w:r>
            <w:r>
              <w:rPr>
                <w:rFonts w:hint="eastAsia"/>
                <w:color w:val="auto"/>
                <w:highlight w:val="none"/>
              </w:rPr>
              <w:t>的</w:t>
            </w:r>
            <w:r>
              <w:rPr>
                <w:rFonts w:hint="eastAsia" w:ascii="Times New Roman" w:eastAsia="宋体"/>
                <w:color w:val="auto"/>
                <w:highlight w:val="none"/>
                <w:lang w:val="en-US" w:eastAsia="zh-CN"/>
              </w:rPr>
              <w:t>20</w:t>
            </w:r>
            <w:r>
              <w:rPr>
                <w:rFonts w:hint="eastAsia"/>
                <w:color w:val="auto"/>
                <w:highlight w:val="none"/>
              </w:rPr>
              <w:t>%</w:t>
            </w:r>
          </w:p>
        </w:tc>
      </w:tr>
      <w:tr w14:paraId="012C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7730D717">
            <w:pPr>
              <w:rPr>
                <w:rFonts w:hint="eastAsia"/>
                <w:color w:val="auto"/>
                <w:highlight w:val="none"/>
              </w:rPr>
            </w:pPr>
            <w:r>
              <w:rPr>
                <w:rFonts w:hint="eastAsia"/>
                <w:color w:val="auto"/>
                <w:highlight w:val="none"/>
              </w:rPr>
              <w:t>采购项目或者采购包中含有多种产品</w:t>
            </w:r>
          </w:p>
        </w:tc>
        <w:tc>
          <w:tcPr>
            <w:tcW w:w="4550" w:type="dxa"/>
            <w:shd w:val="clear" w:color="auto" w:fill="auto"/>
            <w:noWrap w:val="0"/>
            <w:vAlign w:val="top"/>
          </w:tcPr>
          <w:p w14:paraId="5F361C3C">
            <w:pPr>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w:t>
            </w:r>
            <w:r>
              <w:rPr>
                <w:rFonts w:hint="eastAsia" w:ascii="Times New Roman" w:eastAsia="宋体"/>
                <w:color w:val="auto"/>
                <w:highlight w:val="none"/>
                <w:lang w:val="en-US" w:eastAsia="zh-CN"/>
              </w:rPr>
              <w:t>提供符合</w:t>
            </w:r>
            <w:r>
              <w:rPr>
                <w:rFonts w:hint="eastAsia"/>
                <w:color w:val="auto"/>
                <w:highlight w:val="none"/>
              </w:rPr>
              <w:t>本国产品标准的产品成本之和占该供应商提供的全部产品成本之和的比例达到80%以上时</w:t>
            </w:r>
            <w:r>
              <w:rPr>
                <w:rFonts w:hint="eastAsia"/>
                <w:color w:val="auto"/>
                <w:highlight w:val="none"/>
                <w:lang w:eastAsia="zh-CN"/>
              </w:rPr>
              <w:t>。</w:t>
            </w:r>
            <w:r>
              <w:rPr>
                <w:rFonts w:hint="eastAsia"/>
                <w:b/>
                <w:bCs/>
                <w:color w:val="auto"/>
                <w:highlight w:val="none"/>
                <w:lang w:val="en-US" w:eastAsia="zh-CN"/>
              </w:rPr>
              <w:t>供应商须在响应文件提交《关于符合本国产品标准的成本占比承诺函》。如供应商所有产品均为本国产品且填写《关于符合本国产品标准的声明函》的，无须填写《关于符合本国产品标准的成本占比承诺函》。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shd w:val="clear" w:color="auto" w:fill="auto"/>
            <w:noWrap w:val="0"/>
            <w:vAlign w:val="top"/>
          </w:tcPr>
          <w:p w14:paraId="78FCBC24">
            <w:pPr>
              <w:ind w:firstLine="420" w:firstLineChars="200"/>
              <w:rPr>
                <w:rFonts w:hint="eastAsia"/>
                <w:color w:val="auto"/>
                <w:highlight w:val="none"/>
              </w:rPr>
            </w:pPr>
          </w:p>
        </w:tc>
      </w:tr>
      <w:tr w14:paraId="58D6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25576753">
            <w:pPr>
              <w:rPr>
                <w:color w:val="auto"/>
                <w:highlight w:val="none"/>
              </w:rPr>
            </w:pPr>
            <w:r>
              <w:rPr>
                <w:rFonts w:hint="eastAsia"/>
                <w:color w:val="auto"/>
                <w:highlight w:val="none"/>
              </w:rPr>
              <w:t>注：未提供《关于符合本国产品标准的声明函》</w:t>
            </w:r>
            <w:r>
              <w:rPr>
                <w:rFonts w:hint="eastAsia"/>
                <w:color w:val="auto"/>
                <w:highlight w:val="none"/>
                <w:lang w:eastAsia="zh-CN"/>
              </w:rPr>
              <w:t>、</w:t>
            </w:r>
            <w:r>
              <w:rPr>
                <w:rFonts w:hint="eastAsia"/>
                <w:color w:val="auto"/>
                <w:szCs w:val="21"/>
                <w:highlight w:val="none"/>
                <w:lang w:eastAsia="zh-CN"/>
              </w:rPr>
              <w:t>《</w:t>
            </w:r>
            <w:r>
              <w:rPr>
                <w:rFonts w:hint="eastAsia"/>
                <w:color w:val="auto"/>
                <w:szCs w:val="21"/>
                <w:highlight w:val="none"/>
                <w:lang w:val="en-US" w:eastAsia="zh-CN"/>
              </w:rPr>
              <w:t>关于符合本国产品标准的成本占比承诺函》（如适用）</w:t>
            </w:r>
            <w:r>
              <w:rPr>
                <w:rFonts w:hint="eastAsia"/>
                <w:color w:val="auto"/>
                <w:highlight w:val="none"/>
                <w:lang w:val="en-US" w:eastAsia="zh-CN"/>
              </w:rPr>
              <w:t>或</w:t>
            </w:r>
            <w:r>
              <w:rPr>
                <w:rFonts w:hint="eastAsia"/>
                <w:color w:val="auto"/>
                <w:highlight w:val="none"/>
              </w:rPr>
              <w:t>不符合条件的，不享受价格扣除优惠。</w:t>
            </w:r>
          </w:p>
        </w:tc>
      </w:tr>
    </w:tbl>
    <w:p w14:paraId="27E8218E">
      <w:pPr>
        <w:ind w:firstLine="420" w:firstLineChars="200"/>
        <w:rPr>
          <w:color w:val="auto"/>
          <w:highlight w:val="none"/>
        </w:rPr>
      </w:pPr>
    </w:p>
    <w:p w14:paraId="2004A8F6">
      <w:pPr>
        <w:pStyle w:val="19"/>
        <w:numPr>
          <w:ilvl w:val="0"/>
          <w:numId w:val="0"/>
        </w:numPr>
        <w:ind w:firstLine="420" w:firstLineChars="200"/>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评审报价计算示例：</w:t>
      </w:r>
    </w:p>
    <w:p w14:paraId="46A29161">
      <w:pPr>
        <w:spacing w:before="120" w:beforeLines="0" w:afterLines="0" w:line="320" w:lineRule="atLeast"/>
        <w:ind w:firstLine="420" w:firstLineChars="200"/>
        <w:rPr>
          <w:rFonts w:hint="eastAsia"/>
          <w:color w:val="auto"/>
          <w:highlight w:val="none"/>
          <w:lang w:val="en-US" w:eastAsia="zh-CN"/>
        </w:rPr>
      </w:pPr>
      <w:r>
        <w:rPr>
          <w:rFonts w:hint="eastAsia"/>
          <w:color w:val="auto"/>
          <w:highlight w:val="none"/>
          <w:lang w:val="en-US" w:eastAsia="zh-CN"/>
        </w:rPr>
        <w:t>a.供应商若符合中小企业支持政策的要求，计算公式具体为：评审报价＝响应总报价－（响应总报价*小微企业价格扣除比例）</w:t>
      </w:r>
    </w:p>
    <w:p w14:paraId="26D52B04">
      <w:pPr>
        <w:ind w:firstLine="420" w:firstLineChars="200"/>
        <w:rPr>
          <w:rFonts w:hint="eastAsia"/>
          <w:color w:val="auto"/>
          <w:highlight w:val="none"/>
          <w:lang w:val="en-US" w:eastAsia="zh-CN"/>
        </w:rPr>
      </w:pPr>
      <w:r>
        <w:rPr>
          <w:rFonts w:hint="eastAsia"/>
          <w:color w:val="auto"/>
          <w:highlight w:val="none"/>
          <w:lang w:val="en-US" w:eastAsia="zh-CN"/>
        </w:rPr>
        <w:t>b.供应商若符合本国产品支持政策的要求，计算公式具体为：评审报价＝响应总报价－（全部产品的总报价*20%）</w:t>
      </w:r>
    </w:p>
    <w:p w14:paraId="14821371">
      <w:pPr>
        <w:ind w:firstLine="420" w:firstLineChars="200"/>
        <w:rPr>
          <w:rFonts w:hint="eastAsia"/>
          <w:color w:val="auto"/>
          <w:highlight w:val="none"/>
          <w:lang w:val="en-US" w:eastAsia="zh-CN"/>
        </w:rPr>
      </w:pPr>
      <w:r>
        <w:rPr>
          <w:rFonts w:hint="eastAsia"/>
          <w:color w:val="auto"/>
          <w:highlight w:val="none"/>
          <w:lang w:val="en-US" w:eastAsia="zh-CN"/>
        </w:rPr>
        <w:t>c.供应商若同时符合中小企业、本国产品扶持政策的要求，计算公式具体为：评审报价＝响应总报价－（响应总报价*小微企业价格扣除比例）－（全部产品的总报价*20%）</w:t>
      </w:r>
    </w:p>
    <w:p w14:paraId="2137679D">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备注：全部产品是指货物或服务采购项目或采购包中包含的全部货物、服务产品。</w:t>
      </w:r>
    </w:p>
    <w:p w14:paraId="4A4C01B5">
      <w:pPr>
        <w:spacing w:before="120" w:line="320" w:lineRule="atLeast"/>
        <w:ind w:firstLine="420" w:firstLineChars="200"/>
        <w:rPr>
          <w:color w:val="auto"/>
          <w:highlight w:val="none"/>
        </w:rPr>
      </w:pPr>
      <w:r>
        <w:rPr>
          <w:rFonts w:hint="eastAsia"/>
          <w:color w:val="auto"/>
          <w:highlight w:val="none"/>
          <w:lang w:val="en-US" w:eastAsia="zh-CN"/>
        </w:rPr>
        <w:t>1</w:t>
      </w:r>
      <w:r>
        <w:rPr>
          <w:color w:val="auto"/>
          <w:highlight w:val="none"/>
        </w:rPr>
        <w:t>.1</w:t>
      </w:r>
      <w:r>
        <w:rPr>
          <w:rFonts w:hint="eastAsia"/>
          <w:color w:val="auto"/>
          <w:highlight w:val="none"/>
        </w:rPr>
        <w:t>偏离认定说明</w:t>
      </w:r>
    </w:p>
    <w:p w14:paraId="5C927EB0">
      <w:pPr>
        <w:spacing w:before="120" w:line="320" w:lineRule="atLeast"/>
        <w:ind w:firstLine="420" w:firstLineChars="200"/>
        <w:rPr>
          <w:rFonts w:hint="eastAsia"/>
          <w:color w:val="auto"/>
          <w:szCs w:val="21"/>
          <w:highlight w:val="none"/>
        </w:rPr>
      </w:pPr>
      <w:r>
        <w:rPr>
          <w:rFonts w:hint="eastAsia"/>
          <w:color w:val="auto"/>
          <w:szCs w:val="21"/>
          <w:highlight w:val="none"/>
        </w:rPr>
        <w:t>供应商根据采购需求中技术参数为基准，填写响应表，对于响应表或证明材料与技术参数不符的，按如下规定：</w:t>
      </w:r>
    </w:p>
    <w:p w14:paraId="22C4B9D4">
      <w:pPr>
        <w:spacing w:before="120" w:line="320" w:lineRule="atLeast"/>
        <w:ind w:firstLine="420" w:firstLineChars="200"/>
        <w:rPr>
          <w:rFonts w:hint="eastAsia"/>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6828E921">
      <w:pPr>
        <w:spacing w:before="120" w:line="320" w:lineRule="atLeast"/>
        <w:ind w:firstLine="420" w:firstLineChars="200"/>
        <w:rPr>
          <w:rFonts w:hint="eastAsia"/>
          <w:color w:val="auto"/>
          <w:szCs w:val="21"/>
          <w:highlight w:val="none"/>
        </w:rPr>
      </w:pPr>
      <w:r>
        <w:rPr>
          <w:rFonts w:hint="eastAsia"/>
          <w:color w:val="auto"/>
          <w:szCs w:val="21"/>
          <w:highlight w:val="none"/>
        </w:rPr>
        <w:t>（2）响应表中响应的内容与证明材料不一致的，以证明材料为准作为评审依据。</w:t>
      </w:r>
    </w:p>
    <w:p w14:paraId="7A416EC2">
      <w:pPr>
        <w:spacing w:before="120" w:line="320" w:lineRule="atLeast"/>
        <w:ind w:firstLine="420" w:firstLineChars="200"/>
        <w:rPr>
          <w:rFonts w:hint="eastAsia"/>
          <w:color w:val="auto"/>
          <w:szCs w:val="21"/>
          <w:highlight w:val="none"/>
        </w:rPr>
      </w:pPr>
      <w:r>
        <w:rPr>
          <w:rFonts w:hint="eastAsia"/>
          <w:color w:val="auto"/>
          <w:szCs w:val="21"/>
          <w:highlight w:val="none"/>
        </w:rPr>
        <w:t>（3）同时出现以上两种情况的，按照（1）-（2）顺序认定。</w:t>
      </w:r>
    </w:p>
    <w:p w14:paraId="2605925A">
      <w:pPr>
        <w:spacing w:before="120" w:line="320" w:lineRule="atLeast"/>
        <w:ind w:firstLine="420" w:firstLineChars="200"/>
        <w:rPr>
          <w:rFonts w:hint="eastAsia"/>
          <w:color w:val="auto"/>
          <w:szCs w:val="21"/>
          <w:highlight w:val="none"/>
        </w:rPr>
      </w:pPr>
      <w:r>
        <w:rPr>
          <w:rFonts w:hint="eastAsia"/>
          <w:color w:val="auto"/>
          <w:szCs w:val="21"/>
          <w:highlight w:val="none"/>
        </w:rPr>
        <w:t>（4）响应表与采购需求中技术参数比较有漏项的，如为实质性参数漏项，视为未响应；如为非实质性参数漏项，视为负偏离。</w:t>
      </w:r>
    </w:p>
    <w:p w14:paraId="680E5BFE">
      <w:pPr>
        <w:spacing w:before="120" w:line="320" w:lineRule="atLeast"/>
        <w:ind w:firstLine="420" w:firstLineChars="200"/>
        <w:rPr>
          <w:rFonts w:hint="eastAsia"/>
          <w:color w:val="auto"/>
          <w:szCs w:val="21"/>
          <w:highlight w:val="none"/>
        </w:rPr>
      </w:pPr>
      <w:r>
        <w:rPr>
          <w:rFonts w:hint="eastAsia"/>
          <w:color w:val="auto"/>
          <w:szCs w:val="21"/>
          <w:highlight w:val="none"/>
        </w:rPr>
        <w:t>（5）一项技术参数有多条小项要求的，必须全部响应。如只响应部分参数，视为漏项，按照（4）判定。评审时以每一条技术参数为评审依据。</w:t>
      </w:r>
    </w:p>
    <w:p w14:paraId="294B6D7D">
      <w:pPr>
        <w:spacing w:before="120" w:line="320" w:lineRule="atLeast"/>
        <w:ind w:firstLine="420" w:firstLineChars="200"/>
        <w:rPr>
          <w:rFonts w:hint="eastAsia"/>
          <w:color w:val="auto"/>
          <w:szCs w:val="21"/>
          <w:highlight w:val="none"/>
        </w:rPr>
      </w:pPr>
      <w:r>
        <w:rPr>
          <w:rFonts w:hint="eastAsia"/>
          <w:color w:val="auto"/>
          <w:szCs w:val="21"/>
          <w:highlight w:val="none"/>
        </w:rPr>
        <w:t>（6）对于区间涵盖值参数，例：电压“测量范围3V-5V”，同时满足下限值更低及上限值更高才视为正偏离，例：响应为“测量范围2V-6V”。如有一端负偏离，不管另一端如何，均视为负偏离，例：响应为“测量范围4V-6V”。</w:t>
      </w:r>
    </w:p>
    <w:p w14:paraId="59DCD725">
      <w:pPr>
        <w:spacing w:before="120" w:line="320" w:lineRule="atLeast"/>
        <w:ind w:firstLine="420" w:firstLineChars="200"/>
        <w:rPr>
          <w:rFonts w:hint="eastAsia"/>
          <w:color w:val="auto"/>
          <w:szCs w:val="21"/>
          <w:highlight w:val="none"/>
        </w:rPr>
      </w:pPr>
      <w:r>
        <w:rPr>
          <w:rFonts w:hint="eastAsia"/>
          <w:color w:val="auto"/>
          <w:szCs w:val="21"/>
          <w:highlight w:val="none"/>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6F8F36EC">
      <w:pPr>
        <w:spacing w:before="120" w:line="320" w:lineRule="atLeast"/>
        <w:ind w:firstLine="420" w:firstLineChars="200"/>
        <w:rPr>
          <w:rFonts w:hint="eastAsia"/>
          <w:color w:val="auto"/>
          <w:szCs w:val="21"/>
          <w:highlight w:val="none"/>
        </w:rPr>
      </w:pPr>
      <w:r>
        <w:rPr>
          <w:rFonts w:hint="eastAsia"/>
          <w:color w:val="auto"/>
          <w:szCs w:val="21"/>
          <w:highlight w:val="none"/>
        </w:rPr>
        <w:t>（8）对于单边任意参数的要求，例“长度≥50cm”，若响应为50 cm及50cm以上任意一个数值，均视为无偏离；若响应小于50cm，视为负偏离。此类参数无正偏离。</w:t>
      </w:r>
    </w:p>
    <w:p w14:paraId="3A466CB8">
      <w:pPr>
        <w:spacing w:before="120" w:line="320" w:lineRule="atLeast"/>
        <w:ind w:firstLine="420" w:firstLineChars="200"/>
        <w:rPr>
          <w:rFonts w:hint="eastAsia"/>
          <w:color w:val="auto"/>
          <w:szCs w:val="21"/>
          <w:highlight w:val="none"/>
        </w:rPr>
      </w:pPr>
      <w:r>
        <w:rPr>
          <w:rFonts w:hint="eastAsia"/>
          <w:color w:val="auto"/>
          <w:szCs w:val="21"/>
          <w:highlight w:val="none"/>
        </w:rPr>
        <w:t>（9）对于固定参数，响应与采购需求中技术参数一致，视为无偏离，其他均视为负偏离，此类参数无正偏离。</w:t>
      </w:r>
    </w:p>
    <w:p w14:paraId="305C1E8A">
      <w:pPr>
        <w:spacing w:before="120" w:line="320" w:lineRule="atLeast"/>
        <w:ind w:firstLine="420" w:firstLineChars="200"/>
        <w:rPr>
          <w:rFonts w:hint="eastAsia"/>
          <w:color w:val="auto"/>
          <w:szCs w:val="21"/>
          <w:highlight w:val="none"/>
        </w:rPr>
      </w:pPr>
      <w:r>
        <w:rPr>
          <w:rFonts w:hint="eastAsia"/>
          <w:color w:val="auto"/>
          <w:szCs w:val="21"/>
          <w:highlight w:val="none"/>
        </w:rPr>
        <w:t>（10）如采购需求中技术参数有特殊要求与上述说明不一致的，以特殊要求为准。</w:t>
      </w:r>
    </w:p>
    <w:p w14:paraId="645A80B1">
      <w:pPr>
        <w:spacing w:before="120" w:line="320" w:lineRule="atLeast"/>
        <w:ind w:firstLine="420" w:firstLineChars="200"/>
        <w:rPr>
          <w:rFonts w:hint="eastAsia"/>
          <w:color w:val="auto"/>
          <w:szCs w:val="21"/>
          <w:highlight w:val="none"/>
        </w:rPr>
      </w:pPr>
    </w:p>
    <w:p w14:paraId="2FF35A1F">
      <w:pPr>
        <w:spacing w:before="120" w:line="320" w:lineRule="atLeast"/>
        <w:ind w:firstLine="420" w:firstLineChars="200"/>
        <w:rPr>
          <w:rFonts w:hint="eastAsia"/>
          <w:color w:val="auto"/>
          <w:szCs w:val="21"/>
          <w:highlight w:val="none"/>
        </w:rPr>
        <w:sectPr>
          <w:pgSz w:w="11906" w:h="16838"/>
          <w:pgMar w:top="1418" w:right="1418" w:bottom="1246" w:left="1418" w:header="851" w:footer="992" w:gutter="0"/>
          <w:cols w:space="720" w:num="1"/>
          <w:docGrid w:linePitch="312" w:charSpace="0"/>
        </w:sectPr>
      </w:pPr>
    </w:p>
    <w:bookmarkEnd w:id="100"/>
    <w:bookmarkEnd w:id="101"/>
    <w:p w14:paraId="359ED632">
      <w:pPr>
        <w:pStyle w:val="26"/>
        <w:snapToGrid w:val="0"/>
        <w:spacing w:before="120" w:after="120" w:line="320" w:lineRule="exact"/>
        <w:jc w:val="center"/>
        <w:outlineLvl w:val="0"/>
        <w:rPr>
          <w:color w:val="auto"/>
          <w:sz w:val="32"/>
          <w:szCs w:val="32"/>
          <w:highlight w:val="none"/>
        </w:rPr>
      </w:pPr>
      <w:bookmarkStart w:id="106" w:name="_Toc15610"/>
      <w:bookmarkStart w:id="107" w:name="_Hlk132879714"/>
      <w:r>
        <w:rPr>
          <w:color w:val="auto"/>
          <w:sz w:val="32"/>
          <w:szCs w:val="32"/>
          <w:highlight w:val="none"/>
        </w:rPr>
        <w:t>第五章  合同主要条款格式</w:t>
      </w:r>
      <w:bookmarkEnd w:id="106"/>
    </w:p>
    <w:p w14:paraId="2D0D20EA">
      <w:pPr>
        <w:spacing w:before="0" w:line="240" w:lineRule="auto"/>
        <w:ind w:firstLine="0" w:firstLineChars="0"/>
        <w:jc w:val="center"/>
        <w:outlineLvl w:val="9"/>
        <w:rPr>
          <w:b/>
          <w:bCs/>
          <w:color w:val="auto"/>
          <w:kern w:val="2"/>
          <w:szCs w:val="24"/>
          <w:highlight w:val="none"/>
        </w:rPr>
      </w:pPr>
      <w:bookmarkStart w:id="108" w:name="_Hlk77611300"/>
      <w:r>
        <w:rPr>
          <w:b/>
          <w:bCs/>
          <w:color w:val="auto"/>
          <w:kern w:val="2"/>
          <w:szCs w:val="24"/>
          <w:highlight w:val="none"/>
        </w:rPr>
        <w:t>广西壮族自治区政府采购合同</w:t>
      </w:r>
    </w:p>
    <w:bookmarkEnd w:id="108"/>
    <w:tbl>
      <w:tblPr>
        <w:tblStyle w:val="51"/>
        <w:tblW w:w="0" w:type="auto"/>
        <w:tblInd w:w="0" w:type="dxa"/>
        <w:tblLayout w:type="autofit"/>
        <w:tblCellMar>
          <w:top w:w="0" w:type="dxa"/>
          <w:left w:w="108" w:type="dxa"/>
          <w:bottom w:w="0" w:type="dxa"/>
          <w:right w:w="108" w:type="dxa"/>
        </w:tblCellMar>
      </w:tblPr>
      <w:tblGrid>
        <w:gridCol w:w="2336"/>
        <w:gridCol w:w="2336"/>
        <w:gridCol w:w="2336"/>
        <w:gridCol w:w="2337"/>
      </w:tblGrid>
      <w:tr w14:paraId="1D5A9267">
        <w:tblPrEx>
          <w:tblCellMar>
            <w:top w:w="0" w:type="dxa"/>
            <w:left w:w="108" w:type="dxa"/>
            <w:bottom w:w="0" w:type="dxa"/>
            <w:right w:w="108" w:type="dxa"/>
          </w:tblCellMar>
        </w:tblPrEx>
        <w:tc>
          <w:tcPr>
            <w:tcW w:w="2336" w:type="dxa"/>
            <w:noWrap w:val="0"/>
            <w:vAlign w:val="top"/>
          </w:tcPr>
          <w:p w14:paraId="4FC5E04A">
            <w:pPr>
              <w:snapToGrid w:val="0"/>
              <w:spacing w:line="360" w:lineRule="exact"/>
              <w:ind w:right="480"/>
              <w:jc w:val="left"/>
              <w:rPr>
                <w:bCs/>
                <w:color w:val="auto"/>
                <w:szCs w:val="21"/>
                <w:highlight w:val="none"/>
              </w:rPr>
            </w:pPr>
            <w:r>
              <w:rPr>
                <w:rFonts w:hint="eastAsia"/>
                <w:bCs/>
                <w:color w:val="auto"/>
                <w:szCs w:val="21"/>
                <w:highlight w:val="none"/>
              </w:rPr>
              <w:t>合同编号：</w:t>
            </w:r>
          </w:p>
        </w:tc>
        <w:tc>
          <w:tcPr>
            <w:tcW w:w="2336" w:type="dxa"/>
            <w:noWrap w:val="0"/>
            <w:vAlign w:val="top"/>
          </w:tcPr>
          <w:p w14:paraId="737794BB">
            <w:pPr>
              <w:snapToGrid w:val="0"/>
              <w:spacing w:line="360" w:lineRule="exact"/>
              <w:ind w:right="480"/>
              <w:jc w:val="left"/>
              <w:rPr>
                <w:bCs/>
                <w:color w:val="auto"/>
                <w:szCs w:val="21"/>
                <w:highlight w:val="none"/>
              </w:rPr>
            </w:pPr>
          </w:p>
        </w:tc>
        <w:tc>
          <w:tcPr>
            <w:tcW w:w="2336" w:type="dxa"/>
            <w:noWrap w:val="0"/>
            <w:vAlign w:val="top"/>
          </w:tcPr>
          <w:p w14:paraId="021A9672">
            <w:pPr>
              <w:snapToGrid w:val="0"/>
              <w:spacing w:line="360" w:lineRule="exact"/>
              <w:ind w:right="480"/>
              <w:jc w:val="left"/>
              <w:rPr>
                <w:bCs/>
                <w:color w:val="auto"/>
                <w:szCs w:val="21"/>
                <w:highlight w:val="none"/>
              </w:rPr>
            </w:pPr>
            <w:r>
              <w:rPr>
                <w:rFonts w:hint="eastAsia"/>
                <w:bCs/>
                <w:color w:val="auto"/>
                <w:szCs w:val="21"/>
                <w:highlight w:val="none"/>
              </w:rPr>
              <w:t>采购计划号：</w:t>
            </w:r>
          </w:p>
        </w:tc>
        <w:tc>
          <w:tcPr>
            <w:tcW w:w="2337" w:type="dxa"/>
            <w:noWrap w:val="0"/>
            <w:vAlign w:val="top"/>
          </w:tcPr>
          <w:p w14:paraId="12956C26">
            <w:pPr>
              <w:snapToGrid w:val="0"/>
              <w:spacing w:line="360" w:lineRule="exact"/>
              <w:ind w:right="480"/>
              <w:jc w:val="left"/>
              <w:rPr>
                <w:bCs/>
                <w:color w:val="auto"/>
                <w:szCs w:val="21"/>
                <w:highlight w:val="none"/>
              </w:rPr>
            </w:pPr>
          </w:p>
        </w:tc>
      </w:tr>
      <w:tr w14:paraId="41848052">
        <w:tblPrEx>
          <w:tblCellMar>
            <w:top w:w="0" w:type="dxa"/>
            <w:left w:w="108" w:type="dxa"/>
            <w:bottom w:w="0" w:type="dxa"/>
            <w:right w:w="108" w:type="dxa"/>
          </w:tblCellMar>
        </w:tblPrEx>
        <w:tc>
          <w:tcPr>
            <w:tcW w:w="2336" w:type="dxa"/>
            <w:noWrap w:val="0"/>
            <w:vAlign w:val="top"/>
          </w:tcPr>
          <w:p w14:paraId="1A6352A5">
            <w:pPr>
              <w:snapToGrid w:val="0"/>
              <w:spacing w:line="360" w:lineRule="exact"/>
              <w:ind w:right="480"/>
              <w:jc w:val="left"/>
              <w:rPr>
                <w:bCs/>
                <w:color w:val="auto"/>
                <w:szCs w:val="21"/>
                <w:highlight w:val="none"/>
              </w:rPr>
            </w:pPr>
            <w:r>
              <w:rPr>
                <w:rFonts w:hint="eastAsia"/>
                <w:bCs/>
                <w:color w:val="auto"/>
                <w:szCs w:val="21"/>
                <w:highlight w:val="none"/>
              </w:rPr>
              <w:t>项目名称：</w:t>
            </w:r>
          </w:p>
        </w:tc>
        <w:tc>
          <w:tcPr>
            <w:tcW w:w="2336" w:type="dxa"/>
            <w:noWrap w:val="0"/>
            <w:vAlign w:val="top"/>
          </w:tcPr>
          <w:p w14:paraId="00E1DC29">
            <w:pPr>
              <w:snapToGrid w:val="0"/>
              <w:spacing w:line="360" w:lineRule="exact"/>
              <w:ind w:right="480"/>
              <w:jc w:val="left"/>
              <w:rPr>
                <w:bCs/>
                <w:color w:val="auto"/>
                <w:szCs w:val="21"/>
                <w:highlight w:val="none"/>
              </w:rPr>
            </w:pPr>
          </w:p>
        </w:tc>
        <w:tc>
          <w:tcPr>
            <w:tcW w:w="2336" w:type="dxa"/>
            <w:noWrap w:val="0"/>
            <w:vAlign w:val="top"/>
          </w:tcPr>
          <w:p w14:paraId="1CEC1000">
            <w:pPr>
              <w:snapToGrid w:val="0"/>
              <w:spacing w:line="360" w:lineRule="exact"/>
              <w:ind w:right="480"/>
              <w:jc w:val="left"/>
              <w:rPr>
                <w:bCs/>
                <w:color w:val="auto"/>
                <w:szCs w:val="21"/>
                <w:highlight w:val="none"/>
              </w:rPr>
            </w:pPr>
            <w:r>
              <w:rPr>
                <w:rFonts w:hint="eastAsia"/>
                <w:bCs/>
                <w:color w:val="auto"/>
                <w:szCs w:val="21"/>
                <w:highlight w:val="none"/>
              </w:rPr>
              <w:t>项目编号：</w:t>
            </w:r>
          </w:p>
        </w:tc>
        <w:tc>
          <w:tcPr>
            <w:tcW w:w="2337" w:type="dxa"/>
            <w:noWrap w:val="0"/>
            <w:vAlign w:val="top"/>
          </w:tcPr>
          <w:p w14:paraId="747AE505">
            <w:pPr>
              <w:snapToGrid w:val="0"/>
              <w:spacing w:line="360" w:lineRule="exact"/>
              <w:ind w:right="480"/>
              <w:jc w:val="left"/>
              <w:rPr>
                <w:bCs/>
                <w:color w:val="auto"/>
                <w:szCs w:val="21"/>
                <w:highlight w:val="none"/>
              </w:rPr>
            </w:pPr>
          </w:p>
        </w:tc>
      </w:tr>
      <w:tr w14:paraId="3B32BF8F">
        <w:tblPrEx>
          <w:tblCellMar>
            <w:top w:w="0" w:type="dxa"/>
            <w:left w:w="108" w:type="dxa"/>
            <w:bottom w:w="0" w:type="dxa"/>
            <w:right w:w="108" w:type="dxa"/>
          </w:tblCellMar>
        </w:tblPrEx>
        <w:tc>
          <w:tcPr>
            <w:tcW w:w="2336" w:type="dxa"/>
            <w:noWrap w:val="0"/>
            <w:vAlign w:val="top"/>
          </w:tcPr>
          <w:p w14:paraId="302EB22A">
            <w:pPr>
              <w:snapToGrid w:val="0"/>
              <w:spacing w:line="360" w:lineRule="exact"/>
              <w:jc w:val="left"/>
              <w:rPr>
                <w:bCs/>
                <w:color w:val="auto"/>
                <w:szCs w:val="21"/>
                <w:highlight w:val="none"/>
              </w:rPr>
            </w:pPr>
            <w:r>
              <w:rPr>
                <w:rFonts w:hint="eastAsia"/>
                <w:bCs/>
                <w:color w:val="auto"/>
                <w:szCs w:val="21"/>
                <w:highlight w:val="none"/>
              </w:rPr>
              <w:t>采购人（甲方）：</w:t>
            </w:r>
          </w:p>
        </w:tc>
        <w:tc>
          <w:tcPr>
            <w:tcW w:w="2336" w:type="dxa"/>
            <w:noWrap w:val="0"/>
            <w:vAlign w:val="top"/>
          </w:tcPr>
          <w:p w14:paraId="47FAA098">
            <w:pPr>
              <w:snapToGrid w:val="0"/>
              <w:spacing w:line="360" w:lineRule="exact"/>
              <w:ind w:right="480"/>
              <w:jc w:val="left"/>
              <w:rPr>
                <w:bCs/>
                <w:color w:val="auto"/>
                <w:szCs w:val="21"/>
                <w:highlight w:val="none"/>
              </w:rPr>
            </w:pPr>
          </w:p>
        </w:tc>
        <w:tc>
          <w:tcPr>
            <w:tcW w:w="2336" w:type="dxa"/>
            <w:noWrap w:val="0"/>
            <w:vAlign w:val="top"/>
          </w:tcPr>
          <w:p w14:paraId="4A4FA260">
            <w:pPr>
              <w:snapToGrid w:val="0"/>
              <w:spacing w:line="360" w:lineRule="exact"/>
              <w:jc w:val="left"/>
              <w:rPr>
                <w:bCs/>
                <w:color w:val="auto"/>
                <w:szCs w:val="21"/>
                <w:highlight w:val="none"/>
              </w:rPr>
            </w:pPr>
            <w:r>
              <w:rPr>
                <w:rFonts w:hint="eastAsia"/>
                <w:bCs/>
                <w:color w:val="auto"/>
                <w:szCs w:val="21"/>
                <w:highlight w:val="none"/>
              </w:rPr>
              <w:t>供应商（乙方）：</w:t>
            </w:r>
          </w:p>
        </w:tc>
        <w:tc>
          <w:tcPr>
            <w:tcW w:w="2337" w:type="dxa"/>
            <w:noWrap w:val="0"/>
            <w:vAlign w:val="top"/>
          </w:tcPr>
          <w:p w14:paraId="77F6C117">
            <w:pPr>
              <w:snapToGrid w:val="0"/>
              <w:spacing w:line="360" w:lineRule="exact"/>
              <w:ind w:right="480"/>
              <w:jc w:val="left"/>
              <w:rPr>
                <w:bCs/>
                <w:color w:val="auto"/>
                <w:szCs w:val="21"/>
                <w:highlight w:val="none"/>
              </w:rPr>
            </w:pPr>
          </w:p>
        </w:tc>
      </w:tr>
      <w:tr w14:paraId="5932A510">
        <w:tblPrEx>
          <w:tblCellMar>
            <w:top w:w="0" w:type="dxa"/>
            <w:left w:w="108" w:type="dxa"/>
            <w:bottom w:w="0" w:type="dxa"/>
            <w:right w:w="108" w:type="dxa"/>
          </w:tblCellMar>
        </w:tblPrEx>
        <w:tc>
          <w:tcPr>
            <w:tcW w:w="2336" w:type="dxa"/>
            <w:noWrap w:val="0"/>
            <w:vAlign w:val="top"/>
          </w:tcPr>
          <w:p w14:paraId="33BE3318">
            <w:pPr>
              <w:snapToGrid w:val="0"/>
              <w:spacing w:line="360" w:lineRule="exact"/>
              <w:ind w:right="480"/>
              <w:jc w:val="left"/>
              <w:rPr>
                <w:bCs/>
                <w:color w:val="auto"/>
                <w:szCs w:val="21"/>
                <w:highlight w:val="none"/>
              </w:rPr>
            </w:pPr>
            <w:r>
              <w:rPr>
                <w:rFonts w:hint="eastAsia"/>
                <w:bCs/>
                <w:color w:val="auto"/>
                <w:szCs w:val="21"/>
                <w:highlight w:val="none"/>
              </w:rPr>
              <w:t>签订地点：</w:t>
            </w:r>
          </w:p>
        </w:tc>
        <w:tc>
          <w:tcPr>
            <w:tcW w:w="2336" w:type="dxa"/>
            <w:noWrap w:val="0"/>
            <w:vAlign w:val="top"/>
          </w:tcPr>
          <w:p w14:paraId="6BC1F507">
            <w:pPr>
              <w:snapToGrid w:val="0"/>
              <w:spacing w:line="360" w:lineRule="exact"/>
              <w:ind w:right="480"/>
              <w:jc w:val="left"/>
              <w:rPr>
                <w:bCs/>
                <w:color w:val="auto"/>
                <w:szCs w:val="21"/>
                <w:highlight w:val="none"/>
              </w:rPr>
            </w:pPr>
          </w:p>
        </w:tc>
        <w:tc>
          <w:tcPr>
            <w:tcW w:w="2336" w:type="dxa"/>
            <w:noWrap w:val="0"/>
            <w:vAlign w:val="top"/>
          </w:tcPr>
          <w:p w14:paraId="6726387F">
            <w:pPr>
              <w:snapToGrid w:val="0"/>
              <w:spacing w:line="360" w:lineRule="exact"/>
              <w:ind w:right="480"/>
              <w:jc w:val="left"/>
              <w:rPr>
                <w:bCs/>
                <w:color w:val="auto"/>
                <w:szCs w:val="21"/>
                <w:highlight w:val="none"/>
              </w:rPr>
            </w:pPr>
            <w:r>
              <w:rPr>
                <w:rFonts w:hint="eastAsia"/>
                <w:bCs/>
                <w:color w:val="auto"/>
                <w:szCs w:val="21"/>
                <w:highlight w:val="none"/>
              </w:rPr>
              <w:t>签订时间：</w:t>
            </w:r>
          </w:p>
        </w:tc>
        <w:tc>
          <w:tcPr>
            <w:tcW w:w="2337" w:type="dxa"/>
            <w:noWrap w:val="0"/>
            <w:vAlign w:val="top"/>
          </w:tcPr>
          <w:p w14:paraId="00F50811">
            <w:pPr>
              <w:snapToGrid w:val="0"/>
              <w:spacing w:line="360" w:lineRule="exact"/>
              <w:ind w:right="480"/>
              <w:jc w:val="left"/>
              <w:rPr>
                <w:bCs/>
                <w:color w:val="auto"/>
                <w:szCs w:val="21"/>
                <w:highlight w:val="none"/>
              </w:rPr>
            </w:pPr>
          </w:p>
        </w:tc>
      </w:tr>
    </w:tbl>
    <w:p w14:paraId="40A30CD5">
      <w:pPr>
        <w:snapToGrid w:val="0"/>
        <w:spacing w:line="360" w:lineRule="exact"/>
        <w:ind w:right="480" w:firstLine="5985" w:firstLineChars="2850"/>
        <w:rPr>
          <w:bCs/>
          <w:color w:val="auto"/>
          <w:szCs w:val="21"/>
          <w:highlight w:val="none"/>
        </w:rPr>
      </w:pPr>
    </w:p>
    <w:p w14:paraId="508B1AE8">
      <w:pPr>
        <w:pStyle w:val="26"/>
        <w:spacing w:line="300" w:lineRule="exact"/>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根据《中华人民共和国政府采购法》</w:t>
      </w:r>
      <w:r>
        <w:rPr>
          <w:rFonts w:hint="eastAsia" w:ascii="Times New Roman" w:hAnsi="Times New Roman" w:cs="Times New Roman"/>
          <w:color w:val="auto"/>
          <w:highlight w:val="none"/>
        </w:rPr>
        <w:t>、</w:t>
      </w:r>
      <w:r>
        <w:rPr>
          <w:rFonts w:ascii="Times New Roman" w:hAnsi="Times New Roman" w:cs="Times New Roman"/>
          <w:color w:val="auto"/>
          <w:highlight w:val="none"/>
        </w:rPr>
        <w:t>《中华人民共和国政府采购法</w:t>
      </w:r>
      <w:r>
        <w:rPr>
          <w:rFonts w:hint="eastAsia" w:ascii="Times New Roman" w:hAnsi="Times New Roman" w:cs="Times New Roman"/>
          <w:color w:val="auto"/>
          <w:highlight w:val="none"/>
        </w:rPr>
        <w:t>实施条例</w:t>
      </w:r>
      <w:r>
        <w:rPr>
          <w:rFonts w:ascii="Times New Roman" w:hAnsi="Times New Roman" w:cs="Times New Roman"/>
          <w:color w:val="auto"/>
          <w:highlight w:val="none"/>
        </w:rPr>
        <w:t>》等法律、法规规定，按照采购文件规定</w:t>
      </w:r>
      <w:r>
        <w:rPr>
          <w:rFonts w:hint="eastAsia" w:ascii="Times New Roman" w:hAnsi="Times New Roman" w:cs="Times New Roman"/>
          <w:color w:val="auto"/>
          <w:highlight w:val="none"/>
        </w:rPr>
        <w:t>、</w:t>
      </w:r>
      <w:r>
        <w:rPr>
          <w:rFonts w:ascii="Times New Roman" w:hAnsi="Times New Roman" w:cs="Times New Roman"/>
          <w:color w:val="auto"/>
          <w:highlight w:val="none"/>
        </w:rPr>
        <w:t>乙方响应文件及其承诺</w:t>
      </w:r>
      <w:r>
        <w:rPr>
          <w:rFonts w:hint="eastAsia" w:ascii="Times New Roman" w:hAnsi="Times New Roman" w:cs="Times New Roman"/>
          <w:color w:val="auto"/>
          <w:highlight w:val="none"/>
        </w:rPr>
        <w:t>和</w:t>
      </w:r>
      <w:r>
        <w:rPr>
          <w:rFonts w:hint="eastAsia" w:ascii="Times New Roman" w:hAnsi="Times New Roman" w:cs="Times New Roman"/>
          <w:color w:val="auto"/>
          <w:highlight w:val="none"/>
          <w:lang w:val="en-US" w:eastAsia="zh-CN"/>
        </w:rPr>
        <w:t>成交</w:t>
      </w:r>
      <w:r>
        <w:rPr>
          <w:rFonts w:hint="eastAsia" w:ascii="Times New Roman" w:hAnsi="Times New Roman" w:cs="Times New Roman"/>
          <w:color w:val="auto"/>
          <w:highlight w:val="none"/>
        </w:rPr>
        <w:t>通知书</w:t>
      </w:r>
      <w:r>
        <w:rPr>
          <w:rFonts w:ascii="Times New Roman" w:hAnsi="Times New Roman" w:cs="Times New Roman"/>
          <w:color w:val="auto"/>
          <w:highlight w:val="none"/>
        </w:rPr>
        <w:t>，甲乙双方签订本合同。</w:t>
      </w:r>
    </w:p>
    <w:p w14:paraId="61A185CA">
      <w:pPr>
        <w:snapToGrid w:val="0"/>
        <w:spacing w:line="360" w:lineRule="exact"/>
        <w:ind w:firstLine="422" w:firstLineChars="200"/>
        <w:rPr>
          <w:b/>
          <w:color w:val="auto"/>
          <w:szCs w:val="21"/>
          <w:highlight w:val="none"/>
        </w:rPr>
      </w:pPr>
      <w:r>
        <w:rPr>
          <w:b/>
          <w:color w:val="auto"/>
          <w:szCs w:val="21"/>
          <w:highlight w:val="none"/>
        </w:rPr>
        <w:t>第一条　项目概况及服务范围</w:t>
      </w:r>
    </w:p>
    <w:p w14:paraId="18764CC0">
      <w:pPr>
        <w:snapToGrid w:val="0"/>
        <w:spacing w:line="360" w:lineRule="exact"/>
        <w:ind w:firstLine="420" w:firstLineChars="200"/>
        <w:rPr>
          <w:color w:val="auto"/>
          <w:szCs w:val="21"/>
          <w:highlight w:val="none"/>
        </w:rPr>
      </w:pPr>
      <w:r>
        <w:rPr>
          <w:color w:val="auto"/>
          <w:szCs w:val="21"/>
          <w:highlight w:val="none"/>
        </w:rPr>
        <w:t>1.项目名称：</w:t>
      </w:r>
      <w:r>
        <w:rPr>
          <w:color w:val="auto"/>
          <w:szCs w:val="21"/>
          <w:highlight w:val="none"/>
          <w:u w:val="single"/>
        </w:rPr>
        <w:t xml:space="preserve">                                                    ；</w:t>
      </w:r>
    </w:p>
    <w:p w14:paraId="0DDBC341">
      <w:pPr>
        <w:snapToGrid w:val="0"/>
        <w:spacing w:line="360" w:lineRule="exact"/>
        <w:ind w:firstLine="420" w:firstLineChars="200"/>
        <w:rPr>
          <w:color w:val="auto"/>
          <w:szCs w:val="21"/>
          <w:highlight w:val="none"/>
        </w:rPr>
      </w:pPr>
      <w:r>
        <w:rPr>
          <w:color w:val="auto"/>
          <w:szCs w:val="21"/>
          <w:highlight w:val="none"/>
        </w:rPr>
        <w:t>2.服务内容及范围：</w:t>
      </w:r>
      <w:r>
        <w:rPr>
          <w:color w:val="auto"/>
          <w:szCs w:val="21"/>
          <w:highlight w:val="none"/>
          <w:u w:val="single"/>
        </w:rPr>
        <w:t xml:space="preserve">                                                    ；</w:t>
      </w:r>
      <w:r>
        <w:rPr>
          <w:color w:val="auto"/>
          <w:szCs w:val="21"/>
          <w:highlight w:val="none"/>
        </w:rPr>
        <w:t xml:space="preserve">  </w:t>
      </w:r>
    </w:p>
    <w:p w14:paraId="4FF304A5">
      <w:pPr>
        <w:snapToGrid w:val="0"/>
        <w:spacing w:line="360" w:lineRule="exact"/>
        <w:ind w:firstLine="420" w:firstLineChars="200"/>
        <w:rPr>
          <w:color w:val="auto"/>
          <w:szCs w:val="21"/>
          <w:highlight w:val="none"/>
        </w:rPr>
      </w:pPr>
      <w:r>
        <w:rPr>
          <w:color w:val="auto"/>
          <w:szCs w:val="21"/>
          <w:highlight w:val="none"/>
        </w:rPr>
        <w:t>3.服务期：</w:t>
      </w:r>
      <w:r>
        <w:rPr>
          <w:color w:val="auto"/>
          <w:szCs w:val="21"/>
          <w:highlight w:val="none"/>
          <w:u w:val="single"/>
        </w:rPr>
        <w:t xml:space="preserve">                                                            </w:t>
      </w:r>
      <w:r>
        <w:rPr>
          <w:color w:val="auto"/>
          <w:szCs w:val="21"/>
          <w:highlight w:val="none"/>
        </w:rPr>
        <w:t>；</w:t>
      </w:r>
    </w:p>
    <w:p w14:paraId="580E6637">
      <w:pPr>
        <w:snapToGrid w:val="0"/>
        <w:spacing w:line="360" w:lineRule="exact"/>
        <w:ind w:firstLine="420" w:firstLineChars="200"/>
        <w:rPr>
          <w:color w:val="auto"/>
          <w:szCs w:val="21"/>
          <w:highlight w:val="none"/>
        </w:rPr>
      </w:pPr>
      <w:r>
        <w:rPr>
          <w:color w:val="auto"/>
          <w:szCs w:val="21"/>
          <w:highlight w:val="none"/>
        </w:rPr>
        <w:t>4.交付时间及地点：</w:t>
      </w:r>
      <w:r>
        <w:rPr>
          <w:color w:val="auto"/>
          <w:szCs w:val="21"/>
          <w:highlight w:val="none"/>
          <w:u w:val="single"/>
        </w:rPr>
        <w:t xml:space="preserve">                                                    </w:t>
      </w:r>
      <w:r>
        <w:rPr>
          <w:color w:val="auto"/>
          <w:szCs w:val="21"/>
          <w:highlight w:val="none"/>
        </w:rPr>
        <w:t xml:space="preserve">； </w:t>
      </w:r>
    </w:p>
    <w:p w14:paraId="5290DED5">
      <w:pPr>
        <w:snapToGrid w:val="0"/>
        <w:spacing w:line="360" w:lineRule="exact"/>
        <w:ind w:firstLine="420" w:firstLineChars="200"/>
        <w:rPr>
          <w:rFonts w:hint="eastAsia" w:eastAsia="宋体"/>
          <w:color w:val="auto"/>
          <w:szCs w:val="21"/>
          <w:highlight w:val="none"/>
          <w:lang w:eastAsia="zh-CN"/>
        </w:rPr>
      </w:pPr>
      <w:r>
        <w:rPr>
          <w:color w:val="auto"/>
          <w:szCs w:val="21"/>
          <w:highlight w:val="none"/>
        </w:rPr>
        <w:t>5.报价要求：</w:t>
      </w:r>
      <w:r>
        <w:rPr>
          <w:rFonts w:hint="eastAsia"/>
          <w:color w:val="auto"/>
          <w:szCs w:val="21"/>
          <w:highlight w:val="none"/>
        </w:rPr>
        <w:t>本次报价须为人民币报价，包含本次采购范围内的所有服务以及其他所有成本费用的总和</w:t>
      </w:r>
      <w:r>
        <w:rPr>
          <w:rFonts w:hint="eastAsia"/>
          <w:color w:val="auto"/>
          <w:szCs w:val="21"/>
          <w:highlight w:val="none"/>
          <w:lang w:eastAsia="zh-CN"/>
        </w:rPr>
        <w:t>。</w:t>
      </w:r>
    </w:p>
    <w:p w14:paraId="4FC1AFF1">
      <w:pPr>
        <w:pStyle w:val="26"/>
        <w:spacing w:line="300" w:lineRule="exact"/>
        <w:ind w:firstLine="420" w:firstLineChars="200"/>
        <w:rPr>
          <w:rFonts w:hint="eastAsia" w:ascii="Times New Roman" w:hAnsi="Times New Roman" w:cs="Times New Roman"/>
          <w:color w:val="auto"/>
          <w:highlight w:val="none"/>
        </w:rPr>
      </w:pPr>
      <w:bookmarkStart w:id="109" w:name="_Hlk77611311"/>
      <w:r>
        <w:rPr>
          <w:rFonts w:ascii="Times New Roman" w:hAnsi="Times New Roman" w:cs="Times New Roman"/>
          <w:color w:val="auto"/>
          <w:highlight w:val="none"/>
        </w:rPr>
        <w:t>6</w:t>
      </w:r>
      <w:r>
        <w:rPr>
          <w:rFonts w:hint="eastAsia" w:ascii="Times New Roman" w:hAnsi="Times New Roman" w:cs="Times New Roman"/>
          <w:color w:val="auto"/>
          <w:highlight w:val="none"/>
        </w:rPr>
        <w:t xml:space="preserve">.合同价格形式：□固定总价 </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 xml:space="preserve">固定单价 </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□成本补偿 □绩效激励 □其他</w:t>
      </w:r>
    </w:p>
    <w:bookmarkEnd w:id="109"/>
    <w:p w14:paraId="567C9B6D">
      <w:pPr>
        <w:snapToGrid w:val="0"/>
        <w:spacing w:line="360" w:lineRule="exact"/>
        <w:ind w:firstLine="422" w:firstLineChars="200"/>
        <w:rPr>
          <w:b/>
          <w:color w:val="auto"/>
          <w:szCs w:val="21"/>
          <w:highlight w:val="none"/>
        </w:rPr>
      </w:pPr>
      <w:r>
        <w:rPr>
          <w:b/>
          <w:color w:val="auto"/>
          <w:szCs w:val="21"/>
          <w:highlight w:val="none"/>
        </w:rPr>
        <w:t>第二条　服务交付成果（产品）清单</w:t>
      </w:r>
    </w:p>
    <w:tbl>
      <w:tblPr>
        <w:tblStyle w:val="5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583"/>
        <w:gridCol w:w="926"/>
        <w:gridCol w:w="1201"/>
        <w:gridCol w:w="1311"/>
        <w:gridCol w:w="1748"/>
        <w:gridCol w:w="1748"/>
      </w:tblGrid>
      <w:tr w14:paraId="65A5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602" w:type="dxa"/>
            <w:noWrap w:val="0"/>
            <w:vAlign w:val="center"/>
          </w:tcPr>
          <w:p w14:paraId="7D17FCB8">
            <w:pPr>
              <w:snapToGrid w:val="0"/>
              <w:spacing w:line="360" w:lineRule="exact"/>
              <w:jc w:val="center"/>
              <w:rPr>
                <w:color w:val="auto"/>
                <w:szCs w:val="21"/>
                <w:highlight w:val="none"/>
              </w:rPr>
            </w:pPr>
            <w:r>
              <w:rPr>
                <w:color w:val="auto"/>
                <w:szCs w:val="21"/>
                <w:highlight w:val="none"/>
              </w:rPr>
              <w:t>序号</w:t>
            </w:r>
          </w:p>
        </w:tc>
        <w:tc>
          <w:tcPr>
            <w:tcW w:w="1583" w:type="dxa"/>
            <w:noWrap w:val="0"/>
            <w:vAlign w:val="center"/>
          </w:tcPr>
          <w:p w14:paraId="42C99E1F">
            <w:pPr>
              <w:snapToGrid w:val="0"/>
              <w:spacing w:line="360" w:lineRule="exact"/>
              <w:jc w:val="center"/>
              <w:rPr>
                <w:color w:val="auto"/>
                <w:szCs w:val="21"/>
                <w:highlight w:val="none"/>
              </w:rPr>
            </w:pPr>
            <w:r>
              <w:rPr>
                <w:color w:val="auto"/>
                <w:szCs w:val="21"/>
                <w:highlight w:val="none"/>
              </w:rPr>
              <w:t>服务交付成果或产品名称</w:t>
            </w:r>
          </w:p>
        </w:tc>
        <w:tc>
          <w:tcPr>
            <w:tcW w:w="926" w:type="dxa"/>
            <w:noWrap w:val="0"/>
            <w:vAlign w:val="center"/>
          </w:tcPr>
          <w:p w14:paraId="4588526D">
            <w:pPr>
              <w:snapToGrid w:val="0"/>
              <w:spacing w:line="360" w:lineRule="exact"/>
              <w:jc w:val="center"/>
              <w:rPr>
                <w:color w:val="auto"/>
                <w:szCs w:val="21"/>
                <w:highlight w:val="none"/>
              </w:rPr>
            </w:pPr>
            <w:r>
              <w:rPr>
                <w:color w:val="auto"/>
                <w:szCs w:val="21"/>
                <w:highlight w:val="none"/>
              </w:rPr>
              <w:t>数  量</w:t>
            </w:r>
          </w:p>
        </w:tc>
        <w:tc>
          <w:tcPr>
            <w:tcW w:w="1201" w:type="dxa"/>
            <w:noWrap w:val="0"/>
            <w:vAlign w:val="center"/>
          </w:tcPr>
          <w:p w14:paraId="32338B3C">
            <w:pPr>
              <w:snapToGrid w:val="0"/>
              <w:spacing w:line="360" w:lineRule="exact"/>
              <w:jc w:val="center"/>
              <w:rPr>
                <w:color w:val="auto"/>
                <w:szCs w:val="21"/>
                <w:highlight w:val="none"/>
              </w:rPr>
            </w:pPr>
            <w:r>
              <w:rPr>
                <w:color w:val="auto"/>
                <w:szCs w:val="21"/>
                <w:highlight w:val="none"/>
              </w:rPr>
              <w:t>单位</w:t>
            </w:r>
          </w:p>
        </w:tc>
        <w:tc>
          <w:tcPr>
            <w:tcW w:w="1311" w:type="dxa"/>
            <w:noWrap w:val="0"/>
            <w:vAlign w:val="center"/>
          </w:tcPr>
          <w:p w14:paraId="65EAAD8F">
            <w:pPr>
              <w:snapToGrid w:val="0"/>
              <w:spacing w:line="360" w:lineRule="exact"/>
              <w:jc w:val="center"/>
              <w:rPr>
                <w:color w:val="auto"/>
                <w:szCs w:val="21"/>
                <w:highlight w:val="none"/>
              </w:rPr>
            </w:pPr>
            <w:r>
              <w:rPr>
                <w:color w:val="auto"/>
                <w:szCs w:val="21"/>
                <w:highlight w:val="none"/>
              </w:rPr>
              <w:t>单  价</w:t>
            </w:r>
          </w:p>
          <w:p w14:paraId="64AE8E00">
            <w:pPr>
              <w:snapToGrid w:val="0"/>
              <w:spacing w:line="360" w:lineRule="exact"/>
              <w:jc w:val="center"/>
              <w:rPr>
                <w:color w:val="auto"/>
                <w:szCs w:val="21"/>
                <w:highlight w:val="none"/>
              </w:rPr>
            </w:pPr>
            <w:r>
              <w:rPr>
                <w:color w:val="auto"/>
                <w:szCs w:val="21"/>
                <w:highlight w:val="none"/>
              </w:rPr>
              <w:t>（元）</w:t>
            </w:r>
          </w:p>
        </w:tc>
        <w:tc>
          <w:tcPr>
            <w:tcW w:w="1748" w:type="dxa"/>
            <w:noWrap w:val="0"/>
            <w:vAlign w:val="center"/>
          </w:tcPr>
          <w:p w14:paraId="52BDBDF9">
            <w:pPr>
              <w:snapToGrid w:val="0"/>
              <w:spacing w:line="360" w:lineRule="exact"/>
              <w:jc w:val="center"/>
              <w:rPr>
                <w:color w:val="auto"/>
                <w:szCs w:val="21"/>
                <w:highlight w:val="none"/>
              </w:rPr>
            </w:pPr>
            <w:r>
              <w:rPr>
                <w:color w:val="auto"/>
                <w:szCs w:val="21"/>
                <w:highlight w:val="none"/>
              </w:rPr>
              <w:t>金  额</w:t>
            </w:r>
          </w:p>
          <w:p w14:paraId="33FD15DD">
            <w:pPr>
              <w:snapToGrid w:val="0"/>
              <w:spacing w:line="360" w:lineRule="exact"/>
              <w:jc w:val="center"/>
              <w:rPr>
                <w:color w:val="auto"/>
                <w:szCs w:val="21"/>
                <w:highlight w:val="none"/>
              </w:rPr>
            </w:pPr>
            <w:r>
              <w:rPr>
                <w:color w:val="auto"/>
                <w:szCs w:val="21"/>
                <w:highlight w:val="none"/>
              </w:rPr>
              <w:t>（元）</w:t>
            </w:r>
          </w:p>
        </w:tc>
        <w:tc>
          <w:tcPr>
            <w:tcW w:w="1748" w:type="dxa"/>
            <w:noWrap w:val="0"/>
            <w:vAlign w:val="top"/>
          </w:tcPr>
          <w:p w14:paraId="6B39EA82">
            <w:pPr>
              <w:snapToGrid w:val="0"/>
              <w:spacing w:line="360" w:lineRule="exact"/>
              <w:jc w:val="center"/>
              <w:rPr>
                <w:color w:val="auto"/>
                <w:szCs w:val="21"/>
                <w:highlight w:val="none"/>
              </w:rPr>
            </w:pPr>
            <w:r>
              <w:rPr>
                <w:color w:val="auto"/>
                <w:szCs w:val="21"/>
                <w:highlight w:val="none"/>
              </w:rPr>
              <w:t>备注</w:t>
            </w:r>
          </w:p>
        </w:tc>
      </w:tr>
      <w:tr w14:paraId="36FB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noWrap w:val="0"/>
            <w:vAlign w:val="center"/>
          </w:tcPr>
          <w:p w14:paraId="4EB540D8">
            <w:pPr>
              <w:snapToGrid w:val="0"/>
              <w:spacing w:line="360" w:lineRule="exact"/>
              <w:jc w:val="center"/>
              <w:rPr>
                <w:color w:val="auto"/>
                <w:szCs w:val="21"/>
                <w:highlight w:val="none"/>
              </w:rPr>
            </w:pPr>
            <w:r>
              <w:rPr>
                <w:color w:val="auto"/>
                <w:szCs w:val="21"/>
                <w:highlight w:val="none"/>
              </w:rPr>
              <w:t>1</w:t>
            </w:r>
          </w:p>
        </w:tc>
        <w:tc>
          <w:tcPr>
            <w:tcW w:w="1583" w:type="dxa"/>
            <w:noWrap w:val="0"/>
            <w:vAlign w:val="center"/>
          </w:tcPr>
          <w:p w14:paraId="3D1B244B">
            <w:pPr>
              <w:snapToGrid w:val="0"/>
              <w:spacing w:line="360" w:lineRule="exact"/>
              <w:jc w:val="center"/>
              <w:rPr>
                <w:color w:val="auto"/>
                <w:szCs w:val="21"/>
                <w:highlight w:val="none"/>
              </w:rPr>
            </w:pPr>
          </w:p>
        </w:tc>
        <w:tc>
          <w:tcPr>
            <w:tcW w:w="926" w:type="dxa"/>
            <w:noWrap w:val="0"/>
            <w:vAlign w:val="top"/>
          </w:tcPr>
          <w:p w14:paraId="12980DA2">
            <w:pPr>
              <w:snapToGrid w:val="0"/>
              <w:spacing w:line="360" w:lineRule="exact"/>
              <w:jc w:val="center"/>
              <w:rPr>
                <w:color w:val="auto"/>
                <w:szCs w:val="21"/>
                <w:highlight w:val="none"/>
              </w:rPr>
            </w:pPr>
          </w:p>
        </w:tc>
        <w:tc>
          <w:tcPr>
            <w:tcW w:w="1201" w:type="dxa"/>
            <w:noWrap w:val="0"/>
            <w:vAlign w:val="top"/>
          </w:tcPr>
          <w:p w14:paraId="448D27D9">
            <w:pPr>
              <w:snapToGrid w:val="0"/>
              <w:spacing w:line="360" w:lineRule="exact"/>
              <w:jc w:val="center"/>
              <w:rPr>
                <w:color w:val="auto"/>
                <w:szCs w:val="21"/>
                <w:highlight w:val="none"/>
              </w:rPr>
            </w:pPr>
          </w:p>
        </w:tc>
        <w:tc>
          <w:tcPr>
            <w:tcW w:w="1311" w:type="dxa"/>
            <w:noWrap w:val="0"/>
            <w:vAlign w:val="center"/>
          </w:tcPr>
          <w:p w14:paraId="03B6FBA3">
            <w:pPr>
              <w:snapToGrid w:val="0"/>
              <w:spacing w:line="360" w:lineRule="exact"/>
              <w:jc w:val="center"/>
              <w:rPr>
                <w:color w:val="auto"/>
                <w:szCs w:val="21"/>
                <w:highlight w:val="none"/>
              </w:rPr>
            </w:pPr>
          </w:p>
        </w:tc>
        <w:tc>
          <w:tcPr>
            <w:tcW w:w="1748" w:type="dxa"/>
            <w:noWrap w:val="0"/>
            <w:vAlign w:val="center"/>
          </w:tcPr>
          <w:p w14:paraId="00F0FAB0">
            <w:pPr>
              <w:snapToGrid w:val="0"/>
              <w:spacing w:line="360" w:lineRule="exact"/>
              <w:jc w:val="center"/>
              <w:rPr>
                <w:color w:val="auto"/>
                <w:szCs w:val="21"/>
                <w:highlight w:val="none"/>
              </w:rPr>
            </w:pPr>
          </w:p>
        </w:tc>
        <w:tc>
          <w:tcPr>
            <w:tcW w:w="1748" w:type="dxa"/>
            <w:vMerge w:val="restart"/>
            <w:noWrap w:val="0"/>
            <w:vAlign w:val="top"/>
          </w:tcPr>
          <w:p w14:paraId="5EDC1099">
            <w:pPr>
              <w:snapToGrid w:val="0"/>
              <w:spacing w:line="360" w:lineRule="exact"/>
              <w:jc w:val="left"/>
              <w:rPr>
                <w:color w:val="auto"/>
                <w:szCs w:val="21"/>
                <w:highlight w:val="none"/>
              </w:rPr>
            </w:pPr>
            <w:r>
              <w:rPr>
                <w:color w:val="auto"/>
                <w:szCs w:val="21"/>
                <w:highlight w:val="none"/>
              </w:rPr>
              <w:t>如有商标品牌、型号参数、生产厂家等信息请注明</w:t>
            </w:r>
          </w:p>
        </w:tc>
      </w:tr>
      <w:tr w14:paraId="70F3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noWrap w:val="0"/>
            <w:vAlign w:val="center"/>
          </w:tcPr>
          <w:p w14:paraId="55B061D3">
            <w:pPr>
              <w:snapToGrid w:val="0"/>
              <w:spacing w:line="360" w:lineRule="exact"/>
              <w:jc w:val="center"/>
              <w:rPr>
                <w:color w:val="auto"/>
                <w:szCs w:val="21"/>
                <w:highlight w:val="none"/>
              </w:rPr>
            </w:pPr>
            <w:r>
              <w:rPr>
                <w:color w:val="auto"/>
                <w:szCs w:val="21"/>
                <w:highlight w:val="none"/>
              </w:rPr>
              <w:t>2</w:t>
            </w:r>
          </w:p>
        </w:tc>
        <w:tc>
          <w:tcPr>
            <w:tcW w:w="1583" w:type="dxa"/>
            <w:noWrap w:val="0"/>
            <w:vAlign w:val="center"/>
          </w:tcPr>
          <w:p w14:paraId="69CA180E">
            <w:pPr>
              <w:snapToGrid w:val="0"/>
              <w:spacing w:line="360" w:lineRule="exact"/>
              <w:jc w:val="center"/>
              <w:rPr>
                <w:color w:val="auto"/>
                <w:szCs w:val="21"/>
                <w:highlight w:val="none"/>
              </w:rPr>
            </w:pPr>
          </w:p>
        </w:tc>
        <w:tc>
          <w:tcPr>
            <w:tcW w:w="926" w:type="dxa"/>
            <w:noWrap w:val="0"/>
            <w:vAlign w:val="top"/>
          </w:tcPr>
          <w:p w14:paraId="16932994">
            <w:pPr>
              <w:snapToGrid w:val="0"/>
              <w:spacing w:line="360" w:lineRule="exact"/>
              <w:jc w:val="center"/>
              <w:rPr>
                <w:color w:val="auto"/>
                <w:szCs w:val="21"/>
                <w:highlight w:val="none"/>
              </w:rPr>
            </w:pPr>
          </w:p>
        </w:tc>
        <w:tc>
          <w:tcPr>
            <w:tcW w:w="1201" w:type="dxa"/>
            <w:noWrap w:val="0"/>
            <w:vAlign w:val="top"/>
          </w:tcPr>
          <w:p w14:paraId="1FAE2C5B">
            <w:pPr>
              <w:snapToGrid w:val="0"/>
              <w:spacing w:line="360" w:lineRule="exact"/>
              <w:jc w:val="center"/>
              <w:rPr>
                <w:color w:val="auto"/>
                <w:szCs w:val="21"/>
                <w:highlight w:val="none"/>
              </w:rPr>
            </w:pPr>
          </w:p>
        </w:tc>
        <w:tc>
          <w:tcPr>
            <w:tcW w:w="1311" w:type="dxa"/>
            <w:noWrap w:val="0"/>
            <w:vAlign w:val="center"/>
          </w:tcPr>
          <w:p w14:paraId="659CB2EF">
            <w:pPr>
              <w:snapToGrid w:val="0"/>
              <w:spacing w:line="360" w:lineRule="exact"/>
              <w:jc w:val="center"/>
              <w:rPr>
                <w:color w:val="auto"/>
                <w:szCs w:val="21"/>
                <w:highlight w:val="none"/>
              </w:rPr>
            </w:pPr>
          </w:p>
        </w:tc>
        <w:tc>
          <w:tcPr>
            <w:tcW w:w="1748" w:type="dxa"/>
            <w:noWrap w:val="0"/>
            <w:vAlign w:val="center"/>
          </w:tcPr>
          <w:p w14:paraId="2B3192A6">
            <w:pPr>
              <w:snapToGrid w:val="0"/>
              <w:spacing w:line="360" w:lineRule="exact"/>
              <w:jc w:val="center"/>
              <w:rPr>
                <w:color w:val="auto"/>
                <w:szCs w:val="21"/>
                <w:highlight w:val="none"/>
              </w:rPr>
            </w:pPr>
          </w:p>
        </w:tc>
        <w:tc>
          <w:tcPr>
            <w:tcW w:w="1748" w:type="dxa"/>
            <w:vMerge w:val="continue"/>
            <w:noWrap w:val="0"/>
            <w:vAlign w:val="top"/>
          </w:tcPr>
          <w:p w14:paraId="754BAA2D">
            <w:pPr>
              <w:snapToGrid w:val="0"/>
              <w:spacing w:line="360" w:lineRule="exact"/>
              <w:jc w:val="center"/>
              <w:rPr>
                <w:color w:val="auto"/>
                <w:szCs w:val="21"/>
                <w:highlight w:val="none"/>
              </w:rPr>
            </w:pPr>
          </w:p>
        </w:tc>
      </w:tr>
      <w:tr w14:paraId="1E48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noWrap w:val="0"/>
            <w:vAlign w:val="center"/>
          </w:tcPr>
          <w:p w14:paraId="5E97B0F4">
            <w:pPr>
              <w:snapToGrid w:val="0"/>
              <w:spacing w:line="360" w:lineRule="exact"/>
              <w:jc w:val="center"/>
              <w:rPr>
                <w:color w:val="auto"/>
                <w:szCs w:val="21"/>
                <w:highlight w:val="none"/>
              </w:rPr>
            </w:pPr>
            <w:r>
              <w:rPr>
                <w:color w:val="auto"/>
                <w:szCs w:val="21"/>
                <w:highlight w:val="none"/>
              </w:rPr>
              <w:t>3</w:t>
            </w:r>
          </w:p>
        </w:tc>
        <w:tc>
          <w:tcPr>
            <w:tcW w:w="1583" w:type="dxa"/>
            <w:noWrap w:val="0"/>
            <w:vAlign w:val="center"/>
          </w:tcPr>
          <w:p w14:paraId="3FE9A40F">
            <w:pPr>
              <w:snapToGrid w:val="0"/>
              <w:spacing w:line="360" w:lineRule="exact"/>
              <w:jc w:val="center"/>
              <w:rPr>
                <w:color w:val="auto"/>
                <w:szCs w:val="21"/>
                <w:highlight w:val="none"/>
              </w:rPr>
            </w:pPr>
          </w:p>
        </w:tc>
        <w:tc>
          <w:tcPr>
            <w:tcW w:w="926" w:type="dxa"/>
            <w:noWrap w:val="0"/>
            <w:vAlign w:val="top"/>
          </w:tcPr>
          <w:p w14:paraId="7A445921">
            <w:pPr>
              <w:snapToGrid w:val="0"/>
              <w:spacing w:line="360" w:lineRule="exact"/>
              <w:jc w:val="center"/>
              <w:rPr>
                <w:color w:val="auto"/>
                <w:szCs w:val="21"/>
                <w:highlight w:val="none"/>
              </w:rPr>
            </w:pPr>
          </w:p>
        </w:tc>
        <w:tc>
          <w:tcPr>
            <w:tcW w:w="1201" w:type="dxa"/>
            <w:noWrap w:val="0"/>
            <w:vAlign w:val="top"/>
          </w:tcPr>
          <w:p w14:paraId="2B863A2F">
            <w:pPr>
              <w:snapToGrid w:val="0"/>
              <w:spacing w:line="360" w:lineRule="exact"/>
              <w:jc w:val="center"/>
              <w:rPr>
                <w:color w:val="auto"/>
                <w:szCs w:val="21"/>
                <w:highlight w:val="none"/>
              </w:rPr>
            </w:pPr>
          </w:p>
        </w:tc>
        <w:tc>
          <w:tcPr>
            <w:tcW w:w="1311" w:type="dxa"/>
            <w:noWrap w:val="0"/>
            <w:vAlign w:val="center"/>
          </w:tcPr>
          <w:p w14:paraId="60E44607">
            <w:pPr>
              <w:snapToGrid w:val="0"/>
              <w:spacing w:line="360" w:lineRule="exact"/>
              <w:jc w:val="center"/>
              <w:rPr>
                <w:color w:val="auto"/>
                <w:szCs w:val="21"/>
                <w:highlight w:val="none"/>
              </w:rPr>
            </w:pPr>
          </w:p>
        </w:tc>
        <w:tc>
          <w:tcPr>
            <w:tcW w:w="1748" w:type="dxa"/>
            <w:noWrap w:val="0"/>
            <w:vAlign w:val="center"/>
          </w:tcPr>
          <w:p w14:paraId="3FF02F4D">
            <w:pPr>
              <w:snapToGrid w:val="0"/>
              <w:spacing w:line="360" w:lineRule="exact"/>
              <w:jc w:val="center"/>
              <w:rPr>
                <w:color w:val="auto"/>
                <w:szCs w:val="21"/>
                <w:highlight w:val="none"/>
              </w:rPr>
            </w:pPr>
          </w:p>
        </w:tc>
        <w:tc>
          <w:tcPr>
            <w:tcW w:w="1748" w:type="dxa"/>
            <w:vMerge w:val="continue"/>
            <w:noWrap w:val="0"/>
            <w:vAlign w:val="top"/>
          </w:tcPr>
          <w:p w14:paraId="73FB6519">
            <w:pPr>
              <w:snapToGrid w:val="0"/>
              <w:spacing w:line="360" w:lineRule="exact"/>
              <w:jc w:val="center"/>
              <w:rPr>
                <w:color w:val="auto"/>
                <w:szCs w:val="21"/>
                <w:highlight w:val="none"/>
              </w:rPr>
            </w:pPr>
          </w:p>
        </w:tc>
      </w:tr>
      <w:tr w14:paraId="702E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noWrap w:val="0"/>
            <w:vAlign w:val="center"/>
          </w:tcPr>
          <w:p w14:paraId="5A149AA7">
            <w:pPr>
              <w:snapToGrid w:val="0"/>
              <w:spacing w:line="360" w:lineRule="exact"/>
              <w:jc w:val="center"/>
              <w:rPr>
                <w:color w:val="auto"/>
                <w:szCs w:val="21"/>
                <w:highlight w:val="none"/>
              </w:rPr>
            </w:pPr>
          </w:p>
        </w:tc>
        <w:tc>
          <w:tcPr>
            <w:tcW w:w="8517" w:type="dxa"/>
            <w:gridSpan w:val="6"/>
            <w:noWrap w:val="0"/>
            <w:vAlign w:val="center"/>
          </w:tcPr>
          <w:p w14:paraId="34F30E78">
            <w:pPr>
              <w:snapToGrid w:val="0"/>
              <w:spacing w:line="360" w:lineRule="exact"/>
              <w:jc w:val="left"/>
              <w:rPr>
                <w:color w:val="auto"/>
                <w:szCs w:val="21"/>
                <w:highlight w:val="none"/>
              </w:rPr>
            </w:pPr>
            <w:r>
              <w:rPr>
                <w:rFonts w:hint="eastAsia"/>
                <w:color w:val="auto"/>
                <w:szCs w:val="21"/>
                <w:highlight w:val="none"/>
              </w:rPr>
              <w:t>总价（人民币）</w:t>
            </w:r>
            <w:r>
              <w:rPr>
                <w:color w:val="auto"/>
                <w:szCs w:val="21"/>
                <w:highlight w:val="none"/>
              </w:rPr>
              <w:t>（大写）                          （小写）</w:t>
            </w:r>
          </w:p>
        </w:tc>
      </w:tr>
    </w:tbl>
    <w:p w14:paraId="03E53096">
      <w:pPr>
        <w:snapToGrid w:val="0"/>
        <w:spacing w:line="360" w:lineRule="exact"/>
        <w:ind w:firstLine="422" w:firstLineChars="200"/>
        <w:rPr>
          <w:b/>
          <w:color w:val="auto"/>
          <w:szCs w:val="21"/>
          <w:highlight w:val="none"/>
        </w:rPr>
      </w:pPr>
      <w:r>
        <w:rPr>
          <w:b/>
          <w:color w:val="auto"/>
          <w:szCs w:val="21"/>
          <w:highlight w:val="none"/>
        </w:rPr>
        <w:t>第三条  甲方权利和义务</w:t>
      </w:r>
    </w:p>
    <w:p w14:paraId="43E61D19">
      <w:pPr>
        <w:snapToGrid w:val="0"/>
        <w:spacing w:line="360" w:lineRule="exact"/>
        <w:ind w:firstLine="420" w:firstLineChars="200"/>
        <w:rPr>
          <w:color w:val="auto"/>
          <w:szCs w:val="21"/>
          <w:highlight w:val="none"/>
        </w:rPr>
      </w:pPr>
      <w:r>
        <w:rPr>
          <w:color w:val="auto"/>
          <w:szCs w:val="21"/>
          <w:highlight w:val="none"/>
        </w:rPr>
        <w:t>1. 甲方有权要求乙方按时、按质、按量、按计划与合同协议约定完成本项目，并有权对乙方工作情况进行监督。</w:t>
      </w:r>
    </w:p>
    <w:p w14:paraId="5AE33B11">
      <w:pPr>
        <w:snapToGrid w:val="0"/>
        <w:spacing w:line="360" w:lineRule="exact"/>
        <w:ind w:firstLine="420" w:firstLineChars="200"/>
        <w:rPr>
          <w:color w:val="auto"/>
          <w:szCs w:val="21"/>
          <w:highlight w:val="none"/>
        </w:rPr>
      </w:pPr>
      <w:r>
        <w:rPr>
          <w:color w:val="auto"/>
          <w:szCs w:val="21"/>
          <w:highlight w:val="none"/>
        </w:rPr>
        <w:t>2. 根据项目进度，甲方有权及时对乙方提交的方案提出修改意见，并要求乙方按修改意见完成服务工作。</w:t>
      </w:r>
    </w:p>
    <w:p w14:paraId="1078C3A5">
      <w:pPr>
        <w:snapToGrid w:val="0"/>
        <w:spacing w:line="360" w:lineRule="exact"/>
        <w:ind w:firstLine="420" w:firstLineChars="200"/>
        <w:rPr>
          <w:color w:val="auto"/>
          <w:szCs w:val="21"/>
          <w:highlight w:val="none"/>
        </w:rPr>
      </w:pPr>
      <w:r>
        <w:rPr>
          <w:color w:val="auto"/>
          <w:szCs w:val="21"/>
          <w:highlight w:val="none"/>
        </w:rPr>
        <w:t>3. 乙方配备的项目投入人员应得到甲方的认可；对派遣到甲方的服务人员进行管理、考核、检查与奖惩。</w:t>
      </w:r>
    </w:p>
    <w:p w14:paraId="41F642EE">
      <w:pPr>
        <w:snapToGrid w:val="0"/>
        <w:spacing w:line="360" w:lineRule="exact"/>
        <w:ind w:firstLine="420" w:firstLineChars="200"/>
        <w:rPr>
          <w:strike/>
          <w:color w:val="auto"/>
          <w:szCs w:val="21"/>
          <w:highlight w:val="none"/>
        </w:rPr>
      </w:pPr>
      <w:r>
        <w:rPr>
          <w:color w:val="auto"/>
          <w:szCs w:val="21"/>
          <w:highlight w:val="none"/>
        </w:rPr>
        <w:t>4.甲方有权要求乙方更换不合格的工作人员。</w:t>
      </w:r>
    </w:p>
    <w:p w14:paraId="281AC059">
      <w:pPr>
        <w:snapToGrid w:val="0"/>
        <w:spacing w:line="360" w:lineRule="exact"/>
        <w:ind w:firstLine="420" w:firstLineChars="200"/>
        <w:rPr>
          <w:color w:val="auto"/>
          <w:szCs w:val="21"/>
          <w:highlight w:val="none"/>
        </w:rPr>
      </w:pPr>
      <w:r>
        <w:rPr>
          <w:color w:val="auto"/>
          <w:szCs w:val="21"/>
          <w:highlight w:val="none"/>
        </w:rPr>
        <w:t>5. 按合同要求及时向乙方支付产品和服务费用。</w:t>
      </w:r>
    </w:p>
    <w:p w14:paraId="4D8350C5">
      <w:pPr>
        <w:snapToGrid w:val="0"/>
        <w:spacing w:line="360" w:lineRule="exact"/>
        <w:ind w:firstLine="420" w:firstLineChars="200"/>
        <w:rPr>
          <w:rFonts w:hint="eastAsia"/>
          <w:color w:val="auto"/>
          <w:szCs w:val="21"/>
          <w:highlight w:val="none"/>
        </w:rPr>
      </w:pPr>
      <w:bookmarkStart w:id="110" w:name="_Hlk77611324"/>
      <w:r>
        <w:rPr>
          <w:rFonts w:hint="eastAsia"/>
          <w:color w:val="auto"/>
          <w:szCs w:val="21"/>
          <w:highlight w:val="none"/>
        </w:rPr>
        <w:t>6</w:t>
      </w:r>
      <w:r>
        <w:rPr>
          <w:color w:val="auto"/>
          <w:szCs w:val="21"/>
          <w:highlight w:val="none"/>
        </w:rPr>
        <w:t>.</w:t>
      </w:r>
      <w:r>
        <w:rPr>
          <w:rFonts w:hint="eastAsia"/>
          <w:color w:val="auto"/>
          <w:highlight w:val="none"/>
        </w:rPr>
        <w:t xml:space="preserve"> </w:t>
      </w:r>
      <w:r>
        <w:rPr>
          <w:rFonts w:hint="eastAsia"/>
          <w:color w:val="auto"/>
          <w:szCs w:val="21"/>
          <w:highlight w:val="none"/>
        </w:rPr>
        <w:t>如采购项目涉及采购标的的知识产权归属的，产权归属为：</w:t>
      </w:r>
      <w:r>
        <w:rPr>
          <w:rFonts w:hint="eastAsia"/>
          <w:color w:val="auto"/>
          <w:szCs w:val="21"/>
          <w:highlight w:val="none"/>
          <w:u w:val="single"/>
        </w:rPr>
        <w:t xml:space="preserve">    甲方    </w:t>
      </w:r>
      <w:r>
        <w:rPr>
          <w:rFonts w:hint="eastAsia"/>
          <w:color w:val="auto"/>
          <w:szCs w:val="21"/>
          <w:highlight w:val="none"/>
        </w:rPr>
        <w:t xml:space="preserve">    </w:t>
      </w:r>
    </w:p>
    <w:p w14:paraId="2443AA4F">
      <w:pPr>
        <w:snapToGrid w:val="0"/>
        <w:spacing w:line="360" w:lineRule="exact"/>
        <w:ind w:firstLine="420" w:firstLineChars="200"/>
        <w:rPr>
          <w:rFonts w:hint="eastAsia"/>
          <w:color w:val="auto"/>
          <w:szCs w:val="21"/>
          <w:highlight w:val="none"/>
          <w:u w:val="single"/>
        </w:rPr>
      </w:pPr>
      <w:r>
        <w:rPr>
          <w:rFonts w:hint="eastAsia"/>
          <w:color w:val="auto"/>
          <w:highlight w:val="none"/>
        </w:rPr>
        <w:t>7.产权纠纷</w:t>
      </w:r>
      <w:r>
        <w:rPr>
          <w:rFonts w:hint="eastAsia"/>
          <w:color w:val="auto"/>
          <w:szCs w:val="21"/>
          <w:highlight w:val="none"/>
        </w:rPr>
        <w:t>处理方式：</w:t>
      </w:r>
      <w:r>
        <w:rPr>
          <w:rFonts w:hint="eastAsia"/>
          <w:color w:val="auto"/>
          <w:szCs w:val="21"/>
          <w:highlight w:val="none"/>
          <w:u w:val="single"/>
        </w:rPr>
        <w:t>采购人在中华人民共和国境内使用供应商提供的产品及服务时免受第三方提出的侵犯其专利权或</w:t>
      </w:r>
      <w:r>
        <w:rPr>
          <w:rFonts w:hint="eastAsia"/>
          <w:color w:val="auto"/>
          <w:szCs w:val="21"/>
          <w:highlight w:val="none"/>
          <w:u w:val="single"/>
          <w:lang w:eastAsia="zh-CN"/>
        </w:rPr>
        <w:t>其他</w:t>
      </w:r>
      <w:r>
        <w:rPr>
          <w:rFonts w:hint="eastAsia"/>
          <w:color w:val="auto"/>
          <w:szCs w:val="21"/>
          <w:highlight w:val="none"/>
          <w:u w:val="single"/>
        </w:rPr>
        <w:t>知识产权的起诉。如果第三方提出侵权指控，乙方应妥善处理纠纷并承担由此而引起的一切法律责任和费用。</w:t>
      </w:r>
    </w:p>
    <w:bookmarkEnd w:id="110"/>
    <w:p w14:paraId="690C4F23">
      <w:pPr>
        <w:snapToGrid w:val="0"/>
        <w:spacing w:line="360" w:lineRule="exact"/>
        <w:ind w:firstLine="422" w:firstLineChars="200"/>
        <w:rPr>
          <w:b/>
          <w:color w:val="auto"/>
          <w:szCs w:val="21"/>
          <w:highlight w:val="none"/>
        </w:rPr>
      </w:pPr>
      <w:r>
        <w:rPr>
          <w:b/>
          <w:color w:val="auto"/>
          <w:szCs w:val="21"/>
          <w:highlight w:val="none"/>
        </w:rPr>
        <w:t>第四条  乙方权利和义务</w:t>
      </w:r>
    </w:p>
    <w:p w14:paraId="66D68664">
      <w:pPr>
        <w:snapToGrid w:val="0"/>
        <w:spacing w:line="360" w:lineRule="exact"/>
        <w:ind w:firstLine="420" w:firstLineChars="200"/>
        <w:rPr>
          <w:color w:val="auto"/>
          <w:szCs w:val="21"/>
          <w:highlight w:val="none"/>
        </w:rPr>
      </w:pPr>
      <w:r>
        <w:rPr>
          <w:color w:val="auto"/>
          <w:szCs w:val="21"/>
          <w:highlight w:val="none"/>
        </w:rPr>
        <w:t>1. 严格履行合同文件（含采购文件、响应文件等）约定和承诺的服务内容和质量标准，保证甲方项目的相关工作质量和进度。</w:t>
      </w:r>
    </w:p>
    <w:p w14:paraId="75029C48">
      <w:pPr>
        <w:snapToGrid w:val="0"/>
        <w:spacing w:line="360" w:lineRule="exact"/>
        <w:ind w:firstLine="420" w:firstLineChars="200"/>
        <w:rPr>
          <w:color w:val="auto"/>
          <w:szCs w:val="21"/>
          <w:highlight w:val="none"/>
        </w:rPr>
      </w:pPr>
      <w:r>
        <w:rPr>
          <w:color w:val="auto"/>
          <w:szCs w:val="21"/>
          <w:highlight w:val="none"/>
        </w:rPr>
        <w:t>2. 必须严格实施乙方响应文件中承诺的人力资源配置。在必须补充或更换人员时，必须补充或更换优于或等同于响应文件所承诺资质的服务人员，并需取得甲方书面同意。</w:t>
      </w:r>
    </w:p>
    <w:p w14:paraId="0AACA6C8">
      <w:pPr>
        <w:snapToGrid w:val="0"/>
        <w:spacing w:line="360" w:lineRule="exact"/>
        <w:ind w:firstLine="420" w:firstLineChars="200"/>
        <w:rPr>
          <w:color w:val="auto"/>
          <w:szCs w:val="21"/>
          <w:highlight w:val="none"/>
        </w:rPr>
      </w:pPr>
      <w:r>
        <w:rPr>
          <w:color w:val="auto"/>
          <w:szCs w:val="21"/>
          <w:highlight w:val="none"/>
        </w:rPr>
        <w:t>3. 乙方项目负责人及服务团队成员须与响应文件保持一致。合同存续期内，未经甲方书面要求或同意，项目负责人不应调整。项目负责人及服务团队成员必须保证在岗工作时间和重要活动在岗，如有变化，须取得甲方同意。</w:t>
      </w:r>
    </w:p>
    <w:p w14:paraId="121D5524">
      <w:pPr>
        <w:snapToGrid w:val="0"/>
        <w:spacing w:line="360" w:lineRule="exact"/>
        <w:ind w:firstLine="420" w:firstLineChars="200"/>
        <w:rPr>
          <w:color w:val="auto"/>
          <w:szCs w:val="21"/>
          <w:highlight w:val="none"/>
        </w:rPr>
      </w:pPr>
      <w:r>
        <w:rPr>
          <w:color w:val="auto"/>
          <w:szCs w:val="21"/>
          <w:highlight w:val="none"/>
        </w:rPr>
        <w:t>4.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579E6F7D">
      <w:pPr>
        <w:snapToGrid w:val="0"/>
        <w:spacing w:line="360" w:lineRule="exact"/>
        <w:ind w:firstLine="420" w:firstLineChars="200"/>
        <w:rPr>
          <w:color w:val="auto"/>
          <w:szCs w:val="21"/>
          <w:highlight w:val="none"/>
        </w:rPr>
      </w:pPr>
      <w:r>
        <w:rPr>
          <w:color w:val="auto"/>
          <w:szCs w:val="21"/>
          <w:highlight w:val="none"/>
        </w:rPr>
        <w:t>5. 乙方服务人员应履行保密义务。如乙方因违反本条约定给甲方造成损失的，乙方应当承担相应的法律责任，并赔偿由此给甲方造成的一切损失。</w:t>
      </w:r>
    </w:p>
    <w:p w14:paraId="58D5BB32">
      <w:pPr>
        <w:snapToGrid w:val="0"/>
        <w:spacing w:line="360" w:lineRule="exact"/>
        <w:ind w:firstLine="420" w:firstLineChars="200"/>
        <w:rPr>
          <w:rFonts w:hint="eastAsia"/>
          <w:color w:val="auto"/>
          <w:szCs w:val="21"/>
          <w:highlight w:val="none"/>
        </w:rPr>
      </w:pPr>
      <w:r>
        <w:rPr>
          <w:color w:val="auto"/>
          <w:szCs w:val="21"/>
          <w:highlight w:val="none"/>
        </w:rPr>
        <w:t>6. 按照合同约定收取服务费，当甲方出现无故拖欠费用时，乙方有权采取适当方式进行催缴，若甲方仍未支付费用，乙方有权停止工作。</w:t>
      </w:r>
    </w:p>
    <w:p w14:paraId="66ED48F6">
      <w:pPr>
        <w:snapToGrid w:val="0"/>
        <w:spacing w:line="360" w:lineRule="exact"/>
        <w:ind w:firstLine="422" w:firstLineChars="200"/>
        <w:rPr>
          <w:b/>
          <w:color w:val="auto"/>
          <w:szCs w:val="21"/>
          <w:highlight w:val="none"/>
        </w:rPr>
      </w:pPr>
      <w:r>
        <w:rPr>
          <w:b/>
          <w:color w:val="auto"/>
          <w:szCs w:val="21"/>
          <w:highlight w:val="none"/>
        </w:rPr>
        <w:t>第五条  包装和运输</w:t>
      </w:r>
    </w:p>
    <w:p w14:paraId="4A0EBFAC">
      <w:pPr>
        <w:snapToGrid w:val="0"/>
        <w:spacing w:line="360" w:lineRule="exact"/>
        <w:ind w:firstLine="420" w:firstLineChars="200"/>
        <w:rPr>
          <w:color w:val="auto"/>
          <w:szCs w:val="21"/>
          <w:highlight w:val="none"/>
        </w:rPr>
      </w:pPr>
      <w:r>
        <w:rPr>
          <w:color w:val="auto"/>
          <w:szCs w:val="21"/>
          <w:highlight w:val="none"/>
        </w:rPr>
        <w:t>1.乙方提供的服务交付成果或产品均应按采购文件要求的包装材料、包装标准、包装方式进行包装，每一包装单元内应附详细的交付清单和质量合格证，如有缺失应及时补齐，否则视为逾期交付。</w:t>
      </w:r>
    </w:p>
    <w:p w14:paraId="6CCCB7F9">
      <w:pPr>
        <w:snapToGrid w:val="0"/>
        <w:spacing w:line="360" w:lineRule="exact"/>
        <w:ind w:firstLine="420" w:firstLineChars="200"/>
        <w:rPr>
          <w:color w:val="auto"/>
          <w:szCs w:val="21"/>
          <w:highlight w:val="none"/>
        </w:rPr>
      </w:pPr>
      <w:r>
        <w:rPr>
          <w:color w:val="auto"/>
          <w:szCs w:val="21"/>
          <w:highlight w:val="none"/>
        </w:rPr>
        <w:t>2. 乙方负责服务交付成果、产品的运输。服务交付成果、产品的运输方式由乙方自定。服务交付成果、产品运输合理损耗及计算方法由乙方负责。</w:t>
      </w:r>
    </w:p>
    <w:p w14:paraId="371C0B94">
      <w:pPr>
        <w:pStyle w:val="26"/>
        <w:spacing w:line="300" w:lineRule="exact"/>
        <w:ind w:firstLine="420" w:firstLineChars="200"/>
        <w:rPr>
          <w:rFonts w:hint="eastAsia" w:ascii="Times New Roman" w:hAnsi="Times New Roman" w:cs="Times New Roman"/>
          <w:color w:val="auto"/>
          <w:highlight w:val="none"/>
        </w:rPr>
      </w:pPr>
      <w:bookmarkStart w:id="111" w:name="_Hlk60651149"/>
      <w:r>
        <w:rPr>
          <w:rFonts w:ascii="Times New Roman" w:hAnsi="Times New Roman" w:cs="Times New Roman"/>
          <w:color w:val="auto"/>
          <w:highlight w:val="none"/>
        </w:rPr>
        <w:t>3.</w:t>
      </w:r>
      <w:r>
        <w:rPr>
          <w:rFonts w:hint="eastAsia" w:ascii="Times New Roman" w:hAnsi="Times New Roman" w:cs="Times New Roman"/>
          <w:color w:val="auto"/>
          <w:highlight w:val="none"/>
        </w:rPr>
        <w:t>乙方提供的产品包装及快递包装应满足《财政部等三部门联合印发商品包装和快递包装政府采购需求标准（试行）》财办库</w:t>
      </w:r>
      <w:r>
        <w:rPr>
          <w:rFonts w:hint="eastAsia" w:ascii="Times New Roman" w:hAnsi="Times New Roman" w:cs="Times New Roman"/>
          <w:color w:val="auto"/>
          <w:highlight w:val="none"/>
          <w:lang w:eastAsia="zh-CN"/>
        </w:rPr>
        <w:t>〔2020〕123号</w:t>
      </w:r>
      <w:r>
        <w:rPr>
          <w:rFonts w:hint="eastAsia" w:ascii="Times New Roman" w:hAnsi="Times New Roman" w:cs="Times New Roman"/>
          <w:color w:val="auto"/>
          <w:highlight w:val="none"/>
        </w:rPr>
        <w:t>文要求。</w:t>
      </w:r>
      <w:bookmarkEnd w:id="111"/>
    </w:p>
    <w:p w14:paraId="64EBF4E9">
      <w:pPr>
        <w:snapToGrid w:val="0"/>
        <w:spacing w:line="360" w:lineRule="exact"/>
        <w:ind w:firstLine="422" w:firstLineChars="200"/>
        <w:rPr>
          <w:color w:val="auto"/>
          <w:szCs w:val="21"/>
          <w:highlight w:val="none"/>
        </w:rPr>
      </w:pPr>
      <w:r>
        <w:rPr>
          <w:b/>
          <w:color w:val="auto"/>
          <w:szCs w:val="21"/>
          <w:highlight w:val="none"/>
        </w:rPr>
        <w:t>第六条  交付和验收</w:t>
      </w:r>
    </w:p>
    <w:p w14:paraId="028D5AA5">
      <w:pPr>
        <w:snapToGrid w:val="0"/>
        <w:spacing w:line="360" w:lineRule="exact"/>
        <w:ind w:firstLine="420" w:firstLineChars="200"/>
        <w:rPr>
          <w:color w:val="auto"/>
          <w:szCs w:val="21"/>
          <w:highlight w:val="none"/>
        </w:rPr>
      </w:pPr>
      <w:r>
        <w:rPr>
          <w:color w:val="auto"/>
          <w:szCs w:val="21"/>
          <w:highlight w:val="none"/>
        </w:rPr>
        <w:t>1.交付使用时间：</w:t>
      </w:r>
      <w:r>
        <w:rPr>
          <w:color w:val="auto"/>
          <w:szCs w:val="21"/>
          <w:highlight w:val="none"/>
          <w:u w:val="single"/>
        </w:rPr>
        <w:t>按乙方响应文件中所承诺的时间</w:t>
      </w:r>
      <w:r>
        <w:rPr>
          <w:color w:val="auto"/>
          <w:szCs w:val="21"/>
          <w:highlight w:val="none"/>
        </w:rPr>
        <w:t>；地点：</w:t>
      </w:r>
      <w:r>
        <w:rPr>
          <w:color w:val="auto"/>
          <w:szCs w:val="21"/>
          <w:highlight w:val="none"/>
          <w:u w:val="single"/>
        </w:rPr>
        <w:t>甲方指定地点</w:t>
      </w:r>
      <w:r>
        <w:rPr>
          <w:color w:val="auto"/>
          <w:szCs w:val="21"/>
          <w:highlight w:val="none"/>
        </w:rPr>
        <w:t>。</w:t>
      </w:r>
    </w:p>
    <w:p w14:paraId="3A0D9F59">
      <w:pPr>
        <w:snapToGrid w:val="0"/>
        <w:spacing w:line="300" w:lineRule="exact"/>
        <w:ind w:firstLine="420" w:firstLineChars="200"/>
        <w:rPr>
          <w:color w:val="auto"/>
          <w:highlight w:val="none"/>
        </w:rPr>
      </w:pPr>
      <w:r>
        <w:rPr>
          <w:color w:val="auto"/>
          <w:highlight w:val="none"/>
        </w:rPr>
        <w:t>2.</w:t>
      </w:r>
      <w:r>
        <w:rPr>
          <w:rFonts w:hint="eastAsia"/>
          <w:color w:val="auto"/>
          <w:highlight w:val="none"/>
        </w:rPr>
        <w:t>交付标准：</w:t>
      </w:r>
      <w:r>
        <w:rPr>
          <w:color w:val="auto"/>
          <w:highlight w:val="none"/>
        </w:rPr>
        <w:t>乙方交</w:t>
      </w:r>
      <w:r>
        <w:rPr>
          <w:rFonts w:hint="eastAsia"/>
          <w:color w:val="auto"/>
          <w:highlight w:val="none"/>
        </w:rPr>
        <w:t>付</w:t>
      </w:r>
      <w:r>
        <w:rPr>
          <w:color w:val="auto"/>
          <w:highlight w:val="none"/>
        </w:rPr>
        <w:t>前应对</w:t>
      </w:r>
      <w:r>
        <w:rPr>
          <w:color w:val="auto"/>
          <w:szCs w:val="21"/>
          <w:highlight w:val="none"/>
        </w:rPr>
        <w:t>产品或服务成果</w:t>
      </w:r>
      <w:r>
        <w:rPr>
          <w:color w:val="auto"/>
          <w:highlight w:val="none"/>
        </w:rPr>
        <w:t>作出全面检查</w:t>
      </w:r>
      <w:r>
        <w:rPr>
          <w:rFonts w:hint="eastAsia"/>
          <w:color w:val="auto"/>
          <w:highlight w:val="none"/>
        </w:rPr>
        <w:t>后</w:t>
      </w:r>
      <w:r>
        <w:rPr>
          <w:color w:val="auto"/>
          <w:highlight w:val="none"/>
        </w:rPr>
        <w:t>，</w:t>
      </w:r>
      <w:r>
        <w:rPr>
          <w:color w:val="auto"/>
          <w:szCs w:val="21"/>
          <w:highlight w:val="none"/>
        </w:rPr>
        <w:t>将</w:t>
      </w:r>
      <w:r>
        <w:rPr>
          <w:rFonts w:hint="eastAsia"/>
          <w:color w:val="auto"/>
          <w:szCs w:val="21"/>
          <w:highlight w:val="none"/>
        </w:rPr>
        <w:t>符合合同文件要求的</w:t>
      </w:r>
      <w:r>
        <w:rPr>
          <w:color w:val="auto"/>
          <w:szCs w:val="21"/>
          <w:highlight w:val="none"/>
        </w:rPr>
        <w:t>产品或服务成果交付给甲方。</w:t>
      </w:r>
    </w:p>
    <w:p w14:paraId="47AE49CC">
      <w:pPr>
        <w:snapToGrid w:val="0"/>
        <w:spacing w:line="300" w:lineRule="exact"/>
        <w:ind w:firstLine="420" w:firstLineChars="200"/>
        <w:rPr>
          <w:color w:val="auto"/>
          <w:highlight w:val="none"/>
        </w:rPr>
      </w:pPr>
      <w:r>
        <w:rPr>
          <w:rFonts w:hint="eastAsia"/>
          <w:color w:val="auto"/>
          <w:highlight w:val="none"/>
        </w:rPr>
        <w:t>3</w:t>
      </w:r>
      <w:r>
        <w:rPr>
          <w:color w:val="auto"/>
          <w:highlight w:val="none"/>
        </w:rPr>
        <w:t>.</w:t>
      </w:r>
      <w:r>
        <w:rPr>
          <w:rFonts w:hint="eastAsia"/>
          <w:color w:val="auto"/>
          <w:highlight w:val="none"/>
        </w:rPr>
        <w:t>验收程序：验收一般分为到货验收和最终验收两次单项验收。经甲方同意，两次单项验收可以合并进行。本项目采用的验收方式为：</w:t>
      </w:r>
      <w:r>
        <w:rPr>
          <w:rFonts w:hint="eastAsia"/>
          <w:color w:val="auto"/>
          <w:highlight w:val="none"/>
        </w:rPr>
        <w:sym w:font="Wingdings 2" w:char="0052"/>
      </w:r>
      <w:r>
        <w:rPr>
          <w:rFonts w:hint="eastAsia"/>
          <w:color w:val="auto"/>
          <w:highlight w:val="none"/>
        </w:rPr>
        <w:t xml:space="preserve">到货验收（如有）  </w:t>
      </w:r>
      <w:r>
        <w:rPr>
          <w:rFonts w:hint="eastAsia"/>
          <w:color w:val="auto"/>
          <w:highlight w:val="none"/>
        </w:rPr>
        <w:sym w:font="Wingdings 2" w:char="00A3"/>
      </w:r>
      <w:r>
        <w:rPr>
          <w:rFonts w:hint="eastAsia"/>
          <w:color w:val="auto"/>
          <w:highlight w:val="none"/>
        </w:rPr>
        <w:t>最终验收  □合并验收</w:t>
      </w:r>
    </w:p>
    <w:p w14:paraId="4B7FDEFE">
      <w:pPr>
        <w:snapToGrid w:val="0"/>
        <w:spacing w:line="300" w:lineRule="exact"/>
        <w:ind w:firstLine="420" w:firstLineChars="200"/>
        <w:rPr>
          <w:color w:val="auto"/>
          <w:highlight w:val="none"/>
        </w:rPr>
      </w:pPr>
      <w:r>
        <w:rPr>
          <w:rFonts w:hint="eastAsia"/>
          <w:color w:val="auto"/>
          <w:highlight w:val="none"/>
        </w:rPr>
        <w:t>（1）到货验收：</w:t>
      </w:r>
      <w:r>
        <w:rPr>
          <w:rFonts w:hint="eastAsia"/>
          <w:color w:val="auto"/>
          <w:szCs w:val="21"/>
          <w:highlight w:val="none"/>
        </w:rPr>
        <w:t>在项目中如有提供货物的，</w:t>
      </w:r>
      <w:r>
        <w:rPr>
          <w:color w:val="auto"/>
          <w:highlight w:val="none"/>
        </w:rPr>
        <w:t>甲方</w:t>
      </w:r>
      <w:r>
        <w:rPr>
          <w:rFonts w:hint="eastAsia"/>
          <w:color w:val="auto"/>
          <w:highlight w:val="none"/>
        </w:rPr>
        <w:t>在接到</w:t>
      </w:r>
      <w:r>
        <w:rPr>
          <w:color w:val="auto"/>
          <w:highlight w:val="none"/>
        </w:rPr>
        <w:t>乙方</w:t>
      </w:r>
      <w:r>
        <w:rPr>
          <w:rFonts w:hint="eastAsia"/>
          <w:color w:val="auto"/>
          <w:highlight w:val="none"/>
        </w:rPr>
        <w:t>通知后对交付</w:t>
      </w:r>
      <w:r>
        <w:rPr>
          <w:color w:val="auto"/>
          <w:highlight w:val="none"/>
        </w:rPr>
        <w:t>的</w:t>
      </w:r>
      <w:r>
        <w:rPr>
          <w:color w:val="auto"/>
          <w:szCs w:val="21"/>
          <w:highlight w:val="none"/>
        </w:rPr>
        <w:t>产品</w:t>
      </w:r>
      <w:r>
        <w:rPr>
          <w:color w:val="auto"/>
          <w:highlight w:val="none"/>
        </w:rPr>
        <w:t>依据</w:t>
      </w:r>
      <w:r>
        <w:rPr>
          <w:rFonts w:hint="eastAsia"/>
          <w:color w:val="auto"/>
          <w:highlight w:val="none"/>
        </w:rPr>
        <w:t>验收标准</w:t>
      </w:r>
      <w:r>
        <w:rPr>
          <w:color w:val="auto"/>
          <w:highlight w:val="none"/>
        </w:rPr>
        <w:t>进行</w:t>
      </w:r>
      <w:r>
        <w:rPr>
          <w:rFonts w:hint="eastAsia"/>
          <w:color w:val="auto"/>
          <w:highlight w:val="none"/>
        </w:rPr>
        <w:t>到货验收</w:t>
      </w:r>
      <w:r>
        <w:rPr>
          <w:color w:val="auto"/>
          <w:highlight w:val="none"/>
        </w:rPr>
        <w:t>，</w:t>
      </w:r>
      <w:r>
        <w:rPr>
          <w:rFonts w:hint="eastAsia"/>
          <w:color w:val="auto"/>
          <w:highlight w:val="none"/>
        </w:rPr>
        <w:t>对品牌、规格型号、</w:t>
      </w:r>
      <w:r>
        <w:rPr>
          <w:color w:val="auto"/>
          <w:highlight w:val="none"/>
        </w:rPr>
        <w:t>外观、</w:t>
      </w:r>
      <w:r>
        <w:rPr>
          <w:rFonts w:hint="eastAsia"/>
          <w:color w:val="auto"/>
          <w:highlight w:val="none"/>
        </w:rPr>
        <w:t>有关资料及备品备件、包装要求</w:t>
      </w:r>
      <w:r>
        <w:rPr>
          <w:color w:val="auto"/>
          <w:highlight w:val="none"/>
        </w:rPr>
        <w:t>符合采购文件</w:t>
      </w:r>
      <w:r>
        <w:rPr>
          <w:rFonts w:hint="eastAsia"/>
          <w:color w:val="auto"/>
          <w:highlight w:val="none"/>
        </w:rPr>
        <w:t>及合同</w:t>
      </w:r>
      <w:r>
        <w:rPr>
          <w:color w:val="auto"/>
          <w:highlight w:val="none"/>
        </w:rPr>
        <w:t>要求的，</w:t>
      </w:r>
      <w:r>
        <w:rPr>
          <w:rFonts w:hint="eastAsia"/>
          <w:color w:val="auto"/>
          <w:highlight w:val="none"/>
        </w:rPr>
        <w:t>视为到货验收合格</w:t>
      </w:r>
      <w:r>
        <w:rPr>
          <w:color w:val="auto"/>
          <w:highlight w:val="none"/>
        </w:rPr>
        <w:t>给予签收</w:t>
      </w:r>
      <w:r>
        <w:rPr>
          <w:rFonts w:hint="eastAsia"/>
          <w:color w:val="auto"/>
          <w:highlight w:val="none"/>
        </w:rPr>
        <w:t>。</w:t>
      </w:r>
    </w:p>
    <w:p w14:paraId="138492EC">
      <w:pPr>
        <w:snapToGrid w:val="0"/>
        <w:spacing w:line="300" w:lineRule="exact"/>
        <w:ind w:firstLine="420" w:firstLineChars="200"/>
        <w:rPr>
          <w:rFonts w:hint="eastAsia"/>
          <w:color w:val="auto"/>
          <w:highlight w:val="none"/>
        </w:rPr>
      </w:pPr>
      <w:r>
        <w:rPr>
          <w:rFonts w:hint="eastAsia"/>
          <w:color w:val="auto"/>
          <w:highlight w:val="none"/>
        </w:rPr>
        <w:t>（2）最终验收：交付的</w:t>
      </w:r>
      <w:r>
        <w:rPr>
          <w:color w:val="auto"/>
          <w:szCs w:val="21"/>
          <w:highlight w:val="none"/>
        </w:rPr>
        <w:t>产品或服务成果</w:t>
      </w:r>
      <w:r>
        <w:rPr>
          <w:rFonts w:hint="eastAsia"/>
          <w:color w:val="auto"/>
          <w:szCs w:val="21"/>
          <w:highlight w:val="none"/>
        </w:rPr>
        <w:t>在</w:t>
      </w:r>
      <w:r>
        <w:rPr>
          <w:rFonts w:hint="eastAsia"/>
          <w:color w:val="auto"/>
          <w:highlight w:val="none"/>
        </w:rPr>
        <w:t>满足合同交付标准后，依照本合同验收标准进行最终验收。甲方在乙方通知后进行最终验收。</w:t>
      </w:r>
    </w:p>
    <w:p w14:paraId="763D6D8D">
      <w:pPr>
        <w:snapToGrid w:val="0"/>
        <w:spacing w:line="300" w:lineRule="exact"/>
        <w:ind w:firstLine="420" w:firstLineChars="200"/>
        <w:rPr>
          <w:rFonts w:hint="eastAsia"/>
          <w:color w:val="auto"/>
          <w:highlight w:val="none"/>
        </w:rPr>
      </w:pPr>
      <w:r>
        <w:rPr>
          <w:rFonts w:hint="eastAsia"/>
          <w:color w:val="auto"/>
          <w:highlight w:val="none"/>
        </w:rPr>
        <w:t>（3）合并验收：</w:t>
      </w:r>
      <w:r>
        <w:rPr>
          <w:rStyle w:val="58"/>
          <w:rFonts w:hint="eastAsia"/>
          <w:color w:val="auto"/>
          <w:highlight w:val="none"/>
        </w:rPr>
        <w:t>将以上两项验收合并进行。</w:t>
      </w:r>
    </w:p>
    <w:p w14:paraId="2DCA2DA3">
      <w:pPr>
        <w:snapToGrid w:val="0"/>
        <w:spacing w:line="300" w:lineRule="exact"/>
        <w:ind w:firstLine="420" w:firstLineChars="200"/>
        <w:rPr>
          <w:color w:val="auto"/>
          <w:highlight w:val="none"/>
        </w:rPr>
      </w:pPr>
      <w:r>
        <w:rPr>
          <w:rFonts w:hint="eastAsia"/>
          <w:color w:val="auto"/>
          <w:highlight w:val="none"/>
        </w:rPr>
        <w:t>4.</w:t>
      </w:r>
      <w:r>
        <w:rPr>
          <w:color w:val="auto"/>
          <w:highlight w:val="none"/>
        </w:rPr>
        <w:t>验收标准：</w:t>
      </w:r>
    </w:p>
    <w:p w14:paraId="56EA41E1">
      <w:pPr>
        <w:snapToGrid w:val="0"/>
        <w:spacing w:line="3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血站实验室质量管理规范</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血站技术操作规程（2019版）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临床输血技术规范</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以及其他</w:t>
      </w:r>
      <w:r>
        <w:rPr>
          <w:rFonts w:hint="eastAsia" w:ascii="宋体" w:hAnsi="宋体" w:eastAsia="宋体" w:cs="宋体"/>
          <w:color w:val="auto"/>
          <w:sz w:val="21"/>
          <w:szCs w:val="21"/>
          <w:highlight w:val="none"/>
        </w:rPr>
        <w:t>现行国家相关标准、</w:t>
      </w:r>
      <w:r>
        <w:rPr>
          <w:rFonts w:hint="eastAsia" w:ascii="宋体" w:hAnsi="宋体" w:cs="宋体"/>
          <w:color w:val="auto"/>
          <w:sz w:val="21"/>
          <w:szCs w:val="21"/>
          <w:highlight w:val="none"/>
          <w:lang w:val="en-US" w:eastAsia="zh-CN"/>
        </w:rPr>
        <w:t>血站</w:t>
      </w:r>
      <w:r>
        <w:rPr>
          <w:rFonts w:hint="eastAsia" w:ascii="宋体" w:hAnsi="宋体" w:eastAsia="宋体" w:cs="宋体"/>
          <w:color w:val="auto"/>
          <w:sz w:val="21"/>
          <w:szCs w:val="21"/>
          <w:highlight w:val="none"/>
        </w:rPr>
        <w:t>行业标准、地方标准或者其他</w:t>
      </w:r>
      <w:r>
        <w:rPr>
          <w:rFonts w:hint="eastAsia" w:ascii="宋体" w:hAnsi="宋体" w:eastAsia="宋体" w:cs="宋体"/>
          <w:color w:val="auto"/>
          <w:sz w:val="21"/>
          <w:szCs w:val="21"/>
          <w:highlight w:val="none"/>
          <w:lang w:eastAsia="zh-CN"/>
        </w:rPr>
        <w:t>标准、规范。</w:t>
      </w:r>
      <w:r>
        <w:rPr>
          <w:rFonts w:hint="eastAsia" w:ascii="宋体" w:hAnsi="宋体" w:cs="宋体"/>
          <w:color w:val="auto"/>
          <w:sz w:val="21"/>
          <w:szCs w:val="21"/>
          <w:highlight w:val="none"/>
          <w:lang w:val="en-US" w:eastAsia="zh-CN"/>
        </w:rPr>
        <w:t>甲方不定期对检测结果进行抽查，抽查频率不少15份/月，检测结果错误≥1份，</w:t>
      </w:r>
      <w:r>
        <w:rPr>
          <w:rFonts w:hint="eastAsia" w:ascii="宋体" w:hAnsi="宋体" w:eastAsia="宋体" w:cs="宋体"/>
          <w:color w:val="auto"/>
          <w:sz w:val="21"/>
          <w:szCs w:val="21"/>
          <w:highlight w:val="none"/>
        </w:rPr>
        <w:t>不</w:t>
      </w:r>
      <w:r>
        <w:rPr>
          <w:rFonts w:hint="eastAsia" w:ascii="宋体" w:hAnsi="宋体" w:eastAsia="宋体" w:cs="宋体"/>
          <w:color w:val="auto"/>
          <w:sz w:val="21"/>
          <w:szCs w:val="21"/>
          <w:highlight w:val="none"/>
          <w:lang w:val="en-US" w:eastAsia="zh-CN"/>
        </w:rPr>
        <w:t>通过</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不安排付款，按无效合同处理。</w:t>
      </w:r>
    </w:p>
    <w:p w14:paraId="39D8B805">
      <w:pPr>
        <w:snapToGrid w:val="0"/>
        <w:spacing w:line="300" w:lineRule="exact"/>
        <w:ind w:firstLine="420" w:firstLineChars="200"/>
        <w:rPr>
          <w:rFonts w:hint="eastAsia"/>
          <w:color w:val="auto"/>
          <w:highlight w:val="none"/>
        </w:rPr>
      </w:pPr>
      <w:r>
        <w:rPr>
          <w:rFonts w:hint="eastAsia" w:ascii="宋体" w:hAnsi="宋体" w:eastAsia="宋体" w:cs="宋体"/>
          <w:color w:val="auto"/>
          <w:sz w:val="21"/>
          <w:szCs w:val="21"/>
          <w:highlight w:val="none"/>
          <w:lang w:val="en-US" w:eastAsia="zh-CN"/>
        </w:rPr>
        <w:t>（2）</w:t>
      </w:r>
      <w:r>
        <w:rPr>
          <w:color w:val="auto"/>
          <w:highlight w:val="none"/>
        </w:rPr>
        <w:t>按国家有关</w:t>
      </w:r>
      <w:r>
        <w:rPr>
          <w:rFonts w:hint="eastAsia"/>
          <w:color w:val="auto"/>
          <w:highlight w:val="none"/>
        </w:rPr>
        <w:t>标准</w:t>
      </w:r>
      <w:r>
        <w:rPr>
          <w:color w:val="auto"/>
          <w:highlight w:val="none"/>
        </w:rPr>
        <w:t>以及甲方采购文件的</w:t>
      </w:r>
      <w:r>
        <w:rPr>
          <w:rFonts w:hint="eastAsia"/>
          <w:color w:val="auto"/>
          <w:highlight w:val="none"/>
        </w:rPr>
        <w:t>采购需求</w:t>
      </w:r>
      <w:r>
        <w:rPr>
          <w:color w:val="auto"/>
          <w:highlight w:val="none"/>
        </w:rPr>
        <w:t>、乙方的响应文件</w:t>
      </w:r>
      <w:r>
        <w:rPr>
          <w:rFonts w:hint="eastAsia"/>
          <w:color w:val="auto"/>
          <w:highlight w:val="none"/>
        </w:rPr>
        <w:t>响应</w:t>
      </w:r>
      <w:r>
        <w:rPr>
          <w:color w:val="auto"/>
          <w:highlight w:val="none"/>
        </w:rPr>
        <w:t>及承诺与本合同约定进行验收；</w:t>
      </w:r>
      <w:r>
        <w:rPr>
          <w:rFonts w:hint="eastAsia"/>
          <w:color w:val="auto"/>
          <w:highlight w:val="none"/>
        </w:rPr>
        <w:t>上述标准如</w:t>
      </w:r>
      <w:r>
        <w:rPr>
          <w:color w:val="auto"/>
          <w:highlight w:val="none"/>
        </w:rPr>
        <w:t>有</w:t>
      </w:r>
      <w:r>
        <w:rPr>
          <w:rFonts w:hint="eastAsia"/>
          <w:color w:val="auto"/>
          <w:highlight w:val="none"/>
        </w:rPr>
        <w:t>不一致事项</w:t>
      </w:r>
      <w:r>
        <w:rPr>
          <w:color w:val="auto"/>
          <w:highlight w:val="none"/>
        </w:rPr>
        <w:t>，</w:t>
      </w:r>
      <w:r>
        <w:rPr>
          <w:rFonts w:hint="eastAsia"/>
          <w:color w:val="auto"/>
          <w:highlight w:val="none"/>
        </w:rPr>
        <w:t>以</w:t>
      </w:r>
      <w:r>
        <w:rPr>
          <w:color w:val="auto"/>
          <w:highlight w:val="none"/>
        </w:rPr>
        <w:t>采购文件与响应文件中</w:t>
      </w:r>
      <w:r>
        <w:rPr>
          <w:rFonts w:hint="eastAsia"/>
          <w:color w:val="auto"/>
          <w:highlight w:val="none"/>
        </w:rPr>
        <w:t>对应要求或指标中</w:t>
      </w:r>
      <w:r>
        <w:rPr>
          <w:color w:val="auto"/>
          <w:highlight w:val="none"/>
        </w:rPr>
        <w:t>较优</w:t>
      </w:r>
      <w:r>
        <w:rPr>
          <w:rFonts w:hint="eastAsia"/>
          <w:color w:val="auto"/>
          <w:highlight w:val="none"/>
        </w:rPr>
        <w:t>作为验收标准。如果交付的</w:t>
      </w:r>
      <w:r>
        <w:rPr>
          <w:color w:val="auto"/>
          <w:szCs w:val="21"/>
          <w:highlight w:val="none"/>
        </w:rPr>
        <w:t>产品或服务成果</w:t>
      </w:r>
      <w:r>
        <w:rPr>
          <w:rFonts w:hint="eastAsia"/>
          <w:color w:val="auto"/>
          <w:highlight w:val="none"/>
        </w:rPr>
        <w:t>中有执行国家强制标准的，则验收标准不得低于国家强制标准。</w:t>
      </w:r>
    </w:p>
    <w:p w14:paraId="5697A849">
      <w:pPr>
        <w:pStyle w:val="26"/>
        <w:spacing w:line="300" w:lineRule="exact"/>
        <w:ind w:firstLine="420" w:firstLineChars="200"/>
        <w:jc w:val="left"/>
        <w:rPr>
          <w:rFonts w:hint="eastAsia"/>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w:t>
      </w:r>
      <w:r>
        <w:rPr>
          <w:rFonts w:hint="eastAsia" w:ascii="Times New Roman" w:hAnsi="Times New Roman" w:cs="Times New Roman"/>
          <w:color w:val="auto"/>
          <w:highlight w:val="none"/>
        </w:rPr>
        <w:t>验收地点及验收期限：验收地点为产品</w:t>
      </w:r>
      <w:r>
        <w:rPr>
          <w:color w:val="auto"/>
          <w:highlight w:val="none"/>
        </w:rPr>
        <w:t>或服务成果</w:t>
      </w:r>
      <w:r>
        <w:rPr>
          <w:rFonts w:hint="eastAsia" w:ascii="Times New Roman" w:hAnsi="Times New Roman" w:cs="Times New Roman"/>
          <w:color w:val="auto"/>
          <w:highlight w:val="none"/>
        </w:rPr>
        <w:t>交付地点；</w:t>
      </w:r>
      <w:r>
        <w:rPr>
          <w:rFonts w:hint="eastAsia"/>
          <w:color w:val="auto"/>
          <w:highlight w:val="none"/>
        </w:rPr>
        <w:t>各单项验收应在甲方收到乙方的书面验收申请后5个工作日内组织。乙方在提出验收申请时，应确保已具备验收条件。</w:t>
      </w:r>
      <w:r>
        <w:rPr>
          <w:color w:val="auto"/>
          <w:highlight w:val="none"/>
        </w:rPr>
        <w:t>甲方</w:t>
      </w:r>
      <w:r>
        <w:rPr>
          <w:rFonts w:hint="eastAsia"/>
          <w:color w:val="auto"/>
          <w:highlight w:val="none"/>
        </w:rPr>
        <w:t>收到乙方书面通知后</w:t>
      </w:r>
      <w:r>
        <w:rPr>
          <w:color w:val="auto"/>
          <w:highlight w:val="none"/>
        </w:rPr>
        <w:t>无故不进行验收工作</w:t>
      </w:r>
      <w:r>
        <w:rPr>
          <w:rFonts w:hint="eastAsia"/>
          <w:color w:val="auto"/>
          <w:highlight w:val="none"/>
        </w:rPr>
        <w:t>的，验收期限结束之日起视为当次单项验收合格。</w:t>
      </w:r>
    </w:p>
    <w:p w14:paraId="12A6FDFF">
      <w:pPr>
        <w:pStyle w:val="26"/>
        <w:spacing w:line="300" w:lineRule="exact"/>
        <w:ind w:firstLine="420" w:firstLineChars="200"/>
        <w:jc w:val="left"/>
        <w:rPr>
          <w:rFonts w:hint="eastAsia"/>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验收</w:t>
      </w:r>
      <w:r>
        <w:rPr>
          <w:rFonts w:hint="eastAsia" w:ascii="Times New Roman" w:hAnsi="Times New Roman" w:cs="Times New Roman"/>
          <w:color w:val="auto"/>
          <w:highlight w:val="none"/>
        </w:rPr>
        <w:t>结果：在任一单项验收环节，甲、乙双方代表均应在场，交付的产品</w:t>
      </w:r>
      <w:r>
        <w:rPr>
          <w:color w:val="auto"/>
          <w:highlight w:val="none"/>
        </w:rPr>
        <w:t>或服务成果</w:t>
      </w:r>
      <w:r>
        <w:rPr>
          <w:rFonts w:hint="eastAsia" w:ascii="Times New Roman" w:hAnsi="Times New Roman" w:cs="Times New Roman"/>
          <w:color w:val="auto"/>
          <w:highlight w:val="none"/>
        </w:rPr>
        <w:t>符合验收标准的为单项验收合格，不符合验收标准的为单项验收不合格。验收结果由甲方出具</w:t>
      </w:r>
      <w:r>
        <w:rPr>
          <w:color w:val="auto"/>
          <w:highlight w:val="none"/>
        </w:rPr>
        <w:t>验收结果报告</w:t>
      </w:r>
      <w:r>
        <w:rPr>
          <w:rFonts w:hint="eastAsia"/>
          <w:color w:val="auto"/>
          <w:highlight w:val="none"/>
        </w:rPr>
        <w:t>或</w:t>
      </w:r>
      <w:r>
        <w:rPr>
          <w:color w:val="auto"/>
          <w:highlight w:val="none"/>
        </w:rPr>
        <w:t>验收书</w:t>
      </w:r>
      <w:r>
        <w:rPr>
          <w:rFonts w:hint="eastAsia"/>
          <w:color w:val="auto"/>
          <w:highlight w:val="none"/>
        </w:rPr>
        <w:t>，</w:t>
      </w:r>
      <w:r>
        <w:rPr>
          <w:color w:val="auto"/>
          <w:highlight w:val="none"/>
        </w:rPr>
        <w:t>列明各项标准的验收情况</w:t>
      </w:r>
      <w:r>
        <w:rPr>
          <w:rFonts w:hint="eastAsia"/>
          <w:color w:val="auto"/>
          <w:highlight w:val="none"/>
        </w:rPr>
        <w:t>，由甲、乙双方代表共同签字确认并加盖甲方公章</w:t>
      </w:r>
      <w:r>
        <w:rPr>
          <w:color w:val="auto"/>
          <w:highlight w:val="none"/>
        </w:rPr>
        <w:t>，甲乙双方各执一份</w:t>
      </w:r>
      <w:r>
        <w:rPr>
          <w:rFonts w:hint="eastAsia"/>
          <w:color w:val="auto"/>
          <w:highlight w:val="none"/>
        </w:rPr>
        <w:t>。验收结果报告或验收书经双方代表签字后即视为验收结果已通知甲、乙双方。如乙方对验收结果有异议的，应在验收现场以书面的形式出具说明，否则视为认可验收结果。</w:t>
      </w:r>
    </w:p>
    <w:p w14:paraId="00FD0873">
      <w:pPr>
        <w:pStyle w:val="26"/>
        <w:spacing w:line="300" w:lineRule="exact"/>
        <w:ind w:firstLine="420" w:firstLineChars="200"/>
        <w:jc w:val="left"/>
        <w:rPr>
          <w:rFonts w:hint="eastAsia"/>
          <w:color w:val="auto"/>
          <w:highlight w:val="none"/>
        </w:rPr>
      </w:pPr>
      <w:r>
        <w:rPr>
          <w:rFonts w:hint="eastAsia" w:ascii="Times New Roman" w:hAnsi="Times New Roman" w:cs="Times New Roman"/>
          <w:color w:val="auto"/>
          <w:highlight w:val="none"/>
        </w:rPr>
        <w:t>7.不予签收或单项验收不合格的，</w:t>
      </w:r>
      <w:r>
        <w:rPr>
          <w:rFonts w:hint="eastAsia"/>
          <w:color w:val="auto"/>
          <w:highlight w:val="none"/>
        </w:rPr>
        <w:t>乙方应在当次验收后</w:t>
      </w:r>
      <w:r>
        <w:rPr>
          <w:rFonts w:hint="eastAsia"/>
          <w:color w:val="auto"/>
          <w:highlight w:val="none"/>
          <w:u w:val="single"/>
        </w:rPr>
        <w:t>5</w:t>
      </w:r>
      <w:r>
        <w:rPr>
          <w:rFonts w:hint="eastAsia"/>
          <w:color w:val="auto"/>
          <w:highlight w:val="none"/>
        </w:rPr>
        <w:t>个工作日内就不符合要求项以补充、更换、修理等甲方认可的方式进行整改并重新验收，未按时进行整改或整改后重新验收仍不合格的</w:t>
      </w:r>
      <w:r>
        <w:rPr>
          <w:color w:val="auto"/>
          <w:highlight w:val="none"/>
        </w:rPr>
        <w:t>视为逾期</w:t>
      </w:r>
      <w:r>
        <w:rPr>
          <w:rFonts w:hint="eastAsia"/>
          <w:color w:val="auto"/>
          <w:highlight w:val="none"/>
        </w:rPr>
        <w:t>交付，逾期交付最长不得超过</w:t>
      </w:r>
      <w:r>
        <w:rPr>
          <w:rFonts w:hint="eastAsia"/>
          <w:color w:val="auto"/>
          <w:highlight w:val="none"/>
          <w:u w:val="single"/>
        </w:rPr>
        <w:t>3</w:t>
      </w:r>
      <w:r>
        <w:rPr>
          <w:color w:val="auto"/>
          <w:highlight w:val="none"/>
          <w:u w:val="single"/>
        </w:rPr>
        <w:t>0</w:t>
      </w:r>
      <w:r>
        <w:rPr>
          <w:rFonts w:hint="eastAsia"/>
          <w:color w:val="auto"/>
          <w:highlight w:val="none"/>
        </w:rPr>
        <w:t>日，超过</w:t>
      </w:r>
      <w:r>
        <w:rPr>
          <w:color w:val="auto"/>
          <w:highlight w:val="none"/>
          <w:u w:val="single"/>
        </w:rPr>
        <w:t>30</w:t>
      </w:r>
      <w:r>
        <w:rPr>
          <w:rFonts w:hint="eastAsia"/>
          <w:color w:val="auto"/>
          <w:highlight w:val="none"/>
        </w:rPr>
        <w:t>日则视为最终验收不合格</w:t>
      </w:r>
      <w:r>
        <w:rPr>
          <w:color w:val="auto"/>
          <w:highlight w:val="none"/>
        </w:rPr>
        <w:t>。</w:t>
      </w:r>
      <w:r>
        <w:rPr>
          <w:rFonts w:hint="eastAsia"/>
          <w:color w:val="auto"/>
          <w:highlight w:val="none"/>
        </w:rPr>
        <w:t>逾期交付不影响本条第1款约定的使用时间。</w:t>
      </w:r>
    </w:p>
    <w:p w14:paraId="0D7CF6EC">
      <w:pPr>
        <w:snapToGrid w:val="0"/>
        <w:spacing w:line="360" w:lineRule="exact"/>
        <w:ind w:firstLine="420" w:firstLineChars="200"/>
        <w:rPr>
          <w:color w:val="auto"/>
          <w:szCs w:val="21"/>
          <w:highlight w:val="none"/>
        </w:rPr>
      </w:pPr>
      <w:r>
        <w:rPr>
          <w:rFonts w:hint="eastAsia"/>
          <w:color w:val="auto"/>
          <w:szCs w:val="21"/>
          <w:highlight w:val="none"/>
        </w:rPr>
        <w:t>8</w:t>
      </w:r>
      <w:r>
        <w:rPr>
          <w:color w:val="auto"/>
          <w:szCs w:val="21"/>
          <w:highlight w:val="none"/>
        </w:rPr>
        <w:t>.甲方</w:t>
      </w:r>
      <w:r>
        <w:rPr>
          <w:rFonts w:hint="eastAsia"/>
          <w:color w:val="auto"/>
          <w:highlight w:val="none"/>
        </w:rPr>
        <w:t>有权委托第三方机构组织验收</w:t>
      </w:r>
      <w:r>
        <w:rPr>
          <w:color w:val="auto"/>
          <w:highlight w:val="none"/>
        </w:rPr>
        <w:t>，</w:t>
      </w:r>
      <w:r>
        <w:rPr>
          <w:rFonts w:hint="eastAsia"/>
          <w:color w:val="auto"/>
          <w:highlight w:val="none"/>
        </w:rPr>
        <w:t>验收按上述规定执行，</w:t>
      </w:r>
      <w:r>
        <w:rPr>
          <w:color w:val="auto"/>
          <w:highlight w:val="none"/>
        </w:rPr>
        <w:t>乙方</w:t>
      </w:r>
      <w:r>
        <w:rPr>
          <w:rFonts w:hint="eastAsia"/>
          <w:color w:val="auto"/>
          <w:highlight w:val="none"/>
        </w:rPr>
        <w:t>应予以</w:t>
      </w:r>
      <w:r>
        <w:rPr>
          <w:color w:val="auto"/>
          <w:highlight w:val="none"/>
        </w:rPr>
        <w:t>配合。</w:t>
      </w:r>
    </w:p>
    <w:p w14:paraId="53F8EB18">
      <w:pPr>
        <w:snapToGrid w:val="0"/>
        <w:spacing w:line="360" w:lineRule="exact"/>
        <w:ind w:firstLine="420" w:firstLineChars="200"/>
        <w:rPr>
          <w:color w:val="auto"/>
          <w:szCs w:val="21"/>
          <w:highlight w:val="none"/>
        </w:rPr>
      </w:pPr>
      <w:r>
        <w:rPr>
          <w:rFonts w:hint="eastAsia"/>
          <w:color w:val="auto"/>
          <w:szCs w:val="21"/>
          <w:highlight w:val="none"/>
        </w:rPr>
        <w:t>9</w:t>
      </w:r>
      <w:r>
        <w:rPr>
          <w:color w:val="auto"/>
          <w:szCs w:val="21"/>
          <w:highlight w:val="none"/>
        </w:rPr>
        <w:t>. 其他未尽事宜应严格按照《关于印发广西壮族自治区政府采购项目履约验收管理办法的通知》[桂财采〔2015〕22号]以及《财政部关于进一步加强政府采购需求和履约验收管理的指导意见》[财库〔2016〕205号]规定执行。</w:t>
      </w:r>
    </w:p>
    <w:p w14:paraId="409835FE">
      <w:pPr>
        <w:snapToGrid w:val="0"/>
        <w:spacing w:line="300" w:lineRule="exact"/>
        <w:ind w:firstLine="420" w:firstLineChars="200"/>
        <w:rPr>
          <w:color w:val="auto"/>
          <w:szCs w:val="21"/>
          <w:highlight w:val="none"/>
        </w:rPr>
      </w:pPr>
      <w:r>
        <w:rPr>
          <w:rFonts w:hint="eastAsia"/>
          <w:color w:val="auto"/>
          <w:szCs w:val="21"/>
          <w:highlight w:val="none"/>
        </w:rPr>
        <w:t>10</w:t>
      </w:r>
      <w:r>
        <w:rPr>
          <w:color w:val="auto"/>
          <w:szCs w:val="21"/>
          <w:highlight w:val="none"/>
        </w:rPr>
        <w:t>.甲方委托第三方组织</w:t>
      </w:r>
      <w:r>
        <w:rPr>
          <w:rFonts w:hint="eastAsia"/>
          <w:color w:val="auto"/>
          <w:szCs w:val="21"/>
          <w:highlight w:val="none"/>
        </w:rPr>
        <w:t>验收</w:t>
      </w:r>
      <w:r>
        <w:rPr>
          <w:color w:val="auto"/>
          <w:szCs w:val="21"/>
          <w:highlight w:val="none"/>
        </w:rPr>
        <w:t>的，其验收时间</w:t>
      </w:r>
      <w:r>
        <w:rPr>
          <w:rFonts w:hint="eastAsia"/>
          <w:color w:val="auto"/>
          <w:szCs w:val="21"/>
          <w:highlight w:val="none"/>
        </w:rPr>
        <w:t>、验收程序</w:t>
      </w:r>
      <w:r>
        <w:rPr>
          <w:color w:val="auto"/>
          <w:szCs w:val="21"/>
          <w:highlight w:val="none"/>
        </w:rPr>
        <w:t>以该项目验收方案确定的验收时间</w:t>
      </w:r>
      <w:r>
        <w:rPr>
          <w:rFonts w:hint="eastAsia"/>
          <w:color w:val="auto"/>
          <w:szCs w:val="21"/>
          <w:highlight w:val="none"/>
        </w:rPr>
        <w:t>、验收程序</w:t>
      </w:r>
      <w:r>
        <w:rPr>
          <w:color w:val="auto"/>
          <w:szCs w:val="21"/>
          <w:highlight w:val="none"/>
        </w:rPr>
        <w:t>为准，验收结果以该项目验收报告结论为准。</w:t>
      </w:r>
    </w:p>
    <w:p w14:paraId="1FDE03E9">
      <w:pPr>
        <w:pStyle w:val="26"/>
        <w:snapToGrid w:val="0"/>
        <w:spacing w:before="120" w:after="120" w:line="300" w:lineRule="exact"/>
        <w:ind w:firstLine="420" w:firstLineChars="200"/>
        <w:jc w:val="left"/>
        <w:rPr>
          <w:rFonts w:hint="eastAsia" w:ascii="Times New Roman" w:hAnsi="Times New Roman" w:cs="Times New Roman"/>
          <w:color w:val="auto"/>
          <w:highlight w:val="none"/>
        </w:rPr>
      </w:pPr>
      <w:bookmarkStart w:id="112" w:name="_Hlk77611338"/>
      <w:r>
        <w:rPr>
          <w:rFonts w:hint="eastAsia" w:ascii="Times New Roman" w:hAnsi="Times New Roman" w:cs="Times New Roman"/>
          <w:color w:val="auto"/>
          <w:highlight w:val="none"/>
        </w:rPr>
        <w:t>11</w:t>
      </w:r>
      <w:r>
        <w:rPr>
          <w:rFonts w:ascii="Times New Roman" w:hAnsi="Times New Roman" w:cs="Times New Roman"/>
          <w:color w:val="auto"/>
          <w:highlight w:val="none"/>
        </w:rPr>
        <w:t>.</w:t>
      </w:r>
      <w:r>
        <w:rPr>
          <w:rFonts w:hint="eastAsia" w:ascii="Times New Roman" w:hAnsi="Times New Roman" w:cs="Times New Roman"/>
          <w:color w:val="auto"/>
          <w:highlight w:val="none"/>
        </w:rPr>
        <w:t>履约验收方案详见附件。</w:t>
      </w:r>
    </w:p>
    <w:bookmarkEnd w:id="112"/>
    <w:p w14:paraId="2510FF49">
      <w:pPr>
        <w:snapToGrid w:val="0"/>
        <w:spacing w:line="360" w:lineRule="exact"/>
        <w:ind w:firstLine="422" w:firstLineChars="200"/>
        <w:rPr>
          <w:b/>
          <w:color w:val="auto"/>
          <w:szCs w:val="21"/>
          <w:highlight w:val="none"/>
        </w:rPr>
      </w:pPr>
      <w:r>
        <w:rPr>
          <w:b/>
          <w:color w:val="auto"/>
          <w:szCs w:val="21"/>
          <w:highlight w:val="none"/>
        </w:rPr>
        <w:t>第七条  安装和培训</w:t>
      </w:r>
    </w:p>
    <w:p w14:paraId="21C9A4BC">
      <w:pPr>
        <w:snapToGrid w:val="0"/>
        <w:spacing w:line="360" w:lineRule="exact"/>
        <w:ind w:firstLine="420" w:firstLineChars="200"/>
        <w:rPr>
          <w:color w:val="auto"/>
          <w:szCs w:val="21"/>
          <w:highlight w:val="none"/>
        </w:rPr>
      </w:pPr>
      <w:r>
        <w:rPr>
          <w:color w:val="auto"/>
          <w:szCs w:val="21"/>
          <w:highlight w:val="none"/>
        </w:rPr>
        <w:t>1.甲方应提供必要安装条件（如场地、电源、水源等）。</w:t>
      </w:r>
    </w:p>
    <w:p w14:paraId="23F926D0">
      <w:pPr>
        <w:snapToGrid w:val="0"/>
        <w:spacing w:line="360" w:lineRule="exact"/>
        <w:ind w:firstLine="420" w:firstLineChars="200"/>
        <w:rPr>
          <w:color w:val="auto"/>
          <w:szCs w:val="21"/>
          <w:highlight w:val="none"/>
          <w:u w:val="single"/>
        </w:rPr>
      </w:pPr>
      <w:r>
        <w:rPr>
          <w:color w:val="auto"/>
          <w:szCs w:val="21"/>
          <w:highlight w:val="none"/>
        </w:rPr>
        <w:t>2.乙方负责甲方有关人员的培训。培训时间、地点：</w:t>
      </w:r>
      <w:r>
        <w:rPr>
          <w:color w:val="auto"/>
          <w:szCs w:val="21"/>
          <w:highlight w:val="none"/>
          <w:u w:val="single"/>
        </w:rPr>
        <w:t xml:space="preserve"> 由甲方决定。</w:t>
      </w:r>
    </w:p>
    <w:p w14:paraId="42C42B0D">
      <w:pPr>
        <w:snapToGrid w:val="0"/>
        <w:spacing w:line="360" w:lineRule="exact"/>
        <w:ind w:firstLine="422" w:firstLineChars="200"/>
        <w:rPr>
          <w:b/>
          <w:color w:val="auto"/>
          <w:szCs w:val="21"/>
          <w:highlight w:val="none"/>
        </w:rPr>
      </w:pPr>
      <w:r>
        <w:rPr>
          <w:b/>
          <w:color w:val="auto"/>
          <w:szCs w:val="21"/>
          <w:highlight w:val="none"/>
        </w:rPr>
        <w:t>第八条  售后服务、质保期</w:t>
      </w:r>
    </w:p>
    <w:p w14:paraId="7DF41288">
      <w:pPr>
        <w:snapToGrid w:val="0"/>
        <w:spacing w:line="276" w:lineRule="auto"/>
        <w:ind w:firstLine="420" w:firstLineChars="200"/>
        <w:rPr>
          <w:color w:val="auto"/>
          <w:szCs w:val="21"/>
          <w:highlight w:val="none"/>
        </w:rPr>
      </w:pPr>
      <w:r>
        <w:rPr>
          <w:color w:val="auto"/>
          <w:szCs w:val="21"/>
          <w:highlight w:val="none"/>
        </w:rPr>
        <w:t>1.乙方应按照国家有关法律法规和“三包”规定以及</w:t>
      </w:r>
      <w:r>
        <w:rPr>
          <w:rFonts w:hint="eastAsia"/>
          <w:color w:val="auto"/>
          <w:szCs w:val="21"/>
          <w:highlight w:val="none"/>
        </w:rPr>
        <w:t>采购文件、响应文件</w:t>
      </w:r>
      <w:r>
        <w:rPr>
          <w:color w:val="auto"/>
          <w:szCs w:val="21"/>
          <w:highlight w:val="none"/>
        </w:rPr>
        <w:t>和本合同附件，为甲方提供售后服务。</w:t>
      </w:r>
    </w:p>
    <w:p w14:paraId="3EB75F64">
      <w:pPr>
        <w:snapToGrid w:val="0"/>
        <w:spacing w:line="276" w:lineRule="auto"/>
        <w:ind w:firstLine="420" w:firstLineChars="200"/>
        <w:rPr>
          <w:color w:val="auto"/>
          <w:szCs w:val="21"/>
          <w:highlight w:val="none"/>
          <w:u w:val="single"/>
        </w:rPr>
      </w:pPr>
      <w:r>
        <w:rPr>
          <w:color w:val="auto"/>
          <w:szCs w:val="21"/>
          <w:highlight w:val="none"/>
        </w:rPr>
        <w:t>2.</w:t>
      </w:r>
      <w:r>
        <w:rPr>
          <w:rFonts w:hint="eastAsia"/>
          <w:color w:val="auto"/>
          <w:szCs w:val="21"/>
          <w:highlight w:val="none"/>
        </w:rPr>
        <w:t>产品</w:t>
      </w:r>
      <w:r>
        <w:rPr>
          <w:color w:val="auto"/>
          <w:szCs w:val="21"/>
          <w:highlight w:val="none"/>
        </w:rPr>
        <w:t>或服务成果质保期：</w:t>
      </w:r>
      <w:r>
        <w:rPr>
          <w:color w:val="auto"/>
          <w:szCs w:val="21"/>
          <w:highlight w:val="none"/>
          <w:u w:val="single"/>
        </w:rPr>
        <w:t>按乙方承诺，但是不得低于国家相关标准</w:t>
      </w:r>
      <w:r>
        <w:rPr>
          <w:color w:val="auto"/>
          <w:szCs w:val="21"/>
          <w:highlight w:val="none"/>
        </w:rPr>
        <w:t>。</w:t>
      </w:r>
    </w:p>
    <w:p w14:paraId="471D3D49">
      <w:pPr>
        <w:snapToGrid w:val="0"/>
        <w:spacing w:line="276" w:lineRule="auto"/>
        <w:ind w:firstLine="420" w:firstLineChars="200"/>
        <w:rPr>
          <w:color w:val="auto"/>
          <w:szCs w:val="21"/>
          <w:highlight w:val="none"/>
        </w:rPr>
      </w:pPr>
      <w:r>
        <w:rPr>
          <w:color w:val="auto"/>
          <w:szCs w:val="21"/>
          <w:highlight w:val="none"/>
        </w:rPr>
        <w:t>3.按采购文件规定的服务质量标准，并达到或优于中标人承诺的标准。</w:t>
      </w:r>
    </w:p>
    <w:p w14:paraId="1C411F5A">
      <w:pPr>
        <w:snapToGrid w:val="0"/>
        <w:spacing w:line="276" w:lineRule="auto"/>
        <w:ind w:firstLine="420" w:firstLineChars="200"/>
        <w:rPr>
          <w:rFonts w:hint="eastAsia"/>
          <w:color w:val="auto"/>
          <w:szCs w:val="21"/>
          <w:highlight w:val="none"/>
        </w:rPr>
      </w:pPr>
      <w:r>
        <w:rPr>
          <w:color w:val="auto"/>
          <w:szCs w:val="21"/>
          <w:highlight w:val="none"/>
        </w:rPr>
        <w:t>4.乙方所提供的</w:t>
      </w:r>
      <w:r>
        <w:rPr>
          <w:rFonts w:hint="eastAsia"/>
          <w:color w:val="auto"/>
          <w:szCs w:val="21"/>
          <w:highlight w:val="none"/>
        </w:rPr>
        <w:t>服务内容、标准</w:t>
      </w:r>
      <w:r>
        <w:rPr>
          <w:color w:val="auto"/>
          <w:szCs w:val="21"/>
          <w:highlight w:val="none"/>
        </w:rPr>
        <w:t>必须与</w:t>
      </w:r>
      <w:bookmarkStart w:id="113" w:name="_Hlk19187447"/>
      <w:r>
        <w:rPr>
          <w:rFonts w:hint="eastAsia"/>
          <w:color w:val="auto"/>
          <w:szCs w:val="21"/>
          <w:highlight w:val="none"/>
        </w:rPr>
        <w:t>采购文件、响应文件</w:t>
      </w:r>
      <w:bookmarkEnd w:id="113"/>
      <w:r>
        <w:rPr>
          <w:color w:val="auto"/>
          <w:szCs w:val="21"/>
          <w:highlight w:val="none"/>
        </w:rPr>
        <w:t>和承诺相一致。</w:t>
      </w:r>
    </w:p>
    <w:p w14:paraId="43011E35">
      <w:pPr>
        <w:snapToGrid w:val="0"/>
        <w:spacing w:line="276" w:lineRule="auto"/>
        <w:ind w:firstLine="420" w:firstLineChars="200"/>
        <w:rPr>
          <w:color w:val="auto"/>
          <w:szCs w:val="21"/>
          <w:highlight w:val="none"/>
        </w:rPr>
      </w:pPr>
      <w:r>
        <w:rPr>
          <w:color w:val="auto"/>
          <w:szCs w:val="21"/>
          <w:highlight w:val="none"/>
        </w:rPr>
        <w:t>5.如在使用过程中发生质量问题，乙方在接到甲方通知后在</w:t>
      </w:r>
      <w:r>
        <w:rPr>
          <w:color w:val="auto"/>
          <w:szCs w:val="21"/>
          <w:highlight w:val="none"/>
          <w:u w:val="single"/>
        </w:rPr>
        <w:t xml:space="preserve">    </w:t>
      </w:r>
      <w:r>
        <w:rPr>
          <w:color w:val="auto"/>
          <w:szCs w:val="21"/>
          <w:highlight w:val="none"/>
        </w:rPr>
        <w:t>小时内到达甲方现场。</w:t>
      </w:r>
    </w:p>
    <w:p w14:paraId="2FDA5D9F">
      <w:pPr>
        <w:snapToGrid w:val="0"/>
        <w:spacing w:line="276" w:lineRule="auto"/>
        <w:ind w:firstLine="420" w:firstLineChars="200"/>
        <w:rPr>
          <w:color w:val="auto"/>
          <w:szCs w:val="21"/>
          <w:highlight w:val="none"/>
        </w:rPr>
      </w:pPr>
      <w:r>
        <w:rPr>
          <w:color w:val="auto"/>
          <w:szCs w:val="21"/>
          <w:highlight w:val="none"/>
        </w:rPr>
        <w:t>6.在质保期内，乙方应对</w:t>
      </w:r>
      <w:r>
        <w:rPr>
          <w:rFonts w:hint="eastAsia"/>
          <w:color w:val="auto"/>
          <w:szCs w:val="21"/>
          <w:highlight w:val="none"/>
        </w:rPr>
        <w:t>产品</w:t>
      </w:r>
      <w:r>
        <w:rPr>
          <w:color w:val="auto"/>
          <w:szCs w:val="21"/>
          <w:highlight w:val="none"/>
        </w:rPr>
        <w:t>或服务成果出现的质量及安全问题负责处理解决并承担一切费用。</w:t>
      </w:r>
    </w:p>
    <w:p w14:paraId="1E6A5BD9">
      <w:pPr>
        <w:snapToGrid w:val="0"/>
        <w:spacing w:line="276" w:lineRule="auto"/>
        <w:ind w:firstLine="420" w:firstLineChars="200"/>
        <w:rPr>
          <w:rFonts w:hint="eastAsia"/>
          <w:color w:val="auto"/>
          <w:szCs w:val="21"/>
          <w:highlight w:val="none"/>
        </w:rPr>
      </w:pPr>
      <w:r>
        <w:rPr>
          <w:rFonts w:hint="eastAsia"/>
          <w:color w:val="auto"/>
          <w:szCs w:val="21"/>
          <w:highlight w:val="none"/>
        </w:rPr>
        <w:t>7</w:t>
      </w:r>
      <w:r>
        <w:rPr>
          <w:color w:val="auto"/>
          <w:szCs w:val="21"/>
          <w:highlight w:val="none"/>
        </w:rPr>
        <w:t>.乙方提供的服务承诺和售后服务及质保期责任等</w:t>
      </w:r>
      <w:r>
        <w:rPr>
          <w:rFonts w:hint="eastAsia"/>
          <w:color w:val="auto"/>
          <w:szCs w:val="21"/>
          <w:highlight w:val="none"/>
          <w:lang w:eastAsia="zh-CN"/>
        </w:rPr>
        <w:t>其他</w:t>
      </w:r>
      <w:r>
        <w:rPr>
          <w:color w:val="auto"/>
          <w:szCs w:val="21"/>
          <w:highlight w:val="none"/>
        </w:rPr>
        <w:t>具体约定事项。</w:t>
      </w:r>
    </w:p>
    <w:p w14:paraId="38C29009">
      <w:pPr>
        <w:snapToGrid w:val="0"/>
        <w:spacing w:line="360" w:lineRule="exact"/>
        <w:ind w:firstLine="422" w:firstLineChars="200"/>
        <w:rPr>
          <w:color w:val="auto"/>
          <w:szCs w:val="21"/>
          <w:highlight w:val="none"/>
        </w:rPr>
      </w:pPr>
      <w:r>
        <w:rPr>
          <w:b/>
          <w:color w:val="auto"/>
          <w:szCs w:val="21"/>
          <w:highlight w:val="none"/>
        </w:rPr>
        <w:t>第九条　付款方式</w:t>
      </w:r>
    </w:p>
    <w:p w14:paraId="1427942E">
      <w:pPr>
        <w:snapToGrid w:val="0"/>
        <w:spacing w:line="360" w:lineRule="exact"/>
        <w:ind w:firstLine="420" w:firstLineChars="200"/>
        <w:rPr>
          <w:color w:val="auto"/>
          <w:szCs w:val="21"/>
          <w:highlight w:val="none"/>
        </w:rPr>
      </w:pPr>
      <w:r>
        <w:rPr>
          <w:color w:val="auto"/>
          <w:szCs w:val="21"/>
          <w:highlight w:val="none"/>
        </w:rPr>
        <w:t>1.资金性质：</w:t>
      </w:r>
      <w:r>
        <w:rPr>
          <w:color w:val="auto"/>
          <w:szCs w:val="21"/>
          <w:highlight w:val="none"/>
          <w:u w:val="single"/>
        </w:rPr>
        <w:t>财政性资金。</w:t>
      </w:r>
    </w:p>
    <w:p w14:paraId="08885A5D">
      <w:pPr>
        <w:snapToGrid w:val="0"/>
        <w:spacing w:line="360" w:lineRule="exact"/>
        <w:ind w:firstLine="420" w:firstLineChars="200"/>
        <w:rPr>
          <w:color w:val="auto"/>
          <w:szCs w:val="21"/>
          <w:highlight w:val="none"/>
        </w:rPr>
      </w:pPr>
      <w:r>
        <w:rPr>
          <w:color w:val="auto"/>
          <w:szCs w:val="21"/>
          <w:highlight w:val="none"/>
        </w:rPr>
        <w:t>2.付款方式：</w:t>
      </w:r>
    </w:p>
    <w:p w14:paraId="1DFDA297">
      <w:pPr>
        <w:snapToGrid w:val="0"/>
        <w:spacing w:line="360" w:lineRule="exact"/>
        <w:ind w:firstLine="420" w:firstLineChars="200"/>
        <w:rPr>
          <w:rFonts w:hint="default" w:eastAsia="宋体"/>
          <w:color w:val="auto"/>
          <w:szCs w:val="21"/>
          <w:highlight w:val="none"/>
          <w:lang w:val="en-US" w:eastAsia="zh-CN"/>
        </w:rPr>
      </w:pPr>
      <w:r>
        <w:rPr>
          <w:rFonts w:hint="eastAsia"/>
          <w:color w:val="auto"/>
          <w:szCs w:val="21"/>
          <w:highlight w:val="none"/>
          <w:lang w:val="en-US" w:eastAsia="zh-CN"/>
        </w:rPr>
        <w:t>2.1实际结算价=实际检测数量×成交单价。</w:t>
      </w:r>
    </w:p>
    <w:p w14:paraId="5F84E093">
      <w:pPr>
        <w:snapToGrid w:val="0"/>
        <w:spacing w:line="360" w:lineRule="exact"/>
        <w:ind w:firstLine="420" w:firstLineChars="200"/>
        <w:rPr>
          <w:b w:val="0"/>
          <w:bCs/>
          <w:color w:val="auto"/>
          <w:szCs w:val="21"/>
          <w:highlight w:val="none"/>
        </w:rPr>
      </w:pPr>
      <w:r>
        <w:rPr>
          <w:rFonts w:hint="eastAsia"/>
          <w:b w:val="0"/>
          <w:bCs/>
          <w:color w:val="auto"/>
          <w:szCs w:val="21"/>
          <w:highlight w:val="none"/>
          <w:lang w:val="en-US" w:eastAsia="zh-CN"/>
        </w:rPr>
        <w:t>2.2合同签订后，乙方按照季度标本数量核算金额开具发票给采购人，甲方于每年 12 月 31 日前结清本年度全部应付服务款。</w:t>
      </w:r>
    </w:p>
    <w:p w14:paraId="426E4743">
      <w:pPr>
        <w:snapToGrid w:val="0"/>
        <w:spacing w:line="360" w:lineRule="exact"/>
        <w:ind w:firstLine="422" w:firstLineChars="200"/>
        <w:rPr>
          <w:b/>
          <w:color w:val="auto"/>
          <w:szCs w:val="21"/>
          <w:highlight w:val="none"/>
        </w:rPr>
      </w:pPr>
      <w:r>
        <w:rPr>
          <w:b/>
          <w:color w:val="auto"/>
          <w:szCs w:val="21"/>
          <w:highlight w:val="none"/>
        </w:rPr>
        <w:t>第十条履约保证金</w:t>
      </w:r>
      <w:bookmarkStart w:id="114" w:name="_Hlk47715711"/>
      <w:r>
        <w:rPr>
          <w:b/>
          <w:color w:val="auto"/>
          <w:szCs w:val="21"/>
          <w:highlight w:val="none"/>
        </w:rPr>
        <w:t xml:space="preserve"> </w:t>
      </w:r>
      <w:bookmarkEnd w:id="114"/>
      <w:r>
        <w:rPr>
          <w:b/>
          <w:color w:val="auto"/>
          <w:szCs w:val="21"/>
          <w:highlight w:val="none"/>
        </w:rPr>
        <w:t xml:space="preserve">  </w:t>
      </w:r>
    </w:p>
    <w:p w14:paraId="78EE7ACB">
      <w:pPr>
        <w:widowControl/>
        <w:snapToGrid w:val="0"/>
        <w:spacing w:line="276" w:lineRule="auto"/>
        <w:ind w:firstLine="420" w:firstLineChars="200"/>
        <w:rPr>
          <w:rFonts w:hint="default" w:ascii="Times New Roman" w:hAnsi="Times New Roman" w:eastAsia="宋体" w:cs="Times New Roman"/>
          <w:b w:val="0"/>
          <w:color w:val="auto"/>
          <w:szCs w:val="21"/>
          <w:highlight w:val="none"/>
          <w:lang w:val="en-US" w:eastAsia="zh-CN"/>
        </w:rPr>
      </w:pPr>
      <w:r>
        <w:rPr>
          <w:rFonts w:hint="default" w:ascii="Times New Roman" w:hAnsi="Times New Roman" w:eastAsia="宋体" w:cs="Times New Roman"/>
          <w:b w:val="0"/>
          <w:color w:val="auto"/>
          <w:szCs w:val="21"/>
          <w:highlight w:val="none"/>
          <w:lang w:val="en-US" w:eastAsia="zh-CN"/>
        </w:rPr>
        <w:t>无。</w:t>
      </w:r>
    </w:p>
    <w:p w14:paraId="29680F21">
      <w:pPr>
        <w:snapToGrid w:val="0"/>
        <w:spacing w:line="360" w:lineRule="exact"/>
        <w:ind w:firstLine="422" w:firstLineChars="200"/>
        <w:rPr>
          <w:b/>
          <w:color w:val="auto"/>
          <w:szCs w:val="21"/>
          <w:highlight w:val="none"/>
        </w:rPr>
      </w:pPr>
      <w:r>
        <w:rPr>
          <w:b/>
          <w:color w:val="auto"/>
          <w:szCs w:val="21"/>
          <w:highlight w:val="none"/>
        </w:rPr>
        <w:t>第十一条 税费</w:t>
      </w:r>
    </w:p>
    <w:p w14:paraId="7D7CCF4F">
      <w:pPr>
        <w:snapToGrid w:val="0"/>
        <w:spacing w:line="360" w:lineRule="exact"/>
        <w:ind w:firstLine="420" w:firstLineChars="200"/>
        <w:rPr>
          <w:color w:val="auto"/>
          <w:szCs w:val="21"/>
          <w:highlight w:val="none"/>
        </w:rPr>
      </w:pPr>
      <w:r>
        <w:rPr>
          <w:color w:val="auto"/>
          <w:szCs w:val="21"/>
          <w:highlight w:val="none"/>
        </w:rPr>
        <w:t>本合同执行中相关的一切税费均由乙方</w:t>
      </w:r>
      <w:r>
        <w:rPr>
          <w:rFonts w:hint="eastAsia"/>
          <w:color w:val="auto"/>
          <w:szCs w:val="21"/>
          <w:highlight w:val="none"/>
        </w:rPr>
        <w:t>承</w:t>
      </w:r>
      <w:r>
        <w:rPr>
          <w:color w:val="auto"/>
          <w:szCs w:val="21"/>
          <w:highlight w:val="none"/>
        </w:rPr>
        <w:t>担。</w:t>
      </w:r>
    </w:p>
    <w:p w14:paraId="1E55DC4C">
      <w:pPr>
        <w:snapToGrid w:val="0"/>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二</w:t>
      </w:r>
      <w:r>
        <w:rPr>
          <w:b/>
          <w:color w:val="auto"/>
          <w:szCs w:val="21"/>
          <w:highlight w:val="none"/>
        </w:rPr>
        <w:t>条　违约责任</w:t>
      </w:r>
    </w:p>
    <w:p w14:paraId="344775F7">
      <w:pPr>
        <w:snapToGrid w:val="0"/>
        <w:spacing w:line="300" w:lineRule="exact"/>
        <w:ind w:firstLine="420" w:firstLineChars="200"/>
        <w:rPr>
          <w:rFonts w:hint="default" w:ascii="Times New Roman" w:hAnsi="Times New Roman" w:eastAsia="宋体" w:cs="Times New Roman"/>
          <w:b w:val="0"/>
          <w:color w:val="auto"/>
          <w:szCs w:val="21"/>
          <w:highlight w:val="none"/>
          <w:lang w:val="en-US" w:eastAsia="zh-CN"/>
        </w:rPr>
      </w:pPr>
      <w:r>
        <w:rPr>
          <w:rFonts w:hint="default" w:ascii="Times New Roman" w:hAnsi="Times New Roman" w:eastAsia="宋体" w:cs="Times New Roman"/>
          <w:b w:val="0"/>
          <w:color w:val="auto"/>
          <w:szCs w:val="21"/>
          <w:highlight w:val="none"/>
          <w:lang w:val="en-US" w:eastAsia="zh-CN"/>
        </w:rPr>
        <w:t>1.所有服务均严格按采购文件上购买服务内容的的实质要求、供应商响应和承诺的服务内容等有关标准进行验收，达不到要求的不予验收。</w:t>
      </w:r>
    </w:p>
    <w:p w14:paraId="24A0E603">
      <w:pPr>
        <w:snapToGrid w:val="0"/>
        <w:spacing w:line="300" w:lineRule="exact"/>
        <w:ind w:firstLine="420" w:firstLineChars="200"/>
        <w:rPr>
          <w:rFonts w:hint="default" w:ascii="Times New Roman" w:hAnsi="Times New Roman" w:eastAsia="宋体" w:cs="Times New Roman"/>
          <w:b w:val="0"/>
          <w:color w:val="auto"/>
          <w:szCs w:val="21"/>
          <w:highlight w:val="none"/>
          <w:lang w:val="en-US" w:eastAsia="zh-CN"/>
        </w:rPr>
      </w:pPr>
      <w:r>
        <w:rPr>
          <w:rFonts w:hint="default" w:ascii="Times New Roman" w:hAnsi="Times New Roman" w:eastAsia="宋体" w:cs="Times New Roman"/>
          <w:b w:val="0"/>
          <w:color w:val="auto"/>
          <w:szCs w:val="21"/>
          <w:highlight w:val="none"/>
          <w:lang w:val="en-US" w:eastAsia="zh-CN"/>
        </w:rPr>
        <w:t>2.乙方未按采购文件中《采购需求一览表》中的内容提供服务或服务未达标准的，甲方可解除本合同。</w:t>
      </w:r>
    </w:p>
    <w:p w14:paraId="184D5F33">
      <w:pPr>
        <w:snapToGrid w:val="0"/>
        <w:spacing w:line="300" w:lineRule="exact"/>
        <w:ind w:firstLine="420" w:firstLineChars="200"/>
        <w:rPr>
          <w:color w:val="auto"/>
          <w:szCs w:val="21"/>
          <w:highlight w:val="none"/>
        </w:rPr>
      </w:pPr>
      <w:r>
        <w:rPr>
          <w:rFonts w:hint="eastAsia" w:ascii="Times New Roman" w:hAnsi="Times New Roman" w:eastAsia="宋体" w:cs="Times New Roman"/>
          <w:color w:val="auto"/>
          <w:szCs w:val="21"/>
          <w:highlight w:val="none"/>
          <w:lang w:val="en-US" w:eastAsia="zh-CN"/>
        </w:rPr>
        <w:t>3</w:t>
      </w:r>
      <w:r>
        <w:rPr>
          <w:rFonts w:ascii="Times New Roman" w:hAnsi="Times New Roman" w:eastAsia="宋体" w:cs="Times New Roman"/>
          <w:color w:val="auto"/>
          <w:szCs w:val="21"/>
          <w:highlight w:val="none"/>
        </w:rPr>
        <w:t>. 若因乙</w:t>
      </w:r>
      <w:r>
        <w:rPr>
          <w:color w:val="auto"/>
          <w:szCs w:val="21"/>
          <w:highlight w:val="none"/>
        </w:rPr>
        <w:t>方原因而未能履行合同或最终验收不合格的，甲方</w:t>
      </w:r>
      <w:r>
        <w:rPr>
          <w:rFonts w:hint="eastAsia"/>
          <w:color w:val="auto"/>
          <w:szCs w:val="21"/>
          <w:highlight w:val="none"/>
        </w:rPr>
        <w:t>有权</w:t>
      </w:r>
      <w:r>
        <w:rPr>
          <w:color w:val="auto"/>
          <w:szCs w:val="21"/>
          <w:highlight w:val="none"/>
        </w:rPr>
        <w:t>解除合同，由此产生的费用由乙方承担</w:t>
      </w:r>
      <w:r>
        <w:rPr>
          <w:rFonts w:hint="eastAsia"/>
          <w:color w:val="auto"/>
          <w:szCs w:val="21"/>
          <w:highlight w:val="none"/>
        </w:rPr>
        <w:t>，给甲方造成其他损失的，乙方应进行赔偿，并承担甲方追究的其他违约责任。</w:t>
      </w:r>
    </w:p>
    <w:p w14:paraId="5470032B">
      <w:pPr>
        <w:snapToGrid w:val="0"/>
        <w:spacing w:line="300" w:lineRule="exact"/>
        <w:ind w:firstLine="420" w:firstLineChars="200"/>
        <w:rPr>
          <w:color w:val="auto"/>
          <w:szCs w:val="21"/>
          <w:highlight w:val="none"/>
        </w:rPr>
      </w:pPr>
      <w:r>
        <w:rPr>
          <w:rFonts w:hint="eastAsia"/>
          <w:color w:val="auto"/>
          <w:szCs w:val="21"/>
          <w:highlight w:val="none"/>
          <w:lang w:val="en-US" w:eastAsia="zh-CN"/>
        </w:rPr>
        <w:t>4</w:t>
      </w:r>
      <w:r>
        <w:rPr>
          <w:color w:val="auto"/>
          <w:szCs w:val="21"/>
          <w:highlight w:val="none"/>
        </w:rPr>
        <w:t>.乙方逾期交</w:t>
      </w:r>
      <w:r>
        <w:rPr>
          <w:rFonts w:hint="eastAsia"/>
          <w:color w:val="auto"/>
          <w:szCs w:val="21"/>
          <w:highlight w:val="none"/>
        </w:rPr>
        <w:t>付产品</w:t>
      </w:r>
      <w:r>
        <w:rPr>
          <w:color w:val="auto"/>
          <w:szCs w:val="21"/>
          <w:highlight w:val="none"/>
        </w:rPr>
        <w:t>或服务成果的，</w:t>
      </w:r>
      <w:r>
        <w:rPr>
          <w:rFonts w:hint="eastAsia"/>
          <w:color w:val="auto"/>
          <w:szCs w:val="21"/>
          <w:highlight w:val="none"/>
        </w:rPr>
        <w:t>应</w:t>
      </w:r>
      <w:r>
        <w:rPr>
          <w:color w:val="auto"/>
          <w:szCs w:val="21"/>
          <w:highlight w:val="none"/>
        </w:rPr>
        <w:t>向</w:t>
      </w:r>
      <w:r>
        <w:rPr>
          <w:rFonts w:hint="eastAsia"/>
          <w:color w:val="auto"/>
          <w:szCs w:val="21"/>
          <w:highlight w:val="none"/>
        </w:rPr>
        <w:t>甲</w:t>
      </w:r>
      <w:r>
        <w:rPr>
          <w:color w:val="auto"/>
          <w:szCs w:val="21"/>
          <w:highlight w:val="none"/>
        </w:rPr>
        <w:t>方</w:t>
      </w:r>
      <w:r>
        <w:rPr>
          <w:rFonts w:hint="eastAsia"/>
          <w:color w:val="auto"/>
          <w:szCs w:val="21"/>
          <w:highlight w:val="none"/>
        </w:rPr>
        <w:t>支付</w:t>
      </w:r>
      <w:r>
        <w:rPr>
          <w:color w:val="auto"/>
          <w:szCs w:val="21"/>
          <w:highlight w:val="none"/>
        </w:rPr>
        <w:t>违约</w:t>
      </w:r>
      <w:r>
        <w:rPr>
          <w:rFonts w:hint="eastAsia"/>
          <w:color w:val="auto"/>
          <w:szCs w:val="21"/>
          <w:highlight w:val="none"/>
        </w:rPr>
        <w:t>金，标准为合同总价</w:t>
      </w:r>
      <w:r>
        <w:rPr>
          <w:color w:val="auto"/>
          <w:szCs w:val="21"/>
          <w:highlight w:val="none"/>
          <w:u w:val="single"/>
        </w:rPr>
        <w:t>3‰</w:t>
      </w:r>
      <w:r>
        <w:rPr>
          <w:color w:val="auto"/>
          <w:szCs w:val="21"/>
          <w:highlight w:val="none"/>
        </w:rPr>
        <w:t>/</w:t>
      </w:r>
      <w:r>
        <w:rPr>
          <w:rFonts w:hint="eastAsia"/>
          <w:color w:val="auto"/>
          <w:szCs w:val="21"/>
          <w:highlight w:val="none"/>
        </w:rPr>
        <w:t>日</w:t>
      </w:r>
      <w:r>
        <w:rPr>
          <w:color w:val="auto"/>
          <w:szCs w:val="21"/>
          <w:highlight w:val="none"/>
        </w:rPr>
        <w:t>，但违约金累计不得超过</w:t>
      </w:r>
      <w:r>
        <w:rPr>
          <w:rFonts w:hint="eastAsia"/>
          <w:color w:val="auto"/>
          <w:highlight w:val="none"/>
        </w:rPr>
        <w:t>合同总金额</w:t>
      </w:r>
      <w:r>
        <w:rPr>
          <w:color w:val="auto"/>
          <w:szCs w:val="21"/>
          <w:highlight w:val="none"/>
          <w:u w:val="single"/>
        </w:rPr>
        <w:t>5%，</w:t>
      </w:r>
      <w:r>
        <w:rPr>
          <w:color w:val="auto"/>
          <w:szCs w:val="21"/>
          <w:highlight w:val="none"/>
        </w:rPr>
        <w:t>甲方延</w:t>
      </w:r>
      <w:r>
        <w:rPr>
          <w:rFonts w:hint="eastAsia"/>
          <w:color w:val="auto"/>
          <w:szCs w:val="21"/>
          <w:highlight w:val="none"/>
          <w:lang w:eastAsia="zh-CN"/>
        </w:rPr>
        <w:t>期支</w:t>
      </w:r>
      <w:r>
        <w:rPr>
          <w:color w:val="auto"/>
          <w:szCs w:val="21"/>
          <w:highlight w:val="none"/>
        </w:rPr>
        <w:t>付</w:t>
      </w:r>
      <w:r>
        <w:rPr>
          <w:rFonts w:hint="eastAsia"/>
          <w:color w:val="auto"/>
          <w:szCs w:val="21"/>
          <w:highlight w:val="none"/>
        </w:rPr>
        <w:t>产品或服务费用</w:t>
      </w:r>
      <w:r>
        <w:rPr>
          <w:color w:val="auto"/>
          <w:szCs w:val="21"/>
          <w:highlight w:val="none"/>
        </w:rPr>
        <w:t>的，</w:t>
      </w:r>
      <w:r>
        <w:rPr>
          <w:rFonts w:hint="eastAsia"/>
          <w:color w:val="auto"/>
          <w:szCs w:val="21"/>
          <w:highlight w:val="none"/>
        </w:rPr>
        <w:t>应</w:t>
      </w:r>
      <w:r>
        <w:rPr>
          <w:color w:val="auto"/>
          <w:szCs w:val="21"/>
          <w:highlight w:val="none"/>
        </w:rPr>
        <w:t>向乙方</w:t>
      </w:r>
      <w:r>
        <w:rPr>
          <w:rFonts w:hint="eastAsia"/>
          <w:color w:val="auto"/>
          <w:szCs w:val="21"/>
          <w:highlight w:val="none"/>
        </w:rPr>
        <w:t>支</w:t>
      </w:r>
      <w:r>
        <w:rPr>
          <w:color w:val="auto"/>
          <w:szCs w:val="21"/>
          <w:highlight w:val="none"/>
        </w:rPr>
        <w:t>付延期滞纳金</w:t>
      </w:r>
      <w:r>
        <w:rPr>
          <w:rFonts w:hint="eastAsia"/>
          <w:color w:val="auto"/>
          <w:szCs w:val="21"/>
          <w:highlight w:val="none"/>
        </w:rPr>
        <w:t>，标准为合同总价</w:t>
      </w:r>
      <w:r>
        <w:rPr>
          <w:color w:val="auto"/>
          <w:szCs w:val="21"/>
          <w:highlight w:val="none"/>
        </w:rPr>
        <w:t>额</w:t>
      </w:r>
      <w:r>
        <w:rPr>
          <w:color w:val="auto"/>
          <w:szCs w:val="21"/>
          <w:highlight w:val="none"/>
          <w:u w:val="single"/>
        </w:rPr>
        <w:t>3‰/</w:t>
      </w:r>
      <w:r>
        <w:rPr>
          <w:rFonts w:hint="eastAsia"/>
          <w:color w:val="auto"/>
          <w:szCs w:val="21"/>
          <w:highlight w:val="none"/>
          <w:u w:val="single"/>
        </w:rPr>
        <w:t>日</w:t>
      </w:r>
      <w:r>
        <w:rPr>
          <w:color w:val="auto"/>
          <w:szCs w:val="21"/>
          <w:highlight w:val="none"/>
        </w:rPr>
        <w:t>，但滞纳金累计不得超过</w:t>
      </w:r>
      <w:r>
        <w:rPr>
          <w:rFonts w:hint="eastAsia"/>
          <w:color w:val="auto"/>
          <w:highlight w:val="none"/>
        </w:rPr>
        <w:t>合同总金额</w:t>
      </w:r>
      <w:r>
        <w:rPr>
          <w:color w:val="auto"/>
          <w:szCs w:val="21"/>
          <w:highlight w:val="none"/>
          <w:u w:val="single"/>
        </w:rPr>
        <w:t>5%</w:t>
      </w:r>
      <w:r>
        <w:rPr>
          <w:color w:val="auto"/>
          <w:szCs w:val="21"/>
          <w:highlight w:val="none"/>
        </w:rPr>
        <w:t>。</w:t>
      </w:r>
    </w:p>
    <w:p w14:paraId="494B12D6">
      <w:pPr>
        <w:snapToGrid w:val="0"/>
        <w:spacing w:line="360" w:lineRule="exact"/>
        <w:ind w:firstLine="420" w:firstLineChars="200"/>
        <w:rPr>
          <w:color w:val="auto"/>
          <w:szCs w:val="21"/>
          <w:highlight w:val="none"/>
        </w:rPr>
      </w:pPr>
      <w:r>
        <w:rPr>
          <w:rFonts w:hint="eastAsia"/>
          <w:color w:val="auto"/>
          <w:szCs w:val="21"/>
          <w:highlight w:val="none"/>
          <w:lang w:val="en-US" w:eastAsia="zh-CN"/>
        </w:rPr>
        <w:t>5</w:t>
      </w:r>
      <w:r>
        <w:rPr>
          <w:color w:val="auto"/>
          <w:szCs w:val="21"/>
          <w:highlight w:val="none"/>
        </w:rPr>
        <w:t>. 乙方未得到甲方同意，擅自更换项目负责人及服务团队成员时，甲方有权书面通知乙方解除合同，且无需支付合同解除后的合同后续费用。同时，乙方必须退还甲方已付出的所有服务费用，并赔偿由此给甲方造成的全部损失。</w:t>
      </w:r>
    </w:p>
    <w:p w14:paraId="7272E900">
      <w:pPr>
        <w:snapToGrid w:val="0"/>
        <w:spacing w:line="360" w:lineRule="exact"/>
        <w:ind w:firstLine="420" w:firstLineChars="200"/>
        <w:rPr>
          <w:color w:val="auto"/>
          <w:szCs w:val="21"/>
          <w:highlight w:val="none"/>
        </w:rPr>
      </w:pPr>
      <w:r>
        <w:rPr>
          <w:rFonts w:hint="eastAsia"/>
          <w:color w:val="auto"/>
          <w:szCs w:val="21"/>
          <w:highlight w:val="none"/>
          <w:lang w:val="en-US" w:eastAsia="zh-CN"/>
        </w:rPr>
        <w:t>6</w:t>
      </w:r>
      <w:r>
        <w:rPr>
          <w:color w:val="auto"/>
          <w:szCs w:val="21"/>
          <w:highlight w:val="none"/>
        </w:rPr>
        <w:t>.乙方或乙方人员违反保密义务时，甲方有权书面通知乙方解除合同，且无需支付合同解除后的合同后续费用。同时，乙方必须退还甲方已付出的所有咨询费用，并赔偿由此给甲方造成的全部损失。</w:t>
      </w:r>
    </w:p>
    <w:p w14:paraId="31773F1A">
      <w:pPr>
        <w:snapToGrid w:val="0"/>
        <w:spacing w:line="360" w:lineRule="exact"/>
        <w:ind w:firstLine="420" w:firstLineChars="200"/>
        <w:rPr>
          <w:color w:val="auto"/>
          <w:szCs w:val="21"/>
          <w:highlight w:val="none"/>
        </w:rPr>
      </w:pPr>
      <w:r>
        <w:rPr>
          <w:rFonts w:hint="eastAsia"/>
          <w:color w:val="auto"/>
          <w:szCs w:val="21"/>
          <w:highlight w:val="none"/>
          <w:lang w:val="en-US" w:eastAsia="zh-CN"/>
        </w:rPr>
        <w:t>7</w:t>
      </w:r>
      <w:r>
        <w:rPr>
          <w:color w:val="auto"/>
          <w:szCs w:val="21"/>
          <w:highlight w:val="none"/>
        </w:rPr>
        <w:t>.乙方未按本合同和响应文件中规定的服务承诺提供售后服务的，乙方应按本合同</w:t>
      </w:r>
      <w:r>
        <w:rPr>
          <w:rStyle w:val="58"/>
          <w:rFonts w:hint="eastAsia"/>
          <w:color w:val="auto"/>
          <w:highlight w:val="none"/>
        </w:rPr>
        <w:t>总</w:t>
      </w:r>
      <w:r>
        <w:rPr>
          <w:color w:val="auto"/>
          <w:szCs w:val="21"/>
          <w:highlight w:val="none"/>
        </w:rPr>
        <w:t>金额</w:t>
      </w:r>
      <w:r>
        <w:rPr>
          <w:color w:val="auto"/>
          <w:szCs w:val="21"/>
          <w:highlight w:val="none"/>
          <w:u w:val="single"/>
        </w:rPr>
        <w:t xml:space="preserve"> 5%</w:t>
      </w:r>
      <w:r>
        <w:rPr>
          <w:color w:val="auto"/>
          <w:szCs w:val="21"/>
          <w:highlight w:val="none"/>
        </w:rPr>
        <w:t>向甲方支付违约金。</w:t>
      </w:r>
    </w:p>
    <w:p w14:paraId="4B309008">
      <w:pPr>
        <w:snapToGrid w:val="0"/>
        <w:spacing w:line="360" w:lineRule="exact"/>
        <w:ind w:firstLine="420" w:firstLineChars="200"/>
        <w:rPr>
          <w:color w:val="auto"/>
          <w:szCs w:val="21"/>
          <w:highlight w:val="none"/>
        </w:rPr>
      </w:pPr>
      <w:r>
        <w:rPr>
          <w:rFonts w:hint="eastAsia"/>
          <w:color w:val="auto"/>
          <w:szCs w:val="21"/>
          <w:highlight w:val="none"/>
          <w:lang w:val="en-US" w:eastAsia="zh-CN"/>
        </w:rPr>
        <w:t>8</w:t>
      </w:r>
      <w:r>
        <w:rPr>
          <w:color w:val="auto"/>
          <w:szCs w:val="21"/>
          <w:highlight w:val="none"/>
        </w:rPr>
        <w:t>.乙方提供的</w:t>
      </w:r>
      <w:r>
        <w:rPr>
          <w:rFonts w:hint="eastAsia"/>
          <w:color w:val="auto"/>
          <w:szCs w:val="21"/>
          <w:highlight w:val="none"/>
        </w:rPr>
        <w:t>产品</w:t>
      </w:r>
      <w:r>
        <w:rPr>
          <w:color w:val="auto"/>
          <w:szCs w:val="21"/>
          <w:highlight w:val="none"/>
        </w:rPr>
        <w:t>或服务成果在质量保证期内，因设计、工艺或材料的缺陷和</w:t>
      </w:r>
      <w:r>
        <w:rPr>
          <w:rFonts w:hint="eastAsia"/>
          <w:color w:val="auto"/>
          <w:szCs w:val="21"/>
          <w:highlight w:val="none"/>
          <w:lang w:eastAsia="zh-CN"/>
        </w:rPr>
        <w:t>其他</w:t>
      </w:r>
      <w:r>
        <w:rPr>
          <w:color w:val="auto"/>
          <w:szCs w:val="21"/>
          <w:highlight w:val="none"/>
        </w:rPr>
        <w:t>质量原因造成的问题，由乙方负责，费用从质量保证金中扣除，质量保证金不足以支付的，由乙方另行支付。</w:t>
      </w:r>
    </w:p>
    <w:p w14:paraId="3B760CF5">
      <w:pPr>
        <w:snapToGrid w:val="0"/>
        <w:spacing w:line="360" w:lineRule="exact"/>
        <w:ind w:firstLine="420" w:firstLineChars="200"/>
        <w:jc w:val="left"/>
        <w:rPr>
          <w:color w:val="auto"/>
          <w:szCs w:val="21"/>
          <w:highlight w:val="none"/>
        </w:rPr>
      </w:pPr>
      <w:r>
        <w:rPr>
          <w:rFonts w:hint="eastAsia"/>
          <w:color w:val="auto"/>
          <w:szCs w:val="21"/>
          <w:highlight w:val="none"/>
          <w:lang w:val="en-US" w:eastAsia="zh-CN"/>
        </w:rPr>
        <w:t>9</w:t>
      </w:r>
      <w:r>
        <w:rPr>
          <w:color w:val="auto"/>
          <w:szCs w:val="21"/>
          <w:highlight w:val="none"/>
        </w:rPr>
        <w:t>.乙方提供的</w:t>
      </w:r>
      <w:r>
        <w:rPr>
          <w:rFonts w:hint="eastAsia"/>
          <w:color w:val="auto"/>
          <w:szCs w:val="21"/>
          <w:highlight w:val="none"/>
        </w:rPr>
        <w:t>产品</w:t>
      </w:r>
      <w:r>
        <w:rPr>
          <w:color w:val="auto"/>
          <w:szCs w:val="21"/>
          <w:highlight w:val="none"/>
        </w:rPr>
        <w:t>或服务如侵犯了第三方合法权益而引发的任何纠纷或诉讼，均由乙方负责交涉并承担全部责任。</w:t>
      </w:r>
    </w:p>
    <w:p w14:paraId="3082F66C">
      <w:pPr>
        <w:snapToGrid w:val="0"/>
        <w:spacing w:line="360" w:lineRule="exact"/>
        <w:ind w:firstLine="420" w:firstLineChars="200"/>
        <w:rPr>
          <w:color w:val="auto"/>
          <w:szCs w:val="21"/>
          <w:highlight w:val="none"/>
        </w:rPr>
      </w:pPr>
      <w:r>
        <w:rPr>
          <w:rFonts w:hint="eastAsia"/>
          <w:color w:val="auto"/>
          <w:szCs w:val="21"/>
          <w:highlight w:val="none"/>
          <w:lang w:val="en-US" w:eastAsia="zh-CN"/>
        </w:rPr>
        <w:t>10</w:t>
      </w:r>
      <w:r>
        <w:rPr>
          <w:color w:val="auto"/>
          <w:szCs w:val="21"/>
          <w:highlight w:val="none"/>
        </w:rPr>
        <w:t>.</w:t>
      </w:r>
      <w:r>
        <w:rPr>
          <w:rFonts w:hint="eastAsia"/>
          <w:color w:val="auto"/>
          <w:szCs w:val="21"/>
          <w:highlight w:val="none"/>
          <w:lang w:eastAsia="zh-CN"/>
        </w:rPr>
        <w:t>其他</w:t>
      </w:r>
      <w:r>
        <w:rPr>
          <w:color w:val="auto"/>
          <w:szCs w:val="21"/>
          <w:highlight w:val="none"/>
        </w:rPr>
        <w:t>违约行为按违约</w:t>
      </w:r>
      <w:r>
        <w:rPr>
          <w:rFonts w:hint="eastAsia"/>
          <w:color w:val="auto"/>
          <w:szCs w:val="21"/>
          <w:highlight w:val="none"/>
        </w:rPr>
        <w:t>部分产品</w:t>
      </w:r>
      <w:r>
        <w:rPr>
          <w:color w:val="auto"/>
          <w:szCs w:val="21"/>
          <w:highlight w:val="none"/>
        </w:rPr>
        <w:t>或服务费用金额5%收取违约金并赔偿经济损失。</w:t>
      </w:r>
    </w:p>
    <w:p w14:paraId="6B3EB2FC">
      <w:pPr>
        <w:snapToGrid w:val="0"/>
        <w:spacing w:line="300" w:lineRule="exact"/>
        <w:ind w:firstLine="420" w:firstLineChars="200"/>
        <w:rPr>
          <w:rFonts w:hint="eastAsia"/>
          <w:color w:val="auto"/>
          <w:szCs w:val="21"/>
          <w:highlight w:val="none"/>
        </w:rPr>
      </w:pPr>
      <w:r>
        <w:rPr>
          <w:rFonts w:hint="eastAsia"/>
          <w:color w:val="auto"/>
          <w:szCs w:val="21"/>
          <w:highlight w:val="none"/>
          <w:lang w:val="en-US" w:eastAsia="zh-CN"/>
        </w:rPr>
        <w:t>11</w:t>
      </w:r>
      <w:r>
        <w:rPr>
          <w:color w:val="auto"/>
          <w:szCs w:val="21"/>
          <w:highlight w:val="none"/>
        </w:rPr>
        <w:t>.</w:t>
      </w:r>
      <w:r>
        <w:rPr>
          <w:rFonts w:hint="eastAsia"/>
          <w:color w:val="auto"/>
          <w:szCs w:val="21"/>
          <w:highlight w:val="none"/>
        </w:rPr>
        <w:t>因甲方原因导致变更、中止或者终止政府采购合同的，应当依照合同约定对乙方受到的损失予以赔偿或者补偿。</w:t>
      </w:r>
      <w:r>
        <w:rPr>
          <w:color w:val="auto"/>
          <w:szCs w:val="21"/>
          <w:highlight w:val="none"/>
        </w:rPr>
        <w:t>赔偿（补偿）标准：</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按实际损失赔偿</w:t>
      </w:r>
      <w:r>
        <w:rPr>
          <w:color w:val="auto"/>
          <w:szCs w:val="21"/>
          <w:highlight w:val="none"/>
          <w:u w:val="single"/>
        </w:rPr>
        <w:t xml:space="preserve">  </w:t>
      </w:r>
      <w:r>
        <w:rPr>
          <w:rFonts w:hint="eastAsia"/>
          <w:color w:val="auto"/>
          <w:szCs w:val="21"/>
          <w:highlight w:val="none"/>
        </w:rPr>
        <w:t>。</w:t>
      </w:r>
    </w:p>
    <w:p w14:paraId="1EB256E7">
      <w:pPr>
        <w:pStyle w:val="26"/>
        <w:snapToGrid w:val="0"/>
        <w:spacing w:before="120" w:after="120" w:line="360" w:lineRule="exact"/>
        <w:ind w:firstLine="413" w:firstLineChars="196"/>
        <w:rPr>
          <w:rFonts w:ascii="Times New Roman" w:hAnsi="Times New Roman" w:cs="Times New Roman"/>
          <w:b/>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三</w:t>
      </w:r>
      <w:r>
        <w:rPr>
          <w:rFonts w:ascii="Times New Roman" w:hAnsi="Times New Roman" w:cs="Times New Roman"/>
          <w:b/>
          <w:color w:val="auto"/>
          <w:highlight w:val="none"/>
        </w:rPr>
        <w:t>条 不可抗力事件处理</w:t>
      </w:r>
    </w:p>
    <w:p w14:paraId="64358554">
      <w:pPr>
        <w:snapToGrid w:val="0"/>
        <w:spacing w:line="360" w:lineRule="exact"/>
        <w:ind w:firstLine="420" w:firstLineChars="200"/>
        <w:rPr>
          <w:color w:val="auto"/>
          <w:szCs w:val="21"/>
          <w:highlight w:val="none"/>
        </w:rPr>
      </w:pPr>
      <w:r>
        <w:rPr>
          <w:color w:val="auto"/>
          <w:szCs w:val="21"/>
          <w:highlight w:val="none"/>
        </w:rPr>
        <w:t>1.在合同有效期内，任何一方因不可抗力事件导致不能履行合同，则合同履行期可延长，其延长期与不可抗力影响期相同。</w:t>
      </w:r>
    </w:p>
    <w:p w14:paraId="15B822AB">
      <w:pPr>
        <w:snapToGrid w:val="0"/>
        <w:spacing w:line="360" w:lineRule="exact"/>
        <w:ind w:firstLine="420" w:firstLineChars="200"/>
        <w:rPr>
          <w:color w:val="auto"/>
          <w:szCs w:val="21"/>
          <w:highlight w:val="none"/>
        </w:rPr>
      </w:pPr>
      <w:r>
        <w:rPr>
          <w:color w:val="auto"/>
          <w:szCs w:val="21"/>
          <w:highlight w:val="none"/>
        </w:rPr>
        <w:t>2.不可抗力事件发生后，应立即通知对方，并寄送有关权威机构出具的证明。</w:t>
      </w:r>
    </w:p>
    <w:p w14:paraId="305E1233">
      <w:pPr>
        <w:snapToGrid w:val="0"/>
        <w:spacing w:line="360" w:lineRule="exact"/>
        <w:ind w:firstLine="420" w:firstLineChars="200"/>
        <w:rPr>
          <w:color w:val="auto"/>
          <w:szCs w:val="21"/>
          <w:highlight w:val="none"/>
        </w:rPr>
      </w:pPr>
      <w:r>
        <w:rPr>
          <w:color w:val="auto"/>
          <w:szCs w:val="21"/>
          <w:highlight w:val="none"/>
        </w:rPr>
        <w:t>3.不可抗力事件延续一百二十天以上，双方应通过友好协商，确定是否继续履行合同。</w:t>
      </w:r>
    </w:p>
    <w:p w14:paraId="65BADCEC">
      <w:pPr>
        <w:snapToGrid w:val="0"/>
        <w:spacing w:line="360" w:lineRule="exact"/>
        <w:ind w:firstLine="422" w:firstLineChars="200"/>
        <w:rPr>
          <w:color w:val="auto"/>
          <w:szCs w:val="21"/>
          <w:highlight w:val="none"/>
        </w:rPr>
      </w:pPr>
      <w:r>
        <w:rPr>
          <w:b/>
          <w:color w:val="auto"/>
          <w:szCs w:val="21"/>
          <w:highlight w:val="none"/>
        </w:rPr>
        <w:t>第十</w:t>
      </w:r>
      <w:r>
        <w:rPr>
          <w:rFonts w:hint="eastAsia"/>
          <w:b/>
          <w:color w:val="auto"/>
          <w:szCs w:val="21"/>
          <w:highlight w:val="none"/>
        </w:rPr>
        <w:t>四</w:t>
      </w:r>
      <w:r>
        <w:rPr>
          <w:b/>
          <w:color w:val="auto"/>
          <w:szCs w:val="21"/>
          <w:highlight w:val="none"/>
        </w:rPr>
        <w:t>条  合同争议解决</w:t>
      </w:r>
    </w:p>
    <w:p w14:paraId="13C73EEA">
      <w:pPr>
        <w:snapToGrid w:val="0"/>
        <w:spacing w:line="360" w:lineRule="exact"/>
        <w:ind w:firstLine="420" w:firstLineChars="200"/>
        <w:rPr>
          <w:color w:val="auto"/>
          <w:szCs w:val="21"/>
          <w:highlight w:val="none"/>
        </w:rPr>
      </w:pPr>
      <w:r>
        <w:rPr>
          <w:color w:val="auto"/>
          <w:szCs w:val="21"/>
          <w:highlight w:val="none"/>
        </w:rPr>
        <w:t>1</w:t>
      </w:r>
      <w:r>
        <w:rPr>
          <w:rFonts w:hint="eastAsia"/>
          <w:color w:val="auto"/>
          <w:szCs w:val="21"/>
          <w:highlight w:val="none"/>
        </w:rPr>
        <w:t>.</w:t>
      </w:r>
      <w:r>
        <w:rPr>
          <w:color w:val="auto"/>
          <w:szCs w:val="21"/>
          <w:highlight w:val="none"/>
        </w:rPr>
        <w:t>因</w:t>
      </w:r>
      <w:r>
        <w:rPr>
          <w:rFonts w:hint="eastAsia"/>
          <w:color w:val="auto"/>
          <w:szCs w:val="21"/>
          <w:highlight w:val="none"/>
        </w:rPr>
        <w:t>产品</w:t>
      </w:r>
      <w:r>
        <w:rPr>
          <w:color w:val="auto"/>
          <w:szCs w:val="21"/>
          <w:highlight w:val="none"/>
        </w:rPr>
        <w:t>或服务成果质量问题</w:t>
      </w:r>
      <w:r>
        <w:rPr>
          <w:rFonts w:hint="eastAsia"/>
          <w:color w:val="auto"/>
          <w:szCs w:val="21"/>
          <w:highlight w:val="none"/>
        </w:rPr>
        <w:t>或验收结果</w:t>
      </w:r>
      <w:r>
        <w:rPr>
          <w:color w:val="auto"/>
          <w:szCs w:val="21"/>
          <w:highlight w:val="none"/>
        </w:rPr>
        <w:t>发生争议的，应邀请国家认</w:t>
      </w:r>
      <w:r>
        <w:rPr>
          <w:rFonts w:hint="eastAsia"/>
          <w:color w:val="auto"/>
          <w:szCs w:val="21"/>
          <w:highlight w:val="none"/>
        </w:rPr>
        <w:t>定</w:t>
      </w:r>
      <w:r>
        <w:rPr>
          <w:color w:val="auto"/>
          <w:szCs w:val="21"/>
          <w:highlight w:val="none"/>
        </w:rPr>
        <w:t>的质量检测机构按照国家标准对</w:t>
      </w:r>
      <w:r>
        <w:rPr>
          <w:rFonts w:hint="eastAsia"/>
          <w:color w:val="auto"/>
          <w:szCs w:val="21"/>
          <w:highlight w:val="none"/>
        </w:rPr>
        <w:t>产品</w:t>
      </w:r>
      <w:r>
        <w:rPr>
          <w:color w:val="auto"/>
          <w:szCs w:val="21"/>
          <w:highlight w:val="none"/>
        </w:rPr>
        <w:t>或服务成果质量进行验收。</w:t>
      </w:r>
      <w:r>
        <w:rPr>
          <w:rFonts w:hint="eastAsia"/>
          <w:color w:val="auto"/>
          <w:szCs w:val="21"/>
          <w:highlight w:val="none"/>
        </w:rPr>
        <w:t>产品</w:t>
      </w:r>
      <w:r>
        <w:rPr>
          <w:color w:val="auto"/>
          <w:szCs w:val="21"/>
          <w:highlight w:val="none"/>
        </w:rPr>
        <w:t>或服务成果符合国家标准的，鉴定费由甲方承担；</w:t>
      </w:r>
      <w:r>
        <w:rPr>
          <w:rFonts w:hint="eastAsia"/>
          <w:color w:val="auto"/>
          <w:szCs w:val="21"/>
          <w:highlight w:val="none"/>
        </w:rPr>
        <w:t>产品</w:t>
      </w:r>
      <w:r>
        <w:rPr>
          <w:color w:val="auto"/>
          <w:szCs w:val="21"/>
          <w:highlight w:val="none"/>
        </w:rPr>
        <w:t>或服务成果不符合国家标准的，鉴定费由乙方承担。</w:t>
      </w:r>
    </w:p>
    <w:p w14:paraId="69057E7A">
      <w:pPr>
        <w:snapToGrid w:val="0"/>
        <w:spacing w:line="360" w:lineRule="exact"/>
        <w:ind w:firstLine="420" w:firstLineChars="200"/>
        <w:rPr>
          <w:color w:val="auto"/>
          <w:szCs w:val="21"/>
          <w:highlight w:val="none"/>
        </w:rPr>
      </w:pPr>
      <w:r>
        <w:rPr>
          <w:color w:val="auto"/>
          <w:szCs w:val="21"/>
          <w:highlight w:val="none"/>
        </w:rPr>
        <w:t>2</w:t>
      </w:r>
      <w:r>
        <w:rPr>
          <w:rFonts w:hint="eastAsia"/>
          <w:color w:val="auto"/>
          <w:szCs w:val="21"/>
          <w:highlight w:val="none"/>
        </w:rPr>
        <w:t>.</w:t>
      </w:r>
      <w:r>
        <w:rPr>
          <w:color w:val="auto"/>
          <w:szCs w:val="21"/>
          <w:highlight w:val="none"/>
        </w:rPr>
        <w:t>因履行本合同引起的或与本合同有关的争议，甲乙双方应首先通过友好协商解决，如果协商不能解决，可向甲方所在地人民法院提起诉讼。</w:t>
      </w:r>
    </w:p>
    <w:p w14:paraId="067A47EE">
      <w:pPr>
        <w:snapToGrid w:val="0"/>
        <w:spacing w:line="360" w:lineRule="exact"/>
        <w:ind w:firstLine="420" w:firstLineChars="200"/>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诉讼期间，本合同继续履行。</w:t>
      </w:r>
    </w:p>
    <w:p w14:paraId="23780B6B">
      <w:pPr>
        <w:pStyle w:val="26"/>
        <w:snapToGrid w:val="0"/>
        <w:spacing w:before="120" w:after="120" w:line="360" w:lineRule="exact"/>
        <w:ind w:firstLine="422" w:firstLineChars="200"/>
        <w:rPr>
          <w:rFonts w:ascii="Times New Roman" w:hAnsi="Times New Roman" w:cs="Times New Roman"/>
          <w:b/>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五</w:t>
      </w:r>
      <w:r>
        <w:rPr>
          <w:rFonts w:ascii="Times New Roman" w:hAnsi="Times New Roman" w:cs="Times New Roman"/>
          <w:b/>
          <w:color w:val="auto"/>
          <w:highlight w:val="none"/>
        </w:rPr>
        <w:t>条 合同生效</w:t>
      </w:r>
      <w:r>
        <w:rPr>
          <w:rFonts w:hint="eastAsia" w:ascii="Times New Roman" w:hAnsi="Times New Roman" w:cs="Times New Roman"/>
          <w:b/>
          <w:color w:val="auto"/>
          <w:highlight w:val="none"/>
          <w:lang w:eastAsia="zh-CN"/>
        </w:rPr>
        <w:t>及其他</w:t>
      </w:r>
    </w:p>
    <w:p w14:paraId="793CF9AD">
      <w:pPr>
        <w:snapToGrid w:val="0"/>
        <w:spacing w:line="300" w:lineRule="exact"/>
        <w:ind w:firstLine="420" w:firstLineChars="200"/>
        <w:rPr>
          <w:color w:val="auto"/>
          <w:szCs w:val="21"/>
          <w:highlight w:val="none"/>
          <w:u w:val="single"/>
        </w:rPr>
      </w:pPr>
      <w:r>
        <w:rPr>
          <w:color w:val="auto"/>
          <w:szCs w:val="21"/>
          <w:highlight w:val="none"/>
          <w:u w:val="single"/>
        </w:rPr>
        <w:t>1</w:t>
      </w:r>
      <w:r>
        <w:rPr>
          <w:rFonts w:hint="eastAsia"/>
          <w:color w:val="auto"/>
          <w:szCs w:val="21"/>
          <w:highlight w:val="none"/>
          <w:u w:val="single"/>
        </w:rPr>
        <w:t>.</w:t>
      </w:r>
      <w:r>
        <w:rPr>
          <w:color w:val="auto"/>
          <w:szCs w:val="21"/>
          <w:highlight w:val="none"/>
          <w:u w:val="single"/>
        </w:rPr>
        <w:t>本合同履行期限为：         ；合同履行地点为：                    ；合同履行的方式： 按照本合同约定  。</w:t>
      </w:r>
    </w:p>
    <w:p w14:paraId="5DF15250">
      <w:pPr>
        <w:snapToGrid w:val="0"/>
        <w:spacing w:line="300" w:lineRule="exact"/>
        <w:ind w:firstLine="420" w:firstLineChars="200"/>
        <w:rPr>
          <w:color w:val="auto"/>
          <w:szCs w:val="21"/>
          <w:highlight w:val="none"/>
        </w:rPr>
      </w:pPr>
      <w:r>
        <w:rPr>
          <w:color w:val="auto"/>
          <w:szCs w:val="21"/>
          <w:highlight w:val="none"/>
        </w:rPr>
        <w:t>2</w:t>
      </w:r>
      <w:r>
        <w:rPr>
          <w:rFonts w:hint="eastAsia"/>
          <w:color w:val="auto"/>
          <w:szCs w:val="21"/>
          <w:highlight w:val="none"/>
        </w:rPr>
        <w:t>.</w:t>
      </w:r>
      <w:r>
        <w:rPr>
          <w:color w:val="auto"/>
          <w:szCs w:val="21"/>
          <w:highlight w:val="none"/>
        </w:rPr>
        <w:t>合同经双方法定代表人或授权代表签字并加盖单位公章后生效。</w:t>
      </w:r>
    </w:p>
    <w:p w14:paraId="69C9E58C">
      <w:pPr>
        <w:snapToGrid w:val="0"/>
        <w:spacing w:line="300" w:lineRule="exact"/>
        <w:ind w:firstLine="420" w:firstLineChars="200"/>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合同执行中涉及采购资金和采购内容修改或补充的，须经财政部门</w:t>
      </w:r>
      <w:r>
        <w:rPr>
          <w:rFonts w:hint="eastAsia"/>
          <w:color w:val="auto"/>
          <w:szCs w:val="21"/>
          <w:highlight w:val="none"/>
        </w:rPr>
        <w:t>备案</w:t>
      </w:r>
      <w:r>
        <w:rPr>
          <w:color w:val="auto"/>
          <w:szCs w:val="21"/>
          <w:highlight w:val="none"/>
        </w:rPr>
        <w:t>，</w:t>
      </w:r>
      <w:r>
        <w:rPr>
          <w:rFonts w:hint="eastAsia"/>
          <w:color w:val="auto"/>
          <w:szCs w:val="21"/>
          <w:highlight w:val="none"/>
        </w:rPr>
        <w:t>经</w:t>
      </w:r>
      <w:r>
        <w:rPr>
          <w:color w:val="auto"/>
          <w:szCs w:val="21"/>
          <w:highlight w:val="none"/>
        </w:rPr>
        <w:t>财政部门</w:t>
      </w:r>
      <w:r>
        <w:rPr>
          <w:rFonts w:hint="eastAsia"/>
          <w:color w:val="auto"/>
          <w:szCs w:val="21"/>
          <w:highlight w:val="none"/>
        </w:rPr>
        <w:t>同意后</w:t>
      </w:r>
      <w:r>
        <w:rPr>
          <w:rFonts w:hint="eastAsia"/>
          <w:color w:val="auto"/>
          <w:szCs w:val="21"/>
          <w:highlight w:val="none"/>
          <w:lang w:eastAsia="zh-CN"/>
        </w:rPr>
        <w:t>签订</w:t>
      </w:r>
      <w:r>
        <w:rPr>
          <w:color w:val="auto"/>
          <w:szCs w:val="21"/>
          <w:highlight w:val="none"/>
        </w:rPr>
        <w:t>书面补充协议。</w:t>
      </w:r>
    </w:p>
    <w:p w14:paraId="05D86D64">
      <w:pPr>
        <w:snapToGrid w:val="0"/>
        <w:spacing w:line="300" w:lineRule="exact"/>
        <w:ind w:firstLine="420" w:firstLineChars="200"/>
        <w:rPr>
          <w:color w:val="auto"/>
          <w:szCs w:val="21"/>
          <w:highlight w:val="none"/>
        </w:rPr>
      </w:pPr>
      <w:r>
        <w:rPr>
          <w:color w:val="auto"/>
          <w:szCs w:val="21"/>
          <w:highlight w:val="none"/>
        </w:rPr>
        <w:t>4</w:t>
      </w:r>
      <w:r>
        <w:rPr>
          <w:rFonts w:hint="eastAsia"/>
          <w:color w:val="auto"/>
          <w:szCs w:val="21"/>
          <w:highlight w:val="none"/>
        </w:rPr>
        <w:t>.如无特别说明，</w:t>
      </w:r>
      <w:r>
        <w:rPr>
          <w:color w:val="auto"/>
          <w:szCs w:val="21"/>
          <w:highlight w:val="none"/>
        </w:rPr>
        <w:t>本合同使用货币币制为人民币</w:t>
      </w:r>
      <w:r>
        <w:rPr>
          <w:rFonts w:hint="eastAsia"/>
          <w:color w:val="auto"/>
          <w:szCs w:val="21"/>
          <w:highlight w:val="none"/>
        </w:rPr>
        <w:t>，使用单位为中国国家法定计量单位。</w:t>
      </w:r>
    </w:p>
    <w:p w14:paraId="1CDFF798">
      <w:pPr>
        <w:snapToGrid w:val="0"/>
        <w:spacing w:line="300" w:lineRule="exact"/>
        <w:ind w:firstLine="420" w:firstLineChars="200"/>
        <w:rPr>
          <w:color w:val="auto"/>
          <w:szCs w:val="21"/>
          <w:highlight w:val="none"/>
        </w:rPr>
      </w:pPr>
      <w:r>
        <w:rPr>
          <w:rFonts w:hint="eastAsia"/>
          <w:color w:val="auto"/>
          <w:szCs w:val="21"/>
          <w:highlight w:val="none"/>
        </w:rPr>
        <w:t>5.本合同中提及的招标与谈判、磋商、询价、单一来源采购为同一含义，提及的投标与响应为同一含义，提及的中标与成交为同一含义。</w:t>
      </w:r>
    </w:p>
    <w:p w14:paraId="24A2DEDE">
      <w:pPr>
        <w:snapToGrid w:val="0"/>
        <w:spacing w:line="300" w:lineRule="exact"/>
        <w:ind w:firstLine="420" w:firstLineChars="200"/>
        <w:rPr>
          <w:color w:val="auto"/>
          <w:szCs w:val="21"/>
          <w:highlight w:val="none"/>
        </w:rPr>
      </w:pPr>
      <w:r>
        <w:rPr>
          <w:rFonts w:hint="eastAsia"/>
          <w:color w:val="auto"/>
          <w:szCs w:val="21"/>
          <w:highlight w:val="none"/>
        </w:rPr>
        <w:t>6.</w:t>
      </w:r>
      <w:r>
        <w:rPr>
          <w:color w:val="auto"/>
          <w:szCs w:val="21"/>
          <w:highlight w:val="none"/>
        </w:rPr>
        <w:t>本合同未尽事宜，遵照《</w:t>
      </w:r>
      <w:r>
        <w:rPr>
          <w:rFonts w:hint="eastAsia"/>
          <w:color w:val="auto"/>
          <w:szCs w:val="21"/>
          <w:highlight w:val="none"/>
        </w:rPr>
        <w:t>民法典</w:t>
      </w:r>
      <w:r>
        <w:rPr>
          <w:color w:val="auto"/>
          <w:szCs w:val="21"/>
          <w:highlight w:val="none"/>
        </w:rPr>
        <w:t>》有关条文执行。</w:t>
      </w:r>
    </w:p>
    <w:p w14:paraId="153FB47E">
      <w:pPr>
        <w:snapToGrid w:val="0"/>
        <w:spacing w:line="300" w:lineRule="exact"/>
        <w:ind w:firstLine="420" w:firstLineChars="200"/>
        <w:rPr>
          <w:rFonts w:hint="eastAsia"/>
          <w:color w:val="auto"/>
          <w:szCs w:val="21"/>
          <w:highlight w:val="none"/>
        </w:rPr>
      </w:pPr>
      <w:r>
        <w:rPr>
          <w:rFonts w:hint="eastAsia"/>
          <w:color w:val="auto"/>
          <w:szCs w:val="21"/>
          <w:highlight w:val="none"/>
        </w:rPr>
        <w:t>7.本合同（</w:t>
      </w:r>
      <w:r>
        <w:rPr>
          <w:rFonts w:hint="eastAsia"/>
          <w:color w:val="auto"/>
          <w:szCs w:val="21"/>
          <w:highlight w:val="none"/>
          <w:lang w:eastAsia="zh-CN"/>
        </w:rPr>
        <w:t>□</w:t>
      </w:r>
      <w:r>
        <w:rPr>
          <w:rFonts w:hint="eastAsia"/>
          <w:color w:val="auto"/>
          <w:szCs w:val="21"/>
          <w:highlight w:val="none"/>
        </w:rPr>
        <w:t xml:space="preserve">是  </w:t>
      </w:r>
      <w:r>
        <w:rPr>
          <w:color w:val="auto"/>
          <w:szCs w:val="21"/>
          <w:highlight w:val="none"/>
        </w:rPr>
        <w:sym w:font="Wingdings 2" w:char="0052"/>
      </w:r>
      <w:r>
        <w:rPr>
          <w:rFonts w:hint="eastAsia"/>
          <w:color w:val="auto"/>
          <w:szCs w:val="21"/>
          <w:highlight w:val="none"/>
        </w:rPr>
        <w:t>否）为中小企业预留合同</w:t>
      </w:r>
    </w:p>
    <w:p w14:paraId="0668F8EA">
      <w:pPr>
        <w:snapToGrid w:val="0"/>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六</w:t>
      </w:r>
      <w:r>
        <w:rPr>
          <w:b/>
          <w:color w:val="auto"/>
          <w:szCs w:val="21"/>
          <w:highlight w:val="none"/>
        </w:rPr>
        <w:t>条　合同的变更、终止与转让</w:t>
      </w:r>
    </w:p>
    <w:p w14:paraId="6EFAB046">
      <w:pPr>
        <w:snapToGrid w:val="0"/>
        <w:spacing w:line="300" w:lineRule="exact"/>
        <w:ind w:firstLine="420" w:firstLineChars="200"/>
        <w:rPr>
          <w:rFonts w:hint="eastAsia"/>
          <w:color w:val="auto"/>
          <w:szCs w:val="21"/>
          <w:highlight w:val="none"/>
        </w:rPr>
      </w:pPr>
      <w:r>
        <w:rPr>
          <w:color w:val="auto"/>
          <w:szCs w:val="21"/>
          <w:highlight w:val="none"/>
        </w:rPr>
        <w:t>1.除《中华人民共和国政府采购法》第五十条规定的情形外，本合同一经签订，甲乙双方不得擅自变更、中止或终止。</w:t>
      </w:r>
      <w:bookmarkStart w:id="115" w:name="_Hlk155172858"/>
      <w:bookmarkStart w:id="116" w:name="_Hlk155171733"/>
      <w:r>
        <w:rPr>
          <w:rFonts w:hint="eastAsia"/>
          <w:color w:val="auto"/>
          <w:szCs w:val="21"/>
          <w:highlight w:val="none"/>
        </w:rPr>
        <w:t>如依照政府采购法确需变更合同内容的，甲方应当自合同变更之日起2个工作日内在省级以上财政部门指定的媒体上发布合同变更公告。</w:t>
      </w:r>
      <w:bookmarkEnd w:id="115"/>
      <w:bookmarkEnd w:id="116"/>
    </w:p>
    <w:p w14:paraId="3DA75C04">
      <w:pPr>
        <w:snapToGrid w:val="0"/>
        <w:spacing w:line="360" w:lineRule="exact"/>
        <w:ind w:firstLine="420" w:firstLineChars="200"/>
        <w:rPr>
          <w:color w:val="auto"/>
          <w:szCs w:val="21"/>
          <w:highlight w:val="none"/>
        </w:rPr>
      </w:pPr>
      <w:r>
        <w:rPr>
          <w:color w:val="auto"/>
          <w:szCs w:val="21"/>
          <w:highlight w:val="none"/>
        </w:rPr>
        <w:t>2.未经甲方书面同意，乙方不得擅自转让其应履行的合同义务。</w:t>
      </w:r>
    </w:p>
    <w:p w14:paraId="0B0E89AA">
      <w:pPr>
        <w:snapToGrid w:val="0"/>
        <w:spacing w:line="360" w:lineRule="exact"/>
        <w:ind w:firstLine="422" w:firstLineChars="200"/>
        <w:rPr>
          <w:rFonts w:hint="eastAsia"/>
          <w:b/>
          <w:color w:val="auto"/>
          <w:szCs w:val="21"/>
          <w:highlight w:val="none"/>
        </w:rPr>
      </w:pPr>
      <w:r>
        <w:rPr>
          <w:b/>
          <w:color w:val="auto"/>
          <w:szCs w:val="21"/>
          <w:highlight w:val="none"/>
        </w:rPr>
        <w:t>第十</w:t>
      </w:r>
      <w:r>
        <w:rPr>
          <w:rFonts w:hint="eastAsia"/>
          <w:b/>
          <w:color w:val="auto"/>
          <w:szCs w:val="21"/>
          <w:highlight w:val="none"/>
        </w:rPr>
        <w:t>七</w:t>
      </w:r>
      <w:r>
        <w:rPr>
          <w:b/>
          <w:color w:val="auto"/>
          <w:szCs w:val="21"/>
          <w:highlight w:val="none"/>
        </w:rPr>
        <w:t>条　</w:t>
      </w:r>
      <w:r>
        <w:rPr>
          <w:rFonts w:hint="eastAsia"/>
          <w:b/>
          <w:color w:val="auto"/>
          <w:szCs w:val="21"/>
          <w:highlight w:val="none"/>
        </w:rPr>
        <w:t>合同文件的组成</w:t>
      </w:r>
    </w:p>
    <w:p w14:paraId="28522E2E">
      <w:pPr>
        <w:snapToGrid w:val="0"/>
        <w:spacing w:line="360" w:lineRule="exact"/>
        <w:ind w:firstLine="420" w:firstLineChars="200"/>
        <w:rPr>
          <w:color w:val="auto"/>
          <w:szCs w:val="21"/>
          <w:highlight w:val="none"/>
        </w:rPr>
      </w:pPr>
      <w:r>
        <w:rPr>
          <w:color w:val="auto"/>
          <w:szCs w:val="21"/>
          <w:highlight w:val="none"/>
        </w:rPr>
        <w:t>1.</w:t>
      </w:r>
      <w:r>
        <w:rPr>
          <w:rFonts w:hint="eastAsia" w:hAnsi="宋体" w:cs="宋体"/>
          <w:color w:val="auto"/>
          <w:kern w:val="0"/>
          <w:highlight w:val="none"/>
        </w:rPr>
        <w:t>政府采购合同；</w:t>
      </w:r>
    </w:p>
    <w:p w14:paraId="62477320">
      <w:pPr>
        <w:snapToGrid w:val="0"/>
        <w:spacing w:line="360" w:lineRule="exact"/>
        <w:ind w:firstLine="420" w:firstLineChars="200"/>
        <w:rPr>
          <w:color w:val="auto"/>
          <w:szCs w:val="21"/>
          <w:highlight w:val="none"/>
        </w:rPr>
      </w:pPr>
      <w:r>
        <w:rPr>
          <w:rFonts w:hint="eastAsia"/>
          <w:color w:val="auto"/>
          <w:szCs w:val="21"/>
          <w:highlight w:val="none"/>
        </w:rPr>
        <w:t>2</w:t>
      </w:r>
      <w:r>
        <w:rPr>
          <w:color w:val="auto"/>
          <w:szCs w:val="21"/>
          <w:highlight w:val="none"/>
        </w:rPr>
        <w:t>.</w:t>
      </w:r>
      <w:r>
        <w:rPr>
          <w:rFonts w:hint="eastAsia"/>
          <w:color w:val="auto"/>
          <w:szCs w:val="21"/>
          <w:highlight w:val="none"/>
          <w:lang w:val="en-US" w:eastAsia="zh-CN"/>
        </w:rPr>
        <w:t>成交</w:t>
      </w:r>
      <w:r>
        <w:rPr>
          <w:color w:val="auto"/>
          <w:szCs w:val="21"/>
          <w:highlight w:val="none"/>
        </w:rPr>
        <w:t>通知书</w:t>
      </w:r>
      <w:r>
        <w:rPr>
          <w:rFonts w:hint="eastAsia"/>
          <w:color w:val="auto"/>
          <w:szCs w:val="21"/>
          <w:highlight w:val="none"/>
        </w:rPr>
        <w:t>（如有）</w:t>
      </w:r>
      <w:r>
        <w:rPr>
          <w:color w:val="auto"/>
          <w:szCs w:val="21"/>
          <w:highlight w:val="none"/>
        </w:rPr>
        <w:t>；</w:t>
      </w:r>
    </w:p>
    <w:p w14:paraId="41F07A52">
      <w:pPr>
        <w:snapToGrid w:val="0"/>
        <w:spacing w:line="360" w:lineRule="exact"/>
        <w:ind w:firstLine="420" w:firstLineChars="200"/>
        <w:rPr>
          <w:color w:val="auto"/>
          <w:szCs w:val="21"/>
          <w:highlight w:val="none"/>
        </w:rPr>
      </w:pPr>
      <w:r>
        <w:rPr>
          <w:rFonts w:hint="eastAsia"/>
          <w:color w:val="auto"/>
          <w:szCs w:val="21"/>
          <w:highlight w:val="none"/>
        </w:rPr>
        <w:t>3</w:t>
      </w:r>
      <w:r>
        <w:rPr>
          <w:color w:val="auto"/>
          <w:szCs w:val="21"/>
          <w:highlight w:val="none"/>
        </w:rPr>
        <w:t>.乙方的响应文件；</w:t>
      </w:r>
    </w:p>
    <w:p w14:paraId="21372FCB">
      <w:pPr>
        <w:snapToGrid w:val="0"/>
        <w:spacing w:line="360" w:lineRule="exact"/>
        <w:ind w:firstLine="420" w:firstLineChars="200"/>
        <w:rPr>
          <w:color w:val="auto"/>
          <w:szCs w:val="21"/>
          <w:highlight w:val="none"/>
        </w:rPr>
      </w:pPr>
      <w:r>
        <w:rPr>
          <w:rFonts w:hint="eastAsia"/>
          <w:color w:val="auto"/>
          <w:szCs w:val="21"/>
          <w:highlight w:val="none"/>
        </w:rPr>
        <w:t>4</w:t>
      </w:r>
      <w:r>
        <w:rPr>
          <w:color w:val="auto"/>
          <w:szCs w:val="21"/>
          <w:highlight w:val="none"/>
        </w:rPr>
        <w:t>.</w:t>
      </w:r>
      <w:r>
        <w:rPr>
          <w:rFonts w:hint="eastAsia"/>
          <w:color w:val="auto"/>
          <w:szCs w:val="21"/>
          <w:highlight w:val="none"/>
        </w:rPr>
        <w:t>采购文件</w:t>
      </w:r>
      <w:r>
        <w:rPr>
          <w:color w:val="auto"/>
          <w:szCs w:val="21"/>
          <w:highlight w:val="none"/>
        </w:rPr>
        <w:t>；</w:t>
      </w:r>
    </w:p>
    <w:p w14:paraId="2B0F1AA2">
      <w:pPr>
        <w:snapToGrid w:val="0"/>
        <w:spacing w:line="300" w:lineRule="exact"/>
        <w:ind w:firstLine="420" w:firstLineChars="200"/>
        <w:rPr>
          <w:color w:val="auto"/>
          <w:szCs w:val="21"/>
          <w:highlight w:val="none"/>
          <w:u w:val="single"/>
        </w:rPr>
      </w:pPr>
      <w:r>
        <w:rPr>
          <w:rFonts w:hint="eastAsia"/>
          <w:color w:val="auto"/>
          <w:highlight w:val="none"/>
        </w:rPr>
        <w:t>5.其他合同文件。</w:t>
      </w:r>
    </w:p>
    <w:p w14:paraId="4D5B3B64">
      <w:pPr>
        <w:snapToGrid w:val="0"/>
        <w:spacing w:line="360" w:lineRule="exact"/>
        <w:ind w:firstLine="422" w:firstLineChars="200"/>
        <w:rPr>
          <w:color w:val="auto"/>
          <w:szCs w:val="21"/>
          <w:highlight w:val="none"/>
        </w:rPr>
      </w:pPr>
      <w:r>
        <w:rPr>
          <w:b/>
          <w:color w:val="auto"/>
          <w:szCs w:val="21"/>
          <w:highlight w:val="none"/>
        </w:rPr>
        <w:t>第十</w:t>
      </w:r>
      <w:r>
        <w:rPr>
          <w:rFonts w:hint="eastAsia"/>
          <w:b/>
          <w:color w:val="auto"/>
          <w:szCs w:val="21"/>
          <w:highlight w:val="none"/>
        </w:rPr>
        <w:t>八</w:t>
      </w:r>
      <w:r>
        <w:rPr>
          <w:b/>
          <w:color w:val="auto"/>
          <w:szCs w:val="21"/>
          <w:highlight w:val="none"/>
        </w:rPr>
        <w:t>条　</w:t>
      </w:r>
      <w:r>
        <w:rPr>
          <w:color w:val="auto"/>
          <w:szCs w:val="21"/>
          <w:highlight w:val="none"/>
        </w:rPr>
        <w:t>本合同一式五份，具有同等法律效力。甲</w:t>
      </w:r>
      <w:r>
        <w:rPr>
          <w:rFonts w:hint="eastAsia"/>
          <w:color w:val="auto"/>
          <w:szCs w:val="21"/>
          <w:highlight w:val="none"/>
        </w:rPr>
        <w:t>、乙双方各执</w:t>
      </w:r>
      <w:r>
        <w:rPr>
          <w:color w:val="auto"/>
          <w:szCs w:val="21"/>
          <w:highlight w:val="none"/>
        </w:rPr>
        <w:t>两份，</w:t>
      </w:r>
      <w:r>
        <w:rPr>
          <w:color w:val="auto"/>
          <w:spacing w:val="4"/>
          <w:szCs w:val="21"/>
          <w:highlight w:val="none"/>
        </w:rPr>
        <w:t>采购代理机构</w:t>
      </w:r>
      <w:r>
        <w:rPr>
          <w:color w:val="auto"/>
          <w:szCs w:val="21"/>
          <w:highlight w:val="none"/>
        </w:rPr>
        <w:t>各一份。</w:t>
      </w:r>
    </w:p>
    <w:p w14:paraId="774D4507">
      <w:pPr>
        <w:snapToGrid w:val="0"/>
        <w:spacing w:line="360" w:lineRule="exact"/>
        <w:ind w:firstLine="420" w:firstLineChars="200"/>
        <w:rPr>
          <w:color w:val="auto"/>
          <w:szCs w:val="21"/>
          <w:highlight w:val="none"/>
        </w:rPr>
      </w:pPr>
      <w:r>
        <w:rPr>
          <w:color w:val="auto"/>
          <w:szCs w:val="21"/>
          <w:highlight w:val="none"/>
        </w:rPr>
        <w:t>本合同经甲乙双方法定代表人或被授权代表签字并加盖单位公章后生效。</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2F37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4437" w:type="dxa"/>
            <w:noWrap w:val="0"/>
            <w:vAlign w:val="center"/>
          </w:tcPr>
          <w:p w14:paraId="3CD70C23">
            <w:pPr>
              <w:snapToGrid w:val="0"/>
              <w:spacing w:line="360" w:lineRule="exact"/>
              <w:rPr>
                <w:color w:val="auto"/>
                <w:szCs w:val="21"/>
                <w:highlight w:val="none"/>
              </w:rPr>
            </w:pPr>
            <w:r>
              <w:rPr>
                <w:color w:val="auto"/>
                <w:szCs w:val="21"/>
                <w:highlight w:val="none"/>
              </w:rPr>
              <w:t xml:space="preserve">甲方（章）           </w:t>
            </w:r>
          </w:p>
          <w:p w14:paraId="62CC7926">
            <w:pPr>
              <w:snapToGrid w:val="0"/>
              <w:spacing w:line="360" w:lineRule="exact"/>
              <w:ind w:firstLine="945" w:firstLineChars="450"/>
              <w:jc w:val="right"/>
              <w:rPr>
                <w:color w:val="auto"/>
                <w:szCs w:val="21"/>
                <w:highlight w:val="none"/>
              </w:rPr>
            </w:pPr>
          </w:p>
        </w:tc>
        <w:tc>
          <w:tcPr>
            <w:tcW w:w="4688" w:type="dxa"/>
            <w:noWrap w:val="0"/>
            <w:vAlign w:val="center"/>
          </w:tcPr>
          <w:p w14:paraId="5EA1E5BE">
            <w:pPr>
              <w:snapToGrid w:val="0"/>
              <w:spacing w:line="360" w:lineRule="exact"/>
              <w:rPr>
                <w:color w:val="auto"/>
                <w:szCs w:val="21"/>
                <w:highlight w:val="none"/>
              </w:rPr>
            </w:pPr>
            <w:r>
              <w:rPr>
                <w:color w:val="auto"/>
                <w:szCs w:val="21"/>
                <w:highlight w:val="none"/>
              </w:rPr>
              <w:t xml:space="preserve">乙方（章）              </w:t>
            </w:r>
          </w:p>
          <w:p w14:paraId="1BAFFAEA">
            <w:pPr>
              <w:snapToGrid w:val="0"/>
              <w:spacing w:line="360" w:lineRule="exact"/>
              <w:jc w:val="right"/>
              <w:rPr>
                <w:color w:val="auto"/>
                <w:szCs w:val="21"/>
                <w:highlight w:val="none"/>
              </w:rPr>
            </w:pPr>
          </w:p>
        </w:tc>
      </w:tr>
      <w:tr w14:paraId="06FB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noWrap w:val="0"/>
            <w:vAlign w:val="center"/>
          </w:tcPr>
          <w:p w14:paraId="7FC39EE1">
            <w:pPr>
              <w:snapToGrid w:val="0"/>
              <w:spacing w:line="360" w:lineRule="exact"/>
              <w:rPr>
                <w:color w:val="auto"/>
                <w:szCs w:val="21"/>
                <w:highlight w:val="none"/>
              </w:rPr>
            </w:pPr>
            <w:r>
              <w:rPr>
                <w:color w:val="auto"/>
                <w:szCs w:val="21"/>
                <w:highlight w:val="none"/>
              </w:rPr>
              <w:t>单位地址：</w:t>
            </w:r>
          </w:p>
        </w:tc>
        <w:tc>
          <w:tcPr>
            <w:tcW w:w="4688" w:type="dxa"/>
            <w:noWrap w:val="0"/>
            <w:vAlign w:val="center"/>
          </w:tcPr>
          <w:p w14:paraId="0008CC4F">
            <w:pPr>
              <w:snapToGrid w:val="0"/>
              <w:spacing w:line="360" w:lineRule="exact"/>
              <w:rPr>
                <w:color w:val="auto"/>
                <w:szCs w:val="21"/>
                <w:highlight w:val="none"/>
              </w:rPr>
            </w:pPr>
            <w:r>
              <w:rPr>
                <w:color w:val="auto"/>
                <w:szCs w:val="21"/>
                <w:highlight w:val="none"/>
              </w:rPr>
              <w:t>单位地址：</w:t>
            </w:r>
          </w:p>
        </w:tc>
      </w:tr>
      <w:tr w14:paraId="351C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noWrap w:val="0"/>
            <w:vAlign w:val="center"/>
          </w:tcPr>
          <w:p w14:paraId="05B77756">
            <w:pPr>
              <w:snapToGrid w:val="0"/>
              <w:spacing w:line="360" w:lineRule="exact"/>
              <w:rPr>
                <w:color w:val="auto"/>
                <w:szCs w:val="21"/>
                <w:highlight w:val="none"/>
              </w:rPr>
            </w:pPr>
            <w:r>
              <w:rPr>
                <w:color w:val="auto"/>
                <w:szCs w:val="21"/>
                <w:highlight w:val="none"/>
              </w:rPr>
              <w:t>法定代表人：</w:t>
            </w:r>
          </w:p>
        </w:tc>
        <w:tc>
          <w:tcPr>
            <w:tcW w:w="4688" w:type="dxa"/>
            <w:noWrap w:val="0"/>
            <w:vAlign w:val="center"/>
          </w:tcPr>
          <w:p w14:paraId="494EE489">
            <w:pPr>
              <w:snapToGrid w:val="0"/>
              <w:spacing w:line="360" w:lineRule="exact"/>
              <w:rPr>
                <w:color w:val="auto"/>
                <w:szCs w:val="21"/>
                <w:highlight w:val="none"/>
              </w:rPr>
            </w:pPr>
            <w:r>
              <w:rPr>
                <w:color w:val="auto"/>
                <w:szCs w:val="21"/>
                <w:highlight w:val="none"/>
              </w:rPr>
              <w:t>法定代表人：</w:t>
            </w:r>
          </w:p>
        </w:tc>
      </w:tr>
      <w:tr w14:paraId="6E61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noWrap w:val="0"/>
            <w:vAlign w:val="center"/>
          </w:tcPr>
          <w:p w14:paraId="15124091">
            <w:pPr>
              <w:snapToGrid w:val="0"/>
              <w:spacing w:line="360" w:lineRule="exact"/>
              <w:rPr>
                <w:color w:val="auto"/>
                <w:szCs w:val="21"/>
                <w:highlight w:val="none"/>
              </w:rPr>
            </w:pPr>
            <w:r>
              <w:rPr>
                <w:color w:val="auto"/>
                <w:szCs w:val="21"/>
                <w:highlight w:val="none"/>
              </w:rPr>
              <w:t>委托代理人：</w:t>
            </w:r>
          </w:p>
        </w:tc>
        <w:tc>
          <w:tcPr>
            <w:tcW w:w="4688" w:type="dxa"/>
            <w:noWrap w:val="0"/>
            <w:vAlign w:val="center"/>
          </w:tcPr>
          <w:p w14:paraId="12C45790">
            <w:pPr>
              <w:snapToGrid w:val="0"/>
              <w:spacing w:line="360" w:lineRule="exact"/>
              <w:rPr>
                <w:color w:val="auto"/>
                <w:szCs w:val="21"/>
                <w:highlight w:val="none"/>
              </w:rPr>
            </w:pPr>
            <w:r>
              <w:rPr>
                <w:color w:val="auto"/>
                <w:szCs w:val="21"/>
                <w:highlight w:val="none"/>
              </w:rPr>
              <w:t>委托代理人</w:t>
            </w:r>
          </w:p>
        </w:tc>
      </w:tr>
      <w:tr w14:paraId="2A01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noWrap w:val="0"/>
            <w:vAlign w:val="center"/>
          </w:tcPr>
          <w:p w14:paraId="353BB838">
            <w:pPr>
              <w:snapToGrid w:val="0"/>
              <w:spacing w:line="360" w:lineRule="exact"/>
              <w:rPr>
                <w:color w:val="auto"/>
                <w:szCs w:val="21"/>
                <w:highlight w:val="none"/>
              </w:rPr>
            </w:pPr>
            <w:r>
              <w:rPr>
                <w:color w:val="auto"/>
                <w:szCs w:val="21"/>
                <w:highlight w:val="none"/>
              </w:rPr>
              <w:t>电话：</w:t>
            </w:r>
          </w:p>
        </w:tc>
        <w:tc>
          <w:tcPr>
            <w:tcW w:w="4688" w:type="dxa"/>
            <w:noWrap w:val="0"/>
            <w:vAlign w:val="center"/>
          </w:tcPr>
          <w:p w14:paraId="09E94C3D">
            <w:pPr>
              <w:snapToGrid w:val="0"/>
              <w:spacing w:line="360" w:lineRule="exact"/>
              <w:rPr>
                <w:color w:val="auto"/>
                <w:szCs w:val="21"/>
                <w:highlight w:val="none"/>
              </w:rPr>
            </w:pPr>
            <w:r>
              <w:rPr>
                <w:color w:val="auto"/>
                <w:szCs w:val="21"/>
                <w:highlight w:val="none"/>
              </w:rPr>
              <w:t>电话：</w:t>
            </w:r>
          </w:p>
        </w:tc>
      </w:tr>
      <w:tr w14:paraId="51D7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noWrap w:val="0"/>
            <w:vAlign w:val="center"/>
          </w:tcPr>
          <w:p w14:paraId="4A21365A">
            <w:pPr>
              <w:snapToGrid w:val="0"/>
              <w:spacing w:line="360" w:lineRule="exact"/>
              <w:rPr>
                <w:color w:val="auto"/>
                <w:szCs w:val="21"/>
                <w:highlight w:val="none"/>
              </w:rPr>
            </w:pPr>
            <w:r>
              <w:rPr>
                <w:color w:val="auto"/>
                <w:szCs w:val="21"/>
                <w:highlight w:val="none"/>
              </w:rPr>
              <w:t>开户银行：</w:t>
            </w:r>
          </w:p>
        </w:tc>
        <w:tc>
          <w:tcPr>
            <w:tcW w:w="4688" w:type="dxa"/>
            <w:noWrap w:val="0"/>
            <w:vAlign w:val="center"/>
          </w:tcPr>
          <w:p w14:paraId="60557F22">
            <w:pPr>
              <w:snapToGrid w:val="0"/>
              <w:spacing w:line="360" w:lineRule="exact"/>
              <w:rPr>
                <w:color w:val="auto"/>
                <w:szCs w:val="21"/>
                <w:highlight w:val="none"/>
              </w:rPr>
            </w:pPr>
            <w:r>
              <w:rPr>
                <w:color w:val="auto"/>
                <w:szCs w:val="21"/>
                <w:highlight w:val="none"/>
              </w:rPr>
              <w:t>开户银行：</w:t>
            </w:r>
          </w:p>
        </w:tc>
      </w:tr>
      <w:tr w14:paraId="6E97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noWrap w:val="0"/>
            <w:vAlign w:val="center"/>
          </w:tcPr>
          <w:p w14:paraId="40C5D28C">
            <w:pPr>
              <w:snapToGrid w:val="0"/>
              <w:spacing w:line="360" w:lineRule="exact"/>
              <w:rPr>
                <w:color w:val="auto"/>
                <w:szCs w:val="21"/>
                <w:highlight w:val="none"/>
              </w:rPr>
            </w:pPr>
            <w:r>
              <w:rPr>
                <w:color w:val="auto"/>
                <w:szCs w:val="21"/>
                <w:highlight w:val="none"/>
              </w:rPr>
              <w:t>账号：</w:t>
            </w:r>
          </w:p>
        </w:tc>
        <w:tc>
          <w:tcPr>
            <w:tcW w:w="4688" w:type="dxa"/>
            <w:noWrap w:val="0"/>
            <w:vAlign w:val="center"/>
          </w:tcPr>
          <w:p w14:paraId="1D6880D2">
            <w:pPr>
              <w:snapToGrid w:val="0"/>
              <w:spacing w:line="360" w:lineRule="exact"/>
              <w:rPr>
                <w:color w:val="auto"/>
                <w:szCs w:val="21"/>
                <w:highlight w:val="none"/>
              </w:rPr>
            </w:pPr>
            <w:r>
              <w:rPr>
                <w:color w:val="auto"/>
                <w:szCs w:val="21"/>
                <w:highlight w:val="none"/>
              </w:rPr>
              <w:t>账号：</w:t>
            </w:r>
          </w:p>
        </w:tc>
      </w:tr>
    </w:tbl>
    <w:p w14:paraId="6426FADD">
      <w:pPr>
        <w:snapToGrid w:val="0"/>
        <w:spacing w:line="360" w:lineRule="exact"/>
        <w:ind w:firstLine="420" w:firstLineChars="200"/>
        <w:rPr>
          <w:color w:val="auto"/>
          <w:szCs w:val="21"/>
          <w:highlight w:val="none"/>
        </w:rPr>
      </w:pPr>
    </w:p>
    <w:p w14:paraId="69250999">
      <w:pPr>
        <w:pStyle w:val="26"/>
        <w:snapToGrid w:val="0"/>
        <w:spacing w:before="120" w:after="120" w:line="320" w:lineRule="exact"/>
        <w:jc w:val="center"/>
        <w:outlineLvl w:val="0"/>
        <w:rPr>
          <w:rFonts w:ascii="Times New Roman" w:hAnsi="Times New Roman" w:cs="Times New Roman"/>
          <w:color w:val="auto"/>
          <w:sz w:val="32"/>
          <w:szCs w:val="32"/>
          <w:highlight w:val="none"/>
        </w:rPr>
      </w:pPr>
      <w:r>
        <w:rPr>
          <w:color w:val="auto"/>
          <w:szCs w:val="21"/>
          <w:highlight w:val="none"/>
        </w:rPr>
        <w:br w:type="page"/>
      </w:r>
      <w:bookmarkEnd w:id="0"/>
      <w:bookmarkEnd w:id="1"/>
      <w:bookmarkEnd w:id="107"/>
      <w:bookmarkStart w:id="117" w:name="_Toc20509"/>
      <w:bookmarkStart w:id="118" w:name="_Toc26903"/>
      <w:r>
        <w:rPr>
          <w:rFonts w:ascii="Times New Roman" w:hAnsi="Times New Roman" w:cs="Times New Roman"/>
          <w:color w:val="auto"/>
          <w:sz w:val="32"/>
          <w:szCs w:val="32"/>
          <w:highlight w:val="none"/>
        </w:rPr>
        <w:t>第六章  响应文件格式</w:t>
      </w:r>
      <w:bookmarkEnd w:id="117"/>
      <w:bookmarkEnd w:id="118"/>
    </w:p>
    <w:p w14:paraId="47B5A24B">
      <w:pPr>
        <w:rPr>
          <w:rFonts w:hint="eastAsia"/>
          <w:color w:val="auto"/>
          <w:sz w:val="28"/>
          <w:szCs w:val="28"/>
          <w:highlight w:val="none"/>
        </w:rPr>
      </w:pPr>
      <w:bookmarkStart w:id="119" w:name="_Toc254970697"/>
      <w:bookmarkStart w:id="120" w:name="_Toc254970556"/>
    </w:p>
    <w:bookmarkEnd w:id="119"/>
    <w:bookmarkEnd w:id="120"/>
    <w:p w14:paraId="0DFE7D19">
      <w:pPr>
        <w:rPr>
          <w:rFonts w:hint="eastAsia"/>
          <w:color w:val="auto"/>
          <w:sz w:val="28"/>
          <w:szCs w:val="28"/>
          <w:highlight w:val="none"/>
        </w:rPr>
      </w:pPr>
    </w:p>
    <w:p w14:paraId="4D78A40B">
      <w:pPr>
        <w:snapToGrid w:val="0"/>
        <w:spacing w:before="120" w:beforeLines="50" w:after="50" w:line="440" w:lineRule="exact"/>
        <w:rPr>
          <w:bCs/>
          <w:color w:val="auto"/>
          <w:sz w:val="24"/>
          <w:highlight w:val="none"/>
        </w:rPr>
      </w:pPr>
      <w:r>
        <w:rPr>
          <w:rFonts w:hint="eastAsia"/>
          <w:color w:val="auto"/>
          <w:sz w:val="28"/>
          <w:szCs w:val="28"/>
          <w:highlight w:val="none"/>
        </w:rPr>
        <w:t>注：有签字、盖章要求的应按要求签字（签章）、盖章（签章）</w:t>
      </w:r>
      <w:r>
        <w:rPr>
          <w:bCs/>
          <w:color w:val="auto"/>
          <w:sz w:val="24"/>
          <w:highlight w:val="none"/>
        </w:rPr>
        <w:br w:type="page"/>
      </w:r>
    </w:p>
    <w:p w14:paraId="73326D35">
      <w:pPr>
        <w:snapToGrid w:val="0"/>
        <w:spacing w:before="120" w:beforeLines="50" w:after="50" w:line="440" w:lineRule="exact"/>
        <w:jc w:val="left"/>
        <w:outlineLvl w:val="1"/>
        <w:rPr>
          <w:rFonts w:ascii="Times New Roman" w:hAnsi="Times New Roman" w:eastAsia="宋体" w:cs="Times New Roman"/>
          <w:b/>
          <w:color w:val="auto"/>
          <w:sz w:val="24"/>
          <w:highlight w:val="none"/>
        </w:rPr>
      </w:pPr>
      <w:r>
        <w:rPr>
          <w:rFonts w:hint="eastAsia" w:cs="Times New Roman"/>
          <w:b w:val="0"/>
          <w:bCs w:val="0"/>
          <w:color w:val="auto"/>
          <w:sz w:val="24"/>
          <w:highlight w:val="none"/>
          <w:lang w:val="en-US" w:eastAsia="zh-CN"/>
        </w:rPr>
        <w:t>一、</w:t>
      </w:r>
      <w:r>
        <w:rPr>
          <w:rFonts w:ascii="Times New Roman" w:hAnsi="Times New Roman" w:eastAsia="宋体" w:cs="Times New Roman"/>
          <w:b w:val="0"/>
          <w:bCs w:val="0"/>
          <w:color w:val="auto"/>
          <w:sz w:val="24"/>
          <w:highlight w:val="none"/>
        </w:rPr>
        <w:t>响应文件封面</w:t>
      </w:r>
      <w:r>
        <w:rPr>
          <w:rFonts w:hint="eastAsia" w:ascii="Times New Roman" w:hAnsi="Times New Roman" w:eastAsia="宋体" w:cs="Times New Roman"/>
          <w:b w:val="0"/>
          <w:bCs w:val="0"/>
          <w:color w:val="auto"/>
          <w:sz w:val="24"/>
          <w:highlight w:val="none"/>
          <w:lang w:val="en-US" w:eastAsia="zh-CN"/>
        </w:rPr>
        <w:t>参考</w:t>
      </w:r>
      <w:r>
        <w:rPr>
          <w:rFonts w:ascii="Times New Roman" w:hAnsi="Times New Roman" w:eastAsia="宋体" w:cs="Times New Roman"/>
          <w:b w:val="0"/>
          <w:bCs w:val="0"/>
          <w:color w:val="auto"/>
          <w:sz w:val="24"/>
          <w:highlight w:val="none"/>
        </w:rPr>
        <w:t>格式</w:t>
      </w:r>
      <w:bookmarkStart w:id="121" w:name="_Hlk92966991"/>
      <w:r>
        <w:rPr>
          <w:rFonts w:hint="eastAsia" w:ascii="Times New Roman" w:hAnsi="Times New Roman" w:eastAsia="宋体" w:cs="Times New Roman"/>
          <w:b w:val="0"/>
          <w:bCs w:val="0"/>
          <w:color w:val="auto"/>
          <w:sz w:val="24"/>
          <w:highlight w:val="none"/>
        </w:rPr>
        <w:t>（资格证明文件）</w:t>
      </w:r>
      <w:bookmarkEnd w:id="121"/>
      <w:r>
        <w:rPr>
          <w:rFonts w:ascii="Times New Roman" w:hAnsi="Times New Roman" w:eastAsia="宋体" w:cs="Times New Roman"/>
          <w:b w:val="0"/>
          <w:bCs w:val="0"/>
          <w:color w:val="auto"/>
          <w:sz w:val="24"/>
          <w:highlight w:val="none"/>
        </w:rPr>
        <w:t>：</w:t>
      </w:r>
      <w:r>
        <w:rPr>
          <w:rFonts w:ascii="Times New Roman" w:hAnsi="Times New Roman" w:eastAsia="宋体" w:cs="Times New Roman"/>
          <w:b/>
          <w:bCs/>
          <w:color w:val="auto"/>
          <w:sz w:val="24"/>
          <w:highlight w:val="none"/>
        </w:rPr>
        <w:t xml:space="preserve"> </w:t>
      </w:r>
    </w:p>
    <w:p w14:paraId="02D665CC">
      <w:pPr>
        <w:snapToGrid w:val="0"/>
        <w:spacing w:before="120" w:beforeLines="50" w:after="50" w:line="360" w:lineRule="exact"/>
        <w:rPr>
          <w:rFonts w:ascii="Times New Roman" w:hAnsi="Times New Roman" w:eastAsia="宋体" w:cs="Times New Roman"/>
          <w:color w:val="auto"/>
          <w:sz w:val="24"/>
          <w:highlight w:val="none"/>
        </w:rPr>
      </w:pPr>
    </w:p>
    <w:p w14:paraId="62F07B14">
      <w:pPr>
        <w:snapToGrid w:val="0"/>
        <w:spacing w:before="120" w:beforeLines="50" w:after="50" w:line="360" w:lineRule="exact"/>
        <w:jc w:val="right"/>
        <w:rPr>
          <w:rFonts w:hint="eastAsia" w:ascii="Times New Roman" w:hAnsi="Times New Roman" w:eastAsia="宋体" w:cs="Times New Roman"/>
          <w:bCs/>
          <w:color w:val="auto"/>
          <w:sz w:val="24"/>
          <w:highlight w:val="none"/>
        </w:rPr>
      </w:pPr>
    </w:p>
    <w:p w14:paraId="32551A4A">
      <w:pPr>
        <w:snapToGrid w:val="0"/>
        <w:spacing w:before="120" w:beforeLines="50" w:after="50" w:line="360" w:lineRule="exact"/>
        <w:jc w:val="center"/>
        <w:rPr>
          <w:rFonts w:ascii="Times New Roman" w:hAnsi="Times New Roman" w:eastAsia="宋体" w:cs="Times New Roman"/>
          <w:bCs/>
          <w:color w:val="auto"/>
          <w:sz w:val="24"/>
          <w:highlight w:val="none"/>
        </w:rPr>
      </w:pPr>
      <w:r>
        <w:rPr>
          <w:rFonts w:hint="eastAsia" w:ascii="宋体" w:hAnsi="宋体" w:eastAsia="宋体" w:cs="Times New Roman"/>
          <w:b/>
          <w:color w:val="auto"/>
          <w:sz w:val="44"/>
          <w:szCs w:val="24"/>
          <w:highlight w:val="none"/>
        </w:rPr>
        <w:t>电子响应文件</w:t>
      </w:r>
    </w:p>
    <w:p w14:paraId="3FB26207">
      <w:pPr>
        <w:snapToGrid w:val="0"/>
        <w:spacing w:before="120" w:beforeLines="50" w:after="50" w:line="360" w:lineRule="exact"/>
        <w:jc w:val="center"/>
        <w:rPr>
          <w:rFonts w:ascii="Times New Roman" w:hAnsi="Times New Roman" w:eastAsia="宋体" w:cs="Times New Roman"/>
          <w:b/>
          <w:bCs/>
          <w:color w:val="auto"/>
          <w:sz w:val="44"/>
          <w:szCs w:val="44"/>
          <w:highlight w:val="none"/>
        </w:rPr>
      </w:pPr>
    </w:p>
    <w:p w14:paraId="14E9F2DD">
      <w:pPr>
        <w:snapToGrid w:val="0"/>
        <w:spacing w:before="120" w:beforeLines="50" w:after="50" w:line="360" w:lineRule="exact"/>
        <w:jc w:val="center"/>
        <w:rPr>
          <w:rFonts w:ascii="Times New Roman" w:hAnsi="Times New Roman" w:eastAsia="宋体" w:cs="Times New Roman"/>
          <w:b/>
          <w:bCs/>
          <w:color w:val="auto"/>
          <w:sz w:val="44"/>
          <w:szCs w:val="44"/>
          <w:highlight w:val="none"/>
        </w:rPr>
      </w:pPr>
    </w:p>
    <w:p w14:paraId="5C4AB7E1">
      <w:pPr>
        <w:snapToGrid w:val="0"/>
        <w:spacing w:before="120" w:beforeLines="50" w:after="50" w:line="360" w:lineRule="exact"/>
        <w:jc w:val="center"/>
        <w:rPr>
          <w:rFonts w:ascii="Times New Roman" w:hAnsi="Times New Roman" w:eastAsia="宋体" w:cs="Times New Roman"/>
          <w:b/>
          <w:bCs/>
          <w:color w:val="auto"/>
          <w:sz w:val="44"/>
          <w:szCs w:val="44"/>
          <w:highlight w:val="none"/>
        </w:rPr>
      </w:pPr>
      <w:bookmarkStart w:id="122" w:name="_Hlk92967018"/>
      <w:r>
        <w:rPr>
          <w:rFonts w:ascii="Times New Roman" w:hAnsi="Times New Roman" w:eastAsia="宋体" w:cs="Times New Roman"/>
          <w:b/>
          <w:bCs/>
          <w:color w:val="auto"/>
          <w:sz w:val="44"/>
          <w:szCs w:val="44"/>
          <w:highlight w:val="none"/>
        </w:rPr>
        <w:t>资格</w:t>
      </w:r>
      <w:r>
        <w:rPr>
          <w:rFonts w:hint="eastAsia" w:ascii="Times New Roman" w:hAnsi="Times New Roman" w:eastAsia="宋体" w:cs="Times New Roman"/>
          <w:b/>
          <w:bCs/>
          <w:color w:val="auto"/>
          <w:sz w:val="44"/>
          <w:szCs w:val="44"/>
          <w:highlight w:val="none"/>
        </w:rPr>
        <w:t>证明文件</w:t>
      </w:r>
    </w:p>
    <w:bookmarkEnd w:id="122"/>
    <w:p w14:paraId="40797B58">
      <w:pPr>
        <w:snapToGrid w:val="0"/>
        <w:spacing w:before="120" w:beforeLines="50" w:after="50" w:line="360" w:lineRule="exact"/>
        <w:jc w:val="center"/>
        <w:rPr>
          <w:rFonts w:ascii="Times New Roman" w:hAnsi="Times New Roman" w:eastAsia="宋体" w:cs="Times New Roman"/>
          <w:b/>
          <w:bCs/>
          <w:color w:val="auto"/>
          <w:sz w:val="44"/>
          <w:szCs w:val="44"/>
          <w:highlight w:val="none"/>
        </w:rPr>
      </w:pPr>
    </w:p>
    <w:p w14:paraId="3D5035E8">
      <w:pPr>
        <w:snapToGrid w:val="0"/>
        <w:spacing w:before="120" w:beforeLines="50" w:after="50" w:line="360" w:lineRule="exact"/>
        <w:rPr>
          <w:rFonts w:ascii="Times New Roman" w:hAnsi="Times New Roman" w:eastAsia="宋体" w:cs="Times New Roman"/>
          <w:bCs/>
          <w:color w:val="auto"/>
          <w:sz w:val="24"/>
          <w:highlight w:val="none"/>
        </w:rPr>
      </w:pPr>
    </w:p>
    <w:p w14:paraId="1994AFD5">
      <w:pPr>
        <w:snapToGrid w:val="0"/>
        <w:spacing w:before="120" w:beforeLines="50" w:after="50" w:line="36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 xml:space="preserve">项目名称： </w:t>
      </w:r>
    </w:p>
    <w:p w14:paraId="189ECA4D">
      <w:pPr>
        <w:snapToGrid w:val="0"/>
        <w:spacing w:before="120" w:beforeLines="50" w:after="50" w:line="36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项目编号：</w:t>
      </w:r>
    </w:p>
    <w:p w14:paraId="56C7722D">
      <w:pPr>
        <w:snapToGrid w:val="0"/>
        <w:spacing w:before="120" w:beforeLines="50" w:after="50" w:line="44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分标号：（若无</w:t>
      </w:r>
      <w:r>
        <w:rPr>
          <w:rFonts w:hint="eastAsia" w:ascii="Times New Roman" w:hAnsi="Times New Roman" w:eastAsia="宋体" w:cs="Times New Roman"/>
          <w:bCs/>
          <w:color w:val="auto"/>
          <w:sz w:val="24"/>
          <w:highlight w:val="none"/>
        </w:rPr>
        <w:t>留空或写</w:t>
      </w:r>
      <w:r>
        <w:rPr>
          <w:rFonts w:ascii="Times New Roman" w:hAnsi="Times New Roman" w:eastAsia="宋体" w:cs="Times New Roman"/>
          <w:bCs/>
          <w:color w:val="auto"/>
          <w:sz w:val="24"/>
          <w:highlight w:val="none"/>
        </w:rPr>
        <w:t>“/”）</w:t>
      </w:r>
    </w:p>
    <w:p w14:paraId="43C5B043">
      <w:pPr>
        <w:snapToGrid w:val="0"/>
        <w:spacing w:before="120" w:beforeLines="50" w:after="50" w:line="36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供应商名称：</w:t>
      </w:r>
    </w:p>
    <w:p w14:paraId="33E20748">
      <w:pPr>
        <w:snapToGrid w:val="0"/>
        <w:spacing w:before="120" w:beforeLines="50" w:after="50" w:line="360" w:lineRule="exact"/>
        <w:ind w:firstLine="720" w:firstLineChars="300"/>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供应商地址：</w:t>
      </w:r>
    </w:p>
    <w:p w14:paraId="3CE47385">
      <w:pPr>
        <w:pStyle w:val="7"/>
        <w:snapToGrid w:val="0"/>
        <w:spacing w:before="50" w:after="50" w:line="360" w:lineRule="exact"/>
        <w:ind w:firstLine="960" w:firstLineChars="400"/>
        <w:rPr>
          <w:rFonts w:ascii="Times New Roman" w:hAnsi="Times New Roman" w:eastAsia="宋体" w:cs="Times New Roman"/>
          <w:bCs/>
          <w:color w:val="auto"/>
          <w:sz w:val="24"/>
          <w:szCs w:val="24"/>
          <w:highlight w:val="none"/>
        </w:rPr>
      </w:pPr>
    </w:p>
    <w:p w14:paraId="037B474E">
      <w:pPr>
        <w:snapToGrid w:val="0"/>
        <w:spacing w:before="120" w:beforeLines="50" w:after="50" w:line="360" w:lineRule="exact"/>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 xml:space="preserve">                        年  月  日</w:t>
      </w:r>
    </w:p>
    <w:p w14:paraId="6B045301">
      <w:pPr>
        <w:snapToGrid w:val="0"/>
        <w:spacing w:before="50" w:after="50" w:line="440" w:lineRule="exact"/>
        <w:rPr>
          <w:rFonts w:ascii="Times New Roman" w:hAnsi="Times New Roman" w:eastAsia="宋体" w:cs="Times New Roman"/>
          <w:b/>
          <w:color w:val="auto"/>
          <w:sz w:val="24"/>
          <w:highlight w:val="none"/>
        </w:rPr>
      </w:pPr>
      <w:r>
        <w:rPr>
          <w:rFonts w:ascii="Times New Roman" w:hAnsi="Times New Roman" w:eastAsia="宋体" w:cs="Times New Roman"/>
          <w:b/>
          <w:color w:val="auto"/>
          <w:sz w:val="24"/>
          <w:highlight w:val="none"/>
        </w:rPr>
        <w:t xml:space="preserve"> </w:t>
      </w:r>
    </w:p>
    <w:p w14:paraId="51AA6458">
      <w:pPr>
        <w:snapToGrid w:val="0"/>
        <w:spacing w:before="120" w:beforeLines="50" w:after="50" w:line="440" w:lineRule="exact"/>
        <w:rPr>
          <w:bCs/>
          <w:color w:val="auto"/>
          <w:sz w:val="24"/>
          <w:highlight w:val="none"/>
        </w:rPr>
      </w:pPr>
    </w:p>
    <w:p w14:paraId="349F2862">
      <w:pPr>
        <w:snapToGrid w:val="0"/>
        <w:spacing w:before="120" w:beforeLines="50" w:after="50" w:line="440" w:lineRule="exact"/>
        <w:jc w:val="center"/>
        <w:outlineLvl w:val="9"/>
        <w:rPr>
          <w:b/>
          <w:bCs/>
          <w:color w:val="auto"/>
          <w:sz w:val="24"/>
          <w:highlight w:val="none"/>
        </w:rPr>
      </w:pPr>
      <w:bookmarkStart w:id="123" w:name="_Toc254970698"/>
      <w:bookmarkStart w:id="124" w:name="_Toc254970557"/>
      <w:r>
        <w:rPr>
          <w:color w:val="auto"/>
          <w:sz w:val="24"/>
          <w:highlight w:val="none"/>
        </w:rPr>
        <w:br w:type="page"/>
      </w:r>
      <w:bookmarkEnd w:id="123"/>
      <w:bookmarkEnd w:id="124"/>
    </w:p>
    <w:p w14:paraId="4F8F5066">
      <w:pPr>
        <w:snapToGrid w:val="0"/>
        <w:spacing w:before="120" w:beforeLines="50" w:after="50" w:line="440" w:lineRule="exact"/>
        <w:jc w:val="center"/>
        <w:rPr>
          <w:color w:val="auto"/>
          <w:sz w:val="24"/>
          <w:highlight w:val="none"/>
        </w:rPr>
      </w:pPr>
    </w:p>
    <w:p w14:paraId="16EB58DD">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2070EE19">
      <w:pPr>
        <w:jc w:val="center"/>
        <w:rPr>
          <w:b/>
          <w:color w:val="auto"/>
          <w:sz w:val="24"/>
          <w:highlight w:val="none"/>
        </w:rPr>
      </w:pPr>
      <w:r>
        <w:rPr>
          <w:b/>
          <w:color w:val="auto"/>
          <w:sz w:val="24"/>
          <w:highlight w:val="none"/>
        </w:rPr>
        <w:t>（需有页码）</w:t>
      </w:r>
    </w:p>
    <w:p w14:paraId="1486F026">
      <w:pPr>
        <w:rPr>
          <w:rFonts w:hint="eastAsia"/>
          <w:color w:val="auto"/>
          <w:highlight w:val="none"/>
        </w:rPr>
      </w:pPr>
      <w:r>
        <w:rPr>
          <w:color w:val="auto"/>
          <w:highlight w:val="none"/>
        </w:rPr>
        <w:br w:type="page"/>
      </w:r>
    </w:p>
    <w:p w14:paraId="50D80794">
      <w:pPr>
        <w:snapToGrid w:val="0"/>
        <w:spacing w:before="120" w:beforeLines="50" w:after="50" w:line="440" w:lineRule="exact"/>
        <w:jc w:val="center"/>
        <w:outlineLvl w:val="9"/>
        <w:rPr>
          <w:rStyle w:val="60"/>
          <w:rFonts w:ascii="Times New Roman" w:hAnsi="Times New Roman" w:eastAsia="宋体" w:cs="Times New Roman"/>
          <w:color w:val="auto"/>
          <w:highlight w:val="none"/>
        </w:rPr>
      </w:pPr>
      <w:r>
        <w:rPr>
          <w:rFonts w:ascii="Times New Roman" w:hAnsi="Times New Roman" w:eastAsia="宋体" w:cs="Times New Roman"/>
          <w:b/>
          <w:color w:val="auto"/>
          <w:sz w:val="24"/>
          <w:highlight w:val="none"/>
        </w:rPr>
        <w:t>第</w:t>
      </w:r>
      <w:r>
        <w:rPr>
          <w:rFonts w:hint="eastAsia" w:ascii="Times New Roman" w:hAnsi="Times New Roman" w:eastAsia="宋体" w:cs="Times New Roman"/>
          <w:b/>
          <w:color w:val="auto"/>
          <w:sz w:val="24"/>
          <w:highlight w:val="none"/>
          <w:lang w:val="en-US" w:eastAsia="zh-CN"/>
        </w:rPr>
        <w:t>一</w:t>
      </w:r>
      <w:r>
        <w:rPr>
          <w:rFonts w:ascii="Times New Roman" w:hAnsi="Times New Roman" w:eastAsia="宋体" w:cs="Times New Roman"/>
          <w:b/>
          <w:color w:val="auto"/>
          <w:sz w:val="24"/>
          <w:highlight w:val="none"/>
        </w:rPr>
        <w:t xml:space="preserve">部分 </w:t>
      </w:r>
      <w:r>
        <w:rPr>
          <w:rFonts w:hint="eastAsia" w:ascii="Times New Roman" w:hAnsi="Times New Roman" w:eastAsia="宋体" w:cs="Times New Roman"/>
          <w:b/>
          <w:color w:val="auto"/>
          <w:sz w:val="24"/>
          <w:highlight w:val="none"/>
          <w:lang w:val="en-US" w:eastAsia="zh-CN"/>
        </w:rPr>
        <w:t>资格证明</w:t>
      </w:r>
      <w:r>
        <w:rPr>
          <w:rFonts w:ascii="Times New Roman" w:hAnsi="Times New Roman" w:eastAsia="宋体" w:cs="Times New Roman"/>
          <w:b/>
          <w:color w:val="auto"/>
          <w:sz w:val="24"/>
          <w:highlight w:val="none"/>
        </w:rPr>
        <w:t>文件</w:t>
      </w:r>
    </w:p>
    <w:p w14:paraId="687D8FE7">
      <w:pPr>
        <w:snapToGrid w:val="0"/>
        <w:spacing w:before="50" w:after="120" w:afterLines="50" w:line="400" w:lineRule="exact"/>
        <w:jc w:val="left"/>
        <w:rPr>
          <w:rFonts w:ascii="Arial" w:hAnsi="Arial" w:eastAsia="宋体" w:cs="Arial"/>
          <w:b/>
          <w:color w:val="auto"/>
          <w:szCs w:val="21"/>
          <w:highlight w:val="none"/>
        </w:rPr>
      </w:pPr>
      <w:r>
        <w:rPr>
          <w:rFonts w:ascii="Arial" w:hAnsi="Arial" w:eastAsia="宋体" w:cs="Arial"/>
          <w:b/>
          <w:color w:val="auto"/>
          <w:szCs w:val="21"/>
          <w:highlight w:val="none"/>
        </w:rPr>
        <w:t>1.</w:t>
      </w:r>
      <w:r>
        <w:rPr>
          <w:rFonts w:ascii="Times New Roman" w:hAnsi="Times New Roman" w:eastAsia="宋体" w:cs="Times New Roman"/>
          <w:color w:val="auto"/>
          <w:highlight w:val="none"/>
        </w:rPr>
        <w:t xml:space="preserve"> </w:t>
      </w:r>
      <w:r>
        <w:rPr>
          <w:rFonts w:hint="eastAsia" w:ascii="Arial" w:hAnsi="Arial" w:eastAsia="宋体" w:cs="Arial"/>
          <w:b/>
          <w:color w:val="auto"/>
          <w:szCs w:val="21"/>
          <w:highlight w:val="none"/>
        </w:rPr>
        <w:t>崇左市政府采购供应商信用承诺函</w:t>
      </w:r>
    </w:p>
    <w:p w14:paraId="731F502C">
      <w:pPr>
        <w:widowControl/>
        <w:spacing w:line="440" w:lineRule="exact"/>
        <w:jc w:val="center"/>
        <w:rPr>
          <w:rFonts w:ascii="Times New Roman" w:hAnsi="Times New Roman" w:eastAsia="宋体" w:cs="Times New Roman"/>
          <w:color w:val="auto"/>
          <w:sz w:val="32"/>
          <w:szCs w:val="32"/>
          <w:highlight w:val="none"/>
        </w:rPr>
      </w:pPr>
      <w:r>
        <w:rPr>
          <w:rFonts w:hint="eastAsia" w:ascii="方正小标宋简体" w:hAnsi="方正小标宋简体" w:eastAsia="方正小标宋简体" w:cs="方正小标宋简体"/>
          <w:color w:val="auto"/>
          <w:kern w:val="0"/>
          <w:sz w:val="36"/>
          <w:szCs w:val="36"/>
          <w:highlight w:val="none"/>
          <w:lang w:bidi="ar"/>
        </w:rPr>
        <w:t>崇左市政府采购供应商信用承诺函（格式）</w:t>
      </w:r>
    </w:p>
    <w:p w14:paraId="379C8BC6">
      <w:pPr>
        <w:widowControl/>
        <w:spacing w:line="440" w:lineRule="exact"/>
        <w:jc w:val="left"/>
        <w:rPr>
          <w:rFonts w:ascii="仿宋_GB2312" w:hAnsi="仿宋_GB2312" w:eastAsia="仿宋_GB2312" w:cs="仿宋_GB2312"/>
          <w:color w:val="auto"/>
          <w:kern w:val="0"/>
          <w:sz w:val="32"/>
          <w:szCs w:val="32"/>
          <w:highlight w:val="none"/>
          <w:lang w:bidi="ar"/>
        </w:rPr>
      </w:pPr>
    </w:p>
    <w:p w14:paraId="39CAD572">
      <w:pPr>
        <w:widowControl/>
        <w:spacing w:line="440" w:lineRule="exact"/>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highlight w:val="none"/>
          <w:lang w:bidi="ar"/>
        </w:rPr>
        <w:t>致</w:t>
      </w:r>
      <w:r>
        <w:rPr>
          <w:rFonts w:hint="eastAsia" w:ascii="仿宋_GB2312" w:hAnsi="仿宋_GB2312" w:eastAsia="仿宋_GB2312" w:cs="仿宋_GB2312"/>
          <w:color w:val="auto"/>
          <w:kern w:val="0"/>
          <w:sz w:val="24"/>
          <w:highlight w:val="none"/>
          <w:u w:val="single"/>
          <w:lang w:bidi="ar"/>
        </w:rPr>
        <w:t>（采购代理机构名称）</w:t>
      </w:r>
      <w:r>
        <w:rPr>
          <w:rFonts w:hint="eastAsia" w:ascii="仿宋_GB2312" w:hAnsi="仿宋_GB2312" w:eastAsia="仿宋_GB2312" w:cs="仿宋_GB2312"/>
          <w:color w:val="auto"/>
          <w:kern w:val="0"/>
          <w:sz w:val="24"/>
          <w:highlight w:val="none"/>
          <w:lang w:bidi="ar"/>
        </w:rPr>
        <w:t>:</w:t>
      </w:r>
    </w:p>
    <w:p w14:paraId="66F2CD2E">
      <w:pPr>
        <w:widowControl/>
        <w:spacing w:line="440" w:lineRule="exact"/>
        <w:ind w:firstLine="480" w:firstLineChars="200"/>
        <w:rPr>
          <w:rFonts w:hint="eastAsia" w:ascii="仿宋_GB2312" w:hAnsi="仿宋_GB2312" w:eastAsia="仿宋_GB2312" w:cs="仿宋_GB2312"/>
          <w:color w:val="auto"/>
          <w:spacing w:val="-6"/>
          <w:sz w:val="24"/>
          <w:highlight w:val="none"/>
        </w:rPr>
      </w:pPr>
      <w:r>
        <w:rPr>
          <w:rFonts w:hint="eastAsia" w:ascii="仿宋_GB2312" w:hAnsi="仿宋_GB2312" w:eastAsia="仿宋_GB2312" w:cs="仿宋_GB2312"/>
          <w:color w:val="auto"/>
          <w:kern w:val="0"/>
          <w:sz w:val="24"/>
          <w:highlight w:val="none"/>
          <w:lang w:bidi="ar"/>
        </w:rPr>
        <w:t>我方自愿参加</w:t>
      </w:r>
      <w:r>
        <w:rPr>
          <w:rFonts w:hint="eastAsia" w:ascii="仿宋_GB2312" w:hAnsi="仿宋_GB2312" w:eastAsia="仿宋_GB2312" w:cs="仿宋_GB2312"/>
          <w:color w:val="auto"/>
          <w:kern w:val="0"/>
          <w:sz w:val="24"/>
          <w:highlight w:val="none"/>
          <w:u w:val="single"/>
          <w:lang w:bidi="ar"/>
        </w:rPr>
        <w:t xml:space="preserve"> （项目名称） </w:t>
      </w:r>
      <w:r>
        <w:rPr>
          <w:rFonts w:hint="eastAsia" w:ascii="仿宋_GB2312" w:hAnsi="仿宋_GB2312" w:eastAsia="仿宋_GB2312" w:cs="仿宋_GB2312"/>
          <w:color w:val="auto"/>
          <w:kern w:val="0"/>
          <w:sz w:val="24"/>
          <w:highlight w:val="none"/>
          <w:lang w:bidi="ar"/>
        </w:rPr>
        <w:t>项目</w:t>
      </w:r>
      <w:r>
        <w:rPr>
          <w:rFonts w:hint="eastAsia" w:ascii="仿宋_GB2312" w:hAnsi="Times New Roman" w:eastAsia="仿宋_GB2312" w:cs="Times New Roman"/>
          <w:color w:val="auto"/>
          <w:spacing w:val="6"/>
          <w:sz w:val="24"/>
          <w:highlight w:val="none"/>
        </w:rPr>
        <w:t>（项目编号：</w:t>
      </w:r>
      <w:r>
        <w:rPr>
          <w:rFonts w:hint="eastAsia" w:ascii="仿宋_GB2312" w:hAnsi="Times New Roman" w:eastAsia="仿宋_GB2312" w:cs="Times New Roman"/>
          <w:color w:val="auto"/>
          <w:spacing w:val="6"/>
          <w:sz w:val="24"/>
          <w:highlight w:val="none"/>
          <w:u w:val="single"/>
        </w:rPr>
        <w:t xml:space="preserve">         </w:t>
      </w:r>
      <w:r>
        <w:rPr>
          <w:rFonts w:hint="eastAsia" w:ascii="仿宋_GB2312" w:hAnsi="Times New Roman" w:eastAsia="仿宋_GB2312" w:cs="Times New Roman"/>
          <w:color w:val="auto"/>
          <w:spacing w:val="6"/>
          <w:sz w:val="24"/>
          <w:highlight w:val="none"/>
        </w:rPr>
        <w:t>）</w:t>
      </w:r>
      <w:r>
        <w:rPr>
          <w:rFonts w:hint="eastAsia" w:ascii="仿宋_GB2312" w:hAnsi="仿宋_GB2312" w:eastAsia="仿宋_GB2312" w:cs="仿宋_GB2312"/>
          <w:color w:val="auto"/>
          <w:kern w:val="0"/>
          <w:sz w:val="24"/>
          <w:highlight w:val="none"/>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highlight w:val="none"/>
          <w:lang w:bidi="ar"/>
        </w:rPr>
        <w:t xml:space="preserve">： </w:t>
      </w:r>
    </w:p>
    <w:p w14:paraId="1F071736">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1.我方</w:t>
      </w:r>
      <w:r>
        <w:rPr>
          <w:rFonts w:hint="eastAsia" w:ascii="仿宋_GB2312" w:hAnsi="Times New Roman" w:eastAsia="仿宋_GB2312" w:cs="Times New Roman"/>
          <w:color w:val="auto"/>
          <w:spacing w:val="6"/>
          <w:sz w:val="24"/>
          <w:highlight w:val="none"/>
        </w:rPr>
        <w:t>具有独立承担民事责任的能力或我方属于银行、保险、石油石化、电力、电信等有行业特殊情况的法人的分支机构在参加本次政府采购活动前已取得总公司的授权。</w:t>
      </w:r>
    </w:p>
    <w:p w14:paraId="040CDA5A">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2.我方具有符合采购文件资格要求的财务状况报告。 </w:t>
      </w:r>
    </w:p>
    <w:p w14:paraId="0BBF15E5">
      <w:pPr>
        <w:widowControl/>
        <w:spacing w:line="440" w:lineRule="exact"/>
        <w:ind w:firstLine="456" w:firstLineChars="200"/>
        <w:rPr>
          <w:rFonts w:hint="eastAsia" w:ascii="仿宋_GB2312" w:hAnsi="仿宋_GB2312" w:eastAsia="仿宋_GB2312" w:cs="仿宋_GB2312"/>
          <w:color w:val="auto"/>
          <w:spacing w:val="-17"/>
          <w:sz w:val="24"/>
          <w:highlight w:val="none"/>
        </w:rPr>
      </w:pPr>
      <w:r>
        <w:rPr>
          <w:rFonts w:hint="eastAsia" w:ascii="仿宋_GB2312" w:hAnsi="仿宋_GB2312" w:eastAsia="仿宋_GB2312" w:cs="仿宋_GB2312"/>
          <w:color w:val="auto"/>
          <w:spacing w:val="-6"/>
          <w:kern w:val="0"/>
          <w:sz w:val="24"/>
          <w:highlight w:val="none"/>
          <w:lang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highlight w:val="none"/>
          <w:lang w:bidi="ar"/>
        </w:rPr>
        <w:t xml:space="preserve"> </w:t>
      </w:r>
    </w:p>
    <w:p w14:paraId="3BBCE300">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4.我方具有符合采购文件资格要求履行合同所必需的设备和专业技术能力。 </w:t>
      </w:r>
    </w:p>
    <w:p w14:paraId="018C893F">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5.我方参加政府采购活动前3年内在经营活动中没有重大违法记录。 </w:t>
      </w:r>
    </w:p>
    <w:p w14:paraId="62737AA3">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我方对以上承诺内容的真实性负责。如有虚假，将依法承担相应责任。</w:t>
      </w:r>
    </w:p>
    <w:p w14:paraId="1447ACB0">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p>
    <w:p w14:paraId="37A61ACC">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p>
    <w:p w14:paraId="5DB39E6E">
      <w:pPr>
        <w:widowControl/>
        <w:spacing w:line="440" w:lineRule="exact"/>
        <w:ind w:firstLine="3600" w:firstLineChars="15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供应商名称（盖章）： </w:t>
      </w:r>
    </w:p>
    <w:p w14:paraId="34C8BADB">
      <w:pPr>
        <w:tabs>
          <w:tab w:val="left" w:pos="7560"/>
        </w:tabs>
        <w:spacing w:line="440" w:lineRule="exact"/>
        <w:ind w:firstLine="3600" w:firstLineChars="150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日期：</w:t>
      </w:r>
    </w:p>
    <w:p w14:paraId="111F614C">
      <w:pPr>
        <w:snapToGrid w:val="0"/>
        <w:spacing w:before="50" w:after="120" w:afterLines="50" w:line="400" w:lineRule="exact"/>
        <w:jc w:val="left"/>
        <w:rPr>
          <w:rFonts w:hint="eastAsia" w:ascii="Times New Roman" w:hAnsi="Times New Roman" w:eastAsia="宋体" w:cs="Times New Roman"/>
          <w:b/>
          <w:color w:val="auto"/>
          <w:szCs w:val="21"/>
          <w:highlight w:val="none"/>
        </w:rPr>
      </w:pPr>
      <w:r>
        <w:rPr>
          <w:rFonts w:hint="eastAsia" w:ascii="仿宋_GB2312" w:hAnsi="仿宋_GB2312" w:eastAsia="仿宋_GB2312" w:cs="仿宋_GB2312"/>
          <w:color w:val="auto"/>
          <w:highlight w:val="none"/>
          <w:lang w:bidi="ar"/>
        </w:rPr>
        <w:t>注：1.</w:t>
      </w:r>
      <w:r>
        <w:rPr>
          <w:rFonts w:hint="eastAsia" w:ascii="仿宋_GB2312" w:hAnsi="仿宋_GB2312" w:eastAsia="仿宋_GB2312" w:cs="仿宋_GB2312"/>
          <w:color w:val="auto"/>
          <w:highlight w:val="none"/>
        </w:rPr>
        <w:t>参与政府采购活动的供应商可按第1点的内容：“</w:t>
      </w:r>
      <w:r>
        <w:rPr>
          <w:rFonts w:hint="eastAsia" w:ascii="仿宋_GB2312" w:hAnsi="仿宋_GB2312" w:eastAsia="仿宋_GB2312" w:cs="仿宋_GB2312"/>
          <w:color w:val="auto"/>
          <w:highlight w:val="none"/>
          <w:lang w:bidi="ar"/>
        </w:rPr>
        <w:t>我方</w:t>
      </w:r>
      <w:r>
        <w:rPr>
          <w:rFonts w:hint="eastAsia" w:ascii="仿宋_GB2312" w:hAnsi="Times New Roman" w:eastAsia="仿宋_GB2312" w:cs="Times New Roman"/>
          <w:color w:val="auto"/>
          <w:spacing w:val="6"/>
          <w:highlight w:val="none"/>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highlight w:val="none"/>
          <w:lang w:bidi="ar"/>
        </w:rPr>
        <w:t>我方</w:t>
      </w:r>
      <w:r>
        <w:rPr>
          <w:rFonts w:hint="eastAsia" w:ascii="仿宋_GB2312" w:hAnsi="Times New Roman" w:eastAsia="仿宋_GB2312" w:cs="Times New Roman"/>
          <w:color w:val="auto"/>
          <w:spacing w:val="6"/>
          <w:highlight w:val="none"/>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225B237D">
      <w:pPr>
        <w:snapToGrid/>
        <w:spacing w:before="0" w:after="0" w:afterLines="-2147483648" w:line="240" w:lineRule="auto"/>
        <w:jc w:val="left"/>
        <w:rPr>
          <w:rFonts w:hint="eastAsia" w:ascii="Times New Roman" w:hAnsi="Times New Roman" w:eastAsia="宋体" w:cs="Times New Roman"/>
          <w:b/>
          <w:color w:val="auto"/>
          <w:szCs w:val="21"/>
          <w:highlight w:val="none"/>
          <w:lang w:val="en-US" w:eastAsia="zh-CN"/>
        </w:rPr>
      </w:pPr>
      <w:r>
        <w:rPr>
          <w:rFonts w:hint="eastAsia" w:ascii="Times New Roman" w:hAnsi="Times New Roman" w:eastAsia="宋体" w:cs="Times New Roman"/>
          <w:b/>
          <w:color w:val="auto"/>
          <w:szCs w:val="21"/>
          <w:highlight w:val="none"/>
          <w:lang w:val="en-US" w:eastAsia="zh-CN"/>
        </w:rPr>
        <w:br w:type="page"/>
      </w:r>
    </w:p>
    <w:p w14:paraId="505C2015">
      <w:pPr>
        <w:snapToGrid w:val="0"/>
        <w:spacing w:before="50" w:after="120" w:afterLines="50" w:line="400" w:lineRule="exact"/>
        <w:jc w:val="left"/>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lang w:val="en-US" w:eastAsia="zh-CN"/>
        </w:rPr>
        <w:t>2</w:t>
      </w:r>
      <w:r>
        <w:rPr>
          <w:rFonts w:ascii="Times New Roman" w:hAnsi="Times New Roman" w:eastAsia="宋体" w:cs="Times New Roman"/>
          <w:b/>
          <w:color w:val="auto"/>
          <w:szCs w:val="21"/>
          <w:highlight w:val="none"/>
        </w:rPr>
        <w:t>．响应声明书格式：</w:t>
      </w:r>
    </w:p>
    <w:p w14:paraId="2F70CFA8">
      <w:pPr>
        <w:snapToGrid w:val="0"/>
        <w:spacing w:before="120" w:beforeLines="50" w:after="50" w:line="360" w:lineRule="exact"/>
        <w:jc w:val="center"/>
        <w:rPr>
          <w:rFonts w:hint="eastAsia" w:ascii="Times New Roman" w:hAnsi="Times New Roman" w:eastAsia="宋体" w:cs="Times New Roman"/>
          <w:b/>
          <w:color w:val="auto"/>
          <w:szCs w:val="21"/>
          <w:highlight w:val="none"/>
        </w:rPr>
      </w:pPr>
    </w:p>
    <w:p w14:paraId="09900CE6">
      <w:pPr>
        <w:snapToGrid w:val="0"/>
        <w:spacing w:before="120" w:beforeLines="50" w:after="50" w:line="360" w:lineRule="exact"/>
        <w:jc w:val="center"/>
        <w:rPr>
          <w:rFonts w:hint="eastAsia"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响应声明书</w:t>
      </w:r>
    </w:p>
    <w:p w14:paraId="26349649">
      <w:pPr>
        <w:snapToGrid w:val="0"/>
        <w:spacing w:before="120" w:beforeLines="50" w:after="50"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致：</w:t>
      </w:r>
      <w:r>
        <w:rPr>
          <w:rFonts w:ascii="Times New Roman" w:hAnsi="Times New Roman" w:eastAsia="宋体" w:cs="Times New Roman"/>
          <w:i/>
          <w:iCs/>
          <w:color w:val="auto"/>
          <w:szCs w:val="21"/>
          <w:highlight w:val="none"/>
          <w:u w:val="single"/>
        </w:rPr>
        <w:t>（采购</w:t>
      </w:r>
      <w:r>
        <w:rPr>
          <w:rFonts w:hint="eastAsia" w:ascii="Times New Roman" w:hAnsi="Times New Roman" w:eastAsia="宋体" w:cs="Times New Roman"/>
          <w:i/>
          <w:iCs/>
          <w:color w:val="auto"/>
          <w:szCs w:val="21"/>
          <w:highlight w:val="none"/>
          <w:u w:val="single"/>
        </w:rPr>
        <w:t>人</w:t>
      </w:r>
      <w:r>
        <w:rPr>
          <w:rFonts w:ascii="Times New Roman" w:hAnsi="Times New Roman" w:eastAsia="宋体" w:cs="Times New Roman"/>
          <w:i/>
          <w:iCs/>
          <w:color w:val="auto"/>
          <w:szCs w:val="21"/>
          <w:highlight w:val="none"/>
          <w:u w:val="single"/>
        </w:rPr>
        <w:t>名称）</w:t>
      </w:r>
      <w:r>
        <w:rPr>
          <w:rFonts w:ascii="Times New Roman" w:hAnsi="Times New Roman" w:eastAsia="宋体" w:cs="Times New Roman"/>
          <w:color w:val="auto"/>
          <w:szCs w:val="21"/>
          <w:highlight w:val="none"/>
        </w:rPr>
        <w:t>：</w:t>
      </w:r>
    </w:p>
    <w:p w14:paraId="68A20206">
      <w:pPr>
        <w:snapToGrid w:val="0"/>
        <w:spacing w:before="120" w:beforeLines="50" w:after="50" w:line="360" w:lineRule="exact"/>
        <w:ind w:firstLine="630" w:firstLineChars="300"/>
        <w:rPr>
          <w:rFonts w:ascii="Times New Roman" w:hAnsi="Times New Roman" w:eastAsia="宋体" w:cs="Times New Roman"/>
          <w:color w:val="auto"/>
          <w:szCs w:val="21"/>
          <w:highlight w:val="none"/>
        </w:rPr>
      </w:pPr>
      <w:r>
        <w:rPr>
          <w:rFonts w:ascii="Times New Roman" w:hAnsi="Times New Roman" w:eastAsia="宋体" w:cs="Times New Roman"/>
          <w:i/>
          <w:iCs/>
          <w:color w:val="auto"/>
          <w:szCs w:val="21"/>
          <w:highlight w:val="none"/>
          <w:u w:val="single"/>
        </w:rPr>
        <w:t>（供应商名称）</w:t>
      </w:r>
      <w:r>
        <w:rPr>
          <w:rFonts w:ascii="Times New Roman" w:hAnsi="Times New Roman" w:eastAsia="宋体" w:cs="Times New Roman"/>
          <w:color w:val="auto"/>
          <w:szCs w:val="21"/>
          <w:highlight w:val="none"/>
        </w:rPr>
        <w:t>系中华人民共和国合法企业，</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i/>
          <w:iCs/>
          <w:color w:val="auto"/>
          <w:szCs w:val="21"/>
          <w:highlight w:val="none"/>
          <w:u w:val="single"/>
        </w:rPr>
        <w:t xml:space="preserve"> </w:t>
      </w:r>
      <w:r>
        <w:rPr>
          <w:rFonts w:hint="eastAsia" w:ascii="Times New Roman" w:hAnsi="Times New Roman" w:eastAsia="宋体" w:cs="Times New Roman"/>
          <w:i/>
          <w:iCs/>
          <w:color w:val="auto"/>
          <w:szCs w:val="21"/>
          <w:highlight w:val="none"/>
          <w:u w:val="single"/>
        </w:rPr>
        <w:t>（</w:t>
      </w:r>
      <w:r>
        <w:rPr>
          <w:rFonts w:ascii="Times New Roman" w:hAnsi="Times New Roman" w:eastAsia="宋体" w:cs="Times New Roman"/>
          <w:i/>
          <w:iCs/>
          <w:color w:val="auto"/>
          <w:szCs w:val="21"/>
          <w:highlight w:val="none"/>
          <w:u w:val="single"/>
        </w:rPr>
        <w:t>经营地址</w:t>
      </w:r>
      <w:r>
        <w:rPr>
          <w:rFonts w:hint="eastAsia" w:ascii="Times New Roman" w:hAnsi="Times New Roman" w:eastAsia="宋体" w:cs="Times New Roman"/>
          <w:i/>
          <w:iCs/>
          <w:color w:val="auto"/>
          <w:szCs w:val="21"/>
          <w:highlight w:val="none"/>
          <w:u w:val="single"/>
        </w:rPr>
        <w:t xml:space="preserve">） </w:t>
      </w:r>
      <w:r>
        <w:rPr>
          <w:rFonts w:ascii="Times New Roman" w:hAnsi="Times New Roman" w:eastAsia="宋体" w:cs="Times New Roman"/>
          <w:i/>
          <w:iCs/>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w:t>
      </w:r>
    </w:p>
    <w:p w14:paraId="4B2C6676">
      <w:pPr>
        <w:snapToGrid w:val="0"/>
        <w:spacing w:before="120" w:beforeLines="50" w:after="50" w:line="360" w:lineRule="exact"/>
        <w:ind w:firstLine="645"/>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我</w:t>
      </w:r>
      <w:r>
        <w:rPr>
          <w:rFonts w:ascii="Times New Roman" w:hAnsi="Times New Roman" w:eastAsia="宋体" w:cs="Times New Roman"/>
          <w:i/>
          <w:iCs/>
          <w:color w:val="auto"/>
          <w:szCs w:val="21"/>
          <w:highlight w:val="none"/>
          <w:u w:val="single"/>
        </w:rPr>
        <w:t>（姓名）</w:t>
      </w:r>
      <w:r>
        <w:rPr>
          <w:rFonts w:hint="eastAsia" w:ascii="Times New Roman" w:hAnsi="Times New Roman" w:eastAsia="宋体" w:cs="Times New Roman"/>
          <w:i/>
          <w:iCs/>
          <w:color w:val="auto"/>
          <w:szCs w:val="21"/>
          <w:highlight w:val="none"/>
          <w:u w:val="single"/>
        </w:rPr>
        <w:t xml:space="preserve"> </w:t>
      </w:r>
      <w:r>
        <w:rPr>
          <w:rFonts w:ascii="Times New Roman" w:hAnsi="Times New Roman" w:eastAsia="宋体" w:cs="Times New Roman"/>
          <w:color w:val="auto"/>
          <w:szCs w:val="21"/>
          <w:highlight w:val="none"/>
        </w:rPr>
        <w:t>系</w:t>
      </w:r>
      <w:r>
        <w:rPr>
          <w:rFonts w:ascii="Times New Roman" w:hAnsi="Times New Roman" w:eastAsia="宋体" w:cs="Times New Roman"/>
          <w:i/>
          <w:iCs/>
          <w:color w:val="auto"/>
          <w:szCs w:val="21"/>
          <w:highlight w:val="none"/>
          <w:u w:val="single"/>
        </w:rPr>
        <w:t>（供应商名称）</w:t>
      </w:r>
      <w:r>
        <w:rPr>
          <w:rFonts w:ascii="Times New Roman" w:hAnsi="Times New Roman" w:eastAsia="宋体" w:cs="Times New Roman"/>
          <w:color w:val="auto"/>
          <w:szCs w:val="21"/>
          <w:highlight w:val="none"/>
        </w:rPr>
        <w:t>的法定代表人，我方愿意参加贵方组织的</w:t>
      </w:r>
      <w:r>
        <w:rPr>
          <w:rFonts w:hint="eastAsia" w:ascii="Times New Roman" w:hAnsi="Times New Roman" w:eastAsia="宋体" w:cs="Times New Roman"/>
          <w:i/>
          <w:iCs/>
          <w:color w:val="auto"/>
          <w:szCs w:val="21"/>
          <w:highlight w:val="none"/>
          <w:u w:val="single"/>
        </w:rPr>
        <w:t>（项目名称）</w:t>
      </w:r>
      <w:r>
        <w:rPr>
          <w:rFonts w:ascii="Times New Roman" w:hAnsi="Times New Roman" w:eastAsia="宋体" w:cs="Times New Roman"/>
          <w:color w:val="auto"/>
          <w:szCs w:val="21"/>
          <w:highlight w:val="none"/>
        </w:rPr>
        <w:t>项目的</w:t>
      </w:r>
      <w:r>
        <w:rPr>
          <w:rFonts w:hint="eastAsia" w:ascii="Times New Roman" w:hAnsi="Times New Roman" w:eastAsia="宋体" w:cs="Times New Roman"/>
          <w:color w:val="auto"/>
          <w:szCs w:val="21"/>
          <w:highlight w:val="none"/>
        </w:rPr>
        <w:t>谈判</w:t>
      </w:r>
      <w:r>
        <w:rPr>
          <w:rFonts w:ascii="Times New Roman" w:hAnsi="Times New Roman" w:eastAsia="宋体" w:cs="Times New Roman"/>
          <w:color w:val="auto"/>
          <w:szCs w:val="21"/>
          <w:highlight w:val="none"/>
        </w:rPr>
        <w:t>，为便于贵方公正、择优地确定成交供应商及其响应产品和服务，我方就本次</w:t>
      </w:r>
      <w:r>
        <w:rPr>
          <w:rFonts w:hint="eastAsia" w:ascii="Times New Roman" w:hAnsi="Times New Roman" w:eastAsia="宋体" w:cs="Times New Roman"/>
          <w:color w:val="auto"/>
          <w:szCs w:val="21"/>
          <w:highlight w:val="none"/>
        </w:rPr>
        <w:t>谈判</w:t>
      </w:r>
      <w:r>
        <w:rPr>
          <w:rFonts w:ascii="Times New Roman" w:hAnsi="Times New Roman" w:eastAsia="宋体" w:cs="Times New Roman"/>
          <w:color w:val="auto"/>
          <w:szCs w:val="21"/>
          <w:highlight w:val="none"/>
        </w:rPr>
        <w:t>有关事项郑重声明如下：</w:t>
      </w:r>
      <w:r>
        <w:rPr>
          <w:rFonts w:hint="eastAsia" w:ascii="Times New Roman" w:hAnsi="Times New Roman" w:eastAsia="宋体" w:cs="Times New Roman"/>
          <w:color w:val="auto"/>
          <w:szCs w:val="21"/>
          <w:highlight w:val="none"/>
        </w:rPr>
        <w:t xml:space="preserve"> </w:t>
      </w:r>
    </w:p>
    <w:p w14:paraId="6F47A49B">
      <w:pPr>
        <w:snapToGrid w:val="0"/>
        <w:spacing w:before="120" w:beforeLines="50"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（1）我方向贵方提交的所有响应文件、资料都是准确的和真实的。</w:t>
      </w:r>
    </w:p>
    <w:p w14:paraId="59918AFF">
      <w:pPr>
        <w:snapToGrid w:val="0"/>
        <w:spacing w:before="120" w:beforeLines="50"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（2）我方不是采购人的附属机构；也不是为本项目提供整体设计、规范编制或者项目管理、监理、检测等服务的供应商或其附属机构。</w:t>
      </w:r>
    </w:p>
    <w:p w14:paraId="0DB7A1F8">
      <w:pPr>
        <w:snapToGrid w:val="0"/>
        <w:spacing w:before="120" w:beforeLines="50"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 我方承诺在参加本政府采购项目活动前，没有被纳入政府部门或银行认定的失信名单，我方具有良好的商业信誉。</w:t>
      </w:r>
    </w:p>
    <w:p w14:paraId="482490FD">
      <w:pPr>
        <w:snapToGrid w:val="0"/>
        <w:spacing w:before="120" w:beforeLines="50" w:line="360" w:lineRule="exact"/>
        <w:ind w:firstLine="420" w:firstLineChars="200"/>
        <w:rPr>
          <w:rFonts w:hint="eastAsia"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3F880150">
      <w:pPr>
        <w:snapToGrid w:val="0"/>
        <w:spacing w:before="120" w:beforeLines="50" w:line="360" w:lineRule="exact"/>
        <w:ind w:firstLine="420" w:firstLineChars="200"/>
        <w:rPr>
          <w:rFonts w:ascii="Times New Roman" w:hAnsi="Times New Roman" w:eastAsia="宋体" w:cs="Times New Roman"/>
          <w:color w:val="auto"/>
          <w:szCs w:val="21"/>
          <w:highlight w:val="none"/>
          <w:lang w:val="zh-CN"/>
        </w:rPr>
      </w:pPr>
      <w:r>
        <w:rPr>
          <w:rFonts w:ascii="Times New Roman" w:hAnsi="Times New Roman" w:eastAsia="宋体" w:cs="Times New Roman"/>
          <w:color w:val="auto"/>
          <w:szCs w:val="21"/>
          <w:highlight w:val="none"/>
        </w:rPr>
        <w:t>（5）</w:t>
      </w:r>
      <w:r>
        <w:rPr>
          <w:rFonts w:ascii="Times New Roman" w:hAnsi="Times New Roman" w:eastAsia="宋体" w:cs="Times New Roman"/>
          <w:color w:val="auto"/>
          <w:szCs w:val="21"/>
          <w:highlight w:val="none"/>
          <w:lang w:val="zh-CN"/>
        </w:rPr>
        <w:t>我方</w:t>
      </w:r>
      <w:r>
        <w:rPr>
          <w:rFonts w:ascii="Times New Roman" w:hAnsi="Times New Roman" w:eastAsia="宋体" w:cs="Times New Roman"/>
          <w:color w:val="auto"/>
          <w:szCs w:val="21"/>
          <w:highlight w:val="none"/>
        </w:rPr>
        <w:t>承诺</w:t>
      </w:r>
      <w:r>
        <w:rPr>
          <w:rFonts w:ascii="Times New Roman" w:hAnsi="Times New Roman" w:eastAsia="宋体" w:cs="Times New Roman"/>
          <w:color w:val="auto"/>
          <w:szCs w:val="21"/>
          <w:highlight w:val="none"/>
          <w:lang w:val="zh-CN"/>
        </w:rPr>
        <w:t>具有履行本项目合同所必需的设备和专业技术能力。</w:t>
      </w:r>
    </w:p>
    <w:p w14:paraId="61D29B7C">
      <w:pPr>
        <w:snapToGrid w:val="0"/>
        <w:spacing w:before="120" w:beforeLines="50"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（6）我方承诺</w:t>
      </w:r>
      <w:r>
        <w:rPr>
          <w:rFonts w:ascii="Times New Roman" w:hAnsi="Times New Roman" w:eastAsia="宋体" w:cs="Times New Roman"/>
          <w:color w:val="auto"/>
          <w:szCs w:val="21"/>
          <w:highlight w:val="none"/>
        </w:rPr>
        <w:t>未被列入失信被执行人、重大税收违法失信主体、政府采购严重违法失信行为记录名单</w:t>
      </w:r>
      <w:r>
        <w:rPr>
          <w:rFonts w:hint="eastAsia" w:ascii="Times New Roman" w:hAnsi="Times New Roman" w:eastAsia="宋体" w:cs="Times New Roman"/>
          <w:color w:val="auto"/>
          <w:szCs w:val="21"/>
          <w:highlight w:val="none"/>
        </w:rPr>
        <w:t>，如我方提供的声明不实，则接受本次响应作为否决响应的处理，</w:t>
      </w:r>
      <w:r>
        <w:rPr>
          <w:rFonts w:ascii="Times New Roman" w:hAnsi="Times New Roman" w:eastAsia="宋体" w:cs="Times New Roman"/>
          <w:color w:val="auto"/>
          <w:szCs w:val="21"/>
          <w:highlight w:val="none"/>
        </w:rPr>
        <w:t>并根据财库〔2016〕125号《财政部关于在政府采购活动中查询及使用信用记录有关问题的通知》规定接受失信联合惩戒。</w:t>
      </w:r>
    </w:p>
    <w:p w14:paraId="2CD230F7">
      <w:pPr>
        <w:snapToGrid w:val="0"/>
        <w:spacing w:before="120" w:beforeLines="50" w:line="360" w:lineRule="exact"/>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（7）我方承诺成交后按</w:t>
      </w:r>
      <w:r>
        <w:rPr>
          <w:rFonts w:ascii="Times New Roman" w:hAnsi="Times New Roman" w:eastAsia="宋体" w:cs="Times New Roman"/>
          <w:color w:val="auto"/>
          <w:szCs w:val="21"/>
          <w:highlight w:val="none"/>
        </w:rPr>
        <w:t>规定缴纳代理服务费</w:t>
      </w:r>
      <w:r>
        <w:rPr>
          <w:rFonts w:hint="eastAsia" w:ascii="Times New Roman" w:hAnsi="Times New Roman" w:eastAsia="宋体" w:cs="Times New Roman"/>
          <w:color w:val="auto"/>
          <w:szCs w:val="21"/>
          <w:highlight w:val="none"/>
        </w:rPr>
        <w:t>。</w:t>
      </w:r>
    </w:p>
    <w:p w14:paraId="40DE2C9F">
      <w:pPr>
        <w:snapToGrid w:val="0"/>
        <w:spacing w:before="120" w:beforeLines="50"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我方对以上声明负全部法律责任。如有虚假或隐瞒，我方愿意承担一切后果，并不再寻求任何旨在减轻或免除法律责任的辩解。</w:t>
      </w:r>
    </w:p>
    <w:p w14:paraId="271A00A6">
      <w:pPr>
        <w:snapToGrid w:val="0"/>
        <w:spacing w:before="120" w:beforeLines="50" w:line="360" w:lineRule="exact"/>
        <w:ind w:firstLine="420" w:firstLineChars="200"/>
        <w:rPr>
          <w:rFonts w:ascii="Times New Roman" w:hAnsi="Times New Roman" w:eastAsia="宋体" w:cs="Times New Roman"/>
          <w:color w:val="auto"/>
          <w:szCs w:val="21"/>
          <w:highlight w:val="none"/>
        </w:rPr>
      </w:pPr>
    </w:p>
    <w:p w14:paraId="75509F71">
      <w:pPr>
        <w:snapToGrid w:val="0"/>
        <w:spacing w:before="120" w:beforeLines="50" w:after="50" w:line="360" w:lineRule="exact"/>
        <w:ind w:firstLine="3570" w:firstLineChars="1700"/>
        <w:rPr>
          <w:rFonts w:ascii="Times New Roman" w:hAnsi="Times New Roman" w:eastAsia="宋体" w:cs="Times New Roman"/>
          <w:color w:val="auto"/>
          <w:szCs w:val="21"/>
          <w:highlight w:val="none"/>
        </w:rPr>
      </w:pPr>
      <w:bookmarkStart w:id="125" w:name="_Hlk89181199"/>
      <w:r>
        <w:rPr>
          <w:rFonts w:ascii="Times New Roman" w:hAnsi="Times New Roman" w:eastAsia="宋体" w:cs="Times New Roman"/>
          <w:color w:val="auto"/>
          <w:szCs w:val="21"/>
          <w:highlight w:val="none"/>
        </w:rPr>
        <w:t>供应商</w:t>
      </w:r>
      <w:r>
        <w:rPr>
          <w:rFonts w:hint="eastAsia" w:ascii="Times New Roman" w:hAnsi="Times New Roman" w:eastAsia="宋体" w:cs="Times New Roman"/>
          <w:color w:val="auto"/>
          <w:szCs w:val="21"/>
          <w:highlight w:val="none"/>
        </w:rPr>
        <w:t>名称（电子签章）</w:t>
      </w:r>
      <w:r>
        <w:rPr>
          <w:rFonts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u w:val="single"/>
        </w:rPr>
        <w:t xml:space="preserve">                </w:t>
      </w:r>
    </w:p>
    <w:p w14:paraId="2C28B220">
      <w:pPr>
        <w:snapToGrid w:val="0"/>
        <w:spacing w:before="120" w:beforeLines="50" w:after="50" w:line="360" w:lineRule="exact"/>
        <w:ind w:firstLine="210" w:firstLineChars="1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年    月    日</w:t>
      </w:r>
    </w:p>
    <w:bookmarkEnd w:id="125"/>
    <w:p w14:paraId="34799766">
      <w:pPr>
        <w:snapToGrid w:val="0"/>
        <w:spacing w:before="120" w:beforeLines="50" w:after="50" w:line="440" w:lineRule="exact"/>
        <w:jc w:val="both"/>
        <w:rPr>
          <w:rFonts w:ascii="Times New Roman" w:hAnsi="Times New Roman" w:eastAsia="宋体" w:cs="Times New Roman"/>
          <w:color w:val="auto"/>
          <w:szCs w:val="21"/>
          <w:highlight w:val="none"/>
        </w:rPr>
      </w:pPr>
    </w:p>
    <w:p w14:paraId="09C288D8">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附件：法定代表人身份证复印件及授权代表身份证复印件</w:t>
      </w:r>
    </w:p>
    <w:p w14:paraId="1E86315C">
      <w:pPr>
        <w:spacing w:line="360" w:lineRule="auto"/>
        <w:rPr>
          <w:rFonts w:hint="eastAsia" w:ascii="Times New Roman" w:hAnsi="Times New Roman" w:eastAsia="宋体" w:cs="Times New Roman"/>
          <w:color w:val="auto"/>
          <w:highlight w:val="none"/>
        </w:rPr>
      </w:pPr>
    </w:p>
    <w:p w14:paraId="29BB1D5F">
      <w:pPr>
        <w:snapToGrid w:val="0"/>
        <w:spacing w:before="120" w:beforeLines="50" w:after="50" w:line="440" w:lineRule="exact"/>
        <w:rPr>
          <w:rFonts w:hint="eastAsia" w:ascii="Times New Roman" w:hAnsi="Times New Roman" w:eastAsia="宋体" w:cs="Times New Roman"/>
          <w:color w:val="auto"/>
          <w:szCs w:val="21"/>
          <w:highlight w:val="none"/>
        </w:rPr>
      </w:pPr>
    </w:p>
    <w:p w14:paraId="60FA7695">
      <w:pPr>
        <w:snapToGrid/>
        <w:spacing w:before="0" w:beforeLines="-2147483648" w:after="0" w:line="24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br w:type="page"/>
      </w:r>
    </w:p>
    <w:p w14:paraId="4940605D">
      <w:pPr>
        <w:widowControl w:val="0"/>
        <w:tabs>
          <w:tab w:val="left" w:pos="2127"/>
        </w:tabs>
        <w:spacing w:line="340" w:lineRule="exact"/>
        <w:jc w:val="both"/>
        <w:rPr>
          <w:rFonts w:hint="eastAsia" w:ascii="宋体" w:hAnsi="Courier New" w:eastAsia="宋体" w:cs="Courier New"/>
          <w:b/>
          <w:color w:val="auto"/>
          <w:kern w:val="2"/>
          <w:sz w:val="21"/>
          <w:szCs w:val="21"/>
          <w:highlight w:val="none"/>
          <w:lang w:val="en-US" w:eastAsia="zh-CN" w:bidi="ar-SA"/>
        </w:rPr>
      </w:pPr>
      <w:bookmarkStart w:id="126" w:name="_Hlk21623558"/>
      <w:r>
        <w:rPr>
          <w:rFonts w:hint="eastAsia" w:ascii="Times New Roman" w:hAnsi="Times New Roman" w:eastAsia="宋体" w:cs="Times New Roman"/>
          <w:color w:val="auto"/>
          <w:kern w:val="2"/>
          <w:sz w:val="21"/>
          <w:szCs w:val="21"/>
          <w:highlight w:val="none"/>
          <w:lang w:val="en-US" w:eastAsia="zh-CN" w:bidi="ar-SA"/>
        </w:rPr>
        <w:t>3</w:t>
      </w:r>
      <w:r>
        <w:rPr>
          <w:rFonts w:ascii="Times New Roman" w:hAnsi="Times New Roman" w:eastAsia="宋体" w:cs="Times New Roman"/>
          <w:color w:val="auto"/>
          <w:kern w:val="2"/>
          <w:sz w:val="21"/>
          <w:szCs w:val="21"/>
          <w:highlight w:val="none"/>
          <w:lang w:val="en-US" w:eastAsia="zh-CN" w:bidi="ar-SA"/>
        </w:rPr>
        <w:t>．供应商应符合的特定资格</w:t>
      </w:r>
      <w:r>
        <w:rPr>
          <w:rFonts w:hint="eastAsia" w:ascii="Times New Roman" w:hAnsi="Times New Roman" w:eastAsia="宋体" w:cs="Times New Roman"/>
          <w:color w:val="auto"/>
          <w:kern w:val="2"/>
          <w:sz w:val="21"/>
          <w:szCs w:val="21"/>
          <w:highlight w:val="none"/>
          <w:lang w:val="en-US" w:eastAsia="zh-CN" w:bidi="ar-SA"/>
        </w:rPr>
        <w:t>要求</w:t>
      </w:r>
    </w:p>
    <w:bookmarkEnd w:id="126"/>
    <w:p w14:paraId="5A8ADBA1">
      <w:pPr>
        <w:spacing w:line="360" w:lineRule="auto"/>
        <w:rPr>
          <w:color w:val="auto"/>
          <w:szCs w:val="21"/>
          <w:highlight w:val="none"/>
        </w:rPr>
      </w:pPr>
      <w:bookmarkStart w:id="127" w:name="_Hlk132879836"/>
    </w:p>
    <w:p w14:paraId="75B92D03">
      <w:pPr>
        <w:snapToGrid w:val="0"/>
        <w:spacing w:before="50" w:after="120" w:afterLines="50" w:line="440" w:lineRule="exact"/>
        <w:jc w:val="left"/>
        <w:rPr>
          <w:color w:val="auto"/>
          <w:highlight w:val="none"/>
        </w:rPr>
      </w:pPr>
      <w:r>
        <w:rPr>
          <w:color w:val="auto"/>
          <w:szCs w:val="21"/>
          <w:highlight w:val="none"/>
        </w:rPr>
        <w:br w:type="page"/>
      </w:r>
      <w:bookmarkEnd w:id="127"/>
      <w:r>
        <w:rPr>
          <w:rFonts w:hint="eastAsia"/>
          <w:color w:val="auto"/>
          <w:szCs w:val="21"/>
          <w:highlight w:val="none"/>
          <w:lang w:val="en-US" w:eastAsia="zh-CN"/>
        </w:rPr>
        <w:t>4</w:t>
      </w:r>
      <w:r>
        <w:rPr>
          <w:color w:val="auto"/>
          <w:szCs w:val="21"/>
          <w:highlight w:val="none"/>
        </w:rPr>
        <w:t>．</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“资格性检查表”“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（如采购文件有要求时必须提供）</w:t>
      </w:r>
    </w:p>
    <w:p w14:paraId="060C12E3">
      <w:pPr>
        <w:snapToGrid w:val="0"/>
        <w:spacing w:before="50" w:after="120" w:afterLines="50" w:line="360" w:lineRule="auto"/>
        <w:jc w:val="left"/>
        <w:rPr>
          <w:color w:val="auto"/>
          <w:szCs w:val="21"/>
          <w:highlight w:val="none"/>
        </w:rPr>
      </w:pPr>
      <w:r>
        <w:rPr>
          <w:b/>
          <w:color w:val="auto"/>
          <w:szCs w:val="21"/>
          <w:highlight w:val="none"/>
        </w:rPr>
        <w:br w:type="page"/>
      </w:r>
      <w:r>
        <w:rPr>
          <w:rFonts w:hint="eastAsia"/>
          <w:b/>
          <w:color w:val="auto"/>
          <w:szCs w:val="21"/>
          <w:highlight w:val="none"/>
          <w:lang w:val="en-US" w:eastAsia="zh-CN"/>
        </w:rPr>
        <w:t>4</w:t>
      </w:r>
      <w:r>
        <w:rPr>
          <w:color w:val="auto"/>
          <w:szCs w:val="21"/>
          <w:highlight w:val="none"/>
        </w:rPr>
        <w:t>.1</w:t>
      </w:r>
      <w:r>
        <w:rPr>
          <w:rFonts w:hint="eastAsia"/>
          <w:color w:val="auto"/>
          <w:szCs w:val="21"/>
          <w:highlight w:val="none"/>
        </w:rPr>
        <w:t>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049962A4">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C028662">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31D761F">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5FD094B">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5CC4AD">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2E5E07">
            <w:pPr>
              <w:spacing w:line="360" w:lineRule="auto"/>
              <w:jc w:val="center"/>
              <w:rPr>
                <w:color w:val="auto"/>
                <w:szCs w:val="21"/>
                <w:highlight w:val="none"/>
              </w:rPr>
            </w:pPr>
            <w:r>
              <w:rPr>
                <w:rFonts w:hint="eastAsia"/>
                <w:color w:val="auto"/>
                <w:szCs w:val="21"/>
                <w:highlight w:val="none"/>
              </w:rPr>
              <w:t>备注</w:t>
            </w:r>
          </w:p>
        </w:tc>
      </w:tr>
      <w:tr w14:paraId="6C948FE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9481B7">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C5E51A">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83CCE4">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777C29">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BE01964">
            <w:pPr>
              <w:spacing w:line="360" w:lineRule="auto"/>
              <w:jc w:val="center"/>
              <w:rPr>
                <w:color w:val="auto"/>
                <w:szCs w:val="21"/>
                <w:highlight w:val="none"/>
              </w:rPr>
            </w:pPr>
          </w:p>
        </w:tc>
      </w:tr>
      <w:tr w14:paraId="1AEDC17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1333272">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3E91566">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3DDBF09">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2A46F2">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EC61448">
            <w:pPr>
              <w:spacing w:line="360" w:lineRule="auto"/>
              <w:jc w:val="center"/>
              <w:rPr>
                <w:color w:val="auto"/>
                <w:szCs w:val="21"/>
                <w:highlight w:val="none"/>
              </w:rPr>
            </w:pPr>
          </w:p>
        </w:tc>
      </w:tr>
      <w:tr w14:paraId="560C589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4927B1C">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0B583E8">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EA24F84">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05D9B0D">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01D4E48">
            <w:pPr>
              <w:spacing w:line="360" w:lineRule="auto"/>
              <w:jc w:val="center"/>
              <w:rPr>
                <w:color w:val="auto"/>
                <w:szCs w:val="21"/>
                <w:highlight w:val="none"/>
              </w:rPr>
            </w:pPr>
          </w:p>
        </w:tc>
      </w:tr>
      <w:tr w14:paraId="1F4ECD4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7187071">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6EE50B4">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F7E503">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7C91FF8">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EA5995B">
            <w:pPr>
              <w:spacing w:line="360" w:lineRule="auto"/>
              <w:jc w:val="center"/>
              <w:rPr>
                <w:color w:val="auto"/>
                <w:szCs w:val="21"/>
                <w:highlight w:val="none"/>
              </w:rPr>
            </w:pPr>
          </w:p>
        </w:tc>
      </w:tr>
    </w:tbl>
    <w:p w14:paraId="6E48EFB3">
      <w:pPr>
        <w:snapToGrid w:val="0"/>
        <w:spacing w:line="360" w:lineRule="auto"/>
        <w:jc w:val="left"/>
        <w:rPr>
          <w:color w:val="auto"/>
          <w:szCs w:val="21"/>
          <w:highlight w:val="none"/>
        </w:rPr>
      </w:pPr>
      <w:r>
        <w:rPr>
          <w:rFonts w:hint="eastAsia"/>
          <w:color w:val="auto"/>
          <w:szCs w:val="21"/>
          <w:highlight w:val="none"/>
        </w:rPr>
        <w:t>注：</w:t>
      </w:r>
    </w:p>
    <w:p w14:paraId="43D39694">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9A20B7E">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6BD8190A">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012DB76A">
      <w:pPr>
        <w:snapToGrid w:val="0"/>
        <w:spacing w:line="360" w:lineRule="auto"/>
        <w:jc w:val="left"/>
        <w:rPr>
          <w:color w:val="auto"/>
          <w:szCs w:val="21"/>
          <w:highlight w:val="none"/>
        </w:rPr>
      </w:pPr>
    </w:p>
    <w:p w14:paraId="2CA81C4B">
      <w:pPr>
        <w:snapToGrid w:val="0"/>
        <w:spacing w:line="360" w:lineRule="auto"/>
        <w:jc w:val="left"/>
        <w:rPr>
          <w:color w:val="auto"/>
          <w:szCs w:val="21"/>
          <w:highlight w:val="none"/>
        </w:rPr>
      </w:pPr>
    </w:p>
    <w:p w14:paraId="0261FA1C">
      <w:pPr>
        <w:snapToGrid w:val="0"/>
        <w:spacing w:line="360" w:lineRule="auto"/>
        <w:jc w:val="left"/>
        <w:rPr>
          <w:color w:val="auto"/>
          <w:szCs w:val="21"/>
          <w:highlight w:val="none"/>
        </w:rPr>
      </w:pPr>
    </w:p>
    <w:p w14:paraId="1BD8FA62">
      <w:pPr>
        <w:snapToGrid w:val="0"/>
        <w:spacing w:line="360" w:lineRule="auto"/>
        <w:jc w:val="left"/>
        <w:rPr>
          <w:color w:val="auto"/>
          <w:szCs w:val="21"/>
          <w:highlight w:val="none"/>
        </w:rPr>
      </w:pPr>
    </w:p>
    <w:p w14:paraId="3C66E078">
      <w:pPr>
        <w:snapToGrid w:val="0"/>
        <w:spacing w:line="360" w:lineRule="auto"/>
        <w:jc w:val="left"/>
        <w:rPr>
          <w:color w:val="auto"/>
          <w:szCs w:val="21"/>
          <w:highlight w:val="none"/>
        </w:rPr>
      </w:pPr>
    </w:p>
    <w:p w14:paraId="606F37F3">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6284CDBE">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4709284E">
      <w:pPr>
        <w:snapToGrid w:val="0"/>
        <w:jc w:val="left"/>
        <w:rPr>
          <w:rFonts w:ascii="宋体" w:hAnsi="宋体"/>
          <w:b/>
          <w:color w:val="auto"/>
          <w:sz w:val="28"/>
          <w:szCs w:val="28"/>
          <w:highlight w:val="none"/>
        </w:rPr>
      </w:pPr>
      <w:r>
        <w:rPr>
          <w:rFonts w:ascii="宋体" w:hAnsi="宋体"/>
          <w:b/>
          <w:color w:val="auto"/>
          <w:sz w:val="28"/>
          <w:szCs w:val="28"/>
          <w:highlight w:val="none"/>
        </w:rPr>
        <w:br w:type="page"/>
      </w:r>
      <w:r>
        <w:rPr>
          <w:rFonts w:hint="eastAsia" w:cs="Times New Roman"/>
          <w:b w:val="0"/>
          <w:color w:val="auto"/>
          <w:sz w:val="21"/>
          <w:szCs w:val="21"/>
          <w:highlight w:val="none"/>
          <w:lang w:val="en-US" w:eastAsia="zh-CN"/>
        </w:rPr>
        <w:t>4</w:t>
      </w:r>
      <w:r>
        <w:rPr>
          <w:rFonts w:hint="eastAsia" w:ascii="Times New Roman" w:hAnsi="Times New Roman" w:eastAsia="宋体" w:cs="Times New Roman"/>
          <w:color w:val="auto"/>
          <w:szCs w:val="21"/>
          <w:highlight w:val="none"/>
        </w:rPr>
        <w:t>.2</w:t>
      </w:r>
      <w:r>
        <w:rPr>
          <w:rFonts w:hint="eastAsia"/>
          <w:color w:val="auto"/>
          <w:szCs w:val="21"/>
          <w:highlight w:val="none"/>
        </w:rPr>
        <w:t>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36BED1C">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19FA21">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51D5A8">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9235FF">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3A2E32">
            <w:pPr>
              <w:spacing w:line="360" w:lineRule="auto"/>
              <w:jc w:val="center"/>
              <w:rPr>
                <w:color w:val="auto"/>
                <w:szCs w:val="21"/>
                <w:highlight w:val="none"/>
              </w:rPr>
            </w:pPr>
            <w:r>
              <w:rPr>
                <w:rFonts w:hint="eastAsia"/>
                <w:color w:val="auto"/>
                <w:szCs w:val="21"/>
                <w:highlight w:val="none"/>
              </w:rPr>
              <w:t>备注</w:t>
            </w:r>
          </w:p>
        </w:tc>
      </w:tr>
      <w:tr w14:paraId="60D5833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B7DD76">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197AC8">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F84C23">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055299">
            <w:pPr>
              <w:spacing w:line="360" w:lineRule="auto"/>
              <w:jc w:val="center"/>
              <w:rPr>
                <w:color w:val="auto"/>
                <w:szCs w:val="21"/>
                <w:highlight w:val="none"/>
              </w:rPr>
            </w:pPr>
          </w:p>
        </w:tc>
      </w:tr>
      <w:tr w14:paraId="107D718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C08D36">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7BB42C">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DFA9FD">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3A5105">
            <w:pPr>
              <w:spacing w:line="360" w:lineRule="auto"/>
              <w:jc w:val="center"/>
              <w:rPr>
                <w:color w:val="auto"/>
                <w:szCs w:val="21"/>
                <w:highlight w:val="none"/>
              </w:rPr>
            </w:pPr>
          </w:p>
        </w:tc>
      </w:tr>
      <w:tr w14:paraId="36A5CE3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CBD3AF">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B556CF">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70A038">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1E4A38">
            <w:pPr>
              <w:spacing w:line="360" w:lineRule="auto"/>
              <w:jc w:val="center"/>
              <w:rPr>
                <w:color w:val="auto"/>
                <w:szCs w:val="21"/>
                <w:highlight w:val="none"/>
              </w:rPr>
            </w:pPr>
          </w:p>
        </w:tc>
      </w:tr>
      <w:tr w14:paraId="6483694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2AA7C1">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C93D67">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591BC1">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B3BFF6">
            <w:pPr>
              <w:spacing w:line="360" w:lineRule="auto"/>
              <w:jc w:val="center"/>
              <w:rPr>
                <w:color w:val="auto"/>
                <w:szCs w:val="21"/>
                <w:highlight w:val="none"/>
              </w:rPr>
            </w:pPr>
          </w:p>
        </w:tc>
      </w:tr>
    </w:tbl>
    <w:p w14:paraId="6342D109">
      <w:pPr>
        <w:snapToGrid w:val="0"/>
        <w:spacing w:line="360" w:lineRule="auto"/>
        <w:jc w:val="left"/>
        <w:rPr>
          <w:color w:val="auto"/>
          <w:szCs w:val="21"/>
          <w:highlight w:val="none"/>
        </w:rPr>
      </w:pPr>
      <w:r>
        <w:rPr>
          <w:rFonts w:hint="eastAsia"/>
          <w:color w:val="auto"/>
          <w:szCs w:val="21"/>
          <w:highlight w:val="none"/>
        </w:rPr>
        <w:t>注：</w:t>
      </w:r>
    </w:p>
    <w:p w14:paraId="21674579">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4F63CF41">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336D4C91">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745B5A44">
      <w:pPr>
        <w:snapToGrid w:val="0"/>
        <w:spacing w:line="360" w:lineRule="auto"/>
        <w:jc w:val="left"/>
        <w:rPr>
          <w:color w:val="auto"/>
          <w:szCs w:val="21"/>
          <w:highlight w:val="none"/>
        </w:rPr>
      </w:pPr>
    </w:p>
    <w:p w14:paraId="453F34C0">
      <w:pPr>
        <w:snapToGrid w:val="0"/>
        <w:spacing w:line="360" w:lineRule="auto"/>
        <w:jc w:val="left"/>
        <w:rPr>
          <w:color w:val="auto"/>
          <w:szCs w:val="21"/>
          <w:highlight w:val="none"/>
        </w:rPr>
      </w:pPr>
    </w:p>
    <w:p w14:paraId="00A7C11E">
      <w:pPr>
        <w:snapToGrid w:val="0"/>
        <w:spacing w:line="360" w:lineRule="auto"/>
        <w:jc w:val="left"/>
        <w:rPr>
          <w:color w:val="auto"/>
          <w:szCs w:val="21"/>
          <w:highlight w:val="none"/>
        </w:rPr>
      </w:pPr>
    </w:p>
    <w:p w14:paraId="7B264A31">
      <w:pPr>
        <w:snapToGrid w:val="0"/>
        <w:spacing w:line="360" w:lineRule="auto"/>
        <w:jc w:val="left"/>
        <w:rPr>
          <w:color w:val="auto"/>
          <w:szCs w:val="21"/>
          <w:highlight w:val="none"/>
        </w:rPr>
      </w:pPr>
    </w:p>
    <w:p w14:paraId="675A42F5">
      <w:pPr>
        <w:snapToGrid w:val="0"/>
        <w:spacing w:line="360" w:lineRule="auto"/>
        <w:jc w:val="left"/>
        <w:rPr>
          <w:color w:val="auto"/>
          <w:szCs w:val="21"/>
          <w:highlight w:val="none"/>
        </w:rPr>
      </w:pPr>
    </w:p>
    <w:p w14:paraId="056B31D0">
      <w:pPr>
        <w:snapToGrid w:val="0"/>
        <w:spacing w:line="360" w:lineRule="auto"/>
        <w:jc w:val="left"/>
        <w:rPr>
          <w:color w:val="auto"/>
          <w:szCs w:val="21"/>
          <w:highlight w:val="none"/>
        </w:rPr>
      </w:pPr>
    </w:p>
    <w:p w14:paraId="04E92DBA">
      <w:pPr>
        <w:snapToGrid w:val="0"/>
        <w:spacing w:line="360" w:lineRule="auto"/>
        <w:jc w:val="left"/>
        <w:rPr>
          <w:color w:val="auto"/>
          <w:szCs w:val="21"/>
          <w:highlight w:val="none"/>
        </w:rPr>
      </w:pPr>
    </w:p>
    <w:p w14:paraId="018C0680">
      <w:pPr>
        <w:snapToGrid w:val="0"/>
        <w:spacing w:line="360" w:lineRule="auto"/>
        <w:jc w:val="left"/>
        <w:rPr>
          <w:color w:val="auto"/>
          <w:szCs w:val="21"/>
          <w:highlight w:val="none"/>
        </w:rPr>
      </w:pPr>
    </w:p>
    <w:p w14:paraId="14D682B9">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54C935D7">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26F43FBA">
      <w:pPr>
        <w:widowControl/>
        <w:jc w:val="left"/>
        <w:rPr>
          <w:b/>
          <w:color w:val="auto"/>
          <w:szCs w:val="21"/>
          <w:highlight w:val="none"/>
        </w:rPr>
      </w:pPr>
      <w:r>
        <w:rPr>
          <w:color w:val="auto"/>
          <w:highlight w:val="none"/>
        </w:rPr>
        <w:br w:type="page"/>
      </w:r>
      <w:r>
        <w:rPr>
          <w:rFonts w:hint="eastAsia"/>
          <w:color w:val="auto"/>
          <w:szCs w:val="21"/>
          <w:highlight w:val="none"/>
          <w:lang w:val="en-US" w:eastAsia="zh-CN"/>
        </w:rPr>
        <w:t>5</w:t>
      </w:r>
      <w:r>
        <w:rPr>
          <w:color w:val="auto"/>
          <w:szCs w:val="21"/>
          <w:highlight w:val="none"/>
        </w:rPr>
        <w:t>．供应商认为应当要提交的资格证明材料。</w:t>
      </w:r>
    </w:p>
    <w:p w14:paraId="5B6992A4">
      <w:pPr>
        <w:snapToGrid w:val="0"/>
        <w:spacing w:before="50" w:after="120" w:afterLines="50" w:line="400" w:lineRule="exact"/>
        <w:jc w:val="left"/>
        <w:rPr>
          <w:color w:val="auto"/>
          <w:szCs w:val="21"/>
          <w:highlight w:val="none"/>
        </w:rPr>
      </w:pPr>
    </w:p>
    <w:p w14:paraId="5B207BBC">
      <w:pPr>
        <w:pStyle w:val="7"/>
        <w:overflowPunct w:val="0"/>
        <w:ind w:firstLine="0"/>
        <w:rPr>
          <w:color w:val="auto"/>
          <w:szCs w:val="21"/>
          <w:highlight w:val="none"/>
        </w:rPr>
      </w:pPr>
    </w:p>
    <w:p w14:paraId="50BB31B8">
      <w:pPr>
        <w:spacing w:line="276" w:lineRule="auto"/>
        <w:rPr>
          <w:color w:val="auto"/>
          <w:szCs w:val="21"/>
          <w:highlight w:val="none"/>
        </w:rPr>
      </w:pPr>
    </w:p>
    <w:p w14:paraId="3BB4CA68">
      <w:pPr>
        <w:spacing w:line="276" w:lineRule="auto"/>
        <w:rPr>
          <w:color w:val="auto"/>
          <w:szCs w:val="21"/>
          <w:highlight w:val="none"/>
        </w:rPr>
      </w:pPr>
    </w:p>
    <w:p w14:paraId="07282CCB">
      <w:pPr>
        <w:snapToGrid w:val="0"/>
        <w:spacing w:before="50" w:after="120" w:afterLines="50" w:line="400" w:lineRule="exact"/>
        <w:jc w:val="left"/>
        <w:rPr>
          <w:rFonts w:hint="eastAsia"/>
          <w:color w:val="auto"/>
          <w:szCs w:val="21"/>
          <w:highlight w:val="none"/>
        </w:rPr>
      </w:pPr>
    </w:p>
    <w:p w14:paraId="30BA1AE7">
      <w:pPr>
        <w:snapToGrid w:val="0"/>
        <w:spacing w:before="120" w:beforeLines="50" w:after="50" w:afterLines="0" w:line="440" w:lineRule="exact"/>
        <w:jc w:val="left"/>
        <w:outlineLvl w:val="1"/>
        <w:rPr>
          <w:rFonts w:hint="default" w:ascii="Times New Roman" w:hAnsi="Times New Roman" w:eastAsia="宋体" w:cs="Times New Roman"/>
          <w:b/>
          <w:color w:val="auto"/>
          <w:sz w:val="24"/>
          <w:szCs w:val="24"/>
          <w:highlight w:val="none"/>
        </w:rPr>
      </w:pPr>
      <w:r>
        <w:rPr>
          <w:color w:val="auto"/>
          <w:szCs w:val="21"/>
          <w:highlight w:val="none"/>
        </w:rPr>
        <w:br w:type="page"/>
      </w:r>
      <w:r>
        <w:rPr>
          <w:rFonts w:hint="eastAsia" w:cs="Times New Roman"/>
          <w:b w:val="0"/>
          <w:bCs w:val="0"/>
          <w:color w:val="auto"/>
          <w:sz w:val="24"/>
          <w:szCs w:val="24"/>
          <w:highlight w:val="none"/>
          <w:lang w:val="en-US" w:eastAsia="zh-CN"/>
        </w:rPr>
        <w:t>二、</w:t>
      </w:r>
      <w:r>
        <w:rPr>
          <w:rFonts w:hint="eastAsia" w:ascii="宋体" w:hAnsi="宋体" w:eastAsia="宋体" w:cs="Times New Roman"/>
          <w:b w:val="0"/>
          <w:bCs w:val="0"/>
          <w:color w:val="auto"/>
          <w:sz w:val="24"/>
          <w:szCs w:val="24"/>
          <w:highlight w:val="none"/>
        </w:rPr>
        <w:t xml:space="preserve">响应文件封面参考格式（商务技术文件）： </w:t>
      </w:r>
    </w:p>
    <w:p w14:paraId="1F090A61">
      <w:pPr>
        <w:snapToGrid w:val="0"/>
        <w:spacing w:before="120" w:beforeLines="50" w:after="50" w:afterLines="0" w:line="360" w:lineRule="exact"/>
        <w:rPr>
          <w:rFonts w:hint="default" w:ascii="Times New Roman" w:hAnsi="Times New Roman" w:eastAsia="宋体" w:cs="Times New Roman"/>
          <w:color w:val="auto"/>
          <w:sz w:val="24"/>
          <w:szCs w:val="24"/>
          <w:highlight w:val="none"/>
        </w:rPr>
      </w:pPr>
    </w:p>
    <w:p w14:paraId="110C43AA">
      <w:pPr>
        <w:snapToGrid w:val="0"/>
        <w:spacing w:before="120" w:beforeLines="50" w:after="50" w:afterLines="0" w:line="360" w:lineRule="exact"/>
        <w:jc w:val="right"/>
        <w:rPr>
          <w:rFonts w:hint="default" w:ascii="Times New Roman" w:hAnsi="Times New Roman" w:eastAsia="宋体" w:cs="Times New Roman"/>
          <w:color w:val="auto"/>
          <w:sz w:val="24"/>
          <w:szCs w:val="24"/>
          <w:highlight w:val="none"/>
        </w:rPr>
      </w:pPr>
    </w:p>
    <w:p w14:paraId="4954D7DD">
      <w:pPr>
        <w:snapToGrid w:val="0"/>
        <w:spacing w:before="120" w:beforeLines="50" w:after="50" w:afterLines="0" w:line="360" w:lineRule="exact"/>
        <w:jc w:val="center"/>
        <w:rPr>
          <w:rFonts w:hint="default" w:ascii="Times New Roman" w:hAnsi="Times New Roman" w:eastAsia="宋体" w:cs="Times New Roman"/>
          <w:color w:val="auto"/>
          <w:sz w:val="24"/>
          <w:szCs w:val="24"/>
          <w:highlight w:val="none"/>
        </w:rPr>
      </w:pPr>
      <w:r>
        <w:rPr>
          <w:rFonts w:hint="eastAsia" w:ascii="宋体" w:hAnsi="宋体" w:eastAsia="宋体" w:cs="Times New Roman"/>
          <w:b/>
          <w:color w:val="auto"/>
          <w:sz w:val="44"/>
          <w:szCs w:val="24"/>
          <w:highlight w:val="none"/>
        </w:rPr>
        <w:t>电子响应文件</w:t>
      </w:r>
    </w:p>
    <w:p w14:paraId="7D1F82B1">
      <w:pPr>
        <w:snapToGrid w:val="0"/>
        <w:spacing w:before="120" w:beforeLines="50" w:after="50" w:afterLines="0" w:line="360" w:lineRule="exact"/>
        <w:jc w:val="center"/>
        <w:rPr>
          <w:rFonts w:hint="default" w:ascii="Times New Roman" w:hAnsi="Times New Roman" w:eastAsia="宋体" w:cs="Times New Roman"/>
          <w:b/>
          <w:color w:val="auto"/>
          <w:sz w:val="44"/>
          <w:szCs w:val="24"/>
          <w:highlight w:val="none"/>
        </w:rPr>
      </w:pPr>
    </w:p>
    <w:p w14:paraId="6EEC3E40">
      <w:pPr>
        <w:snapToGrid w:val="0"/>
        <w:spacing w:before="120" w:beforeLines="50" w:after="50" w:afterLines="0" w:line="360" w:lineRule="exact"/>
        <w:jc w:val="center"/>
        <w:rPr>
          <w:rFonts w:hint="default" w:ascii="Times New Roman" w:hAnsi="Times New Roman" w:eastAsia="宋体" w:cs="Times New Roman"/>
          <w:b/>
          <w:color w:val="auto"/>
          <w:sz w:val="44"/>
          <w:szCs w:val="24"/>
          <w:highlight w:val="none"/>
        </w:rPr>
      </w:pPr>
    </w:p>
    <w:p w14:paraId="6979F309">
      <w:pPr>
        <w:snapToGrid w:val="0"/>
        <w:spacing w:before="120" w:beforeLines="50" w:after="50" w:afterLines="0" w:line="360" w:lineRule="exact"/>
        <w:jc w:val="center"/>
        <w:rPr>
          <w:rFonts w:hint="default" w:ascii="Times New Roman" w:hAnsi="Times New Roman" w:eastAsia="宋体" w:cs="Times New Roman"/>
          <w:b/>
          <w:color w:val="auto"/>
          <w:sz w:val="44"/>
          <w:szCs w:val="24"/>
          <w:highlight w:val="none"/>
        </w:rPr>
      </w:pPr>
      <w:r>
        <w:rPr>
          <w:rFonts w:hint="eastAsia" w:ascii="Times New Roman" w:hAnsi="Times New Roman" w:eastAsia="宋体" w:cs="Times New Roman"/>
          <w:b/>
          <w:color w:val="auto"/>
          <w:sz w:val="44"/>
          <w:szCs w:val="24"/>
          <w:highlight w:val="none"/>
          <w:lang w:val="en-US" w:eastAsia="zh-CN"/>
        </w:rPr>
        <w:t>商</w:t>
      </w:r>
      <w:r>
        <w:rPr>
          <w:rFonts w:hint="eastAsia" w:ascii="Times New Roman" w:hAnsi="Times New Roman" w:eastAsia="宋体" w:cs="Times New Roman"/>
          <w:b/>
          <w:color w:val="auto"/>
          <w:sz w:val="44"/>
          <w:szCs w:val="24"/>
          <w:highlight w:val="none"/>
        </w:rPr>
        <w:t>务技术文件</w:t>
      </w:r>
    </w:p>
    <w:p w14:paraId="16D5ECE1">
      <w:pPr>
        <w:snapToGrid w:val="0"/>
        <w:spacing w:before="120" w:beforeLines="50" w:after="50" w:afterLines="0" w:line="360" w:lineRule="exact"/>
        <w:jc w:val="center"/>
        <w:rPr>
          <w:rFonts w:hint="default" w:ascii="Times New Roman" w:hAnsi="Times New Roman" w:eastAsia="宋体" w:cs="Times New Roman"/>
          <w:b/>
          <w:color w:val="auto"/>
          <w:sz w:val="44"/>
          <w:szCs w:val="24"/>
          <w:highlight w:val="none"/>
        </w:rPr>
      </w:pPr>
    </w:p>
    <w:p w14:paraId="584D357D">
      <w:pPr>
        <w:snapToGrid w:val="0"/>
        <w:spacing w:before="120" w:beforeLines="50" w:after="50" w:afterLines="0" w:line="360" w:lineRule="exact"/>
        <w:rPr>
          <w:rFonts w:hint="default" w:ascii="Times New Roman" w:hAnsi="Times New Roman" w:eastAsia="宋体" w:cs="Times New Roman"/>
          <w:color w:val="auto"/>
          <w:sz w:val="24"/>
          <w:szCs w:val="24"/>
          <w:highlight w:val="none"/>
        </w:rPr>
      </w:pPr>
    </w:p>
    <w:p w14:paraId="6C13B590">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项目名称： </w:t>
      </w:r>
    </w:p>
    <w:p w14:paraId="16EA467C">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项目编号：</w:t>
      </w:r>
    </w:p>
    <w:p w14:paraId="40D00A95">
      <w:pPr>
        <w:snapToGrid w:val="0"/>
        <w:spacing w:before="120" w:beforeLines="50" w:after="50" w:afterLines="0" w:line="44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分标号：（若无留空或写</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w:t>
      </w:r>
    </w:p>
    <w:p w14:paraId="293603B6">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供应商名称：</w:t>
      </w:r>
    </w:p>
    <w:p w14:paraId="4F3DC7BE">
      <w:pPr>
        <w:snapToGrid w:val="0"/>
        <w:spacing w:before="120" w:beforeLines="50" w:after="50" w:afterLines="0" w:line="360" w:lineRule="exact"/>
        <w:ind w:firstLine="720" w:firstLineChars="3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供应商地址：</w:t>
      </w:r>
    </w:p>
    <w:p w14:paraId="4F3191AD">
      <w:pPr>
        <w:pStyle w:val="7"/>
        <w:snapToGrid w:val="0"/>
        <w:spacing w:before="50" w:beforeLines="0" w:after="50" w:afterLines="0" w:line="360" w:lineRule="exact"/>
        <w:ind w:firstLine="960" w:firstLineChars="400"/>
        <w:rPr>
          <w:rFonts w:hint="default" w:ascii="Times New Roman" w:hAnsi="Times New Roman" w:eastAsia="宋体" w:cs="Times New Roman"/>
          <w:color w:val="auto"/>
          <w:sz w:val="24"/>
          <w:szCs w:val="24"/>
          <w:highlight w:val="none"/>
        </w:rPr>
      </w:pPr>
    </w:p>
    <w:p w14:paraId="34B6E9E9">
      <w:pPr>
        <w:snapToGrid w:val="0"/>
        <w:spacing w:before="120" w:beforeLines="50" w:after="50" w:afterLines="0" w:line="36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年  月  日</w:t>
      </w:r>
    </w:p>
    <w:p w14:paraId="07053336">
      <w:pPr>
        <w:snapToGrid w:val="0"/>
        <w:spacing w:before="120" w:beforeLines="50" w:after="50" w:line="440" w:lineRule="exact"/>
        <w:jc w:val="center"/>
        <w:outlineLvl w:val="1"/>
        <w:rPr>
          <w:bCs/>
          <w:color w:val="auto"/>
          <w:sz w:val="24"/>
          <w:highlight w:val="none"/>
        </w:rPr>
        <w:sectPr>
          <w:headerReference r:id="rId15" w:type="default"/>
          <w:footerReference r:id="rId16" w:type="default"/>
          <w:pgSz w:w="11906" w:h="16838"/>
          <w:pgMar w:top="1418" w:right="1274" w:bottom="1418" w:left="1418" w:header="851" w:footer="992" w:gutter="0"/>
          <w:cols w:space="720" w:num="1"/>
          <w:docGrid w:linePitch="312" w:charSpace="0"/>
        </w:sectPr>
      </w:pPr>
    </w:p>
    <w:p w14:paraId="48D3F3D1">
      <w:pPr>
        <w:snapToGrid w:val="0"/>
        <w:spacing w:before="120" w:beforeLines="50" w:after="50" w:line="440" w:lineRule="exact"/>
        <w:jc w:val="center"/>
        <w:outlineLvl w:val="9"/>
        <w:rPr>
          <w:rFonts w:ascii="Times New Roman" w:hAnsi="Times New Roman" w:eastAsia="宋体" w:cs="Times New Roman"/>
          <w:b/>
          <w:bCs/>
          <w:color w:val="auto"/>
          <w:sz w:val="24"/>
          <w:highlight w:val="none"/>
        </w:rPr>
      </w:pPr>
    </w:p>
    <w:p w14:paraId="386E972D">
      <w:pPr>
        <w:snapToGrid w:val="0"/>
        <w:spacing w:before="120" w:beforeLines="50" w:after="50" w:line="440" w:lineRule="exact"/>
        <w:jc w:val="center"/>
        <w:rPr>
          <w:rFonts w:ascii="Times New Roman" w:hAnsi="Times New Roman" w:eastAsia="宋体" w:cs="Times New Roman"/>
          <w:color w:val="auto"/>
          <w:sz w:val="24"/>
          <w:highlight w:val="none"/>
        </w:rPr>
      </w:pPr>
    </w:p>
    <w:p w14:paraId="5842084C">
      <w:pPr>
        <w:snapToGrid w:val="0"/>
        <w:spacing w:before="50" w:after="50" w:line="440" w:lineRule="exact"/>
        <w:ind w:firstLine="138" w:firstLineChars="49"/>
        <w:jc w:val="center"/>
        <w:rPr>
          <w:rFonts w:ascii="Times New Roman" w:hAnsi="Times New Roman" w:eastAsia="宋体" w:cs="Times New Roman"/>
          <w:b/>
          <w:color w:val="auto"/>
          <w:sz w:val="28"/>
          <w:szCs w:val="28"/>
          <w:highlight w:val="none"/>
        </w:rPr>
      </w:pPr>
      <w:r>
        <w:rPr>
          <w:rFonts w:ascii="Times New Roman" w:hAnsi="Times New Roman" w:eastAsia="宋体" w:cs="Times New Roman"/>
          <w:b/>
          <w:color w:val="auto"/>
          <w:sz w:val="28"/>
          <w:szCs w:val="28"/>
          <w:highlight w:val="none"/>
        </w:rPr>
        <w:t>目录</w:t>
      </w:r>
    </w:p>
    <w:p w14:paraId="6BD367BB">
      <w:pPr>
        <w:jc w:val="center"/>
        <w:rPr>
          <w:rFonts w:ascii="Times New Roman" w:hAnsi="Times New Roman" w:eastAsia="宋体" w:cs="Times New Roman"/>
          <w:b/>
          <w:color w:val="auto"/>
          <w:sz w:val="24"/>
          <w:highlight w:val="none"/>
        </w:rPr>
      </w:pPr>
      <w:r>
        <w:rPr>
          <w:rFonts w:ascii="Times New Roman" w:hAnsi="Times New Roman" w:eastAsia="宋体" w:cs="Times New Roman"/>
          <w:b/>
          <w:color w:val="auto"/>
          <w:sz w:val="24"/>
          <w:highlight w:val="none"/>
        </w:rPr>
        <w:t>（需有页码）</w:t>
      </w:r>
    </w:p>
    <w:p w14:paraId="17D6AECB">
      <w:pPr>
        <w:pStyle w:val="7"/>
        <w:overflowPunct w:val="0"/>
        <w:ind w:firstLine="0"/>
        <w:jc w:val="center"/>
        <w:outlineLvl w:val="9"/>
        <w:rPr>
          <w:bCs/>
          <w:color w:val="auto"/>
          <w:sz w:val="24"/>
          <w:highlight w:val="none"/>
        </w:rPr>
        <w:sectPr>
          <w:pgSz w:w="11906" w:h="16838"/>
          <w:pgMar w:top="1304" w:right="1418" w:bottom="1304" w:left="1418" w:header="851" w:footer="992" w:gutter="0"/>
          <w:cols w:space="720" w:num="1"/>
          <w:docGrid w:linePitch="312" w:charSpace="0"/>
        </w:sectPr>
      </w:pPr>
    </w:p>
    <w:p w14:paraId="2B948559">
      <w:pPr>
        <w:pStyle w:val="7"/>
        <w:overflowPunct w:val="0"/>
        <w:ind w:firstLine="0"/>
        <w:jc w:val="center"/>
        <w:outlineLvl w:val="9"/>
        <w:rPr>
          <w:bCs/>
          <w:color w:val="auto"/>
          <w:sz w:val="24"/>
          <w:highlight w:val="none"/>
        </w:rPr>
      </w:pPr>
      <w:r>
        <w:rPr>
          <w:bCs/>
          <w:color w:val="auto"/>
          <w:sz w:val="24"/>
          <w:highlight w:val="none"/>
        </w:rPr>
        <w:t>第二部分 商务</w:t>
      </w:r>
      <w:r>
        <w:rPr>
          <w:rFonts w:hint="eastAsia"/>
          <w:bCs/>
          <w:color w:val="auto"/>
          <w:sz w:val="24"/>
          <w:highlight w:val="none"/>
        </w:rPr>
        <w:t>技术</w:t>
      </w:r>
      <w:r>
        <w:rPr>
          <w:bCs/>
          <w:color w:val="auto"/>
          <w:sz w:val="24"/>
          <w:highlight w:val="none"/>
        </w:rPr>
        <w:t>文件</w:t>
      </w:r>
    </w:p>
    <w:p w14:paraId="5DCBC566">
      <w:pPr>
        <w:snapToGrid w:val="0"/>
        <w:spacing w:before="120" w:beforeLines="50" w:after="50" w:line="360" w:lineRule="exact"/>
        <w:rPr>
          <w:b/>
          <w:color w:val="auto"/>
          <w:szCs w:val="21"/>
          <w:highlight w:val="none"/>
        </w:rPr>
      </w:pPr>
      <w:bookmarkStart w:id="128" w:name="_Hlk19199735"/>
      <w:r>
        <w:rPr>
          <w:rFonts w:hint="eastAsia"/>
          <w:b/>
          <w:color w:val="auto"/>
          <w:szCs w:val="21"/>
          <w:highlight w:val="none"/>
        </w:rPr>
        <w:t>1</w:t>
      </w:r>
      <w:r>
        <w:rPr>
          <w:b/>
          <w:color w:val="auto"/>
          <w:szCs w:val="21"/>
          <w:highlight w:val="none"/>
        </w:rPr>
        <w:t>．</w:t>
      </w:r>
      <w:r>
        <w:rPr>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128"/>
    <w:p w14:paraId="7C4C8479">
      <w:pPr>
        <w:jc w:val="center"/>
        <w:rPr>
          <w:color w:val="auto"/>
          <w:highlight w:val="none"/>
        </w:rPr>
      </w:pPr>
      <w:bookmarkStart w:id="129" w:name="_Toc455309222"/>
      <w:bookmarkStart w:id="130" w:name="_Toc462320613"/>
      <w:bookmarkStart w:id="131" w:name="_Toc462223472"/>
    </w:p>
    <w:bookmarkEnd w:id="129"/>
    <w:bookmarkEnd w:id="130"/>
    <w:bookmarkEnd w:id="131"/>
    <w:p w14:paraId="22CA33E0">
      <w:pPr>
        <w:snapToGrid w:val="0"/>
        <w:spacing w:before="120" w:beforeLines="50" w:after="50" w:line="440" w:lineRule="exact"/>
        <w:jc w:val="center"/>
        <w:rPr>
          <w:b/>
          <w:color w:val="auto"/>
          <w:szCs w:val="21"/>
          <w:highlight w:val="none"/>
        </w:rPr>
      </w:pPr>
      <w:r>
        <w:rPr>
          <w:b/>
          <w:color w:val="auto"/>
          <w:szCs w:val="21"/>
          <w:highlight w:val="none"/>
        </w:rPr>
        <w:t>法定代表人身份证明</w:t>
      </w:r>
    </w:p>
    <w:p w14:paraId="62B3A488">
      <w:pPr>
        <w:spacing w:line="360" w:lineRule="auto"/>
        <w:rPr>
          <w:color w:val="auto"/>
          <w:highlight w:val="none"/>
        </w:rPr>
      </w:pPr>
    </w:p>
    <w:p w14:paraId="3920B83E">
      <w:pPr>
        <w:spacing w:line="360" w:lineRule="auto"/>
        <w:rPr>
          <w:color w:val="auto"/>
          <w:highlight w:val="none"/>
        </w:rPr>
      </w:pPr>
    </w:p>
    <w:p w14:paraId="4E768C49">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782A82F1">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75EB870D">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6F60EF41">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3651093C">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7EFC23D8">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5BBA90BF">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03DD4F95">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66692B7B">
      <w:pPr>
        <w:spacing w:line="540" w:lineRule="exact"/>
        <w:rPr>
          <w:rFonts w:hint="eastAsia"/>
          <w:color w:val="auto"/>
          <w:szCs w:val="21"/>
          <w:highlight w:val="none"/>
        </w:rPr>
      </w:pPr>
    </w:p>
    <w:p w14:paraId="288EED44">
      <w:pPr>
        <w:spacing w:line="540" w:lineRule="exact"/>
        <w:ind w:firstLine="420" w:firstLineChars="200"/>
        <w:rPr>
          <w:color w:val="auto"/>
          <w:szCs w:val="21"/>
          <w:highlight w:val="none"/>
        </w:rPr>
      </w:pPr>
      <w:r>
        <w:rPr>
          <w:color w:val="auto"/>
          <w:szCs w:val="21"/>
          <w:highlight w:val="none"/>
        </w:rPr>
        <w:t>特此证明。</w:t>
      </w:r>
    </w:p>
    <w:p w14:paraId="79977AA8">
      <w:pPr>
        <w:spacing w:line="540" w:lineRule="exact"/>
        <w:rPr>
          <w:rFonts w:hint="eastAsia"/>
          <w:color w:val="auto"/>
          <w:szCs w:val="21"/>
          <w:highlight w:val="none"/>
        </w:rPr>
      </w:pPr>
    </w:p>
    <w:p w14:paraId="34C93B52">
      <w:pPr>
        <w:spacing w:line="360" w:lineRule="auto"/>
        <w:ind w:firstLine="4830" w:firstLineChars="23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02B57F78">
      <w:pPr>
        <w:spacing w:line="360" w:lineRule="auto"/>
        <w:rPr>
          <w:color w:val="auto"/>
          <w:szCs w:val="21"/>
          <w:highlight w:val="none"/>
        </w:rPr>
      </w:pPr>
      <w:r>
        <w:rPr>
          <w:color w:val="auto"/>
          <w:szCs w:val="21"/>
          <w:highlight w:val="none"/>
        </w:rPr>
        <w:t xml:space="preserve">                                                   年       月       日 </w:t>
      </w:r>
    </w:p>
    <w:p w14:paraId="556A8D7E">
      <w:pPr>
        <w:spacing w:line="540" w:lineRule="exact"/>
        <w:rPr>
          <w:rFonts w:hint="eastAsia"/>
          <w:color w:val="auto"/>
          <w:szCs w:val="21"/>
          <w:highlight w:val="none"/>
        </w:rPr>
      </w:pPr>
    </w:p>
    <w:p w14:paraId="0FB7B2AF">
      <w:pPr>
        <w:spacing w:line="360" w:lineRule="auto"/>
        <w:rPr>
          <w:color w:val="auto"/>
          <w:szCs w:val="21"/>
          <w:highlight w:val="none"/>
        </w:rPr>
      </w:pPr>
      <w:bookmarkStart w:id="132" w:name="_Hlk19199756"/>
      <w:r>
        <w:rPr>
          <w:color w:val="auto"/>
          <w:szCs w:val="21"/>
          <w:highlight w:val="none"/>
        </w:rPr>
        <w:t>附件：法定代表人身份证复印件</w:t>
      </w:r>
    </w:p>
    <w:p w14:paraId="5D579E0A">
      <w:pPr>
        <w:spacing w:line="360" w:lineRule="auto"/>
        <w:rPr>
          <w:color w:val="auto"/>
          <w:szCs w:val="21"/>
          <w:highlight w:val="none"/>
        </w:rPr>
      </w:pPr>
    </w:p>
    <w:bookmarkEnd w:id="132"/>
    <w:p w14:paraId="4D294B59">
      <w:pPr>
        <w:snapToGrid w:val="0"/>
        <w:spacing w:before="120" w:beforeLines="50" w:after="50" w:line="360" w:lineRule="exact"/>
        <w:jc w:val="left"/>
        <w:rPr>
          <w:rFonts w:hint="eastAsia"/>
          <w:color w:val="auto"/>
          <w:highlight w:val="none"/>
        </w:rPr>
      </w:pPr>
      <w:r>
        <w:rPr>
          <w:b/>
          <w:color w:val="auto"/>
          <w:szCs w:val="21"/>
          <w:highlight w:val="none"/>
        </w:rPr>
        <w:br w:type="page"/>
      </w:r>
      <w:bookmarkStart w:id="133" w:name="_Hlk19199766"/>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133"/>
    <w:p w14:paraId="5B387AAB">
      <w:pPr>
        <w:snapToGrid w:val="0"/>
        <w:spacing w:before="120" w:beforeLines="50" w:after="50" w:line="360" w:lineRule="exact"/>
        <w:jc w:val="center"/>
        <w:rPr>
          <w:b/>
          <w:color w:val="auto"/>
          <w:szCs w:val="21"/>
          <w:highlight w:val="none"/>
        </w:rPr>
      </w:pPr>
      <w:r>
        <w:rPr>
          <w:b/>
          <w:color w:val="auto"/>
          <w:szCs w:val="21"/>
          <w:highlight w:val="none"/>
        </w:rPr>
        <w:t>法定代表人授权委托书</w:t>
      </w:r>
    </w:p>
    <w:p w14:paraId="62818878">
      <w:pPr>
        <w:snapToGrid w:val="0"/>
        <w:spacing w:before="120" w:beforeLines="50" w:after="50" w:line="440" w:lineRule="exact"/>
        <w:rPr>
          <w:rFonts w:hint="eastAsia"/>
          <w:b/>
          <w:bCs/>
          <w:color w:val="auto"/>
          <w:szCs w:val="21"/>
          <w:highlight w:val="none"/>
        </w:rPr>
      </w:pPr>
      <w:r>
        <w:rPr>
          <w:bCs/>
          <w:color w:val="auto"/>
          <w:szCs w:val="21"/>
          <w:highlight w:val="none"/>
        </w:rPr>
        <w:t>致：</w:t>
      </w:r>
      <w:r>
        <w:rPr>
          <w:i/>
          <w:iCs/>
          <w:color w:val="auto"/>
          <w:szCs w:val="21"/>
          <w:highlight w:val="none"/>
          <w:u w:val="single"/>
        </w:rPr>
        <w:t>（采购人名称）</w:t>
      </w:r>
    </w:p>
    <w:p w14:paraId="03A94D59">
      <w:pPr>
        <w:snapToGrid w:val="0"/>
        <w:spacing w:before="120" w:beforeLines="50" w:after="50" w:line="440" w:lineRule="exact"/>
        <w:ind w:firstLine="420" w:firstLineChars="200"/>
        <w:rPr>
          <w:color w:val="auto"/>
          <w:szCs w:val="21"/>
          <w:highlight w:val="none"/>
        </w:rPr>
      </w:pPr>
      <w:r>
        <w:rPr>
          <w:color w:val="auto"/>
          <w:szCs w:val="21"/>
          <w:highlight w:val="none"/>
        </w:rPr>
        <w:t>我</w:t>
      </w:r>
      <w:r>
        <w:rPr>
          <w:rFonts w:hint="eastAsia"/>
          <w:color w:val="auto"/>
          <w:szCs w:val="21"/>
          <w:highlight w:val="none"/>
        </w:rPr>
        <w:t xml:space="preserve"> </w:t>
      </w:r>
      <w:r>
        <w:rPr>
          <w:i/>
          <w:iCs/>
          <w:color w:val="auto"/>
          <w:szCs w:val="21"/>
          <w:highlight w:val="none"/>
          <w:u w:val="single"/>
        </w:rPr>
        <w:t>（姓名）</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 ）</w:t>
      </w:r>
      <w:r>
        <w:rPr>
          <w:color w:val="auto"/>
          <w:szCs w:val="21"/>
          <w:highlight w:val="none"/>
        </w:rPr>
        <w:t>项目的谈判活动，并代表我方全权办理针对上述项目的谈判、截标、评审、签约等具体事务和签署相关文件。</w:t>
      </w:r>
    </w:p>
    <w:p w14:paraId="1384B3FB">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6D25A91F">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3260F342">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6DFF99C1">
      <w:pP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r>
        <w:rPr>
          <w:color w:val="auto"/>
          <w:szCs w:val="21"/>
          <w:highlight w:val="none"/>
        </w:rPr>
        <w:t xml:space="preserve">                     法定代表人签名或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p>
    <w:p w14:paraId="3C873169">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720E70CD">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52FF710A">
      <w:pPr>
        <w:snapToGrid w:val="0"/>
        <w:spacing w:before="120" w:beforeLines="50" w:after="50" w:line="440" w:lineRule="exact"/>
        <w:rPr>
          <w:color w:val="auto"/>
          <w:szCs w:val="21"/>
          <w:highlight w:val="none"/>
        </w:rPr>
      </w:pPr>
      <w:bookmarkStart w:id="134" w:name="_Hlk132880052"/>
      <w:r>
        <w:rPr>
          <w:rFonts w:hint="eastAsia"/>
          <w:color w:val="auto"/>
          <w:szCs w:val="21"/>
          <w:highlight w:val="none"/>
        </w:rPr>
        <w:t>被授权人手机号码及邮箱</w:t>
      </w:r>
      <w:bookmarkEnd w:id="134"/>
      <w:r>
        <w:rPr>
          <w:rFonts w:hint="eastAsia"/>
          <w:color w:val="auto"/>
          <w:szCs w:val="21"/>
          <w:highlight w:val="none"/>
        </w:rPr>
        <w:t>：</w:t>
      </w:r>
      <w:r>
        <w:rPr>
          <w:rFonts w:hint="eastAsia"/>
          <w:color w:val="auto"/>
          <w:szCs w:val="21"/>
          <w:highlight w:val="none"/>
          <w:u w:val="single"/>
        </w:rPr>
        <w:t xml:space="preserve"> </w:t>
      </w:r>
      <w:r>
        <w:rPr>
          <w:color w:val="auto"/>
          <w:szCs w:val="21"/>
          <w:highlight w:val="none"/>
          <w:u w:val="single"/>
        </w:rPr>
        <w:t xml:space="preserve">                      </w:t>
      </w:r>
    </w:p>
    <w:p w14:paraId="01E09634">
      <w:pPr>
        <w:snapToGrid w:val="0"/>
        <w:spacing w:before="120" w:beforeLines="50" w:after="50" w:line="440" w:lineRule="exact"/>
        <w:rPr>
          <w:rFonts w:hint="eastAsia"/>
          <w:color w:val="auto"/>
          <w:szCs w:val="21"/>
          <w:highlight w:val="none"/>
        </w:rPr>
      </w:pPr>
    </w:p>
    <w:p w14:paraId="03C611B8">
      <w:pPr>
        <w:snapToGrid w:val="0"/>
        <w:spacing w:before="120" w:beforeLines="50" w:after="50" w:line="440" w:lineRule="exact"/>
        <w:ind w:firstLine="5670" w:firstLineChars="2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37FA11FF">
      <w:pPr>
        <w:snapToGrid w:val="0"/>
        <w:spacing w:before="120" w:beforeLines="50" w:after="50" w:line="440" w:lineRule="exact"/>
        <w:jc w:val="center"/>
        <w:rPr>
          <w:color w:val="auto"/>
          <w:szCs w:val="21"/>
          <w:highlight w:val="none"/>
        </w:rPr>
      </w:pPr>
      <w:r>
        <w:rPr>
          <w:color w:val="auto"/>
          <w:szCs w:val="21"/>
          <w:highlight w:val="none"/>
        </w:rPr>
        <w:t xml:space="preserve">                                        年    月    日</w:t>
      </w:r>
    </w:p>
    <w:p w14:paraId="60F61972">
      <w:pPr>
        <w:spacing w:line="360" w:lineRule="auto"/>
        <w:rPr>
          <w:color w:val="auto"/>
          <w:szCs w:val="21"/>
          <w:highlight w:val="none"/>
        </w:rPr>
      </w:pPr>
    </w:p>
    <w:p w14:paraId="53BAAE59">
      <w:pPr>
        <w:spacing w:line="360" w:lineRule="auto"/>
        <w:rPr>
          <w:color w:val="auto"/>
          <w:szCs w:val="21"/>
          <w:highlight w:val="none"/>
        </w:rPr>
      </w:pPr>
      <w:r>
        <w:rPr>
          <w:color w:val="auto"/>
          <w:szCs w:val="21"/>
          <w:highlight w:val="none"/>
        </w:rPr>
        <w:t>附件：法定代表人身份证复印件及授权代表身份证复印件</w:t>
      </w:r>
    </w:p>
    <w:p w14:paraId="3FE83779">
      <w:pPr>
        <w:spacing w:line="360" w:lineRule="auto"/>
        <w:rPr>
          <w:rFonts w:hint="eastAsia"/>
          <w:color w:val="auto"/>
          <w:highlight w:val="none"/>
        </w:rPr>
      </w:pPr>
    </w:p>
    <w:p w14:paraId="380B533B">
      <w:pPr>
        <w:jc w:val="center"/>
        <w:rPr>
          <w:color w:val="auto"/>
          <w:highlight w:val="none"/>
        </w:rPr>
      </w:pPr>
      <w:r>
        <w:rPr>
          <w:color w:val="auto"/>
          <w:highlight w:val="none"/>
        </w:rPr>
        <w:br w:type="page"/>
      </w:r>
      <w:r>
        <w:rPr>
          <w:color w:val="auto"/>
          <w:highlight w:val="none"/>
        </w:rPr>
        <w:t>（本商务文件供应商可自行编写，也可参照下述提纲编写）</w:t>
      </w:r>
    </w:p>
    <w:p w14:paraId="6AA7CCD9">
      <w:pPr>
        <w:snapToGrid w:val="0"/>
        <w:spacing w:before="50" w:after="120" w:afterLines="50"/>
        <w:jc w:val="left"/>
        <w:rPr>
          <w:rFonts w:hint="eastAsia"/>
          <w:color w:val="auto"/>
          <w:szCs w:val="21"/>
          <w:highlight w:val="none"/>
        </w:rPr>
      </w:pPr>
    </w:p>
    <w:p w14:paraId="733A7B8D">
      <w:pPr>
        <w:rPr>
          <w:color w:val="auto"/>
          <w:szCs w:val="21"/>
          <w:highlight w:val="none"/>
        </w:rPr>
      </w:pPr>
      <w:r>
        <w:rPr>
          <w:rFonts w:hint="eastAsia"/>
          <w:color w:val="auto"/>
          <w:szCs w:val="21"/>
          <w:highlight w:val="none"/>
          <w:lang w:val="en-US" w:eastAsia="zh-CN"/>
        </w:rPr>
        <w:t>2</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rFonts w:hint="eastAsia"/>
          <w:color w:val="auto"/>
          <w:szCs w:val="21"/>
          <w:highlight w:val="none"/>
          <w:lang w:val="en-US" w:eastAsia="zh-CN"/>
        </w:rPr>
        <w:t>项目</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color w:val="auto"/>
          <w:szCs w:val="21"/>
          <w:highlight w:val="none"/>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061C5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BC2DC7F">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6272CD5">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78ABC4D">
            <w:pPr>
              <w:snapToGrid w:val="0"/>
              <w:spacing w:before="120" w:beforeLines="50"/>
              <w:jc w:val="center"/>
              <w:rPr>
                <w:color w:val="auto"/>
                <w:szCs w:val="21"/>
                <w:highlight w:val="none"/>
              </w:rPr>
            </w:pPr>
            <w:r>
              <w:rPr>
                <w:rFonts w:hint="eastAsia"/>
                <w:color w:val="auto"/>
                <w:szCs w:val="21"/>
                <w:highlight w:val="none"/>
              </w:rPr>
              <w:t>响应</w:t>
            </w:r>
            <w:r>
              <w:rPr>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79F57BE">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6C4B4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B2D1C45">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6886CAC4">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70584CE">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32C1895">
            <w:pPr>
              <w:snapToGrid w:val="0"/>
              <w:spacing w:before="120" w:beforeLines="50"/>
              <w:jc w:val="center"/>
              <w:rPr>
                <w:color w:val="auto"/>
                <w:szCs w:val="21"/>
                <w:highlight w:val="none"/>
              </w:rPr>
            </w:pPr>
          </w:p>
        </w:tc>
      </w:tr>
      <w:tr w14:paraId="69CEC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C1DED9D">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04D7D50">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AC03062">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31377B9">
            <w:pPr>
              <w:snapToGrid w:val="0"/>
              <w:spacing w:before="120" w:beforeLines="50"/>
              <w:jc w:val="center"/>
              <w:rPr>
                <w:color w:val="auto"/>
                <w:szCs w:val="21"/>
                <w:highlight w:val="none"/>
              </w:rPr>
            </w:pPr>
          </w:p>
        </w:tc>
      </w:tr>
      <w:tr w14:paraId="3834E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D6287D0">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6BB2E0A">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99AD780">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2C0C546">
            <w:pPr>
              <w:snapToGrid w:val="0"/>
              <w:spacing w:before="120" w:beforeLines="50"/>
              <w:jc w:val="center"/>
              <w:rPr>
                <w:color w:val="auto"/>
                <w:szCs w:val="21"/>
                <w:highlight w:val="none"/>
              </w:rPr>
            </w:pPr>
          </w:p>
        </w:tc>
      </w:tr>
      <w:tr w14:paraId="5DB972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C46BC8C">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12C8A29">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07F63FB">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F2FE625">
            <w:pPr>
              <w:snapToGrid w:val="0"/>
              <w:spacing w:before="120" w:beforeLines="50"/>
              <w:jc w:val="center"/>
              <w:rPr>
                <w:color w:val="auto"/>
                <w:szCs w:val="21"/>
                <w:highlight w:val="none"/>
              </w:rPr>
            </w:pPr>
          </w:p>
        </w:tc>
      </w:tr>
    </w:tbl>
    <w:p w14:paraId="02A41AA3">
      <w:pPr>
        <w:rPr>
          <w:color w:val="auto"/>
          <w:szCs w:val="21"/>
          <w:highlight w:val="none"/>
        </w:rPr>
      </w:pPr>
    </w:p>
    <w:p w14:paraId="4487C2A7">
      <w:pPr>
        <w:pStyle w:val="26"/>
        <w:tabs>
          <w:tab w:val="left" w:pos="2127"/>
        </w:tabs>
        <w:spacing w:line="340" w:lineRule="exact"/>
        <w:jc w:val="left"/>
        <w:rPr>
          <w:rFonts w:ascii="Times New Roman" w:hAnsi="Times New Roman" w:cs="Times New Roman"/>
          <w:color w:val="auto"/>
          <w:highlight w:val="none"/>
        </w:rPr>
      </w:pPr>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w:t>
      </w:r>
      <w:r>
        <w:rPr>
          <w:rFonts w:hint="eastAsia"/>
          <w:color w:val="auto"/>
          <w:highlight w:val="none"/>
          <w:lang w:val="en-US" w:eastAsia="zh-CN"/>
        </w:rPr>
        <w:t>项目</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29259FF5">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w:t>
      </w:r>
      <w:r>
        <w:rPr>
          <w:rFonts w:hint="eastAsia"/>
          <w:color w:val="auto"/>
          <w:highlight w:val="none"/>
          <w:lang w:val="en-US" w:eastAsia="zh-CN"/>
        </w:rPr>
        <w:t>项目</w:t>
      </w:r>
      <w:r>
        <w:rPr>
          <w:rFonts w:hint="eastAsia"/>
          <w:color w:val="auto"/>
          <w:highlight w:val="none"/>
        </w:rPr>
        <w:t>采购需求》中的总体要求无需响应。</w:t>
      </w:r>
    </w:p>
    <w:p w14:paraId="245E02B1">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1B814C03">
      <w:pPr>
        <w:rPr>
          <w:color w:val="auto"/>
          <w:highlight w:val="none"/>
        </w:rPr>
      </w:pPr>
      <w:r>
        <w:rPr>
          <w:color w:val="auto"/>
          <w:highlight w:val="none"/>
        </w:rPr>
        <w:t>（4）本表可扩展。</w:t>
      </w:r>
    </w:p>
    <w:p w14:paraId="64923E39">
      <w:pPr>
        <w:rPr>
          <w:color w:val="auto"/>
          <w:szCs w:val="21"/>
          <w:highlight w:val="none"/>
        </w:rPr>
      </w:pPr>
    </w:p>
    <w:p w14:paraId="15645225">
      <w:pPr>
        <w:rPr>
          <w:color w:val="auto"/>
          <w:spacing w:val="20"/>
          <w:szCs w:val="21"/>
          <w:highlight w:val="none"/>
          <w:u w:val="single"/>
        </w:rPr>
      </w:pPr>
    </w:p>
    <w:p w14:paraId="2DED09E9">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2D0BCB33">
      <w:pPr>
        <w:rPr>
          <w:color w:val="auto"/>
          <w:spacing w:val="20"/>
          <w:szCs w:val="21"/>
          <w:highlight w:val="none"/>
          <w:u w:val="single"/>
        </w:rPr>
      </w:pPr>
    </w:p>
    <w:p w14:paraId="4BE08A0E">
      <w:pPr>
        <w:rPr>
          <w:color w:val="auto"/>
          <w:spacing w:val="20"/>
          <w:szCs w:val="21"/>
          <w:highlight w:val="none"/>
          <w:u w:val="single"/>
        </w:rPr>
      </w:pPr>
    </w:p>
    <w:p w14:paraId="2B43A84F">
      <w:pPr>
        <w:snapToGrid w:val="0"/>
        <w:spacing w:before="50" w:after="120" w:afterLines="50"/>
        <w:jc w:val="left"/>
        <w:rPr>
          <w:rFonts w:hint="eastAsia"/>
          <w:color w:val="auto"/>
          <w:szCs w:val="21"/>
          <w:highlight w:val="none"/>
        </w:rPr>
      </w:pPr>
    </w:p>
    <w:p w14:paraId="39BAE29A">
      <w:pPr>
        <w:snapToGrid w:val="0"/>
        <w:spacing w:before="50" w:after="120" w:afterLines="50"/>
        <w:jc w:val="left"/>
        <w:rPr>
          <w:color w:val="auto"/>
          <w:szCs w:val="21"/>
          <w:highlight w:val="none"/>
        </w:rPr>
      </w:pPr>
      <w:r>
        <w:rPr>
          <w:rFonts w:hint="eastAsia"/>
          <w:color w:val="auto"/>
          <w:szCs w:val="21"/>
          <w:highlight w:val="none"/>
          <w:lang w:val="en-US" w:eastAsia="zh-CN"/>
        </w:rPr>
        <w:t>3</w:t>
      </w:r>
      <w:r>
        <w:rPr>
          <w:color w:val="auto"/>
          <w:szCs w:val="21"/>
          <w:highlight w:val="none"/>
        </w:rPr>
        <w:t>．项目拟投入服务团队人员结构表（包括但不限于学历、证书情况、职称、年龄等）</w:t>
      </w:r>
    </w:p>
    <w:p w14:paraId="116B55FA">
      <w:pPr>
        <w:snapToGrid w:val="0"/>
        <w:spacing w:before="120" w:beforeLines="50" w:after="50" w:line="400" w:lineRule="exact"/>
        <w:jc w:val="center"/>
        <w:rPr>
          <w:color w:val="auto"/>
          <w:szCs w:val="21"/>
          <w:highlight w:val="none"/>
        </w:rPr>
      </w:pPr>
      <w:r>
        <w:rPr>
          <w:color w:val="auto"/>
          <w:szCs w:val="21"/>
          <w:highlight w:val="none"/>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65C7C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1A651392">
            <w:pPr>
              <w:snapToGrid w:val="0"/>
              <w:spacing w:before="120" w:beforeLines="5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B544604">
            <w:pPr>
              <w:snapToGrid w:val="0"/>
              <w:spacing w:before="120" w:beforeLines="5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8366CB0">
            <w:pPr>
              <w:snapToGrid w:val="0"/>
              <w:spacing w:before="120" w:beforeLines="50" w:after="50"/>
              <w:jc w:val="center"/>
              <w:rPr>
                <w:color w:val="auto"/>
                <w:szCs w:val="21"/>
                <w:highlight w:val="none"/>
              </w:rPr>
            </w:pPr>
            <w:r>
              <w:rPr>
                <w:color w:val="auto"/>
                <w:szCs w:val="21"/>
                <w:highlight w:val="none"/>
              </w:rPr>
              <w:t>分配岗位</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FDAEA98">
            <w:pPr>
              <w:snapToGrid w:val="0"/>
              <w:spacing w:before="120" w:beforeLines="50" w:after="50"/>
              <w:jc w:val="center"/>
              <w:rPr>
                <w:color w:val="auto"/>
                <w:szCs w:val="21"/>
                <w:highlight w:val="none"/>
              </w:rPr>
            </w:pPr>
            <w:r>
              <w:rPr>
                <w:color w:val="auto"/>
                <w:szCs w:val="21"/>
                <w:highlight w:val="none"/>
              </w:rPr>
              <w:t>持证情况</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3B5D121">
            <w:pPr>
              <w:snapToGrid w:val="0"/>
              <w:spacing w:before="120" w:beforeLines="50" w:after="50"/>
              <w:jc w:val="center"/>
              <w:rPr>
                <w:color w:val="auto"/>
                <w:szCs w:val="21"/>
                <w:highlight w:val="none"/>
              </w:rPr>
            </w:pPr>
            <w:r>
              <w:rPr>
                <w:color w:val="auto"/>
                <w:szCs w:val="21"/>
                <w:highlight w:val="none"/>
              </w:rPr>
              <w:t>年龄</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AB70CE0">
            <w:pPr>
              <w:snapToGrid w:val="0"/>
              <w:spacing w:before="120" w:beforeLines="50" w:after="50"/>
              <w:jc w:val="center"/>
              <w:rPr>
                <w:bCs/>
                <w:color w:val="auto"/>
                <w:szCs w:val="21"/>
                <w:highlight w:val="none"/>
              </w:rPr>
            </w:pPr>
            <w:r>
              <w:rPr>
                <w:bCs/>
                <w:color w:val="auto"/>
                <w:szCs w:val="21"/>
                <w:highlight w:val="none"/>
              </w:rPr>
              <w:t>劳动合同编号</w:t>
            </w:r>
          </w:p>
        </w:tc>
      </w:tr>
      <w:tr w14:paraId="18E0B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02A3AA5C">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FD3D149">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D68306B">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67C185E0">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49F4794">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E11E4AF">
            <w:pPr>
              <w:snapToGrid w:val="0"/>
              <w:spacing w:before="120" w:beforeLines="50" w:after="50"/>
              <w:rPr>
                <w:color w:val="auto"/>
                <w:szCs w:val="21"/>
                <w:highlight w:val="none"/>
              </w:rPr>
            </w:pPr>
          </w:p>
        </w:tc>
      </w:tr>
      <w:tr w14:paraId="0CFE9F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0E65A20D">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4477FDD">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F521D7D">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379F8B6C">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025D332">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25BAEEC">
            <w:pPr>
              <w:snapToGrid w:val="0"/>
              <w:spacing w:before="120" w:beforeLines="50" w:after="50"/>
              <w:rPr>
                <w:color w:val="auto"/>
                <w:szCs w:val="21"/>
                <w:highlight w:val="none"/>
              </w:rPr>
            </w:pPr>
          </w:p>
        </w:tc>
      </w:tr>
    </w:tbl>
    <w:p w14:paraId="534BE2B2">
      <w:pPr>
        <w:snapToGrid w:val="0"/>
        <w:spacing w:before="50" w:after="120" w:afterLines="50" w:line="440" w:lineRule="exact"/>
        <w:jc w:val="left"/>
        <w:rPr>
          <w:color w:val="auto"/>
          <w:szCs w:val="21"/>
          <w:highlight w:val="none"/>
        </w:rPr>
      </w:pPr>
      <w:r>
        <w:rPr>
          <w:color w:val="auto"/>
          <w:szCs w:val="21"/>
          <w:highlight w:val="none"/>
        </w:rPr>
        <w:t>注：在填写时，如本表格不适合供应商的实际情况，可根据本表格式自行划表填写。</w:t>
      </w:r>
    </w:p>
    <w:p w14:paraId="540E77C3">
      <w:pPr>
        <w:rPr>
          <w:color w:val="auto"/>
          <w:szCs w:val="21"/>
          <w:highlight w:val="none"/>
        </w:rPr>
      </w:pPr>
    </w:p>
    <w:p w14:paraId="529EEAE3">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37127C2B">
      <w:pPr>
        <w:rPr>
          <w:rFonts w:hint="eastAsia" w:cs="Times New Roman"/>
          <w:color w:val="auto"/>
          <w:szCs w:val="21"/>
          <w:highlight w:val="none"/>
          <w:lang w:val="en-US" w:eastAsia="zh-CN"/>
        </w:rPr>
      </w:pPr>
      <w:r>
        <w:rPr>
          <w:rFonts w:hint="eastAsia" w:cs="Times New Roman"/>
          <w:color w:val="auto"/>
          <w:szCs w:val="21"/>
          <w:highlight w:val="none"/>
          <w:lang w:val="en-US" w:eastAsia="zh-CN"/>
        </w:rPr>
        <w:br w:type="page"/>
      </w:r>
    </w:p>
    <w:p w14:paraId="6A0F329F">
      <w:pPr>
        <w:rPr>
          <w:rFonts w:hint="default"/>
          <w:color w:val="auto"/>
          <w:highlight w:val="none"/>
          <w:lang w:val="en-US" w:eastAsia="zh-CN"/>
        </w:rPr>
      </w:pPr>
      <w:r>
        <w:rPr>
          <w:rFonts w:hint="eastAsia"/>
          <w:color w:val="auto"/>
          <w:highlight w:val="none"/>
          <w:lang w:val="en-US" w:eastAsia="zh-CN"/>
        </w:rPr>
        <w:t>4.供应商认为应当要提交的材料。</w:t>
      </w:r>
    </w:p>
    <w:p w14:paraId="1658BD31">
      <w:pPr>
        <w:rPr>
          <w:color w:val="auto"/>
          <w:szCs w:val="21"/>
          <w:highlight w:val="none"/>
        </w:rPr>
      </w:pPr>
      <w:r>
        <w:rPr>
          <w:rFonts w:hint="eastAsia"/>
          <w:color w:val="auto"/>
          <w:highlight w:val="none"/>
          <w:lang w:val="en-US" w:eastAsia="zh-CN"/>
        </w:rPr>
        <w:t>4</w:t>
      </w:r>
      <w:r>
        <w:rPr>
          <w:color w:val="auto"/>
          <w:szCs w:val="21"/>
          <w:highlight w:val="none"/>
        </w:rPr>
        <w:t>.1</w:t>
      </w:r>
      <w:r>
        <w:rPr>
          <w:rFonts w:hint="eastAsia"/>
          <w:bCs/>
          <w:color w:val="auto"/>
          <w:szCs w:val="21"/>
          <w:highlight w:val="none"/>
        </w:rPr>
        <w:t>中小企业声明函</w:t>
      </w:r>
      <w:r>
        <w:rPr>
          <w:color w:val="auto"/>
          <w:szCs w:val="21"/>
          <w:highlight w:val="none"/>
        </w:rPr>
        <w:t>。</w:t>
      </w:r>
    </w:p>
    <w:p w14:paraId="2C3D9CFA">
      <w:pPr>
        <w:spacing w:line="360" w:lineRule="auto"/>
        <w:ind w:firstLine="3584" w:firstLineChars="1700"/>
        <w:rPr>
          <w:b/>
          <w:color w:val="auto"/>
          <w:szCs w:val="21"/>
          <w:highlight w:val="none"/>
        </w:rPr>
      </w:pPr>
    </w:p>
    <w:p w14:paraId="417F4A8C">
      <w:pPr>
        <w:spacing w:line="360" w:lineRule="auto"/>
        <w:ind w:firstLine="3584" w:firstLineChars="1700"/>
        <w:rPr>
          <w:b/>
          <w:color w:val="auto"/>
          <w:szCs w:val="21"/>
          <w:highlight w:val="none"/>
        </w:rPr>
      </w:pPr>
      <w:r>
        <w:rPr>
          <w:rFonts w:hint="eastAsia"/>
          <w:b/>
          <w:color w:val="auto"/>
          <w:szCs w:val="21"/>
          <w:highlight w:val="none"/>
        </w:rPr>
        <w:t>中小企业声明函（服务）</w:t>
      </w:r>
    </w:p>
    <w:p w14:paraId="2E96C7EB">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采购活动，服务全部由符合政策要求的中小企业承接。相关企业（含联合体中的中小企业、签订分包意向协议的中小企业） 的具体情况如下：</w:t>
      </w:r>
    </w:p>
    <w:p w14:paraId="5BA8DFCF">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637FB123">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4A952CB6">
      <w:pPr>
        <w:spacing w:line="360" w:lineRule="auto"/>
        <w:ind w:firstLine="420"/>
        <w:rPr>
          <w:bCs/>
          <w:color w:val="auto"/>
          <w:szCs w:val="21"/>
          <w:highlight w:val="none"/>
        </w:rPr>
      </w:pPr>
      <w:r>
        <w:rPr>
          <w:rFonts w:hint="eastAsia"/>
          <w:bCs/>
          <w:color w:val="auto"/>
          <w:szCs w:val="21"/>
          <w:highlight w:val="none"/>
        </w:rPr>
        <w:t>……</w:t>
      </w:r>
    </w:p>
    <w:p w14:paraId="6F53717B">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301846A1">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22031EE1">
      <w:pPr>
        <w:spacing w:line="360" w:lineRule="auto"/>
        <w:ind w:firstLine="3150" w:firstLineChars="1500"/>
        <w:rPr>
          <w:bCs/>
          <w:color w:val="auto"/>
          <w:szCs w:val="21"/>
          <w:highlight w:val="none"/>
        </w:rPr>
      </w:pPr>
      <w:r>
        <w:rPr>
          <w:rFonts w:hint="eastAsia"/>
          <w:bCs/>
          <w:color w:val="auto"/>
          <w:szCs w:val="21"/>
          <w:highlight w:val="none"/>
        </w:rPr>
        <w:t xml:space="preserve">企业名称（电子签章）： </w:t>
      </w:r>
      <w:r>
        <w:rPr>
          <w:bCs/>
          <w:color w:val="auto"/>
          <w:szCs w:val="21"/>
          <w:highlight w:val="none"/>
        </w:rPr>
        <w:t xml:space="preserve"> </w:t>
      </w:r>
      <w:r>
        <w:rPr>
          <w:rFonts w:hint="eastAsia"/>
          <w:bCs/>
          <w:color w:val="auto"/>
          <w:szCs w:val="21"/>
          <w:highlight w:val="none"/>
        </w:rPr>
        <w:t>日期：</w:t>
      </w:r>
    </w:p>
    <w:p w14:paraId="5E713DAE">
      <w:pPr>
        <w:spacing w:line="360" w:lineRule="auto"/>
        <w:jc w:val="left"/>
        <w:rPr>
          <w:bCs/>
          <w:color w:val="auto"/>
          <w:szCs w:val="21"/>
          <w:highlight w:val="none"/>
        </w:rPr>
      </w:pPr>
      <w:r>
        <w:rPr>
          <w:rFonts w:hint="eastAsia"/>
          <w:bCs/>
          <w:color w:val="auto"/>
          <w:szCs w:val="21"/>
          <w:highlight w:val="none"/>
        </w:rPr>
        <w:t>注：</w:t>
      </w:r>
    </w:p>
    <w:p w14:paraId="652B679D">
      <w:pPr>
        <w:spacing w:line="360" w:lineRule="auto"/>
        <w:jc w:val="left"/>
        <w:rPr>
          <w:bCs/>
          <w:color w:val="auto"/>
          <w:szCs w:val="21"/>
          <w:highlight w:val="none"/>
        </w:rPr>
      </w:pPr>
      <w:r>
        <w:rPr>
          <w:rFonts w:hint="eastAsia"/>
          <w:bCs/>
          <w:color w:val="auto"/>
          <w:szCs w:val="21"/>
          <w:highlight w:val="none"/>
        </w:rPr>
        <w:t>（1）标的名称按照第二章采购需求一览表中的名称填写，</w:t>
      </w:r>
      <w:r>
        <w:rPr>
          <w:color w:val="auto"/>
          <w:szCs w:val="21"/>
          <w:highlight w:val="none"/>
        </w:rPr>
        <w:t>所属行业标明“/”的</w:t>
      </w:r>
      <w:r>
        <w:rPr>
          <w:rFonts w:hint="eastAsia"/>
          <w:bCs/>
          <w:color w:val="auto"/>
          <w:szCs w:val="21"/>
          <w:highlight w:val="none"/>
        </w:rPr>
        <w:t>，无需在上表填写。</w:t>
      </w:r>
    </w:p>
    <w:p w14:paraId="315CBFEA">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1019A0A3">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4E22AEFA">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34FD70CE">
      <w:pPr>
        <w:spacing w:line="360" w:lineRule="auto"/>
        <w:jc w:val="left"/>
        <w:rPr>
          <w:rFonts w:hint="eastAsia"/>
          <w:bCs/>
          <w:color w:val="auto"/>
          <w:szCs w:val="21"/>
          <w:highlight w:val="none"/>
        </w:rPr>
      </w:pPr>
      <w:r>
        <w:rPr>
          <w:rFonts w:hint="eastAsia"/>
          <w:bCs/>
          <w:color w:val="auto"/>
          <w:szCs w:val="21"/>
          <w:highlight w:val="none"/>
        </w:rPr>
        <w:t>（5）根据</w:t>
      </w:r>
      <w:r>
        <w:rPr>
          <w:rFonts w:hint="eastAsia"/>
          <w:bCs/>
          <w:color w:val="auto"/>
          <w:szCs w:val="21"/>
          <w:highlight w:val="none"/>
          <w:lang w:eastAsia="zh-CN"/>
        </w:rPr>
        <w:t>国家统计局</w:t>
      </w:r>
      <w:r>
        <w:rPr>
          <w:rFonts w:hint="eastAsia"/>
          <w:bCs/>
          <w:color w:val="auto"/>
          <w:szCs w:val="21"/>
          <w:highlight w:val="none"/>
        </w:rPr>
        <w:t>《劳动工资统计报表制度》，从业人员数是指本单位工作，并取得工资或其他形式劳动报酬的人员数，是在岗职工、劳务派遣人员及其他从业人员之和。</w:t>
      </w:r>
    </w:p>
    <w:p w14:paraId="418987DE">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49D90CBD">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75D7E715">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150B0AD4">
      <w:pPr>
        <w:snapToGrid w:val="0"/>
        <w:spacing w:before="50" w:after="120" w:afterLines="50"/>
        <w:jc w:val="left"/>
        <w:rPr>
          <w:color w:val="auto"/>
          <w:szCs w:val="21"/>
          <w:highlight w:val="none"/>
        </w:rPr>
      </w:pPr>
    </w:p>
    <w:p w14:paraId="402E6BC2">
      <w:pPr>
        <w:snapToGrid w:val="0"/>
        <w:spacing w:before="50" w:after="120" w:afterLines="50"/>
        <w:jc w:val="left"/>
        <w:rPr>
          <w:color w:val="auto"/>
          <w:szCs w:val="21"/>
          <w:highlight w:val="none"/>
        </w:rPr>
      </w:pPr>
      <w:r>
        <w:rPr>
          <w:rFonts w:hint="eastAsia"/>
          <w:color w:val="auto"/>
          <w:szCs w:val="21"/>
          <w:highlight w:val="none"/>
          <w:lang w:val="en-US" w:eastAsia="zh-CN"/>
        </w:rPr>
        <w:t>4</w:t>
      </w:r>
      <w:r>
        <w:rPr>
          <w:color w:val="auto"/>
          <w:szCs w:val="21"/>
          <w:highlight w:val="none"/>
        </w:rPr>
        <w:t>.2监狱企业须提供最新一期《XX省监狱企业产品目录》或其他监狱企业证明材料。（非监狱企业无需提供）</w:t>
      </w:r>
    </w:p>
    <w:p w14:paraId="00250A9D">
      <w:pPr>
        <w:snapToGrid w:val="0"/>
        <w:spacing w:before="50" w:after="120" w:afterLines="50"/>
        <w:jc w:val="left"/>
        <w:rPr>
          <w:color w:val="auto"/>
          <w:szCs w:val="21"/>
          <w:highlight w:val="none"/>
        </w:rPr>
      </w:pPr>
    </w:p>
    <w:p w14:paraId="460380FF">
      <w:pPr>
        <w:widowControl/>
        <w:jc w:val="left"/>
        <w:rPr>
          <w:color w:val="auto"/>
          <w:szCs w:val="21"/>
          <w:highlight w:val="none"/>
        </w:rPr>
      </w:pPr>
      <w:r>
        <w:rPr>
          <w:rFonts w:hint="eastAsia"/>
          <w:color w:val="auto"/>
          <w:szCs w:val="21"/>
          <w:highlight w:val="none"/>
          <w:lang w:val="en-US" w:eastAsia="zh-CN"/>
        </w:rPr>
        <w:t>4</w:t>
      </w:r>
      <w:r>
        <w:rPr>
          <w:color w:val="auto"/>
          <w:szCs w:val="21"/>
          <w:highlight w:val="none"/>
        </w:rPr>
        <w:t>.3</w:t>
      </w:r>
      <w:r>
        <w:rPr>
          <w:color w:val="auto"/>
          <w:highlight w:val="none"/>
        </w:rPr>
        <w:t>残疾人福利性单位须提供《残疾人福利性单位声明函》，格式如下。</w:t>
      </w:r>
      <w:r>
        <w:rPr>
          <w:color w:val="auto"/>
          <w:szCs w:val="21"/>
          <w:highlight w:val="none"/>
        </w:rPr>
        <w:t>（非残疾人福利性单位无需提供）</w:t>
      </w:r>
    </w:p>
    <w:p w14:paraId="7FE4E4AA">
      <w:pPr>
        <w:spacing w:line="360" w:lineRule="auto"/>
        <w:jc w:val="center"/>
        <w:rPr>
          <w:b/>
          <w:color w:val="auto"/>
          <w:szCs w:val="21"/>
          <w:highlight w:val="none"/>
        </w:rPr>
      </w:pPr>
    </w:p>
    <w:p w14:paraId="73F4297E">
      <w:pPr>
        <w:spacing w:line="360" w:lineRule="auto"/>
        <w:jc w:val="center"/>
        <w:rPr>
          <w:b/>
          <w:color w:val="auto"/>
          <w:szCs w:val="21"/>
          <w:highlight w:val="none"/>
        </w:rPr>
      </w:pPr>
      <w:r>
        <w:rPr>
          <w:b/>
          <w:color w:val="auto"/>
          <w:szCs w:val="21"/>
          <w:highlight w:val="none"/>
        </w:rPr>
        <w:t>残疾人福利性单位声明函</w:t>
      </w:r>
    </w:p>
    <w:p w14:paraId="4E21450D">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7FC91FA1">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0C870FC8">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 xml:space="preserve">：          </w:t>
      </w:r>
    </w:p>
    <w:p w14:paraId="53ED87FD">
      <w:pPr>
        <w:spacing w:line="360" w:lineRule="auto"/>
        <w:ind w:firstLine="420"/>
        <w:jc w:val="right"/>
        <w:rPr>
          <w:color w:val="auto"/>
          <w:spacing w:val="6"/>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2A5742FB">
      <w:pPr>
        <w:rPr>
          <w:rFonts w:hint="eastAsia"/>
          <w:color w:val="auto"/>
          <w:spacing w:val="20"/>
          <w:szCs w:val="21"/>
          <w:highlight w:val="none"/>
          <w:u w:val="single"/>
        </w:rPr>
      </w:pPr>
    </w:p>
    <w:p w14:paraId="65AE6B2A">
      <w:pPr>
        <w:rPr>
          <w:rFonts w:hint="eastAsia"/>
          <w:color w:val="auto"/>
          <w:szCs w:val="21"/>
          <w:highlight w:val="none"/>
        </w:rPr>
      </w:pPr>
    </w:p>
    <w:p w14:paraId="008AD60E">
      <w:pPr>
        <w:rPr>
          <w:rFonts w:hint="eastAsia"/>
          <w:color w:val="auto"/>
          <w:szCs w:val="21"/>
          <w:highlight w:val="none"/>
        </w:rPr>
      </w:pPr>
      <w:r>
        <w:rPr>
          <w:rFonts w:hint="eastAsia"/>
          <w:color w:val="auto"/>
          <w:szCs w:val="21"/>
          <w:highlight w:val="none"/>
        </w:rPr>
        <w:br w:type="page"/>
      </w:r>
    </w:p>
    <w:p w14:paraId="544674A7">
      <w:pPr>
        <w:snapToGrid w:val="0"/>
        <w:spacing w:before="50" w:after="120" w:afterLines="50" w:line="440" w:lineRule="exact"/>
        <w:jc w:val="left"/>
        <w:rPr>
          <w:color w:val="auto"/>
          <w:szCs w:val="21"/>
          <w:highlight w:val="none"/>
        </w:rPr>
      </w:pPr>
      <w:r>
        <w:rPr>
          <w:rFonts w:hint="eastAsia"/>
          <w:color w:val="auto"/>
          <w:szCs w:val="21"/>
          <w:highlight w:val="none"/>
          <w:lang w:val="en-US" w:eastAsia="zh-CN"/>
        </w:rPr>
        <w:t>5</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《项目</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color w:val="auto"/>
          <w:szCs w:val="21"/>
          <w:highlight w:val="none"/>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0BF69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9560DA1">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19184D0">
            <w:pPr>
              <w:snapToGrid w:val="0"/>
              <w:spacing w:before="120" w:beforeLines="50"/>
              <w:jc w:val="center"/>
              <w:rPr>
                <w:color w:val="auto"/>
                <w:szCs w:val="21"/>
                <w:highlight w:val="none"/>
              </w:rPr>
            </w:pPr>
            <w:r>
              <w:rPr>
                <w:color w:val="auto"/>
                <w:szCs w:val="21"/>
                <w:highlight w:val="none"/>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0146693">
            <w:pPr>
              <w:snapToGrid w:val="0"/>
              <w:spacing w:before="120" w:beforeLines="50"/>
              <w:jc w:val="center"/>
              <w:rPr>
                <w:color w:val="auto"/>
                <w:szCs w:val="21"/>
                <w:highlight w:val="none"/>
              </w:rPr>
            </w:pPr>
            <w:r>
              <w:rPr>
                <w:color w:val="auto"/>
                <w:szCs w:val="21"/>
                <w:highlight w:val="none"/>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2D6B706">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14A974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1FB077A">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033C82B">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25237DE">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71FEFF0">
            <w:pPr>
              <w:snapToGrid w:val="0"/>
              <w:spacing w:before="120" w:beforeLines="50"/>
              <w:jc w:val="center"/>
              <w:rPr>
                <w:color w:val="auto"/>
                <w:szCs w:val="21"/>
                <w:highlight w:val="none"/>
              </w:rPr>
            </w:pPr>
          </w:p>
        </w:tc>
      </w:tr>
      <w:tr w14:paraId="74A628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87DCEBC">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13B4236">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42C25CE">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B616657">
            <w:pPr>
              <w:snapToGrid w:val="0"/>
              <w:spacing w:before="120" w:beforeLines="50"/>
              <w:jc w:val="center"/>
              <w:rPr>
                <w:color w:val="auto"/>
                <w:szCs w:val="21"/>
                <w:highlight w:val="none"/>
              </w:rPr>
            </w:pPr>
          </w:p>
        </w:tc>
      </w:tr>
    </w:tbl>
    <w:p w14:paraId="520D4CC6">
      <w:pPr>
        <w:pStyle w:val="26"/>
        <w:tabs>
          <w:tab w:val="left" w:pos="2127"/>
        </w:tabs>
        <w:spacing w:line="340" w:lineRule="exact"/>
        <w:ind w:firstLine="420" w:firstLineChars="200"/>
        <w:jc w:val="left"/>
        <w:rPr>
          <w:rFonts w:ascii="Times New Roman" w:hAnsi="Times New Roman" w:cs="Times New Roman"/>
          <w:color w:val="auto"/>
          <w:highlight w:val="none"/>
        </w:rPr>
      </w:pPr>
      <w:bookmarkStart w:id="135" w:name="_Hlk48144603"/>
      <w:r>
        <w:rPr>
          <w:rFonts w:ascii="Times New Roman" w:hAnsi="Times New Roman" w:cs="Times New Roman"/>
          <w:color w:val="auto"/>
          <w:highlight w:val="none"/>
        </w:rPr>
        <w:t>注：</w:t>
      </w:r>
      <w:bookmarkStart w:id="136"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w:t>
      </w:r>
      <w:r>
        <w:rPr>
          <w:rFonts w:hint="eastAsia"/>
          <w:color w:val="auto"/>
          <w:highlight w:val="none"/>
          <w:lang w:val="en-US" w:eastAsia="zh-CN"/>
        </w:rPr>
        <w:t>项目</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43E5A632">
      <w:pPr>
        <w:pStyle w:val="26"/>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w:t>
      </w:r>
      <w:r>
        <w:rPr>
          <w:rFonts w:hint="eastAsia"/>
          <w:color w:val="auto"/>
          <w:highlight w:val="none"/>
          <w:lang w:val="en-US" w:eastAsia="zh-CN"/>
        </w:rPr>
        <w:t>项目</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0109EA8C">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136"/>
    <w:p w14:paraId="1B99B090">
      <w:pPr>
        <w:pStyle w:val="26"/>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135"/>
    <w:p w14:paraId="614BFDB0">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39C64905">
      <w:pPr>
        <w:snapToGrid w:val="0"/>
        <w:spacing w:before="50" w:after="120" w:afterLines="50" w:line="440" w:lineRule="exact"/>
        <w:jc w:val="left"/>
        <w:rPr>
          <w:rFonts w:hint="eastAsia"/>
          <w:color w:val="auto"/>
          <w:spacing w:val="20"/>
          <w:szCs w:val="21"/>
          <w:highlight w:val="none"/>
          <w:u w:val="single"/>
        </w:rPr>
      </w:pPr>
    </w:p>
    <w:p w14:paraId="15F961C1">
      <w:pPr>
        <w:rPr>
          <w:rFonts w:hint="eastAsia"/>
          <w:color w:val="auto"/>
          <w:szCs w:val="21"/>
          <w:highlight w:val="none"/>
          <w:lang w:val="en-US" w:eastAsia="zh-CN"/>
        </w:rPr>
      </w:pPr>
      <w:bookmarkStart w:id="137" w:name="_Hlk19192765"/>
      <w:bookmarkStart w:id="138" w:name="_Hlk19200609"/>
      <w:r>
        <w:rPr>
          <w:rFonts w:hint="eastAsia"/>
          <w:color w:val="auto"/>
          <w:szCs w:val="21"/>
          <w:highlight w:val="none"/>
          <w:lang w:val="en-US" w:eastAsia="zh-CN"/>
        </w:rPr>
        <w:br w:type="page"/>
      </w:r>
    </w:p>
    <w:p w14:paraId="2C939AE5">
      <w:pPr>
        <w:snapToGrid w:val="0"/>
        <w:spacing w:before="50" w:after="120" w:afterLines="50"/>
        <w:jc w:val="left"/>
        <w:rPr>
          <w:color w:val="auto"/>
          <w:szCs w:val="21"/>
          <w:highlight w:val="none"/>
        </w:rPr>
      </w:pPr>
      <w:r>
        <w:rPr>
          <w:rFonts w:hint="eastAsia"/>
          <w:color w:val="auto"/>
          <w:szCs w:val="21"/>
          <w:highlight w:val="none"/>
          <w:lang w:val="en-US" w:eastAsia="zh-CN"/>
        </w:rPr>
        <w:t>6</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p>
    <w:p w14:paraId="3A1B9E41">
      <w:pPr>
        <w:snapToGrid w:val="0"/>
        <w:spacing w:before="50" w:after="120" w:afterLines="50"/>
        <w:jc w:val="center"/>
        <w:rPr>
          <w:color w:val="auto"/>
          <w:szCs w:val="21"/>
          <w:highlight w:val="none"/>
        </w:rPr>
      </w:pPr>
    </w:p>
    <w:p w14:paraId="2956A32E">
      <w:pP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706420A9">
      <w:pPr>
        <w:snapToGrid w:val="0"/>
        <w:spacing w:before="50" w:after="120" w:afterLines="50"/>
        <w:jc w:val="left"/>
        <w:rPr>
          <w:color w:val="auto"/>
          <w:szCs w:val="21"/>
          <w:highlight w:val="none"/>
        </w:rPr>
      </w:pPr>
    </w:p>
    <w:p w14:paraId="6B04A6C9">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67528C90">
      <w:pP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5FA74D2B">
      <w:pP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3275F790">
      <w:pP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0846D0AE">
      <w:pP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36D5A0B0">
      <w:pP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52EAEFE0">
      <w:pPr>
        <w:snapToGrid w:val="0"/>
        <w:spacing w:before="50" w:after="120" w:afterLines="50"/>
        <w:jc w:val="left"/>
        <w:rPr>
          <w:color w:val="auto"/>
          <w:szCs w:val="21"/>
          <w:highlight w:val="none"/>
        </w:rPr>
      </w:pPr>
      <w:r>
        <w:rPr>
          <w:rFonts w:hint="eastAsia"/>
          <w:color w:val="auto"/>
          <w:szCs w:val="21"/>
          <w:highlight w:val="none"/>
        </w:rPr>
        <w:t>6.不同供应商的磋商保证金从同一单位或者个人账户转出。</w:t>
      </w:r>
    </w:p>
    <w:p w14:paraId="3FAD5376">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4153D30B">
      <w:pP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1CF02827">
      <w:pP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6CFB604A">
      <w:pP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39A9B568">
      <w:pP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60FAE97A">
      <w:pP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7A8C604D">
      <w:pP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3EE02AA0">
      <w:pP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3A7B18A2">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2CDC916F">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2904F081">
      <w:pPr>
        <w:snapToGrid w:val="0"/>
        <w:spacing w:before="50" w:after="120" w:afterLines="50"/>
        <w:jc w:val="center"/>
        <w:rPr>
          <w:color w:val="auto"/>
          <w:szCs w:val="21"/>
          <w:highlight w:val="none"/>
        </w:rPr>
      </w:pPr>
    </w:p>
    <w:p w14:paraId="50454D3B">
      <w:pPr>
        <w:snapToGrid w:val="0"/>
        <w:spacing w:before="50" w:after="120" w:afterLines="50"/>
        <w:jc w:val="center"/>
        <w:rPr>
          <w:color w:val="auto"/>
          <w:szCs w:val="21"/>
          <w:highlight w:val="none"/>
        </w:rPr>
      </w:pPr>
    </w:p>
    <w:p w14:paraId="525F4B95">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0291EA40">
      <w:pPr>
        <w:snapToGrid w:val="0"/>
        <w:spacing w:before="50" w:after="120" w:afterLines="50"/>
        <w:jc w:val="center"/>
        <w:rPr>
          <w:color w:val="auto"/>
          <w:szCs w:val="21"/>
          <w:highlight w:val="none"/>
        </w:rPr>
      </w:pPr>
      <w:r>
        <w:rPr>
          <w:rFonts w:hint="eastAsia"/>
          <w:color w:val="auto"/>
          <w:szCs w:val="21"/>
          <w:highlight w:val="none"/>
        </w:rPr>
        <w:t>日期：  年  月   日</w:t>
      </w:r>
    </w:p>
    <w:p w14:paraId="7B82525A">
      <w:pPr>
        <w:snapToGrid w:val="0"/>
        <w:spacing w:before="50" w:after="120" w:afterLines="50"/>
        <w:jc w:val="left"/>
        <w:rPr>
          <w:color w:val="auto"/>
          <w:szCs w:val="21"/>
          <w:highlight w:val="none"/>
        </w:rPr>
      </w:pPr>
    </w:p>
    <w:p w14:paraId="411006D9">
      <w:pPr>
        <w:snapToGrid w:val="0"/>
        <w:spacing w:before="50" w:after="120" w:afterLines="50"/>
        <w:jc w:val="left"/>
        <w:rPr>
          <w:color w:val="auto"/>
          <w:szCs w:val="21"/>
          <w:highlight w:val="none"/>
        </w:rPr>
      </w:pPr>
    </w:p>
    <w:bookmarkEnd w:id="137"/>
    <w:bookmarkEnd w:id="138"/>
    <w:p w14:paraId="46C125F0">
      <w:pPr>
        <w:snapToGrid w:val="0"/>
        <w:spacing w:before="50" w:after="120" w:afterLines="50"/>
        <w:jc w:val="left"/>
        <w:rPr>
          <w:color w:val="auto"/>
          <w:szCs w:val="21"/>
          <w:highlight w:val="none"/>
        </w:rPr>
      </w:pPr>
    </w:p>
    <w:p w14:paraId="10DA2041">
      <w:pPr>
        <w:snapToGrid w:val="0"/>
        <w:spacing w:before="50" w:after="120" w:afterLines="50"/>
        <w:jc w:val="left"/>
        <w:rPr>
          <w:color w:val="auto"/>
          <w:szCs w:val="21"/>
          <w:highlight w:val="none"/>
        </w:rPr>
      </w:pPr>
    </w:p>
    <w:p w14:paraId="13FE47E6">
      <w:pPr>
        <w:snapToGrid w:val="0"/>
        <w:spacing w:before="50" w:after="120" w:afterLines="50"/>
        <w:jc w:val="left"/>
        <w:rPr>
          <w:rFonts w:hint="eastAsia"/>
          <w:color w:val="auto"/>
          <w:szCs w:val="21"/>
          <w:highlight w:val="none"/>
        </w:rPr>
      </w:pPr>
    </w:p>
    <w:p w14:paraId="0E20C46D">
      <w:pPr>
        <w:spacing w:before="120" w:line="320" w:lineRule="atLeast"/>
        <w:rPr>
          <w:color w:val="auto"/>
          <w:szCs w:val="21"/>
          <w:highlight w:val="none"/>
        </w:rPr>
      </w:pPr>
      <w:r>
        <w:rPr>
          <w:color w:val="auto"/>
          <w:szCs w:val="21"/>
          <w:highlight w:val="none"/>
        </w:rPr>
        <w:br w:type="page"/>
      </w:r>
      <w:bookmarkStart w:id="139" w:name="_Hlk19110561"/>
      <w:r>
        <w:rPr>
          <w:rFonts w:hint="eastAsia"/>
          <w:color w:val="auto"/>
          <w:szCs w:val="21"/>
          <w:highlight w:val="none"/>
          <w:lang w:val="en-US" w:eastAsia="zh-CN"/>
        </w:rPr>
        <w:t>7</w:t>
      </w:r>
      <w:r>
        <w:rPr>
          <w:color w:val="auto"/>
          <w:szCs w:val="21"/>
          <w:highlight w:val="none"/>
        </w:rPr>
        <w:t>．代理服务费承诺书</w:t>
      </w:r>
      <w:bookmarkEnd w:id="139"/>
    </w:p>
    <w:p w14:paraId="68D50A7F">
      <w:pPr>
        <w:spacing w:line="360" w:lineRule="exact"/>
        <w:rPr>
          <w:color w:val="auto"/>
          <w:szCs w:val="21"/>
          <w:highlight w:val="none"/>
        </w:rPr>
      </w:pPr>
      <w:bookmarkStart w:id="140" w:name="_Hlk19110490"/>
      <w:r>
        <w:rPr>
          <w:color w:val="auto"/>
          <w:szCs w:val="21"/>
          <w:highlight w:val="none"/>
        </w:rPr>
        <w:t>致：广西机电设备招标有限公司</w:t>
      </w:r>
    </w:p>
    <w:p w14:paraId="6BB71C0A">
      <w:pPr>
        <w:spacing w:line="360" w:lineRule="exact"/>
        <w:ind w:firstLine="420" w:firstLineChars="200"/>
        <w:rPr>
          <w:color w:val="auto"/>
          <w:szCs w:val="21"/>
          <w:highlight w:val="none"/>
        </w:rPr>
      </w:pPr>
      <w:r>
        <w:rPr>
          <w:color w:val="auto"/>
          <w:szCs w:val="21"/>
          <w:highlight w:val="none"/>
        </w:rPr>
        <w:t>我单位参加了贵方组织的谈判项目编号为</w:t>
      </w:r>
      <w:r>
        <w:rPr>
          <w:b/>
          <w:color w:val="auto"/>
          <w:szCs w:val="21"/>
          <w:highlight w:val="none"/>
        </w:rPr>
        <w:t>（</w:t>
      </w:r>
      <w:r>
        <w:rPr>
          <w:color w:val="auto"/>
          <w:szCs w:val="21"/>
          <w:highlight w:val="none"/>
          <w:u w:val="single"/>
        </w:rPr>
        <w:t xml:space="preserve">                    )</w:t>
      </w:r>
      <w:r>
        <w:rPr>
          <w:color w:val="auto"/>
          <w:szCs w:val="21"/>
          <w:highlight w:val="none"/>
        </w:rPr>
        <w:t>的响应，并递交了谈判保证金</w:t>
      </w:r>
      <w:r>
        <w:rPr>
          <w:color w:val="auto"/>
          <w:szCs w:val="21"/>
          <w:highlight w:val="none"/>
          <w:u w:val="single"/>
        </w:rPr>
        <w:t xml:space="preserve">                  </w:t>
      </w:r>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），在此我方说明如下：</w:t>
      </w:r>
    </w:p>
    <w:p w14:paraId="69522BFA">
      <w:pPr>
        <w:spacing w:line="360" w:lineRule="exact"/>
        <w:ind w:firstLine="420" w:firstLineChars="200"/>
        <w:rPr>
          <w:color w:val="auto"/>
          <w:szCs w:val="21"/>
          <w:highlight w:val="none"/>
        </w:rPr>
      </w:pPr>
      <w:r>
        <w:rPr>
          <w:color w:val="auto"/>
          <w:szCs w:val="21"/>
          <w:highlight w:val="none"/>
        </w:rPr>
        <w:t>1．我方承诺，若我单位</w:t>
      </w:r>
      <w:r>
        <w:rPr>
          <w:rFonts w:hint="eastAsia"/>
          <w:color w:val="auto"/>
          <w:szCs w:val="21"/>
          <w:highlight w:val="none"/>
        </w:rPr>
        <w:t>成交</w:t>
      </w:r>
      <w:r>
        <w:rPr>
          <w:color w:val="auto"/>
          <w:szCs w:val="21"/>
          <w:highlight w:val="none"/>
        </w:rPr>
        <w:t>，保证在领取</w:t>
      </w:r>
      <w:r>
        <w:rPr>
          <w:rFonts w:hint="eastAsia"/>
          <w:color w:val="auto"/>
          <w:szCs w:val="21"/>
          <w:highlight w:val="none"/>
        </w:rPr>
        <w:t>成交</w:t>
      </w:r>
      <w:r>
        <w:rPr>
          <w:color w:val="auto"/>
          <w:szCs w:val="21"/>
          <w:highlight w:val="none"/>
        </w:rPr>
        <w:t>通知书之前，按本项目</w:t>
      </w:r>
      <w:r>
        <w:rPr>
          <w:rFonts w:hint="eastAsia"/>
          <w:color w:val="auto"/>
          <w:szCs w:val="21"/>
          <w:highlight w:val="none"/>
        </w:rPr>
        <w:t>采购文件</w:t>
      </w:r>
      <w:r>
        <w:rPr>
          <w:color w:val="auto"/>
          <w:szCs w:val="21"/>
          <w:highlight w:val="none"/>
        </w:rPr>
        <w:t>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w:t>
      </w:r>
      <w:r>
        <w:rPr>
          <w:rFonts w:hint="eastAsia"/>
          <w:color w:val="auto"/>
          <w:szCs w:val="21"/>
          <w:highlight w:val="none"/>
        </w:rPr>
        <w:t>谈判保证金，并从中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bookmarkEnd w:id="140"/>
    <w:p w14:paraId="6B484E37">
      <w:pPr>
        <w:spacing w:line="360" w:lineRule="exact"/>
        <w:ind w:firstLine="420" w:firstLineChars="200"/>
        <w:rPr>
          <w:color w:val="auto"/>
          <w:szCs w:val="21"/>
          <w:highlight w:val="none"/>
        </w:rPr>
      </w:pPr>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0065072A">
      <w:pPr>
        <w:spacing w:line="360" w:lineRule="exact"/>
        <w:ind w:firstLine="420" w:firstLineChars="200"/>
        <w:rPr>
          <w:color w:val="auto"/>
          <w:szCs w:val="21"/>
          <w:highlight w:val="none"/>
        </w:rPr>
      </w:pPr>
      <w:r>
        <w:rPr>
          <w:color w:val="auto"/>
          <w:szCs w:val="21"/>
          <w:highlight w:val="none"/>
        </w:rPr>
        <w:t>第一种方式：一次性足额缴纳代理服务费。</w:t>
      </w:r>
    </w:p>
    <w:p w14:paraId="40E65B98">
      <w:pPr>
        <w:spacing w:line="360" w:lineRule="exact"/>
        <w:ind w:firstLine="420" w:firstLineChars="200"/>
        <w:rPr>
          <w:rFonts w:hint="eastAsia"/>
          <w:color w:val="auto"/>
          <w:szCs w:val="21"/>
          <w:highlight w:val="none"/>
        </w:rPr>
      </w:pPr>
      <w:r>
        <w:rPr>
          <w:color w:val="auto"/>
          <w:szCs w:val="21"/>
          <w:highlight w:val="none"/>
        </w:rPr>
        <w:t>第二种方式：从</w:t>
      </w:r>
      <w:r>
        <w:rPr>
          <w:rFonts w:hint="eastAsia"/>
          <w:color w:val="auto"/>
          <w:szCs w:val="21"/>
          <w:highlight w:val="none"/>
        </w:rPr>
        <w:t>谈判保证金</w:t>
      </w:r>
      <w:r>
        <w:rPr>
          <w:color w:val="auto"/>
          <w:szCs w:val="21"/>
          <w:highlight w:val="none"/>
        </w:rPr>
        <w:t>中抵扣代理服务费，不足部分补交。</w:t>
      </w:r>
    </w:p>
    <w:p w14:paraId="292FDE8E">
      <w:pPr>
        <w:spacing w:line="360" w:lineRule="exact"/>
        <w:ind w:firstLine="420" w:firstLineChars="200"/>
        <w:rPr>
          <w:color w:val="auto"/>
          <w:szCs w:val="21"/>
          <w:highlight w:val="none"/>
        </w:rPr>
      </w:pPr>
      <w:r>
        <w:rPr>
          <w:color w:val="auto"/>
          <w:szCs w:val="21"/>
          <w:highlight w:val="none"/>
        </w:rPr>
        <w:t>2．如我单位谈判保证金无法原路返回，请按下表账户信息无息退还。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7D65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025C0BC5">
            <w:pPr>
              <w:spacing w:line="360" w:lineRule="exact"/>
              <w:jc w:val="center"/>
              <w:rPr>
                <w:color w:val="auto"/>
                <w:szCs w:val="21"/>
                <w:highlight w:val="none"/>
              </w:rPr>
            </w:pPr>
            <w:r>
              <w:rPr>
                <w:color w:val="auto"/>
                <w:szCs w:val="21"/>
                <w:highlight w:val="none"/>
              </w:rPr>
              <w:t>收款户名</w:t>
            </w:r>
          </w:p>
        </w:tc>
        <w:tc>
          <w:tcPr>
            <w:tcW w:w="5431" w:type="dxa"/>
            <w:noWrap w:val="0"/>
            <w:vAlign w:val="center"/>
          </w:tcPr>
          <w:p w14:paraId="7E244DC1">
            <w:pPr>
              <w:spacing w:line="360" w:lineRule="exact"/>
              <w:jc w:val="center"/>
              <w:rPr>
                <w:color w:val="auto"/>
                <w:szCs w:val="21"/>
                <w:highlight w:val="none"/>
              </w:rPr>
            </w:pPr>
          </w:p>
        </w:tc>
      </w:tr>
      <w:tr w14:paraId="11E1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51E03BFC">
            <w:pPr>
              <w:spacing w:line="360" w:lineRule="exact"/>
              <w:jc w:val="center"/>
              <w:rPr>
                <w:color w:val="auto"/>
                <w:szCs w:val="21"/>
                <w:highlight w:val="none"/>
              </w:rPr>
            </w:pPr>
            <w:r>
              <w:rPr>
                <w:color w:val="auto"/>
                <w:szCs w:val="21"/>
                <w:highlight w:val="none"/>
              </w:rPr>
              <w:t>账    号</w:t>
            </w:r>
          </w:p>
        </w:tc>
        <w:tc>
          <w:tcPr>
            <w:tcW w:w="5431" w:type="dxa"/>
            <w:noWrap w:val="0"/>
            <w:vAlign w:val="center"/>
          </w:tcPr>
          <w:p w14:paraId="7A452FBB">
            <w:pPr>
              <w:spacing w:line="360" w:lineRule="exact"/>
              <w:jc w:val="center"/>
              <w:rPr>
                <w:color w:val="auto"/>
                <w:szCs w:val="21"/>
                <w:highlight w:val="none"/>
              </w:rPr>
            </w:pPr>
          </w:p>
        </w:tc>
      </w:tr>
      <w:tr w14:paraId="7537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47E749B">
            <w:pPr>
              <w:spacing w:line="360" w:lineRule="exact"/>
              <w:jc w:val="center"/>
              <w:rPr>
                <w:color w:val="auto"/>
                <w:szCs w:val="21"/>
                <w:highlight w:val="none"/>
              </w:rPr>
            </w:pPr>
            <w:r>
              <w:rPr>
                <w:color w:val="auto"/>
                <w:szCs w:val="21"/>
                <w:highlight w:val="none"/>
              </w:rPr>
              <w:t>开户银行</w:t>
            </w:r>
          </w:p>
        </w:tc>
        <w:tc>
          <w:tcPr>
            <w:tcW w:w="5431" w:type="dxa"/>
            <w:noWrap w:val="0"/>
            <w:vAlign w:val="center"/>
          </w:tcPr>
          <w:p w14:paraId="7B4E5796">
            <w:pPr>
              <w:spacing w:line="360" w:lineRule="exact"/>
              <w:jc w:val="center"/>
              <w:rPr>
                <w:color w:val="auto"/>
                <w:szCs w:val="21"/>
                <w:highlight w:val="none"/>
              </w:rPr>
            </w:pPr>
          </w:p>
        </w:tc>
      </w:tr>
      <w:tr w14:paraId="14C7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05F9C17B">
            <w:pPr>
              <w:spacing w:line="360" w:lineRule="exact"/>
              <w:jc w:val="center"/>
              <w:rPr>
                <w:color w:val="auto"/>
                <w:szCs w:val="21"/>
                <w:highlight w:val="none"/>
              </w:rPr>
            </w:pPr>
            <w:r>
              <w:rPr>
                <w:color w:val="auto"/>
                <w:szCs w:val="21"/>
                <w:highlight w:val="none"/>
              </w:rPr>
              <w:t>银行行号</w:t>
            </w:r>
          </w:p>
        </w:tc>
        <w:tc>
          <w:tcPr>
            <w:tcW w:w="5431" w:type="dxa"/>
            <w:noWrap w:val="0"/>
            <w:vAlign w:val="center"/>
          </w:tcPr>
          <w:p w14:paraId="73717E74">
            <w:pPr>
              <w:spacing w:line="360" w:lineRule="exact"/>
              <w:jc w:val="center"/>
              <w:rPr>
                <w:color w:val="auto"/>
                <w:szCs w:val="21"/>
                <w:highlight w:val="none"/>
              </w:rPr>
            </w:pPr>
          </w:p>
        </w:tc>
      </w:tr>
    </w:tbl>
    <w:p w14:paraId="18F8922D">
      <w:pPr>
        <w:spacing w:line="360" w:lineRule="exact"/>
        <w:ind w:firstLine="420" w:firstLineChars="200"/>
        <w:rPr>
          <w:color w:val="auto"/>
          <w:szCs w:val="21"/>
          <w:highlight w:val="none"/>
        </w:rPr>
      </w:pPr>
      <w:r>
        <w:rPr>
          <w:color w:val="auto"/>
          <w:szCs w:val="21"/>
          <w:highlight w:val="none"/>
        </w:rPr>
        <w:t>3．如果我单位未遵守有关采购文件关于谈判保证金的规定，贵方可以没收我单位谈判保证金。</w:t>
      </w:r>
    </w:p>
    <w:p w14:paraId="57D8F73C">
      <w:pP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0B3815E5">
      <w:pPr>
        <w:spacing w:line="360" w:lineRule="exact"/>
        <w:ind w:firstLine="420" w:firstLineChars="200"/>
        <w:rPr>
          <w:color w:val="auto"/>
          <w:szCs w:val="21"/>
          <w:highlight w:val="none"/>
        </w:rPr>
      </w:pPr>
      <w:r>
        <w:rPr>
          <w:color w:val="auto"/>
          <w:szCs w:val="21"/>
          <w:highlight w:val="none"/>
        </w:rPr>
        <w:t>第一种方式：开具收据。</w:t>
      </w:r>
    </w:p>
    <w:p w14:paraId="78D5A31E">
      <w:pPr>
        <w:spacing w:line="360" w:lineRule="exact"/>
        <w:ind w:firstLine="420" w:firstLineChars="200"/>
        <w:rPr>
          <w:color w:val="auto"/>
          <w:szCs w:val="21"/>
          <w:highlight w:val="none"/>
        </w:rPr>
      </w:pPr>
      <w:r>
        <w:rPr>
          <w:color w:val="auto"/>
          <w:szCs w:val="21"/>
          <w:highlight w:val="none"/>
        </w:rPr>
        <w:t>第二种方式：开具增值税普通发票。 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48CD1E9D">
      <w:pP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285EA6EB">
      <w:pPr>
        <w:spacing w:before="120" w:beforeLines="50" w:line="360" w:lineRule="auto"/>
        <w:jc w:val="left"/>
        <w:rPr>
          <w:color w:val="auto"/>
          <w:szCs w:val="21"/>
          <w:highlight w:val="none"/>
        </w:rPr>
      </w:pPr>
    </w:p>
    <w:p w14:paraId="3B9D5DD8">
      <w:pPr>
        <w:spacing w:before="120" w:beforeLines="50" w:line="360" w:lineRule="auto"/>
        <w:jc w:val="left"/>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0432D83C">
      <w:pP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779B4898">
      <w:pP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38888176">
      <w:pPr>
        <w:spacing w:before="120" w:beforeLines="50"/>
        <w:rPr>
          <w:color w:val="auto"/>
          <w:szCs w:val="21"/>
          <w:highlight w:val="none"/>
        </w:rPr>
      </w:pPr>
      <w:r>
        <w:rPr>
          <w:color w:val="auto"/>
          <w:szCs w:val="21"/>
          <w:highlight w:val="none"/>
        </w:rPr>
        <w:t>说明：</w:t>
      </w:r>
    </w:p>
    <w:p w14:paraId="784EF599">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7F3B6CC0">
      <w:pPr>
        <w:spacing w:line="340" w:lineRule="exact"/>
        <w:ind w:firstLine="420" w:firstLineChars="200"/>
        <w:rPr>
          <w:color w:val="auto"/>
          <w:szCs w:val="21"/>
          <w:highlight w:val="none"/>
        </w:rPr>
      </w:pPr>
      <w:r>
        <w:rPr>
          <w:color w:val="auto"/>
          <w:szCs w:val="21"/>
          <w:highlight w:val="none"/>
        </w:rPr>
        <w:t>（2）如因未按要求缴纳谈判保证金，导致谈判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4F1373E0">
      <w:pPr>
        <w:spacing w:line="340" w:lineRule="exact"/>
        <w:ind w:firstLine="420" w:firstLineChars="200"/>
        <w:rPr>
          <w:color w:val="auto"/>
          <w:szCs w:val="21"/>
          <w:highlight w:val="none"/>
        </w:rPr>
      </w:pPr>
      <w:r>
        <w:rPr>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0C3206C4">
      <w:pPr>
        <w:snapToGrid w:val="0"/>
        <w:spacing w:before="120" w:beforeLines="50" w:after="50" w:line="440" w:lineRule="exact"/>
        <w:jc w:val="center"/>
        <w:outlineLvl w:val="9"/>
        <w:rPr>
          <w:bCs/>
          <w:color w:val="auto"/>
          <w:sz w:val="24"/>
          <w:highlight w:val="none"/>
        </w:rPr>
      </w:pPr>
      <w:r>
        <w:rPr>
          <w:color w:val="auto"/>
          <w:szCs w:val="21"/>
          <w:highlight w:val="none"/>
        </w:rPr>
        <w:br w:type="page"/>
      </w:r>
      <w:r>
        <w:rPr>
          <w:bCs/>
          <w:color w:val="auto"/>
          <w:sz w:val="24"/>
          <w:highlight w:val="none"/>
        </w:rPr>
        <w:t>第</w:t>
      </w:r>
      <w:r>
        <w:rPr>
          <w:rFonts w:hint="eastAsia"/>
          <w:bCs/>
          <w:color w:val="auto"/>
          <w:sz w:val="24"/>
          <w:highlight w:val="none"/>
        </w:rPr>
        <w:t>三</w:t>
      </w:r>
      <w:r>
        <w:rPr>
          <w:bCs/>
          <w:color w:val="auto"/>
          <w:sz w:val="24"/>
          <w:highlight w:val="none"/>
        </w:rPr>
        <w:t>部分 报价文件</w:t>
      </w:r>
    </w:p>
    <w:p w14:paraId="4C552714">
      <w:pPr>
        <w:jc w:val="center"/>
        <w:rPr>
          <w:b/>
          <w:bCs/>
          <w:color w:val="auto"/>
          <w:szCs w:val="21"/>
          <w:highlight w:val="none"/>
        </w:rPr>
      </w:pPr>
    </w:p>
    <w:p w14:paraId="1AFD4CE7">
      <w:pPr>
        <w:rPr>
          <w:rFonts w:hint="eastAsia"/>
          <w:b/>
          <w:color w:val="auto"/>
          <w:szCs w:val="21"/>
          <w:highlight w:val="none"/>
        </w:rPr>
      </w:pPr>
      <w:r>
        <w:rPr>
          <w:b/>
          <w:color w:val="auto"/>
          <w:szCs w:val="21"/>
          <w:highlight w:val="none"/>
        </w:rPr>
        <w:t>1．响应函格式：</w:t>
      </w:r>
    </w:p>
    <w:p w14:paraId="54114A7E">
      <w:pPr>
        <w:rPr>
          <w:b/>
          <w:color w:val="auto"/>
          <w:szCs w:val="21"/>
          <w:highlight w:val="none"/>
        </w:rPr>
      </w:pPr>
    </w:p>
    <w:p w14:paraId="1B03F97B">
      <w:pPr>
        <w:jc w:val="center"/>
        <w:rPr>
          <w:b/>
          <w:color w:val="auto"/>
          <w:szCs w:val="21"/>
          <w:highlight w:val="none"/>
        </w:rPr>
      </w:pPr>
      <w:r>
        <w:rPr>
          <w:b/>
          <w:color w:val="auto"/>
          <w:szCs w:val="21"/>
          <w:highlight w:val="none"/>
        </w:rPr>
        <w:t>响应函</w:t>
      </w:r>
    </w:p>
    <w:p w14:paraId="669A602E">
      <w:pPr>
        <w:rPr>
          <w:b/>
          <w:color w:val="auto"/>
          <w:szCs w:val="21"/>
          <w:highlight w:val="none"/>
        </w:rPr>
      </w:pPr>
    </w:p>
    <w:p w14:paraId="0CA709CF">
      <w:pPr>
        <w:spacing w:line="360" w:lineRule="auto"/>
        <w:rPr>
          <w:color w:val="auto"/>
          <w:szCs w:val="21"/>
          <w:highlight w:val="none"/>
        </w:rPr>
      </w:pPr>
      <w:bookmarkStart w:id="141" w:name="_Hlk19110643"/>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p>
    <w:p w14:paraId="464509CD">
      <w:pP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color w:val="auto"/>
          <w:szCs w:val="21"/>
          <w:highlight w:val="none"/>
          <w:u w:val="single"/>
        </w:rPr>
        <w:t xml:space="preserve"> </w:t>
      </w:r>
      <w:r>
        <w:rPr>
          <w:i/>
          <w:iCs/>
          <w:color w:val="auto"/>
          <w:szCs w:val="21"/>
          <w:highlight w:val="none"/>
          <w:u w:val="single"/>
        </w:rPr>
        <w:t>（供应商名称）</w:t>
      </w:r>
      <w:r>
        <w:rPr>
          <w:rFonts w:hint="eastAsia"/>
          <w:i/>
          <w:iCs/>
          <w:color w:val="auto"/>
          <w:szCs w:val="21"/>
          <w:highlight w:val="none"/>
          <w:u w:val="single"/>
        </w:rPr>
        <w:t xml:space="preserve"> </w:t>
      </w:r>
      <w:r>
        <w:rPr>
          <w:color w:val="auto"/>
          <w:szCs w:val="21"/>
          <w:highlight w:val="none"/>
        </w:rPr>
        <w:t>提交响应文件。</w:t>
      </w:r>
    </w:p>
    <w:bookmarkEnd w:id="141"/>
    <w:p w14:paraId="2A939A2D">
      <w:pPr>
        <w:spacing w:line="360" w:lineRule="auto"/>
        <w:ind w:firstLine="420" w:firstLineChars="200"/>
        <w:rPr>
          <w:color w:val="auto"/>
          <w:szCs w:val="21"/>
          <w:highlight w:val="none"/>
        </w:rPr>
      </w:pPr>
      <w:r>
        <w:rPr>
          <w:color w:val="auto"/>
          <w:szCs w:val="21"/>
          <w:highlight w:val="none"/>
        </w:rPr>
        <w:t>据此函，签字代表宣布同意如下：</w:t>
      </w:r>
    </w:p>
    <w:p w14:paraId="26C78257">
      <w:pP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0C068E83">
      <w:pP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240DF964">
      <w:pPr>
        <w:spacing w:line="360" w:lineRule="auto"/>
        <w:rPr>
          <w:color w:val="auto"/>
          <w:szCs w:val="21"/>
          <w:highlight w:val="none"/>
        </w:rPr>
      </w:pPr>
      <w:r>
        <w:rPr>
          <w:rFonts w:hint="eastAsia"/>
          <w:color w:val="auto"/>
          <w:szCs w:val="21"/>
          <w:highlight w:val="none"/>
        </w:rPr>
        <w:t>（3）我方承诺本响应有效期为第三章供应商须知规定的期限。</w:t>
      </w:r>
    </w:p>
    <w:p w14:paraId="63534C64">
      <w:pP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60E70534">
      <w:pPr>
        <w:spacing w:line="360" w:lineRule="auto"/>
        <w:rPr>
          <w:color w:val="auto"/>
          <w:szCs w:val="21"/>
          <w:highlight w:val="none"/>
        </w:rPr>
      </w:pPr>
      <w:r>
        <w:rPr>
          <w:color w:val="auto"/>
          <w:szCs w:val="21"/>
          <w:highlight w:val="none"/>
        </w:rPr>
        <w:t>（5）供应商同意按照贵方要求提供与响应有关的一切数据或资料。</w:t>
      </w:r>
    </w:p>
    <w:p w14:paraId="6328BC3C">
      <w:pPr>
        <w:spacing w:line="360" w:lineRule="auto"/>
        <w:rPr>
          <w:color w:val="auto"/>
          <w:szCs w:val="21"/>
          <w:highlight w:val="none"/>
        </w:rPr>
      </w:pPr>
      <w:r>
        <w:rPr>
          <w:color w:val="auto"/>
          <w:szCs w:val="21"/>
          <w:highlight w:val="none"/>
        </w:rPr>
        <w:t>（</w:t>
      </w:r>
      <w:r>
        <w:rPr>
          <w:rFonts w:hint="eastAsia"/>
          <w:color w:val="auto"/>
          <w:szCs w:val="21"/>
          <w:highlight w:val="none"/>
        </w:rPr>
        <w:t>6</w:t>
      </w:r>
      <w:r>
        <w:rPr>
          <w:color w:val="auto"/>
          <w:szCs w:val="21"/>
          <w:highlight w:val="none"/>
        </w:rPr>
        <w:t>）与本项目有关的一切正式往来信函请寄：</w:t>
      </w:r>
    </w:p>
    <w:p w14:paraId="46C41B00">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0F3BCEBF">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54C3EF32">
      <w:pPr>
        <w:spacing w:line="360" w:lineRule="auto"/>
        <w:rPr>
          <w:rFonts w:hint="eastAsia"/>
          <w:color w:val="auto"/>
          <w:szCs w:val="21"/>
          <w:highlight w:val="none"/>
          <w:u w:val="singl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p>
    <w:p w14:paraId="6EA3C588">
      <w:pPr>
        <w:spacing w:line="360" w:lineRule="auto"/>
        <w:rPr>
          <w:color w:val="auto"/>
          <w:szCs w:val="21"/>
          <w:highlight w:val="none"/>
        </w:rPr>
      </w:pPr>
    </w:p>
    <w:p w14:paraId="5C35C0BA">
      <w:pPr>
        <w:spacing w:line="360" w:lineRule="auto"/>
        <w:rPr>
          <w:rFonts w:hint="eastAsia"/>
          <w:color w:val="auto"/>
          <w:szCs w:val="21"/>
          <w:highlight w:val="none"/>
        </w:rPr>
      </w:pPr>
    </w:p>
    <w:p w14:paraId="0518FC63">
      <w:pPr>
        <w:spacing w:line="360" w:lineRule="auto"/>
        <w:rPr>
          <w:rFonts w:hint="eastAsia"/>
          <w:color w:val="auto"/>
          <w:szCs w:val="21"/>
          <w:highlight w:val="none"/>
        </w:rPr>
      </w:pPr>
    </w:p>
    <w:p w14:paraId="1C65D296">
      <w:pPr>
        <w:spacing w:line="360" w:lineRule="auto"/>
        <w:rPr>
          <w:rFonts w:hint="eastAsia"/>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58F465E1">
      <w:pPr>
        <w:spacing w:line="360" w:lineRule="auto"/>
        <w:rPr>
          <w:rFonts w:hint="eastAsia"/>
          <w:color w:val="auto"/>
          <w:szCs w:val="21"/>
          <w:highlight w:val="none"/>
        </w:rPr>
      </w:pPr>
      <w:r>
        <w:rPr>
          <w:color w:val="auto"/>
          <w:szCs w:val="21"/>
          <w:highlight w:val="none"/>
        </w:rPr>
        <w:t xml:space="preserve">        </w:t>
      </w:r>
    </w:p>
    <w:p w14:paraId="3139FE08">
      <w:pPr>
        <w:spacing w:line="360" w:lineRule="auto"/>
        <w:rPr>
          <w:rFonts w:hint="eastAsia"/>
          <w:color w:val="auto"/>
          <w:szCs w:val="21"/>
          <w:highlight w:val="none"/>
        </w:rPr>
      </w:pPr>
    </w:p>
    <w:p w14:paraId="0A94E935">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208EFFE1">
      <w:pPr>
        <w:rPr>
          <w:b/>
          <w:color w:val="auto"/>
          <w:szCs w:val="21"/>
          <w:highlight w:val="none"/>
        </w:rPr>
      </w:pPr>
      <w:r>
        <w:rPr>
          <w:b/>
          <w:color w:val="auto"/>
          <w:szCs w:val="21"/>
          <w:highlight w:val="none"/>
        </w:rPr>
        <w:br w:type="page"/>
      </w:r>
      <w:r>
        <w:rPr>
          <w:rFonts w:hint="eastAsia"/>
          <w:b/>
          <w:color w:val="auto"/>
          <w:szCs w:val="21"/>
          <w:highlight w:val="none"/>
          <w:lang w:val="en-US" w:eastAsia="zh-CN"/>
        </w:rPr>
        <w:t>2.1</w:t>
      </w:r>
      <w:r>
        <w:rPr>
          <w:b/>
          <w:color w:val="auto"/>
          <w:szCs w:val="21"/>
          <w:highlight w:val="none"/>
        </w:rPr>
        <w:t>响应报价明细表格式：</w:t>
      </w:r>
    </w:p>
    <w:p w14:paraId="08027486">
      <w:pPr>
        <w:jc w:val="center"/>
        <w:rPr>
          <w:b/>
          <w:color w:val="auto"/>
          <w:szCs w:val="21"/>
          <w:highlight w:val="none"/>
        </w:rPr>
      </w:pPr>
      <w:r>
        <w:rPr>
          <w:b/>
          <w:color w:val="auto"/>
          <w:szCs w:val="21"/>
          <w:highlight w:val="none"/>
        </w:rPr>
        <w:t>响应报价明细表</w:t>
      </w:r>
    </w:p>
    <w:p w14:paraId="5C216F66">
      <w:pPr>
        <w:ind w:firstLine="2415" w:firstLineChars="1150"/>
        <w:rPr>
          <w:color w:val="auto"/>
          <w:szCs w:val="21"/>
          <w:highlight w:val="none"/>
        </w:rPr>
      </w:pPr>
      <w:r>
        <w:rPr>
          <w:color w:val="auto"/>
          <w:szCs w:val="21"/>
          <w:highlight w:val="none"/>
        </w:rPr>
        <w:t xml:space="preserve">                            金额单位：人民币（元）</w:t>
      </w:r>
    </w:p>
    <w:tbl>
      <w:tblPr>
        <w:tblStyle w:val="51"/>
        <w:tblW w:w="793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0"/>
        <w:gridCol w:w="864"/>
        <w:gridCol w:w="1046"/>
        <w:gridCol w:w="697"/>
        <w:gridCol w:w="1046"/>
        <w:gridCol w:w="813"/>
        <w:gridCol w:w="706"/>
        <w:gridCol w:w="706"/>
        <w:gridCol w:w="706"/>
        <w:gridCol w:w="777"/>
      </w:tblGrid>
      <w:tr w14:paraId="5BC8B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7" w:hRule="exact"/>
        </w:trPr>
        <w:tc>
          <w:tcPr>
            <w:tcW w:w="570" w:type="dxa"/>
            <w:tcBorders>
              <w:top w:val="single" w:color="auto" w:sz="4" w:space="0"/>
              <w:left w:val="single" w:color="auto" w:sz="4" w:space="0"/>
              <w:bottom w:val="single" w:color="auto" w:sz="4" w:space="0"/>
              <w:right w:val="single" w:color="auto" w:sz="4" w:space="0"/>
            </w:tcBorders>
            <w:noWrap w:val="0"/>
            <w:vAlign w:val="center"/>
          </w:tcPr>
          <w:p w14:paraId="1AEB5D07">
            <w:pPr>
              <w:jc w:val="center"/>
              <w:rPr>
                <w:color w:val="auto"/>
                <w:spacing w:val="20"/>
                <w:szCs w:val="21"/>
                <w:highlight w:val="none"/>
              </w:rPr>
            </w:pPr>
            <w:r>
              <w:rPr>
                <w:color w:val="auto"/>
                <w:szCs w:val="21"/>
                <w:highlight w:val="none"/>
              </w:rPr>
              <w:t>序号</w:t>
            </w:r>
          </w:p>
        </w:tc>
        <w:tc>
          <w:tcPr>
            <w:tcW w:w="864" w:type="dxa"/>
            <w:tcBorders>
              <w:top w:val="single" w:color="auto" w:sz="4" w:space="0"/>
              <w:left w:val="single" w:color="auto" w:sz="4" w:space="0"/>
              <w:bottom w:val="single" w:color="auto" w:sz="4" w:space="0"/>
              <w:right w:val="single" w:color="auto" w:sz="4" w:space="0"/>
            </w:tcBorders>
            <w:noWrap w:val="0"/>
            <w:vAlign w:val="center"/>
          </w:tcPr>
          <w:p w14:paraId="02C17B0C">
            <w:pPr>
              <w:jc w:val="center"/>
              <w:rPr>
                <w:rFonts w:hint="eastAsia" w:eastAsia="宋体"/>
                <w:color w:val="auto"/>
                <w:szCs w:val="21"/>
                <w:highlight w:val="none"/>
                <w:lang w:eastAsia="zh-CN"/>
              </w:rPr>
            </w:pPr>
            <w:r>
              <w:rPr>
                <w:rFonts w:hint="eastAsia"/>
                <w:color w:val="auto"/>
                <w:szCs w:val="21"/>
                <w:highlight w:val="none"/>
                <w:lang w:eastAsia="zh-CN"/>
              </w:rPr>
              <w:t>服务名称</w:t>
            </w:r>
          </w:p>
        </w:tc>
        <w:tc>
          <w:tcPr>
            <w:tcW w:w="1046" w:type="dxa"/>
            <w:tcBorders>
              <w:top w:val="single" w:color="auto" w:sz="4" w:space="0"/>
              <w:left w:val="single" w:color="auto" w:sz="4" w:space="0"/>
              <w:bottom w:val="single" w:color="auto" w:sz="4" w:space="0"/>
              <w:right w:val="single" w:color="auto" w:sz="4" w:space="0"/>
            </w:tcBorders>
            <w:noWrap w:val="0"/>
            <w:vAlign w:val="center"/>
          </w:tcPr>
          <w:p w14:paraId="29CBEE27">
            <w:pPr>
              <w:jc w:val="center"/>
              <w:rPr>
                <w:color w:val="auto"/>
                <w:szCs w:val="21"/>
                <w:highlight w:val="none"/>
              </w:rPr>
            </w:pPr>
            <w:r>
              <w:rPr>
                <w:rFonts w:hint="eastAsia"/>
                <w:color w:val="auto"/>
                <w:szCs w:val="21"/>
                <w:highlight w:val="none"/>
              </w:rPr>
              <w:t>服务范围</w:t>
            </w:r>
          </w:p>
        </w:tc>
        <w:tc>
          <w:tcPr>
            <w:tcW w:w="697" w:type="dxa"/>
            <w:tcBorders>
              <w:top w:val="single" w:color="auto" w:sz="4" w:space="0"/>
              <w:left w:val="single" w:color="auto" w:sz="4" w:space="0"/>
              <w:bottom w:val="single" w:color="auto" w:sz="4" w:space="0"/>
              <w:right w:val="single" w:color="auto" w:sz="4" w:space="0"/>
            </w:tcBorders>
            <w:noWrap w:val="0"/>
            <w:vAlign w:val="center"/>
          </w:tcPr>
          <w:p w14:paraId="43C9EAD3">
            <w:pPr>
              <w:jc w:val="center"/>
              <w:rPr>
                <w:color w:val="auto"/>
                <w:szCs w:val="21"/>
                <w:highlight w:val="none"/>
              </w:rPr>
            </w:pPr>
            <w:r>
              <w:rPr>
                <w:rFonts w:hint="eastAsia"/>
                <w:color w:val="auto"/>
                <w:szCs w:val="21"/>
                <w:highlight w:val="none"/>
              </w:rPr>
              <w:t>服务要求</w:t>
            </w:r>
          </w:p>
        </w:tc>
        <w:tc>
          <w:tcPr>
            <w:tcW w:w="1046" w:type="dxa"/>
            <w:tcBorders>
              <w:top w:val="single" w:color="auto" w:sz="4" w:space="0"/>
              <w:left w:val="single" w:color="auto" w:sz="4" w:space="0"/>
              <w:bottom w:val="single" w:color="auto" w:sz="4" w:space="0"/>
              <w:right w:val="single" w:color="auto" w:sz="4" w:space="0"/>
            </w:tcBorders>
            <w:noWrap w:val="0"/>
            <w:vAlign w:val="center"/>
          </w:tcPr>
          <w:p w14:paraId="4F996876">
            <w:pPr>
              <w:jc w:val="center"/>
              <w:rPr>
                <w:color w:val="auto"/>
                <w:szCs w:val="21"/>
                <w:highlight w:val="none"/>
              </w:rPr>
            </w:pPr>
            <w:r>
              <w:rPr>
                <w:rFonts w:hint="eastAsia"/>
                <w:color w:val="auto"/>
                <w:szCs w:val="21"/>
                <w:highlight w:val="none"/>
              </w:rPr>
              <w:t>服务时间</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3D21FF36">
            <w:pPr>
              <w:jc w:val="center"/>
              <w:rPr>
                <w:color w:val="auto"/>
                <w:szCs w:val="21"/>
                <w:highlight w:val="none"/>
              </w:rPr>
            </w:pPr>
            <w:r>
              <w:rPr>
                <w:rFonts w:hint="eastAsia"/>
                <w:color w:val="auto"/>
                <w:szCs w:val="21"/>
                <w:highlight w:val="none"/>
              </w:rPr>
              <w:t>服务标准</w:t>
            </w:r>
          </w:p>
        </w:tc>
        <w:tc>
          <w:tcPr>
            <w:tcW w:w="706" w:type="dxa"/>
            <w:tcBorders>
              <w:top w:val="single" w:color="auto" w:sz="4" w:space="0"/>
              <w:left w:val="single" w:color="auto" w:sz="4" w:space="0"/>
              <w:bottom w:val="single" w:color="auto" w:sz="4" w:space="0"/>
              <w:right w:val="single" w:color="auto" w:sz="4" w:space="0"/>
            </w:tcBorders>
            <w:noWrap w:val="0"/>
            <w:vAlign w:val="center"/>
          </w:tcPr>
          <w:p w14:paraId="2C1F70CD">
            <w:pPr>
              <w:jc w:val="center"/>
              <w:rPr>
                <w:rFonts w:hint="eastAsia"/>
                <w:color w:val="auto"/>
                <w:szCs w:val="21"/>
                <w:highlight w:val="none"/>
                <w:lang w:eastAsia="zh-CN"/>
              </w:rPr>
            </w:pPr>
            <w:r>
              <w:rPr>
                <w:rFonts w:hint="eastAsia"/>
                <w:color w:val="auto"/>
                <w:szCs w:val="21"/>
                <w:highlight w:val="none"/>
                <w:lang w:eastAsia="zh-CN"/>
              </w:rPr>
              <w:t>总价</w:t>
            </w:r>
          </w:p>
        </w:tc>
        <w:tc>
          <w:tcPr>
            <w:tcW w:w="706" w:type="dxa"/>
            <w:tcBorders>
              <w:top w:val="single" w:color="auto" w:sz="4" w:space="0"/>
              <w:left w:val="single" w:color="auto" w:sz="4" w:space="0"/>
              <w:bottom w:val="single" w:color="auto" w:sz="4" w:space="0"/>
              <w:right w:val="single" w:color="auto" w:sz="4" w:space="0"/>
            </w:tcBorders>
            <w:noWrap w:val="0"/>
            <w:vAlign w:val="center"/>
          </w:tcPr>
          <w:p w14:paraId="37B4583E">
            <w:pPr>
              <w:jc w:val="center"/>
              <w:rPr>
                <w:rFonts w:hint="eastAsia"/>
                <w:color w:val="auto"/>
                <w:szCs w:val="21"/>
                <w:highlight w:val="none"/>
                <w:lang w:eastAsia="zh-CN"/>
              </w:rPr>
            </w:pPr>
            <w:r>
              <w:rPr>
                <w:rFonts w:hint="eastAsia"/>
                <w:color w:val="auto"/>
                <w:szCs w:val="21"/>
                <w:highlight w:val="none"/>
                <w:lang w:eastAsia="zh-CN"/>
              </w:rPr>
              <w:t>单价</w:t>
            </w:r>
          </w:p>
        </w:tc>
        <w:tc>
          <w:tcPr>
            <w:tcW w:w="706" w:type="dxa"/>
            <w:tcBorders>
              <w:top w:val="single" w:color="auto" w:sz="4" w:space="0"/>
              <w:left w:val="single" w:color="auto" w:sz="4" w:space="0"/>
              <w:bottom w:val="single" w:color="auto" w:sz="4" w:space="0"/>
              <w:right w:val="single" w:color="auto" w:sz="4" w:space="0"/>
            </w:tcBorders>
            <w:noWrap w:val="0"/>
            <w:vAlign w:val="center"/>
          </w:tcPr>
          <w:p w14:paraId="728FF072">
            <w:pPr>
              <w:jc w:val="center"/>
              <w:rPr>
                <w:rFonts w:hint="eastAsia" w:eastAsia="宋体"/>
                <w:color w:val="auto"/>
                <w:szCs w:val="21"/>
                <w:highlight w:val="none"/>
                <w:lang w:eastAsia="zh-CN"/>
              </w:rPr>
            </w:pPr>
            <w:r>
              <w:rPr>
                <w:rFonts w:hint="eastAsia"/>
                <w:color w:val="auto"/>
                <w:szCs w:val="21"/>
                <w:highlight w:val="none"/>
                <w:lang w:eastAsia="zh-CN"/>
              </w:rPr>
              <w:t>数量</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6686E87A">
            <w:pPr>
              <w:jc w:val="center"/>
              <w:rPr>
                <w:rFonts w:hint="eastAsia" w:eastAsia="宋体"/>
                <w:color w:val="auto"/>
                <w:szCs w:val="21"/>
                <w:highlight w:val="none"/>
                <w:lang w:eastAsia="zh-CN"/>
              </w:rPr>
            </w:pPr>
            <w:r>
              <w:rPr>
                <w:rFonts w:hint="eastAsia"/>
                <w:color w:val="auto"/>
                <w:szCs w:val="21"/>
                <w:highlight w:val="none"/>
                <w:lang w:eastAsia="zh-CN"/>
              </w:rPr>
              <w:t>备注</w:t>
            </w:r>
          </w:p>
        </w:tc>
      </w:tr>
      <w:tr w14:paraId="52E7AD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7" w:hRule="exact"/>
        </w:trPr>
        <w:tc>
          <w:tcPr>
            <w:tcW w:w="570" w:type="dxa"/>
            <w:tcBorders>
              <w:top w:val="single" w:color="auto" w:sz="4" w:space="0"/>
              <w:left w:val="single" w:color="auto" w:sz="4" w:space="0"/>
              <w:bottom w:val="single" w:color="auto" w:sz="4" w:space="0"/>
              <w:right w:val="single" w:color="auto" w:sz="4" w:space="0"/>
            </w:tcBorders>
            <w:noWrap w:val="0"/>
            <w:vAlign w:val="center"/>
          </w:tcPr>
          <w:p w14:paraId="2DBC9E44">
            <w:pPr>
              <w:jc w:val="center"/>
              <w:rPr>
                <w:color w:val="auto"/>
                <w:spacing w:val="20"/>
                <w:szCs w:val="21"/>
                <w:highlight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72FC4A80">
            <w:pPr>
              <w:jc w:val="center"/>
              <w:rPr>
                <w:color w:val="auto"/>
                <w:spacing w:val="20"/>
                <w:szCs w:val="21"/>
                <w:highlight w:val="none"/>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14:paraId="7D9159D5">
            <w:pPr>
              <w:jc w:val="center"/>
              <w:rPr>
                <w:color w:val="auto"/>
                <w:spacing w:val="20"/>
                <w:szCs w:val="21"/>
                <w:highlight w:val="none"/>
              </w:rPr>
            </w:pPr>
          </w:p>
        </w:tc>
        <w:tc>
          <w:tcPr>
            <w:tcW w:w="697" w:type="dxa"/>
            <w:tcBorders>
              <w:top w:val="single" w:color="auto" w:sz="4" w:space="0"/>
              <w:left w:val="single" w:color="auto" w:sz="4" w:space="0"/>
              <w:bottom w:val="single" w:color="auto" w:sz="4" w:space="0"/>
              <w:right w:val="single" w:color="auto" w:sz="4" w:space="0"/>
            </w:tcBorders>
            <w:noWrap w:val="0"/>
            <w:vAlign w:val="center"/>
          </w:tcPr>
          <w:p w14:paraId="76777D36">
            <w:pPr>
              <w:jc w:val="center"/>
              <w:rPr>
                <w:color w:val="auto"/>
                <w:spacing w:val="20"/>
                <w:szCs w:val="21"/>
                <w:highlight w:val="none"/>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14:paraId="5045AF13">
            <w:pPr>
              <w:jc w:val="center"/>
              <w:rPr>
                <w:color w:val="auto"/>
                <w:spacing w:val="20"/>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center"/>
          </w:tcPr>
          <w:p w14:paraId="49B8A7C0">
            <w:pPr>
              <w:jc w:val="center"/>
              <w:rPr>
                <w:color w:val="auto"/>
                <w:spacing w:val="20"/>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12CEC1CC">
            <w:pPr>
              <w:jc w:val="center"/>
              <w:rPr>
                <w:color w:val="auto"/>
                <w:spacing w:val="20"/>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7DD1BA98">
            <w:pPr>
              <w:jc w:val="center"/>
              <w:rPr>
                <w:color w:val="auto"/>
                <w:spacing w:val="20"/>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1865636A">
            <w:pPr>
              <w:jc w:val="center"/>
              <w:rPr>
                <w:color w:val="auto"/>
                <w:spacing w:val="20"/>
                <w:szCs w:val="21"/>
                <w:highlight w:val="none"/>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0108A10D">
            <w:pPr>
              <w:jc w:val="center"/>
              <w:rPr>
                <w:color w:val="auto"/>
                <w:spacing w:val="20"/>
                <w:szCs w:val="21"/>
                <w:highlight w:val="none"/>
              </w:rPr>
            </w:pPr>
          </w:p>
        </w:tc>
      </w:tr>
      <w:tr w14:paraId="36976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7" w:hRule="exact"/>
        </w:trPr>
        <w:tc>
          <w:tcPr>
            <w:tcW w:w="570" w:type="dxa"/>
            <w:tcBorders>
              <w:top w:val="single" w:color="auto" w:sz="4" w:space="0"/>
              <w:left w:val="single" w:color="auto" w:sz="4" w:space="0"/>
              <w:bottom w:val="single" w:color="auto" w:sz="4" w:space="0"/>
              <w:right w:val="single" w:color="auto" w:sz="4" w:space="0"/>
            </w:tcBorders>
            <w:noWrap w:val="0"/>
            <w:vAlign w:val="center"/>
          </w:tcPr>
          <w:p w14:paraId="586A136F">
            <w:pPr>
              <w:jc w:val="center"/>
              <w:rPr>
                <w:color w:val="auto"/>
                <w:spacing w:val="20"/>
                <w:szCs w:val="21"/>
                <w:highlight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5F91EA7F">
            <w:pPr>
              <w:jc w:val="center"/>
              <w:rPr>
                <w:color w:val="auto"/>
                <w:spacing w:val="20"/>
                <w:szCs w:val="21"/>
                <w:highlight w:val="none"/>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14:paraId="77173AAE">
            <w:pPr>
              <w:jc w:val="center"/>
              <w:rPr>
                <w:color w:val="auto"/>
                <w:spacing w:val="20"/>
                <w:szCs w:val="21"/>
                <w:highlight w:val="none"/>
              </w:rPr>
            </w:pPr>
          </w:p>
        </w:tc>
        <w:tc>
          <w:tcPr>
            <w:tcW w:w="697" w:type="dxa"/>
            <w:tcBorders>
              <w:top w:val="single" w:color="auto" w:sz="4" w:space="0"/>
              <w:left w:val="single" w:color="auto" w:sz="4" w:space="0"/>
              <w:bottom w:val="single" w:color="auto" w:sz="4" w:space="0"/>
              <w:right w:val="single" w:color="auto" w:sz="4" w:space="0"/>
            </w:tcBorders>
            <w:noWrap w:val="0"/>
            <w:vAlign w:val="center"/>
          </w:tcPr>
          <w:p w14:paraId="6ED6584C">
            <w:pPr>
              <w:jc w:val="center"/>
              <w:rPr>
                <w:color w:val="auto"/>
                <w:spacing w:val="20"/>
                <w:szCs w:val="21"/>
                <w:highlight w:val="none"/>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14:paraId="4D8E0F61">
            <w:pPr>
              <w:jc w:val="center"/>
              <w:rPr>
                <w:color w:val="auto"/>
                <w:spacing w:val="20"/>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center"/>
          </w:tcPr>
          <w:p w14:paraId="7B1860D2">
            <w:pPr>
              <w:jc w:val="center"/>
              <w:rPr>
                <w:color w:val="auto"/>
                <w:spacing w:val="20"/>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05056800">
            <w:pPr>
              <w:jc w:val="center"/>
              <w:rPr>
                <w:color w:val="auto"/>
                <w:spacing w:val="20"/>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09021583">
            <w:pPr>
              <w:jc w:val="center"/>
              <w:rPr>
                <w:color w:val="auto"/>
                <w:spacing w:val="20"/>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6B88B334">
            <w:pPr>
              <w:jc w:val="center"/>
              <w:rPr>
                <w:color w:val="auto"/>
                <w:spacing w:val="20"/>
                <w:szCs w:val="21"/>
                <w:highlight w:val="none"/>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55931EBC">
            <w:pPr>
              <w:jc w:val="center"/>
              <w:rPr>
                <w:color w:val="auto"/>
                <w:spacing w:val="20"/>
                <w:szCs w:val="21"/>
                <w:highlight w:val="none"/>
              </w:rPr>
            </w:pPr>
          </w:p>
        </w:tc>
      </w:tr>
      <w:tr w14:paraId="2BCF6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6" w:hRule="exact"/>
        </w:trPr>
        <w:tc>
          <w:tcPr>
            <w:tcW w:w="570" w:type="dxa"/>
            <w:tcBorders>
              <w:top w:val="single" w:color="auto" w:sz="4" w:space="0"/>
              <w:left w:val="single" w:color="auto" w:sz="4" w:space="0"/>
              <w:bottom w:val="single" w:color="auto" w:sz="4" w:space="0"/>
              <w:right w:val="single" w:color="auto" w:sz="4" w:space="0"/>
            </w:tcBorders>
            <w:noWrap w:val="0"/>
            <w:vAlign w:val="center"/>
          </w:tcPr>
          <w:p w14:paraId="6B129224">
            <w:pPr>
              <w:jc w:val="center"/>
              <w:rPr>
                <w:color w:val="auto"/>
                <w:spacing w:val="20"/>
                <w:szCs w:val="21"/>
                <w:highlight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7CD42112">
            <w:pPr>
              <w:jc w:val="center"/>
              <w:rPr>
                <w:color w:val="auto"/>
                <w:spacing w:val="20"/>
                <w:szCs w:val="21"/>
                <w:highlight w:val="none"/>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14:paraId="6C3A15EE">
            <w:pPr>
              <w:jc w:val="center"/>
              <w:rPr>
                <w:color w:val="auto"/>
                <w:spacing w:val="20"/>
                <w:szCs w:val="21"/>
                <w:highlight w:val="none"/>
              </w:rPr>
            </w:pPr>
            <w:r>
              <w:rPr>
                <w:color w:val="auto"/>
                <w:spacing w:val="20"/>
                <w:szCs w:val="21"/>
                <w:highlight w:val="none"/>
              </w:rPr>
              <w:t>……</w:t>
            </w:r>
          </w:p>
        </w:tc>
        <w:tc>
          <w:tcPr>
            <w:tcW w:w="697" w:type="dxa"/>
            <w:tcBorders>
              <w:top w:val="single" w:color="auto" w:sz="4" w:space="0"/>
              <w:left w:val="single" w:color="auto" w:sz="4" w:space="0"/>
              <w:bottom w:val="single" w:color="auto" w:sz="4" w:space="0"/>
              <w:right w:val="single" w:color="auto" w:sz="4" w:space="0"/>
            </w:tcBorders>
            <w:noWrap w:val="0"/>
            <w:vAlign w:val="center"/>
          </w:tcPr>
          <w:p w14:paraId="5FC189A9">
            <w:pPr>
              <w:jc w:val="center"/>
              <w:rPr>
                <w:color w:val="auto"/>
                <w:spacing w:val="20"/>
                <w:szCs w:val="21"/>
                <w:highlight w:val="none"/>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14:paraId="3C25555B">
            <w:pPr>
              <w:jc w:val="center"/>
              <w:rPr>
                <w:color w:val="auto"/>
                <w:spacing w:val="20"/>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center"/>
          </w:tcPr>
          <w:p w14:paraId="5B8E7983">
            <w:pPr>
              <w:jc w:val="center"/>
              <w:rPr>
                <w:color w:val="auto"/>
                <w:spacing w:val="20"/>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34B2B794">
            <w:pPr>
              <w:jc w:val="center"/>
              <w:rPr>
                <w:color w:val="auto"/>
                <w:spacing w:val="20"/>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4D0283D9">
            <w:pPr>
              <w:jc w:val="center"/>
              <w:rPr>
                <w:color w:val="auto"/>
                <w:spacing w:val="20"/>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23308928">
            <w:pPr>
              <w:jc w:val="center"/>
              <w:rPr>
                <w:color w:val="auto"/>
                <w:spacing w:val="20"/>
                <w:szCs w:val="21"/>
                <w:highlight w:val="none"/>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2914C062">
            <w:pPr>
              <w:jc w:val="center"/>
              <w:rPr>
                <w:color w:val="auto"/>
                <w:spacing w:val="20"/>
                <w:szCs w:val="21"/>
                <w:highlight w:val="none"/>
              </w:rPr>
            </w:pPr>
          </w:p>
        </w:tc>
      </w:tr>
    </w:tbl>
    <w:p w14:paraId="28AFEE00">
      <w:pPr>
        <w:rPr>
          <w:color w:val="auto"/>
          <w:spacing w:val="20"/>
          <w:szCs w:val="21"/>
          <w:highlight w:val="none"/>
          <w:u w:val="single"/>
        </w:rPr>
      </w:pPr>
    </w:p>
    <w:p w14:paraId="21546EE5">
      <w:pPr>
        <w:spacing w:line="360" w:lineRule="auto"/>
        <w:rPr>
          <w:color w:val="auto"/>
          <w:spacing w:val="20"/>
          <w:szCs w:val="21"/>
          <w:highlight w:val="none"/>
        </w:rPr>
      </w:pPr>
    </w:p>
    <w:p w14:paraId="1CEE06A5">
      <w:pPr>
        <w:spacing w:line="360" w:lineRule="auto"/>
        <w:rPr>
          <w:color w:val="auto"/>
          <w:spacing w:val="20"/>
          <w:szCs w:val="21"/>
          <w:highlight w:val="none"/>
        </w:rPr>
      </w:pPr>
    </w:p>
    <w:p w14:paraId="5EDBE8D6">
      <w:pPr>
        <w:pStyle w:val="17"/>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4255B092">
      <w:pPr>
        <w:jc w:val="left"/>
        <w:rPr>
          <w:color w:val="auto"/>
          <w:szCs w:val="21"/>
          <w:highlight w:val="none"/>
        </w:rPr>
      </w:pPr>
    </w:p>
    <w:p w14:paraId="1A9765C5">
      <w:pPr>
        <w:spacing w:line="360" w:lineRule="auto"/>
        <w:rPr>
          <w:color w:val="auto"/>
          <w:spacing w:val="20"/>
          <w:szCs w:val="21"/>
          <w:highlight w:val="none"/>
        </w:rPr>
      </w:pPr>
    </w:p>
    <w:p w14:paraId="03087424">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026A68EC">
      <w:pPr>
        <w:spacing w:line="360" w:lineRule="auto"/>
        <w:rPr>
          <w:rFonts w:hint="eastAsia"/>
          <w:color w:val="auto"/>
          <w:spacing w:val="20"/>
          <w:szCs w:val="21"/>
          <w:highlight w:val="none"/>
          <w:u w:val="single"/>
        </w:rPr>
      </w:pPr>
      <w:r>
        <w:rPr>
          <w:color w:val="auto"/>
          <w:szCs w:val="21"/>
          <w:highlight w:val="none"/>
        </w:rPr>
        <w:t>日  期</w:t>
      </w:r>
      <w:r>
        <w:rPr>
          <w:rFonts w:hint="eastAsia"/>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5D43FE11">
      <w:pPr>
        <w:widowControl/>
        <w:jc w:val="left"/>
        <w:rPr>
          <w:color w:val="auto"/>
          <w:szCs w:val="21"/>
          <w:highlight w:val="none"/>
        </w:rPr>
      </w:pPr>
    </w:p>
    <w:p w14:paraId="028ED717">
      <w:pPr>
        <w:widowControl/>
        <w:jc w:val="left"/>
        <w:outlineLvl w:val="1"/>
        <w:rPr>
          <w:color w:val="auto"/>
          <w:szCs w:val="21"/>
          <w:highlight w:val="none"/>
        </w:rPr>
        <w:sectPr>
          <w:headerReference r:id="rId17" w:type="default"/>
          <w:footerReference r:id="rId18" w:type="default"/>
          <w:pgSz w:w="11906" w:h="16838"/>
          <w:pgMar w:top="1418" w:right="1133" w:bottom="1246" w:left="1418" w:header="851" w:footer="992" w:gutter="0"/>
          <w:cols w:space="720" w:num="1"/>
          <w:docGrid w:linePitch="312" w:charSpace="0"/>
        </w:sectPr>
      </w:pPr>
    </w:p>
    <w:p w14:paraId="052B5B6E">
      <w:pPr>
        <w:snapToGrid w:val="0"/>
        <w:spacing w:before="50" w:after="120" w:afterLines="50"/>
        <w:jc w:val="left"/>
        <w:rPr>
          <w:color w:val="auto"/>
          <w:szCs w:val="21"/>
          <w:highlight w:val="none"/>
        </w:rPr>
      </w:pPr>
      <w:r>
        <w:rPr>
          <w:color w:val="auto"/>
          <w:szCs w:val="21"/>
          <w:highlight w:val="none"/>
        </w:rPr>
        <w:t xml:space="preserve"> </w:t>
      </w:r>
      <w:bookmarkStart w:id="142" w:name="_Hlk19115862"/>
      <w:r>
        <w:rPr>
          <w:color w:val="auto"/>
          <w:szCs w:val="21"/>
          <w:highlight w:val="none"/>
        </w:rPr>
        <w:t>3．过低报价合理性的说明。（如有）</w:t>
      </w:r>
    </w:p>
    <w:bookmarkEnd w:id="142"/>
    <w:p w14:paraId="1CD9EFE4">
      <w:pPr>
        <w:spacing w:line="360" w:lineRule="auto"/>
        <w:ind w:firstLine="420" w:firstLineChars="200"/>
        <w:rPr>
          <w:rFonts w:hint="eastAsia"/>
          <w:color w:val="auto"/>
          <w:szCs w:val="21"/>
          <w:highlight w:val="none"/>
        </w:rPr>
      </w:pPr>
      <w:r>
        <w:rPr>
          <w:color w:val="auto"/>
          <w:szCs w:val="21"/>
          <w:highlight w:val="none"/>
        </w:rPr>
        <w:t>评审委员会认为的报价</w:t>
      </w:r>
      <w:r>
        <w:rPr>
          <w:rFonts w:hint="eastAsia"/>
          <w:color w:val="auto"/>
          <w:szCs w:val="21"/>
          <w:highlight w:val="none"/>
          <w:lang w:val="en-US" w:eastAsia="zh-CN"/>
        </w:rPr>
        <w:t>存在异常低价问题的情形</w:t>
      </w:r>
      <w:r>
        <w:rPr>
          <w:color w:val="auto"/>
          <w:szCs w:val="21"/>
          <w:highlight w:val="none"/>
        </w:rPr>
        <w:t>，供应商将被要求以书面方式提供</w:t>
      </w:r>
      <w:r>
        <w:rPr>
          <w:rFonts w:hint="eastAsia"/>
          <w:color w:val="auto"/>
          <w:szCs w:val="21"/>
          <w:highlight w:val="none"/>
          <w:lang w:val="en-US" w:eastAsia="zh-CN"/>
        </w:rPr>
        <w:t>项目具体成本测算等与报价合理性相关的书面说明及必要的证明材料</w:t>
      </w:r>
      <w:r>
        <w:rPr>
          <w:color w:val="auto"/>
          <w:szCs w:val="21"/>
          <w:highlight w:val="none"/>
        </w:rPr>
        <w:t>。为避免在评审现场因未能及时提供说明而导致被评审委员会作为无效</w:t>
      </w:r>
      <w:r>
        <w:rPr>
          <w:rFonts w:hint="eastAsia"/>
          <w:color w:val="auto"/>
          <w:szCs w:val="21"/>
          <w:highlight w:val="none"/>
          <w:lang w:eastAsia="zh-CN"/>
        </w:rPr>
        <w:t>响应</w:t>
      </w:r>
      <w:r>
        <w:rPr>
          <w:color w:val="auto"/>
          <w:szCs w:val="21"/>
          <w:highlight w:val="none"/>
        </w:rPr>
        <w:t>，供应商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59C44341">
      <w:pPr>
        <w:pStyle w:val="132"/>
        <w:jc w:val="center"/>
        <w:rPr>
          <w:b/>
          <w:bCs/>
          <w:color w:val="auto"/>
          <w:highlight w:val="none"/>
        </w:rPr>
      </w:pPr>
      <w:bookmarkStart w:id="143" w:name="_Hlk211331823"/>
    </w:p>
    <w:p w14:paraId="783E9B9E">
      <w:pPr>
        <w:pStyle w:val="132"/>
        <w:jc w:val="center"/>
        <w:rPr>
          <w:color w:val="auto"/>
          <w:highlight w:val="none"/>
        </w:rPr>
      </w:pPr>
      <w:r>
        <w:rPr>
          <w:rFonts w:hint="eastAsia"/>
          <w:b/>
          <w:bCs/>
          <w:color w:val="auto"/>
          <w:highlight w:val="none"/>
          <w:lang w:val="en-US" w:eastAsia="zh-CN"/>
        </w:rPr>
        <w:t>产品成本测算表（参考格式）</w:t>
      </w:r>
    </w:p>
    <w:p w14:paraId="2DB889C3">
      <w:pPr>
        <w:spacing w:line="360" w:lineRule="auto"/>
        <w:rPr>
          <w:color w:val="auto"/>
          <w:highlight w:val="none"/>
        </w:rPr>
      </w:pPr>
    </w:p>
    <w:bookmarkEnd w:id="143"/>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color w:val="auto"/>
                <w:highlight w:val="none"/>
              </w:rPr>
            </w:pPr>
            <w:r>
              <w:rPr>
                <w:rFonts w:hint="eastAsia" w:cs="仿宋_GB2312"/>
                <w:b/>
                <w:color w:val="auto"/>
                <w:szCs w:val="24"/>
                <w:highlight w:val="none"/>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color w:val="auto"/>
                <w:highlight w:val="none"/>
              </w:rPr>
            </w:pPr>
            <w:r>
              <w:rPr>
                <w:rFonts w:hint="eastAsia" w:cs="宋体"/>
                <w:b/>
                <w:color w:val="auto"/>
                <w:highlight w:val="none"/>
                <w:lang w:val="en-US" w:eastAsia="zh-CN"/>
              </w:rPr>
              <w:t>报价</w:t>
            </w:r>
            <w:r>
              <w:rPr>
                <w:rFonts w:hint="eastAsia" w:cs="宋体"/>
                <w:b/>
                <w:color w:val="auto"/>
                <w:highlight w:val="none"/>
              </w:rPr>
              <w:t>单价（</w:t>
            </w:r>
            <w:r>
              <w:rPr>
                <w:rFonts w:cs="宋体"/>
                <w:b/>
                <w:color w:val="auto"/>
                <w:highlight w:val="none"/>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color w:val="auto"/>
                <w:highlight w:val="none"/>
                <w:lang w:val="en-US" w:eastAsia="zh-CN"/>
              </w:rPr>
            </w:pPr>
            <w:r>
              <w:rPr>
                <w:rFonts w:hint="eastAsia" w:cs="宋体"/>
                <w:b/>
                <w:color w:val="auto"/>
                <w:highlight w:val="none"/>
                <w:lang w:val="en-US" w:eastAsia="zh-CN"/>
              </w:rPr>
              <w:t>成本项目</w:t>
            </w:r>
          </w:p>
          <w:p w14:paraId="5AD3EE4D">
            <w:pPr>
              <w:spacing w:line="360" w:lineRule="auto"/>
              <w:ind w:right="-65" w:rightChars="-31"/>
              <w:jc w:val="both"/>
              <w:rPr>
                <w:rFonts w:hint="default" w:cs="宋体"/>
                <w:b/>
                <w:color w:val="auto"/>
                <w:highlight w:val="none"/>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具体明细</w:t>
            </w:r>
          </w:p>
          <w:p w14:paraId="7EF200FF">
            <w:pPr>
              <w:spacing w:line="360" w:lineRule="auto"/>
              <w:ind w:left="-48" w:leftChars="-23" w:right="-65" w:rightChars="-31"/>
              <w:jc w:val="center"/>
              <w:rPr>
                <w:rFonts w:hint="eastAsia" w:cs="宋体"/>
                <w:b/>
                <w:color w:val="auto"/>
                <w:highlight w:val="none"/>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单位产品用量</w:t>
            </w:r>
          </w:p>
          <w:p w14:paraId="27DC558F">
            <w:pPr>
              <w:spacing w:line="360" w:lineRule="auto"/>
              <w:ind w:left="-48" w:leftChars="-23" w:right="-65" w:rightChars="-31"/>
              <w:jc w:val="center"/>
              <w:rPr>
                <w:rFonts w:hint="eastAsia" w:cs="宋体"/>
                <w:b/>
                <w:color w:val="auto"/>
                <w:highlight w:val="none"/>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color w:val="auto"/>
                <w:highlight w:val="none"/>
              </w:rPr>
            </w:pPr>
            <w:r>
              <w:rPr>
                <w:rFonts w:hint="eastAsia" w:cs="宋体"/>
                <w:b/>
                <w:color w:val="auto"/>
                <w:highlight w:val="none"/>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2"/>
              </w:numPr>
              <w:tabs>
                <w:tab w:val="left" w:pos="61"/>
              </w:tabs>
              <w:jc w:val="center"/>
              <w:rPr>
                <w:color w:val="auto"/>
                <w:highlight w:val="none"/>
              </w:rPr>
            </w:pPr>
          </w:p>
        </w:tc>
        <w:tc>
          <w:tcPr>
            <w:tcW w:w="201" w:type="pct"/>
            <w:vMerge w:val="restart"/>
            <w:shd w:val="clear" w:color="auto" w:fill="auto"/>
            <w:vAlign w:val="center"/>
          </w:tcPr>
          <w:p w14:paraId="65B757C2">
            <w:pPr>
              <w:tabs>
                <w:tab w:val="left" w:pos="0"/>
                <w:tab w:val="left" w:pos="56"/>
              </w:tabs>
              <w:ind w:left="547" w:hanging="478" w:hangingChars="228"/>
              <w:jc w:val="center"/>
              <w:rPr>
                <w:color w:val="auto"/>
                <w:highlight w:val="none"/>
              </w:rPr>
            </w:pPr>
          </w:p>
        </w:tc>
        <w:tc>
          <w:tcPr>
            <w:tcW w:w="380" w:type="pct"/>
            <w:vMerge w:val="restart"/>
            <w:shd w:val="clear" w:color="auto" w:fill="auto"/>
            <w:vAlign w:val="center"/>
          </w:tcPr>
          <w:p w14:paraId="58C050D9">
            <w:pPr>
              <w:spacing w:line="240" w:lineRule="atLeast"/>
              <w:ind w:left="-48" w:leftChars="-23" w:right="-65" w:rightChars="-31"/>
              <w:jc w:val="left"/>
              <w:rPr>
                <w:rFonts w:cs="宋体"/>
                <w:color w:val="auto"/>
                <w:szCs w:val="24"/>
                <w:highlight w:val="none"/>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color w:val="auto"/>
                <w:szCs w:val="24"/>
                <w:highlight w:val="none"/>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color w:val="auto"/>
                <w:szCs w:val="24"/>
                <w:highlight w:val="none"/>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color w:val="auto"/>
                <w:szCs w:val="24"/>
                <w:highlight w:val="none"/>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2"/>
              </w:numPr>
              <w:tabs>
                <w:tab w:val="left" w:pos="61"/>
              </w:tabs>
              <w:jc w:val="center"/>
              <w:rPr>
                <w:color w:val="auto"/>
                <w:highlight w:val="none"/>
              </w:rPr>
            </w:pPr>
          </w:p>
        </w:tc>
        <w:tc>
          <w:tcPr>
            <w:tcW w:w="201" w:type="pct"/>
            <w:vMerge w:val="continue"/>
            <w:shd w:val="clear" w:color="auto" w:fill="auto"/>
            <w:vAlign w:val="center"/>
          </w:tcPr>
          <w:p w14:paraId="462E3DFC">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E160B9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color w:val="auto"/>
                <w:szCs w:val="24"/>
                <w:highlight w:val="none"/>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color w:val="auto"/>
                <w:highlight w:val="none"/>
              </w:rPr>
            </w:pPr>
          </w:p>
        </w:tc>
        <w:tc>
          <w:tcPr>
            <w:tcW w:w="201" w:type="pct"/>
            <w:vMerge w:val="continue"/>
            <w:shd w:val="clear" w:color="auto" w:fill="auto"/>
            <w:vAlign w:val="center"/>
          </w:tcPr>
          <w:p w14:paraId="5EEB1F4F">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185BAC6B">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color w:val="auto"/>
                <w:szCs w:val="24"/>
                <w:highlight w:val="none"/>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color w:val="auto"/>
                <w:highlight w:val="none"/>
              </w:rPr>
            </w:pPr>
          </w:p>
        </w:tc>
        <w:tc>
          <w:tcPr>
            <w:tcW w:w="201" w:type="pct"/>
            <w:vMerge w:val="continue"/>
            <w:shd w:val="clear" w:color="auto" w:fill="auto"/>
            <w:vAlign w:val="center"/>
          </w:tcPr>
          <w:p w14:paraId="25F98AE1">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F08945">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color w:val="auto"/>
                <w:szCs w:val="24"/>
                <w:highlight w:val="none"/>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color w:val="auto"/>
                <w:highlight w:val="none"/>
              </w:rPr>
            </w:pPr>
          </w:p>
        </w:tc>
        <w:tc>
          <w:tcPr>
            <w:tcW w:w="201" w:type="pct"/>
            <w:vMerge w:val="continue"/>
            <w:shd w:val="clear" w:color="auto" w:fill="auto"/>
            <w:vAlign w:val="center"/>
          </w:tcPr>
          <w:p w14:paraId="49146DB7">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3B4217D">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color w:val="auto"/>
                <w:szCs w:val="24"/>
                <w:highlight w:val="none"/>
              </w:rPr>
            </w:pPr>
            <w:r>
              <w:rPr>
                <w:rFonts w:hint="eastAsia" w:cs="宋体"/>
                <w:color w:val="auto"/>
                <w:szCs w:val="24"/>
                <w:highlight w:val="none"/>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color w:val="auto"/>
                <w:szCs w:val="24"/>
                <w:highlight w:val="none"/>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rPr>
                <w:color w:val="auto"/>
                <w:highlight w:val="none"/>
              </w:rPr>
            </w:pPr>
          </w:p>
        </w:tc>
        <w:tc>
          <w:tcPr>
            <w:tcW w:w="201" w:type="pct"/>
            <w:vMerge w:val="continue"/>
            <w:shd w:val="clear" w:color="auto" w:fill="auto"/>
            <w:vAlign w:val="center"/>
          </w:tcPr>
          <w:p w14:paraId="1D439CE3">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BFE9F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color w:val="auto"/>
                <w:szCs w:val="24"/>
                <w:highlight w:val="none"/>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color w:val="auto"/>
                <w:highlight w:val="none"/>
              </w:rPr>
            </w:pPr>
          </w:p>
        </w:tc>
        <w:tc>
          <w:tcPr>
            <w:tcW w:w="201" w:type="pct"/>
            <w:vMerge w:val="continue"/>
            <w:shd w:val="clear" w:color="auto" w:fill="auto"/>
            <w:vAlign w:val="center"/>
          </w:tcPr>
          <w:p w14:paraId="5530FE59">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68A909D4">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color w:val="auto"/>
                <w:szCs w:val="24"/>
                <w:highlight w:val="none"/>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color w:val="auto"/>
                <w:szCs w:val="24"/>
                <w:highlight w:val="none"/>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color w:val="auto"/>
                <w:highlight w:val="none"/>
                <w:lang w:val="en-US" w:eastAsia="zh-CN"/>
              </w:rPr>
            </w:pPr>
            <w:r>
              <w:rPr>
                <w:rFonts w:hint="eastAsia"/>
                <w:color w:val="auto"/>
                <w:highlight w:val="none"/>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rPr>
                <w:color w:val="auto"/>
                <w:highlight w:val="none"/>
              </w:rPr>
            </w:pPr>
          </w:p>
        </w:tc>
        <w:tc>
          <w:tcPr>
            <w:tcW w:w="380" w:type="pct"/>
            <w:shd w:val="clear" w:color="auto" w:fill="auto"/>
            <w:vAlign w:val="center"/>
          </w:tcPr>
          <w:p w14:paraId="2118CF07">
            <w:pPr>
              <w:spacing w:line="240" w:lineRule="atLeast"/>
              <w:ind w:left="-48" w:leftChars="-23" w:right="-65" w:rightChars="-31"/>
              <w:jc w:val="left"/>
              <w:rPr>
                <w:rFonts w:cs="宋体"/>
                <w:color w:val="auto"/>
                <w:szCs w:val="24"/>
                <w:highlight w:val="none"/>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color w:val="auto"/>
                <w:szCs w:val="24"/>
                <w:highlight w:val="none"/>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color w:val="auto"/>
                <w:szCs w:val="24"/>
                <w:highlight w:val="none"/>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color w:val="auto"/>
                <w:szCs w:val="24"/>
                <w:highlight w:val="none"/>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color w:val="auto"/>
                <w:szCs w:val="24"/>
                <w:highlight w:val="none"/>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color w:val="auto"/>
                <w:szCs w:val="24"/>
                <w:highlight w:val="none"/>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color w:val="auto"/>
                <w:szCs w:val="24"/>
                <w:highlight w:val="none"/>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color w:val="auto"/>
                <w:szCs w:val="24"/>
                <w:highlight w:val="none"/>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color w:val="auto"/>
                <w:szCs w:val="24"/>
                <w:highlight w:val="none"/>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color w:val="auto"/>
                <w:szCs w:val="24"/>
                <w:highlight w:val="none"/>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color w:val="auto"/>
                <w:szCs w:val="24"/>
                <w:highlight w:val="none"/>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color w:val="auto"/>
                <w:szCs w:val="24"/>
                <w:highlight w:val="none"/>
              </w:rPr>
            </w:pPr>
          </w:p>
          <w:p w14:paraId="56BF2198">
            <w:pPr>
              <w:rPr>
                <w:color w:val="auto"/>
                <w:highlight w:val="none"/>
              </w:rPr>
            </w:pPr>
          </w:p>
        </w:tc>
        <w:tc>
          <w:tcPr>
            <w:tcW w:w="606" w:type="pct"/>
            <w:tcBorders>
              <w:left w:val="single" w:color="auto" w:sz="4" w:space="0"/>
              <w:bottom w:val="single" w:color="auto" w:sz="4" w:space="0"/>
            </w:tcBorders>
            <w:shd w:val="clear" w:color="auto" w:fill="auto"/>
            <w:vAlign w:val="center"/>
          </w:tcPr>
          <w:p w14:paraId="6DA7B2EB">
            <w:pPr>
              <w:rPr>
                <w:color w:val="auto"/>
                <w:highlight w:val="none"/>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color w:val="auto"/>
                <w:szCs w:val="24"/>
                <w:highlight w:val="none"/>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color w:val="auto"/>
                <w:szCs w:val="24"/>
                <w:highlight w:val="none"/>
              </w:rPr>
            </w:pPr>
          </w:p>
        </w:tc>
      </w:tr>
    </w:tbl>
    <w:p w14:paraId="474E7602">
      <w:pPr>
        <w:spacing w:line="360" w:lineRule="auto"/>
        <w:jc w:val="left"/>
        <w:rPr>
          <w:color w:val="auto"/>
          <w:szCs w:val="21"/>
          <w:highlight w:val="none"/>
        </w:rPr>
      </w:pPr>
    </w:p>
    <w:p w14:paraId="752808A1">
      <w:pPr>
        <w:spacing w:line="360" w:lineRule="auto"/>
        <w:jc w:val="left"/>
        <w:rPr>
          <w:color w:val="auto"/>
          <w:szCs w:val="21"/>
          <w:highlight w:val="none"/>
        </w:rPr>
      </w:pPr>
      <w:r>
        <w:rPr>
          <w:rFonts w:hint="eastAsia"/>
          <w:color w:val="auto"/>
          <w:szCs w:val="21"/>
          <w:highlight w:val="none"/>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776A5757">
      <w:pPr>
        <w:widowControl/>
        <w:jc w:val="right"/>
        <w:outlineLvl w:val="9"/>
        <w:rPr>
          <w:color w:val="auto"/>
          <w:szCs w:val="21"/>
          <w:highlight w:val="none"/>
        </w:rPr>
      </w:pPr>
      <w:r>
        <w:rPr>
          <w:color w:val="auto"/>
          <w:szCs w:val="21"/>
          <w:highlight w:val="none"/>
        </w:rPr>
        <w:t>日  期</w:t>
      </w:r>
      <w:r>
        <w:rPr>
          <w:rFonts w:hint="eastAsia" w:eastAsia="宋体"/>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1513F870">
      <w:pPr>
        <w:widowControl/>
        <w:jc w:val="left"/>
        <w:outlineLvl w:val="9"/>
        <w:rPr>
          <w:color w:val="auto"/>
          <w:szCs w:val="24"/>
          <w:highlight w:val="none"/>
        </w:rPr>
      </w:pPr>
    </w:p>
    <w:p w14:paraId="6B0688DF">
      <w:pPr>
        <w:widowControl/>
        <w:jc w:val="left"/>
        <w:outlineLvl w:val="9"/>
        <w:rPr>
          <w:color w:val="auto"/>
          <w:szCs w:val="21"/>
          <w:highlight w:val="none"/>
        </w:rPr>
      </w:pPr>
    </w:p>
    <w:p w14:paraId="53DF76D5">
      <w:pPr>
        <w:widowControl/>
        <w:jc w:val="left"/>
        <w:outlineLvl w:val="9"/>
        <w:rPr>
          <w:color w:val="auto"/>
          <w:szCs w:val="21"/>
          <w:highlight w:val="none"/>
        </w:rPr>
      </w:pPr>
    </w:p>
    <w:p w14:paraId="6D818CA3">
      <w:pPr>
        <w:widowControl/>
        <w:jc w:val="left"/>
        <w:outlineLvl w:val="9"/>
        <w:rPr>
          <w:color w:val="auto"/>
          <w:szCs w:val="21"/>
          <w:highlight w:val="none"/>
        </w:rPr>
      </w:pPr>
    </w:p>
    <w:p w14:paraId="7CEE23DD">
      <w:pPr>
        <w:widowControl/>
        <w:jc w:val="left"/>
        <w:outlineLvl w:val="9"/>
        <w:rPr>
          <w:color w:val="auto"/>
          <w:szCs w:val="21"/>
          <w:highlight w:val="none"/>
        </w:rPr>
      </w:pPr>
    </w:p>
    <w:p w14:paraId="620E8CDF">
      <w:pPr>
        <w:widowControl/>
        <w:jc w:val="left"/>
        <w:outlineLvl w:val="9"/>
        <w:rPr>
          <w:color w:val="auto"/>
          <w:szCs w:val="21"/>
          <w:highlight w:val="none"/>
        </w:rPr>
      </w:pPr>
    </w:p>
    <w:p w14:paraId="0D992A10">
      <w:pPr>
        <w:widowControl/>
        <w:jc w:val="left"/>
        <w:outlineLvl w:val="9"/>
        <w:rPr>
          <w:color w:val="auto"/>
          <w:szCs w:val="21"/>
          <w:highlight w:val="none"/>
        </w:rPr>
      </w:pPr>
    </w:p>
    <w:p w14:paraId="4838723A">
      <w:pPr>
        <w:widowControl/>
        <w:jc w:val="left"/>
        <w:outlineLvl w:val="9"/>
        <w:rPr>
          <w:color w:val="auto"/>
          <w:szCs w:val="21"/>
          <w:highlight w:val="none"/>
        </w:rPr>
      </w:pPr>
    </w:p>
    <w:p w14:paraId="01AB278E">
      <w:pPr>
        <w:widowControl/>
        <w:jc w:val="left"/>
        <w:outlineLvl w:val="9"/>
        <w:rPr>
          <w:color w:val="auto"/>
          <w:szCs w:val="21"/>
          <w:highlight w:val="none"/>
        </w:rPr>
      </w:pPr>
    </w:p>
    <w:p w14:paraId="502827E9">
      <w:pPr>
        <w:widowControl/>
        <w:jc w:val="left"/>
        <w:outlineLvl w:val="9"/>
        <w:rPr>
          <w:color w:val="auto"/>
          <w:szCs w:val="21"/>
          <w:highlight w:val="none"/>
        </w:rPr>
      </w:pPr>
    </w:p>
    <w:p w14:paraId="3532C7EC">
      <w:pPr>
        <w:widowControl/>
        <w:jc w:val="left"/>
        <w:outlineLvl w:val="9"/>
        <w:rPr>
          <w:color w:val="auto"/>
          <w:szCs w:val="21"/>
          <w:highlight w:val="none"/>
        </w:rPr>
      </w:pPr>
    </w:p>
    <w:p w14:paraId="036344D6">
      <w:pPr>
        <w:widowControl/>
        <w:jc w:val="left"/>
        <w:outlineLvl w:val="1"/>
        <w:rPr>
          <w:color w:val="auto"/>
          <w:szCs w:val="21"/>
          <w:highlight w:val="none"/>
        </w:rPr>
      </w:pPr>
      <w:r>
        <w:rPr>
          <w:rFonts w:hint="eastAsia"/>
          <w:color w:val="auto"/>
          <w:szCs w:val="21"/>
          <w:highlight w:val="none"/>
          <w:lang w:val="en-US" w:eastAsia="zh-CN"/>
        </w:rPr>
        <w:t>四、</w:t>
      </w:r>
      <w:r>
        <w:rPr>
          <w:rFonts w:hint="eastAsia"/>
          <w:color w:val="auto"/>
          <w:szCs w:val="21"/>
          <w:highlight w:val="none"/>
        </w:rPr>
        <w:t>开标一览表</w:t>
      </w:r>
    </w:p>
    <w:p w14:paraId="1804A340">
      <w:pPr>
        <w:widowControl/>
        <w:jc w:val="left"/>
        <w:rPr>
          <w:color w:val="auto"/>
          <w:szCs w:val="21"/>
          <w:highlight w:val="none"/>
        </w:rPr>
      </w:pPr>
    </w:p>
    <w:p w14:paraId="38860680">
      <w:pPr>
        <w:widowControl/>
        <w:jc w:val="left"/>
        <w:rPr>
          <w:color w:val="auto"/>
          <w:szCs w:val="21"/>
          <w:highlight w:val="none"/>
        </w:rPr>
      </w:pPr>
    </w:p>
    <w:p w14:paraId="53AE7676">
      <w:pPr>
        <w:widowControl/>
        <w:jc w:val="left"/>
        <w:rPr>
          <w:color w:val="auto"/>
          <w:szCs w:val="21"/>
          <w:highlight w:val="none"/>
        </w:rPr>
      </w:pPr>
    </w:p>
    <w:p w14:paraId="02592CC3">
      <w:pPr>
        <w:rPr>
          <w:rFonts w:hint="eastAsia"/>
          <w:b/>
          <w:color w:val="auto"/>
          <w:szCs w:val="21"/>
          <w:highlight w:val="none"/>
        </w:rPr>
      </w:pPr>
    </w:p>
    <w:p w14:paraId="67BF9B21">
      <w:pPr>
        <w:rPr>
          <w:b/>
          <w:color w:val="auto"/>
          <w:szCs w:val="21"/>
          <w:highlight w:val="none"/>
        </w:rPr>
      </w:pPr>
      <w:r>
        <w:rPr>
          <w:rFonts w:hint="eastAsia"/>
          <w:b/>
          <w:color w:val="auto"/>
          <w:szCs w:val="21"/>
          <w:highlight w:val="none"/>
        </w:rPr>
        <w:t>格式详见广西政府采购云平台，且仅在广西政府采购云平台填写即可。</w:t>
      </w:r>
    </w:p>
    <w:p w14:paraId="1909CCEE">
      <w:pPr>
        <w:spacing w:line="340" w:lineRule="exact"/>
        <w:ind w:firstLine="420" w:firstLineChars="200"/>
        <w:rPr>
          <w:color w:val="auto"/>
          <w:szCs w:val="21"/>
          <w:highlight w:val="none"/>
        </w:rPr>
      </w:pPr>
    </w:p>
    <w:p w14:paraId="5584ED6B">
      <w:pPr>
        <w:rPr>
          <w:b/>
          <w:color w:val="auto"/>
          <w:szCs w:val="21"/>
          <w:highlight w:val="none"/>
        </w:rPr>
      </w:pPr>
    </w:p>
    <w:p w14:paraId="741479FC">
      <w:pPr>
        <w:snapToGrid w:val="0"/>
        <w:spacing w:before="120" w:beforeLines="50" w:after="50" w:line="440" w:lineRule="exact"/>
        <w:jc w:val="left"/>
        <w:outlineLvl w:val="1"/>
        <w:rPr>
          <w:bCs/>
          <w:color w:val="auto"/>
          <w:sz w:val="24"/>
          <w:highlight w:val="none"/>
        </w:rPr>
      </w:pPr>
    </w:p>
    <w:p w14:paraId="305ADD9A">
      <w:pPr>
        <w:snapToGrid w:val="0"/>
        <w:spacing w:before="120" w:beforeLines="50" w:after="50" w:line="440" w:lineRule="exact"/>
        <w:jc w:val="right"/>
        <w:rPr>
          <w:rFonts w:hint="eastAsia"/>
          <w:bCs/>
          <w:color w:val="auto"/>
          <w:sz w:val="24"/>
          <w:highlight w:val="none"/>
        </w:rPr>
      </w:pPr>
    </w:p>
    <w:sectPr>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8A7415F-56E3-48DE-8CBA-059D7C2DDF56}"/>
  </w:font>
  <w:font w:name="黑体">
    <w:panose1 w:val="02010609060101010101"/>
    <w:charset w:val="86"/>
    <w:family w:val="auto"/>
    <w:pitch w:val="default"/>
    <w:sig w:usb0="800002BF" w:usb1="38CF7CFA" w:usb2="00000016" w:usb3="00000000" w:csb0="00040001" w:csb1="00000000"/>
    <w:embedRegular r:id="rId2" w:fontKey="{1323E5D1-BA1D-4EDC-9CE4-831C538D72C1}"/>
  </w:font>
  <w:font w:name="Courier New">
    <w:panose1 w:val="02070309020205020404"/>
    <w:charset w:val="01"/>
    <w:family w:val="modern"/>
    <w:pitch w:val="default"/>
    <w:sig w:usb0="E0002AFF" w:usb1="C0007843" w:usb2="00000009" w:usb3="00000000" w:csb0="400001FF" w:csb1="FFFF0000"/>
    <w:embedRegular r:id="rId3" w:fontKey="{95646CA2-D993-4D29-92C5-598BA8E6D93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09C3E4BA-8DA8-4985-A001-74D05C0FBE4C}"/>
  </w:font>
  <w:font w:name="仿宋_GB2312">
    <w:altName w:val="仿宋"/>
    <w:panose1 w:val="02010609030101010101"/>
    <w:charset w:val="86"/>
    <w:family w:val="modern"/>
    <w:pitch w:val="default"/>
    <w:sig w:usb0="00000000" w:usb1="00000000" w:usb2="00000000" w:usb3="00000000" w:csb0="00040000" w:csb1="00000000"/>
    <w:embedRegular r:id="rId5" w:fontKey="{FCCBCFFF-AD65-4142-B76D-FE1176CAD697}"/>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embedRegular r:id="rId6" w:fontKey="{B458E0BC-1E0E-4CE2-A00C-A800593107F7}"/>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7" w:fontKey="{9EBD4D81-5B54-4080-80EE-73566D967F85}"/>
  </w:font>
  <w:font w:name="方正小标宋_GBK">
    <w:panose1 w:val="02000000000000000000"/>
    <w:charset w:val="86"/>
    <w:family w:val="script"/>
    <w:pitch w:val="default"/>
    <w:sig w:usb0="A00002BF" w:usb1="38CF7CFA" w:usb2="00082016" w:usb3="00000000" w:csb0="00040001" w:csb1="00000000"/>
    <w:embedRegular r:id="rId8" w:fontKey="{01500E9A-D537-4528-82D9-31284835EF67}"/>
  </w:font>
  <w:font w:name="华文仿宋">
    <w:panose1 w:val="02010600040101010101"/>
    <w:charset w:val="86"/>
    <w:family w:val="auto"/>
    <w:pitch w:val="default"/>
    <w:sig w:usb0="00000287" w:usb1="080F0000" w:usb2="00000000" w:usb3="00000000" w:csb0="0004009F" w:csb1="DFD70000"/>
    <w:embedRegular r:id="rId9" w:fontKey="{8370734D-7E6F-4D87-860A-16750A514467}"/>
  </w:font>
  <w:font w:name="方正小标宋简体">
    <w:panose1 w:val="02000000000000000000"/>
    <w:charset w:val="86"/>
    <w:family w:val="auto"/>
    <w:pitch w:val="default"/>
    <w:sig w:usb0="00000001" w:usb1="08000000" w:usb2="00000000" w:usb3="00000000" w:csb0="00040000" w:csb1="00000000"/>
    <w:embedRegular r:id="rId10" w:fontKey="{4FE14C20-F3F2-4F01-B536-0347D64C7778}"/>
  </w:font>
  <w:font w:name="WPSEMBED1">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C6A55">
    <w:pPr>
      <w:pStyle w:val="3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3C5FF">
    <w:pPr>
      <w:pStyle w:val="31"/>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478ADEAB">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D858">
    <w:pPr>
      <w:pStyle w:val="31"/>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3E6E">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204FE7DC">
    <w:pPr>
      <w:pStyle w:val="31"/>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29EE9">
    <w:pPr>
      <w:pStyle w:val="31"/>
      <w:jc w:val="center"/>
      <w:rPr>
        <w:rFonts w:hint="eastAsia"/>
      </w:rP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CDC02">
    <w:pPr>
      <w:pStyle w:val="31"/>
      <w:jc w:val="center"/>
      <w:rPr>
        <w:rFonts w:hint="eastAsia"/>
      </w:rPr>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C17C2">
    <w:pPr>
      <w:pStyle w:val="31"/>
      <w:framePr w:wrap="around" w:vAnchor="text" w:hAnchor="margin" w:xAlign="center" w:y="1"/>
      <w:rPr>
        <w:rStyle w:val="55"/>
        <w:rFonts w:ascii="Times New Roman" w:hAnsi="Times New Roman" w:eastAsia="宋体" w:cs="Times New Roman"/>
      </w:rPr>
    </w:pPr>
    <w:r>
      <w:rPr>
        <w:rFonts w:ascii="Times New Roman" w:hAnsi="Times New Roman" w:eastAsia="宋体" w:cs="Times New Roman"/>
      </w:rPr>
      <w:fldChar w:fldCharType="begin"/>
    </w:r>
    <w:r>
      <w:rPr>
        <w:rStyle w:val="55"/>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separate"/>
    </w:r>
    <w:r>
      <w:rPr>
        <w:rStyle w:val="55"/>
        <w:rFonts w:ascii="Times New Roman" w:hAnsi="Times New Roman" w:eastAsia="宋体" w:cs="Times New Roman"/>
        <w:sz w:val="21"/>
        <w:szCs w:val="24"/>
      </w:rPr>
      <w:t>57</w:t>
    </w:r>
    <w:r>
      <w:rPr>
        <w:rFonts w:ascii="Times New Roman" w:hAnsi="Times New Roman" w:eastAsia="宋体" w:cs="Times New Roman"/>
      </w:rPr>
      <w:fldChar w:fldCharType="end"/>
    </w:r>
  </w:p>
  <w:p w14:paraId="29E70965">
    <w:pPr>
      <w:pStyle w:val="31"/>
      <w:jc w:val="right"/>
      <w:rPr>
        <w:rFonts w:ascii="Times New Roman" w:hAnsi="Times New Roman" w:eastAsia="宋体"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EE29B">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57</w:t>
    </w:r>
    <w:r>
      <w:fldChar w:fldCharType="end"/>
    </w:r>
  </w:p>
  <w:p w14:paraId="7DE1BA97">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0377A">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C60E7">
    <w:pPr>
      <w:pStyle w:val="32"/>
      <w:jc w:val="left"/>
    </w:pPr>
    <w:r>
      <w:rPr>
        <w:rFonts w:hint="eastAsia"/>
      </w:rPr>
      <w:t xml:space="preserve">广西机电设备招标有限公司采购文件                                                               </w:t>
    </w:r>
  </w:p>
  <w:p w14:paraId="7D077D3C">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2FAD8">
    <w:pPr>
      <w:pStyle w:val="32"/>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343C4">
    <w:pPr>
      <w:pStyle w:val="32"/>
      <w:jc w:val="left"/>
    </w:pPr>
    <w:r>
      <w:rPr>
        <w:rFonts w:hint="eastAsia"/>
      </w:rPr>
      <w:t xml:space="preserve">广西机电设备招标有限公司采购文件                                                         </w:t>
    </w:r>
  </w:p>
  <w:p w14:paraId="7E804D00">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36B49">
    <w:pPr>
      <w:pStyle w:val="32"/>
      <w:pBdr>
        <w:bottom w:val="single" w:color="auto" w:sz="6" w:space="0"/>
      </w:pBdr>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12270">
    <w:pPr>
      <w:pStyle w:val="32"/>
      <w:jc w:val="left"/>
      <w:rPr>
        <w:rFonts w:hint="eastAsia"/>
      </w:rPr>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92FC9">
    <w:pPr>
      <w:rPr>
        <w:rFonts w:ascii="Times New Roman" w:hAnsi="Times New Roman" w:eastAsia="宋体" w:cs="Times New Roman"/>
        <w:sz w:val="18"/>
        <w:szCs w:val="18"/>
        <w:u w:val="single"/>
      </w:rPr>
    </w:pPr>
    <w:r>
      <w:rPr>
        <w:rFonts w:hint="eastAsia" w:ascii="Times New Roman" w:hAnsi="Times New Roman" w:eastAsia="宋体" w:cs="Times New Roman"/>
        <w:sz w:val="18"/>
        <w:szCs w:val="18"/>
        <w:u w:val="single"/>
      </w:rPr>
      <w:t xml:space="preserve">广西机电设备招标有限公司采购文件                                                       </w:t>
    </w:r>
    <w:r>
      <w:rPr>
        <w:rFonts w:ascii="Times New Roman" w:hAnsi="Times New Roman" w:eastAsia="宋体" w:cs="Times New Roman"/>
        <w:sz w:val="18"/>
        <w:szCs w:val="18"/>
        <w:u w:val="single"/>
      </w:rPr>
      <w:t xml:space="preserve">                                                          </w:t>
    </w:r>
    <w:r>
      <w:rPr>
        <w:rFonts w:hint="eastAsia" w:ascii="Times New Roman" w:hAnsi="Times New Roman" w:eastAsia="宋体" w:cs="Times New Roman"/>
        <w:sz w:val="18"/>
        <w:szCs w:val="18"/>
        <w:u w:val="single"/>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5696A">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EF"/>
    <w:rsid w:val="0000091B"/>
    <w:rsid w:val="00000D0A"/>
    <w:rsid w:val="00000D19"/>
    <w:rsid w:val="00000E1A"/>
    <w:rsid w:val="0000104A"/>
    <w:rsid w:val="000014EC"/>
    <w:rsid w:val="00001A95"/>
    <w:rsid w:val="00001B3E"/>
    <w:rsid w:val="00001CD6"/>
    <w:rsid w:val="00001D90"/>
    <w:rsid w:val="0000215C"/>
    <w:rsid w:val="00002A53"/>
    <w:rsid w:val="00002DDA"/>
    <w:rsid w:val="00003DAE"/>
    <w:rsid w:val="00004272"/>
    <w:rsid w:val="000055EE"/>
    <w:rsid w:val="000058D7"/>
    <w:rsid w:val="00005DB4"/>
    <w:rsid w:val="00005E55"/>
    <w:rsid w:val="00006E2C"/>
    <w:rsid w:val="000074D7"/>
    <w:rsid w:val="000079FF"/>
    <w:rsid w:val="00007B0D"/>
    <w:rsid w:val="000102A9"/>
    <w:rsid w:val="00011095"/>
    <w:rsid w:val="00011D72"/>
    <w:rsid w:val="00012078"/>
    <w:rsid w:val="000127F0"/>
    <w:rsid w:val="0001283C"/>
    <w:rsid w:val="00012E43"/>
    <w:rsid w:val="0001312F"/>
    <w:rsid w:val="00013748"/>
    <w:rsid w:val="00013D41"/>
    <w:rsid w:val="0001408B"/>
    <w:rsid w:val="000143A3"/>
    <w:rsid w:val="00014A0E"/>
    <w:rsid w:val="00014DD6"/>
    <w:rsid w:val="0001598C"/>
    <w:rsid w:val="00016C31"/>
    <w:rsid w:val="00017D0A"/>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614"/>
    <w:rsid w:val="0003084F"/>
    <w:rsid w:val="00030C2F"/>
    <w:rsid w:val="000311F9"/>
    <w:rsid w:val="00031757"/>
    <w:rsid w:val="00031BCA"/>
    <w:rsid w:val="00031D6E"/>
    <w:rsid w:val="00032533"/>
    <w:rsid w:val="00032686"/>
    <w:rsid w:val="0003274B"/>
    <w:rsid w:val="00032AD8"/>
    <w:rsid w:val="000331CC"/>
    <w:rsid w:val="0003322E"/>
    <w:rsid w:val="00033927"/>
    <w:rsid w:val="00035840"/>
    <w:rsid w:val="00035844"/>
    <w:rsid w:val="00036BAA"/>
    <w:rsid w:val="00036C47"/>
    <w:rsid w:val="0003738D"/>
    <w:rsid w:val="00037C63"/>
    <w:rsid w:val="00037CE4"/>
    <w:rsid w:val="00040187"/>
    <w:rsid w:val="00040AC1"/>
    <w:rsid w:val="000418B1"/>
    <w:rsid w:val="00041BFC"/>
    <w:rsid w:val="00042BF9"/>
    <w:rsid w:val="00042F4A"/>
    <w:rsid w:val="00043295"/>
    <w:rsid w:val="000441ED"/>
    <w:rsid w:val="00044EE7"/>
    <w:rsid w:val="00045069"/>
    <w:rsid w:val="00045828"/>
    <w:rsid w:val="00045947"/>
    <w:rsid w:val="000462A8"/>
    <w:rsid w:val="00046360"/>
    <w:rsid w:val="0004653D"/>
    <w:rsid w:val="000465AB"/>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6F88"/>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73D8"/>
    <w:rsid w:val="00067B60"/>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813"/>
    <w:rsid w:val="0008372E"/>
    <w:rsid w:val="000839ED"/>
    <w:rsid w:val="00083A64"/>
    <w:rsid w:val="00083B97"/>
    <w:rsid w:val="00084DAF"/>
    <w:rsid w:val="000856A1"/>
    <w:rsid w:val="0008572C"/>
    <w:rsid w:val="000859E6"/>
    <w:rsid w:val="00085B86"/>
    <w:rsid w:val="00085FB6"/>
    <w:rsid w:val="000866A9"/>
    <w:rsid w:val="00086C00"/>
    <w:rsid w:val="00086EC2"/>
    <w:rsid w:val="00087358"/>
    <w:rsid w:val="000873F5"/>
    <w:rsid w:val="00087AF8"/>
    <w:rsid w:val="00087E3D"/>
    <w:rsid w:val="000900DF"/>
    <w:rsid w:val="00090193"/>
    <w:rsid w:val="0009021F"/>
    <w:rsid w:val="00090373"/>
    <w:rsid w:val="0009053F"/>
    <w:rsid w:val="0009074F"/>
    <w:rsid w:val="00090FAF"/>
    <w:rsid w:val="00091B1D"/>
    <w:rsid w:val="00091D8D"/>
    <w:rsid w:val="0009229B"/>
    <w:rsid w:val="00093DF8"/>
    <w:rsid w:val="000941F6"/>
    <w:rsid w:val="000945C5"/>
    <w:rsid w:val="000947F1"/>
    <w:rsid w:val="00094ECF"/>
    <w:rsid w:val="00094F56"/>
    <w:rsid w:val="00095450"/>
    <w:rsid w:val="0009592E"/>
    <w:rsid w:val="00096DFE"/>
    <w:rsid w:val="0009715C"/>
    <w:rsid w:val="000973E6"/>
    <w:rsid w:val="000A0DB9"/>
    <w:rsid w:val="000A10DB"/>
    <w:rsid w:val="000A2968"/>
    <w:rsid w:val="000A346E"/>
    <w:rsid w:val="000A3515"/>
    <w:rsid w:val="000A3518"/>
    <w:rsid w:val="000A3F79"/>
    <w:rsid w:val="000A48AF"/>
    <w:rsid w:val="000A5540"/>
    <w:rsid w:val="000A59B9"/>
    <w:rsid w:val="000A5CFB"/>
    <w:rsid w:val="000A6E79"/>
    <w:rsid w:val="000A6F1D"/>
    <w:rsid w:val="000A70C7"/>
    <w:rsid w:val="000A70EB"/>
    <w:rsid w:val="000A7238"/>
    <w:rsid w:val="000A791D"/>
    <w:rsid w:val="000B09FE"/>
    <w:rsid w:val="000B0EFF"/>
    <w:rsid w:val="000B15EF"/>
    <w:rsid w:val="000B2225"/>
    <w:rsid w:val="000B26D6"/>
    <w:rsid w:val="000B316D"/>
    <w:rsid w:val="000B3194"/>
    <w:rsid w:val="000B3741"/>
    <w:rsid w:val="000B3CFE"/>
    <w:rsid w:val="000B42D5"/>
    <w:rsid w:val="000B4EF3"/>
    <w:rsid w:val="000B554C"/>
    <w:rsid w:val="000B588F"/>
    <w:rsid w:val="000B5D87"/>
    <w:rsid w:val="000B6EB4"/>
    <w:rsid w:val="000B6F18"/>
    <w:rsid w:val="000B7189"/>
    <w:rsid w:val="000B7E6D"/>
    <w:rsid w:val="000C11FD"/>
    <w:rsid w:val="000C288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2915"/>
    <w:rsid w:val="000D38A6"/>
    <w:rsid w:val="000D3E1B"/>
    <w:rsid w:val="000D4061"/>
    <w:rsid w:val="000D4860"/>
    <w:rsid w:val="000D48FB"/>
    <w:rsid w:val="000D4B4F"/>
    <w:rsid w:val="000D4C66"/>
    <w:rsid w:val="000D4EC1"/>
    <w:rsid w:val="000D549B"/>
    <w:rsid w:val="000D55FD"/>
    <w:rsid w:val="000D5634"/>
    <w:rsid w:val="000D574F"/>
    <w:rsid w:val="000D5E20"/>
    <w:rsid w:val="000D632E"/>
    <w:rsid w:val="000E01DF"/>
    <w:rsid w:val="000E0FA4"/>
    <w:rsid w:val="000E1C04"/>
    <w:rsid w:val="000E2AD1"/>
    <w:rsid w:val="000E3B7C"/>
    <w:rsid w:val="000E3D2F"/>
    <w:rsid w:val="000E4340"/>
    <w:rsid w:val="000E4712"/>
    <w:rsid w:val="000E5403"/>
    <w:rsid w:val="000E612C"/>
    <w:rsid w:val="000E6237"/>
    <w:rsid w:val="000E6D38"/>
    <w:rsid w:val="000E6FA0"/>
    <w:rsid w:val="000E72E7"/>
    <w:rsid w:val="000E72F6"/>
    <w:rsid w:val="000E75B3"/>
    <w:rsid w:val="000E7CC8"/>
    <w:rsid w:val="000F0015"/>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721"/>
    <w:rsid w:val="000F6F32"/>
    <w:rsid w:val="000F70F9"/>
    <w:rsid w:val="000F75A8"/>
    <w:rsid w:val="000F76E0"/>
    <w:rsid w:val="000F77B4"/>
    <w:rsid w:val="000F7FB0"/>
    <w:rsid w:val="00100331"/>
    <w:rsid w:val="00101255"/>
    <w:rsid w:val="001012EE"/>
    <w:rsid w:val="001016BB"/>
    <w:rsid w:val="0010251A"/>
    <w:rsid w:val="00102BC3"/>
    <w:rsid w:val="00103458"/>
    <w:rsid w:val="00104AFF"/>
    <w:rsid w:val="0010504F"/>
    <w:rsid w:val="001054B0"/>
    <w:rsid w:val="00105A06"/>
    <w:rsid w:val="00105B2E"/>
    <w:rsid w:val="00106210"/>
    <w:rsid w:val="00107326"/>
    <w:rsid w:val="001078F4"/>
    <w:rsid w:val="00110797"/>
    <w:rsid w:val="00111ECD"/>
    <w:rsid w:val="001121DD"/>
    <w:rsid w:val="0011227C"/>
    <w:rsid w:val="00112DBF"/>
    <w:rsid w:val="00113646"/>
    <w:rsid w:val="00113992"/>
    <w:rsid w:val="0011487E"/>
    <w:rsid w:val="001149C5"/>
    <w:rsid w:val="00114F32"/>
    <w:rsid w:val="0011539F"/>
    <w:rsid w:val="00116015"/>
    <w:rsid w:val="00116258"/>
    <w:rsid w:val="00116781"/>
    <w:rsid w:val="001169CB"/>
    <w:rsid w:val="00117559"/>
    <w:rsid w:val="0012026D"/>
    <w:rsid w:val="00120457"/>
    <w:rsid w:val="0012077F"/>
    <w:rsid w:val="00120813"/>
    <w:rsid w:val="0012099E"/>
    <w:rsid w:val="00120E60"/>
    <w:rsid w:val="0012130E"/>
    <w:rsid w:val="001213B0"/>
    <w:rsid w:val="00121741"/>
    <w:rsid w:val="00121832"/>
    <w:rsid w:val="0012235C"/>
    <w:rsid w:val="001229A4"/>
    <w:rsid w:val="00122A75"/>
    <w:rsid w:val="001241D1"/>
    <w:rsid w:val="00124985"/>
    <w:rsid w:val="00125609"/>
    <w:rsid w:val="00125B9B"/>
    <w:rsid w:val="00125FC1"/>
    <w:rsid w:val="00126655"/>
    <w:rsid w:val="00126707"/>
    <w:rsid w:val="001269E0"/>
    <w:rsid w:val="00126C18"/>
    <w:rsid w:val="00126EBE"/>
    <w:rsid w:val="0012725A"/>
    <w:rsid w:val="00127FC8"/>
    <w:rsid w:val="001318F4"/>
    <w:rsid w:val="0013190A"/>
    <w:rsid w:val="00131945"/>
    <w:rsid w:val="00131C94"/>
    <w:rsid w:val="00131DE6"/>
    <w:rsid w:val="001326DF"/>
    <w:rsid w:val="00132AD8"/>
    <w:rsid w:val="00132CCE"/>
    <w:rsid w:val="00133818"/>
    <w:rsid w:val="00133D01"/>
    <w:rsid w:val="00134510"/>
    <w:rsid w:val="00136073"/>
    <w:rsid w:val="001361F7"/>
    <w:rsid w:val="001364D5"/>
    <w:rsid w:val="00136606"/>
    <w:rsid w:val="00136806"/>
    <w:rsid w:val="001369A6"/>
    <w:rsid w:val="00136A93"/>
    <w:rsid w:val="00136BD6"/>
    <w:rsid w:val="00136DBC"/>
    <w:rsid w:val="00136F77"/>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A56"/>
    <w:rsid w:val="00145F55"/>
    <w:rsid w:val="0014647C"/>
    <w:rsid w:val="00147916"/>
    <w:rsid w:val="0014795D"/>
    <w:rsid w:val="001479AA"/>
    <w:rsid w:val="00147F00"/>
    <w:rsid w:val="00150564"/>
    <w:rsid w:val="001506A7"/>
    <w:rsid w:val="00150882"/>
    <w:rsid w:val="00150A4A"/>
    <w:rsid w:val="001518B5"/>
    <w:rsid w:val="0015191D"/>
    <w:rsid w:val="00151BBA"/>
    <w:rsid w:val="0015252D"/>
    <w:rsid w:val="001525EA"/>
    <w:rsid w:val="00152656"/>
    <w:rsid w:val="00152C00"/>
    <w:rsid w:val="00152C2B"/>
    <w:rsid w:val="00152E98"/>
    <w:rsid w:val="00153084"/>
    <w:rsid w:val="00154304"/>
    <w:rsid w:val="001546D6"/>
    <w:rsid w:val="0015477A"/>
    <w:rsid w:val="001549D0"/>
    <w:rsid w:val="00154F0A"/>
    <w:rsid w:val="00156891"/>
    <w:rsid w:val="00156958"/>
    <w:rsid w:val="00156BA3"/>
    <w:rsid w:val="00157320"/>
    <w:rsid w:val="001579B9"/>
    <w:rsid w:val="00157CBD"/>
    <w:rsid w:val="001602EB"/>
    <w:rsid w:val="001610EB"/>
    <w:rsid w:val="00161C1F"/>
    <w:rsid w:val="00161C2F"/>
    <w:rsid w:val="00162013"/>
    <w:rsid w:val="001620B6"/>
    <w:rsid w:val="00162664"/>
    <w:rsid w:val="00162969"/>
    <w:rsid w:val="00162995"/>
    <w:rsid w:val="00163194"/>
    <w:rsid w:val="0016397B"/>
    <w:rsid w:val="00163C66"/>
    <w:rsid w:val="00163DB9"/>
    <w:rsid w:val="00164A8F"/>
    <w:rsid w:val="00164E8A"/>
    <w:rsid w:val="00164F8F"/>
    <w:rsid w:val="001650BB"/>
    <w:rsid w:val="0016529F"/>
    <w:rsid w:val="001658F5"/>
    <w:rsid w:val="00165F38"/>
    <w:rsid w:val="0016605A"/>
    <w:rsid w:val="001661B8"/>
    <w:rsid w:val="00166237"/>
    <w:rsid w:val="00166416"/>
    <w:rsid w:val="0016644D"/>
    <w:rsid w:val="00166EE6"/>
    <w:rsid w:val="001672AF"/>
    <w:rsid w:val="00167629"/>
    <w:rsid w:val="00170740"/>
    <w:rsid w:val="00170A14"/>
    <w:rsid w:val="00170E3F"/>
    <w:rsid w:val="0017112B"/>
    <w:rsid w:val="001718C3"/>
    <w:rsid w:val="001726CF"/>
    <w:rsid w:val="00172BAF"/>
    <w:rsid w:val="00172EC0"/>
    <w:rsid w:val="00173191"/>
    <w:rsid w:val="001737FE"/>
    <w:rsid w:val="0017426E"/>
    <w:rsid w:val="00175701"/>
    <w:rsid w:val="00176E50"/>
    <w:rsid w:val="0017723E"/>
    <w:rsid w:val="001775DA"/>
    <w:rsid w:val="00177AD0"/>
    <w:rsid w:val="00181135"/>
    <w:rsid w:val="00181C0B"/>
    <w:rsid w:val="00182382"/>
    <w:rsid w:val="00182A1C"/>
    <w:rsid w:val="00182DF8"/>
    <w:rsid w:val="00183951"/>
    <w:rsid w:val="00183CB0"/>
    <w:rsid w:val="00183CC7"/>
    <w:rsid w:val="00185DB6"/>
    <w:rsid w:val="00186564"/>
    <w:rsid w:val="00186AE7"/>
    <w:rsid w:val="00187892"/>
    <w:rsid w:val="00187948"/>
    <w:rsid w:val="001879F2"/>
    <w:rsid w:val="00187DFB"/>
    <w:rsid w:val="001900A7"/>
    <w:rsid w:val="00190463"/>
    <w:rsid w:val="00191435"/>
    <w:rsid w:val="00191F8F"/>
    <w:rsid w:val="00192213"/>
    <w:rsid w:val="001927A2"/>
    <w:rsid w:val="001927AF"/>
    <w:rsid w:val="00192C5B"/>
    <w:rsid w:val="001930B3"/>
    <w:rsid w:val="00193169"/>
    <w:rsid w:val="0019335B"/>
    <w:rsid w:val="0019394C"/>
    <w:rsid w:val="00193CA3"/>
    <w:rsid w:val="0019423A"/>
    <w:rsid w:val="00195648"/>
    <w:rsid w:val="001959DC"/>
    <w:rsid w:val="00195F44"/>
    <w:rsid w:val="00195F61"/>
    <w:rsid w:val="00196019"/>
    <w:rsid w:val="00196B94"/>
    <w:rsid w:val="00196C83"/>
    <w:rsid w:val="00196E92"/>
    <w:rsid w:val="001974DA"/>
    <w:rsid w:val="001A0614"/>
    <w:rsid w:val="001A0896"/>
    <w:rsid w:val="001A168C"/>
    <w:rsid w:val="001A1F4F"/>
    <w:rsid w:val="001A315B"/>
    <w:rsid w:val="001A3856"/>
    <w:rsid w:val="001A3F6D"/>
    <w:rsid w:val="001A4029"/>
    <w:rsid w:val="001A42E9"/>
    <w:rsid w:val="001A4C94"/>
    <w:rsid w:val="001A5DA1"/>
    <w:rsid w:val="001A636F"/>
    <w:rsid w:val="001A6601"/>
    <w:rsid w:val="001A775C"/>
    <w:rsid w:val="001A7CBA"/>
    <w:rsid w:val="001A7DA4"/>
    <w:rsid w:val="001B064E"/>
    <w:rsid w:val="001B0A5F"/>
    <w:rsid w:val="001B1736"/>
    <w:rsid w:val="001B18AC"/>
    <w:rsid w:val="001B1AE6"/>
    <w:rsid w:val="001B1CC4"/>
    <w:rsid w:val="001B2033"/>
    <w:rsid w:val="001B32D3"/>
    <w:rsid w:val="001B32E4"/>
    <w:rsid w:val="001B3383"/>
    <w:rsid w:val="001B3778"/>
    <w:rsid w:val="001B3E30"/>
    <w:rsid w:val="001B41A7"/>
    <w:rsid w:val="001B4ED3"/>
    <w:rsid w:val="001B50CC"/>
    <w:rsid w:val="001B5234"/>
    <w:rsid w:val="001B5355"/>
    <w:rsid w:val="001B6049"/>
    <w:rsid w:val="001B60D4"/>
    <w:rsid w:val="001B6482"/>
    <w:rsid w:val="001B6B84"/>
    <w:rsid w:val="001B7014"/>
    <w:rsid w:val="001B7C32"/>
    <w:rsid w:val="001B7CBF"/>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3185"/>
    <w:rsid w:val="001D3515"/>
    <w:rsid w:val="001D3534"/>
    <w:rsid w:val="001D42DA"/>
    <w:rsid w:val="001D4725"/>
    <w:rsid w:val="001D537F"/>
    <w:rsid w:val="001D5C06"/>
    <w:rsid w:val="001D62ED"/>
    <w:rsid w:val="001D6DE3"/>
    <w:rsid w:val="001D6E58"/>
    <w:rsid w:val="001D723E"/>
    <w:rsid w:val="001D7681"/>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214"/>
    <w:rsid w:val="001E7179"/>
    <w:rsid w:val="001E71E6"/>
    <w:rsid w:val="001E72E0"/>
    <w:rsid w:val="001E7908"/>
    <w:rsid w:val="001E7B04"/>
    <w:rsid w:val="001E7E13"/>
    <w:rsid w:val="001F0064"/>
    <w:rsid w:val="001F1396"/>
    <w:rsid w:val="001F16DF"/>
    <w:rsid w:val="001F1960"/>
    <w:rsid w:val="001F2EB1"/>
    <w:rsid w:val="001F3105"/>
    <w:rsid w:val="001F3DAE"/>
    <w:rsid w:val="001F40B0"/>
    <w:rsid w:val="001F4A98"/>
    <w:rsid w:val="001F4E02"/>
    <w:rsid w:val="001F6159"/>
    <w:rsid w:val="001F63FA"/>
    <w:rsid w:val="001F6680"/>
    <w:rsid w:val="001F66A0"/>
    <w:rsid w:val="001F6FB6"/>
    <w:rsid w:val="001F740D"/>
    <w:rsid w:val="001F792F"/>
    <w:rsid w:val="001F7AC9"/>
    <w:rsid w:val="001F7B9E"/>
    <w:rsid w:val="001F7BE1"/>
    <w:rsid w:val="001F7C97"/>
    <w:rsid w:val="00200A84"/>
    <w:rsid w:val="00200E44"/>
    <w:rsid w:val="002014F7"/>
    <w:rsid w:val="00201A35"/>
    <w:rsid w:val="00202576"/>
    <w:rsid w:val="00202B50"/>
    <w:rsid w:val="00202EF9"/>
    <w:rsid w:val="00203204"/>
    <w:rsid w:val="00203236"/>
    <w:rsid w:val="002036E8"/>
    <w:rsid w:val="00203B3F"/>
    <w:rsid w:val="002048AD"/>
    <w:rsid w:val="002051F7"/>
    <w:rsid w:val="0020531C"/>
    <w:rsid w:val="00205863"/>
    <w:rsid w:val="002067D2"/>
    <w:rsid w:val="0020708A"/>
    <w:rsid w:val="00207642"/>
    <w:rsid w:val="00207F6A"/>
    <w:rsid w:val="00210256"/>
    <w:rsid w:val="00210394"/>
    <w:rsid w:val="0021076E"/>
    <w:rsid w:val="00211882"/>
    <w:rsid w:val="002119F5"/>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38B"/>
    <w:rsid w:val="002175E6"/>
    <w:rsid w:val="00217F25"/>
    <w:rsid w:val="00220082"/>
    <w:rsid w:val="002203BD"/>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1D4"/>
    <w:rsid w:val="00227577"/>
    <w:rsid w:val="002277E9"/>
    <w:rsid w:val="002279E3"/>
    <w:rsid w:val="00227AC7"/>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FD3"/>
    <w:rsid w:val="00236A66"/>
    <w:rsid w:val="00236B90"/>
    <w:rsid w:val="002371BF"/>
    <w:rsid w:val="00237427"/>
    <w:rsid w:val="002376E3"/>
    <w:rsid w:val="00237820"/>
    <w:rsid w:val="00237A87"/>
    <w:rsid w:val="002403A1"/>
    <w:rsid w:val="002404C3"/>
    <w:rsid w:val="00241129"/>
    <w:rsid w:val="00241840"/>
    <w:rsid w:val="00241C36"/>
    <w:rsid w:val="00241F48"/>
    <w:rsid w:val="002427EB"/>
    <w:rsid w:val="002427F0"/>
    <w:rsid w:val="002428BD"/>
    <w:rsid w:val="002429C1"/>
    <w:rsid w:val="00242A17"/>
    <w:rsid w:val="00242E09"/>
    <w:rsid w:val="00243026"/>
    <w:rsid w:val="002432B7"/>
    <w:rsid w:val="0024400C"/>
    <w:rsid w:val="002440B2"/>
    <w:rsid w:val="002458CE"/>
    <w:rsid w:val="00246513"/>
    <w:rsid w:val="00246B1D"/>
    <w:rsid w:val="00247BDE"/>
    <w:rsid w:val="00250B11"/>
    <w:rsid w:val="00251EB3"/>
    <w:rsid w:val="00252472"/>
    <w:rsid w:val="0025329B"/>
    <w:rsid w:val="002538BA"/>
    <w:rsid w:val="00253ABF"/>
    <w:rsid w:val="00253EC4"/>
    <w:rsid w:val="0025418A"/>
    <w:rsid w:val="00254240"/>
    <w:rsid w:val="00254266"/>
    <w:rsid w:val="00255BC2"/>
    <w:rsid w:val="002561BF"/>
    <w:rsid w:val="00256539"/>
    <w:rsid w:val="00256DEA"/>
    <w:rsid w:val="00257C49"/>
    <w:rsid w:val="0026072F"/>
    <w:rsid w:val="00260952"/>
    <w:rsid w:val="00260A98"/>
    <w:rsid w:val="00261192"/>
    <w:rsid w:val="00261A11"/>
    <w:rsid w:val="00261CB5"/>
    <w:rsid w:val="00262268"/>
    <w:rsid w:val="002625F2"/>
    <w:rsid w:val="00262869"/>
    <w:rsid w:val="00263268"/>
    <w:rsid w:val="00263413"/>
    <w:rsid w:val="002635F3"/>
    <w:rsid w:val="0026431A"/>
    <w:rsid w:val="002644A4"/>
    <w:rsid w:val="0026495A"/>
    <w:rsid w:val="00265066"/>
    <w:rsid w:val="00265C93"/>
    <w:rsid w:val="00266300"/>
    <w:rsid w:val="0026640E"/>
    <w:rsid w:val="00271150"/>
    <w:rsid w:val="00271C7B"/>
    <w:rsid w:val="00271D11"/>
    <w:rsid w:val="0027296D"/>
    <w:rsid w:val="002735DD"/>
    <w:rsid w:val="00273892"/>
    <w:rsid w:val="00273AEC"/>
    <w:rsid w:val="002747CC"/>
    <w:rsid w:val="00274830"/>
    <w:rsid w:val="0027494B"/>
    <w:rsid w:val="00274DF9"/>
    <w:rsid w:val="00275170"/>
    <w:rsid w:val="00275D77"/>
    <w:rsid w:val="002778F2"/>
    <w:rsid w:val="00277F52"/>
    <w:rsid w:val="002809A3"/>
    <w:rsid w:val="00280DCF"/>
    <w:rsid w:val="00281979"/>
    <w:rsid w:val="00281E85"/>
    <w:rsid w:val="00282E3C"/>
    <w:rsid w:val="002837F8"/>
    <w:rsid w:val="00283978"/>
    <w:rsid w:val="00283ACF"/>
    <w:rsid w:val="00283C0D"/>
    <w:rsid w:val="00283C99"/>
    <w:rsid w:val="0028473D"/>
    <w:rsid w:val="00284850"/>
    <w:rsid w:val="00284D22"/>
    <w:rsid w:val="00285326"/>
    <w:rsid w:val="00285DE8"/>
    <w:rsid w:val="00290891"/>
    <w:rsid w:val="0029132B"/>
    <w:rsid w:val="00291DA9"/>
    <w:rsid w:val="00292773"/>
    <w:rsid w:val="002927AC"/>
    <w:rsid w:val="00292842"/>
    <w:rsid w:val="00292A11"/>
    <w:rsid w:val="0029409B"/>
    <w:rsid w:val="0029469F"/>
    <w:rsid w:val="00294A5F"/>
    <w:rsid w:val="0029506F"/>
    <w:rsid w:val="00295405"/>
    <w:rsid w:val="002954FB"/>
    <w:rsid w:val="0029618D"/>
    <w:rsid w:val="002965BA"/>
    <w:rsid w:val="00296814"/>
    <w:rsid w:val="0029716C"/>
    <w:rsid w:val="0029798E"/>
    <w:rsid w:val="002A0DD4"/>
    <w:rsid w:val="002A2537"/>
    <w:rsid w:val="002A2AB8"/>
    <w:rsid w:val="002A2B8E"/>
    <w:rsid w:val="002A2F96"/>
    <w:rsid w:val="002A3AF8"/>
    <w:rsid w:val="002A43F7"/>
    <w:rsid w:val="002A48B8"/>
    <w:rsid w:val="002A5126"/>
    <w:rsid w:val="002A5948"/>
    <w:rsid w:val="002A64F2"/>
    <w:rsid w:val="002A6590"/>
    <w:rsid w:val="002A7478"/>
    <w:rsid w:val="002A74AA"/>
    <w:rsid w:val="002A7648"/>
    <w:rsid w:val="002A7B26"/>
    <w:rsid w:val="002B01AD"/>
    <w:rsid w:val="002B047F"/>
    <w:rsid w:val="002B11A6"/>
    <w:rsid w:val="002B1ACA"/>
    <w:rsid w:val="002B1C6E"/>
    <w:rsid w:val="002B2C8F"/>
    <w:rsid w:val="002B2D78"/>
    <w:rsid w:val="002B32C9"/>
    <w:rsid w:val="002B3736"/>
    <w:rsid w:val="002B3CF9"/>
    <w:rsid w:val="002B4054"/>
    <w:rsid w:val="002B4621"/>
    <w:rsid w:val="002B46FF"/>
    <w:rsid w:val="002B48A7"/>
    <w:rsid w:val="002B497D"/>
    <w:rsid w:val="002B4D0E"/>
    <w:rsid w:val="002B542A"/>
    <w:rsid w:val="002B5495"/>
    <w:rsid w:val="002B54C5"/>
    <w:rsid w:val="002B55E5"/>
    <w:rsid w:val="002B653E"/>
    <w:rsid w:val="002B6703"/>
    <w:rsid w:val="002B6BCB"/>
    <w:rsid w:val="002B6D69"/>
    <w:rsid w:val="002B6DAE"/>
    <w:rsid w:val="002B6F67"/>
    <w:rsid w:val="002B7411"/>
    <w:rsid w:val="002B7D02"/>
    <w:rsid w:val="002B7F1B"/>
    <w:rsid w:val="002C0083"/>
    <w:rsid w:val="002C00C0"/>
    <w:rsid w:val="002C032E"/>
    <w:rsid w:val="002C081A"/>
    <w:rsid w:val="002C108A"/>
    <w:rsid w:val="002C1553"/>
    <w:rsid w:val="002C1875"/>
    <w:rsid w:val="002C1926"/>
    <w:rsid w:val="002C19BC"/>
    <w:rsid w:val="002C1F27"/>
    <w:rsid w:val="002C2CCD"/>
    <w:rsid w:val="002C2E7C"/>
    <w:rsid w:val="002C2F7F"/>
    <w:rsid w:val="002C2FB4"/>
    <w:rsid w:val="002C2FD3"/>
    <w:rsid w:val="002C3683"/>
    <w:rsid w:val="002C6DC2"/>
    <w:rsid w:val="002C6DDA"/>
    <w:rsid w:val="002C713E"/>
    <w:rsid w:val="002C762C"/>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B2"/>
    <w:rsid w:val="002D7CC4"/>
    <w:rsid w:val="002D7DBC"/>
    <w:rsid w:val="002E02AA"/>
    <w:rsid w:val="002E0C21"/>
    <w:rsid w:val="002E0E96"/>
    <w:rsid w:val="002E192A"/>
    <w:rsid w:val="002E2471"/>
    <w:rsid w:val="002E2B84"/>
    <w:rsid w:val="002E300A"/>
    <w:rsid w:val="002E3092"/>
    <w:rsid w:val="002E3543"/>
    <w:rsid w:val="002E3B82"/>
    <w:rsid w:val="002E3C95"/>
    <w:rsid w:val="002E40D7"/>
    <w:rsid w:val="002E4BB3"/>
    <w:rsid w:val="002E5F0D"/>
    <w:rsid w:val="002E6EE7"/>
    <w:rsid w:val="002E7F13"/>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0A1"/>
    <w:rsid w:val="002F7EB8"/>
    <w:rsid w:val="003000D8"/>
    <w:rsid w:val="00300191"/>
    <w:rsid w:val="0030086D"/>
    <w:rsid w:val="00300AB5"/>
    <w:rsid w:val="00300D86"/>
    <w:rsid w:val="003017E1"/>
    <w:rsid w:val="00302676"/>
    <w:rsid w:val="00302F6A"/>
    <w:rsid w:val="003040C0"/>
    <w:rsid w:val="00304B0A"/>
    <w:rsid w:val="00305CC7"/>
    <w:rsid w:val="00305EB6"/>
    <w:rsid w:val="00305F62"/>
    <w:rsid w:val="0030652B"/>
    <w:rsid w:val="0030688B"/>
    <w:rsid w:val="003070FF"/>
    <w:rsid w:val="003074FD"/>
    <w:rsid w:val="00307A2D"/>
    <w:rsid w:val="00307D3E"/>
    <w:rsid w:val="00307E65"/>
    <w:rsid w:val="00310204"/>
    <w:rsid w:val="00310261"/>
    <w:rsid w:val="00310272"/>
    <w:rsid w:val="00310D86"/>
    <w:rsid w:val="00310F34"/>
    <w:rsid w:val="00311327"/>
    <w:rsid w:val="003115FC"/>
    <w:rsid w:val="00312462"/>
    <w:rsid w:val="00312AF6"/>
    <w:rsid w:val="00312CB7"/>
    <w:rsid w:val="00312E68"/>
    <w:rsid w:val="0031351A"/>
    <w:rsid w:val="0031399F"/>
    <w:rsid w:val="003140C5"/>
    <w:rsid w:val="0031499C"/>
    <w:rsid w:val="003161E5"/>
    <w:rsid w:val="00316413"/>
    <w:rsid w:val="00316C18"/>
    <w:rsid w:val="00316E22"/>
    <w:rsid w:val="00317071"/>
    <w:rsid w:val="003170F2"/>
    <w:rsid w:val="003204DA"/>
    <w:rsid w:val="00320582"/>
    <w:rsid w:val="00321282"/>
    <w:rsid w:val="0032130E"/>
    <w:rsid w:val="003213BC"/>
    <w:rsid w:val="0032187E"/>
    <w:rsid w:val="003218EA"/>
    <w:rsid w:val="00321F93"/>
    <w:rsid w:val="0032278A"/>
    <w:rsid w:val="0032279E"/>
    <w:rsid w:val="00322912"/>
    <w:rsid w:val="00322A25"/>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E93"/>
    <w:rsid w:val="00333A15"/>
    <w:rsid w:val="00333A6D"/>
    <w:rsid w:val="00333F1D"/>
    <w:rsid w:val="00335776"/>
    <w:rsid w:val="00335E73"/>
    <w:rsid w:val="00336075"/>
    <w:rsid w:val="0033621C"/>
    <w:rsid w:val="00336C5F"/>
    <w:rsid w:val="00336E5A"/>
    <w:rsid w:val="00336ED2"/>
    <w:rsid w:val="003374B9"/>
    <w:rsid w:val="003375AB"/>
    <w:rsid w:val="003378B1"/>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0D14"/>
    <w:rsid w:val="003518DC"/>
    <w:rsid w:val="0035214B"/>
    <w:rsid w:val="00352542"/>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32C"/>
    <w:rsid w:val="0036071E"/>
    <w:rsid w:val="00361429"/>
    <w:rsid w:val="003618B0"/>
    <w:rsid w:val="00363B12"/>
    <w:rsid w:val="0036423C"/>
    <w:rsid w:val="003648BB"/>
    <w:rsid w:val="00364D59"/>
    <w:rsid w:val="003654BE"/>
    <w:rsid w:val="003654DD"/>
    <w:rsid w:val="00365D2E"/>
    <w:rsid w:val="00365DBB"/>
    <w:rsid w:val="00365ECB"/>
    <w:rsid w:val="00366F81"/>
    <w:rsid w:val="003673E6"/>
    <w:rsid w:val="003675F0"/>
    <w:rsid w:val="00367700"/>
    <w:rsid w:val="00367A90"/>
    <w:rsid w:val="00370104"/>
    <w:rsid w:val="003701AB"/>
    <w:rsid w:val="003703EC"/>
    <w:rsid w:val="00370963"/>
    <w:rsid w:val="00371009"/>
    <w:rsid w:val="00371BC4"/>
    <w:rsid w:val="003722E8"/>
    <w:rsid w:val="00372733"/>
    <w:rsid w:val="0037280D"/>
    <w:rsid w:val="003728E1"/>
    <w:rsid w:val="00372C4C"/>
    <w:rsid w:val="00373B9D"/>
    <w:rsid w:val="0037403C"/>
    <w:rsid w:val="00374100"/>
    <w:rsid w:val="003745D0"/>
    <w:rsid w:val="00375B8A"/>
    <w:rsid w:val="00375C42"/>
    <w:rsid w:val="00375E04"/>
    <w:rsid w:val="00375E62"/>
    <w:rsid w:val="0037642E"/>
    <w:rsid w:val="003775BE"/>
    <w:rsid w:val="00377D45"/>
    <w:rsid w:val="003801DC"/>
    <w:rsid w:val="00380E15"/>
    <w:rsid w:val="00380F51"/>
    <w:rsid w:val="00381070"/>
    <w:rsid w:val="00381993"/>
    <w:rsid w:val="00381B3A"/>
    <w:rsid w:val="00381F75"/>
    <w:rsid w:val="0038248C"/>
    <w:rsid w:val="00382E72"/>
    <w:rsid w:val="00383E24"/>
    <w:rsid w:val="00384000"/>
    <w:rsid w:val="003847DB"/>
    <w:rsid w:val="00384837"/>
    <w:rsid w:val="00385085"/>
    <w:rsid w:val="003856C6"/>
    <w:rsid w:val="00385E50"/>
    <w:rsid w:val="003860CA"/>
    <w:rsid w:val="0038685F"/>
    <w:rsid w:val="00386B07"/>
    <w:rsid w:val="00386B43"/>
    <w:rsid w:val="00386CBA"/>
    <w:rsid w:val="00386FC4"/>
    <w:rsid w:val="003879A5"/>
    <w:rsid w:val="00387E69"/>
    <w:rsid w:val="003906C0"/>
    <w:rsid w:val="003911F2"/>
    <w:rsid w:val="00391268"/>
    <w:rsid w:val="003915D4"/>
    <w:rsid w:val="00391901"/>
    <w:rsid w:val="00391AC1"/>
    <w:rsid w:val="00391B2B"/>
    <w:rsid w:val="003923E6"/>
    <w:rsid w:val="00392A4D"/>
    <w:rsid w:val="00392A92"/>
    <w:rsid w:val="00393FE9"/>
    <w:rsid w:val="0039476B"/>
    <w:rsid w:val="00396113"/>
    <w:rsid w:val="00396F26"/>
    <w:rsid w:val="003973FD"/>
    <w:rsid w:val="00397413"/>
    <w:rsid w:val="0039760C"/>
    <w:rsid w:val="003976E4"/>
    <w:rsid w:val="00397B53"/>
    <w:rsid w:val="00397E21"/>
    <w:rsid w:val="00397FDC"/>
    <w:rsid w:val="003A04AE"/>
    <w:rsid w:val="003A0667"/>
    <w:rsid w:val="003A19D6"/>
    <w:rsid w:val="003A1B45"/>
    <w:rsid w:val="003A2372"/>
    <w:rsid w:val="003A2D4E"/>
    <w:rsid w:val="003A3999"/>
    <w:rsid w:val="003A434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6031"/>
    <w:rsid w:val="003B6599"/>
    <w:rsid w:val="003B6E81"/>
    <w:rsid w:val="003B7E05"/>
    <w:rsid w:val="003C052A"/>
    <w:rsid w:val="003C131E"/>
    <w:rsid w:val="003C19A5"/>
    <w:rsid w:val="003C1A96"/>
    <w:rsid w:val="003C1C85"/>
    <w:rsid w:val="003C1F69"/>
    <w:rsid w:val="003C2434"/>
    <w:rsid w:val="003C3037"/>
    <w:rsid w:val="003C323F"/>
    <w:rsid w:val="003C324C"/>
    <w:rsid w:val="003C3A2A"/>
    <w:rsid w:val="003C3E7F"/>
    <w:rsid w:val="003C4482"/>
    <w:rsid w:val="003C5260"/>
    <w:rsid w:val="003C612F"/>
    <w:rsid w:val="003C6468"/>
    <w:rsid w:val="003C7B0C"/>
    <w:rsid w:val="003D0AF6"/>
    <w:rsid w:val="003D0BFD"/>
    <w:rsid w:val="003D0DB4"/>
    <w:rsid w:val="003D11D9"/>
    <w:rsid w:val="003D1E5A"/>
    <w:rsid w:val="003D27A0"/>
    <w:rsid w:val="003D3990"/>
    <w:rsid w:val="003D42B5"/>
    <w:rsid w:val="003D42CB"/>
    <w:rsid w:val="003D43E2"/>
    <w:rsid w:val="003D4B62"/>
    <w:rsid w:val="003D4BA6"/>
    <w:rsid w:val="003D4E9A"/>
    <w:rsid w:val="003D51F4"/>
    <w:rsid w:val="003D5811"/>
    <w:rsid w:val="003D58C5"/>
    <w:rsid w:val="003D5D05"/>
    <w:rsid w:val="003D5FB3"/>
    <w:rsid w:val="003D6638"/>
    <w:rsid w:val="003D7667"/>
    <w:rsid w:val="003D7786"/>
    <w:rsid w:val="003D7FC4"/>
    <w:rsid w:val="003E0354"/>
    <w:rsid w:val="003E08DC"/>
    <w:rsid w:val="003E184A"/>
    <w:rsid w:val="003E1887"/>
    <w:rsid w:val="003E18C9"/>
    <w:rsid w:val="003E19E2"/>
    <w:rsid w:val="003E2538"/>
    <w:rsid w:val="003E278F"/>
    <w:rsid w:val="003E2E55"/>
    <w:rsid w:val="003E383A"/>
    <w:rsid w:val="003E3AF6"/>
    <w:rsid w:val="003E3C62"/>
    <w:rsid w:val="003E40AA"/>
    <w:rsid w:val="003E4296"/>
    <w:rsid w:val="003E43C8"/>
    <w:rsid w:val="003E4A87"/>
    <w:rsid w:val="003E4B5F"/>
    <w:rsid w:val="003E528F"/>
    <w:rsid w:val="003E530F"/>
    <w:rsid w:val="003E5A33"/>
    <w:rsid w:val="003E5D0E"/>
    <w:rsid w:val="003E65FD"/>
    <w:rsid w:val="003E6917"/>
    <w:rsid w:val="003E69CF"/>
    <w:rsid w:val="003E6DA0"/>
    <w:rsid w:val="003E72DA"/>
    <w:rsid w:val="003E73CD"/>
    <w:rsid w:val="003F014F"/>
    <w:rsid w:val="003F031C"/>
    <w:rsid w:val="003F0C5F"/>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525C"/>
    <w:rsid w:val="003F5E3F"/>
    <w:rsid w:val="003F5F6E"/>
    <w:rsid w:val="003F67CB"/>
    <w:rsid w:val="003F70AA"/>
    <w:rsid w:val="003F759C"/>
    <w:rsid w:val="00400413"/>
    <w:rsid w:val="00401241"/>
    <w:rsid w:val="00401CD0"/>
    <w:rsid w:val="004024AD"/>
    <w:rsid w:val="00402608"/>
    <w:rsid w:val="00403542"/>
    <w:rsid w:val="00403A15"/>
    <w:rsid w:val="00403A3E"/>
    <w:rsid w:val="00405218"/>
    <w:rsid w:val="00405461"/>
    <w:rsid w:val="00405477"/>
    <w:rsid w:val="0040566B"/>
    <w:rsid w:val="00405B56"/>
    <w:rsid w:val="004067F1"/>
    <w:rsid w:val="00406C91"/>
    <w:rsid w:val="00407403"/>
    <w:rsid w:val="00407D98"/>
    <w:rsid w:val="00410441"/>
    <w:rsid w:val="0041078F"/>
    <w:rsid w:val="00410B78"/>
    <w:rsid w:val="00410FE6"/>
    <w:rsid w:val="0041102C"/>
    <w:rsid w:val="00411154"/>
    <w:rsid w:val="0041161B"/>
    <w:rsid w:val="004121CD"/>
    <w:rsid w:val="00412A36"/>
    <w:rsid w:val="00412BDE"/>
    <w:rsid w:val="004133FD"/>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74"/>
    <w:rsid w:val="00420C84"/>
    <w:rsid w:val="00420E35"/>
    <w:rsid w:val="00420EED"/>
    <w:rsid w:val="0042121D"/>
    <w:rsid w:val="0042181C"/>
    <w:rsid w:val="0042198E"/>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305C5"/>
    <w:rsid w:val="00430984"/>
    <w:rsid w:val="004318F9"/>
    <w:rsid w:val="0043244C"/>
    <w:rsid w:val="00432621"/>
    <w:rsid w:val="00432B9E"/>
    <w:rsid w:val="00432EAC"/>
    <w:rsid w:val="00433584"/>
    <w:rsid w:val="004342CB"/>
    <w:rsid w:val="00434374"/>
    <w:rsid w:val="00434954"/>
    <w:rsid w:val="00435197"/>
    <w:rsid w:val="00436392"/>
    <w:rsid w:val="004363D1"/>
    <w:rsid w:val="0043648E"/>
    <w:rsid w:val="0043678E"/>
    <w:rsid w:val="00436CF3"/>
    <w:rsid w:val="0043731F"/>
    <w:rsid w:val="004376BB"/>
    <w:rsid w:val="00437B57"/>
    <w:rsid w:val="0044054A"/>
    <w:rsid w:val="00440D7A"/>
    <w:rsid w:val="004410BC"/>
    <w:rsid w:val="00441164"/>
    <w:rsid w:val="0044130A"/>
    <w:rsid w:val="004414D3"/>
    <w:rsid w:val="00441A6C"/>
    <w:rsid w:val="00441F3E"/>
    <w:rsid w:val="004420F9"/>
    <w:rsid w:val="00443064"/>
    <w:rsid w:val="004435D7"/>
    <w:rsid w:val="00444188"/>
    <w:rsid w:val="00444473"/>
    <w:rsid w:val="0044482D"/>
    <w:rsid w:val="00444927"/>
    <w:rsid w:val="00444FEA"/>
    <w:rsid w:val="004458AB"/>
    <w:rsid w:val="00445C9F"/>
    <w:rsid w:val="0044668C"/>
    <w:rsid w:val="00446D64"/>
    <w:rsid w:val="004479C3"/>
    <w:rsid w:val="00450389"/>
    <w:rsid w:val="004503A1"/>
    <w:rsid w:val="00450674"/>
    <w:rsid w:val="00450BE0"/>
    <w:rsid w:val="00450D8E"/>
    <w:rsid w:val="0045201A"/>
    <w:rsid w:val="004526C7"/>
    <w:rsid w:val="0045272F"/>
    <w:rsid w:val="00452828"/>
    <w:rsid w:val="00452BE5"/>
    <w:rsid w:val="00453DB3"/>
    <w:rsid w:val="00454B8F"/>
    <w:rsid w:val="00454C20"/>
    <w:rsid w:val="004558FA"/>
    <w:rsid w:val="00455CAE"/>
    <w:rsid w:val="00455E9B"/>
    <w:rsid w:val="00456D15"/>
    <w:rsid w:val="004578E3"/>
    <w:rsid w:val="004602D4"/>
    <w:rsid w:val="00460529"/>
    <w:rsid w:val="00460A4B"/>
    <w:rsid w:val="00461074"/>
    <w:rsid w:val="00461252"/>
    <w:rsid w:val="0046159B"/>
    <w:rsid w:val="00461A84"/>
    <w:rsid w:val="00462286"/>
    <w:rsid w:val="00462F25"/>
    <w:rsid w:val="004631A1"/>
    <w:rsid w:val="0046330C"/>
    <w:rsid w:val="00463717"/>
    <w:rsid w:val="00463754"/>
    <w:rsid w:val="004637CD"/>
    <w:rsid w:val="00463F53"/>
    <w:rsid w:val="004642AE"/>
    <w:rsid w:val="00464E5D"/>
    <w:rsid w:val="0046534C"/>
    <w:rsid w:val="004653AD"/>
    <w:rsid w:val="00465498"/>
    <w:rsid w:val="00465A3C"/>
    <w:rsid w:val="00465C44"/>
    <w:rsid w:val="00465F55"/>
    <w:rsid w:val="0046615C"/>
    <w:rsid w:val="00466414"/>
    <w:rsid w:val="0046650F"/>
    <w:rsid w:val="00466742"/>
    <w:rsid w:val="00466AE4"/>
    <w:rsid w:val="004673C5"/>
    <w:rsid w:val="0046756D"/>
    <w:rsid w:val="00467B68"/>
    <w:rsid w:val="00470EB0"/>
    <w:rsid w:val="00470ED5"/>
    <w:rsid w:val="00471361"/>
    <w:rsid w:val="00471B51"/>
    <w:rsid w:val="00471F60"/>
    <w:rsid w:val="00472834"/>
    <w:rsid w:val="00472ADA"/>
    <w:rsid w:val="00472AF9"/>
    <w:rsid w:val="00472E87"/>
    <w:rsid w:val="00473792"/>
    <w:rsid w:val="004740ED"/>
    <w:rsid w:val="00474322"/>
    <w:rsid w:val="00474620"/>
    <w:rsid w:val="0047548C"/>
    <w:rsid w:val="00476446"/>
    <w:rsid w:val="00477320"/>
    <w:rsid w:val="004779AB"/>
    <w:rsid w:val="004779CC"/>
    <w:rsid w:val="00477FA2"/>
    <w:rsid w:val="004801BA"/>
    <w:rsid w:val="0048028B"/>
    <w:rsid w:val="00481C87"/>
    <w:rsid w:val="004824B9"/>
    <w:rsid w:val="00482779"/>
    <w:rsid w:val="004828B4"/>
    <w:rsid w:val="00482F94"/>
    <w:rsid w:val="004840B7"/>
    <w:rsid w:val="00484204"/>
    <w:rsid w:val="00485352"/>
    <w:rsid w:val="00485E18"/>
    <w:rsid w:val="0048614C"/>
    <w:rsid w:val="0048639E"/>
    <w:rsid w:val="00487507"/>
    <w:rsid w:val="004876C2"/>
    <w:rsid w:val="004878B6"/>
    <w:rsid w:val="00487CD9"/>
    <w:rsid w:val="00490831"/>
    <w:rsid w:val="00491095"/>
    <w:rsid w:val="004918B1"/>
    <w:rsid w:val="00492611"/>
    <w:rsid w:val="004929EB"/>
    <w:rsid w:val="00492C56"/>
    <w:rsid w:val="00492F1A"/>
    <w:rsid w:val="0049339A"/>
    <w:rsid w:val="00493782"/>
    <w:rsid w:val="00493CF5"/>
    <w:rsid w:val="00493E2D"/>
    <w:rsid w:val="0049486B"/>
    <w:rsid w:val="00494B2E"/>
    <w:rsid w:val="004952A2"/>
    <w:rsid w:val="004952BD"/>
    <w:rsid w:val="0049590C"/>
    <w:rsid w:val="00495D9A"/>
    <w:rsid w:val="004962D8"/>
    <w:rsid w:val="004966E0"/>
    <w:rsid w:val="004969D3"/>
    <w:rsid w:val="00496BC8"/>
    <w:rsid w:val="004971AE"/>
    <w:rsid w:val="004974DE"/>
    <w:rsid w:val="004976EF"/>
    <w:rsid w:val="004A00EA"/>
    <w:rsid w:val="004A034F"/>
    <w:rsid w:val="004A0440"/>
    <w:rsid w:val="004A0E27"/>
    <w:rsid w:val="004A0ECC"/>
    <w:rsid w:val="004A1246"/>
    <w:rsid w:val="004A17FA"/>
    <w:rsid w:val="004A1842"/>
    <w:rsid w:val="004A1FA8"/>
    <w:rsid w:val="004A213B"/>
    <w:rsid w:val="004A25D9"/>
    <w:rsid w:val="004A399B"/>
    <w:rsid w:val="004A3F18"/>
    <w:rsid w:val="004A4D06"/>
    <w:rsid w:val="004A4FC8"/>
    <w:rsid w:val="004A5232"/>
    <w:rsid w:val="004A61A6"/>
    <w:rsid w:val="004A6C65"/>
    <w:rsid w:val="004A7535"/>
    <w:rsid w:val="004A76F0"/>
    <w:rsid w:val="004A7B7A"/>
    <w:rsid w:val="004B0A5F"/>
    <w:rsid w:val="004B11AD"/>
    <w:rsid w:val="004B15CE"/>
    <w:rsid w:val="004B2630"/>
    <w:rsid w:val="004B34B8"/>
    <w:rsid w:val="004B3F15"/>
    <w:rsid w:val="004B51A3"/>
    <w:rsid w:val="004B534E"/>
    <w:rsid w:val="004B59CB"/>
    <w:rsid w:val="004B6901"/>
    <w:rsid w:val="004B6A7A"/>
    <w:rsid w:val="004B6F05"/>
    <w:rsid w:val="004C0712"/>
    <w:rsid w:val="004C0F0D"/>
    <w:rsid w:val="004C1838"/>
    <w:rsid w:val="004C1CE3"/>
    <w:rsid w:val="004C3143"/>
    <w:rsid w:val="004C3BD1"/>
    <w:rsid w:val="004C3FD7"/>
    <w:rsid w:val="004C5715"/>
    <w:rsid w:val="004C5AA1"/>
    <w:rsid w:val="004C5DB7"/>
    <w:rsid w:val="004C600D"/>
    <w:rsid w:val="004C6374"/>
    <w:rsid w:val="004C64D0"/>
    <w:rsid w:val="004C683A"/>
    <w:rsid w:val="004C6B4F"/>
    <w:rsid w:val="004C6D63"/>
    <w:rsid w:val="004C6DF5"/>
    <w:rsid w:val="004C6F27"/>
    <w:rsid w:val="004C79D9"/>
    <w:rsid w:val="004D25E2"/>
    <w:rsid w:val="004D2D35"/>
    <w:rsid w:val="004D3A17"/>
    <w:rsid w:val="004D3C27"/>
    <w:rsid w:val="004D4AA2"/>
    <w:rsid w:val="004D4AC2"/>
    <w:rsid w:val="004D5038"/>
    <w:rsid w:val="004D525C"/>
    <w:rsid w:val="004D5EBD"/>
    <w:rsid w:val="004D6314"/>
    <w:rsid w:val="004D6A67"/>
    <w:rsid w:val="004D71AA"/>
    <w:rsid w:val="004D7312"/>
    <w:rsid w:val="004D736E"/>
    <w:rsid w:val="004D7420"/>
    <w:rsid w:val="004E054D"/>
    <w:rsid w:val="004E07DA"/>
    <w:rsid w:val="004E1454"/>
    <w:rsid w:val="004E1709"/>
    <w:rsid w:val="004E234B"/>
    <w:rsid w:val="004E2921"/>
    <w:rsid w:val="004E2BC5"/>
    <w:rsid w:val="004E2ED2"/>
    <w:rsid w:val="004E2FCF"/>
    <w:rsid w:val="004E305F"/>
    <w:rsid w:val="004E3C85"/>
    <w:rsid w:val="004E3FB6"/>
    <w:rsid w:val="004E41AF"/>
    <w:rsid w:val="004E4277"/>
    <w:rsid w:val="004E45CE"/>
    <w:rsid w:val="004E466E"/>
    <w:rsid w:val="004E4F95"/>
    <w:rsid w:val="004E53FC"/>
    <w:rsid w:val="004E578F"/>
    <w:rsid w:val="004E5CF5"/>
    <w:rsid w:val="004E5E88"/>
    <w:rsid w:val="004E67EA"/>
    <w:rsid w:val="004E7113"/>
    <w:rsid w:val="004E7540"/>
    <w:rsid w:val="004E76AF"/>
    <w:rsid w:val="004E7FC0"/>
    <w:rsid w:val="004F05B8"/>
    <w:rsid w:val="004F05D4"/>
    <w:rsid w:val="004F1A7E"/>
    <w:rsid w:val="004F1EEE"/>
    <w:rsid w:val="004F2F35"/>
    <w:rsid w:val="004F3434"/>
    <w:rsid w:val="004F3BE6"/>
    <w:rsid w:val="004F3D20"/>
    <w:rsid w:val="004F4978"/>
    <w:rsid w:val="004F4F47"/>
    <w:rsid w:val="004F56ED"/>
    <w:rsid w:val="004F5D56"/>
    <w:rsid w:val="004F5FA0"/>
    <w:rsid w:val="004F6045"/>
    <w:rsid w:val="004F6147"/>
    <w:rsid w:val="004F614F"/>
    <w:rsid w:val="004F69FE"/>
    <w:rsid w:val="004F752A"/>
    <w:rsid w:val="004F781C"/>
    <w:rsid w:val="004F7918"/>
    <w:rsid w:val="0050098F"/>
    <w:rsid w:val="00500BA2"/>
    <w:rsid w:val="00500CC6"/>
    <w:rsid w:val="0050145C"/>
    <w:rsid w:val="00502649"/>
    <w:rsid w:val="00502E30"/>
    <w:rsid w:val="00503797"/>
    <w:rsid w:val="0050398F"/>
    <w:rsid w:val="00503F6D"/>
    <w:rsid w:val="00505B35"/>
    <w:rsid w:val="00506523"/>
    <w:rsid w:val="005067EB"/>
    <w:rsid w:val="00506B64"/>
    <w:rsid w:val="00507451"/>
    <w:rsid w:val="0050788C"/>
    <w:rsid w:val="005110CF"/>
    <w:rsid w:val="005111E1"/>
    <w:rsid w:val="0051227C"/>
    <w:rsid w:val="0051254F"/>
    <w:rsid w:val="005130A1"/>
    <w:rsid w:val="00513345"/>
    <w:rsid w:val="00513D82"/>
    <w:rsid w:val="00513E25"/>
    <w:rsid w:val="005140F2"/>
    <w:rsid w:val="0051430B"/>
    <w:rsid w:val="005144B5"/>
    <w:rsid w:val="00514710"/>
    <w:rsid w:val="0051483B"/>
    <w:rsid w:val="005162F1"/>
    <w:rsid w:val="00516603"/>
    <w:rsid w:val="005172C1"/>
    <w:rsid w:val="0051788F"/>
    <w:rsid w:val="00520235"/>
    <w:rsid w:val="005219BF"/>
    <w:rsid w:val="00522FBE"/>
    <w:rsid w:val="00523449"/>
    <w:rsid w:val="005234BC"/>
    <w:rsid w:val="00523817"/>
    <w:rsid w:val="00523D53"/>
    <w:rsid w:val="00523F12"/>
    <w:rsid w:val="00523FCF"/>
    <w:rsid w:val="005241B4"/>
    <w:rsid w:val="00524E47"/>
    <w:rsid w:val="00525285"/>
    <w:rsid w:val="0052553B"/>
    <w:rsid w:val="00525BBB"/>
    <w:rsid w:val="00526118"/>
    <w:rsid w:val="005263EB"/>
    <w:rsid w:val="0052699C"/>
    <w:rsid w:val="0052700A"/>
    <w:rsid w:val="005273BC"/>
    <w:rsid w:val="00527A5E"/>
    <w:rsid w:val="00527BA9"/>
    <w:rsid w:val="00530166"/>
    <w:rsid w:val="00530771"/>
    <w:rsid w:val="00530783"/>
    <w:rsid w:val="00530833"/>
    <w:rsid w:val="00530DE9"/>
    <w:rsid w:val="00531B21"/>
    <w:rsid w:val="005320EA"/>
    <w:rsid w:val="00532601"/>
    <w:rsid w:val="0053288A"/>
    <w:rsid w:val="0053625D"/>
    <w:rsid w:val="005362A7"/>
    <w:rsid w:val="00536F59"/>
    <w:rsid w:val="00537507"/>
    <w:rsid w:val="00537A32"/>
    <w:rsid w:val="005402BE"/>
    <w:rsid w:val="0054077E"/>
    <w:rsid w:val="00540889"/>
    <w:rsid w:val="005408E9"/>
    <w:rsid w:val="00540997"/>
    <w:rsid w:val="005412F3"/>
    <w:rsid w:val="00541413"/>
    <w:rsid w:val="005431F0"/>
    <w:rsid w:val="005431FC"/>
    <w:rsid w:val="00543446"/>
    <w:rsid w:val="005439F9"/>
    <w:rsid w:val="00544329"/>
    <w:rsid w:val="00544453"/>
    <w:rsid w:val="005446AA"/>
    <w:rsid w:val="00544D2B"/>
    <w:rsid w:val="005450A6"/>
    <w:rsid w:val="005463FC"/>
    <w:rsid w:val="0054766B"/>
    <w:rsid w:val="005477C1"/>
    <w:rsid w:val="00550AA6"/>
    <w:rsid w:val="005516BD"/>
    <w:rsid w:val="005530E3"/>
    <w:rsid w:val="00553457"/>
    <w:rsid w:val="005539EC"/>
    <w:rsid w:val="00553A0B"/>
    <w:rsid w:val="00553C49"/>
    <w:rsid w:val="00554498"/>
    <w:rsid w:val="00554607"/>
    <w:rsid w:val="00554627"/>
    <w:rsid w:val="005547FF"/>
    <w:rsid w:val="00554930"/>
    <w:rsid w:val="00554EE3"/>
    <w:rsid w:val="00555E12"/>
    <w:rsid w:val="005563C9"/>
    <w:rsid w:val="00556583"/>
    <w:rsid w:val="005566AD"/>
    <w:rsid w:val="00556C74"/>
    <w:rsid w:val="005574F9"/>
    <w:rsid w:val="00557902"/>
    <w:rsid w:val="00557A43"/>
    <w:rsid w:val="00557B1B"/>
    <w:rsid w:val="00560031"/>
    <w:rsid w:val="00560117"/>
    <w:rsid w:val="0056055D"/>
    <w:rsid w:val="00560624"/>
    <w:rsid w:val="00560C38"/>
    <w:rsid w:val="00560DE2"/>
    <w:rsid w:val="00560FAC"/>
    <w:rsid w:val="005612D4"/>
    <w:rsid w:val="005613A3"/>
    <w:rsid w:val="005613A7"/>
    <w:rsid w:val="005619B7"/>
    <w:rsid w:val="00561C1C"/>
    <w:rsid w:val="005620C0"/>
    <w:rsid w:val="00562E3D"/>
    <w:rsid w:val="0056385C"/>
    <w:rsid w:val="00563ADB"/>
    <w:rsid w:val="00563F75"/>
    <w:rsid w:val="005640EB"/>
    <w:rsid w:val="00565514"/>
    <w:rsid w:val="00565567"/>
    <w:rsid w:val="005658D3"/>
    <w:rsid w:val="00565A55"/>
    <w:rsid w:val="00566000"/>
    <w:rsid w:val="00566845"/>
    <w:rsid w:val="00567EF7"/>
    <w:rsid w:val="005704AC"/>
    <w:rsid w:val="00570584"/>
    <w:rsid w:val="00570C5C"/>
    <w:rsid w:val="005712D6"/>
    <w:rsid w:val="00571812"/>
    <w:rsid w:val="00571DCD"/>
    <w:rsid w:val="0057218C"/>
    <w:rsid w:val="00572C81"/>
    <w:rsid w:val="00572E70"/>
    <w:rsid w:val="00573369"/>
    <w:rsid w:val="005735D0"/>
    <w:rsid w:val="00573C20"/>
    <w:rsid w:val="0057418A"/>
    <w:rsid w:val="00574923"/>
    <w:rsid w:val="00574D59"/>
    <w:rsid w:val="00575302"/>
    <w:rsid w:val="005759DD"/>
    <w:rsid w:val="00575C24"/>
    <w:rsid w:val="00576226"/>
    <w:rsid w:val="005762EA"/>
    <w:rsid w:val="005767AE"/>
    <w:rsid w:val="00580390"/>
    <w:rsid w:val="00580B47"/>
    <w:rsid w:val="00580E2B"/>
    <w:rsid w:val="005817B2"/>
    <w:rsid w:val="005819F7"/>
    <w:rsid w:val="00581C35"/>
    <w:rsid w:val="005824C6"/>
    <w:rsid w:val="005824E5"/>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C46"/>
    <w:rsid w:val="00587F56"/>
    <w:rsid w:val="00587FD9"/>
    <w:rsid w:val="005908B9"/>
    <w:rsid w:val="00591265"/>
    <w:rsid w:val="00591283"/>
    <w:rsid w:val="005915A4"/>
    <w:rsid w:val="005924D3"/>
    <w:rsid w:val="005924F1"/>
    <w:rsid w:val="005925E3"/>
    <w:rsid w:val="00592E3B"/>
    <w:rsid w:val="0059304D"/>
    <w:rsid w:val="00593059"/>
    <w:rsid w:val="005933AE"/>
    <w:rsid w:val="00595156"/>
    <w:rsid w:val="005957B9"/>
    <w:rsid w:val="005957D6"/>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ACD"/>
    <w:rsid w:val="005A1DAB"/>
    <w:rsid w:val="005A1F74"/>
    <w:rsid w:val="005A22F7"/>
    <w:rsid w:val="005A2593"/>
    <w:rsid w:val="005A3196"/>
    <w:rsid w:val="005A339E"/>
    <w:rsid w:val="005A3757"/>
    <w:rsid w:val="005A3FD0"/>
    <w:rsid w:val="005A408B"/>
    <w:rsid w:val="005A4B38"/>
    <w:rsid w:val="005A4CE3"/>
    <w:rsid w:val="005A566A"/>
    <w:rsid w:val="005A6F80"/>
    <w:rsid w:val="005A7215"/>
    <w:rsid w:val="005A726F"/>
    <w:rsid w:val="005A782E"/>
    <w:rsid w:val="005A793B"/>
    <w:rsid w:val="005A79AE"/>
    <w:rsid w:val="005B1142"/>
    <w:rsid w:val="005B2054"/>
    <w:rsid w:val="005B2607"/>
    <w:rsid w:val="005B26FD"/>
    <w:rsid w:val="005B429E"/>
    <w:rsid w:val="005B44D0"/>
    <w:rsid w:val="005B4C55"/>
    <w:rsid w:val="005B4CD8"/>
    <w:rsid w:val="005B5B11"/>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373"/>
    <w:rsid w:val="005C75CC"/>
    <w:rsid w:val="005C778A"/>
    <w:rsid w:val="005C794A"/>
    <w:rsid w:val="005C7B1F"/>
    <w:rsid w:val="005D03DC"/>
    <w:rsid w:val="005D107D"/>
    <w:rsid w:val="005D12BF"/>
    <w:rsid w:val="005D14E9"/>
    <w:rsid w:val="005D1563"/>
    <w:rsid w:val="005D16F8"/>
    <w:rsid w:val="005D1B75"/>
    <w:rsid w:val="005D1C71"/>
    <w:rsid w:val="005D21A6"/>
    <w:rsid w:val="005D24F9"/>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5A6"/>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A97"/>
    <w:rsid w:val="005F4E85"/>
    <w:rsid w:val="005F546F"/>
    <w:rsid w:val="005F5479"/>
    <w:rsid w:val="005F5B32"/>
    <w:rsid w:val="005F66DC"/>
    <w:rsid w:val="005F6868"/>
    <w:rsid w:val="005F6E3E"/>
    <w:rsid w:val="005F731B"/>
    <w:rsid w:val="006002D9"/>
    <w:rsid w:val="0060060D"/>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CC5"/>
    <w:rsid w:val="00606F86"/>
    <w:rsid w:val="00607141"/>
    <w:rsid w:val="00607B23"/>
    <w:rsid w:val="00607E93"/>
    <w:rsid w:val="00610159"/>
    <w:rsid w:val="0061023E"/>
    <w:rsid w:val="0061061E"/>
    <w:rsid w:val="00610EB2"/>
    <w:rsid w:val="00611189"/>
    <w:rsid w:val="00611AD0"/>
    <w:rsid w:val="006125C5"/>
    <w:rsid w:val="0061278B"/>
    <w:rsid w:val="006144BB"/>
    <w:rsid w:val="00615CB3"/>
    <w:rsid w:val="00616900"/>
    <w:rsid w:val="00616ACC"/>
    <w:rsid w:val="00616B2A"/>
    <w:rsid w:val="006173B8"/>
    <w:rsid w:val="0061744E"/>
    <w:rsid w:val="0061799E"/>
    <w:rsid w:val="00617CDA"/>
    <w:rsid w:val="006204AA"/>
    <w:rsid w:val="006204D9"/>
    <w:rsid w:val="006205AD"/>
    <w:rsid w:val="00621323"/>
    <w:rsid w:val="00621934"/>
    <w:rsid w:val="00621972"/>
    <w:rsid w:val="00622007"/>
    <w:rsid w:val="00622D41"/>
    <w:rsid w:val="00623D94"/>
    <w:rsid w:val="00623F1D"/>
    <w:rsid w:val="00624D93"/>
    <w:rsid w:val="006254B1"/>
    <w:rsid w:val="00627051"/>
    <w:rsid w:val="00627058"/>
    <w:rsid w:val="00630007"/>
    <w:rsid w:val="006305AE"/>
    <w:rsid w:val="00630940"/>
    <w:rsid w:val="00630B6A"/>
    <w:rsid w:val="006312F7"/>
    <w:rsid w:val="0063189E"/>
    <w:rsid w:val="006320CB"/>
    <w:rsid w:val="00632656"/>
    <w:rsid w:val="00632CD4"/>
    <w:rsid w:val="00632EDC"/>
    <w:rsid w:val="00632F67"/>
    <w:rsid w:val="0063315B"/>
    <w:rsid w:val="006331F2"/>
    <w:rsid w:val="00633602"/>
    <w:rsid w:val="006345ED"/>
    <w:rsid w:val="006345EE"/>
    <w:rsid w:val="00634903"/>
    <w:rsid w:val="00634D1D"/>
    <w:rsid w:val="006356A0"/>
    <w:rsid w:val="00636403"/>
    <w:rsid w:val="00637324"/>
    <w:rsid w:val="00640005"/>
    <w:rsid w:val="0064043A"/>
    <w:rsid w:val="0064099A"/>
    <w:rsid w:val="00640DBD"/>
    <w:rsid w:val="00641758"/>
    <w:rsid w:val="00641DF1"/>
    <w:rsid w:val="0064243B"/>
    <w:rsid w:val="00642B83"/>
    <w:rsid w:val="0064341D"/>
    <w:rsid w:val="006450A9"/>
    <w:rsid w:val="00645164"/>
    <w:rsid w:val="00645C48"/>
    <w:rsid w:val="006469A2"/>
    <w:rsid w:val="00646AB8"/>
    <w:rsid w:val="00646D0D"/>
    <w:rsid w:val="006471F9"/>
    <w:rsid w:val="006475A7"/>
    <w:rsid w:val="0064782E"/>
    <w:rsid w:val="00650651"/>
    <w:rsid w:val="00650691"/>
    <w:rsid w:val="006507E9"/>
    <w:rsid w:val="00650822"/>
    <w:rsid w:val="00650A98"/>
    <w:rsid w:val="00650AAB"/>
    <w:rsid w:val="00651C2B"/>
    <w:rsid w:val="00652863"/>
    <w:rsid w:val="0065290E"/>
    <w:rsid w:val="00652921"/>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B9D"/>
    <w:rsid w:val="00662B82"/>
    <w:rsid w:val="00662E8A"/>
    <w:rsid w:val="00663136"/>
    <w:rsid w:val="00663BB8"/>
    <w:rsid w:val="00663F9C"/>
    <w:rsid w:val="00664085"/>
    <w:rsid w:val="0066419D"/>
    <w:rsid w:val="0066434A"/>
    <w:rsid w:val="00664464"/>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E7B"/>
    <w:rsid w:val="00670ECD"/>
    <w:rsid w:val="00671EB9"/>
    <w:rsid w:val="00672482"/>
    <w:rsid w:val="0067279A"/>
    <w:rsid w:val="00672E50"/>
    <w:rsid w:val="00673BA6"/>
    <w:rsid w:val="00673BEE"/>
    <w:rsid w:val="006740EF"/>
    <w:rsid w:val="006746D0"/>
    <w:rsid w:val="0067478F"/>
    <w:rsid w:val="00675115"/>
    <w:rsid w:val="00675FA0"/>
    <w:rsid w:val="00676279"/>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AA3"/>
    <w:rsid w:val="006B3C7C"/>
    <w:rsid w:val="006B3E1A"/>
    <w:rsid w:val="006B3F37"/>
    <w:rsid w:val="006B4EB7"/>
    <w:rsid w:val="006B51B9"/>
    <w:rsid w:val="006B75B6"/>
    <w:rsid w:val="006B7772"/>
    <w:rsid w:val="006B7B40"/>
    <w:rsid w:val="006C0484"/>
    <w:rsid w:val="006C05A9"/>
    <w:rsid w:val="006C0A0F"/>
    <w:rsid w:val="006C1643"/>
    <w:rsid w:val="006C179E"/>
    <w:rsid w:val="006C183B"/>
    <w:rsid w:val="006C1850"/>
    <w:rsid w:val="006C3AB5"/>
    <w:rsid w:val="006C4022"/>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348B"/>
    <w:rsid w:val="006D3522"/>
    <w:rsid w:val="006D3530"/>
    <w:rsid w:val="006D3751"/>
    <w:rsid w:val="006D4415"/>
    <w:rsid w:val="006D47F4"/>
    <w:rsid w:val="006D5683"/>
    <w:rsid w:val="006D60C9"/>
    <w:rsid w:val="006D7B59"/>
    <w:rsid w:val="006D7EAC"/>
    <w:rsid w:val="006E046B"/>
    <w:rsid w:val="006E0E44"/>
    <w:rsid w:val="006E17E8"/>
    <w:rsid w:val="006E1A47"/>
    <w:rsid w:val="006E2B76"/>
    <w:rsid w:val="006E37B2"/>
    <w:rsid w:val="006E39CD"/>
    <w:rsid w:val="006E3F38"/>
    <w:rsid w:val="006E4AB1"/>
    <w:rsid w:val="006E54D2"/>
    <w:rsid w:val="006E566E"/>
    <w:rsid w:val="006E5756"/>
    <w:rsid w:val="006E630E"/>
    <w:rsid w:val="006E6B34"/>
    <w:rsid w:val="006E737E"/>
    <w:rsid w:val="006E7887"/>
    <w:rsid w:val="006E7CBD"/>
    <w:rsid w:val="006F003B"/>
    <w:rsid w:val="006F0301"/>
    <w:rsid w:val="006F15A9"/>
    <w:rsid w:val="006F27E3"/>
    <w:rsid w:val="006F28FB"/>
    <w:rsid w:val="006F316D"/>
    <w:rsid w:val="006F3806"/>
    <w:rsid w:val="006F39CD"/>
    <w:rsid w:val="006F3DAA"/>
    <w:rsid w:val="006F3E1E"/>
    <w:rsid w:val="006F50BC"/>
    <w:rsid w:val="006F5642"/>
    <w:rsid w:val="006F58F2"/>
    <w:rsid w:val="006F61C1"/>
    <w:rsid w:val="006F63EF"/>
    <w:rsid w:val="006F647C"/>
    <w:rsid w:val="006F670D"/>
    <w:rsid w:val="006F6DAF"/>
    <w:rsid w:val="006F7DDF"/>
    <w:rsid w:val="00700123"/>
    <w:rsid w:val="007004A0"/>
    <w:rsid w:val="007004CE"/>
    <w:rsid w:val="00700D03"/>
    <w:rsid w:val="0070109F"/>
    <w:rsid w:val="00701447"/>
    <w:rsid w:val="007016D3"/>
    <w:rsid w:val="00701842"/>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F45"/>
    <w:rsid w:val="00706FCE"/>
    <w:rsid w:val="00707892"/>
    <w:rsid w:val="007103E2"/>
    <w:rsid w:val="007104DD"/>
    <w:rsid w:val="00710889"/>
    <w:rsid w:val="00710B4F"/>
    <w:rsid w:val="00711196"/>
    <w:rsid w:val="00711B3F"/>
    <w:rsid w:val="007121B4"/>
    <w:rsid w:val="007125D5"/>
    <w:rsid w:val="00712886"/>
    <w:rsid w:val="00712D7E"/>
    <w:rsid w:val="0071424A"/>
    <w:rsid w:val="00714306"/>
    <w:rsid w:val="007150D4"/>
    <w:rsid w:val="007156CB"/>
    <w:rsid w:val="00717844"/>
    <w:rsid w:val="0071786A"/>
    <w:rsid w:val="00717B75"/>
    <w:rsid w:val="00717ECB"/>
    <w:rsid w:val="00717FE8"/>
    <w:rsid w:val="00720220"/>
    <w:rsid w:val="007202B7"/>
    <w:rsid w:val="007203E3"/>
    <w:rsid w:val="00720C72"/>
    <w:rsid w:val="007213E4"/>
    <w:rsid w:val="0072163E"/>
    <w:rsid w:val="00721AD1"/>
    <w:rsid w:val="00721B12"/>
    <w:rsid w:val="00721E35"/>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705"/>
    <w:rsid w:val="00732773"/>
    <w:rsid w:val="00732EBC"/>
    <w:rsid w:val="00733672"/>
    <w:rsid w:val="0073379C"/>
    <w:rsid w:val="00733A82"/>
    <w:rsid w:val="00733FFC"/>
    <w:rsid w:val="00734122"/>
    <w:rsid w:val="0073414D"/>
    <w:rsid w:val="00734289"/>
    <w:rsid w:val="007345C7"/>
    <w:rsid w:val="00735046"/>
    <w:rsid w:val="00735263"/>
    <w:rsid w:val="00735626"/>
    <w:rsid w:val="00735C2D"/>
    <w:rsid w:val="00736733"/>
    <w:rsid w:val="00736D4A"/>
    <w:rsid w:val="00736FEE"/>
    <w:rsid w:val="007371A6"/>
    <w:rsid w:val="00737264"/>
    <w:rsid w:val="00737308"/>
    <w:rsid w:val="00737BA6"/>
    <w:rsid w:val="00737CD1"/>
    <w:rsid w:val="0074090A"/>
    <w:rsid w:val="007409B2"/>
    <w:rsid w:val="00740DDE"/>
    <w:rsid w:val="00740FB1"/>
    <w:rsid w:val="00741510"/>
    <w:rsid w:val="00743ADC"/>
    <w:rsid w:val="00744416"/>
    <w:rsid w:val="0074442C"/>
    <w:rsid w:val="00744493"/>
    <w:rsid w:val="00744C97"/>
    <w:rsid w:val="00745A19"/>
    <w:rsid w:val="007462EC"/>
    <w:rsid w:val="00746589"/>
    <w:rsid w:val="0074663B"/>
    <w:rsid w:val="007500E5"/>
    <w:rsid w:val="00750647"/>
    <w:rsid w:val="0075090A"/>
    <w:rsid w:val="00750B94"/>
    <w:rsid w:val="00750F63"/>
    <w:rsid w:val="00751195"/>
    <w:rsid w:val="007522AF"/>
    <w:rsid w:val="007533C9"/>
    <w:rsid w:val="007539CB"/>
    <w:rsid w:val="007544A9"/>
    <w:rsid w:val="007549F4"/>
    <w:rsid w:val="00755D9A"/>
    <w:rsid w:val="00756B31"/>
    <w:rsid w:val="00757425"/>
    <w:rsid w:val="007604D5"/>
    <w:rsid w:val="007605E5"/>
    <w:rsid w:val="007615F8"/>
    <w:rsid w:val="00761AC8"/>
    <w:rsid w:val="0076206F"/>
    <w:rsid w:val="00762CF0"/>
    <w:rsid w:val="007632E0"/>
    <w:rsid w:val="0076362F"/>
    <w:rsid w:val="00763C1F"/>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F75"/>
    <w:rsid w:val="007762CD"/>
    <w:rsid w:val="0077650F"/>
    <w:rsid w:val="00776987"/>
    <w:rsid w:val="00777290"/>
    <w:rsid w:val="007777F7"/>
    <w:rsid w:val="00777920"/>
    <w:rsid w:val="00780273"/>
    <w:rsid w:val="007805AB"/>
    <w:rsid w:val="00780956"/>
    <w:rsid w:val="0078233F"/>
    <w:rsid w:val="00782D8F"/>
    <w:rsid w:val="00782F00"/>
    <w:rsid w:val="00782FC5"/>
    <w:rsid w:val="0078357E"/>
    <w:rsid w:val="0078385A"/>
    <w:rsid w:val="007838F1"/>
    <w:rsid w:val="007839E7"/>
    <w:rsid w:val="007841FF"/>
    <w:rsid w:val="007846C1"/>
    <w:rsid w:val="00785009"/>
    <w:rsid w:val="00785E26"/>
    <w:rsid w:val="00785EFF"/>
    <w:rsid w:val="007864E5"/>
    <w:rsid w:val="00786824"/>
    <w:rsid w:val="0078724C"/>
    <w:rsid w:val="00787C9D"/>
    <w:rsid w:val="007906CA"/>
    <w:rsid w:val="007910B0"/>
    <w:rsid w:val="00791503"/>
    <w:rsid w:val="0079220D"/>
    <w:rsid w:val="00792A53"/>
    <w:rsid w:val="00793278"/>
    <w:rsid w:val="007934D4"/>
    <w:rsid w:val="0079374C"/>
    <w:rsid w:val="007938D1"/>
    <w:rsid w:val="007939BD"/>
    <w:rsid w:val="00793C16"/>
    <w:rsid w:val="00793F4D"/>
    <w:rsid w:val="00793FBD"/>
    <w:rsid w:val="00795610"/>
    <w:rsid w:val="00795792"/>
    <w:rsid w:val="00796287"/>
    <w:rsid w:val="00796AC3"/>
    <w:rsid w:val="00796C5E"/>
    <w:rsid w:val="0079775B"/>
    <w:rsid w:val="007A0692"/>
    <w:rsid w:val="007A0B62"/>
    <w:rsid w:val="007A108D"/>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4CE2"/>
    <w:rsid w:val="007A538A"/>
    <w:rsid w:val="007A57AE"/>
    <w:rsid w:val="007A6A6B"/>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123C"/>
    <w:rsid w:val="007C1DC9"/>
    <w:rsid w:val="007C20FE"/>
    <w:rsid w:val="007C2678"/>
    <w:rsid w:val="007C282E"/>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282A"/>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4A5"/>
    <w:rsid w:val="007F76B6"/>
    <w:rsid w:val="0080009A"/>
    <w:rsid w:val="00800120"/>
    <w:rsid w:val="008001B8"/>
    <w:rsid w:val="00800599"/>
    <w:rsid w:val="0080073F"/>
    <w:rsid w:val="008011BE"/>
    <w:rsid w:val="0080143D"/>
    <w:rsid w:val="00801CB1"/>
    <w:rsid w:val="00802AA7"/>
    <w:rsid w:val="00802B6F"/>
    <w:rsid w:val="00802C7C"/>
    <w:rsid w:val="00803108"/>
    <w:rsid w:val="00803970"/>
    <w:rsid w:val="008039D0"/>
    <w:rsid w:val="00803ACE"/>
    <w:rsid w:val="00803EB7"/>
    <w:rsid w:val="008040BB"/>
    <w:rsid w:val="008041C2"/>
    <w:rsid w:val="008046E2"/>
    <w:rsid w:val="008054B3"/>
    <w:rsid w:val="00805B99"/>
    <w:rsid w:val="00806E9B"/>
    <w:rsid w:val="00807090"/>
    <w:rsid w:val="0080733C"/>
    <w:rsid w:val="00807926"/>
    <w:rsid w:val="00807A15"/>
    <w:rsid w:val="00807AB5"/>
    <w:rsid w:val="00807EEA"/>
    <w:rsid w:val="008100A2"/>
    <w:rsid w:val="008107F5"/>
    <w:rsid w:val="00810E30"/>
    <w:rsid w:val="00810ED7"/>
    <w:rsid w:val="008138D8"/>
    <w:rsid w:val="00813AEB"/>
    <w:rsid w:val="00814CAD"/>
    <w:rsid w:val="00815163"/>
    <w:rsid w:val="00815424"/>
    <w:rsid w:val="0081587D"/>
    <w:rsid w:val="00815AF2"/>
    <w:rsid w:val="008163C7"/>
    <w:rsid w:val="00816907"/>
    <w:rsid w:val="00816E46"/>
    <w:rsid w:val="008171B1"/>
    <w:rsid w:val="00817D96"/>
    <w:rsid w:val="00817E73"/>
    <w:rsid w:val="00817F9A"/>
    <w:rsid w:val="008227FA"/>
    <w:rsid w:val="008229A2"/>
    <w:rsid w:val="00823667"/>
    <w:rsid w:val="00823C3A"/>
    <w:rsid w:val="0082443D"/>
    <w:rsid w:val="008246FE"/>
    <w:rsid w:val="00824792"/>
    <w:rsid w:val="00824A9E"/>
    <w:rsid w:val="00825EA0"/>
    <w:rsid w:val="00825F58"/>
    <w:rsid w:val="008268CF"/>
    <w:rsid w:val="008270EE"/>
    <w:rsid w:val="00827497"/>
    <w:rsid w:val="00827D53"/>
    <w:rsid w:val="0083026B"/>
    <w:rsid w:val="0083147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BBA"/>
    <w:rsid w:val="00842D41"/>
    <w:rsid w:val="00843029"/>
    <w:rsid w:val="008430CB"/>
    <w:rsid w:val="00843420"/>
    <w:rsid w:val="00843B5D"/>
    <w:rsid w:val="008447C7"/>
    <w:rsid w:val="008447D4"/>
    <w:rsid w:val="00844FEB"/>
    <w:rsid w:val="0084506C"/>
    <w:rsid w:val="008454BD"/>
    <w:rsid w:val="0084562F"/>
    <w:rsid w:val="00845BE7"/>
    <w:rsid w:val="008462BA"/>
    <w:rsid w:val="008463F3"/>
    <w:rsid w:val="00846D76"/>
    <w:rsid w:val="0085005F"/>
    <w:rsid w:val="0085062F"/>
    <w:rsid w:val="0085117E"/>
    <w:rsid w:val="00851307"/>
    <w:rsid w:val="008515B1"/>
    <w:rsid w:val="00851789"/>
    <w:rsid w:val="00851F92"/>
    <w:rsid w:val="00852508"/>
    <w:rsid w:val="00852E5B"/>
    <w:rsid w:val="00853677"/>
    <w:rsid w:val="008537EC"/>
    <w:rsid w:val="00853ACD"/>
    <w:rsid w:val="00853ACF"/>
    <w:rsid w:val="00853F1F"/>
    <w:rsid w:val="008544D3"/>
    <w:rsid w:val="00855143"/>
    <w:rsid w:val="008551EE"/>
    <w:rsid w:val="008558A1"/>
    <w:rsid w:val="0085642F"/>
    <w:rsid w:val="0085649E"/>
    <w:rsid w:val="00856A38"/>
    <w:rsid w:val="008573AF"/>
    <w:rsid w:val="00857645"/>
    <w:rsid w:val="00857D80"/>
    <w:rsid w:val="008602FC"/>
    <w:rsid w:val="008606F1"/>
    <w:rsid w:val="00860989"/>
    <w:rsid w:val="00860CF9"/>
    <w:rsid w:val="00861BF1"/>
    <w:rsid w:val="008622D3"/>
    <w:rsid w:val="0086268A"/>
    <w:rsid w:val="00863516"/>
    <w:rsid w:val="008639A2"/>
    <w:rsid w:val="00863BBB"/>
    <w:rsid w:val="0086401E"/>
    <w:rsid w:val="008640FD"/>
    <w:rsid w:val="0086426C"/>
    <w:rsid w:val="0086445F"/>
    <w:rsid w:val="008646E1"/>
    <w:rsid w:val="0086564F"/>
    <w:rsid w:val="00865681"/>
    <w:rsid w:val="00866618"/>
    <w:rsid w:val="00866DF4"/>
    <w:rsid w:val="0086703D"/>
    <w:rsid w:val="00867B6B"/>
    <w:rsid w:val="00870AFC"/>
    <w:rsid w:val="00870AFD"/>
    <w:rsid w:val="00871452"/>
    <w:rsid w:val="008715CC"/>
    <w:rsid w:val="00872039"/>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BD8"/>
    <w:rsid w:val="00887CD9"/>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E5A"/>
    <w:rsid w:val="0089601F"/>
    <w:rsid w:val="008960C3"/>
    <w:rsid w:val="008973F5"/>
    <w:rsid w:val="00897502"/>
    <w:rsid w:val="00897855"/>
    <w:rsid w:val="008A0E63"/>
    <w:rsid w:val="008A1450"/>
    <w:rsid w:val="008A15A7"/>
    <w:rsid w:val="008A173F"/>
    <w:rsid w:val="008A1EFD"/>
    <w:rsid w:val="008A238A"/>
    <w:rsid w:val="008A2790"/>
    <w:rsid w:val="008A29A3"/>
    <w:rsid w:val="008A2C5D"/>
    <w:rsid w:val="008A33B4"/>
    <w:rsid w:val="008A3B87"/>
    <w:rsid w:val="008A3C32"/>
    <w:rsid w:val="008A3EE7"/>
    <w:rsid w:val="008A42CE"/>
    <w:rsid w:val="008A4680"/>
    <w:rsid w:val="008A473D"/>
    <w:rsid w:val="008A4D37"/>
    <w:rsid w:val="008A4F57"/>
    <w:rsid w:val="008A52CE"/>
    <w:rsid w:val="008A574C"/>
    <w:rsid w:val="008A582A"/>
    <w:rsid w:val="008A6A25"/>
    <w:rsid w:val="008B0968"/>
    <w:rsid w:val="008B0BA7"/>
    <w:rsid w:val="008B190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779"/>
    <w:rsid w:val="008C196C"/>
    <w:rsid w:val="008C1C57"/>
    <w:rsid w:val="008C1DC1"/>
    <w:rsid w:val="008C28B3"/>
    <w:rsid w:val="008C2A2B"/>
    <w:rsid w:val="008C3591"/>
    <w:rsid w:val="008C3A88"/>
    <w:rsid w:val="008C3AC1"/>
    <w:rsid w:val="008C3C11"/>
    <w:rsid w:val="008C4EB8"/>
    <w:rsid w:val="008C51A8"/>
    <w:rsid w:val="008C5357"/>
    <w:rsid w:val="008C5856"/>
    <w:rsid w:val="008C5CB4"/>
    <w:rsid w:val="008C61B0"/>
    <w:rsid w:val="008C6911"/>
    <w:rsid w:val="008C692A"/>
    <w:rsid w:val="008C6FD3"/>
    <w:rsid w:val="008C70EB"/>
    <w:rsid w:val="008C7FA7"/>
    <w:rsid w:val="008D07F1"/>
    <w:rsid w:val="008D0C0E"/>
    <w:rsid w:val="008D155D"/>
    <w:rsid w:val="008D15E6"/>
    <w:rsid w:val="008D217D"/>
    <w:rsid w:val="008D229E"/>
    <w:rsid w:val="008D24C5"/>
    <w:rsid w:val="008D36D2"/>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572"/>
    <w:rsid w:val="008E16F9"/>
    <w:rsid w:val="008E1CA4"/>
    <w:rsid w:val="008E2BCC"/>
    <w:rsid w:val="008E2D38"/>
    <w:rsid w:val="008E2ED0"/>
    <w:rsid w:val="008E38C7"/>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E4D"/>
    <w:rsid w:val="009030CA"/>
    <w:rsid w:val="00903424"/>
    <w:rsid w:val="00903806"/>
    <w:rsid w:val="00904173"/>
    <w:rsid w:val="00904206"/>
    <w:rsid w:val="00904BDA"/>
    <w:rsid w:val="00904CF7"/>
    <w:rsid w:val="0090507E"/>
    <w:rsid w:val="00905456"/>
    <w:rsid w:val="0090581C"/>
    <w:rsid w:val="00905829"/>
    <w:rsid w:val="00905F98"/>
    <w:rsid w:val="0090621C"/>
    <w:rsid w:val="00906618"/>
    <w:rsid w:val="00906B8C"/>
    <w:rsid w:val="00906C4A"/>
    <w:rsid w:val="00907FD2"/>
    <w:rsid w:val="0091035E"/>
    <w:rsid w:val="009104A4"/>
    <w:rsid w:val="00910866"/>
    <w:rsid w:val="0091103D"/>
    <w:rsid w:val="009110AD"/>
    <w:rsid w:val="009111CC"/>
    <w:rsid w:val="009114FF"/>
    <w:rsid w:val="00911A79"/>
    <w:rsid w:val="00911B90"/>
    <w:rsid w:val="00911D8B"/>
    <w:rsid w:val="009120B1"/>
    <w:rsid w:val="009127CC"/>
    <w:rsid w:val="00912AAF"/>
    <w:rsid w:val="00912B65"/>
    <w:rsid w:val="00914BFE"/>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5C9"/>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4EE"/>
    <w:rsid w:val="00934790"/>
    <w:rsid w:val="00935140"/>
    <w:rsid w:val="009352C5"/>
    <w:rsid w:val="00935534"/>
    <w:rsid w:val="0093562F"/>
    <w:rsid w:val="00935978"/>
    <w:rsid w:val="00935F61"/>
    <w:rsid w:val="009360BB"/>
    <w:rsid w:val="00936B1F"/>
    <w:rsid w:val="00937808"/>
    <w:rsid w:val="009379F0"/>
    <w:rsid w:val="00937A67"/>
    <w:rsid w:val="00937EA2"/>
    <w:rsid w:val="009405BC"/>
    <w:rsid w:val="0094144F"/>
    <w:rsid w:val="00942B2E"/>
    <w:rsid w:val="00942D0E"/>
    <w:rsid w:val="00943238"/>
    <w:rsid w:val="0094352D"/>
    <w:rsid w:val="00943CFE"/>
    <w:rsid w:val="00943F96"/>
    <w:rsid w:val="00943FA2"/>
    <w:rsid w:val="0094494D"/>
    <w:rsid w:val="00944E59"/>
    <w:rsid w:val="00945240"/>
    <w:rsid w:val="00945401"/>
    <w:rsid w:val="009459F4"/>
    <w:rsid w:val="00945ABE"/>
    <w:rsid w:val="00945E58"/>
    <w:rsid w:val="00946127"/>
    <w:rsid w:val="00946907"/>
    <w:rsid w:val="00946E16"/>
    <w:rsid w:val="00947BDE"/>
    <w:rsid w:val="00950CAE"/>
    <w:rsid w:val="009512EC"/>
    <w:rsid w:val="00951992"/>
    <w:rsid w:val="009519A8"/>
    <w:rsid w:val="009522DE"/>
    <w:rsid w:val="0095234A"/>
    <w:rsid w:val="009524FE"/>
    <w:rsid w:val="00952A5C"/>
    <w:rsid w:val="0095315A"/>
    <w:rsid w:val="009532F2"/>
    <w:rsid w:val="009534DD"/>
    <w:rsid w:val="009535C2"/>
    <w:rsid w:val="00953A73"/>
    <w:rsid w:val="00954C5A"/>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3E7"/>
    <w:rsid w:val="009666BD"/>
    <w:rsid w:val="00966AC9"/>
    <w:rsid w:val="00966BFB"/>
    <w:rsid w:val="0096720E"/>
    <w:rsid w:val="00967CDA"/>
    <w:rsid w:val="00970048"/>
    <w:rsid w:val="00970278"/>
    <w:rsid w:val="009712BF"/>
    <w:rsid w:val="00971831"/>
    <w:rsid w:val="00971B0F"/>
    <w:rsid w:val="0097216D"/>
    <w:rsid w:val="00972486"/>
    <w:rsid w:val="00972D8F"/>
    <w:rsid w:val="00973C2B"/>
    <w:rsid w:val="0097437B"/>
    <w:rsid w:val="0097441E"/>
    <w:rsid w:val="0097517A"/>
    <w:rsid w:val="00975AEC"/>
    <w:rsid w:val="00975FB0"/>
    <w:rsid w:val="009762C7"/>
    <w:rsid w:val="0097670F"/>
    <w:rsid w:val="00976C61"/>
    <w:rsid w:val="00976ECA"/>
    <w:rsid w:val="00977532"/>
    <w:rsid w:val="009803EC"/>
    <w:rsid w:val="009807F0"/>
    <w:rsid w:val="00981215"/>
    <w:rsid w:val="009812FC"/>
    <w:rsid w:val="009813BF"/>
    <w:rsid w:val="009819CD"/>
    <w:rsid w:val="0098256C"/>
    <w:rsid w:val="00982C0D"/>
    <w:rsid w:val="00982E78"/>
    <w:rsid w:val="009832BE"/>
    <w:rsid w:val="00983D98"/>
    <w:rsid w:val="009844B4"/>
    <w:rsid w:val="0098453B"/>
    <w:rsid w:val="00984D82"/>
    <w:rsid w:val="0098572B"/>
    <w:rsid w:val="00985CDA"/>
    <w:rsid w:val="00985EE7"/>
    <w:rsid w:val="0098603A"/>
    <w:rsid w:val="00986137"/>
    <w:rsid w:val="00986B96"/>
    <w:rsid w:val="0098740B"/>
    <w:rsid w:val="00987C6F"/>
    <w:rsid w:val="00987D19"/>
    <w:rsid w:val="0099018C"/>
    <w:rsid w:val="00990549"/>
    <w:rsid w:val="00990708"/>
    <w:rsid w:val="0099078A"/>
    <w:rsid w:val="00990A3C"/>
    <w:rsid w:val="00990B18"/>
    <w:rsid w:val="00990C3D"/>
    <w:rsid w:val="0099147C"/>
    <w:rsid w:val="00991603"/>
    <w:rsid w:val="0099199D"/>
    <w:rsid w:val="00991B9A"/>
    <w:rsid w:val="00991C09"/>
    <w:rsid w:val="00992A25"/>
    <w:rsid w:val="00992EA9"/>
    <w:rsid w:val="00993499"/>
    <w:rsid w:val="009934DB"/>
    <w:rsid w:val="009939CB"/>
    <w:rsid w:val="00993D95"/>
    <w:rsid w:val="00994014"/>
    <w:rsid w:val="00994664"/>
    <w:rsid w:val="009948FE"/>
    <w:rsid w:val="009956CC"/>
    <w:rsid w:val="00995756"/>
    <w:rsid w:val="00996604"/>
    <w:rsid w:val="00996DAB"/>
    <w:rsid w:val="00997125"/>
    <w:rsid w:val="00997330"/>
    <w:rsid w:val="00997582"/>
    <w:rsid w:val="009A0208"/>
    <w:rsid w:val="009A0648"/>
    <w:rsid w:val="009A0B05"/>
    <w:rsid w:val="009A1B80"/>
    <w:rsid w:val="009A21EE"/>
    <w:rsid w:val="009A253B"/>
    <w:rsid w:val="009A3C6E"/>
    <w:rsid w:val="009A4973"/>
    <w:rsid w:val="009A5917"/>
    <w:rsid w:val="009A640C"/>
    <w:rsid w:val="009A68E7"/>
    <w:rsid w:val="009A6A04"/>
    <w:rsid w:val="009A6A34"/>
    <w:rsid w:val="009A78A6"/>
    <w:rsid w:val="009A7B46"/>
    <w:rsid w:val="009B01AE"/>
    <w:rsid w:val="009B04F2"/>
    <w:rsid w:val="009B0A43"/>
    <w:rsid w:val="009B0EEC"/>
    <w:rsid w:val="009B123D"/>
    <w:rsid w:val="009B1323"/>
    <w:rsid w:val="009B1C1B"/>
    <w:rsid w:val="009B1E55"/>
    <w:rsid w:val="009B2E60"/>
    <w:rsid w:val="009B35BF"/>
    <w:rsid w:val="009B4C3E"/>
    <w:rsid w:val="009B4D2F"/>
    <w:rsid w:val="009B5038"/>
    <w:rsid w:val="009B5157"/>
    <w:rsid w:val="009B56BE"/>
    <w:rsid w:val="009B573C"/>
    <w:rsid w:val="009B583F"/>
    <w:rsid w:val="009B5B43"/>
    <w:rsid w:val="009B5DB6"/>
    <w:rsid w:val="009B604A"/>
    <w:rsid w:val="009B65A5"/>
    <w:rsid w:val="009B6E0F"/>
    <w:rsid w:val="009B71D8"/>
    <w:rsid w:val="009B7356"/>
    <w:rsid w:val="009B7A8A"/>
    <w:rsid w:val="009C0978"/>
    <w:rsid w:val="009C099B"/>
    <w:rsid w:val="009C0AA5"/>
    <w:rsid w:val="009C0B86"/>
    <w:rsid w:val="009C1ADB"/>
    <w:rsid w:val="009C37BF"/>
    <w:rsid w:val="009C398A"/>
    <w:rsid w:val="009C4676"/>
    <w:rsid w:val="009C4FAC"/>
    <w:rsid w:val="009C5CCF"/>
    <w:rsid w:val="009C5FC3"/>
    <w:rsid w:val="009C60E9"/>
    <w:rsid w:val="009C6629"/>
    <w:rsid w:val="009C75A7"/>
    <w:rsid w:val="009C7896"/>
    <w:rsid w:val="009D0292"/>
    <w:rsid w:val="009D0530"/>
    <w:rsid w:val="009D0C23"/>
    <w:rsid w:val="009D0CF4"/>
    <w:rsid w:val="009D0D52"/>
    <w:rsid w:val="009D11A1"/>
    <w:rsid w:val="009D140A"/>
    <w:rsid w:val="009D1A74"/>
    <w:rsid w:val="009D21ED"/>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908"/>
    <w:rsid w:val="009E2011"/>
    <w:rsid w:val="009E233D"/>
    <w:rsid w:val="009E239F"/>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4DE"/>
    <w:rsid w:val="009E7BCD"/>
    <w:rsid w:val="009F012F"/>
    <w:rsid w:val="009F0316"/>
    <w:rsid w:val="009F05AC"/>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6E40"/>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C0A"/>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B28"/>
    <w:rsid w:val="00A12DF2"/>
    <w:rsid w:val="00A13EAB"/>
    <w:rsid w:val="00A162DF"/>
    <w:rsid w:val="00A16324"/>
    <w:rsid w:val="00A17013"/>
    <w:rsid w:val="00A17AF1"/>
    <w:rsid w:val="00A17B4D"/>
    <w:rsid w:val="00A17B91"/>
    <w:rsid w:val="00A17B99"/>
    <w:rsid w:val="00A20220"/>
    <w:rsid w:val="00A20CAE"/>
    <w:rsid w:val="00A2107F"/>
    <w:rsid w:val="00A2146D"/>
    <w:rsid w:val="00A21665"/>
    <w:rsid w:val="00A216BF"/>
    <w:rsid w:val="00A21C7C"/>
    <w:rsid w:val="00A23269"/>
    <w:rsid w:val="00A233B1"/>
    <w:rsid w:val="00A23F95"/>
    <w:rsid w:val="00A2491C"/>
    <w:rsid w:val="00A24E61"/>
    <w:rsid w:val="00A25E6E"/>
    <w:rsid w:val="00A26462"/>
    <w:rsid w:val="00A26700"/>
    <w:rsid w:val="00A2670F"/>
    <w:rsid w:val="00A26B21"/>
    <w:rsid w:val="00A274E2"/>
    <w:rsid w:val="00A27F1C"/>
    <w:rsid w:val="00A309AC"/>
    <w:rsid w:val="00A30B97"/>
    <w:rsid w:val="00A30BDB"/>
    <w:rsid w:val="00A31193"/>
    <w:rsid w:val="00A312FC"/>
    <w:rsid w:val="00A31721"/>
    <w:rsid w:val="00A31F4F"/>
    <w:rsid w:val="00A31F9A"/>
    <w:rsid w:val="00A3288D"/>
    <w:rsid w:val="00A3307A"/>
    <w:rsid w:val="00A3466E"/>
    <w:rsid w:val="00A34BDA"/>
    <w:rsid w:val="00A34F8F"/>
    <w:rsid w:val="00A352BD"/>
    <w:rsid w:val="00A358DC"/>
    <w:rsid w:val="00A362FE"/>
    <w:rsid w:val="00A36A2B"/>
    <w:rsid w:val="00A37A0B"/>
    <w:rsid w:val="00A40342"/>
    <w:rsid w:val="00A4164A"/>
    <w:rsid w:val="00A417B2"/>
    <w:rsid w:val="00A4189A"/>
    <w:rsid w:val="00A41C3D"/>
    <w:rsid w:val="00A41F2E"/>
    <w:rsid w:val="00A42159"/>
    <w:rsid w:val="00A42416"/>
    <w:rsid w:val="00A42DF3"/>
    <w:rsid w:val="00A432A0"/>
    <w:rsid w:val="00A4354B"/>
    <w:rsid w:val="00A43EAA"/>
    <w:rsid w:val="00A43EC3"/>
    <w:rsid w:val="00A43F0A"/>
    <w:rsid w:val="00A43FF9"/>
    <w:rsid w:val="00A44220"/>
    <w:rsid w:val="00A44FB3"/>
    <w:rsid w:val="00A46312"/>
    <w:rsid w:val="00A46541"/>
    <w:rsid w:val="00A465E9"/>
    <w:rsid w:val="00A46A4B"/>
    <w:rsid w:val="00A47774"/>
    <w:rsid w:val="00A47BC1"/>
    <w:rsid w:val="00A50899"/>
    <w:rsid w:val="00A50A7F"/>
    <w:rsid w:val="00A512A2"/>
    <w:rsid w:val="00A5216F"/>
    <w:rsid w:val="00A52254"/>
    <w:rsid w:val="00A52401"/>
    <w:rsid w:val="00A52622"/>
    <w:rsid w:val="00A5287D"/>
    <w:rsid w:val="00A52B09"/>
    <w:rsid w:val="00A5304C"/>
    <w:rsid w:val="00A53729"/>
    <w:rsid w:val="00A550F7"/>
    <w:rsid w:val="00A55173"/>
    <w:rsid w:val="00A560C7"/>
    <w:rsid w:val="00A562BE"/>
    <w:rsid w:val="00A56A4F"/>
    <w:rsid w:val="00A56DDE"/>
    <w:rsid w:val="00A571F5"/>
    <w:rsid w:val="00A57205"/>
    <w:rsid w:val="00A57839"/>
    <w:rsid w:val="00A5787F"/>
    <w:rsid w:val="00A57914"/>
    <w:rsid w:val="00A57A70"/>
    <w:rsid w:val="00A57E73"/>
    <w:rsid w:val="00A60436"/>
    <w:rsid w:val="00A60457"/>
    <w:rsid w:val="00A607D9"/>
    <w:rsid w:val="00A60C3A"/>
    <w:rsid w:val="00A60EC2"/>
    <w:rsid w:val="00A61039"/>
    <w:rsid w:val="00A612AC"/>
    <w:rsid w:val="00A6190A"/>
    <w:rsid w:val="00A621B7"/>
    <w:rsid w:val="00A6231B"/>
    <w:rsid w:val="00A62AC5"/>
    <w:rsid w:val="00A63037"/>
    <w:rsid w:val="00A6323E"/>
    <w:rsid w:val="00A63478"/>
    <w:rsid w:val="00A63AF3"/>
    <w:rsid w:val="00A63D28"/>
    <w:rsid w:val="00A6419E"/>
    <w:rsid w:val="00A64B15"/>
    <w:rsid w:val="00A64E8C"/>
    <w:rsid w:val="00A64EF8"/>
    <w:rsid w:val="00A64F66"/>
    <w:rsid w:val="00A65E01"/>
    <w:rsid w:val="00A664B6"/>
    <w:rsid w:val="00A6677B"/>
    <w:rsid w:val="00A67466"/>
    <w:rsid w:val="00A67D1C"/>
    <w:rsid w:val="00A70065"/>
    <w:rsid w:val="00A710AC"/>
    <w:rsid w:val="00A717AD"/>
    <w:rsid w:val="00A7186E"/>
    <w:rsid w:val="00A71FC9"/>
    <w:rsid w:val="00A725DB"/>
    <w:rsid w:val="00A73738"/>
    <w:rsid w:val="00A73D7C"/>
    <w:rsid w:val="00A73E8F"/>
    <w:rsid w:val="00A7475B"/>
    <w:rsid w:val="00A747DC"/>
    <w:rsid w:val="00A74D4E"/>
    <w:rsid w:val="00A75204"/>
    <w:rsid w:val="00A753BD"/>
    <w:rsid w:val="00A761EE"/>
    <w:rsid w:val="00A767D8"/>
    <w:rsid w:val="00A76B33"/>
    <w:rsid w:val="00A76D4A"/>
    <w:rsid w:val="00A76F54"/>
    <w:rsid w:val="00A77933"/>
    <w:rsid w:val="00A77BEC"/>
    <w:rsid w:val="00A77F98"/>
    <w:rsid w:val="00A80813"/>
    <w:rsid w:val="00A80EA4"/>
    <w:rsid w:val="00A81536"/>
    <w:rsid w:val="00A819DD"/>
    <w:rsid w:val="00A81C95"/>
    <w:rsid w:val="00A822D7"/>
    <w:rsid w:val="00A83A16"/>
    <w:rsid w:val="00A83CA5"/>
    <w:rsid w:val="00A84336"/>
    <w:rsid w:val="00A84465"/>
    <w:rsid w:val="00A84863"/>
    <w:rsid w:val="00A84EBD"/>
    <w:rsid w:val="00A84EDD"/>
    <w:rsid w:val="00A84F34"/>
    <w:rsid w:val="00A8542C"/>
    <w:rsid w:val="00A8620E"/>
    <w:rsid w:val="00A864E9"/>
    <w:rsid w:val="00A86CC9"/>
    <w:rsid w:val="00A87906"/>
    <w:rsid w:val="00A87958"/>
    <w:rsid w:val="00A87B34"/>
    <w:rsid w:val="00A87D0C"/>
    <w:rsid w:val="00A87E9E"/>
    <w:rsid w:val="00A901BE"/>
    <w:rsid w:val="00A904E2"/>
    <w:rsid w:val="00A90D2E"/>
    <w:rsid w:val="00A912E7"/>
    <w:rsid w:val="00A91E97"/>
    <w:rsid w:val="00A92BCF"/>
    <w:rsid w:val="00A93095"/>
    <w:rsid w:val="00A938E8"/>
    <w:rsid w:val="00A9546D"/>
    <w:rsid w:val="00A95997"/>
    <w:rsid w:val="00A95EE7"/>
    <w:rsid w:val="00A96085"/>
    <w:rsid w:val="00A96424"/>
    <w:rsid w:val="00A96AF3"/>
    <w:rsid w:val="00A96F5C"/>
    <w:rsid w:val="00A97CB8"/>
    <w:rsid w:val="00AA04FA"/>
    <w:rsid w:val="00AA19A6"/>
    <w:rsid w:val="00AA1AED"/>
    <w:rsid w:val="00AA20B1"/>
    <w:rsid w:val="00AA22E3"/>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78A"/>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3535"/>
    <w:rsid w:val="00AC449D"/>
    <w:rsid w:val="00AC55C2"/>
    <w:rsid w:val="00AC5C6A"/>
    <w:rsid w:val="00AC5D05"/>
    <w:rsid w:val="00AC65AF"/>
    <w:rsid w:val="00AC7052"/>
    <w:rsid w:val="00AC70AF"/>
    <w:rsid w:val="00AC7703"/>
    <w:rsid w:val="00AC773A"/>
    <w:rsid w:val="00AC7E57"/>
    <w:rsid w:val="00AD0508"/>
    <w:rsid w:val="00AD0558"/>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354"/>
    <w:rsid w:val="00AD77FA"/>
    <w:rsid w:val="00AE0323"/>
    <w:rsid w:val="00AE1923"/>
    <w:rsid w:val="00AE1D4C"/>
    <w:rsid w:val="00AE2457"/>
    <w:rsid w:val="00AE252A"/>
    <w:rsid w:val="00AE2565"/>
    <w:rsid w:val="00AE48A4"/>
    <w:rsid w:val="00AE4F38"/>
    <w:rsid w:val="00AE507F"/>
    <w:rsid w:val="00AE6873"/>
    <w:rsid w:val="00AE6D21"/>
    <w:rsid w:val="00AE70EF"/>
    <w:rsid w:val="00AE7169"/>
    <w:rsid w:val="00AE7523"/>
    <w:rsid w:val="00AE79A7"/>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B59"/>
    <w:rsid w:val="00AF7341"/>
    <w:rsid w:val="00AF7D80"/>
    <w:rsid w:val="00B0063B"/>
    <w:rsid w:val="00B0084E"/>
    <w:rsid w:val="00B00F17"/>
    <w:rsid w:val="00B01DB9"/>
    <w:rsid w:val="00B01E36"/>
    <w:rsid w:val="00B030F5"/>
    <w:rsid w:val="00B03B4D"/>
    <w:rsid w:val="00B04293"/>
    <w:rsid w:val="00B04643"/>
    <w:rsid w:val="00B04C10"/>
    <w:rsid w:val="00B055B1"/>
    <w:rsid w:val="00B0575B"/>
    <w:rsid w:val="00B05779"/>
    <w:rsid w:val="00B068E4"/>
    <w:rsid w:val="00B068FF"/>
    <w:rsid w:val="00B06EA8"/>
    <w:rsid w:val="00B07B99"/>
    <w:rsid w:val="00B115ED"/>
    <w:rsid w:val="00B117CB"/>
    <w:rsid w:val="00B117D7"/>
    <w:rsid w:val="00B11972"/>
    <w:rsid w:val="00B11B90"/>
    <w:rsid w:val="00B12516"/>
    <w:rsid w:val="00B12732"/>
    <w:rsid w:val="00B13785"/>
    <w:rsid w:val="00B13B8E"/>
    <w:rsid w:val="00B142E0"/>
    <w:rsid w:val="00B14CF7"/>
    <w:rsid w:val="00B15237"/>
    <w:rsid w:val="00B154C1"/>
    <w:rsid w:val="00B16072"/>
    <w:rsid w:val="00B16B50"/>
    <w:rsid w:val="00B17485"/>
    <w:rsid w:val="00B22EBA"/>
    <w:rsid w:val="00B231BC"/>
    <w:rsid w:val="00B23278"/>
    <w:rsid w:val="00B23573"/>
    <w:rsid w:val="00B23ABE"/>
    <w:rsid w:val="00B23B67"/>
    <w:rsid w:val="00B24B78"/>
    <w:rsid w:val="00B24E97"/>
    <w:rsid w:val="00B25FEF"/>
    <w:rsid w:val="00B26797"/>
    <w:rsid w:val="00B26B57"/>
    <w:rsid w:val="00B26BE1"/>
    <w:rsid w:val="00B26C98"/>
    <w:rsid w:val="00B26E4F"/>
    <w:rsid w:val="00B271E8"/>
    <w:rsid w:val="00B275D8"/>
    <w:rsid w:val="00B27680"/>
    <w:rsid w:val="00B27DA7"/>
    <w:rsid w:val="00B313F6"/>
    <w:rsid w:val="00B323E3"/>
    <w:rsid w:val="00B32506"/>
    <w:rsid w:val="00B32BF9"/>
    <w:rsid w:val="00B32F66"/>
    <w:rsid w:val="00B3325C"/>
    <w:rsid w:val="00B33678"/>
    <w:rsid w:val="00B33DDF"/>
    <w:rsid w:val="00B33FD6"/>
    <w:rsid w:val="00B34406"/>
    <w:rsid w:val="00B3493B"/>
    <w:rsid w:val="00B34AFD"/>
    <w:rsid w:val="00B3512D"/>
    <w:rsid w:val="00B354E2"/>
    <w:rsid w:val="00B358C1"/>
    <w:rsid w:val="00B3652D"/>
    <w:rsid w:val="00B36705"/>
    <w:rsid w:val="00B37073"/>
    <w:rsid w:val="00B40037"/>
    <w:rsid w:val="00B41861"/>
    <w:rsid w:val="00B41A1A"/>
    <w:rsid w:val="00B42107"/>
    <w:rsid w:val="00B4226E"/>
    <w:rsid w:val="00B428D3"/>
    <w:rsid w:val="00B4371F"/>
    <w:rsid w:val="00B440D1"/>
    <w:rsid w:val="00B44A28"/>
    <w:rsid w:val="00B453BC"/>
    <w:rsid w:val="00B4540D"/>
    <w:rsid w:val="00B457E4"/>
    <w:rsid w:val="00B457F9"/>
    <w:rsid w:val="00B45869"/>
    <w:rsid w:val="00B45A65"/>
    <w:rsid w:val="00B45BBA"/>
    <w:rsid w:val="00B462D8"/>
    <w:rsid w:val="00B46347"/>
    <w:rsid w:val="00B46444"/>
    <w:rsid w:val="00B46E16"/>
    <w:rsid w:val="00B4762E"/>
    <w:rsid w:val="00B47C45"/>
    <w:rsid w:val="00B47DE4"/>
    <w:rsid w:val="00B507E3"/>
    <w:rsid w:val="00B51909"/>
    <w:rsid w:val="00B519AC"/>
    <w:rsid w:val="00B51CE3"/>
    <w:rsid w:val="00B52EAD"/>
    <w:rsid w:val="00B52F36"/>
    <w:rsid w:val="00B531A4"/>
    <w:rsid w:val="00B53A39"/>
    <w:rsid w:val="00B53E30"/>
    <w:rsid w:val="00B5474A"/>
    <w:rsid w:val="00B549A7"/>
    <w:rsid w:val="00B54B97"/>
    <w:rsid w:val="00B55825"/>
    <w:rsid w:val="00B558AD"/>
    <w:rsid w:val="00B55E9E"/>
    <w:rsid w:val="00B56ACA"/>
    <w:rsid w:val="00B57320"/>
    <w:rsid w:val="00B574FC"/>
    <w:rsid w:val="00B5752D"/>
    <w:rsid w:val="00B577AE"/>
    <w:rsid w:val="00B5785C"/>
    <w:rsid w:val="00B57AC2"/>
    <w:rsid w:val="00B60A5C"/>
    <w:rsid w:val="00B60E24"/>
    <w:rsid w:val="00B61068"/>
    <w:rsid w:val="00B6118D"/>
    <w:rsid w:val="00B62C41"/>
    <w:rsid w:val="00B64054"/>
    <w:rsid w:val="00B64A9A"/>
    <w:rsid w:val="00B666F5"/>
    <w:rsid w:val="00B66A53"/>
    <w:rsid w:val="00B66C43"/>
    <w:rsid w:val="00B6706A"/>
    <w:rsid w:val="00B6718B"/>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2AE5"/>
    <w:rsid w:val="00B838E8"/>
    <w:rsid w:val="00B847A7"/>
    <w:rsid w:val="00B84EB3"/>
    <w:rsid w:val="00B85FEE"/>
    <w:rsid w:val="00B863E7"/>
    <w:rsid w:val="00B86C30"/>
    <w:rsid w:val="00B8778B"/>
    <w:rsid w:val="00B87C95"/>
    <w:rsid w:val="00B87E33"/>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C52"/>
    <w:rsid w:val="00B96C53"/>
    <w:rsid w:val="00B96E50"/>
    <w:rsid w:val="00B973D0"/>
    <w:rsid w:val="00B975CF"/>
    <w:rsid w:val="00BA0F89"/>
    <w:rsid w:val="00BA1049"/>
    <w:rsid w:val="00BA179D"/>
    <w:rsid w:val="00BA1AFD"/>
    <w:rsid w:val="00BA217B"/>
    <w:rsid w:val="00BA2A85"/>
    <w:rsid w:val="00BA4525"/>
    <w:rsid w:val="00BA4588"/>
    <w:rsid w:val="00BA475F"/>
    <w:rsid w:val="00BA4BFB"/>
    <w:rsid w:val="00BA510A"/>
    <w:rsid w:val="00BA51F6"/>
    <w:rsid w:val="00BA5B47"/>
    <w:rsid w:val="00BA5ED6"/>
    <w:rsid w:val="00BA62EF"/>
    <w:rsid w:val="00BA648B"/>
    <w:rsid w:val="00BA6818"/>
    <w:rsid w:val="00BA77DE"/>
    <w:rsid w:val="00BA782E"/>
    <w:rsid w:val="00BA7A25"/>
    <w:rsid w:val="00BB05F4"/>
    <w:rsid w:val="00BB0630"/>
    <w:rsid w:val="00BB0CA5"/>
    <w:rsid w:val="00BB0F61"/>
    <w:rsid w:val="00BB12F6"/>
    <w:rsid w:val="00BB13AC"/>
    <w:rsid w:val="00BB14DD"/>
    <w:rsid w:val="00BB174C"/>
    <w:rsid w:val="00BB2A53"/>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35F1"/>
    <w:rsid w:val="00BD37BA"/>
    <w:rsid w:val="00BD383C"/>
    <w:rsid w:val="00BD48B4"/>
    <w:rsid w:val="00BD4CCC"/>
    <w:rsid w:val="00BD5031"/>
    <w:rsid w:val="00BD541B"/>
    <w:rsid w:val="00BD601C"/>
    <w:rsid w:val="00BD70AE"/>
    <w:rsid w:val="00BD7B5D"/>
    <w:rsid w:val="00BE0DCB"/>
    <w:rsid w:val="00BE1636"/>
    <w:rsid w:val="00BE1859"/>
    <w:rsid w:val="00BE24E9"/>
    <w:rsid w:val="00BE2D0C"/>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33F"/>
    <w:rsid w:val="00C10A2E"/>
    <w:rsid w:val="00C10E4A"/>
    <w:rsid w:val="00C10F84"/>
    <w:rsid w:val="00C1163D"/>
    <w:rsid w:val="00C11958"/>
    <w:rsid w:val="00C11D67"/>
    <w:rsid w:val="00C11E76"/>
    <w:rsid w:val="00C129C1"/>
    <w:rsid w:val="00C13C7A"/>
    <w:rsid w:val="00C13EC6"/>
    <w:rsid w:val="00C1404D"/>
    <w:rsid w:val="00C14064"/>
    <w:rsid w:val="00C14145"/>
    <w:rsid w:val="00C14D49"/>
    <w:rsid w:val="00C15346"/>
    <w:rsid w:val="00C15E18"/>
    <w:rsid w:val="00C16DA8"/>
    <w:rsid w:val="00C17D16"/>
    <w:rsid w:val="00C17EC4"/>
    <w:rsid w:val="00C202DC"/>
    <w:rsid w:val="00C20431"/>
    <w:rsid w:val="00C20D32"/>
    <w:rsid w:val="00C20DA8"/>
    <w:rsid w:val="00C20DF3"/>
    <w:rsid w:val="00C212C9"/>
    <w:rsid w:val="00C21509"/>
    <w:rsid w:val="00C21563"/>
    <w:rsid w:val="00C21792"/>
    <w:rsid w:val="00C21910"/>
    <w:rsid w:val="00C21E6C"/>
    <w:rsid w:val="00C21FFB"/>
    <w:rsid w:val="00C22002"/>
    <w:rsid w:val="00C2200C"/>
    <w:rsid w:val="00C220B5"/>
    <w:rsid w:val="00C22309"/>
    <w:rsid w:val="00C224D0"/>
    <w:rsid w:val="00C22E40"/>
    <w:rsid w:val="00C22E4B"/>
    <w:rsid w:val="00C22E7B"/>
    <w:rsid w:val="00C23E65"/>
    <w:rsid w:val="00C240D2"/>
    <w:rsid w:val="00C24652"/>
    <w:rsid w:val="00C24886"/>
    <w:rsid w:val="00C24A19"/>
    <w:rsid w:val="00C24A20"/>
    <w:rsid w:val="00C25770"/>
    <w:rsid w:val="00C2619D"/>
    <w:rsid w:val="00C262DD"/>
    <w:rsid w:val="00C2636E"/>
    <w:rsid w:val="00C268C6"/>
    <w:rsid w:val="00C27F83"/>
    <w:rsid w:val="00C3074B"/>
    <w:rsid w:val="00C30904"/>
    <w:rsid w:val="00C310EC"/>
    <w:rsid w:val="00C318AF"/>
    <w:rsid w:val="00C321FC"/>
    <w:rsid w:val="00C324F0"/>
    <w:rsid w:val="00C3267E"/>
    <w:rsid w:val="00C327BC"/>
    <w:rsid w:val="00C33435"/>
    <w:rsid w:val="00C3360B"/>
    <w:rsid w:val="00C3385B"/>
    <w:rsid w:val="00C34193"/>
    <w:rsid w:val="00C35022"/>
    <w:rsid w:val="00C35323"/>
    <w:rsid w:val="00C35747"/>
    <w:rsid w:val="00C35A2D"/>
    <w:rsid w:val="00C3671C"/>
    <w:rsid w:val="00C368B2"/>
    <w:rsid w:val="00C36AE4"/>
    <w:rsid w:val="00C36FB7"/>
    <w:rsid w:val="00C37102"/>
    <w:rsid w:val="00C37435"/>
    <w:rsid w:val="00C37A49"/>
    <w:rsid w:val="00C4227F"/>
    <w:rsid w:val="00C42302"/>
    <w:rsid w:val="00C435E0"/>
    <w:rsid w:val="00C43770"/>
    <w:rsid w:val="00C43D75"/>
    <w:rsid w:val="00C43DB2"/>
    <w:rsid w:val="00C43F3C"/>
    <w:rsid w:val="00C44B2F"/>
    <w:rsid w:val="00C44C81"/>
    <w:rsid w:val="00C4508E"/>
    <w:rsid w:val="00C45463"/>
    <w:rsid w:val="00C458F0"/>
    <w:rsid w:val="00C46905"/>
    <w:rsid w:val="00C4786D"/>
    <w:rsid w:val="00C47DE2"/>
    <w:rsid w:val="00C50543"/>
    <w:rsid w:val="00C505BA"/>
    <w:rsid w:val="00C5157D"/>
    <w:rsid w:val="00C52408"/>
    <w:rsid w:val="00C52726"/>
    <w:rsid w:val="00C52A31"/>
    <w:rsid w:val="00C52CEE"/>
    <w:rsid w:val="00C530B7"/>
    <w:rsid w:val="00C53869"/>
    <w:rsid w:val="00C53C97"/>
    <w:rsid w:val="00C56DA7"/>
    <w:rsid w:val="00C56EA1"/>
    <w:rsid w:val="00C57124"/>
    <w:rsid w:val="00C57277"/>
    <w:rsid w:val="00C57319"/>
    <w:rsid w:val="00C57A60"/>
    <w:rsid w:val="00C57C31"/>
    <w:rsid w:val="00C57D00"/>
    <w:rsid w:val="00C60E54"/>
    <w:rsid w:val="00C60ED4"/>
    <w:rsid w:val="00C61032"/>
    <w:rsid w:val="00C61102"/>
    <w:rsid w:val="00C61411"/>
    <w:rsid w:val="00C61E12"/>
    <w:rsid w:val="00C620C3"/>
    <w:rsid w:val="00C624A9"/>
    <w:rsid w:val="00C62B22"/>
    <w:rsid w:val="00C63062"/>
    <w:rsid w:val="00C63304"/>
    <w:rsid w:val="00C63BC0"/>
    <w:rsid w:val="00C63D7F"/>
    <w:rsid w:val="00C64D09"/>
    <w:rsid w:val="00C65AE0"/>
    <w:rsid w:val="00C660A6"/>
    <w:rsid w:val="00C661CD"/>
    <w:rsid w:val="00C66925"/>
    <w:rsid w:val="00C66FFA"/>
    <w:rsid w:val="00C6779C"/>
    <w:rsid w:val="00C67BA4"/>
    <w:rsid w:val="00C702FB"/>
    <w:rsid w:val="00C70B35"/>
    <w:rsid w:val="00C7112E"/>
    <w:rsid w:val="00C71A7E"/>
    <w:rsid w:val="00C71C06"/>
    <w:rsid w:val="00C7234C"/>
    <w:rsid w:val="00C7346A"/>
    <w:rsid w:val="00C736A6"/>
    <w:rsid w:val="00C737B3"/>
    <w:rsid w:val="00C73BEB"/>
    <w:rsid w:val="00C73F09"/>
    <w:rsid w:val="00C744C0"/>
    <w:rsid w:val="00C74C89"/>
    <w:rsid w:val="00C74D6B"/>
    <w:rsid w:val="00C74F79"/>
    <w:rsid w:val="00C7524C"/>
    <w:rsid w:val="00C753F7"/>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8BA"/>
    <w:rsid w:val="00C84F98"/>
    <w:rsid w:val="00C852CD"/>
    <w:rsid w:val="00C85810"/>
    <w:rsid w:val="00C861D5"/>
    <w:rsid w:val="00C86A07"/>
    <w:rsid w:val="00C87468"/>
    <w:rsid w:val="00C8799A"/>
    <w:rsid w:val="00C87FF5"/>
    <w:rsid w:val="00C903B9"/>
    <w:rsid w:val="00C90800"/>
    <w:rsid w:val="00C90877"/>
    <w:rsid w:val="00C91770"/>
    <w:rsid w:val="00C91C46"/>
    <w:rsid w:val="00C91E35"/>
    <w:rsid w:val="00C93087"/>
    <w:rsid w:val="00C93165"/>
    <w:rsid w:val="00C93944"/>
    <w:rsid w:val="00C9424C"/>
    <w:rsid w:val="00C94297"/>
    <w:rsid w:val="00C94660"/>
    <w:rsid w:val="00C94796"/>
    <w:rsid w:val="00C94C8D"/>
    <w:rsid w:val="00C9533D"/>
    <w:rsid w:val="00C95411"/>
    <w:rsid w:val="00C955D7"/>
    <w:rsid w:val="00C95F4E"/>
    <w:rsid w:val="00C96502"/>
    <w:rsid w:val="00C9688C"/>
    <w:rsid w:val="00C971AB"/>
    <w:rsid w:val="00C97654"/>
    <w:rsid w:val="00C978C8"/>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B0479"/>
    <w:rsid w:val="00CB0A16"/>
    <w:rsid w:val="00CB0F3D"/>
    <w:rsid w:val="00CB1696"/>
    <w:rsid w:val="00CB1DCD"/>
    <w:rsid w:val="00CB2774"/>
    <w:rsid w:val="00CB285D"/>
    <w:rsid w:val="00CB2A32"/>
    <w:rsid w:val="00CB4562"/>
    <w:rsid w:val="00CB47F9"/>
    <w:rsid w:val="00CB49EE"/>
    <w:rsid w:val="00CB4D3C"/>
    <w:rsid w:val="00CB4F91"/>
    <w:rsid w:val="00CB5516"/>
    <w:rsid w:val="00CB5679"/>
    <w:rsid w:val="00CB5713"/>
    <w:rsid w:val="00CB68A2"/>
    <w:rsid w:val="00CB727F"/>
    <w:rsid w:val="00CB72B9"/>
    <w:rsid w:val="00CB731B"/>
    <w:rsid w:val="00CB74A7"/>
    <w:rsid w:val="00CB7F3B"/>
    <w:rsid w:val="00CC01EB"/>
    <w:rsid w:val="00CC0A7F"/>
    <w:rsid w:val="00CC150E"/>
    <w:rsid w:val="00CC158F"/>
    <w:rsid w:val="00CC1F66"/>
    <w:rsid w:val="00CC25FD"/>
    <w:rsid w:val="00CC2932"/>
    <w:rsid w:val="00CC2CA2"/>
    <w:rsid w:val="00CC2E62"/>
    <w:rsid w:val="00CC2FBC"/>
    <w:rsid w:val="00CC327F"/>
    <w:rsid w:val="00CC3624"/>
    <w:rsid w:val="00CC474A"/>
    <w:rsid w:val="00CC4C03"/>
    <w:rsid w:val="00CC4C62"/>
    <w:rsid w:val="00CC4D1A"/>
    <w:rsid w:val="00CC4EF2"/>
    <w:rsid w:val="00CC555F"/>
    <w:rsid w:val="00CC56A1"/>
    <w:rsid w:val="00CC61AA"/>
    <w:rsid w:val="00CC6875"/>
    <w:rsid w:val="00CC71A0"/>
    <w:rsid w:val="00CC75C2"/>
    <w:rsid w:val="00CC778A"/>
    <w:rsid w:val="00CC7F41"/>
    <w:rsid w:val="00CD0246"/>
    <w:rsid w:val="00CD03CF"/>
    <w:rsid w:val="00CD0842"/>
    <w:rsid w:val="00CD0A90"/>
    <w:rsid w:val="00CD157B"/>
    <w:rsid w:val="00CD1B67"/>
    <w:rsid w:val="00CD21D9"/>
    <w:rsid w:val="00CD21FE"/>
    <w:rsid w:val="00CD23D6"/>
    <w:rsid w:val="00CD2656"/>
    <w:rsid w:val="00CD365A"/>
    <w:rsid w:val="00CD3911"/>
    <w:rsid w:val="00CD3912"/>
    <w:rsid w:val="00CD3F18"/>
    <w:rsid w:val="00CD45E3"/>
    <w:rsid w:val="00CD4B8D"/>
    <w:rsid w:val="00CD5618"/>
    <w:rsid w:val="00CD5819"/>
    <w:rsid w:val="00CD5857"/>
    <w:rsid w:val="00CD5FFD"/>
    <w:rsid w:val="00CD688F"/>
    <w:rsid w:val="00CD6ACE"/>
    <w:rsid w:val="00CD7CCB"/>
    <w:rsid w:val="00CE02E6"/>
    <w:rsid w:val="00CE1043"/>
    <w:rsid w:val="00CE1B0F"/>
    <w:rsid w:val="00CE1F2E"/>
    <w:rsid w:val="00CE1F54"/>
    <w:rsid w:val="00CE31E5"/>
    <w:rsid w:val="00CE3564"/>
    <w:rsid w:val="00CE38C1"/>
    <w:rsid w:val="00CE3ADC"/>
    <w:rsid w:val="00CE419A"/>
    <w:rsid w:val="00CE5733"/>
    <w:rsid w:val="00CE5D82"/>
    <w:rsid w:val="00CE6528"/>
    <w:rsid w:val="00CE6B16"/>
    <w:rsid w:val="00CE6BB0"/>
    <w:rsid w:val="00CE6F27"/>
    <w:rsid w:val="00CE7054"/>
    <w:rsid w:val="00CE76D3"/>
    <w:rsid w:val="00CE79FE"/>
    <w:rsid w:val="00CE7B16"/>
    <w:rsid w:val="00CE7E16"/>
    <w:rsid w:val="00CE7F51"/>
    <w:rsid w:val="00CF010F"/>
    <w:rsid w:val="00CF01A9"/>
    <w:rsid w:val="00CF072B"/>
    <w:rsid w:val="00CF0ADD"/>
    <w:rsid w:val="00CF0AFE"/>
    <w:rsid w:val="00CF0D20"/>
    <w:rsid w:val="00CF1132"/>
    <w:rsid w:val="00CF20CC"/>
    <w:rsid w:val="00CF2344"/>
    <w:rsid w:val="00CF28EE"/>
    <w:rsid w:val="00CF2E9D"/>
    <w:rsid w:val="00CF3159"/>
    <w:rsid w:val="00CF3471"/>
    <w:rsid w:val="00CF347A"/>
    <w:rsid w:val="00CF402D"/>
    <w:rsid w:val="00CF431B"/>
    <w:rsid w:val="00CF5577"/>
    <w:rsid w:val="00CF62A8"/>
    <w:rsid w:val="00CF6D2B"/>
    <w:rsid w:val="00CF6DF4"/>
    <w:rsid w:val="00CF6EA7"/>
    <w:rsid w:val="00CF75DB"/>
    <w:rsid w:val="00CF7684"/>
    <w:rsid w:val="00CF782A"/>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1D5E"/>
    <w:rsid w:val="00D22863"/>
    <w:rsid w:val="00D22A36"/>
    <w:rsid w:val="00D23502"/>
    <w:rsid w:val="00D24778"/>
    <w:rsid w:val="00D25ADF"/>
    <w:rsid w:val="00D25BE6"/>
    <w:rsid w:val="00D25C2E"/>
    <w:rsid w:val="00D25FFA"/>
    <w:rsid w:val="00D264A4"/>
    <w:rsid w:val="00D26DF4"/>
    <w:rsid w:val="00D26E87"/>
    <w:rsid w:val="00D27086"/>
    <w:rsid w:val="00D27CDB"/>
    <w:rsid w:val="00D30434"/>
    <w:rsid w:val="00D30458"/>
    <w:rsid w:val="00D30B67"/>
    <w:rsid w:val="00D30BE1"/>
    <w:rsid w:val="00D30D2F"/>
    <w:rsid w:val="00D30DEE"/>
    <w:rsid w:val="00D31117"/>
    <w:rsid w:val="00D31529"/>
    <w:rsid w:val="00D3190D"/>
    <w:rsid w:val="00D3289E"/>
    <w:rsid w:val="00D3320D"/>
    <w:rsid w:val="00D3345B"/>
    <w:rsid w:val="00D33974"/>
    <w:rsid w:val="00D34219"/>
    <w:rsid w:val="00D346EB"/>
    <w:rsid w:val="00D34895"/>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CC1"/>
    <w:rsid w:val="00D42F6C"/>
    <w:rsid w:val="00D43A1F"/>
    <w:rsid w:val="00D43F61"/>
    <w:rsid w:val="00D44755"/>
    <w:rsid w:val="00D44866"/>
    <w:rsid w:val="00D45E6C"/>
    <w:rsid w:val="00D45EDA"/>
    <w:rsid w:val="00D46126"/>
    <w:rsid w:val="00D474B0"/>
    <w:rsid w:val="00D47580"/>
    <w:rsid w:val="00D508A2"/>
    <w:rsid w:val="00D50DFF"/>
    <w:rsid w:val="00D512A4"/>
    <w:rsid w:val="00D5138A"/>
    <w:rsid w:val="00D51478"/>
    <w:rsid w:val="00D51A7A"/>
    <w:rsid w:val="00D521C2"/>
    <w:rsid w:val="00D53401"/>
    <w:rsid w:val="00D5370C"/>
    <w:rsid w:val="00D53A72"/>
    <w:rsid w:val="00D54213"/>
    <w:rsid w:val="00D54F96"/>
    <w:rsid w:val="00D5509A"/>
    <w:rsid w:val="00D56848"/>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810"/>
    <w:rsid w:val="00D7100B"/>
    <w:rsid w:val="00D711A2"/>
    <w:rsid w:val="00D71336"/>
    <w:rsid w:val="00D71461"/>
    <w:rsid w:val="00D71471"/>
    <w:rsid w:val="00D714AC"/>
    <w:rsid w:val="00D71C56"/>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F0E"/>
    <w:rsid w:val="00D810BB"/>
    <w:rsid w:val="00D81801"/>
    <w:rsid w:val="00D8198B"/>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A77"/>
    <w:rsid w:val="00D90BA1"/>
    <w:rsid w:val="00D91893"/>
    <w:rsid w:val="00D91911"/>
    <w:rsid w:val="00D91B8A"/>
    <w:rsid w:val="00D922F1"/>
    <w:rsid w:val="00D9376B"/>
    <w:rsid w:val="00D93E53"/>
    <w:rsid w:val="00D9449B"/>
    <w:rsid w:val="00D94A33"/>
    <w:rsid w:val="00D95349"/>
    <w:rsid w:val="00D967F0"/>
    <w:rsid w:val="00D967F6"/>
    <w:rsid w:val="00D97CB3"/>
    <w:rsid w:val="00DA018F"/>
    <w:rsid w:val="00DA037D"/>
    <w:rsid w:val="00DA0ADB"/>
    <w:rsid w:val="00DA182E"/>
    <w:rsid w:val="00DA1E23"/>
    <w:rsid w:val="00DA32AF"/>
    <w:rsid w:val="00DA33EF"/>
    <w:rsid w:val="00DA35AD"/>
    <w:rsid w:val="00DA3EAD"/>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DD9"/>
    <w:rsid w:val="00DB1023"/>
    <w:rsid w:val="00DB1950"/>
    <w:rsid w:val="00DB2A7D"/>
    <w:rsid w:val="00DB30F4"/>
    <w:rsid w:val="00DB39E2"/>
    <w:rsid w:val="00DB3A12"/>
    <w:rsid w:val="00DB3D95"/>
    <w:rsid w:val="00DB3E37"/>
    <w:rsid w:val="00DB3EE0"/>
    <w:rsid w:val="00DB49CD"/>
    <w:rsid w:val="00DB4D2C"/>
    <w:rsid w:val="00DB4E7F"/>
    <w:rsid w:val="00DB4FAD"/>
    <w:rsid w:val="00DB59FC"/>
    <w:rsid w:val="00DB5AB4"/>
    <w:rsid w:val="00DB67D6"/>
    <w:rsid w:val="00DB6E07"/>
    <w:rsid w:val="00DB73D7"/>
    <w:rsid w:val="00DB7541"/>
    <w:rsid w:val="00DB7D54"/>
    <w:rsid w:val="00DB7ED2"/>
    <w:rsid w:val="00DC0D2B"/>
    <w:rsid w:val="00DC0E44"/>
    <w:rsid w:val="00DC14CD"/>
    <w:rsid w:val="00DC17AE"/>
    <w:rsid w:val="00DC1926"/>
    <w:rsid w:val="00DC1C01"/>
    <w:rsid w:val="00DC1E36"/>
    <w:rsid w:val="00DC2670"/>
    <w:rsid w:val="00DC2886"/>
    <w:rsid w:val="00DC2A62"/>
    <w:rsid w:val="00DC2C50"/>
    <w:rsid w:val="00DC30EE"/>
    <w:rsid w:val="00DC390F"/>
    <w:rsid w:val="00DC3A85"/>
    <w:rsid w:val="00DC3E38"/>
    <w:rsid w:val="00DC46CB"/>
    <w:rsid w:val="00DC4D91"/>
    <w:rsid w:val="00DC5CE2"/>
    <w:rsid w:val="00DC5DB6"/>
    <w:rsid w:val="00DC6BB2"/>
    <w:rsid w:val="00DC7552"/>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5C5"/>
    <w:rsid w:val="00DF1783"/>
    <w:rsid w:val="00DF1842"/>
    <w:rsid w:val="00DF1A16"/>
    <w:rsid w:val="00DF1C08"/>
    <w:rsid w:val="00DF21F4"/>
    <w:rsid w:val="00DF257C"/>
    <w:rsid w:val="00DF2583"/>
    <w:rsid w:val="00DF26B1"/>
    <w:rsid w:val="00DF2CE5"/>
    <w:rsid w:val="00DF2E7F"/>
    <w:rsid w:val="00DF3158"/>
    <w:rsid w:val="00DF3219"/>
    <w:rsid w:val="00DF3DA5"/>
    <w:rsid w:val="00DF47F8"/>
    <w:rsid w:val="00DF4FB9"/>
    <w:rsid w:val="00DF6037"/>
    <w:rsid w:val="00DF60F3"/>
    <w:rsid w:val="00DF7942"/>
    <w:rsid w:val="00DF7C09"/>
    <w:rsid w:val="00E0064F"/>
    <w:rsid w:val="00E00737"/>
    <w:rsid w:val="00E0085F"/>
    <w:rsid w:val="00E00A9C"/>
    <w:rsid w:val="00E00EF7"/>
    <w:rsid w:val="00E01412"/>
    <w:rsid w:val="00E014CA"/>
    <w:rsid w:val="00E01CA7"/>
    <w:rsid w:val="00E02E95"/>
    <w:rsid w:val="00E033BA"/>
    <w:rsid w:val="00E03692"/>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6A0"/>
    <w:rsid w:val="00E13E81"/>
    <w:rsid w:val="00E1448C"/>
    <w:rsid w:val="00E14B7B"/>
    <w:rsid w:val="00E14D04"/>
    <w:rsid w:val="00E1520B"/>
    <w:rsid w:val="00E15B3A"/>
    <w:rsid w:val="00E15B76"/>
    <w:rsid w:val="00E16380"/>
    <w:rsid w:val="00E16B28"/>
    <w:rsid w:val="00E16D2F"/>
    <w:rsid w:val="00E17206"/>
    <w:rsid w:val="00E1720E"/>
    <w:rsid w:val="00E1725A"/>
    <w:rsid w:val="00E1748F"/>
    <w:rsid w:val="00E17B40"/>
    <w:rsid w:val="00E17D6E"/>
    <w:rsid w:val="00E17F71"/>
    <w:rsid w:val="00E20975"/>
    <w:rsid w:val="00E21224"/>
    <w:rsid w:val="00E22E87"/>
    <w:rsid w:val="00E2360B"/>
    <w:rsid w:val="00E23C52"/>
    <w:rsid w:val="00E23C67"/>
    <w:rsid w:val="00E23CEF"/>
    <w:rsid w:val="00E24160"/>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5F9"/>
    <w:rsid w:val="00E3495E"/>
    <w:rsid w:val="00E3737C"/>
    <w:rsid w:val="00E3752E"/>
    <w:rsid w:val="00E3754E"/>
    <w:rsid w:val="00E37667"/>
    <w:rsid w:val="00E406DA"/>
    <w:rsid w:val="00E40850"/>
    <w:rsid w:val="00E4085B"/>
    <w:rsid w:val="00E40912"/>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1829"/>
    <w:rsid w:val="00E5324B"/>
    <w:rsid w:val="00E54291"/>
    <w:rsid w:val="00E5459C"/>
    <w:rsid w:val="00E549C2"/>
    <w:rsid w:val="00E54C8B"/>
    <w:rsid w:val="00E557B5"/>
    <w:rsid w:val="00E56BD8"/>
    <w:rsid w:val="00E56D24"/>
    <w:rsid w:val="00E56F3C"/>
    <w:rsid w:val="00E57B6A"/>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6A86"/>
    <w:rsid w:val="00E676F9"/>
    <w:rsid w:val="00E6788D"/>
    <w:rsid w:val="00E714F7"/>
    <w:rsid w:val="00E71702"/>
    <w:rsid w:val="00E719D3"/>
    <w:rsid w:val="00E71D73"/>
    <w:rsid w:val="00E720FD"/>
    <w:rsid w:val="00E720FE"/>
    <w:rsid w:val="00E72A86"/>
    <w:rsid w:val="00E72C29"/>
    <w:rsid w:val="00E73583"/>
    <w:rsid w:val="00E73BE1"/>
    <w:rsid w:val="00E74EE7"/>
    <w:rsid w:val="00E755F2"/>
    <w:rsid w:val="00E758E0"/>
    <w:rsid w:val="00E76052"/>
    <w:rsid w:val="00E76782"/>
    <w:rsid w:val="00E76956"/>
    <w:rsid w:val="00E77030"/>
    <w:rsid w:val="00E779CB"/>
    <w:rsid w:val="00E77C4F"/>
    <w:rsid w:val="00E80B80"/>
    <w:rsid w:val="00E814BC"/>
    <w:rsid w:val="00E81603"/>
    <w:rsid w:val="00E81A4E"/>
    <w:rsid w:val="00E81FCA"/>
    <w:rsid w:val="00E82D9D"/>
    <w:rsid w:val="00E83C00"/>
    <w:rsid w:val="00E83CFF"/>
    <w:rsid w:val="00E83D1B"/>
    <w:rsid w:val="00E84AB4"/>
    <w:rsid w:val="00E84B48"/>
    <w:rsid w:val="00E84EBF"/>
    <w:rsid w:val="00E8590A"/>
    <w:rsid w:val="00E85F07"/>
    <w:rsid w:val="00E85F38"/>
    <w:rsid w:val="00E861A8"/>
    <w:rsid w:val="00E86ED2"/>
    <w:rsid w:val="00E87629"/>
    <w:rsid w:val="00E87846"/>
    <w:rsid w:val="00E87853"/>
    <w:rsid w:val="00E90346"/>
    <w:rsid w:val="00E90402"/>
    <w:rsid w:val="00E90423"/>
    <w:rsid w:val="00E9047F"/>
    <w:rsid w:val="00E90630"/>
    <w:rsid w:val="00E912CC"/>
    <w:rsid w:val="00E91621"/>
    <w:rsid w:val="00E91835"/>
    <w:rsid w:val="00E91C47"/>
    <w:rsid w:val="00E91D47"/>
    <w:rsid w:val="00E92935"/>
    <w:rsid w:val="00E9342F"/>
    <w:rsid w:val="00E935D9"/>
    <w:rsid w:val="00E949D3"/>
    <w:rsid w:val="00E96473"/>
    <w:rsid w:val="00E9686D"/>
    <w:rsid w:val="00E97928"/>
    <w:rsid w:val="00E97A5E"/>
    <w:rsid w:val="00EA002B"/>
    <w:rsid w:val="00EA04A2"/>
    <w:rsid w:val="00EA0BD4"/>
    <w:rsid w:val="00EA0D57"/>
    <w:rsid w:val="00EA0E45"/>
    <w:rsid w:val="00EA1848"/>
    <w:rsid w:val="00EA1C6C"/>
    <w:rsid w:val="00EA1D1C"/>
    <w:rsid w:val="00EA1EAD"/>
    <w:rsid w:val="00EA205B"/>
    <w:rsid w:val="00EA2131"/>
    <w:rsid w:val="00EA4907"/>
    <w:rsid w:val="00EA4974"/>
    <w:rsid w:val="00EA4A2E"/>
    <w:rsid w:val="00EA4E69"/>
    <w:rsid w:val="00EA5618"/>
    <w:rsid w:val="00EA5645"/>
    <w:rsid w:val="00EA59A0"/>
    <w:rsid w:val="00EA6303"/>
    <w:rsid w:val="00EA6872"/>
    <w:rsid w:val="00EA697A"/>
    <w:rsid w:val="00EA6B90"/>
    <w:rsid w:val="00EA6B93"/>
    <w:rsid w:val="00EA6EA1"/>
    <w:rsid w:val="00EA714F"/>
    <w:rsid w:val="00EA7381"/>
    <w:rsid w:val="00EA7A0F"/>
    <w:rsid w:val="00EB04B5"/>
    <w:rsid w:val="00EB0666"/>
    <w:rsid w:val="00EB0C5A"/>
    <w:rsid w:val="00EB1073"/>
    <w:rsid w:val="00EB199B"/>
    <w:rsid w:val="00EB1C47"/>
    <w:rsid w:val="00EB1D24"/>
    <w:rsid w:val="00EB1DFC"/>
    <w:rsid w:val="00EB210B"/>
    <w:rsid w:val="00EB219D"/>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6A8C"/>
    <w:rsid w:val="00EB7584"/>
    <w:rsid w:val="00EB7939"/>
    <w:rsid w:val="00EB7C89"/>
    <w:rsid w:val="00EC0683"/>
    <w:rsid w:val="00EC0698"/>
    <w:rsid w:val="00EC0BF9"/>
    <w:rsid w:val="00EC0DD2"/>
    <w:rsid w:val="00EC0E73"/>
    <w:rsid w:val="00EC13D5"/>
    <w:rsid w:val="00EC1543"/>
    <w:rsid w:val="00EC1923"/>
    <w:rsid w:val="00EC1BC1"/>
    <w:rsid w:val="00EC23B5"/>
    <w:rsid w:val="00EC25EB"/>
    <w:rsid w:val="00EC2C2F"/>
    <w:rsid w:val="00EC2CF2"/>
    <w:rsid w:val="00EC2E03"/>
    <w:rsid w:val="00EC3159"/>
    <w:rsid w:val="00EC323A"/>
    <w:rsid w:val="00EC34E3"/>
    <w:rsid w:val="00EC3B32"/>
    <w:rsid w:val="00EC3D4A"/>
    <w:rsid w:val="00EC4820"/>
    <w:rsid w:val="00EC5DD1"/>
    <w:rsid w:val="00EC6ADB"/>
    <w:rsid w:val="00EC6C74"/>
    <w:rsid w:val="00EC70DF"/>
    <w:rsid w:val="00EC70F7"/>
    <w:rsid w:val="00EC7EB7"/>
    <w:rsid w:val="00ED053F"/>
    <w:rsid w:val="00ED1071"/>
    <w:rsid w:val="00ED1A2D"/>
    <w:rsid w:val="00ED241C"/>
    <w:rsid w:val="00ED246C"/>
    <w:rsid w:val="00ED28D4"/>
    <w:rsid w:val="00ED291F"/>
    <w:rsid w:val="00ED2F2E"/>
    <w:rsid w:val="00ED35C0"/>
    <w:rsid w:val="00ED3A50"/>
    <w:rsid w:val="00ED46D7"/>
    <w:rsid w:val="00ED4A0D"/>
    <w:rsid w:val="00ED542F"/>
    <w:rsid w:val="00ED56C8"/>
    <w:rsid w:val="00ED5977"/>
    <w:rsid w:val="00ED6A8D"/>
    <w:rsid w:val="00ED6B2E"/>
    <w:rsid w:val="00ED6F52"/>
    <w:rsid w:val="00ED710B"/>
    <w:rsid w:val="00ED7133"/>
    <w:rsid w:val="00EE11F8"/>
    <w:rsid w:val="00EE1486"/>
    <w:rsid w:val="00EE1F69"/>
    <w:rsid w:val="00EE27E2"/>
    <w:rsid w:val="00EE2819"/>
    <w:rsid w:val="00EE2EC4"/>
    <w:rsid w:val="00EE38B4"/>
    <w:rsid w:val="00EE392A"/>
    <w:rsid w:val="00EE3F23"/>
    <w:rsid w:val="00EE4D3B"/>
    <w:rsid w:val="00EE59ED"/>
    <w:rsid w:val="00EE6168"/>
    <w:rsid w:val="00EE631E"/>
    <w:rsid w:val="00EE6853"/>
    <w:rsid w:val="00EE6C9F"/>
    <w:rsid w:val="00EE7E5F"/>
    <w:rsid w:val="00EF04B9"/>
    <w:rsid w:val="00EF067D"/>
    <w:rsid w:val="00EF105D"/>
    <w:rsid w:val="00EF176F"/>
    <w:rsid w:val="00EF2494"/>
    <w:rsid w:val="00EF24F5"/>
    <w:rsid w:val="00EF2565"/>
    <w:rsid w:val="00EF27D0"/>
    <w:rsid w:val="00EF28B1"/>
    <w:rsid w:val="00EF2C82"/>
    <w:rsid w:val="00EF2DE8"/>
    <w:rsid w:val="00EF32F6"/>
    <w:rsid w:val="00EF34F8"/>
    <w:rsid w:val="00EF4580"/>
    <w:rsid w:val="00EF539F"/>
    <w:rsid w:val="00EF5632"/>
    <w:rsid w:val="00EF662C"/>
    <w:rsid w:val="00EF6928"/>
    <w:rsid w:val="00EF6E56"/>
    <w:rsid w:val="00EF75DC"/>
    <w:rsid w:val="00F0129A"/>
    <w:rsid w:val="00F016E4"/>
    <w:rsid w:val="00F019E4"/>
    <w:rsid w:val="00F03A7D"/>
    <w:rsid w:val="00F03C06"/>
    <w:rsid w:val="00F04097"/>
    <w:rsid w:val="00F045E2"/>
    <w:rsid w:val="00F04724"/>
    <w:rsid w:val="00F05409"/>
    <w:rsid w:val="00F05F94"/>
    <w:rsid w:val="00F0689B"/>
    <w:rsid w:val="00F06E52"/>
    <w:rsid w:val="00F06E7C"/>
    <w:rsid w:val="00F06F62"/>
    <w:rsid w:val="00F078FD"/>
    <w:rsid w:val="00F079EC"/>
    <w:rsid w:val="00F07EC3"/>
    <w:rsid w:val="00F100E0"/>
    <w:rsid w:val="00F10625"/>
    <w:rsid w:val="00F1079D"/>
    <w:rsid w:val="00F10F97"/>
    <w:rsid w:val="00F11209"/>
    <w:rsid w:val="00F11A83"/>
    <w:rsid w:val="00F11C39"/>
    <w:rsid w:val="00F11CEB"/>
    <w:rsid w:val="00F11D3E"/>
    <w:rsid w:val="00F12388"/>
    <w:rsid w:val="00F1248F"/>
    <w:rsid w:val="00F1264C"/>
    <w:rsid w:val="00F13573"/>
    <w:rsid w:val="00F13E9C"/>
    <w:rsid w:val="00F14673"/>
    <w:rsid w:val="00F1469A"/>
    <w:rsid w:val="00F1480E"/>
    <w:rsid w:val="00F149A3"/>
    <w:rsid w:val="00F1525F"/>
    <w:rsid w:val="00F15443"/>
    <w:rsid w:val="00F15BD1"/>
    <w:rsid w:val="00F1677E"/>
    <w:rsid w:val="00F16802"/>
    <w:rsid w:val="00F16E20"/>
    <w:rsid w:val="00F1767B"/>
    <w:rsid w:val="00F20E6E"/>
    <w:rsid w:val="00F211C1"/>
    <w:rsid w:val="00F21EEB"/>
    <w:rsid w:val="00F229C9"/>
    <w:rsid w:val="00F23077"/>
    <w:rsid w:val="00F234F2"/>
    <w:rsid w:val="00F2578C"/>
    <w:rsid w:val="00F25F15"/>
    <w:rsid w:val="00F26758"/>
    <w:rsid w:val="00F26877"/>
    <w:rsid w:val="00F26B08"/>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4093E"/>
    <w:rsid w:val="00F40CB9"/>
    <w:rsid w:val="00F40CE4"/>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C6C"/>
    <w:rsid w:val="00F47D8C"/>
    <w:rsid w:val="00F50392"/>
    <w:rsid w:val="00F50828"/>
    <w:rsid w:val="00F50AA7"/>
    <w:rsid w:val="00F52F03"/>
    <w:rsid w:val="00F53002"/>
    <w:rsid w:val="00F531AB"/>
    <w:rsid w:val="00F5331C"/>
    <w:rsid w:val="00F533B5"/>
    <w:rsid w:val="00F54455"/>
    <w:rsid w:val="00F54714"/>
    <w:rsid w:val="00F54865"/>
    <w:rsid w:val="00F54BA2"/>
    <w:rsid w:val="00F558D4"/>
    <w:rsid w:val="00F55913"/>
    <w:rsid w:val="00F55C5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A0E"/>
    <w:rsid w:val="00F63E05"/>
    <w:rsid w:val="00F642C3"/>
    <w:rsid w:val="00F642E8"/>
    <w:rsid w:val="00F64A64"/>
    <w:rsid w:val="00F64B72"/>
    <w:rsid w:val="00F64FC3"/>
    <w:rsid w:val="00F655FC"/>
    <w:rsid w:val="00F65A96"/>
    <w:rsid w:val="00F65B4B"/>
    <w:rsid w:val="00F669B5"/>
    <w:rsid w:val="00F66E54"/>
    <w:rsid w:val="00F66F43"/>
    <w:rsid w:val="00F70042"/>
    <w:rsid w:val="00F70CFC"/>
    <w:rsid w:val="00F7113A"/>
    <w:rsid w:val="00F7132A"/>
    <w:rsid w:val="00F721EA"/>
    <w:rsid w:val="00F726C7"/>
    <w:rsid w:val="00F7297F"/>
    <w:rsid w:val="00F72B0E"/>
    <w:rsid w:val="00F72BF8"/>
    <w:rsid w:val="00F72D40"/>
    <w:rsid w:val="00F72F42"/>
    <w:rsid w:val="00F73016"/>
    <w:rsid w:val="00F731B3"/>
    <w:rsid w:val="00F731D2"/>
    <w:rsid w:val="00F7371F"/>
    <w:rsid w:val="00F73A5D"/>
    <w:rsid w:val="00F73C9D"/>
    <w:rsid w:val="00F73E94"/>
    <w:rsid w:val="00F74FA0"/>
    <w:rsid w:val="00F75320"/>
    <w:rsid w:val="00F75913"/>
    <w:rsid w:val="00F76222"/>
    <w:rsid w:val="00F76D63"/>
    <w:rsid w:val="00F77748"/>
    <w:rsid w:val="00F77E2A"/>
    <w:rsid w:val="00F8050A"/>
    <w:rsid w:val="00F80C8A"/>
    <w:rsid w:val="00F81169"/>
    <w:rsid w:val="00F82251"/>
    <w:rsid w:val="00F82462"/>
    <w:rsid w:val="00F82CBD"/>
    <w:rsid w:val="00F83339"/>
    <w:rsid w:val="00F83355"/>
    <w:rsid w:val="00F83651"/>
    <w:rsid w:val="00F83EA1"/>
    <w:rsid w:val="00F84514"/>
    <w:rsid w:val="00F84C88"/>
    <w:rsid w:val="00F84CA9"/>
    <w:rsid w:val="00F854D4"/>
    <w:rsid w:val="00F85A8A"/>
    <w:rsid w:val="00F85C4B"/>
    <w:rsid w:val="00F85E5F"/>
    <w:rsid w:val="00F8681C"/>
    <w:rsid w:val="00F86C07"/>
    <w:rsid w:val="00F87862"/>
    <w:rsid w:val="00F87A7C"/>
    <w:rsid w:val="00F901BF"/>
    <w:rsid w:val="00F90299"/>
    <w:rsid w:val="00F912FF"/>
    <w:rsid w:val="00F92E46"/>
    <w:rsid w:val="00F92F04"/>
    <w:rsid w:val="00F93617"/>
    <w:rsid w:val="00F9431A"/>
    <w:rsid w:val="00F94483"/>
    <w:rsid w:val="00F946AF"/>
    <w:rsid w:val="00F94CF3"/>
    <w:rsid w:val="00F957C9"/>
    <w:rsid w:val="00F96182"/>
    <w:rsid w:val="00F963DA"/>
    <w:rsid w:val="00F9643D"/>
    <w:rsid w:val="00F967F7"/>
    <w:rsid w:val="00F97D21"/>
    <w:rsid w:val="00FA106A"/>
    <w:rsid w:val="00FA1ED9"/>
    <w:rsid w:val="00FA2240"/>
    <w:rsid w:val="00FA27B3"/>
    <w:rsid w:val="00FA4EBE"/>
    <w:rsid w:val="00FA5B44"/>
    <w:rsid w:val="00FA68B5"/>
    <w:rsid w:val="00FA6CAD"/>
    <w:rsid w:val="00FA6D91"/>
    <w:rsid w:val="00FA7753"/>
    <w:rsid w:val="00FA77BD"/>
    <w:rsid w:val="00FA7FCE"/>
    <w:rsid w:val="00FB1253"/>
    <w:rsid w:val="00FB16E3"/>
    <w:rsid w:val="00FB188E"/>
    <w:rsid w:val="00FB1E94"/>
    <w:rsid w:val="00FB20FB"/>
    <w:rsid w:val="00FB21C9"/>
    <w:rsid w:val="00FB240E"/>
    <w:rsid w:val="00FB280F"/>
    <w:rsid w:val="00FB2DD9"/>
    <w:rsid w:val="00FB3415"/>
    <w:rsid w:val="00FB35FD"/>
    <w:rsid w:val="00FB39F9"/>
    <w:rsid w:val="00FB3AC7"/>
    <w:rsid w:val="00FB3F40"/>
    <w:rsid w:val="00FB40EA"/>
    <w:rsid w:val="00FB4245"/>
    <w:rsid w:val="00FB44B4"/>
    <w:rsid w:val="00FB4FAD"/>
    <w:rsid w:val="00FB502D"/>
    <w:rsid w:val="00FB5254"/>
    <w:rsid w:val="00FB57A2"/>
    <w:rsid w:val="00FB5FC5"/>
    <w:rsid w:val="00FB636E"/>
    <w:rsid w:val="00FB6773"/>
    <w:rsid w:val="00FB791F"/>
    <w:rsid w:val="00FB7943"/>
    <w:rsid w:val="00FB7C6D"/>
    <w:rsid w:val="00FB7F47"/>
    <w:rsid w:val="00FC01A7"/>
    <w:rsid w:val="00FC109F"/>
    <w:rsid w:val="00FC1B2C"/>
    <w:rsid w:val="00FC2034"/>
    <w:rsid w:val="00FC247E"/>
    <w:rsid w:val="00FC2CD3"/>
    <w:rsid w:val="00FC2DF9"/>
    <w:rsid w:val="00FC317E"/>
    <w:rsid w:val="00FC36C0"/>
    <w:rsid w:val="00FC3C1A"/>
    <w:rsid w:val="00FC3FA0"/>
    <w:rsid w:val="00FC49E2"/>
    <w:rsid w:val="00FC4F8F"/>
    <w:rsid w:val="00FC503A"/>
    <w:rsid w:val="00FC56DF"/>
    <w:rsid w:val="00FC57F9"/>
    <w:rsid w:val="00FC58F4"/>
    <w:rsid w:val="00FC63AC"/>
    <w:rsid w:val="00FC6D9B"/>
    <w:rsid w:val="00FC7517"/>
    <w:rsid w:val="00FC7803"/>
    <w:rsid w:val="00FC799F"/>
    <w:rsid w:val="00FC7B89"/>
    <w:rsid w:val="00FC7F37"/>
    <w:rsid w:val="00FD0020"/>
    <w:rsid w:val="00FD11D9"/>
    <w:rsid w:val="00FD11F8"/>
    <w:rsid w:val="00FD1613"/>
    <w:rsid w:val="00FD36F8"/>
    <w:rsid w:val="00FD3EA0"/>
    <w:rsid w:val="00FD3F9F"/>
    <w:rsid w:val="00FD4189"/>
    <w:rsid w:val="00FD4326"/>
    <w:rsid w:val="00FD4BC6"/>
    <w:rsid w:val="00FD53A3"/>
    <w:rsid w:val="00FD5C7D"/>
    <w:rsid w:val="00FD5EAE"/>
    <w:rsid w:val="00FD6A99"/>
    <w:rsid w:val="00FE098C"/>
    <w:rsid w:val="00FE0AF5"/>
    <w:rsid w:val="00FE0D21"/>
    <w:rsid w:val="00FE162B"/>
    <w:rsid w:val="00FE21E9"/>
    <w:rsid w:val="00FE2C4A"/>
    <w:rsid w:val="00FE2D16"/>
    <w:rsid w:val="00FE31B2"/>
    <w:rsid w:val="00FE3716"/>
    <w:rsid w:val="00FE4D74"/>
    <w:rsid w:val="00FE559F"/>
    <w:rsid w:val="00FE6AAF"/>
    <w:rsid w:val="00FE6E03"/>
    <w:rsid w:val="00FE7473"/>
    <w:rsid w:val="00FF0295"/>
    <w:rsid w:val="00FF0CD1"/>
    <w:rsid w:val="00FF0F4C"/>
    <w:rsid w:val="00FF2DF6"/>
    <w:rsid w:val="00FF33A9"/>
    <w:rsid w:val="00FF3582"/>
    <w:rsid w:val="00FF3907"/>
    <w:rsid w:val="00FF3BC9"/>
    <w:rsid w:val="00FF3DCE"/>
    <w:rsid w:val="00FF4F68"/>
    <w:rsid w:val="00FF5044"/>
    <w:rsid w:val="00FF52DE"/>
    <w:rsid w:val="00FF565C"/>
    <w:rsid w:val="00FF5F0C"/>
    <w:rsid w:val="00FF601C"/>
    <w:rsid w:val="00FF64BE"/>
    <w:rsid w:val="00FF70B5"/>
    <w:rsid w:val="00FF7189"/>
    <w:rsid w:val="00FF73EE"/>
    <w:rsid w:val="00FF7721"/>
    <w:rsid w:val="00FF7F30"/>
    <w:rsid w:val="011A11A4"/>
    <w:rsid w:val="014B5B44"/>
    <w:rsid w:val="018C5F7F"/>
    <w:rsid w:val="01BE4069"/>
    <w:rsid w:val="01BE5800"/>
    <w:rsid w:val="01E46F65"/>
    <w:rsid w:val="024144A6"/>
    <w:rsid w:val="029E4766"/>
    <w:rsid w:val="02E536DD"/>
    <w:rsid w:val="03F06C42"/>
    <w:rsid w:val="041B3357"/>
    <w:rsid w:val="049F025D"/>
    <w:rsid w:val="04C34346"/>
    <w:rsid w:val="04E07561"/>
    <w:rsid w:val="04E1470C"/>
    <w:rsid w:val="04E30437"/>
    <w:rsid w:val="059160E1"/>
    <w:rsid w:val="05F41FAA"/>
    <w:rsid w:val="063B78DC"/>
    <w:rsid w:val="070752C8"/>
    <w:rsid w:val="076E0F6D"/>
    <w:rsid w:val="07E84F31"/>
    <w:rsid w:val="0839529D"/>
    <w:rsid w:val="08932433"/>
    <w:rsid w:val="097640A4"/>
    <w:rsid w:val="09974C33"/>
    <w:rsid w:val="09B82947"/>
    <w:rsid w:val="09C50D82"/>
    <w:rsid w:val="09D36579"/>
    <w:rsid w:val="0BF958C7"/>
    <w:rsid w:val="0C3F3332"/>
    <w:rsid w:val="0C523E4F"/>
    <w:rsid w:val="0C5A09A9"/>
    <w:rsid w:val="0CDB719E"/>
    <w:rsid w:val="0E0812B7"/>
    <w:rsid w:val="0E2E7579"/>
    <w:rsid w:val="0E8D0B73"/>
    <w:rsid w:val="0EAB6A73"/>
    <w:rsid w:val="0ED72541"/>
    <w:rsid w:val="0F4D0707"/>
    <w:rsid w:val="0F550590"/>
    <w:rsid w:val="0FBA2A45"/>
    <w:rsid w:val="0FC41654"/>
    <w:rsid w:val="0FDE7285"/>
    <w:rsid w:val="118C2ED5"/>
    <w:rsid w:val="11B83D31"/>
    <w:rsid w:val="11C83488"/>
    <w:rsid w:val="12155452"/>
    <w:rsid w:val="12795B29"/>
    <w:rsid w:val="12F62B63"/>
    <w:rsid w:val="135A6E08"/>
    <w:rsid w:val="13696837"/>
    <w:rsid w:val="1381624B"/>
    <w:rsid w:val="139E6DE8"/>
    <w:rsid w:val="13B31AEC"/>
    <w:rsid w:val="13F20DC2"/>
    <w:rsid w:val="13FE3FBA"/>
    <w:rsid w:val="140E1568"/>
    <w:rsid w:val="14404369"/>
    <w:rsid w:val="15D50CA5"/>
    <w:rsid w:val="169C3C7F"/>
    <w:rsid w:val="16BF34C9"/>
    <w:rsid w:val="16BF46FB"/>
    <w:rsid w:val="175D674F"/>
    <w:rsid w:val="17802874"/>
    <w:rsid w:val="17CD2550"/>
    <w:rsid w:val="17D57DAC"/>
    <w:rsid w:val="18114189"/>
    <w:rsid w:val="18F06F2D"/>
    <w:rsid w:val="19223571"/>
    <w:rsid w:val="19AD7F51"/>
    <w:rsid w:val="19EB246B"/>
    <w:rsid w:val="1A554870"/>
    <w:rsid w:val="1B83082F"/>
    <w:rsid w:val="1BA50D14"/>
    <w:rsid w:val="1BA677E7"/>
    <w:rsid w:val="1C625D30"/>
    <w:rsid w:val="1C7671E3"/>
    <w:rsid w:val="1C777601"/>
    <w:rsid w:val="1C8A493E"/>
    <w:rsid w:val="1CB11B53"/>
    <w:rsid w:val="1CCB6998"/>
    <w:rsid w:val="1CD6623F"/>
    <w:rsid w:val="1CF90898"/>
    <w:rsid w:val="1CFA0FE7"/>
    <w:rsid w:val="1D8C69C4"/>
    <w:rsid w:val="1DC91778"/>
    <w:rsid w:val="1E1C7C6C"/>
    <w:rsid w:val="1E786F00"/>
    <w:rsid w:val="1EA23DFC"/>
    <w:rsid w:val="1EC93A19"/>
    <w:rsid w:val="1F1F65F5"/>
    <w:rsid w:val="1F343C02"/>
    <w:rsid w:val="1FAC7E53"/>
    <w:rsid w:val="20482098"/>
    <w:rsid w:val="20517FE3"/>
    <w:rsid w:val="20CE2C18"/>
    <w:rsid w:val="210E6D86"/>
    <w:rsid w:val="211A16EC"/>
    <w:rsid w:val="217C1DAF"/>
    <w:rsid w:val="218220DE"/>
    <w:rsid w:val="222C76C6"/>
    <w:rsid w:val="22466CF3"/>
    <w:rsid w:val="22A344E7"/>
    <w:rsid w:val="22DE3197"/>
    <w:rsid w:val="22F42D37"/>
    <w:rsid w:val="230E0741"/>
    <w:rsid w:val="23C635DD"/>
    <w:rsid w:val="23F63E16"/>
    <w:rsid w:val="243A32C2"/>
    <w:rsid w:val="25093A3B"/>
    <w:rsid w:val="25236D0D"/>
    <w:rsid w:val="252F645D"/>
    <w:rsid w:val="258858A9"/>
    <w:rsid w:val="25A7119C"/>
    <w:rsid w:val="26757E2C"/>
    <w:rsid w:val="26790701"/>
    <w:rsid w:val="273508EE"/>
    <w:rsid w:val="27483692"/>
    <w:rsid w:val="276F6E45"/>
    <w:rsid w:val="278066D7"/>
    <w:rsid w:val="27827B0F"/>
    <w:rsid w:val="27886287"/>
    <w:rsid w:val="27F53526"/>
    <w:rsid w:val="27FA5E76"/>
    <w:rsid w:val="28680B99"/>
    <w:rsid w:val="28690FE5"/>
    <w:rsid w:val="288E2BD2"/>
    <w:rsid w:val="28DC50AB"/>
    <w:rsid w:val="28E55271"/>
    <w:rsid w:val="2923374B"/>
    <w:rsid w:val="29BD796F"/>
    <w:rsid w:val="2A520753"/>
    <w:rsid w:val="2AAC3644"/>
    <w:rsid w:val="2B8946FF"/>
    <w:rsid w:val="2C0A4741"/>
    <w:rsid w:val="2C7B1078"/>
    <w:rsid w:val="2CA61832"/>
    <w:rsid w:val="2CF86E08"/>
    <w:rsid w:val="2D9B15EF"/>
    <w:rsid w:val="2E304308"/>
    <w:rsid w:val="2E5F4C31"/>
    <w:rsid w:val="2E6F7E34"/>
    <w:rsid w:val="2EB26D79"/>
    <w:rsid w:val="2F7145F4"/>
    <w:rsid w:val="301E58E8"/>
    <w:rsid w:val="30580298"/>
    <w:rsid w:val="30646F90"/>
    <w:rsid w:val="30CB0402"/>
    <w:rsid w:val="30EE5F32"/>
    <w:rsid w:val="31B66D5F"/>
    <w:rsid w:val="324D2681"/>
    <w:rsid w:val="34457450"/>
    <w:rsid w:val="34C36BE8"/>
    <w:rsid w:val="34FD4189"/>
    <w:rsid w:val="35373F98"/>
    <w:rsid w:val="35E1219E"/>
    <w:rsid w:val="363B7932"/>
    <w:rsid w:val="36545611"/>
    <w:rsid w:val="36D15C2A"/>
    <w:rsid w:val="36FA4BBC"/>
    <w:rsid w:val="371D61FE"/>
    <w:rsid w:val="374B5AC3"/>
    <w:rsid w:val="38187E4F"/>
    <w:rsid w:val="3820445B"/>
    <w:rsid w:val="38210467"/>
    <w:rsid w:val="38401B73"/>
    <w:rsid w:val="384B1D2A"/>
    <w:rsid w:val="39780BBB"/>
    <w:rsid w:val="39D617F2"/>
    <w:rsid w:val="3A242E79"/>
    <w:rsid w:val="3AC43F37"/>
    <w:rsid w:val="3B610C15"/>
    <w:rsid w:val="3B731AB5"/>
    <w:rsid w:val="3B833738"/>
    <w:rsid w:val="3B874762"/>
    <w:rsid w:val="3BBD76B6"/>
    <w:rsid w:val="3C186286"/>
    <w:rsid w:val="3C2527C5"/>
    <w:rsid w:val="3C85003B"/>
    <w:rsid w:val="3D6F75C9"/>
    <w:rsid w:val="3D9F37A9"/>
    <w:rsid w:val="3DE90F01"/>
    <w:rsid w:val="3E266E35"/>
    <w:rsid w:val="3F592D90"/>
    <w:rsid w:val="3F7F04D5"/>
    <w:rsid w:val="40615707"/>
    <w:rsid w:val="40A005F0"/>
    <w:rsid w:val="41316F97"/>
    <w:rsid w:val="414B5EF7"/>
    <w:rsid w:val="417E1386"/>
    <w:rsid w:val="422B6BF4"/>
    <w:rsid w:val="42347713"/>
    <w:rsid w:val="425450BD"/>
    <w:rsid w:val="43B00A8F"/>
    <w:rsid w:val="45511B47"/>
    <w:rsid w:val="45A15DDB"/>
    <w:rsid w:val="45B22926"/>
    <w:rsid w:val="462E6F3B"/>
    <w:rsid w:val="466800F5"/>
    <w:rsid w:val="4681712C"/>
    <w:rsid w:val="468B6718"/>
    <w:rsid w:val="473B23EB"/>
    <w:rsid w:val="47B32EAB"/>
    <w:rsid w:val="47C40E8C"/>
    <w:rsid w:val="48201667"/>
    <w:rsid w:val="485F0CBF"/>
    <w:rsid w:val="48B1218F"/>
    <w:rsid w:val="48B14AB0"/>
    <w:rsid w:val="48D6123C"/>
    <w:rsid w:val="49150F51"/>
    <w:rsid w:val="49480BD4"/>
    <w:rsid w:val="499F04DF"/>
    <w:rsid w:val="49CB3BFF"/>
    <w:rsid w:val="4AA4619B"/>
    <w:rsid w:val="4AD9045B"/>
    <w:rsid w:val="4B284D77"/>
    <w:rsid w:val="4BAE6C67"/>
    <w:rsid w:val="4BEC1507"/>
    <w:rsid w:val="4CD363C9"/>
    <w:rsid w:val="4D7F6702"/>
    <w:rsid w:val="4DAA2A72"/>
    <w:rsid w:val="4DD74FC1"/>
    <w:rsid w:val="4F123950"/>
    <w:rsid w:val="4F134C73"/>
    <w:rsid w:val="4FBA240D"/>
    <w:rsid w:val="4FF41A57"/>
    <w:rsid w:val="50607291"/>
    <w:rsid w:val="507519D9"/>
    <w:rsid w:val="50EC442B"/>
    <w:rsid w:val="51F96886"/>
    <w:rsid w:val="52127D7D"/>
    <w:rsid w:val="52412A63"/>
    <w:rsid w:val="53763D4D"/>
    <w:rsid w:val="538D45BD"/>
    <w:rsid w:val="54135280"/>
    <w:rsid w:val="5526139C"/>
    <w:rsid w:val="552B2D26"/>
    <w:rsid w:val="554E1470"/>
    <w:rsid w:val="55823B11"/>
    <w:rsid w:val="55986D51"/>
    <w:rsid w:val="55D42624"/>
    <w:rsid w:val="56133CA0"/>
    <w:rsid w:val="569914FD"/>
    <w:rsid w:val="56DD4ABD"/>
    <w:rsid w:val="5703231E"/>
    <w:rsid w:val="57116442"/>
    <w:rsid w:val="578D3493"/>
    <w:rsid w:val="582A00EF"/>
    <w:rsid w:val="5857652F"/>
    <w:rsid w:val="586A7A45"/>
    <w:rsid w:val="58914C8B"/>
    <w:rsid w:val="58E3423E"/>
    <w:rsid w:val="58F23ED5"/>
    <w:rsid w:val="5956205C"/>
    <w:rsid w:val="599E6CB8"/>
    <w:rsid w:val="59E031E2"/>
    <w:rsid w:val="5AA974E8"/>
    <w:rsid w:val="5AD424FD"/>
    <w:rsid w:val="5B42323E"/>
    <w:rsid w:val="5B8340E7"/>
    <w:rsid w:val="5B8D0599"/>
    <w:rsid w:val="5B937814"/>
    <w:rsid w:val="5BA627EA"/>
    <w:rsid w:val="5BAA125C"/>
    <w:rsid w:val="5C06784E"/>
    <w:rsid w:val="5C6E79F1"/>
    <w:rsid w:val="5C8657B1"/>
    <w:rsid w:val="5CA73484"/>
    <w:rsid w:val="5CE5499C"/>
    <w:rsid w:val="5D5B70AE"/>
    <w:rsid w:val="5D77243C"/>
    <w:rsid w:val="5D822C9D"/>
    <w:rsid w:val="5D9C3C6B"/>
    <w:rsid w:val="5E2F13E4"/>
    <w:rsid w:val="5E79177D"/>
    <w:rsid w:val="5EC546B7"/>
    <w:rsid w:val="5EE01513"/>
    <w:rsid w:val="5FA506A9"/>
    <w:rsid w:val="5FA9036D"/>
    <w:rsid w:val="5FE20A6A"/>
    <w:rsid w:val="5FE80DF1"/>
    <w:rsid w:val="60394F33"/>
    <w:rsid w:val="606E67C7"/>
    <w:rsid w:val="607A028C"/>
    <w:rsid w:val="60C761CB"/>
    <w:rsid w:val="61904268"/>
    <w:rsid w:val="61922827"/>
    <w:rsid w:val="61985AAE"/>
    <w:rsid w:val="619B21A0"/>
    <w:rsid w:val="61C95215"/>
    <w:rsid w:val="620863D2"/>
    <w:rsid w:val="626058BD"/>
    <w:rsid w:val="62B0343B"/>
    <w:rsid w:val="62D70238"/>
    <w:rsid w:val="634E5810"/>
    <w:rsid w:val="63A81226"/>
    <w:rsid w:val="650A079C"/>
    <w:rsid w:val="659558BD"/>
    <w:rsid w:val="659A2AB0"/>
    <w:rsid w:val="65B5263D"/>
    <w:rsid w:val="65E5355A"/>
    <w:rsid w:val="66F30DB5"/>
    <w:rsid w:val="66FD54A9"/>
    <w:rsid w:val="67493D78"/>
    <w:rsid w:val="674A3D4F"/>
    <w:rsid w:val="679006E0"/>
    <w:rsid w:val="684B7907"/>
    <w:rsid w:val="6864772D"/>
    <w:rsid w:val="68BC6A3B"/>
    <w:rsid w:val="68CD2DF1"/>
    <w:rsid w:val="68D26F09"/>
    <w:rsid w:val="6A121AD7"/>
    <w:rsid w:val="6A3C248C"/>
    <w:rsid w:val="6AD23B35"/>
    <w:rsid w:val="6C3226C6"/>
    <w:rsid w:val="6C545FF5"/>
    <w:rsid w:val="6C591BE2"/>
    <w:rsid w:val="6C8C1688"/>
    <w:rsid w:val="6DF70EF1"/>
    <w:rsid w:val="6E0A4A26"/>
    <w:rsid w:val="6E113896"/>
    <w:rsid w:val="6E1F57B8"/>
    <w:rsid w:val="6E322A61"/>
    <w:rsid w:val="6E5E1B6C"/>
    <w:rsid w:val="6EB57A17"/>
    <w:rsid w:val="6EEF71D1"/>
    <w:rsid w:val="6F021A16"/>
    <w:rsid w:val="6F1D40CE"/>
    <w:rsid w:val="7051517A"/>
    <w:rsid w:val="70D85BD1"/>
    <w:rsid w:val="715B338A"/>
    <w:rsid w:val="716A7ADC"/>
    <w:rsid w:val="71DE2E53"/>
    <w:rsid w:val="721F39FF"/>
    <w:rsid w:val="724D2119"/>
    <w:rsid w:val="729E121E"/>
    <w:rsid w:val="72E23A7A"/>
    <w:rsid w:val="72F6179B"/>
    <w:rsid w:val="738003CA"/>
    <w:rsid w:val="73B87FE8"/>
    <w:rsid w:val="73C56EED"/>
    <w:rsid w:val="75654A8E"/>
    <w:rsid w:val="758D4AB4"/>
    <w:rsid w:val="75A84440"/>
    <w:rsid w:val="75D12961"/>
    <w:rsid w:val="760972E1"/>
    <w:rsid w:val="765941C5"/>
    <w:rsid w:val="773B6CD4"/>
    <w:rsid w:val="77E30949"/>
    <w:rsid w:val="77F16A53"/>
    <w:rsid w:val="783525A0"/>
    <w:rsid w:val="786F12BD"/>
    <w:rsid w:val="786F1AA9"/>
    <w:rsid w:val="7872551D"/>
    <w:rsid w:val="7920071D"/>
    <w:rsid w:val="79C52BC7"/>
    <w:rsid w:val="79C747F6"/>
    <w:rsid w:val="79D951CB"/>
    <w:rsid w:val="7A36659D"/>
    <w:rsid w:val="7A6027C1"/>
    <w:rsid w:val="7A6076F7"/>
    <w:rsid w:val="7A854A12"/>
    <w:rsid w:val="7B2354CE"/>
    <w:rsid w:val="7B237820"/>
    <w:rsid w:val="7B974622"/>
    <w:rsid w:val="7C742476"/>
    <w:rsid w:val="7C793FC6"/>
    <w:rsid w:val="7C7E46D6"/>
    <w:rsid w:val="7C866B53"/>
    <w:rsid w:val="7D4E72F0"/>
    <w:rsid w:val="7E9219F9"/>
    <w:rsid w:val="7EF87B3E"/>
    <w:rsid w:val="7F1311A6"/>
    <w:rsid w:val="7F631961"/>
    <w:rsid w:val="7F924DA0"/>
    <w:rsid w:val="7FF46C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0"/>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1"/>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link w:val="62"/>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2" w:lineRule="auto"/>
      <w:outlineLvl w:val="4"/>
    </w:pPr>
    <w:rPr>
      <w:b/>
      <w:sz w:val="28"/>
    </w:rPr>
  </w:style>
  <w:style w:type="paragraph" w:styleId="8">
    <w:name w:val="heading 6"/>
    <w:basedOn w:val="1"/>
    <w:next w:val="7"/>
    <w:link w:val="6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17" w:lineRule="auto"/>
      <w:outlineLvl w:val="6"/>
    </w:pPr>
    <w:rPr>
      <w:b/>
      <w:sz w:val="24"/>
    </w:rPr>
  </w:style>
  <w:style w:type="paragraph" w:styleId="10">
    <w:name w:val="heading 8"/>
    <w:basedOn w:val="1"/>
    <w:next w:val="7"/>
    <w:link w:val="66"/>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69"/>
    <w:qFormat/>
    <w:uiPriority w:val="0"/>
    <w:pPr>
      <w:jc w:val="left"/>
    </w:pPr>
  </w:style>
  <w:style w:type="paragraph" w:styleId="18">
    <w:name w:val="Body Text 3"/>
    <w:basedOn w:val="1"/>
    <w:link w:val="70"/>
    <w:qFormat/>
    <w:uiPriority w:val="0"/>
    <w:pPr>
      <w:spacing w:line="500" w:lineRule="exact"/>
    </w:pPr>
    <w:rPr>
      <w:b/>
      <w:bCs/>
      <w:sz w:val="24"/>
    </w:rPr>
  </w:style>
  <w:style w:type="paragraph" w:styleId="19">
    <w:name w:val="Body Text"/>
    <w:basedOn w:val="1"/>
    <w:link w:val="71"/>
    <w:qFormat/>
    <w:uiPriority w:val="99"/>
    <w:pPr>
      <w:spacing w:line="380" w:lineRule="exact"/>
    </w:pPr>
    <w:rPr>
      <w:sz w:val="24"/>
    </w:rPr>
  </w:style>
  <w:style w:type="paragraph" w:styleId="20">
    <w:name w:val="Body Text Indent"/>
    <w:basedOn w:val="1"/>
    <w:link w:val="72"/>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0"/>
    <w:pPr>
      <w:tabs>
        <w:tab w:val="center" w:pos="4153"/>
        <w:tab w:val="right" w:pos="8306"/>
      </w:tabs>
      <w:snapToGrid w:val="0"/>
      <w:jc w:val="left"/>
    </w:pPr>
    <w:rPr>
      <w:sz w:val="18"/>
      <w:szCs w:val="18"/>
    </w:rPr>
  </w:style>
  <w:style w:type="paragraph" w:styleId="32">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afterLines="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afterLines="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afterLines="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7"/>
    <w:next w:val="17"/>
    <w:link w:val="83"/>
    <w:qFormat/>
    <w:uiPriority w:val="0"/>
    <w:rPr>
      <w:b/>
      <w:bCs/>
    </w:rPr>
  </w:style>
  <w:style w:type="paragraph" w:styleId="49">
    <w:name w:val="Body Text First Indent"/>
    <w:basedOn w:val="19"/>
    <w:link w:val="84"/>
    <w:qFormat/>
    <w:uiPriority w:val="0"/>
    <w:pPr>
      <w:spacing w:after="120" w:afterLines="0" w:line="240" w:lineRule="auto"/>
      <w:ind w:firstLine="420" w:firstLineChars="100"/>
    </w:pPr>
    <w:rPr>
      <w:sz w:val="21"/>
    </w:rPr>
  </w:style>
  <w:style w:type="paragraph" w:styleId="50">
    <w:name w:val="Body Text First Indent 2"/>
    <w:basedOn w:val="20"/>
    <w:link w:val="85"/>
    <w:qFormat/>
    <w:uiPriority w:val="0"/>
    <w:pPr>
      <w:spacing w:after="120" w:afterLines="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Char"/>
    <w:link w:val="2"/>
    <w:qFormat/>
    <w:uiPriority w:val="9"/>
    <w:rPr>
      <w:rFonts w:eastAsia="宋体"/>
      <w:b/>
      <w:bCs/>
      <w:kern w:val="44"/>
      <w:sz w:val="44"/>
      <w:szCs w:val="44"/>
      <w:lang w:val="en-US" w:eastAsia="zh-CN" w:bidi="ar-SA"/>
    </w:rPr>
  </w:style>
  <w:style w:type="character" w:customStyle="1" w:styleId="60">
    <w:name w:val="标题 2 Char"/>
    <w:link w:val="3"/>
    <w:qFormat/>
    <w:uiPriority w:val="0"/>
    <w:rPr>
      <w:rFonts w:ascii="Arial" w:hAnsi="Arial" w:eastAsia="黑体"/>
      <w:b/>
      <w:bCs/>
      <w:kern w:val="2"/>
      <w:sz w:val="32"/>
      <w:szCs w:val="32"/>
    </w:rPr>
  </w:style>
  <w:style w:type="character" w:customStyle="1" w:styleId="61">
    <w:name w:val="标题 3 Char"/>
    <w:link w:val="4"/>
    <w:qFormat/>
    <w:uiPriority w:val="0"/>
    <w:rPr>
      <w:b/>
      <w:bCs/>
      <w:kern w:val="2"/>
      <w:sz w:val="32"/>
      <w:szCs w:val="32"/>
    </w:rPr>
  </w:style>
  <w:style w:type="character" w:customStyle="1" w:styleId="62">
    <w:name w:val="标题 4 Char"/>
    <w:link w:val="5"/>
    <w:qFormat/>
    <w:uiPriority w:val="0"/>
    <w:rPr>
      <w:rFonts w:ascii="Arial" w:hAnsi="Arial" w:eastAsia="黑体"/>
      <w:sz w:val="28"/>
    </w:rPr>
  </w:style>
  <w:style w:type="character" w:customStyle="1" w:styleId="63">
    <w:name w:val="标题 5 Char"/>
    <w:link w:val="6"/>
    <w:qFormat/>
    <w:uiPriority w:val="0"/>
    <w:rPr>
      <w:b/>
      <w:kern w:val="2"/>
      <w:sz w:val="28"/>
      <w:szCs w:val="24"/>
    </w:rPr>
  </w:style>
  <w:style w:type="character" w:customStyle="1" w:styleId="64">
    <w:name w:val="标题 6 Char"/>
    <w:link w:val="8"/>
    <w:qFormat/>
    <w:uiPriority w:val="0"/>
    <w:rPr>
      <w:rFonts w:ascii="Arial" w:hAnsi="Arial" w:eastAsia="黑体"/>
      <w:b/>
      <w:kern w:val="2"/>
      <w:sz w:val="24"/>
      <w:szCs w:val="24"/>
    </w:rPr>
  </w:style>
  <w:style w:type="character" w:customStyle="1" w:styleId="65">
    <w:name w:val="标题 7 Char"/>
    <w:link w:val="9"/>
    <w:qFormat/>
    <w:uiPriority w:val="0"/>
    <w:rPr>
      <w:b/>
      <w:kern w:val="2"/>
      <w:sz w:val="24"/>
      <w:szCs w:val="24"/>
    </w:rPr>
  </w:style>
  <w:style w:type="character" w:customStyle="1" w:styleId="66">
    <w:name w:val="标题 8 Char"/>
    <w:link w:val="10"/>
    <w:qFormat/>
    <w:uiPriority w:val="0"/>
    <w:rPr>
      <w:rFonts w:ascii="Arial" w:hAnsi="Arial" w:eastAsia="黑体"/>
      <w:kern w:val="2"/>
      <w:sz w:val="24"/>
      <w:szCs w:val="24"/>
    </w:rPr>
  </w:style>
  <w:style w:type="character" w:customStyle="1" w:styleId="67">
    <w:name w:val="标题 9 Char"/>
    <w:link w:val="11"/>
    <w:qFormat/>
    <w:uiPriority w:val="0"/>
    <w:rPr>
      <w:rFonts w:ascii="Arial" w:hAnsi="Arial" w:eastAsia="黑体"/>
      <w:kern w:val="2"/>
      <w:sz w:val="21"/>
      <w:szCs w:val="24"/>
    </w:rPr>
  </w:style>
  <w:style w:type="character" w:customStyle="1" w:styleId="68">
    <w:name w:val="文档结构图 Char"/>
    <w:link w:val="16"/>
    <w:qFormat/>
    <w:uiPriority w:val="0"/>
    <w:rPr>
      <w:sz w:val="21"/>
      <w:shd w:val="clear" w:color="auto" w:fill="000080"/>
    </w:rPr>
  </w:style>
  <w:style w:type="character" w:customStyle="1" w:styleId="69">
    <w:name w:val="批注文字 Char"/>
    <w:link w:val="17"/>
    <w:qFormat/>
    <w:uiPriority w:val="0"/>
    <w:rPr>
      <w:kern w:val="2"/>
      <w:sz w:val="21"/>
      <w:szCs w:val="24"/>
    </w:rPr>
  </w:style>
  <w:style w:type="character" w:customStyle="1" w:styleId="70">
    <w:name w:val="正文文本 3 Char"/>
    <w:link w:val="18"/>
    <w:qFormat/>
    <w:uiPriority w:val="0"/>
    <w:rPr>
      <w:b/>
      <w:bCs/>
      <w:kern w:val="2"/>
      <w:sz w:val="24"/>
      <w:szCs w:val="24"/>
    </w:rPr>
  </w:style>
  <w:style w:type="character" w:customStyle="1" w:styleId="71">
    <w:name w:val="正文文本 Char"/>
    <w:link w:val="19"/>
    <w:qFormat/>
    <w:uiPriority w:val="99"/>
    <w:rPr>
      <w:kern w:val="2"/>
      <w:sz w:val="24"/>
      <w:szCs w:val="24"/>
    </w:rPr>
  </w:style>
  <w:style w:type="character" w:customStyle="1" w:styleId="72">
    <w:name w:val="正文文本缩进 Char"/>
    <w:link w:val="20"/>
    <w:qFormat/>
    <w:uiPriority w:val="99"/>
    <w:rPr>
      <w:rFonts w:ascii="仿宋_GB2312" w:eastAsia="仿宋_GB2312"/>
      <w:kern w:val="2"/>
      <w:sz w:val="32"/>
    </w:rPr>
  </w:style>
  <w:style w:type="character" w:customStyle="1" w:styleId="73">
    <w:name w:val="纯文本 Char"/>
    <w:link w:val="26"/>
    <w:qFormat/>
    <w:uiPriority w:val="99"/>
    <w:rPr>
      <w:rFonts w:ascii="宋体" w:hAnsi="Courier New" w:eastAsia="宋体" w:cs="Courier New"/>
      <w:kern w:val="2"/>
      <w:sz w:val="21"/>
      <w:szCs w:val="21"/>
      <w:lang w:val="en-US" w:eastAsia="zh-CN" w:bidi="ar-SA"/>
    </w:rPr>
  </w:style>
  <w:style w:type="character" w:customStyle="1" w:styleId="74">
    <w:name w:val="日期 Char"/>
    <w:link w:val="28"/>
    <w:qFormat/>
    <w:uiPriority w:val="0"/>
    <w:rPr>
      <w:rFonts w:ascii="宋体" w:hAnsi="Courier New" w:cs="Courier New"/>
      <w:kern w:val="2"/>
      <w:sz w:val="21"/>
      <w:szCs w:val="21"/>
    </w:rPr>
  </w:style>
  <w:style w:type="character" w:customStyle="1" w:styleId="75">
    <w:name w:val="正文文本缩进 2 Char"/>
    <w:link w:val="29"/>
    <w:qFormat/>
    <w:uiPriority w:val="0"/>
    <w:rPr>
      <w:kern w:val="2"/>
      <w:sz w:val="32"/>
    </w:rPr>
  </w:style>
  <w:style w:type="character" w:customStyle="1" w:styleId="76">
    <w:name w:val="批注框文本 Char"/>
    <w:link w:val="30"/>
    <w:qFormat/>
    <w:uiPriority w:val="0"/>
    <w:rPr>
      <w:kern w:val="2"/>
      <w:sz w:val="18"/>
      <w:szCs w:val="18"/>
    </w:rPr>
  </w:style>
  <w:style w:type="character" w:customStyle="1" w:styleId="77">
    <w:name w:val="页脚 Char"/>
    <w:link w:val="31"/>
    <w:qFormat/>
    <w:uiPriority w:val="0"/>
    <w:rPr>
      <w:kern w:val="2"/>
      <w:sz w:val="18"/>
      <w:szCs w:val="18"/>
    </w:rPr>
  </w:style>
  <w:style w:type="character" w:customStyle="1" w:styleId="78">
    <w:name w:val="页眉 Char"/>
    <w:link w:val="32"/>
    <w:qFormat/>
    <w:uiPriority w:val="99"/>
    <w:rPr>
      <w:kern w:val="2"/>
      <w:sz w:val="18"/>
      <w:szCs w:val="18"/>
    </w:rPr>
  </w:style>
  <w:style w:type="character" w:customStyle="1" w:styleId="79">
    <w:name w:val="正文文本缩进 3 Char"/>
    <w:link w:val="38"/>
    <w:qFormat/>
    <w:uiPriority w:val="0"/>
    <w:rPr>
      <w:kern w:val="2"/>
      <w:sz w:val="16"/>
      <w:szCs w:val="16"/>
    </w:rPr>
  </w:style>
  <w:style w:type="character" w:customStyle="1" w:styleId="80">
    <w:name w:val="正文文本 2 Char"/>
    <w:link w:val="41"/>
    <w:qFormat/>
    <w:uiPriority w:val="0"/>
    <w:rPr>
      <w:kern w:val="2"/>
      <w:sz w:val="21"/>
      <w:szCs w:val="24"/>
    </w:rPr>
  </w:style>
  <w:style w:type="character" w:customStyle="1" w:styleId="81">
    <w:name w:val="HTML 预设格式 Char"/>
    <w:link w:val="44"/>
    <w:qFormat/>
    <w:uiPriority w:val="0"/>
    <w:rPr>
      <w:rFonts w:ascii="黑体" w:hAnsi="Courier New" w:eastAsia="黑体" w:cs="Courier New"/>
    </w:rPr>
  </w:style>
  <w:style w:type="character" w:customStyle="1" w:styleId="82">
    <w:name w:val="标题 Char"/>
    <w:link w:val="47"/>
    <w:qFormat/>
    <w:uiPriority w:val="0"/>
    <w:rPr>
      <w:kern w:val="2"/>
      <w:sz w:val="30"/>
      <w:szCs w:val="24"/>
    </w:rPr>
  </w:style>
  <w:style w:type="character" w:customStyle="1" w:styleId="83">
    <w:name w:val="批注主题 Char"/>
    <w:link w:val="48"/>
    <w:qFormat/>
    <w:uiPriority w:val="0"/>
    <w:rPr>
      <w:b/>
      <w:bCs/>
      <w:kern w:val="2"/>
      <w:sz w:val="21"/>
      <w:szCs w:val="24"/>
    </w:rPr>
  </w:style>
  <w:style w:type="character" w:customStyle="1" w:styleId="84">
    <w:name w:val="正文首行缩进 Char"/>
    <w:link w:val="49"/>
    <w:qFormat/>
    <w:uiPriority w:val="0"/>
    <w:rPr>
      <w:kern w:val="2"/>
      <w:sz w:val="21"/>
      <w:szCs w:val="24"/>
    </w:rPr>
  </w:style>
  <w:style w:type="character" w:customStyle="1" w:styleId="85">
    <w:name w:val="正文首行缩进 2 Char"/>
    <w:link w:val="50"/>
    <w:qFormat/>
    <w:uiPriority w:val="0"/>
    <w:rPr>
      <w:kern w:val="2"/>
      <w:sz w:val="21"/>
      <w:szCs w:val="24"/>
    </w:rPr>
  </w:style>
  <w:style w:type="character" w:customStyle="1" w:styleId="86">
    <w:name w:val="style11"/>
    <w:qFormat/>
    <w:uiPriority w:val="0"/>
    <w:rPr>
      <w:rFonts w:hint="default" w:ascii="Arial" w:hAnsi="Arial" w:cs="Arial"/>
    </w:rPr>
  </w:style>
  <w:style w:type="character" w:customStyle="1" w:styleId="87">
    <w:name w:val="short_text1"/>
    <w:qFormat/>
    <w:uiPriority w:val="0"/>
    <w:rPr>
      <w:sz w:val="26"/>
    </w:rPr>
  </w:style>
  <w:style w:type="character" w:customStyle="1" w:styleId="88">
    <w:name w:val="white"/>
    <w:basedOn w:val="53"/>
    <w:qFormat/>
    <w:uiPriority w:val="0"/>
  </w:style>
  <w:style w:type="character" w:customStyle="1" w:styleId="89">
    <w:name w:val="text11"/>
    <w:qFormat/>
    <w:uiPriority w:val="0"/>
    <w:rPr>
      <w:rFonts w:hint="default" w:ascii="Verdana" w:hAnsi="Verdana"/>
      <w:color w:val="4E4E4E"/>
      <w:sz w:val="18"/>
      <w:szCs w:val="18"/>
    </w:rPr>
  </w:style>
  <w:style w:type="character" w:customStyle="1" w:styleId="90">
    <w:name w:val="mark8"/>
    <w:qFormat/>
    <w:uiPriority w:val="0"/>
    <w:rPr>
      <w:b/>
      <w:bCs/>
      <w:sz w:val="21"/>
      <w:szCs w:val="21"/>
    </w:rPr>
  </w:style>
  <w:style w:type="character" w:customStyle="1" w:styleId="91">
    <w:name w:val="纯文本 Char1"/>
    <w:qFormat/>
    <w:uiPriority w:val="0"/>
    <w:rPr>
      <w:rFonts w:ascii="宋体" w:hAnsi="Courier New" w:eastAsia="宋体" w:cs="Courier New"/>
      <w:kern w:val="2"/>
      <w:sz w:val="21"/>
      <w:szCs w:val="21"/>
      <w:lang w:val="en-US" w:eastAsia="zh-CN" w:bidi="ar-SA"/>
    </w:rPr>
  </w:style>
  <w:style w:type="character" w:customStyle="1" w:styleId="92">
    <w:name w:val="f151"/>
    <w:qFormat/>
    <w:uiPriority w:val="0"/>
    <w:rPr>
      <w:sz w:val="23"/>
      <w:szCs w:val="23"/>
    </w:rPr>
  </w:style>
  <w:style w:type="character" w:customStyle="1" w:styleId="93">
    <w:name w:val="062"/>
    <w:qFormat/>
    <w:uiPriority w:val="0"/>
    <w:rPr>
      <w:rFonts w:ascii="宋体" w:hAnsi="宋体"/>
      <w:b/>
      <w:bCs/>
      <w:sz w:val="32"/>
    </w:rPr>
  </w:style>
  <w:style w:type="character" w:customStyle="1" w:styleId="94">
    <w:name w:val="gray12"/>
    <w:basedOn w:val="53"/>
    <w:qFormat/>
    <w:uiPriority w:val="0"/>
  </w:style>
  <w:style w:type="character" w:customStyle="1" w:styleId="95">
    <w:name w:val="1ji Char"/>
    <w:link w:val="96"/>
    <w:qFormat/>
    <w:uiPriority w:val="0"/>
    <w:rPr>
      <w:rFonts w:ascii="宋体" w:hAnsi="宋体" w:eastAsia="宋体"/>
      <w:b/>
      <w:bCs/>
      <w:kern w:val="44"/>
      <w:sz w:val="36"/>
      <w:szCs w:val="44"/>
      <w:lang w:val="en-US" w:eastAsia="zh-CN" w:bidi="ar-SA"/>
    </w:rPr>
  </w:style>
  <w:style w:type="paragraph" w:customStyle="1" w:styleId="96">
    <w:name w:val="1ji"/>
    <w:basedOn w:val="2"/>
    <w:link w:val="95"/>
    <w:qFormat/>
    <w:uiPriority w:val="0"/>
    <w:pPr>
      <w:keepLines w:val="0"/>
      <w:widowControl/>
      <w:spacing w:before="0" w:beforeLines="0" w:after="0" w:afterLines="0" w:line="240" w:lineRule="auto"/>
      <w:jc w:val="center"/>
    </w:pPr>
    <w:rPr>
      <w:rFonts w:ascii="宋体" w:hAnsi="宋体"/>
      <w:sz w:val="36"/>
    </w:rPr>
  </w:style>
  <w:style w:type="character" w:customStyle="1" w:styleId="97">
    <w:name w:val="font01"/>
    <w:qFormat/>
    <w:uiPriority w:val="0"/>
    <w:rPr>
      <w:rFonts w:hint="eastAsia" w:ascii="宋体" w:hAnsi="宋体" w:eastAsia="宋体"/>
      <w:color w:val="000000"/>
      <w:sz w:val="22"/>
      <w:szCs w:val="22"/>
      <w:u w:val="none"/>
    </w:rPr>
  </w:style>
  <w:style w:type="character" w:customStyle="1" w:styleId="98">
    <w:name w:val="small"/>
    <w:basedOn w:val="53"/>
    <w:qFormat/>
    <w:uiPriority w:val="0"/>
  </w:style>
  <w:style w:type="character" w:customStyle="1" w:styleId="99">
    <w:name w:val="apple-converted-space"/>
    <w:qFormat/>
    <w:uiPriority w:val="0"/>
  </w:style>
  <w:style w:type="character" w:customStyle="1" w:styleId="100">
    <w:name w:val="case31"/>
    <w:qFormat/>
    <w:uiPriority w:val="0"/>
    <w:rPr>
      <w:rFonts w:hint="default" w:ascii="_x000B__x000C_" w:hAnsi="_x000B__x000C_"/>
      <w:sz w:val="21"/>
      <w:szCs w:val="21"/>
    </w:rPr>
  </w:style>
  <w:style w:type="character" w:customStyle="1" w:styleId="101">
    <w:name w:val="graytext1"/>
    <w:qFormat/>
    <w:uiPriority w:val="0"/>
    <w:rPr>
      <w:color w:val="666666"/>
    </w:rPr>
  </w:style>
  <w:style w:type="character" w:customStyle="1" w:styleId="102">
    <w:name w:val="标题3 Char"/>
    <w:link w:val="103"/>
    <w:qFormat/>
    <w:uiPriority w:val="0"/>
    <w:rPr>
      <w:rFonts w:ascii="宋体" w:hAnsi="宋体"/>
      <w:b/>
      <w:bCs/>
      <w:kern w:val="44"/>
      <w:sz w:val="24"/>
      <w:szCs w:val="24"/>
    </w:rPr>
  </w:style>
  <w:style w:type="paragraph" w:customStyle="1" w:styleId="103">
    <w:name w:val="标题3"/>
    <w:basedOn w:val="2"/>
    <w:link w:val="102"/>
    <w:qFormat/>
    <w:uiPriority w:val="0"/>
    <w:pPr>
      <w:spacing w:before="0" w:beforeLines="50" w:after="0" w:afterLines="50" w:line="400" w:lineRule="exact"/>
    </w:pPr>
    <w:rPr>
      <w:rFonts w:ascii="宋体" w:hAnsi="宋体"/>
      <w:sz w:val="24"/>
      <w:szCs w:val="24"/>
    </w:rPr>
  </w:style>
  <w:style w:type="character" w:customStyle="1" w:styleId="104">
    <w:name w:val="1051"/>
    <w:qFormat/>
    <w:uiPriority w:val="0"/>
    <w:rPr>
      <w:sz w:val="21"/>
      <w:szCs w:val="21"/>
    </w:rPr>
  </w:style>
  <w:style w:type="character" w:customStyle="1" w:styleId="105">
    <w:name w:val="content2"/>
    <w:basedOn w:val="53"/>
    <w:qFormat/>
    <w:uiPriority w:val="0"/>
  </w:style>
  <w:style w:type="character" w:customStyle="1" w:styleId="106">
    <w:name w:val="z-窗体顶端 Char"/>
    <w:link w:val="107"/>
    <w:qFormat/>
    <w:uiPriority w:val="0"/>
    <w:rPr>
      <w:rFonts w:ascii="Arial"/>
      <w:vanish/>
      <w:kern w:val="2"/>
      <w:sz w:val="16"/>
      <w:szCs w:val="24"/>
    </w:rPr>
  </w:style>
  <w:style w:type="paragraph" w:customStyle="1" w:styleId="107">
    <w:name w:val="_Style 106"/>
    <w:basedOn w:val="1"/>
    <w:next w:val="1"/>
    <w:link w:val="106"/>
    <w:qFormat/>
    <w:uiPriority w:val="0"/>
    <w:pPr>
      <w:pBdr>
        <w:bottom w:val="single" w:color="auto" w:sz="6" w:space="1"/>
      </w:pBdr>
      <w:jc w:val="center"/>
    </w:pPr>
    <w:rPr>
      <w:rFonts w:ascii="Arial"/>
      <w:vanish/>
      <w:sz w:val="16"/>
    </w:rPr>
  </w:style>
  <w:style w:type="character" w:customStyle="1" w:styleId="108">
    <w:name w:val="unnamed3"/>
    <w:basedOn w:val="53"/>
    <w:qFormat/>
    <w:uiPriority w:val="0"/>
  </w:style>
  <w:style w:type="character" w:customStyle="1" w:styleId="109">
    <w:name w:val="批注文字 Char2"/>
    <w:qFormat/>
    <w:uiPriority w:val="0"/>
    <w:rPr>
      <w:kern w:val="2"/>
      <w:sz w:val="21"/>
      <w:szCs w:val="24"/>
      <w:lang w:bidi="ar-SA"/>
    </w:rPr>
  </w:style>
  <w:style w:type="character" w:customStyle="1" w:styleId="110">
    <w:name w:val="style21"/>
    <w:qFormat/>
    <w:uiPriority w:val="0"/>
    <w:rPr>
      <w:sz w:val="17"/>
      <w:szCs w:val="17"/>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1"/>
    <w:basedOn w:val="1"/>
    <w:qFormat/>
    <w:uiPriority w:val="0"/>
    <w:rPr>
      <w:szCs w:val="21"/>
    </w:rPr>
  </w:style>
  <w:style w:type="paragraph" w:customStyle="1" w:styleId="11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15">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16">
    <w:name w:val="List Paragraph1"/>
    <w:basedOn w:val="1"/>
    <w:qFormat/>
    <w:uiPriority w:val="0"/>
    <w:pPr>
      <w:ind w:firstLine="420" w:firstLineChars="200"/>
    </w:pPr>
    <w:rPr>
      <w:rFonts w:ascii="Calibri" w:hAnsi="Calibri"/>
      <w:szCs w:val="22"/>
    </w:rPr>
  </w:style>
  <w:style w:type="paragraph" w:styleId="117">
    <w:name w:val="List Paragraph"/>
    <w:basedOn w:val="1"/>
    <w:qFormat/>
    <w:uiPriority w:val="34"/>
    <w:pPr>
      <w:ind w:firstLine="420" w:firstLineChars="200"/>
    </w:pPr>
    <w:rPr>
      <w:rFonts w:ascii="Calibri" w:hAnsi="Calibri"/>
      <w:szCs w:val="22"/>
    </w:rPr>
  </w:style>
  <w:style w:type="paragraph" w:customStyle="1" w:styleId="118">
    <w:name w:val=" Char Char Char Char Char Char Char"/>
    <w:basedOn w:val="1"/>
    <w:qFormat/>
    <w:uiPriority w:val="0"/>
  </w:style>
  <w:style w:type="paragraph" w:customStyle="1" w:styleId="119">
    <w:name w:val=" Char"/>
    <w:basedOn w:val="1"/>
    <w:qFormat/>
    <w:uiPriority w:val="0"/>
    <w:pPr>
      <w:tabs>
        <w:tab w:val="left" w:pos="360"/>
      </w:tabs>
      <w:ind w:left="252" w:hanging="252" w:hangingChars="140"/>
    </w:pPr>
    <w:rPr>
      <w:rFonts w:ascii="宋体"/>
      <w:sz w:val="18"/>
      <w:szCs w:val="18"/>
    </w:rPr>
  </w:style>
  <w:style w:type="paragraph" w:customStyle="1" w:styleId="120">
    <w:name w:val="次小点说明 Char"/>
    <w:basedOn w:val="7"/>
    <w:qFormat/>
    <w:uiPriority w:val="0"/>
    <w:pPr>
      <w:ind w:firstLine="0"/>
    </w:pPr>
    <w:rPr>
      <w:sz w:val="24"/>
      <w:szCs w:val="24"/>
    </w:rPr>
  </w:style>
  <w:style w:type="paragraph" w:customStyle="1" w:styleId="121">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2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3">
    <w:name w:val="五号正文（标准）"/>
    <w:basedOn w:val="1"/>
    <w:qFormat/>
    <w:uiPriority w:val="0"/>
    <w:pPr>
      <w:spacing w:line="360" w:lineRule="auto"/>
      <w:ind w:right="55" w:firstLine="560" w:firstLineChars="200"/>
    </w:pPr>
    <w:rPr>
      <w:rFonts w:eastAsia="仿宋_GB2312"/>
      <w:sz w:val="28"/>
      <w:szCs w:val="20"/>
    </w:rPr>
  </w:style>
  <w:style w:type="paragraph" w:customStyle="1" w:styleId="124">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25">
    <w:name w:val="默认段落字体 Para Char"/>
    <w:basedOn w:val="1"/>
    <w:qFormat/>
    <w:uiPriority w:val="0"/>
    <w:pPr>
      <w:adjustRightInd w:val="0"/>
      <w:spacing w:line="360" w:lineRule="auto"/>
    </w:pPr>
    <w:rPr>
      <w:kern w:val="0"/>
      <w:sz w:val="24"/>
      <w:szCs w:val="20"/>
    </w:rPr>
  </w:style>
  <w:style w:type="paragraph" w:customStyle="1" w:styleId="126">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27">
    <w:name w:val="样式1"/>
    <w:basedOn w:val="1"/>
    <w:qFormat/>
    <w:uiPriority w:val="0"/>
    <w:pPr>
      <w:spacing w:before="120" w:beforeLines="0" w:after="120" w:afterLines="0" w:line="300" w:lineRule="auto"/>
    </w:pPr>
    <w:rPr>
      <w:rFonts w:ascii="宋体" w:hAnsi="宋体"/>
      <w:b/>
      <w:sz w:val="24"/>
      <w:szCs w:val="20"/>
    </w:rPr>
  </w:style>
  <w:style w:type="paragraph" w:customStyle="1" w:styleId="128">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2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0">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2">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4">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3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36">
    <w:name w:val="正文首行缩进两字符"/>
    <w:basedOn w:val="1"/>
    <w:qFormat/>
    <w:uiPriority w:val="0"/>
    <w:pPr>
      <w:spacing w:line="360" w:lineRule="auto"/>
      <w:ind w:firstLine="200" w:firstLineChars="200"/>
    </w:pPr>
  </w:style>
  <w:style w:type="paragraph" w:customStyle="1" w:styleId="137">
    <w:name w:val="_Style 136"/>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3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39">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40">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4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43">
    <w:name w:val="1"/>
    <w:basedOn w:val="1"/>
    <w:next w:val="26"/>
    <w:qFormat/>
    <w:uiPriority w:val="0"/>
    <w:rPr>
      <w:rFonts w:ascii="宋体" w:hAnsi="Courier New"/>
      <w:szCs w:val="20"/>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6">
    <w:name w:val="Char Char Char"/>
    <w:basedOn w:val="1"/>
    <w:qFormat/>
    <w:uiPriority w:val="0"/>
    <w:rPr>
      <w:rFonts w:ascii="Tahoma" w:hAnsi="Tahoma"/>
      <w:sz w:val="24"/>
      <w:szCs w:val="20"/>
    </w:rPr>
  </w:style>
  <w:style w:type="paragraph" w:customStyle="1" w:styleId="14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样式 首行缩进:  2 字符"/>
    <w:basedOn w:val="1"/>
    <w:qFormat/>
    <w:uiPriority w:val="0"/>
    <w:pPr>
      <w:spacing w:line="400" w:lineRule="exact"/>
      <w:ind w:firstLine="200" w:firstLineChars="200"/>
    </w:pPr>
    <w:rPr>
      <w:rFonts w:cs="宋体"/>
      <w:sz w:val="24"/>
    </w:rPr>
  </w:style>
  <w:style w:type="paragraph" w:customStyle="1" w:styleId="150">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1">
    <w:name w:val="表格"/>
    <w:basedOn w:val="1"/>
    <w:qFormat/>
    <w:uiPriority w:val="0"/>
    <w:pPr>
      <w:spacing w:line="400" w:lineRule="exact"/>
    </w:pPr>
    <w:rPr>
      <w:sz w:val="24"/>
    </w:rPr>
  </w:style>
  <w:style w:type="paragraph" w:customStyle="1" w:styleId="152">
    <w:name w:val="默认段落字体 Para Char Char Char Char Char Char Char Char Char1 Char Char Char Char"/>
    <w:basedOn w:val="1"/>
    <w:qFormat/>
    <w:uiPriority w:val="0"/>
    <w:rPr>
      <w:rFonts w:ascii="Tahoma" w:hAnsi="Tahoma"/>
      <w:sz w:val="24"/>
      <w:szCs w:val="20"/>
    </w:rPr>
  </w:style>
  <w:style w:type="paragraph" w:customStyle="1" w:styleId="15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4">
    <w:name w:val="Char Char Char Char Char Char Char"/>
    <w:basedOn w:val="1"/>
    <w:qFormat/>
    <w:uiPriority w:val="0"/>
  </w:style>
  <w:style w:type="paragraph" w:customStyle="1" w:styleId="155">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56">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57">
    <w:name w:val="F2"/>
    <w:basedOn w:val="1"/>
    <w:qFormat/>
    <w:uiPriority w:val="0"/>
    <w:pPr>
      <w:autoSpaceDE w:val="0"/>
      <w:autoSpaceDN w:val="0"/>
      <w:adjustRightInd w:val="0"/>
      <w:ind w:firstLine="601"/>
      <w:textAlignment w:val="baseline"/>
    </w:pPr>
    <w:rPr>
      <w:kern w:val="0"/>
      <w:sz w:val="24"/>
      <w:szCs w:val="20"/>
    </w:rPr>
  </w:style>
  <w:style w:type="paragraph" w:customStyle="1" w:styleId="158">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9">
    <w:name w:val="tgt1"/>
    <w:basedOn w:val="1"/>
    <w:qFormat/>
    <w:uiPriority w:val="0"/>
    <w:pPr>
      <w:widowControl/>
      <w:spacing w:after="150" w:afterLines="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2">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4">
    <w:name w:val="2-2ji"/>
    <w:basedOn w:val="3"/>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5">
    <w:name w:val="444"/>
    <w:basedOn w:val="1"/>
    <w:qFormat/>
    <w:uiPriority w:val="0"/>
    <w:pPr>
      <w:adjustRightInd w:val="0"/>
      <w:spacing w:line="312" w:lineRule="atLeast"/>
      <w:jc w:val="center"/>
      <w:textAlignment w:val="baseline"/>
    </w:pPr>
    <w:rPr>
      <w:b/>
      <w:kern w:val="0"/>
      <w:sz w:val="36"/>
      <w:szCs w:val="36"/>
    </w:rPr>
  </w:style>
  <w:style w:type="paragraph" w:customStyle="1" w:styleId="166">
    <w:name w:val="Table Paragraph"/>
    <w:basedOn w:val="1"/>
    <w:qFormat/>
    <w:uiPriority w:val="1"/>
    <w:pPr>
      <w:autoSpaceDE w:val="0"/>
      <w:autoSpaceDN w:val="0"/>
      <w:adjustRightInd w:val="0"/>
      <w:jc w:val="left"/>
    </w:pPr>
    <w:rPr>
      <w:kern w:val="0"/>
      <w:sz w:val="24"/>
    </w:rPr>
  </w:style>
  <w:style w:type="character" w:customStyle="1" w:styleId="167">
    <w:name w:val="fd"/>
    <w:qFormat/>
    <w:uiPriority w:val="0"/>
  </w:style>
  <w:style w:type="paragraph" w:customStyle="1" w:styleId="168">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69">
    <w:name w:val="批注文字 字符"/>
    <w:qFormat/>
    <w:uiPriority w:val="0"/>
    <w:rPr>
      <w:rFonts w:ascii="Times New Roman" w:hAnsi="Times New Roman" w:eastAsia="宋体" w:cs="Times New Roman"/>
      <w:szCs w:val="24"/>
    </w:rPr>
  </w:style>
  <w:style w:type="character" w:customStyle="1" w:styleId="170">
    <w:name w:val="批注文字 字符1"/>
    <w:qFormat/>
    <w:uiPriority w:val="0"/>
    <w:rPr>
      <w:kern w:val="2"/>
      <w:sz w:val="21"/>
      <w:szCs w:val="24"/>
    </w:rPr>
  </w:style>
  <w:style w:type="character" w:customStyle="1" w:styleId="171">
    <w:name w:val="_Style 170"/>
    <w:unhideWhenUsed/>
    <w:qFormat/>
    <w:uiPriority w:val="99"/>
    <w:rPr>
      <w:color w:val="605E5C"/>
      <w:shd w:val="clear" w:color="auto" w:fill="E1DFDD"/>
    </w:rPr>
  </w:style>
  <w:style w:type="character" w:customStyle="1" w:styleId="172">
    <w:name w:val="纯文本 字符1"/>
    <w:qFormat/>
    <w:uiPriority w:val="99"/>
    <w:rPr>
      <w:rFonts w:ascii="宋体" w:hAnsi="Courier New" w:eastAsia="宋体" w:cs="Courier New"/>
      <w:kern w:val="2"/>
      <w:sz w:val="21"/>
      <w:szCs w:val="21"/>
      <w:lang w:val="en-US" w:eastAsia="zh-CN" w:bidi="ar-SA"/>
    </w:rPr>
  </w:style>
  <w:style w:type="paragraph" w:customStyle="1" w:styleId="173">
    <w:name w:val="正文-2字符首行缩进"/>
    <w:basedOn w:val="1"/>
    <w:link w:val="174"/>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4">
    <w:name w:val="正文-2字符首行缩进 Char"/>
    <w:link w:val="173"/>
    <w:qFormat/>
    <w:uiPriority w:val="0"/>
    <w:rPr>
      <w:rFonts w:ascii="仿宋_GB2312" w:hAnsi="Calibri" w:eastAsia="仿宋_GB2312"/>
      <w:sz w:val="28"/>
      <w:szCs w:val="22"/>
    </w:rPr>
  </w:style>
  <w:style w:type="paragraph" w:customStyle="1" w:styleId="175">
    <w:name w:val="列出段落1"/>
    <w:basedOn w:val="1"/>
    <w:qFormat/>
    <w:uiPriority w:val="99"/>
    <w:pPr>
      <w:ind w:firstLine="420" w:firstLineChars="200"/>
    </w:pPr>
    <w:rPr>
      <w:rFonts w:ascii="等线" w:hAnsi="等线" w:eastAsia="等线"/>
    </w:rPr>
  </w:style>
  <w:style w:type="character" w:customStyle="1" w:styleId="176">
    <w:name w:val="正文文本 字符"/>
    <w:qFormat/>
    <w:uiPriority w:val="99"/>
    <w:rPr>
      <w:kern w:val="2"/>
      <w:sz w:val="24"/>
      <w:szCs w:val="24"/>
    </w:rPr>
  </w:style>
  <w:style w:type="character" w:customStyle="1" w:styleId="177">
    <w:name w:val="纯文本 字符"/>
    <w:qFormat/>
    <w:uiPriority w:val="99"/>
    <w:rPr>
      <w:rFonts w:ascii="宋体" w:hAnsi="Courier New" w:eastAsia="宋体" w:cs="Courier New"/>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4.png"/><Relationship Id="rId22" Type="http://schemas.openxmlformats.org/officeDocument/2006/relationships/image" Target="media/image3.emf"/><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72</Pages>
  <Words>11248</Words>
  <Characters>13266</Characters>
  <Lines>383</Lines>
  <Paragraphs>107</Paragraphs>
  <TotalTime>0</TotalTime>
  <ScaleCrop>false</ScaleCrop>
  <LinksUpToDate>false</LinksUpToDate>
  <CharactersWithSpaces>13353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2020-09-14T09:23:00Z</dcterms:created>
  <dc:creator>微软用户</dc:creator>
  <cp:lastModifiedBy>admin</cp:lastModifiedBy>
  <cp:lastPrinted>2016-03-22T07:52:00Z</cp:lastPrinted>
  <dcterms:modified xsi:type="dcterms:W3CDTF">2026-08-31T09:02:12Z</dcterms:modified>
  <dc:title>桂财采〔2009〕 号</dc:title>
  <cp:revision>204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eyJoZGlkIjoiNTZlMzdlMTY3NDA3NDgzMmMwYjVjMDZiNjFlNWI5MTIiLCJ1c2VySWQiOiIxMDg2Nzc2Mzg1In0=</vt:lpwstr>
  </property>
  <property fmtid="{D5CDD505-2E9C-101B-9397-08002B2CF9AE}" pid="14" name="ICV">
    <vt:lpwstr>2FD860FA9B354BF9A7B694E9C31F1380_13</vt:lpwstr>
  </property>
</Properties>
</file>