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33ECD9">
      <w:pPr>
        <w:spacing w:line="360" w:lineRule="auto"/>
        <w:rPr>
          <w:rFonts w:hint="eastAsia" w:ascii="黑体" w:hAnsi="黑体" w:eastAsia="黑体" w:cs="Arial"/>
          <w:b/>
          <w:color w:val="auto"/>
          <w:kern w:val="0"/>
          <w:sz w:val="28"/>
          <w:szCs w:val="28"/>
          <w:highlight w:val="none"/>
        </w:rPr>
      </w:pPr>
      <w:r>
        <w:rPr>
          <w:rFonts w:ascii="黑体" w:hAnsi="黑体" w:eastAsia="黑体" w:cs="Arial"/>
          <w:b/>
          <w:color w:val="auto"/>
          <w:kern w:val="0"/>
          <w:sz w:val="28"/>
          <w:szCs w:val="28"/>
          <w:highlight w:val="none"/>
        </w:rPr>
        <w:t>一、</w:t>
      </w:r>
      <w:r>
        <w:rPr>
          <w:rFonts w:hint="eastAsia" w:ascii="黑体" w:hAnsi="黑体" w:eastAsia="黑体" w:cs="Arial"/>
          <w:b/>
          <w:color w:val="auto"/>
          <w:kern w:val="0"/>
          <w:sz w:val="28"/>
          <w:szCs w:val="28"/>
          <w:highlight w:val="none"/>
        </w:rPr>
        <w:t>总体</w:t>
      </w:r>
      <w:r>
        <w:rPr>
          <w:rFonts w:ascii="黑体" w:hAnsi="黑体" w:eastAsia="黑体" w:cs="Arial"/>
          <w:b/>
          <w:color w:val="auto"/>
          <w:kern w:val="0"/>
          <w:sz w:val="28"/>
          <w:szCs w:val="28"/>
          <w:highlight w:val="none"/>
        </w:rPr>
        <w:t>要求</w:t>
      </w:r>
    </w:p>
    <w:p w14:paraId="3F11FB6D">
      <w:pPr>
        <w:spacing w:line="360" w:lineRule="auto"/>
        <w:rPr>
          <w:color w:val="auto"/>
          <w:szCs w:val="21"/>
          <w:highlight w:val="none"/>
        </w:rPr>
      </w:pPr>
      <w:r>
        <w:rPr>
          <w:color w:val="auto"/>
          <w:szCs w:val="21"/>
          <w:highlight w:val="none"/>
        </w:rPr>
        <w:t>1</w:t>
      </w:r>
      <w:r>
        <w:rPr>
          <w:rFonts w:hint="eastAsia"/>
          <w:color w:val="auto"/>
          <w:szCs w:val="21"/>
          <w:highlight w:val="none"/>
        </w:rPr>
        <w:t>.政府采购政策的应用</w:t>
      </w:r>
    </w:p>
    <w:p w14:paraId="2FE76016">
      <w:pPr>
        <w:spacing w:line="360" w:lineRule="auto"/>
        <w:rPr>
          <w:color w:val="auto"/>
          <w:szCs w:val="21"/>
          <w:highlight w:val="none"/>
        </w:rPr>
      </w:pPr>
      <w:r>
        <w:rPr>
          <w:rFonts w:hint="eastAsia"/>
          <w:color w:val="auto"/>
          <w:szCs w:val="21"/>
          <w:highlight w:val="none"/>
        </w:rPr>
        <w:t>详见</w:t>
      </w:r>
      <w:r>
        <w:rPr>
          <w:rFonts w:hint="eastAsia"/>
          <w:color w:val="auto"/>
          <w:szCs w:val="21"/>
          <w:highlight w:val="none"/>
          <w:lang w:eastAsia="zh-CN"/>
        </w:rPr>
        <w:t>采购文件</w:t>
      </w:r>
      <w:r>
        <w:rPr>
          <w:rFonts w:hint="eastAsia"/>
          <w:color w:val="auto"/>
          <w:szCs w:val="21"/>
          <w:highlight w:val="none"/>
        </w:rPr>
        <w:t>“评审方法及标准</w:t>
      </w:r>
      <w:r>
        <w:rPr>
          <w:color w:val="auto"/>
          <w:szCs w:val="21"/>
          <w:highlight w:val="none"/>
        </w:rPr>
        <w:t>/政府采购政策应用说明”。</w:t>
      </w:r>
    </w:p>
    <w:p w14:paraId="5A5DFD83">
      <w:pPr>
        <w:spacing w:line="360" w:lineRule="auto"/>
        <w:rPr>
          <w:color w:val="auto"/>
          <w:szCs w:val="21"/>
          <w:highlight w:val="none"/>
        </w:rPr>
      </w:pPr>
      <w:r>
        <w:rPr>
          <w:color w:val="auto"/>
          <w:szCs w:val="21"/>
          <w:highlight w:val="none"/>
        </w:rPr>
        <w:t>2</w:t>
      </w:r>
      <w:r>
        <w:rPr>
          <w:rFonts w:hint="eastAsia"/>
          <w:color w:val="auto"/>
          <w:szCs w:val="21"/>
          <w:highlight w:val="none"/>
        </w:rPr>
        <w:t>.采购需求要求未尽事宜</w:t>
      </w:r>
      <w:r>
        <w:rPr>
          <w:color w:val="auto"/>
          <w:szCs w:val="21"/>
          <w:highlight w:val="none"/>
        </w:rPr>
        <w:t>由</w:t>
      </w:r>
      <w:r>
        <w:rPr>
          <w:rFonts w:hint="eastAsia"/>
          <w:color w:val="auto"/>
          <w:szCs w:val="21"/>
          <w:highlight w:val="none"/>
        </w:rPr>
        <w:t>采购人与</w:t>
      </w:r>
      <w:r>
        <w:rPr>
          <w:rFonts w:hint="eastAsia"/>
          <w:color w:val="auto"/>
          <w:szCs w:val="21"/>
          <w:highlight w:val="none"/>
          <w:lang w:eastAsia="zh-CN"/>
        </w:rPr>
        <w:t>成交</w:t>
      </w:r>
      <w:r>
        <w:rPr>
          <w:rFonts w:hint="eastAsia"/>
          <w:color w:val="auto"/>
          <w:szCs w:val="21"/>
          <w:highlight w:val="none"/>
        </w:rPr>
        <w:t>供应商</w:t>
      </w:r>
      <w:r>
        <w:rPr>
          <w:color w:val="auto"/>
          <w:szCs w:val="21"/>
          <w:highlight w:val="none"/>
        </w:rPr>
        <w:t>在采购合同中约定。</w:t>
      </w:r>
    </w:p>
    <w:p w14:paraId="62D37C67">
      <w:pPr>
        <w:spacing w:line="360" w:lineRule="auto"/>
        <w:rPr>
          <w:color w:val="auto"/>
          <w:szCs w:val="21"/>
          <w:highlight w:val="none"/>
        </w:rPr>
      </w:pPr>
      <w:r>
        <w:rPr>
          <w:rFonts w:hint="eastAsia"/>
          <w:color w:val="auto"/>
          <w:szCs w:val="21"/>
          <w:highlight w:val="none"/>
        </w:rPr>
        <w:t>3.标注“▲”的条款或要求系指实质性条款或实质性要求，必须满足，如存在负偏离将导致</w:t>
      </w:r>
      <w:r>
        <w:rPr>
          <w:rFonts w:hint="eastAsia"/>
          <w:color w:val="auto"/>
          <w:szCs w:val="21"/>
          <w:highlight w:val="none"/>
          <w:lang w:val="en-US" w:eastAsia="zh-CN"/>
        </w:rPr>
        <w:t>响应</w:t>
      </w:r>
      <w:r>
        <w:rPr>
          <w:rFonts w:hint="eastAsia"/>
          <w:color w:val="auto"/>
          <w:szCs w:val="21"/>
          <w:highlight w:val="none"/>
        </w:rPr>
        <w:t>被否决。</w:t>
      </w:r>
    </w:p>
    <w:p w14:paraId="6658783F">
      <w:pPr>
        <w:spacing w:line="360" w:lineRule="auto"/>
        <w:rPr>
          <w:rFonts w:hint="eastAsia" w:ascii="黑体" w:hAnsi="黑体" w:eastAsia="黑体" w:cs="Arial"/>
          <w:b/>
          <w:color w:val="auto"/>
          <w:kern w:val="0"/>
          <w:sz w:val="28"/>
          <w:szCs w:val="28"/>
          <w:highlight w:val="none"/>
        </w:rPr>
      </w:pPr>
      <w:r>
        <w:rPr>
          <w:rFonts w:hint="eastAsia" w:ascii="黑体" w:hAnsi="黑体" w:eastAsia="黑体" w:cs="Arial"/>
          <w:b/>
          <w:color w:val="auto"/>
          <w:kern w:val="0"/>
          <w:sz w:val="28"/>
          <w:szCs w:val="28"/>
          <w:highlight w:val="none"/>
        </w:rPr>
        <w:t>二、技术要求</w:t>
      </w:r>
    </w:p>
    <w:p w14:paraId="6B09FA40">
      <w:pPr>
        <w:spacing w:line="360" w:lineRule="auto"/>
        <w:rPr>
          <w:color w:val="auto"/>
          <w:szCs w:val="21"/>
          <w:highlight w:val="none"/>
        </w:rPr>
      </w:pPr>
      <w:r>
        <w:rPr>
          <w:rFonts w:hint="eastAsia"/>
          <w:color w:val="auto"/>
          <w:szCs w:val="21"/>
          <w:highlight w:val="none"/>
        </w:rPr>
        <w:t>1.需实现的功能、目标及应用场景</w:t>
      </w:r>
    </w:p>
    <w:p w14:paraId="78D262A1">
      <w:pPr>
        <w:spacing w:line="360" w:lineRule="auto"/>
        <w:rPr>
          <w:color w:val="auto"/>
          <w:szCs w:val="21"/>
          <w:highlight w:val="none"/>
        </w:rPr>
      </w:pPr>
      <w:r>
        <w:rPr>
          <w:rFonts w:hint="eastAsia"/>
          <w:color w:val="auto"/>
          <w:szCs w:val="21"/>
          <w:highlight w:val="none"/>
        </w:rPr>
        <w:t>满足</w:t>
      </w:r>
      <w:r>
        <w:rPr>
          <w:rFonts w:hint="eastAsia"/>
          <w:color w:val="auto"/>
          <w:szCs w:val="21"/>
          <w:highlight w:val="none"/>
          <w:lang w:eastAsia="zh-CN"/>
        </w:rPr>
        <w:t>采购文件</w:t>
      </w:r>
      <w:r>
        <w:rPr>
          <w:rFonts w:hint="eastAsia"/>
          <w:color w:val="auto"/>
          <w:szCs w:val="21"/>
          <w:highlight w:val="none"/>
        </w:rPr>
        <w:t>要求，验收达到合格标准。</w:t>
      </w:r>
    </w:p>
    <w:p w14:paraId="3A1EC495">
      <w:pPr>
        <w:spacing w:line="360" w:lineRule="auto"/>
        <w:rPr>
          <w:color w:val="auto"/>
          <w:szCs w:val="21"/>
          <w:highlight w:val="none"/>
        </w:rPr>
      </w:pPr>
      <w:r>
        <w:rPr>
          <w:rFonts w:hint="eastAsia"/>
          <w:color w:val="auto"/>
          <w:szCs w:val="21"/>
          <w:highlight w:val="none"/>
        </w:rPr>
        <w:t>2.</w:t>
      </w:r>
      <w:r>
        <w:rPr>
          <w:color w:val="auto"/>
          <w:szCs w:val="21"/>
          <w:highlight w:val="none"/>
        </w:rPr>
        <w:t>需执行的国家相关标准、行业标准、地方标准或者其他标准、规范</w:t>
      </w:r>
    </w:p>
    <w:p w14:paraId="496858FA">
      <w:pPr>
        <w:spacing w:line="360" w:lineRule="auto"/>
        <w:rPr>
          <w:color w:val="auto"/>
          <w:szCs w:val="21"/>
          <w:highlight w:val="none"/>
        </w:rPr>
      </w:pPr>
      <w:r>
        <w:rPr>
          <w:rFonts w:hint="eastAsia"/>
          <w:color w:val="auto"/>
          <w:szCs w:val="21"/>
          <w:highlight w:val="none"/>
        </w:rPr>
        <w:t>本项目应执行的国家相关标准、行业标准、地方标准或者其他标准、规范为：</w:t>
      </w:r>
      <w:r>
        <w:rPr>
          <w:rFonts w:hint="eastAsia"/>
          <w:color w:val="auto"/>
          <w:szCs w:val="21"/>
          <w:highlight w:val="none"/>
          <w:u w:val="single"/>
        </w:rPr>
        <w:t>详见技术指标要求</w:t>
      </w:r>
      <w:r>
        <w:rPr>
          <w:rFonts w:hint="eastAsia"/>
          <w:color w:val="auto"/>
          <w:szCs w:val="21"/>
          <w:highlight w:val="none"/>
        </w:rPr>
        <w:t>.</w:t>
      </w:r>
    </w:p>
    <w:p w14:paraId="432A4849">
      <w:pPr>
        <w:spacing w:line="360" w:lineRule="auto"/>
        <w:rPr>
          <w:color w:val="auto"/>
          <w:szCs w:val="21"/>
          <w:highlight w:val="none"/>
        </w:rPr>
      </w:pPr>
      <w:r>
        <w:rPr>
          <w:rFonts w:hint="eastAsia"/>
          <w:color w:val="auto"/>
          <w:szCs w:val="21"/>
          <w:highlight w:val="none"/>
        </w:rPr>
        <w:t>3.标的所属行业：</w:t>
      </w:r>
      <w:r>
        <w:rPr>
          <w:rFonts w:hint="eastAsia" w:ascii="宋体" w:hAnsi="宋体" w:cs="宋体"/>
          <w:b/>
          <w:bCs/>
          <w:color w:val="auto"/>
          <w:spacing w:val="-4"/>
          <w:szCs w:val="21"/>
          <w:highlight w:val="none"/>
        </w:rPr>
        <w:t>其他未列明行业</w:t>
      </w:r>
    </w:p>
    <w:p w14:paraId="4823EDB6">
      <w:pPr>
        <w:spacing w:line="360" w:lineRule="auto"/>
        <w:rPr>
          <w:color w:val="auto"/>
          <w:szCs w:val="21"/>
          <w:highlight w:val="none"/>
        </w:rPr>
      </w:pPr>
      <w:r>
        <w:rPr>
          <w:rFonts w:hint="eastAsia"/>
          <w:color w:val="auto"/>
          <w:szCs w:val="21"/>
          <w:highlight w:val="none"/>
        </w:rPr>
        <w:t>4.核心产品</w:t>
      </w:r>
    </w:p>
    <w:p w14:paraId="25634D1D">
      <w:pPr>
        <w:spacing w:line="360" w:lineRule="auto"/>
        <w:rPr>
          <w:color w:val="auto"/>
          <w:szCs w:val="21"/>
          <w:highlight w:val="none"/>
        </w:rPr>
      </w:pPr>
      <w:r>
        <w:rPr>
          <w:rFonts w:hint="eastAsia"/>
          <w:color w:val="auto"/>
          <w:szCs w:val="21"/>
          <w:highlight w:val="none"/>
        </w:rPr>
        <w:t>本项目为服务项目，不适用</w:t>
      </w:r>
      <w:r>
        <w:rPr>
          <w:rFonts w:hint="eastAsia"/>
          <w:b w:val="0"/>
          <w:bCs w:val="0"/>
          <w:color w:val="auto"/>
          <w:szCs w:val="21"/>
          <w:highlight w:val="none"/>
        </w:rPr>
        <w:t>核心产</w:t>
      </w:r>
      <w:r>
        <w:rPr>
          <w:rFonts w:hint="eastAsia"/>
          <w:color w:val="auto"/>
          <w:szCs w:val="21"/>
          <w:highlight w:val="none"/>
        </w:rPr>
        <w:t>品规定。</w:t>
      </w:r>
    </w:p>
    <w:p w14:paraId="6D921DE2">
      <w:pPr>
        <w:numPr>
          <w:ilvl w:val="0"/>
          <w:numId w:val="1"/>
        </w:numPr>
        <w:spacing w:line="360" w:lineRule="auto"/>
        <w:rPr>
          <w:rFonts w:hint="eastAsia"/>
          <w:color w:val="auto"/>
          <w:szCs w:val="21"/>
          <w:highlight w:val="none"/>
        </w:rPr>
      </w:pPr>
      <w:r>
        <w:rPr>
          <w:rFonts w:hint="eastAsia"/>
          <w:color w:val="auto"/>
          <w:szCs w:val="21"/>
          <w:highlight w:val="none"/>
        </w:rPr>
        <w:t>服务内容和标准</w:t>
      </w:r>
      <w:bookmarkStart w:id="0" w:name="_Hlk132788047"/>
      <w:r>
        <w:rPr>
          <w:rFonts w:hint="eastAsia"/>
          <w:color w:val="auto"/>
          <w:szCs w:val="21"/>
          <w:highlight w:val="none"/>
        </w:rPr>
        <w:t>：</w:t>
      </w:r>
    </w:p>
    <w:p w14:paraId="79E159A7">
      <w:pPr>
        <w:pStyle w:val="2"/>
        <w:numPr>
          <w:ilvl w:val="0"/>
          <w:numId w:val="0"/>
        </w:numPr>
        <w:rPr>
          <w:rFonts w:hint="default" w:ascii="Times New Roman" w:hAnsi="Times New Roman" w:eastAsia="宋体" w:cs="Times New Roman"/>
          <w:b w:val="0"/>
          <w:bCs w:val="0"/>
          <w:color w:val="auto"/>
          <w:kern w:val="2"/>
          <w:sz w:val="21"/>
          <w:szCs w:val="21"/>
          <w:highlight w:val="none"/>
          <w:lang w:val="en-US" w:eastAsia="zh-CN" w:bidi="ar-SA"/>
        </w:rPr>
      </w:pPr>
      <w:r>
        <w:rPr>
          <w:rFonts w:hint="eastAsia" w:ascii="Times New Roman" w:hAnsi="Times New Roman" w:eastAsia="宋体" w:cs="Times New Roman"/>
          <w:b w:val="0"/>
          <w:bCs w:val="0"/>
          <w:color w:val="auto"/>
          <w:kern w:val="2"/>
          <w:sz w:val="21"/>
          <w:szCs w:val="21"/>
          <w:highlight w:val="none"/>
          <w:lang w:val="en-US" w:eastAsia="zh-CN" w:bidi="ar-SA"/>
        </w:rPr>
        <w:t>分标1：</w:t>
      </w:r>
    </w:p>
    <w:bookmarkEnd w:id="0"/>
    <w:tbl>
      <w:tblPr>
        <w:tblStyle w:val="6"/>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946"/>
        <w:gridCol w:w="6974"/>
      </w:tblGrid>
      <w:tr w14:paraId="1F7FF1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19916AD4">
            <w:pPr>
              <w:pStyle w:val="3"/>
              <w:snapToGrid w:val="0"/>
              <w:spacing w:line="360" w:lineRule="exact"/>
              <w:jc w:val="center"/>
              <w:outlineLvl w:val="0"/>
              <w:rPr>
                <w:rFonts w:hint="eastAsia" w:hAnsi="宋体" w:cs="宋体"/>
                <w:b/>
                <w:bCs/>
                <w:color w:val="auto"/>
                <w:highlight w:val="none"/>
              </w:rPr>
            </w:pPr>
            <w:bookmarkStart w:id="1" w:name="_Toc30454"/>
            <w:r>
              <w:rPr>
                <w:rFonts w:hint="eastAsia" w:hAnsi="宋体" w:cs="宋体"/>
                <w:b/>
                <w:bCs/>
                <w:color w:val="auto"/>
                <w:highlight w:val="none"/>
              </w:rPr>
              <w:t>序号</w:t>
            </w:r>
            <w:bookmarkEnd w:id="1"/>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7ABC0713">
            <w:pPr>
              <w:pStyle w:val="3"/>
              <w:snapToGrid w:val="0"/>
              <w:spacing w:line="360" w:lineRule="exact"/>
              <w:jc w:val="center"/>
              <w:outlineLvl w:val="0"/>
              <w:rPr>
                <w:rFonts w:hint="eastAsia" w:hAnsi="宋体" w:cs="宋体"/>
                <w:b/>
                <w:bCs/>
                <w:color w:val="auto"/>
                <w:highlight w:val="none"/>
              </w:rPr>
            </w:pPr>
            <w:bookmarkStart w:id="2" w:name="_Toc6539"/>
            <w:r>
              <w:rPr>
                <w:rFonts w:hint="eastAsia" w:hAnsi="宋体" w:cs="宋体"/>
                <w:b/>
                <w:bCs/>
                <w:color w:val="auto"/>
                <w:highlight w:val="none"/>
              </w:rPr>
              <w:t>采购内容</w:t>
            </w:r>
            <w:bookmarkEnd w:id="2"/>
          </w:p>
        </w:tc>
        <w:tc>
          <w:tcPr>
            <w:tcW w:w="6974" w:type="dxa"/>
            <w:tcBorders>
              <w:top w:val="single" w:color="auto" w:sz="4" w:space="0"/>
              <w:left w:val="single" w:color="auto" w:sz="4" w:space="0"/>
              <w:bottom w:val="single" w:color="auto" w:sz="4" w:space="0"/>
              <w:right w:val="single" w:color="auto" w:sz="4" w:space="0"/>
            </w:tcBorders>
            <w:vAlign w:val="center"/>
          </w:tcPr>
          <w:p w14:paraId="3392BD96">
            <w:pPr>
              <w:pStyle w:val="3"/>
              <w:snapToGrid w:val="0"/>
              <w:spacing w:line="360" w:lineRule="exact"/>
              <w:jc w:val="center"/>
              <w:outlineLvl w:val="0"/>
              <w:rPr>
                <w:rFonts w:hint="eastAsia" w:hAnsi="宋体" w:cs="宋体"/>
                <w:b/>
                <w:bCs/>
                <w:color w:val="auto"/>
                <w:highlight w:val="none"/>
              </w:rPr>
            </w:pPr>
            <w:bookmarkStart w:id="3" w:name="_Toc13911"/>
            <w:r>
              <w:rPr>
                <w:rFonts w:hint="eastAsia" w:hAnsi="宋体" w:cs="宋体"/>
                <w:b/>
                <w:bCs/>
                <w:color w:val="auto"/>
                <w:highlight w:val="none"/>
              </w:rPr>
              <w:t>技术要求</w:t>
            </w:r>
            <w:bookmarkEnd w:id="3"/>
          </w:p>
        </w:tc>
      </w:tr>
      <w:tr w14:paraId="0A555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0A6EAB57">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850" w:type="dxa"/>
            <w:gridSpan w:val="2"/>
            <w:tcBorders>
              <w:top w:val="single" w:color="auto" w:sz="4" w:space="0"/>
              <w:left w:val="single" w:color="auto" w:sz="4" w:space="0"/>
              <w:right w:val="single" w:color="auto" w:sz="4" w:space="0"/>
            </w:tcBorders>
            <w:vAlign w:val="center"/>
          </w:tcPr>
          <w:p w14:paraId="52AFEC57">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生产障碍耕地治理项目实施“叶面阻隔+”技术措施模式面积3200亩和“镉低积累品种替代+”技术措施模式面积1000亩。</w:t>
            </w:r>
          </w:p>
        </w:tc>
        <w:tc>
          <w:tcPr>
            <w:tcW w:w="6974" w:type="dxa"/>
            <w:tcBorders>
              <w:top w:val="single" w:color="auto" w:sz="4" w:space="0"/>
              <w:left w:val="single" w:color="auto" w:sz="4" w:space="0"/>
              <w:right w:val="single" w:color="auto" w:sz="4" w:space="0"/>
            </w:tcBorders>
            <w:vAlign w:val="center"/>
          </w:tcPr>
          <w:p w14:paraId="66ADB70D">
            <w:pPr>
              <w:spacing w:line="360" w:lineRule="exact"/>
              <w:rPr>
                <w:rFonts w:hint="default" w:ascii="宋体" w:hAnsi="宋体" w:cs="Times New Roman"/>
                <w:b/>
                <w:bCs/>
                <w:color w:val="auto"/>
                <w:kern w:val="0"/>
                <w:szCs w:val="21"/>
                <w:highlight w:val="none"/>
                <w:lang w:val="en-US" w:eastAsia="zh-CN"/>
              </w:rPr>
            </w:pPr>
            <w:r>
              <w:rPr>
                <w:rFonts w:hint="eastAsia" w:ascii="宋体" w:hAnsi="宋体" w:cs="Times New Roman"/>
                <w:b/>
                <w:bCs/>
                <w:color w:val="auto"/>
                <w:kern w:val="0"/>
                <w:szCs w:val="21"/>
                <w:highlight w:val="none"/>
                <w:lang w:val="en-US" w:eastAsia="zh-CN"/>
              </w:rPr>
              <w:t>一</w:t>
            </w:r>
            <w:r>
              <w:rPr>
                <w:rFonts w:hint="default" w:ascii="宋体" w:hAnsi="宋体" w:cs="Times New Roman"/>
                <w:b/>
                <w:bCs/>
                <w:color w:val="auto"/>
                <w:kern w:val="0"/>
                <w:szCs w:val="21"/>
                <w:highlight w:val="none"/>
                <w:lang w:eastAsia="zh-CN"/>
              </w:rPr>
              <w:t>、</w:t>
            </w:r>
            <w:r>
              <w:rPr>
                <w:rFonts w:hint="eastAsia" w:ascii="宋体" w:hAnsi="宋体" w:cs="Times New Roman"/>
                <w:b/>
                <w:bCs/>
                <w:color w:val="auto"/>
                <w:kern w:val="0"/>
                <w:szCs w:val="21"/>
                <w:highlight w:val="none"/>
                <w:lang w:val="en-US" w:eastAsia="zh-CN"/>
              </w:rPr>
              <w:t>项目</w:t>
            </w:r>
            <w:r>
              <w:rPr>
                <w:rFonts w:hint="default" w:ascii="宋体" w:hAnsi="宋体" w:cs="Times New Roman"/>
                <w:b/>
                <w:bCs/>
                <w:color w:val="auto"/>
                <w:kern w:val="0"/>
                <w:szCs w:val="21"/>
                <w:highlight w:val="none"/>
              </w:rPr>
              <w:t>实施内容及方式</w:t>
            </w:r>
          </w:p>
          <w:p w14:paraId="66C381F1">
            <w:pPr>
              <w:spacing w:line="360" w:lineRule="exact"/>
              <w:ind w:firstLine="420" w:firstLineChars="200"/>
              <w:rPr>
                <w:rFonts w:hint="default" w:ascii="宋体" w:hAnsi="宋体" w:cs="Times New Roman"/>
                <w:color w:val="auto"/>
                <w:kern w:val="0"/>
                <w:szCs w:val="21"/>
                <w:highlight w:val="none"/>
                <w:lang w:eastAsia="zh-CN"/>
              </w:rPr>
            </w:pPr>
            <w:r>
              <w:rPr>
                <w:rFonts w:hint="default" w:ascii="宋体" w:hAnsi="宋体" w:cs="Times New Roman"/>
                <w:color w:val="auto"/>
                <w:kern w:val="0"/>
                <w:szCs w:val="21"/>
                <w:highlight w:val="none"/>
                <w:lang w:eastAsia="zh-CN"/>
              </w:rPr>
              <w:t>（一）实施内容</w:t>
            </w:r>
          </w:p>
          <w:p w14:paraId="735AEC3A">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eastAsia="zh-CN"/>
              </w:rPr>
              <w:t>根据</w:t>
            </w: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val="en-US" w:eastAsia="zh-CN"/>
              </w:rPr>
              <w:t>耕地土壤污染治理规范</w:t>
            </w:r>
            <w:r>
              <w:rPr>
                <w:rFonts w:hint="eastAsia" w:ascii="宋体" w:hAnsi="宋体" w:cs="Times New Roman"/>
                <w:color w:val="auto"/>
                <w:kern w:val="0"/>
                <w:szCs w:val="21"/>
                <w:highlight w:val="none"/>
              </w:rPr>
              <w:t>》（NY/T</w:t>
            </w:r>
            <w:r>
              <w:rPr>
                <w:rFonts w:hint="eastAsia" w:ascii="宋体" w:hAnsi="宋体" w:cs="Times New Roman"/>
                <w:color w:val="auto"/>
                <w:kern w:val="0"/>
                <w:szCs w:val="21"/>
                <w:highlight w:val="none"/>
                <w:lang w:val="en-US" w:eastAsia="zh-CN"/>
              </w:rPr>
              <w:t xml:space="preserve"> 4600</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2025</w:t>
            </w:r>
            <w:r>
              <w:rPr>
                <w:rFonts w:hint="eastAsia" w:ascii="宋体" w:hAnsi="宋体" w:cs="Times New Roman"/>
                <w:color w:val="auto"/>
                <w:kern w:val="0"/>
                <w:szCs w:val="21"/>
                <w:highlight w:val="none"/>
              </w:rPr>
              <w:t>）、《农业农村部办公厅关于印发〈轻中度污染耕地安全利用与治理修复推荐技术名录（2019年版）〉的通知》（农办科〔2019〕14号），结合广西水稻产地安全利用“GTP+”技术模式，因地制宜</w:t>
            </w:r>
            <w:r>
              <w:rPr>
                <w:rFonts w:hint="eastAsia" w:ascii="宋体" w:hAnsi="宋体" w:cs="Times New Roman"/>
                <w:color w:val="auto"/>
                <w:kern w:val="0"/>
                <w:szCs w:val="21"/>
                <w:highlight w:val="none"/>
                <w:lang w:val="en-US" w:eastAsia="zh-CN"/>
              </w:rPr>
              <w:t>选取“叶面阻隔+”或者“镉低积累品种替代+”技术措施模式来进行项目实施，全县项目实施面积4200亩，其中：实施“叶面阻隔+”技术措施模式面积3200亩（详见附件1）；实施“镉低积累品种替代+”技术措施模式面积1000亩（详见附件2）。</w:t>
            </w:r>
            <w:r>
              <w:rPr>
                <w:rFonts w:hint="eastAsia" w:ascii="宋体" w:hAnsi="宋体" w:cs="Times New Roman"/>
                <w:color w:val="auto"/>
                <w:kern w:val="0"/>
                <w:szCs w:val="21"/>
                <w:highlight w:val="none"/>
              </w:rPr>
              <w:t>其中</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“叶面阻隔+”技术措施模式主要包括以下实施内容：1.喷施叶面阻隔剂两次；2.土壤pH调节（</w:t>
            </w:r>
            <w:r>
              <w:rPr>
                <w:rFonts w:hint="eastAsia" w:ascii="宋体" w:hAnsi="宋体" w:cs="Times New Roman"/>
                <w:color w:val="auto"/>
                <w:kern w:val="0"/>
                <w:szCs w:val="21"/>
                <w:highlight w:val="none"/>
              </w:rPr>
              <w:t>在土壤pH值低于6.5的地块实施土壤pH调节</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开展技术宣传指导</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镉低积累品种替代+”技术措施模式主要包括以下实施内容：1.镉低积累水稻品种替代；2.增施锰肥；3.开展技术宣传指导。项目实施过程注意做好项目农业投入品质量管控，严禁使用不合格投入品，避免造成人为污染。并实现</w:t>
            </w:r>
            <w:r>
              <w:rPr>
                <w:rFonts w:hint="eastAsia" w:ascii="宋体" w:hAnsi="宋体" w:cs="Times New Roman"/>
                <w:color w:val="auto"/>
                <w:kern w:val="0"/>
                <w:szCs w:val="21"/>
                <w:highlight w:val="none"/>
              </w:rPr>
              <w:t>项目实施区域</w:t>
            </w:r>
            <w:r>
              <w:rPr>
                <w:rFonts w:hint="eastAsia" w:ascii="宋体" w:hAnsi="宋体" w:cs="Times New Roman"/>
                <w:color w:val="auto"/>
                <w:kern w:val="0"/>
                <w:szCs w:val="21"/>
                <w:highlight w:val="none"/>
                <w:lang w:val="en-US" w:eastAsia="zh-CN"/>
              </w:rPr>
              <w:t>农用地（受污染耕地）安全利用率大</w:t>
            </w:r>
            <w:r>
              <w:rPr>
                <w:rFonts w:hint="eastAsia" w:ascii="宋体" w:hAnsi="宋体" w:cs="Times New Roman"/>
                <w:color w:val="auto"/>
                <w:kern w:val="0"/>
                <w:szCs w:val="21"/>
                <w:highlight w:val="none"/>
              </w:rPr>
              <w:t>于9</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val="en-US" w:eastAsia="zh-CN"/>
              </w:rPr>
              <w:t>的</w:t>
            </w:r>
            <w:r>
              <w:rPr>
                <w:rFonts w:hint="eastAsia" w:ascii="宋体" w:hAnsi="宋体" w:cs="Times New Roman"/>
                <w:color w:val="auto"/>
                <w:kern w:val="0"/>
                <w:szCs w:val="21"/>
                <w:highlight w:val="none"/>
              </w:rPr>
              <w:t>绩效目标</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推动</w:t>
            </w:r>
            <w:r>
              <w:rPr>
                <w:rFonts w:hint="eastAsia" w:ascii="宋体" w:hAnsi="宋体" w:cs="Times New Roman"/>
                <w:color w:val="auto"/>
                <w:kern w:val="0"/>
                <w:szCs w:val="21"/>
                <w:highlight w:val="none"/>
              </w:rPr>
              <w:t>提</w:t>
            </w:r>
            <w:r>
              <w:rPr>
                <w:rFonts w:hint="eastAsia" w:ascii="宋体" w:hAnsi="宋体" w:cs="Times New Roman"/>
                <w:color w:val="auto"/>
                <w:kern w:val="0"/>
                <w:szCs w:val="21"/>
                <w:highlight w:val="none"/>
                <w:lang w:eastAsia="zh-CN"/>
              </w:rPr>
              <w:t>高</w:t>
            </w:r>
            <w:r>
              <w:rPr>
                <w:rFonts w:hint="eastAsia" w:ascii="宋体" w:hAnsi="宋体" w:cs="Times New Roman"/>
                <w:color w:val="auto"/>
                <w:kern w:val="0"/>
                <w:szCs w:val="21"/>
                <w:highlight w:val="none"/>
                <w:lang w:val="en-US" w:eastAsia="zh-CN"/>
              </w:rPr>
              <w:t>全县</w:t>
            </w:r>
            <w:r>
              <w:rPr>
                <w:rFonts w:hint="eastAsia" w:ascii="宋体" w:hAnsi="宋体" w:cs="Times New Roman"/>
                <w:color w:val="auto"/>
                <w:kern w:val="0"/>
                <w:szCs w:val="21"/>
                <w:highlight w:val="none"/>
              </w:rPr>
              <w:t>稻谷重金属质量安全水平。</w:t>
            </w:r>
          </w:p>
          <w:p w14:paraId="1AACB0E0">
            <w:pPr>
              <w:spacing w:line="360" w:lineRule="exact"/>
              <w:ind w:firstLine="420" w:firstLineChars="200"/>
              <w:rPr>
                <w:rFonts w:hint="default"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二</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实施措施</w:t>
            </w:r>
          </w:p>
          <w:p w14:paraId="2BF17592">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1</w:t>
            </w:r>
            <w:r>
              <w:rPr>
                <w:rFonts w:hint="eastAsia" w:ascii="宋体" w:hAnsi="宋体" w:cs="Times New Roman"/>
                <w:color w:val="auto"/>
                <w:kern w:val="0"/>
                <w:szCs w:val="21"/>
                <w:highlight w:val="none"/>
              </w:rPr>
              <w:t>.叶面</w:t>
            </w:r>
            <w:r>
              <w:rPr>
                <w:rFonts w:hint="eastAsia" w:ascii="宋体" w:hAnsi="宋体" w:cs="Times New Roman"/>
                <w:color w:val="auto"/>
                <w:kern w:val="0"/>
                <w:szCs w:val="21"/>
                <w:highlight w:val="none"/>
                <w:lang w:val="en-US" w:eastAsia="zh-CN"/>
              </w:rPr>
              <w:t>阻隔</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喷施两次</w:t>
            </w:r>
            <w:r>
              <w:rPr>
                <w:rFonts w:hint="eastAsia" w:ascii="宋体" w:hAnsi="宋体" w:cs="Times New Roman"/>
                <w:color w:val="auto"/>
                <w:kern w:val="0"/>
                <w:szCs w:val="21"/>
                <w:highlight w:val="none"/>
                <w:lang w:val="en-US" w:eastAsia="zh-CN"/>
              </w:rPr>
              <w:t>及以上</w:t>
            </w:r>
            <w:r>
              <w:rPr>
                <w:rFonts w:hint="eastAsia" w:ascii="宋体" w:hAnsi="宋体" w:cs="Times New Roman"/>
                <w:color w:val="auto"/>
                <w:kern w:val="0"/>
                <w:szCs w:val="21"/>
                <w:highlight w:val="none"/>
              </w:rPr>
              <w:t>叶面</w:t>
            </w:r>
            <w:r>
              <w:rPr>
                <w:rFonts w:hint="eastAsia" w:ascii="宋体" w:hAnsi="宋体" w:cs="Times New Roman"/>
                <w:color w:val="auto"/>
                <w:kern w:val="0"/>
                <w:szCs w:val="21"/>
                <w:highlight w:val="none"/>
                <w:lang w:eastAsia="zh-CN"/>
              </w:rPr>
              <w:t>阻隔</w:t>
            </w:r>
            <w:r>
              <w:rPr>
                <w:rFonts w:hint="eastAsia" w:ascii="宋体" w:hAnsi="宋体" w:cs="Times New Roman"/>
                <w:color w:val="auto"/>
                <w:kern w:val="0"/>
                <w:szCs w:val="21"/>
                <w:highlight w:val="none"/>
              </w:rPr>
              <w:t>剂</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获得相应肥料登记的产品</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。根据项目实施区域当地稻谷重金属超标程度</w:t>
            </w:r>
            <w:r>
              <w:rPr>
                <w:rFonts w:hint="eastAsia" w:ascii="宋体" w:hAnsi="宋体" w:cs="Times New Roman"/>
                <w:color w:val="auto"/>
                <w:kern w:val="0"/>
                <w:szCs w:val="21"/>
                <w:highlight w:val="none"/>
                <w:lang w:val="en-US" w:eastAsia="zh-CN"/>
              </w:rPr>
              <w:t>，参照国家标准文件《稻田重金属治理第3部分：生理阻隔》（GB/T 43419.3—2023）规范要求</w:t>
            </w:r>
            <w:r>
              <w:rPr>
                <w:rFonts w:hint="eastAsia" w:ascii="宋体" w:hAnsi="宋体" w:cs="Times New Roman"/>
                <w:color w:val="auto"/>
                <w:kern w:val="0"/>
                <w:szCs w:val="21"/>
                <w:highlight w:val="none"/>
              </w:rPr>
              <w:t>选择</w:t>
            </w:r>
            <w:r>
              <w:rPr>
                <w:rFonts w:hint="eastAsia" w:ascii="宋体" w:hAnsi="宋体" w:cs="Times New Roman"/>
                <w:color w:val="auto"/>
                <w:kern w:val="0"/>
                <w:szCs w:val="21"/>
                <w:highlight w:val="none"/>
                <w:lang w:val="en-US" w:eastAsia="zh-CN"/>
              </w:rPr>
              <w:t>适配产品</w:t>
            </w:r>
            <w:r>
              <w:rPr>
                <w:rFonts w:hint="eastAsia" w:ascii="宋体" w:hAnsi="宋体" w:cs="Times New Roman"/>
                <w:color w:val="auto"/>
                <w:kern w:val="0"/>
                <w:szCs w:val="21"/>
                <w:highlight w:val="none"/>
              </w:rPr>
              <w:t>[含非金属元素型（主要有硅Si、硒Se、磷P等）、金属元素型（主要有锌Zn、铁Fe、锰Mn、铜Cu、硼B、钼Mo等）、有机型（主要有脯氨酸、谷氨酸、半胱氨酸等氨基酸）</w:t>
            </w:r>
            <w:r>
              <w:rPr>
                <w:rFonts w:hint="eastAsia" w:ascii="宋体" w:hAnsi="宋体" w:cs="Times New Roman"/>
                <w:color w:val="auto"/>
                <w:kern w:val="0"/>
                <w:szCs w:val="21"/>
                <w:highlight w:val="none"/>
                <w:lang w:val="en-US" w:eastAsia="zh-CN"/>
              </w:rPr>
              <w:t>等</w:t>
            </w:r>
            <w:r>
              <w:rPr>
                <w:rFonts w:hint="eastAsia" w:ascii="宋体" w:hAnsi="宋体" w:cs="Times New Roman"/>
                <w:color w:val="auto"/>
                <w:kern w:val="0"/>
                <w:szCs w:val="21"/>
                <w:highlight w:val="none"/>
              </w:rPr>
              <w:t>，且是获得相应肥料登记的产品]，按照各厂家产品说明书推荐的每亩用量和稀释倍数使用。建议在分蘖盛期至齐穗期前喷施，时间间隔至少7天，选择在下午4:00后喷施效果最佳，扬花期喷施则必须</w:t>
            </w:r>
            <w:r>
              <w:rPr>
                <w:rFonts w:hint="eastAsia" w:ascii="宋体" w:hAnsi="宋体" w:cs="Times New Roman"/>
                <w:color w:val="auto"/>
                <w:kern w:val="0"/>
                <w:szCs w:val="21"/>
                <w:highlight w:val="none"/>
                <w:lang w:val="en-US" w:eastAsia="zh-CN"/>
              </w:rPr>
              <w:t>在</w:t>
            </w:r>
            <w:r>
              <w:rPr>
                <w:rFonts w:hint="eastAsia" w:ascii="宋体" w:hAnsi="宋体" w:cs="Times New Roman"/>
                <w:color w:val="auto"/>
                <w:kern w:val="0"/>
                <w:szCs w:val="21"/>
                <w:highlight w:val="none"/>
              </w:rPr>
              <w:t>下午</w:t>
            </w:r>
            <w:r>
              <w:rPr>
                <w:rFonts w:hint="eastAsia" w:ascii="宋体" w:hAnsi="宋体" w:cs="Times New Roman"/>
                <w:color w:val="auto"/>
                <w:kern w:val="0"/>
                <w:szCs w:val="21"/>
                <w:highlight w:val="none"/>
                <w:lang w:val="en-US" w:eastAsia="zh-CN"/>
              </w:rPr>
              <w:t>进行</w:t>
            </w:r>
            <w:r>
              <w:rPr>
                <w:rFonts w:hint="eastAsia" w:ascii="宋体" w:hAnsi="宋体" w:cs="Times New Roman"/>
                <w:color w:val="auto"/>
                <w:kern w:val="0"/>
                <w:szCs w:val="21"/>
                <w:highlight w:val="none"/>
              </w:rPr>
              <w:t>，切忌中午喷施，喷施后如在4小时内遇雨则需重新喷施。</w:t>
            </w:r>
          </w:p>
          <w:p w14:paraId="228DCCC6">
            <w:pP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2.镉低积累水稻品种替代：在尊重农民意愿的基础上，在项目实施区域改种目前已通过审定且适宜广西种植的镉低积累水稻品种（安两优2号、洁两优玉占、洁两优Q3），从源头上降低稻谷镉含量超标风险，保障水稻重金属质量安全。</w:t>
            </w:r>
          </w:p>
          <w:p w14:paraId="121A0E17">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3.增施锰肥：对于镉低积累水稻品种替代种植区域，原则上科学补充锰素营养。依据项目</w:t>
            </w:r>
            <w:r>
              <w:rPr>
                <w:rFonts w:hint="eastAsia" w:ascii="宋体" w:hAnsi="宋体" w:cs="Times New Roman"/>
                <w:color w:val="auto"/>
                <w:kern w:val="0"/>
                <w:szCs w:val="21"/>
                <w:highlight w:val="none"/>
              </w:rPr>
              <w:t>实施</w:t>
            </w:r>
            <w:r>
              <w:rPr>
                <w:rFonts w:hint="eastAsia" w:ascii="宋体" w:hAnsi="宋体" w:cs="Times New Roman"/>
                <w:color w:val="auto"/>
                <w:kern w:val="0"/>
                <w:szCs w:val="21"/>
                <w:highlight w:val="none"/>
                <w:lang w:val="en-US" w:eastAsia="zh-CN"/>
              </w:rPr>
              <w:t>区域</w:t>
            </w:r>
            <w:r>
              <w:rPr>
                <w:rFonts w:hint="eastAsia" w:ascii="宋体" w:hAnsi="宋体" w:eastAsia="宋体" w:cs="宋体"/>
                <w:b w:val="0"/>
                <w:bCs/>
                <w:color w:val="auto"/>
                <w:sz w:val="21"/>
                <w:szCs w:val="21"/>
                <w:highlight w:val="none"/>
                <w:lang w:val="en-US" w:eastAsia="zh-CN"/>
              </w:rPr>
              <w:t>土壤</w:t>
            </w:r>
            <w:r>
              <w:rPr>
                <w:rFonts w:hint="eastAsia" w:ascii="宋体" w:hAnsi="宋体" w:eastAsia="宋体" w:cs="宋体"/>
                <w:bCs/>
                <w:i w:val="0"/>
                <w:iCs w:val="0"/>
                <w:caps w:val="0"/>
                <w:color w:val="auto"/>
                <w:spacing w:val="0"/>
                <w:sz w:val="21"/>
                <w:szCs w:val="21"/>
                <w:highlight w:val="none"/>
                <w:shd w:val="clear" w:color="auto" w:fill="auto"/>
              </w:rPr>
              <w:t>有效锰含量</w:t>
            </w:r>
            <w:r>
              <w:rPr>
                <w:rFonts w:hint="eastAsia" w:ascii="宋体" w:hAnsi="宋体" w:cs="Times New Roman"/>
                <w:color w:val="auto"/>
                <w:kern w:val="0"/>
                <w:szCs w:val="21"/>
                <w:highlight w:val="none"/>
                <w:lang w:val="en-US" w:eastAsia="zh-CN"/>
              </w:rPr>
              <w:t>及田间养分状况，</w:t>
            </w:r>
            <w:r>
              <w:rPr>
                <w:rFonts w:hint="eastAsia" w:ascii="宋体" w:hAnsi="宋体" w:cs="Times New Roman"/>
                <w:color w:val="auto"/>
                <w:kern w:val="0"/>
                <w:szCs w:val="21"/>
                <w:highlight w:val="none"/>
              </w:rPr>
              <w:t>因地制宜选配适宜锰肥产品，可选用氨基酸锰、</w:t>
            </w:r>
            <w:r>
              <w:rPr>
                <w:rFonts w:hint="eastAsia" w:ascii="宋体" w:hAnsi="宋体" w:cs="Times New Roman"/>
                <w:color w:val="auto"/>
                <w:kern w:val="0"/>
                <w:szCs w:val="21"/>
                <w:highlight w:val="none"/>
                <w:lang w:val="en-US" w:eastAsia="zh-CN"/>
              </w:rPr>
              <w:t>复合螯合锰肥</w:t>
            </w:r>
            <w:r>
              <w:rPr>
                <w:rFonts w:hint="eastAsia" w:ascii="宋体" w:hAnsi="宋体" w:cs="Times New Roman"/>
                <w:color w:val="auto"/>
                <w:kern w:val="0"/>
                <w:szCs w:val="21"/>
                <w:highlight w:val="none"/>
              </w:rPr>
              <w:t>、含锰叶面阻隔剂等，按照各厂家产品说明书推荐的每亩用量和稀释倍数使用，每亩每次折合纯锰10～</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0g，喷施浓度以纯锰计不宜超过0.5%，避免叶片灼伤。</w:t>
            </w:r>
            <w:r>
              <w:rPr>
                <w:rFonts w:hint="eastAsia" w:ascii="宋体" w:hAnsi="宋体" w:eastAsia="宋体" w:cs="宋体"/>
                <w:bCs/>
                <w:i w:val="0"/>
                <w:iCs w:val="0"/>
                <w:caps w:val="0"/>
                <w:color w:val="auto"/>
                <w:spacing w:val="0"/>
                <w:sz w:val="21"/>
                <w:szCs w:val="21"/>
                <w:highlight w:val="none"/>
                <w:shd w:val="clear" w:color="auto" w:fill="auto"/>
              </w:rPr>
              <w:t>在分蘖盛期</w:t>
            </w:r>
            <w:r>
              <w:rPr>
                <w:rFonts w:hint="eastAsia" w:ascii="宋体" w:hAnsi="宋体" w:eastAsia="宋体" w:cs="宋体"/>
                <w:bCs/>
                <w:i w:val="0"/>
                <w:iCs w:val="0"/>
                <w:caps w:val="0"/>
                <w:color w:val="auto"/>
                <w:spacing w:val="0"/>
                <w:sz w:val="21"/>
                <w:szCs w:val="21"/>
                <w:highlight w:val="none"/>
                <w:shd w:val="clear" w:color="auto" w:fill="auto"/>
                <w:lang w:eastAsia="zh-CN"/>
              </w:rPr>
              <w:t>或</w:t>
            </w:r>
            <w:r>
              <w:rPr>
                <w:rFonts w:hint="eastAsia" w:ascii="宋体" w:hAnsi="宋体" w:eastAsia="宋体" w:cs="宋体"/>
                <w:bCs/>
                <w:i w:val="0"/>
                <w:iCs w:val="0"/>
                <w:caps w:val="0"/>
                <w:color w:val="auto"/>
                <w:spacing w:val="0"/>
                <w:sz w:val="21"/>
                <w:szCs w:val="21"/>
                <w:highlight w:val="none"/>
                <w:shd w:val="clear" w:color="auto" w:fill="auto"/>
              </w:rPr>
              <w:t>孕穗期</w:t>
            </w:r>
            <w:r>
              <w:rPr>
                <w:rFonts w:hint="eastAsia" w:ascii="宋体" w:hAnsi="宋体" w:eastAsia="宋体" w:cs="宋体"/>
                <w:bCs/>
                <w:i w:val="0"/>
                <w:iCs w:val="0"/>
                <w:caps w:val="0"/>
                <w:color w:val="auto"/>
                <w:spacing w:val="0"/>
                <w:sz w:val="21"/>
                <w:szCs w:val="21"/>
                <w:highlight w:val="none"/>
                <w:shd w:val="clear" w:color="auto" w:fill="auto"/>
                <w:lang w:eastAsia="zh-CN"/>
              </w:rPr>
              <w:t>至少</w:t>
            </w:r>
            <w:r>
              <w:rPr>
                <w:rFonts w:hint="eastAsia" w:ascii="宋体" w:hAnsi="宋体" w:eastAsia="宋体" w:cs="宋体"/>
                <w:bCs/>
                <w:i w:val="0"/>
                <w:iCs w:val="0"/>
                <w:caps w:val="0"/>
                <w:color w:val="auto"/>
                <w:spacing w:val="0"/>
                <w:sz w:val="21"/>
                <w:szCs w:val="21"/>
                <w:highlight w:val="none"/>
                <w:shd w:val="clear" w:color="auto" w:fill="auto"/>
              </w:rPr>
              <w:t>喷施1次</w:t>
            </w:r>
            <w:r>
              <w:rPr>
                <w:rFonts w:hint="eastAsia" w:ascii="宋体" w:hAnsi="宋体" w:eastAsia="宋体" w:cs="宋体"/>
                <w:bCs/>
                <w:i w:val="0"/>
                <w:iCs w:val="0"/>
                <w:caps w:val="0"/>
                <w:color w:val="auto"/>
                <w:spacing w:val="0"/>
                <w:sz w:val="21"/>
                <w:szCs w:val="21"/>
                <w:highlight w:val="none"/>
                <w:shd w:val="clear" w:color="auto" w:fill="auto"/>
                <w:lang w:eastAsia="zh-CN"/>
              </w:rPr>
              <w:t>以上，</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严禁与碱性农药或碱性肥料混用，避免与磷肥同期叶面施用。</w:t>
            </w:r>
          </w:p>
          <w:p w14:paraId="1C610EE7">
            <w:pPr>
              <w:spacing w:line="360" w:lineRule="exact"/>
              <w:ind w:firstLine="420" w:firstLineChars="200"/>
              <w:rPr>
                <w:rFonts w:hint="eastAsia" w:ascii="宋体" w:hAnsi="宋体" w:cs="Times New Roman"/>
                <w:color w:val="auto"/>
                <w:kern w:val="0"/>
                <w:szCs w:val="21"/>
                <w:highlight w:val="none"/>
                <w:lang w:eastAsia="zh-CN"/>
              </w:rPr>
            </w:pPr>
            <w:r>
              <w:rPr>
                <w:rFonts w:hint="eastAsia" w:ascii="宋体" w:hAnsi="宋体" w:cs="Times New Roman"/>
                <w:color w:val="auto"/>
                <w:kern w:val="0"/>
                <w:szCs w:val="21"/>
                <w:highlight w:val="none"/>
                <w:lang w:val="en-US" w:eastAsia="zh-CN"/>
              </w:rPr>
              <w:t>4</w:t>
            </w:r>
            <w:r>
              <w:rPr>
                <w:rFonts w:hint="eastAsia" w:ascii="宋体" w:hAnsi="宋体" w:cs="Times New Roman"/>
                <w:color w:val="auto"/>
                <w:kern w:val="0"/>
                <w:szCs w:val="21"/>
                <w:highlight w:val="none"/>
              </w:rPr>
              <w:t>.土壤pH调节</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在</w:t>
            </w:r>
            <w:r>
              <w:rPr>
                <w:rFonts w:hint="eastAsia" w:ascii="宋体" w:hAnsi="宋体" w:cs="Times New Roman"/>
                <w:color w:val="auto"/>
                <w:kern w:val="0"/>
                <w:szCs w:val="21"/>
                <w:highlight w:val="none"/>
              </w:rPr>
              <w:t>pH值低于6.5的区域</w:t>
            </w:r>
            <w:r>
              <w:rPr>
                <w:rFonts w:hint="eastAsia" w:ascii="宋体" w:hAnsi="宋体" w:cs="Times New Roman"/>
                <w:color w:val="auto"/>
                <w:kern w:val="0"/>
                <w:szCs w:val="21"/>
                <w:highlight w:val="none"/>
                <w:lang w:val="en-US" w:eastAsia="zh-CN"/>
              </w:rPr>
              <w:t>应采取施用碱性肥料或土壤调理剂等方式开展</w:t>
            </w:r>
            <w:r>
              <w:rPr>
                <w:rFonts w:hint="eastAsia" w:ascii="宋体" w:hAnsi="宋体" w:cs="Times New Roman"/>
                <w:color w:val="auto"/>
                <w:kern w:val="0"/>
                <w:szCs w:val="21"/>
                <w:highlight w:val="none"/>
              </w:rPr>
              <w:t>土壤pH调节</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建议施用获得登记的钙镁磷肥、硅钙肥</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碱性有机肥</w:t>
            </w:r>
            <w:r>
              <w:rPr>
                <w:rFonts w:hint="eastAsia" w:ascii="宋体" w:hAnsi="宋体" w:cs="Times New Roman"/>
                <w:color w:val="auto"/>
                <w:kern w:val="0"/>
                <w:szCs w:val="21"/>
                <w:highlight w:val="none"/>
              </w:rPr>
              <w:t>及其他碱性肥料调节土壤pH（</w:t>
            </w:r>
            <w:r>
              <w:rPr>
                <w:rFonts w:hint="eastAsia" w:ascii="宋体" w:hAnsi="宋体" w:cs="Times New Roman"/>
                <w:color w:val="auto"/>
                <w:kern w:val="0"/>
                <w:szCs w:val="21"/>
                <w:highlight w:val="none"/>
                <w:lang w:val="en-US" w:eastAsia="zh-CN"/>
              </w:rPr>
              <w:t>优先选择</w:t>
            </w:r>
            <w:r>
              <w:rPr>
                <w:rFonts w:hint="eastAsia" w:ascii="宋体" w:hAnsi="宋体" w:cs="Times New Roman"/>
                <w:color w:val="auto"/>
                <w:kern w:val="0"/>
                <w:szCs w:val="21"/>
                <w:highlight w:val="none"/>
              </w:rPr>
              <w:t>在犁耙田前</w:t>
            </w:r>
            <w:r>
              <w:rPr>
                <w:rFonts w:hint="eastAsia" w:ascii="宋体" w:hAnsi="宋体" w:cs="Times New Roman"/>
                <w:color w:val="auto"/>
                <w:kern w:val="0"/>
                <w:szCs w:val="21"/>
                <w:highlight w:val="none"/>
                <w:lang w:val="en-US" w:eastAsia="zh-CN"/>
              </w:rPr>
              <w:t>结合基肥</w:t>
            </w:r>
            <w:r>
              <w:rPr>
                <w:rFonts w:hint="eastAsia" w:ascii="宋体" w:hAnsi="宋体" w:cs="Times New Roman"/>
                <w:color w:val="auto"/>
                <w:kern w:val="0"/>
                <w:szCs w:val="21"/>
                <w:highlight w:val="none"/>
              </w:rPr>
              <w:t>撒施，</w:t>
            </w:r>
            <w:r>
              <w:rPr>
                <w:rFonts w:hint="eastAsia" w:ascii="宋体" w:hAnsi="宋体" w:cs="Times New Roman"/>
                <w:color w:val="auto"/>
                <w:kern w:val="0"/>
                <w:szCs w:val="21"/>
                <w:highlight w:val="none"/>
                <w:lang w:val="en-US" w:eastAsia="zh-CN"/>
              </w:rPr>
              <w:t>确因客观因素无法在犁耙田前施用的，也可在</w:t>
            </w:r>
            <w:r>
              <w:rPr>
                <w:rFonts w:hint="eastAsia" w:ascii="宋体" w:hAnsi="宋体" w:cs="Times New Roman"/>
                <w:color w:val="auto"/>
                <w:kern w:val="0"/>
                <w:szCs w:val="21"/>
                <w:highlight w:val="none"/>
              </w:rPr>
              <w:t>孕穗期</w:t>
            </w:r>
            <w:r>
              <w:rPr>
                <w:rFonts w:hint="eastAsia" w:ascii="宋体" w:hAnsi="宋体" w:cs="Times New Roman"/>
                <w:color w:val="auto"/>
                <w:kern w:val="0"/>
                <w:szCs w:val="21"/>
                <w:highlight w:val="none"/>
                <w:lang w:val="en-US" w:eastAsia="zh-CN"/>
              </w:rPr>
              <w:t>前施用</w:t>
            </w: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eastAsia="zh-CN"/>
              </w:rPr>
              <w:t>。土壤pH</w:t>
            </w:r>
            <w:r>
              <w:rPr>
                <w:rFonts w:hint="eastAsia" w:ascii="宋体" w:hAnsi="宋体" w:cs="Times New Roman"/>
                <w:color w:val="auto"/>
                <w:kern w:val="0"/>
                <w:szCs w:val="21"/>
                <w:highlight w:val="none"/>
                <w:lang w:val="en-US" w:eastAsia="zh-CN"/>
              </w:rPr>
              <w:t>值</w:t>
            </w:r>
            <w:r>
              <w:rPr>
                <w:rFonts w:hint="eastAsia" w:ascii="宋体" w:hAnsi="宋体" w:cs="Times New Roman"/>
                <w:color w:val="auto"/>
                <w:kern w:val="0"/>
                <w:szCs w:val="21"/>
                <w:highlight w:val="none"/>
                <w:lang w:eastAsia="zh-CN"/>
              </w:rPr>
              <w:t>为5</w:t>
            </w:r>
            <w:r>
              <w:rPr>
                <w:rFonts w:hint="eastAsia" w:ascii="宋体" w:hAnsi="宋体" w:cs="Times New Roman"/>
                <w:color w:val="auto"/>
                <w:kern w:val="0"/>
                <w:szCs w:val="21"/>
                <w:highlight w:val="none"/>
                <w:lang w:val="en-US" w:eastAsia="zh-CN"/>
              </w:rPr>
              <w:t>.</w:t>
            </w:r>
            <w:r>
              <w:rPr>
                <w:rFonts w:hint="eastAsia" w:ascii="宋体" w:hAnsi="宋体" w:cs="Times New Roman"/>
                <w:color w:val="auto"/>
                <w:kern w:val="0"/>
                <w:szCs w:val="21"/>
                <w:highlight w:val="none"/>
                <w:lang w:eastAsia="zh-CN"/>
              </w:rPr>
              <w:t>5-6.0的每亩施用钙镁磷肥50公斤(或其他同等效果的土壤pH调理剂 )；土壤pH</w:t>
            </w:r>
            <w:r>
              <w:rPr>
                <w:rFonts w:hint="eastAsia" w:ascii="宋体" w:hAnsi="宋体" w:cs="Times New Roman"/>
                <w:color w:val="auto"/>
                <w:kern w:val="0"/>
                <w:szCs w:val="21"/>
                <w:highlight w:val="none"/>
                <w:lang w:val="en-US" w:eastAsia="zh-CN"/>
              </w:rPr>
              <w:t>值</w:t>
            </w:r>
            <w:r>
              <w:rPr>
                <w:rFonts w:hint="eastAsia" w:ascii="宋体" w:hAnsi="宋体" w:cs="Times New Roman"/>
                <w:color w:val="auto"/>
                <w:kern w:val="0"/>
                <w:szCs w:val="21"/>
                <w:highlight w:val="none"/>
                <w:lang w:eastAsia="zh-CN"/>
              </w:rPr>
              <w:t>小于5.5 的每亩施用钙镁磷肥 75 公斤(或其他同等效果的土壤调理剂)。</w:t>
            </w:r>
          </w:p>
          <w:p w14:paraId="67C6DEC1">
            <w:pP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5</w:t>
            </w:r>
            <w:r>
              <w:rPr>
                <w:rFonts w:hint="eastAsia" w:ascii="宋体" w:hAnsi="宋体" w:cs="Times New Roman"/>
                <w:color w:val="auto"/>
                <w:kern w:val="0"/>
                <w:szCs w:val="21"/>
                <w:highlight w:val="none"/>
              </w:rPr>
              <w:t>.技术宣传指导</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依托农用地安全利用村级服务站加强</w:t>
            </w:r>
            <w:r>
              <w:rPr>
                <w:rFonts w:hint="eastAsia" w:ascii="宋体" w:hAnsi="宋体" w:cs="Times New Roman"/>
                <w:color w:val="auto"/>
                <w:kern w:val="0"/>
                <w:szCs w:val="21"/>
                <w:highlight w:val="none"/>
                <w:lang w:eastAsia="zh-CN"/>
              </w:rPr>
              <w:t>对</w:t>
            </w:r>
            <w:r>
              <w:rPr>
                <w:rFonts w:hint="eastAsia" w:ascii="宋体" w:hAnsi="宋体" w:cs="Times New Roman"/>
                <w:color w:val="auto"/>
                <w:kern w:val="0"/>
                <w:szCs w:val="21"/>
                <w:highlight w:val="none"/>
              </w:rPr>
              <w:t>项目实施区域内</w:t>
            </w:r>
            <w:r>
              <w:rPr>
                <w:rFonts w:hint="eastAsia" w:ascii="宋体" w:hAnsi="宋体" w:cs="Times New Roman"/>
                <w:color w:val="auto"/>
                <w:kern w:val="0"/>
                <w:szCs w:val="21"/>
                <w:highlight w:val="none"/>
                <w:lang w:val="en-US" w:eastAsia="zh-CN"/>
              </w:rPr>
              <w:t>及周边安全利用类、严格管控类耕地区域涉及的</w:t>
            </w:r>
            <w:r>
              <w:rPr>
                <w:rFonts w:hint="eastAsia" w:ascii="宋体" w:hAnsi="宋体" w:cs="Times New Roman"/>
                <w:color w:val="auto"/>
                <w:kern w:val="0"/>
                <w:szCs w:val="21"/>
                <w:highlight w:val="none"/>
              </w:rPr>
              <w:t>农户进行技术宣传指导，</w:t>
            </w:r>
            <w:r>
              <w:rPr>
                <w:rFonts w:hint="eastAsia" w:ascii="宋体" w:hAnsi="宋体" w:cs="Times New Roman"/>
                <w:color w:val="auto"/>
                <w:kern w:val="0"/>
                <w:szCs w:val="21"/>
                <w:highlight w:val="none"/>
                <w:lang w:val="en-US" w:eastAsia="zh-CN"/>
              </w:rPr>
              <w:t>有针对性的</w:t>
            </w:r>
            <w:r>
              <w:rPr>
                <w:rFonts w:hint="eastAsia" w:ascii="宋体" w:hAnsi="宋体" w:cs="Times New Roman"/>
                <w:color w:val="auto"/>
                <w:kern w:val="0"/>
                <w:szCs w:val="21"/>
                <w:highlight w:val="none"/>
              </w:rPr>
              <w:t>为农业生产从业者提供农用地安全利用技术落地需要的</w:t>
            </w:r>
            <w:r>
              <w:rPr>
                <w:rFonts w:hint="eastAsia" w:ascii="宋体" w:hAnsi="宋体" w:cs="Times New Roman"/>
                <w:color w:val="auto"/>
                <w:kern w:val="0"/>
                <w:szCs w:val="21"/>
                <w:highlight w:val="none"/>
                <w:lang w:val="en-US" w:eastAsia="zh-CN"/>
              </w:rPr>
              <w:t>指导、</w:t>
            </w:r>
            <w:r>
              <w:rPr>
                <w:rFonts w:hint="eastAsia" w:ascii="宋体" w:hAnsi="宋体" w:cs="Times New Roman"/>
                <w:color w:val="auto"/>
                <w:kern w:val="0"/>
                <w:szCs w:val="21"/>
                <w:highlight w:val="none"/>
              </w:rPr>
              <w:t>宣传及物资等服务</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项目实施区域内涉及的水稻生产经营主体基本要接受技术指导，项目区域外的</w:t>
            </w:r>
            <w:r>
              <w:rPr>
                <w:rFonts w:hint="eastAsia" w:ascii="宋体" w:hAnsi="宋体" w:cs="Times New Roman"/>
                <w:color w:val="auto"/>
                <w:kern w:val="0"/>
                <w:szCs w:val="21"/>
                <w:highlight w:val="none"/>
              </w:rPr>
              <w:t>优先</w:t>
            </w:r>
            <w:r>
              <w:rPr>
                <w:rFonts w:hint="eastAsia" w:ascii="宋体" w:hAnsi="宋体" w:cs="Times New Roman"/>
                <w:color w:val="auto"/>
                <w:kern w:val="0"/>
                <w:szCs w:val="21"/>
                <w:highlight w:val="none"/>
                <w:lang w:val="en-US" w:eastAsia="zh-CN"/>
              </w:rPr>
              <w:t>对</w:t>
            </w:r>
            <w:r>
              <w:rPr>
                <w:rFonts w:hint="eastAsia" w:ascii="宋体" w:hAnsi="宋体" w:cs="Times New Roman"/>
                <w:color w:val="auto"/>
                <w:kern w:val="0"/>
                <w:szCs w:val="21"/>
                <w:highlight w:val="none"/>
              </w:rPr>
              <w:t>科技示范户、种植大户、家庭农场等人员</w:t>
            </w:r>
            <w:r>
              <w:rPr>
                <w:rFonts w:hint="eastAsia" w:ascii="宋体" w:hAnsi="宋体" w:cs="Times New Roman"/>
                <w:color w:val="auto"/>
                <w:kern w:val="0"/>
                <w:szCs w:val="21"/>
                <w:highlight w:val="none"/>
                <w:lang w:val="en-US" w:eastAsia="zh-CN"/>
              </w:rPr>
              <w:t>进行指导</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重点指导</w:t>
            </w:r>
            <w:r>
              <w:rPr>
                <w:rFonts w:hint="eastAsia" w:ascii="宋体" w:hAnsi="宋体" w:cs="Times New Roman"/>
                <w:color w:val="auto"/>
                <w:kern w:val="0"/>
                <w:szCs w:val="21"/>
                <w:highlight w:val="none"/>
                <w:lang w:val="en-US" w:eastAsia="zh-CN"/>
              </w:rPr>
              <w:t>水稻种植户</w:t>
            </w:r>
            <w:r>
              <w:rPr>
                <w:rFonts w:hint="eastAsia" w:ascii="宋体" w:hAnsi="宋体" w:cs="Times New Roman"/>
                <w:color w:val="auto"/>
                <w:kern w:val="0"/>
                <w:szCs w:val="21"/>
                <w:highlight w:val="none"/>
              </w:rPr>
              <w:t>推广</w:t>
            </w:r>
            <w:r>
              <w:rPr>
                <w:rFonts w:hint="eastAsia" w:ascii="宋体" w:hAnsi="宋体" w:cs="Times New Roman"/>
                <w:color w:val="auto"/>
                <w:kern w:val="0"/>
                <w:szCs w:val="21"/>
                <w:highlight w:val="none"/>
                <w:lang w:val="en-US" w:eastAsia="zh-CN"/>
              </w:rPr>
              <w:t>镉低积累水稻品种替代、土壤调理、</w:t>
            </w:r>
            <w:r>
              <w:rPr>
                <w:rFonts w:hint="eastAsia" w:ascii="宋体" w:hAnsi="宋体" w:cs="Times New Roman"/>
                <w:color w:val="auto"/>
                <w:kern w:val="0"/>
                <w:szCs w:val="21"/>
                <w:highlight w:val="none"/>
              </w:rPr>
              <w:t>水分管理、</w:t>
            </w:r>
            <w:r>
              <w:rPr>
                <w:rFonts w:hint="eastAsia" w:ascii="宋体" w:hAnsi="宋体" w:cs="Times New Roman"/>
                <w:color w:val="auto"/>
                <w:kern w:val="0"/>
                <w:szCs w:val="21"/>
                <w:highlight w:val="none"/>
                <w:lang w:eastAsia="zh-CN"/>
              </w:rPr>
              <w:t>叶面阻隔</w:t>
            </w:r>
            <w:r>
              <w:rPr>
                <w:rFonts w:hint="eastAsia" w:ascii="宋体" w:hAnsi="宋体" w:cs="Times New Roman"/>
                <w:color w:val="auto"/>
                <w:kern w:val="0"/>
                <w:szCs w:val="21"/>
                <w:highlight w:val="none"/>
              </w:rPr>
              <w:t>等农用地安全利用技术，使农业生产者掌握技术并能自行实施</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对接受指导的农户要进行登记造册。同时，</w:t>
            </w:r>
            <w:r>
              <w:rPr>
                <w:rFonts w:hint="eastAsia" w:ascii="宋体" w:hAnsi="宋体" w:cs="Times New Roman"/>
                <w:color w:val="auto"/>
                <w:kern w:val="0"/>
                <w:szCs w:val="21"/>
                <w:highlight w:val="none"/>
              </w:rPr>
              <w:t>根据项目</w:t>
            </w:r>
            <w:r>
              <w:rPr>
                <w:rFonts w:hint="eastAsia" w:ascii="宋体" w:hAnsi="宋体" w:cs="Times New Roman"/>
                <w:color w:val="auto"/>
                <w:kern w:val="0"/>
                <w:szCs w:val="21"/>
                <w:highlight w:val="none"/>
                <w:lang w:val="en-US" w:eastAsia="zh-CN"/>
              </w:rPr>
              <w:t>实施进度</w:t>
            </w:r>
            <w:r>
              <w:rPr>
                <w:rFonts w:hint="eastAsia" w:ascii="宋体" w:hAnsi="宋体" w:cs="Times New Roman"/>
                <w:color w:val="auto"/>
                <w:kern w:val="0"/>
                <w:szCs w:val="21"/>
                <w:highlight w:val="none"/>
              </w:rPr>
              <w:t>合理安排在水稻生产各个环节采取相应技术措施的时间，相应时间节点需在现场设置专人讲解采取措施的作用和意义，保证有一定数量的农民群众到</w:t>
            </w:r>
            <w:r>
              <w:rPr>
                <w:rFonts w:hint="eastAsia" w:ascii="宋体" w:hAnsi="宋体" w:cs="Times New Roman"/>
                <w:color w:val="auto"/>
                <w:kern w:val="0"/>
                <w:szCs w:val="21"/>
                <w:highlight w:val="none"/>
                <w:lang w:eastAsia="zh-CN"/>
              </w:rPr>
              <w:t>现</w:t>
            </w:r>
            <w:r>
              <w:rPr>
                <w:rFonts w:hint="eastAsia" w:ascii="宋体" w:hAnsi="宋体" w:cs="Times New Roman"/>
                <w:color w:val="auto"/>
                <w:kern w:val="0"/>
                <w:szCs w:val="21"/>
                <w:highlight w:val="none"/>
              </w:rPr>
              <w:t>场学习实操。</w:t>
            </w:r>
            <w:r>
              <w:rPr>
                <w:rFonts w:hint="default" w:ascii="宋体" w:hAnsi="宋体" w:cs="Times New Roman"/>
                <w:color w:val="auto"/>
                <w:kern w:val="0"/>
                <w:szCs w:val="21"/>
                <w:highlight w:val="none"/>
                <w:lang w:val="en-US" w:eastAsia="zh-CN"/>
              </w:rPr>
              <w:t>本项目计划</w:t>
            </w:r>
            <w:r>
              <w:rPr>
                <w:rFonts w:hint="eastAsia" w:ascii="宋体" w:hAnsi="宋体" w:cs="Times New Roman"/>
                <w:color w:val="auto"/>
                <w:kern w:val="0"/>
                <w:szCs w:val="21"/>
                <w:highlight w:val="none"/>
                <w:lang w:val="en-US" w:eastAsia="zh-CN"/>
              </w:rPr>
              <w:t>技术宣传</w:t>
            </w:r>
            <w:r>
              <w:rPr>
                <w:rFonts w:hint="default" w:ascii="宋体" w:hAnsi="宋体" w:cs="Times New Roman"/>
                <w:color w:val="auto"/>
                <w:kern w:val="0"/>
                <w:szCs w:val="21"/>
                <w:highlight w:val="none"/>
                <w:lang w:val="en-US" w:eastAsia="zh-CN"/>
              </w:rPr>
              <w:t>指导人数</w:t>
            </w:r>
            <w:r>
              <w:rPr>
                <w:rFonts w:hint="eastAsia" w:ascii="宋体" w:hAnsi="宋体" w:cs="Times New Roman"/>
                <w:color w:val="auto"/>
                <w:kern w:val="0"/>
                <w:szCs w:val="21"/>
                <w:highlight w:val="none"/>
                <w:lang w:val="en-US" w:eastAsia="zh-CN"/>
              </w:rPr>
              <w:t>1050</w:t>
            </w:r>
            <w:r>
              <w:rPr>
                <w:rFonts w:hint="default" w:ascii="宋体" w:hAnsi="宋体" w:cs="Times New Roman"/>
                <w:color w:val="auto"/>
                <w:kern w:val="0"/>
                <w:szCs w:val="21"/>
                <w:highlight w:val="none"/>
                <w:lang w:val="en-US" w:eastAsia="zh-CN"/>
              </w:rPr>
              <w:t>人。</w:t>
            </w:r>
            <w:r>
              <w:rPr>
                <w:rFonts w:hint="eastAsia" w:ascii="宋体" w:hAnsi="宋体" w:cs="Times New Roman"/>
                <w:color w:val="auto"/>
                <w:kern w:val="0"/>
                <w:szCs w:val="21"/>
                <w:highlight w:val="none"/>
              </w:rPr>
              <w:t>其中</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“叶面阻隔+”技术措施模式800人，镉低积累品种替代+”技术措施模式250人。</w:t>
            </w:r>
          </w:p>
          <w:p w14:paraId="659169BC">
            <w:pPr>
              <w:spacing w:line="360" w:lineRule="exact"/>
              <w:rPr>
                <w:rFonts w:hint="default" w:ascii="宋体" w:hAnsi="宋体" w:cs="Times New Roman"/>
                <w:b/>
                <w:bCs/>
                <w:color w:val="auto"/>
                <w:kern w:val="0"/>
                <w:szCs w:val="21"/>
                <w:highlight w:val="none"/>
                <w:lang w:val="en-US" w:eastAsia="zh-CN"/>
              </w:rPr>
            </w:pPr>
            <w:r>
              <w:rPr>
                <w:rFonts w:hint="eastAsia" w:ascii="宋体" w:hAnsi="宋体" w:cs="Times New Roman"/>
                <w:b/>
                <w:bCs/>
                <w:color w:val="auto"/>
                <w:kern w:val="0"/>
                <w:szCs w:val="21"/>
                <w:highlight w:val="none"/>
                <w:lang w:val="en-US" w:eastAsia="zh-CN"/>
              </w:rPr>
              <w:t>二</w:t>
            </w:r>
            <w:r>
              <w:rPr>
                <w:rFonts w:hint="default" w:ascii="宋体" w:hAnsi="宋体" w:cs="Times New Roman"/>
                <w:b/>
                <w:bCs/>
                <w:color w:val="auto"/>
                <w:kern w:val="0"/>
                <w:szCs w:val="21"/>
                <w:highlight w:val="none"/>
                <w:lang w:eastAsia="zh-CN"/>
              </w:rPr>
              <w:t>、</w:t>
            </w:r>
            <w:r>
              <w:rPr>
                <w:rFonts w:hint="default" w:ascii="宋体" w:hAnsi="宋体" w:cs="Times New Roman"/>
                <w:b/>
                <w:bCs/>
                <w:color w:val="auto"/>
                <w:kern w:val="0"/>
                <w:szCs w:val="21"/>
                <w:highlight w:val="none"/>
              </w:rPr>
              <w:t>项目验收</w:t>
            </w:r>
          </w:p>
          <w:p w14:paraId="5619F5E1">
            <w:pPr>
              <w:spacing w:line="360" w:lineRule="exact"/>
              <w:ind w:firstLine="422" w:firstLineChars="200"/>
              <w:rPr>
                <w:rFonts w:hint="eastAsia" w:ascii="宋体" w:hAnsi="宋体" w:cs="Times New Roman"/>
                <w:b/>
                <w:bCs/>
                <w:color w:val="auto"/>
                <w:kern w:val="0"/>
                <w:szCs w:val="21"/>
                <w:highlight w:val="none"/>
                <w:lang w:val="en-US" w:eastAsia="zh-CN"/>
              </w:rPr>
            </w:pPr>
            <w:r>
              <w:rPr>
                <w:rFonts w:hint="eastAsia" w:ascii="宋体" w:hAnsi="宋体" w:cs="Times New Roman"/>
                <w:b/>
                <w:bCs/>
                <w:color w:val="auto"/>
                <w:kern w:val="0"/>
                <w:szCs w:val="21"/>
                <w:highlight w:val="none"/>
              </w:rPr>
              <w:t>（一）项目</w:t>
            </w:r>
            <w:r>
              <w:rPr>
                <w:rFonts w:hint="eastAsia" w:ascii="宋体" w:hAnsi="宋体" w:cs="Times New Roman"/>
                <w:b/>
                <w:bCs/>
                <w:color w:val="auto"/>
                <w:kern w:val="0"/>
                <w:szCs w:val="21"/>
                <w:highlight w:val="none"/>
                <w:lang w:eastAsia="zh-CN"/>
              </w:rPr>
              <w:t>规模</w:t>
            </w:r>
            <w:r>
              <w:rPr>
                <w:rFonts w:hint="eastAsia" w:ascii="宋体" w:hAnsi="宋体" w:cs="Times New Roman"/>
                <w:b/>
                <w:bCs/>
                <w:color w:val="auto"/>
                <w:kern w:val="0"/>
                <w:szCs w:val="21"/>
                <w:highlight w:val="none"/>
              </w:rPr>
              <w:t>验收</w:t>
            </w:r>
            <w:r>
              <w:rPr>
                <w:rFonts w:hint="eastAsia" w:ascii="宋体" w:hAnsi="宋体" w:cs="Times New Roman"/>
                <w:b/>
                <w:bCs/>
                <w:color w:val="auto"/>
                <w:kern w:val="0"/>
                <w:szCs w:val="21"/>
                <w:highlight w:val="none"/>
                <w:lang w:val="en-US" w:eastAsia="zh-CN"/>
              </w:rPr>
              <w:t xml:space="preserve"> </w:t>
            </w:r>
          </w:p>
          <w:p w14:paraId="592B6D7C">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（1）</w:t>
            </w:r>
            <w:r>
              <w:rPr>
                <w:rFonts w:hint="eastAsia" w:ascii="宋体" w:hAnsi="宋体" w:cs="Times New Roman"/>
                <w:color w:val="auto"/>
                <w:kern w:val="0"/>
                <w:szCs w:val="21"/>
                <w:highlight w:val="none"/>
                <w:lang w:val="en-US" w:eastAsia="zh-CN"/>
              </w:rPr>
              <w:t>实施</w:t>
            </w:r>
            <w:r>
              <w:rPr>
                <w:rFonts w:hint="eastAsia" w:ascii="宋体" w:hAnsi="宋体" w:cs="Times New Roman"/>
                <w:color w:val="auto"/>
                <w:kern w:val="0"/>
                <w:szCs w:val="21"/>
                <w:highlight w:val="none"/>
              </w:rPr>
              <w:t>面积验收</w:t>
            </w:r>
          </w:p>
          <w:p w14:paraId="178BE98E">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“叶面阻隔+”或者“镉低积累品种替代+”技术措施</w:t>
            </w:r>
            <w:r>
              <w:rPr>
                <w:rFonts w:hint="eastAsia" w:ascii="宋体" w:hAnsi="宋体" w:cs="Times New Roman"/>
                <w:color w:val="auto"/>
                <w:kern w:val="0"/>
                <w:szCs w:val="21"/>
                <w:highlight w:val="none"/>
              </w:rPr>
              <w:t>实际实施</w:t>
            </w:r>
            <w:r>
              <w:rPr>
                <w:rFonts w:hint="eastAsia" w:ascii="宋体" w:hAnsi="宋体" w:cs="Times New Roman"/>
                <w:color w:val="auto"/>
                <w:kern w:val="0"/>
                <w:szCs w:val="21"/>
                <w:highlight w:val="none"/>
                <w:lang w:val="en-US" w:eastAsia="zh-CN"/>
              </w:rPr>
              <w:t>的</w:t>
            </w:r>
            <w:r>
              <w:rPr>
                <w:rFonts w:hint="eastAsia" w:ascii="宋体" w:hAnsi="宋体" w:cs="Times New Roman"/>
                <w:color w:val="auto"/>
                <w:kern w:val="0"/>
                <w:szCs w:val="21"/>
                <w:highlight w:val="none"/>
              </w:rPr>
              <w:t>具体地块及面积，由监理单位或者实施方、采购单位、农业生产者三方确认</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lang w:val="en-US" w:eastAsia="zh-CN"/>
              </w:rPr>
              <w:t>同时</w:t>
            </w:r>
            <w:r>
              <w:rPr>
                <w:rFonts w:hint="eastAsia" w:ascii="宋体" w:hAnsi="宋体" w:cs="Times New Roman"/>
                <w:color w:val="auto"/>
                <w:kern w:val="0"/>
                <w:szCs w:val="21"/>
                <w:highlight w:val="none"/>
              </w:rPr>
              <w:t>由市级农业农村局</w:t>
            </w:r>
            <w:r>
              <w:rPr>
                <w:rFonts w:hint="eastAsia" w:ascii="宋体" w:hAnsi="宋体" w:cs="Times New Roman"/>
                <w:color w:val="auto"/>
                <w:kern w:val="0"/>
                <w:szCs w:val="21"/>
                <w:highlight w:val="none"/>
                <w:lang w:val="en-US" w:eastAsia="zh-CN"/>
              </w:rPr>
              <w:t>监督指导项目县（市、区）做好项目</w:t>
            </w:r>
            <w:r>
              <w:rPr>
                <w:rFonts w:hint="eastAsia" w:ascii="宋体" w:hAnsi="宋体" w:cs="Times New Roman"/>
                <w:color w:val="auto"/>
                <w:kern w:val="0"/>
                <w:szCs w:val="21"/>
                <w:highlight w:val="none"/>
              </w:rPr>
              <w:t>实施所到具体地块及面积</w:t>
            </w:r>
            <w:r>
              <w:rPr>
                <w:rFonts w:hint="eastAsia" w:ascii="宋体" w:hAnsi="宋体" w:cs="Times New Roman"/>
                <w:color w:val="auto"/>
                <w:kern w:val="0"/>
                <w:szCs w:val="21"/>
                <w:highlight w:val="none"/>
                <w:lang w:val="en-US" w:eastAsia="zh-CN"/>
              </w:rPr>
              <w:t>与受污染耕地比对</w:t>
            </w:r>
            <w:r>
              <w:rPr>
                <w:rFonts w:hint="eastAsia" w:ascii="宋体" w:hAnsi="宋体" w:cs="Times New Roman"/>
                <w:color w:val="auto"/>
                <w:kern w:val="0"/>
                <w:szCs w:val="21"/>
                <w:highlight w:val="none"/>
              </w:rPr>
              <w:t>符合度核验确认</w:t>
            </w:r>
            <w:r>
              <w:rPr>
                <w:rFonts w:hint="eastAsia" w:ascii="宋体" w:hAnsi="宋体" w:cs="Times New Roman"/>
                <w:color w:val="auto"/>
                <w:kern w:val="0"/>
                <w:szCs w:val="21"/>
                <w:highlight w:val="none"/>
                <w:lang w:val="en-US" w:eastAsia="zh-CN"/>
              </w:rPr>
              <w:t>有关工作</w:t>
            </w:r>
            <w:r>
              <w:rPr>
                <w:rFonts w:hint="eastAsia" w:ascii="宋体" w:hAnsi="宋体" w:cs="Times New Roman"/>
                <w:color w:val="auto"/>
                <w:kern w:val="0"/>
                <w:szCs w:val="21"/>
                <w:highlight w:val="none"/>
              </w:rPr>
              <w:t>。</w:t>
            </w:r>
          </w:p>
          <w:p w14:paraId="1B797D61">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a</w:t>
            </w:r>
            <w:r>
              <w:rPr>
                <w:rFonts w:hint="eastAsia" w:ascii="宋体" w:hAnsi="宋体" w:cs="Times New Roman"/>
                <w:color w:val="auto"/>
                <w:kern w:val="0"/>
                <w:szCs w:val="21"/>
                <w:highlight w:val="none"/>
                <w:lang w:val="en-US" w:eastAsia="zh-CN"/>
              </w:rPr>
              <w:t>.</w:t>
            </w:r>
            <w:r>
              <w:rPr>
                <w:rFonts w:hint="eastAsia" w:ascii="宋体" w:hAnsi="宋体" w:cs="Times New Roman"/>
                <w:color w:val="auto"/>
                <w:kern w:val="0"/>
                <w:szCs w:val="21"/>
                <w:highlight w:val="none"/>
              </w:rPr>
              <w:t>面积核验确认办法</w:t>
            </w:r>
          </w:p>
          <w:p w14:paraId="7C3F739E">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对</w:t>
            </w:r>
            <w:r>
              <w:rPr>
                <w:rFonts w:hint="eastAsia" w:ascii="宋体" w:hAnsi="宋体" w:cs="Times New Roman"/>
                <w:color w:val="auto"/>
                <w:kern w:val="0"/>
                <w:szCs w:val="21"/>
                <w:highlight w:val="none"/>
                <w:lang w:val="en-US" w:eastAsia="zh-CN"/>
              </w:rPr>
              <w:t>措施</w:t>
            </w:r>
            <w:r>
              <w:rPr>
                <w:rFonts w:hint="eastAsia" w:ascii="宋体" w:hAnsi="宋体" w:cs="Times New Roman"/>
                <w:color w:val="auto"/>
                <w:kern w:val="0"/>
                <w:szCs w:val="21"/>
                <w:highlight w:val="none"/>
              </w:rPr>
              <w:t>实际实施</w:t>
            </w:r>
            <w:r>
              <w:rPr>
                <w:rFonts w:hint="eastAsia" w:ascii="宋体" w:hAnsi="宋体" w:cs="Times New Roman"/>
                <w:color w:val="auto"/>
                <w:kern w:val="0"/>
                <w:szCs w:val="21"/>
                <w:highlight w:val="none"/>
                <w:lang w:val="en-US" w:eastAsia="zh-CN"/>
              </w:rPr>
              <w:t>的</w:t>
            </w:r>
            <w:r>
              <w:rPr>
                <w:rFonts w:hint="eastAsia" w:ascii="宋体" w:hAnsi="宋体" w:cs="Times New Roman"/>
                <w:color w:val="auto"/>
                <w:kern w:val="0"/>
                <w:szCs w:val="21"/>
                <w:highlight w:val="none"/>
              </w:rPr>
              <w:t>具体地块及面积进行确认，即采取的技术措施覆盖到的地块（</w:t>
            </w:r>
            <w:r>
              <w:rPr>
                <w:rFonts w:hint="eastAsia" w:ascii="宋体" w:hAnsi="宋体" w:cs="Times New Roman"/>
                <w:color w:val="auto"/>
                <w:kern w:val="0"/>
                <w:szCs w:val="21"/>
                <w:highlight w:val="none"/>
                <w:lang w:val="en-US" w:eastAsia="zh-CN"/>
              </w:rPr>
              <w:t>属于受污染耕地范围</w:t>
            </w:r>
            <w:r>
              <w:rPr>
                <w:rFonts w:hint="eastAsia" w:ascii="宋体" w:hAnsi="宋体" w:cs="Times New Roman"/>
                <w:color w:val="auto"/>
                <w:kern w:val="0"/>
                <w:szCs w:val="21"/>
                <w:highlight w:val="none"/>
              </w:rPr>
              <w:t>且</w:t>
            </w:r>
            <w:r>
              <w:rPr>
                <w:rFonts w:hint="eastAsia" w:ascii="宋体" w:hAnsi="宋体" w:cs="Times New Roman"/>
                <w:color w:val="auto"/>
                <w:kern w:val="0"/>
                <w:szCs w:val="21"/>
                <w:highlight w:val="none"/>
                <w:lang w:eastAsia="zh-CN"/>
              </w:rPr>
              <w:t>目前</w:t>
            </w:r>
            <w:r>
              <w:rPr>
                <w:rFonts w:hint="eastAsia" w:ascii="宋体" w:hAnsi="宋体" w:cs="Times New Roman"/>
                <w:color w:val="auto"/>
                <w:kern w:val="0"/>
                <w:szCs w:val="21"/>
                <w:highlight w:val="none"/>
              </w:rPr>
              <w:t>继续种植水稻的地块，才能算为实施所到地块）及面积，即为核验确认面积。</w:t>
            </w:r>
          </w:p>
          <w:p w14:paraId="4483E423">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b</w:t>
            </w:r>
            <w:r>
              <w:rPr>
                <w:rFonts w:hint="eastAsia" w:ascii="宋体" w:hAnsi="宋体" w:cs="Times New Roman"/>
                <w:color w:val="auto"/>
                <w:kern w:val="0"/>
                <w:szCs w:val="21"/>
                <w:highlight w:val="none"/>
                <w:lang w:val="en-US" w:eastAsia="zh-CN"/>
              </w:rPr>
              <w:t>.</w:t>
            </w:r>
            <w:r>
              <w:rPr>
                <w:rFonts w:hint="eastAsia" w:ascii="宋体" w:hAnsi="宋体" w:cs="Times New Roman"/>
                <w:color w:val="auto"/>
                <w:kern w:val="0"/>
                <w:szCs w:val="21"/>
                <w:highlight w:val="none"/>
              </w:rPr>
              <w:t>符合度核验办法</w:t>
            </w:r>
          </w:p>
          <w:p w14:paraId="1B96D689">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实施方通过</w:t>
            </w:r>
            <w:r>
              <w:rPr>
                <w:rFonts w:hint="eastAsia" w:ascii="宋体" w:hAnsi="宋体" w:cs="Times New Roman"/>
                <w:color w:val="auto"/>
                <w:kern w:val="0"/>
                <w:szCs w:val="21"/>
                <w:highlight w:val="none"/>
                <w:lang w:val="en-US" w:eastAsia="zh-CN"/>
              </w:rPr>
              <w:t>技术措施落实过程中，由</w:t>
            </w:r>
            <w:r>
              <w:rPr>
                <w:rFonts w:hint="eastAsia" w:ascii="宋体" w:hAnsi="宋体" w:cs="Times New Roman"/>
                <w:color w:val="auto"/>
                <w:kern w:val="0"/>
                <w:szCs w:val="21"/>
                <w:highlight w:val="none"/>
              </w:rPr>
              <w:t>监理</w:t>
            </w:r>
            <w:r>
              <w:rPr>
                <w:rFonts w:hint="eastAsia" w:ascii="宋体" w:hAnsi="宋体" w:cs="Times New Roman"/>
                <w:color w:val="auto"/>
                <w:kern w:val="0"/>
                <w:szCs w:val="21"/>
                <w:highlight w:val="none"/>
                <w:lang w:val="en-US" w:eastAsia="zh-CN"/>
              </w:rPr>
              <w:t>方或</w:t>
            </w:r>
            <w:r>
              <w:rPr>
                <w:rFonts w:hint="eastAsia" w:ascii="宋体" w:hAnsi="宋体" w:cs="Times New Roman"/>
                <w:color w:val="auto"/>
                <w:kern w:val="0"/>
                <w:szCs w:val="21"/>
                <w:highlight w:val="none"/>
              </w:rPr>
              <w:t>实施方、采购单位、农业生产者确认的地块，</w:t>
            </w:r>
            <w:r>
              <w:rPr>
                <w:rFonts w:hint="eastAsia" w:ascii="宋体" w:hAnsi="宋体" w:cs="Times New Roman"/>
                <w:color w:val="auto"/>
                <w:kern w:val="0"/>
                <w:szCs w:val="21"/>
                <w:highlight w:val="none"/>
                <w:lang w:val="en-US" w:eastAsia="zh-CN"/>
              </w:rPr>
              <w:t>并对确认地块的信息数据</w:t>
            </w:r>
            <w:r>
              <w:rPr>
                <w:rFonts w:hint="eastAsia" w:ascii="宋体" w:hAnsi="宋体" w:cs="Times New Roman"/>
                <w:color w:val="auto"/>
                <w:kern w:val="0"/>
                <w:szCs w:val="21"/>
                <w:highlight w:val="none"/>
              </w:rPr>
              <w:t>进行矢量化（大地2000坐标系）</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市级农业农村局</w:t>
            </w:r>
            <w:r>
              <w:rPr>
                <w:rFonts w:hint="eastAsia" w:ascii="宋体" w:hAnsi="宋体" w:cs="Times New Roman"/>
                <w:color w:val="auto"/>
                <w:kern w:val="0"/>
                <w:szCs w:val="21"/>
                <w:highlight w:val="none"/>
                <w:lang w:val="en-US" w:eastAsia="zh-CN"/>
              </w:rPr>
              <w:t>指导监督所辖项目县（市、区）农业农村局做好项目实施</w:t>
            </w:r>
            <w:r>
              <w:rPr>
                <w:rFonts w:hint="eastAsia" w:ascii="宋体" w:hAnsi="宋体" w:cs="Times New Roman"/>
                <w:color w:val="auto"/>
                <w:kern w:val="0"/>
                <w:szCs w:val="21"/>
                <w:highlight w:val="none"/>
              </w:rPr>
              <w:t>矢量数据与</w:t>
            </w:r>
            <w:r>
              <w:rPr>
                <w:rFonts w:hint="eastAsia" w:ascii="宋体" w:hAnsi="宋体" w:cs="Times New Roman"/>
                <w:color w:val="auto"/>
                <w:kern w:val="0"/>
                <w:szCs w:val="21"/>
                <w:highlight w:val="none"/>
                <w:lang w:val="en-US" w:eastAsia="zh-CN"/>
              </w:rPr>
              <w:t>受污染耕地</w:t>
            </w:r>
            <w:r>
              <w:rPr>
                <w:rFonts w:hint="eastAsia" w:ascii="宋体" w:hAnsi="宋体" w:cs="Times New Roman"/>
                <w:color w:val="auto"/>
                <w:kern w:val="0"/>
                <w:szCs w:val="21"/>
                <w:highlight w:val="none"/>
              </w:rPr>
              <w:t>矢量数据进行叠加分析，计算确认符合要求的地块并统计面积。</w:t>
            </w:r>
          </w:p>
          <w:p w14:paraId="519326E3">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（2）</w:t>
            </w:r>
            <w:r>
              <w:rPr>
                <w:rFonts w:hint="eastAsia" w:ascii="宋体" w:hAnsi="宋体" w:cs="Times New Roman"/>
                <w:color w:val="auto"/>
                <w:kern w:val="0"/>
                <w:szCs w:val="21"/>
                <w:highlight w:val="none"/>
                <w:lang w:val="en-US" w:eastAsia="zh-CN"/>
              </w:rPr>
              <w:t>镉低积累水稻种子</w:t>
            </w:r>
            <w:r>
              <w:rPr>
                <w:rFonts w:hint="eastAsia" w:ascii="宋体" w:hAnsi="宋体" w:cs="Times New Roman"/>
                <w:color w:val="auto"/>
                <w:kern w:val="0"/>
                <w:szCs w:val="21"/>
                <w:highlight w:val="none"/>
              </w:rPr>
              <w:t>质量</w:t>
            </w:r>
            <w:r>
              <w:rPr>
                <w:rFonts w:hint="eastAsia" w:ascii="宋体" w:hAnsi="宋体" w:cs="Times New Roman"/>
                <w:color w:val="auto"/>
                <w:kern w:val="0"/>
                <w:szCs w:val="21"/>
                <w:highlight w:val="none"/>
                <w:lang w:val="en-US" w:eastAsia="zh-CN"/>
              </w:rPr>
              <w:t>及真实性</w:t>
            </w:r>
            <w:r>
              <w:rPr>
                <w:rFonts w:hint="eastAsia" w:ascii="宋体" w:hAnsi="宋体" w:cs="Times New Roman"/>
                <w:color w:val="auto"/>
                <w:kern w:val="0"/>
                <w:szCs w:val="21"/>
                <w:highlight w:val="none"/>
              </w:rPr>
              <w:t>验收</w:t>
            </w:r>
          </w:p>
          <w:p w14:paraId="315B302B">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lang w:val="en-US" w:eastAsia="zh-CN"/>
              </w:rPr>
              <w:t>采取“镉低积累品种替代+”技术措施模式的须开展镉低积累水稻种子质量及真实性验收。相关验收办法如下：由农业农村部门、供种企业、项目实施第三方或种植主体共同确认抽样，并送至有资质的机构进行检测。每批次、每个品种至少抽取2个样品（含1个备份样，每个样品重量不少于2斤），参照GB/T3543-2025《农作物种子检验规程》、GB 4404.1-2024《粮食作物种子第1部分：禾谷类》检测发芽率、净度、水分等指标，检测结果达标；参照GB/T39917-2021《主要农作物品种真实性和纯度SSR分子标记检测稻》或NY/T1433-2014《水稻品种鉴定技术规程SSR标记法》开展品种真实性鉴定，确认品种真实，抽样记录、检测报告完整留存。</w:t>
            </w:r>
          </w:p>
          <w:p w14:paraId="0FEEB44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w:t>
            </w:r>
            <w:r>
              <w:rPr>
                <w:rFonts w:hint="eastAsia" w:ascii="宋体" w:hAnsi="宋体" w:cs="Times New Roman"/>
                <w:color w:val="auto"/>
                <w:kern w:val="0"/>
                <w:szCs w:val="21"/>
                <w:highlight w:val="none"/>
                <w:lang w:val="en-US" w:eastAsia="zh-CN"/>
              </w:rPr>
              <w:t>3</w:t>
            </w:r>
            <w:r>
              <w:rPr>
                <w:rFonts w:hint="eastAsia" w:ascii="宋体" w:hAnsi="宋体" w:cs="Times New Roman"/>
                <w:color w:val="auto"/>
                <w:kern w:val="0"/>
                <w:szCs w:val="21"/>
                <w:highlight w:val="none"/>
              </w:rPr>
              <w:t>）</w:t>
            </w:r>
            <w:r>
              <w:rPr>
                <w:rFonts w:hint="eastAsia" w:ascii="宋体" w:hAnsi="宋体" w:eastAsia="宋体" w:cs="宋体"/>
                <w:bCs/>
                <w:color w:val="auto"/>
                <w:sz w:val="21"/>
                <w:szCs w:val="21"/>
                <w:highlight w:val="none"/>
                <w:lang w:eastAsia="zh-CN"/>
              </w:rPr>
              <w:t>水稻产量测定及</w:t>
            </w:r>
            <w:r>
              <w:rPr>
                <w:rFonts w:hint="eastAsia" w:ascii="宋体" w:hAnsi="宋体" w:cs="Times New Roman"/>
                <w:color w:val="auto"/>
                <w:kern w:val="0"/>
                <w:szCs w:val="21"/>
                <w:highlight w:val="none"/>
              </w:rPr>
              <w:t>稻谷质量验收</w:t>
            </w:r>
          </w:p>
          <w:p w14:paraId="2925F02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项目区</w:t>
            </w:r>
            <w:r>
              <w:rPr>
                <w:rFonts w:hint="eastAsia" w:ascii="宋体" w:hAnsi="宋体" w:eastAsia="宋体" w:cs="宋体"/>
                <w:b w:val="0"/>
                <w:bCs/>
                <w:color w:val="auto"/>
                <w:sz w:val="21"/>
                <w:szCs w:val="21"/>
                <w:highlight w:val="none"/>
                <w:lang w:val="en-US" w:eastAsia="zh-CN"/>
              </w:rPr>
              <w:t>“镉低积累品种替代+”技术措施模式</w:t>
            </w:r>
            <w:r>
              <w:rPr>
                <w:rFonts w:hint="eastAsia" w:ascii="宋体" w:hAnsi="宋体" w:eastAsia="宋体" w:cs="宋体"/>
                <w:color w:val="auto"/>
                <w:sz w:val="21"/>
                <w:szCs w:val="21"/>
                <w:highlight w:val="none"/>
                <w:lang w:val="en-US" w:eastAsia="zh-CN"/>
              </w:rPr>
              <w:t>应开展水稻产量测定和质量检测工作；项目区</w:t>
            </w:r>
            <w:r>
              <w:rPr>
                <w:rFonts w:hint="eastAsia" w:ascii="宋体" w:hAnsi="宋体" w:eastAsia="宋体" w:cs="宋体"/>
                <w:b w:val="0"/>
                <w:bCs/>
                <w:color w:val="auto"/>
                <w:sz w:val="21"/>
                <w:szCs w:val="21"/>
                <w:highlight w:val="none"/>
                <w:lang w:val="en-US" w:eastAsia="zh-CN"/>
              </w:rPr>
              <w:t>“叶面阻隔+”技术措施模式主要开展</w:t>
            </w:r>
            <w:r>
              <w:rPr>
                <w:rFonts w:hint="eastAsia" w:ascii="宋体" w:hAnsi="宋体" w:eastAsia="宋体" w:cs="宋体"/>
                <w:color w:val="auto"/>
                <w:sz w:val="21"/>
                <w:szCs w:val="21"/>
                <w:highlight w:val="none"/>
                <w:lang w:val="en-US" w:eastAsia="zh-CN"/>
              </w:rPr>
              <w:t>质量检测工作。</w:t>
            </w:r>
          </w:p>
          <w:p w14:paraId="09D3ADA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水稻测产方法参照</w:t>
            </w:r>
            <w:r>
              <w:rPr>
                <w:rFonts w:hint="eastAsia" w:ascii="宋体" w:hAnsi="宋体" w:eastAsia="宋体" w:cs="宋体"/>
                <w:color w:val="auto"/>
                <w:sz w:val="21"/>
                <w:szCs w:val="21"/>
                <w:highlight w:val="none"/>
              </w:rPr>
              <w:t>《全国粮食高产创建测产验收办法（试行）》（农办农〔2008〕82号）</w:t>
            </w:r>
            <w:r>
              <w:rPr>
                <w:rFonts w:hint="eastAsia" w:ascii="宋体" w:hAnsi="宋体" w:eastAsia="宋体" w:cs="宋体"/>
                <w:color w:val="auto"/>
                <w:sz w:val="21"/>
                <w:szCs w:val="21"/>
                <w:highlight w:val="none"/>
                <w:lang w:eastAsia="zh-CN"/>
              </w:rPr>
              <w:t>实收测产方法</w:t>
            </w:r>
            <w:r>
              <w:rPr>
                <w:rFonts w:hint="eastAsia" w:ascii="宋体" w:hAnsi="宋体" w:eastAsia="宋体" w:cs="宋体"/>
                <w:color w:val="auto"/>
                <w:sz w:val="21"/>
                <w:szCs w:val="21"/>
                <w:highlight w:val="none"/>
                <w:lang w:val="en-US" w:eastAsia="zh-CN"/>
              </w:rPr>
              <w:t>进行（一般抽取3个片区测产）。</w:t>
            </w:r>
          </w:p>
          <w:p w14:paraId="21D74B1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稻谷</w:t>
            </w:r>
            <w:r>
              <w:rPr>
                <w:rFonts w:hint="eastAsia" w:ascii="宋体" w:hAnsi="宋体" w:eastAsia="宋体" w:cs="宋体"/>
                <w:color w:val="auto"/>
                <w:sz w:val="21"/>
                <w:szCs w:val="21"/>
                <w:highlight w:val="none"/>
              </w:rPr>
              <w:t>质量验收合格标准，以实施区域稻谷质量符合国家食品卫生为标准。相关稻谷质量验收办法</w:t>
            </w:r>
            <w:r>
              <w:rPr>
                <w:rFonts w:hint="eastAsia" w:ascii="宋体" w:hAnsi="宋体" w:eastAsia="宋体" w:cs="宋体"/>
                <w:color w:val="auto"/>
                <w:sz w:val="21"/>
                <w:szCs w:val="21"/>
                <w:highlight w:val="none"/>
                <w:lang w:val="en-US" w:eastAsia="zh-CN"/>
              </w:rPr>
              <w:t>如下：</w:t>
            </w:r>
          </w:p>
          <w:p w14:paraId="2C798AF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稻谷样品采集及检测：</w:t>
            </w:r>
            <w:r>
              <w:rPr>
                <w:rFonts w:hint="eastAsia" w:ascii="宋体" w:hAnsi="宋体" w:eastAsia="宋体" w:cs="宋体"/>
                <w:color w:val="auto"/>
                <w:sz w:val="21"/>
                <w:szCs w:val="21"/>
                <w:highlight w:val="none"/>
                <w:lang w:val="en-US" w:eastAsia="zh-CN"/>
              </w:rPr>
              <w:t>参照</w:t>
            </w:r>
            <w:r>
              <w:rPr>
                <w:rFonts w:hint="eastAsia" w:ascii="宋体" w:hAnsi="宋体" w:eastAsia="宋体" w:cs="宋体"/>
                <w:color w:val="auto"/>
                <w:sz w:val="21"/>
                <w:szCs w:val="21"/>
                <w:highlight w:val="none"/>
              </w:rPr>
              <w:t>《中华人民共和国农业行业标准耕地污染治理效果评价准则》（NY/T3343</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2018）</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按照15—50亩/个样品的布点密度</w:t>
            </w:r>
            <w:r>
              <w:rPr>
                <w:rFonts w:hint="eastAsia" w:ascii="宋体" w:hAnsi="宋体" w:eastAsia="宋体" w:cs="宋体"/>
                <w:color w:val="auto"/>
                <w:sz w:val="21"/>
                <w:szCs w:val="21"/>
                <w:highlight w:val="none"/>
              </w:rPr>
              <w:t>进行</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涉及严格管控类耕地区域的，应适当加密布点，做好稻谷重金属质量检测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由检测评估第三方按规定采集样品，与</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实施第三方、监理单位（方法一）或者采购单位（方法二）人员</w:t>
            </w:r>
            <w:r>
              <w:rPr>
                <w:rFonts w:hint="eastAsia" w:ascii="宋体" w:hAnsi="宋体" w:eastAsia="宋体" w:cs="宋体"/>
                <w:color w:val="auto"/>
                <w:sz w:val="21"/>
                <w:szCs w:val="21"/>
                <w:highlight w:val="none"/>
                <w:lang w:val="en-US" w:eastAsia="zh-CN"/>
              </w:rPr>
              <w:t>三方</w:t>
            </w:r>
            <w:r>
              <w:rPr>
                <w:rFonts w:hint="eastAsia" w:ascii="宋体" w:hAnsi="宋体" w:eastAsia="宋体" w:cs="宋体"/>
                <w:color w:val="auto"/>
                <w:sz w:val="21"/>
                <w:szCs w:val="21"/>
                <w:highlight w:val="none"/>
              </w:rPr>
              <w:t>一起</w:t>
            </w:r>
            <w:r>
              <w:rPr>
                <w:rFonts w:hint="eastAsia" w:ascii="宋体" w:hAnsi="宋体" w:eastAsia="宋体" w:cs="宋体"/>
                <w:color w:val="auto"/>
                <w:sz w:val="21"/>
                <w:szCs w:val="21"/>
                <w:highlight w:val="none"/>
                <w:lang w:val="en-US" w:eastAsia="zh-CN"/>
              </w:rPr>
              <w:t>确认后进行</w:t>
            </w:r>
            <w:r>
              <w:rPr>
                <w:rFonts w:hint="eastAsia" w:ascii="宋体" w:hAnsi="宋体" w:eastAsia="宋体" w:cs="宋体"/>
                <w:color w:val="auto"/>
                <w:sz w:val="21"/>
                <w:szCs w:val="21"/>
                <w:highlight w:val="none"/>
              </w:rPr>
              <w:t>现场封样。农产品检测项目为</w:t>
            </w:r>
            <w:r>
              <w:rPr>
                <w:rFonts w:hint="eastAsia" w:ascii="宋体" w:hAnsi="宋体" w:eastAsia="宋体" w:cs="宋体"/>
                <w:b w:val="0"/>
                <w:bCs w:val="0"/>
                <w:color w:val="auto"/>
                <w:sz w:val="21"/>
                <w:szCs w:val="21"/>
                <w:highlight w:val="none"/>
                <w:lang w:val="en-US" w:eastAsia="zh-CN"/>
              </w:rPr>
              <w:t>总镉、总汞、总砷（稻谷测总砷超0.35mg/kg时必须测无机砷）、总铅、总铬检测</w:t>
            </w:r>
            <w:r>
              <w:rPr>
                <w:rFonts w:hint="eastAsia" w:ascii="宋体" w:hAnsi="宋体" w:eastAsia="宋体" w:cs="宋体"/>
                <w:color w:val="auto"/>
                <w:sz w:val="21"/>
                <w:szCs w:val="21"/>
                <w:highlight w:val="none"/>
                <w:lang w:val="en-US" w:eastAsia="zh-CN"/>
              </w:rPr>
              <w:t>5项</w:t>
            </w:r>
            <w:r>
              <w:rPr>
                <w:rFonts w:hint="eastAsia" w:ascii="宋体" w:hAnsi="宋体" w:eastAsia="宋体" w:cs="宋体"/>
                <w:color w:val="auto"/>
                <w:sz w:val="21"/>
                <w:szCs w:val="21"/>
                <w:highlight w:val="none"/>
              </w:rPr>
              <w:t>重金属</w:t>
            </w:r>
            <w:r>
              <w:rPr>
                <w:rFonts w:hint="eastAsia" w:ascii="宋体" w:hAnsi="宋体" w:eastAsia="宋体" w:cs="宋体"/>
                <w:color w:val="auto"/>
                <w:sz w:val="21"/>
                <w:szCs w:val="21"/>
                <w:highlight w:val="none"/>
                <w:lang w:val="en-US" w:eastAsia="zh-CN"/>
              </w:rPr>
              <w:t>指标</w:t>
            </w:r>
            <w:r>
              <w:rPr>
                <w:rFonts w:hint="eastAsia" w:ascii="宋体" w:hAnsi="宋体" w:eastAsia="宋体" w:cs="宋体"/>
                <w:color w:val="auto"/>
                <w:sz w:val="21"/>
                <w:szCs w:val="21"/>
                <w:highlight w:val="none"/>
              </w:rPr>
              <w:t>。样品备份、检测、保存样的管理及效果判定按照《食品安全国家标准食品中污染物限量》（GB2762</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20</w:t>
            </w:r>
            <w:r>
              <w:rPr>
                <w:rFonts w:hint="eastAsia" w:ascii="宋体" w:hAnsi="宋体" w:eastAsia="宋体" w:cs="宋体"/>
                <w:color w:val="auto"/>
                <w:sz w:val="21"/>
                <w:szCs w:val="21"/>
                <w:highlight w:val="none"/>
                <w:lang w:val="en-US" w:eastAsia="zh-CN"/>
              </w:rPr>
              <w:t>22</w:t>
            </w:r>
            <w:r>
              <w:rPr>
                <w:rFonts w:hint="eastAsia" w:ascii="宋体" w:hAnsi="宋体" w:eastAsia="宋体" w:cs="宋体"/>
                <w:color w:val="auto"/>
                <w:sz w:val="21"/>
                <w:szCs w:val="21"/>
                <w:highlight w:val="none"/>
              </w:rPr>
              <w:t>）规定进行，并协同现场测定样品采集地块土壤pH值。样品信息至少含水稻品种及带经纬度的采样地块位置的正东、正南、正西、正北等方向相片和工作相片，带经纬度的现场测定土壤pH值相片</w:t>
            </w:r>
            <w:r>
              <w:rPr>
                <w:rFonts w:hint="eastAsia" w:ascii="宋体" w:hAnsi="宋体" w:eastAsia="宋体" w:cs="宋体"/>
                <w:color w:val="auto"/>
                <w:sz w:val="21"/>
                <w:szCs w:val="21"/>
                <w:highlight w:val="none"/>
                <w:lang w:eastAsia="zh-CN"/>
              </w:rPr>
              <w:t>。如</w:t>
            </w:r>
            <w:r>
              <w:rPr>
                <w:rFonts w:hint="eastAsia" w:ascii="宋体" w:hAnsi="宋体" w:eastAsia="宋体" w:cs="宋体"/>
                <w:color w:val="auto"/>
                <w:sz w:val="21"/>
                <w:szCs w:val="21"/>
                <w:highlight w:val="none"/>
              </w:rPr>
              <w:t>信息不全、无法证明采集样地及pH仪校正与现场测定土壤pH值的，将视为无效样品。样品</w:t>
            </w:r>
            <w:r>
              <w:rPr>
                <w:rFonts w:hint="eastAsia" w:ascii="宋体" w:hAnsi="宋体" w:eastAsia="宋体" w:cs="宋体"/>
                <w:color w:val="auto"/>
                <w:sz w:val="21"/>
                <w:szCs w:val="21"/>
                <w:highlight w:val="none"/>
                <w:lang w:val="en-US" w:eastAsia="zh-CN"/>
              </w:rPr>
              <w:t>采样</w:t>
            </w:r>
            <w:r>
              <w:rPr>
                <w:rFonts w:hint="eastAsia" w:ascii="宋体" w:hAnsi="宋体" w:eastAsia="宋体" w:cs="宋体"/>
                <w:color w:val="auto"/>
                <w:sz w:val="21"/>
                <w:szCs w:val="21"/>
                <w:highlight w:val="none"/>
              </w:rPr>
              <w:t>信息、土壤pH值测定及数据传输方式，按自治区农业生态与资源保护站要求进行。</w:t>
            </w:r>
          </w:p>
          <w:p w14:paraId="27549CA0">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b</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抽样检测及效果评估第三方：</w:t>
            </w:r>
            <w:r>
              <w:rPr>
                <w:rFonts w:hint="eastAsia" w:ascii="宋体" w:hAnsi="宋体" w:eastAsia="宋体" w:cs="宋体"/>
                <w:color w:val="auto"/>
                <w:sz w:val="21"/>
                <w:szCs w:val="21"/>
                <w:highlight w:val="none"/>
                <w:lang w:val="en-US" w:eastAsia="zh-CN"/>
              </w:rPr>
              <w:t>项目业主</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val="en-US" w:eastAsia="zh-CN"/>
              </w:rPr>
              <w:t>政府采购方式确定采样检</w:t>
            </w:r>
            <w:r>
              <w:rPr>
                <w:rFonts w:hint="eastAsia" w:ascii="宋体" w:hAnsi="宋体" w:eastAsia="宋体" w:cs="宋体"/>
                <w:color w:val="auto"/>
                <w:sz w:val="21"/>
                <w:szCs w:val="21"/>
                <w:highlight w:val="none"/>
              </w:rPr>
              <w:t>测服务机构，完成样品</w:t>
            </w:r>
            <w:r>
              <w:rPr>
                <w:rFonts w:hint="eastAsia" w:ascii="宋体" w:hAnsi="宋体" w:eastAsia="宋体" w:cs="宋体"/>
                <w:color w:val="auto"/>
                <w:sz w:val="21"/>
                <w:szCs w:val="21"/>
                <w:highlight w:val="none"/>
                <w:lang w:val="en-US" w:eastAsia="zh-CN"/>
              </w:rPr>
              <w:t>采</w:t>
            </w:r>
            <w:r>
              <w:rPr>
                <w:rFonts w:hint="eastAsia" w:ascii="宋体" w:hAnsi="宋体" w:eastAsia="宋体" w:cs="宋体"/>
                <w:color w:val="auto"/>
                <w:sz w:val="21"/>
                <w:szCs w:val="21"/>
                <w:highlight w:val="none"/>
              </w:rPr>
              <w:t>样、检测及效果判定评价工作。抽样检测及效果评估第三方</w:t>
            </w:r>
            <w:r>
              <w:rPr>
                <w:rFonts w:hint="eastAsia" w:ascii="宋体" w:hAnsi="宋体" w:eastAsia="宋体" w:cs="宋体"/>
                <w:color w:val="auto"/>
                <w:sz w:val="21"/>
                <w:szCs w:val="21"/>
                <w:highlight w:val="none"/>
                <w:lang w:val="en-US" w:eastAsia="zh-CN"/>
              </w:rPr>
              <w:t>不能是项目实施方，不能是与项目实施方有利害关系的企业。</w:t>
            </w:r>
          </w:p>
          <w:p w14:paraId="627BF38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抽样时间：水稻成熟度80%至收割前。</w:t>
            </w:r>
          </w:p>
          <w:p w14:paraId="2ED5F4A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样品类型：实施季稻谷样品。</w:t>
            </w:r>
          </w:p>
          <w:p w14:paraId="6E37323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纠纷处理：</w:t>
            </w:r>
            <w:r>
              <w:rPr>
                <w:rFonts w:hint="eastAsia" w:ascii="宋体" w:hAnsi="宋体" w:eastAsia="宋体" w:cs="宋体"/>
                <w:color w:val="auto"/>
                <w:sz w:val="21"/>
                <w:szCs w:val="21"/>
                <w:highlight w:val="none"/>
                <w:lang w:val="en-US" w:eastAsia="zh-CN"/>
              </w:rPr>
              <w:t>2026年度实施的同类项目（2026年以前顺延至2026年实施的项目除外），</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有一方</w:t>
            </w:r>
            <w:r>
              <w:rPr>
                <w:rFonts w:hint="eastAsia" w:ascii="宋体" w:hAnsi="宋体" w:eastAsia="宋体" w:cs="宋体"/>
                <w:color w:val="auto"/>
                <w:sz w:val="21"/>
                <w:szCs w:val="21"/>
                <w:highlight w:val="none"/>
                <w:lang w:eastAsia="zh-CN"/>
              </w:rPr>
              <w:t>对</w:t>
            </w:r>
            <w:r>
              <w:rPr>
                <w:rFonts w:hint="eastAsia" w:ascii="宋体" w:hAnsi="宋体" w:eastAsia="宋体" w:cs="宋体"/>
                <w:color w:val="auto"/>
                <w:sz w:val="21"/>
                <w:szCs w:val="21"/>
                <w:highlight w:val="none"/>
              </w:rPr>
              <w:t>检测结果及效果评估</w:t>
            </w:r>
            <w:r>
              <w:rPr>
                <w:rFonts w:hint="eastAsia" w:ascii="宋体" w:hAnsi="宋体" w:eastAsia="宋体" w:cs="宋体"/>
                <w:color w:val="auto"/>
                <w:sz w:val="21"/>
                <w:szCs w:val="21"/>
                <w:highlight w:val="none"/>
                <w:lang w:val="en-US" w:eastAsia="zh-CN"/>
              </w:rPr>
              <w:t>结果</w:t>
            </w:r>
            <w:r>
              <w:rPr>
                <w:rFonts w:hint="eastAsia" w:ascii="宋体" w:hAnsi="宋体" w:eastAsia="宋体" w:cs="宋体"/>
                <w:color w:val="auto"/>
                <w:sz w:val="21"/>
                <w:szCs w:val="21"/>
                <w:highlight w:val="none"/>
              </w:rPr>
              <w:t>存疑，实施方与检测方协商确定重新检测费用来源之后，</w:t>
            </w:r>
            <w:r>
              <w:rPr>
                <w:rFonts w:hint="eastAsia" w:ascii="宋体" w:hAnsi="宋体" w:eastAsia="宋体" w:cs="宋体"/>
                <w:color w:val="auto"/>
                <w:sz w:val="21"/>
                <w:szCs w:val="21"/>
                <w:highlight w:val="none"/>
                <w:lang w:val="en-US" w:eastAsia="zh-CN"/>
              </w:rPr>
              <w:t>可向自治区农业生态与资源保护站提出申诉，由自治区农业生态与资源保护站组织协调，一同协商委托其他有资质的检测单位</w:t>
            </w:r>
            <w:r>
              <w:rPr>
                <w:rFonts w:hint="eastAsia" w:ascii="宋体" w:hAnsi="宋体" w:eastAsia="宋体" w:cs="宋体"/>
                <w:color w:val="auto"/>
                <w:sz w:val="21"/>
                <w:szCs w:val="21"/>
                <w:highlight w:val="none"/>
              </w:rPr>
              <w:t>对保存样进行重新检测（</w:t>
            </w:r>
            <w:r>
              <w:rPr>
                <w:rFonts w:hint="eastAsia" w:ascii="宋体" w:hAnsi="宋体" w:eastAsia="宋体" w:cs="宋体"/>
                <w:color w:val="auto"/>
                <w:sz w:val="21"/>
                <w:szCs w:val="21"/>
                <w:highlight w:val="none"/>
                <w:lang w:val="en-US" w:eastAsia="zh-CN"/>
              </w:rPr>
              <w:t>合同约定</w:t>
            </w:r>
            <w:r>
              <w:rPr>
                <w:rFonts w:hint="eastAsia" w:ascii="宋体" w:hAnsi="宋体" w:eastAsia="宋体" w:cs="宋体"/>
                <w:color w:val="auto"/>
                <w:sz w:val="21"/>
                <w:szCs w:val="21"/>
                <w:highlight w:val="none"/>
              </w:rPr>
              <w:t>所有</w:t>
            </w:r>
            <w:r>
              <w:rPr>
                <w:rFonts w:hint="eastAsia" w:ascii="宋体" w:hAnsi="宋体" w:eastAsia="宋体" w:cs="宋体"/>
                <w:color w:val="auto"/>
                <w:sz w:val="21"/>
                <w:szCs w:val="21"/>
                <w:highlight w:val="none"/>
                <w:lang w:val="en-US" w:eastAsia="zh-CN"/>
              </w:rPr>
              <w:t>检测</w:t>
            </w:r>
            <w:r>
              <w:rPr>
                <w:rFonts w:hint="eastAsia" w:ascii="宋体" w:hAnsi="宋体" w:eastAsia="宋体" w:cs="宋体"/>
                <w:color w:val="auto"/>
                <w:sz w:val="21"/>
                <w:szCs w:val="21"/>
                <w:highlight w:val="none"/>
              </w:rPr>
              <w:t>指标）</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或者直接向当地司法部门申请司法处理。</w:t>
            </w:r>
          </w:p>
          <w:p w14:paraId="21400606">
            <w:pPr>
              <w:spacing w:line="360" w:lineRule="exact"/>
              <w:ind w:firstLine="422" w:firstLineChars="200"/>
              <w:rPr>
                <w:rFonts w:hint="eastAsia" w:ascii="宋体" w:hAnsi="宋体" w:cs="Times New Roman"/>
                <w:color w:val="auto"/>
                <w:kern w:val="0"/>
                <w:szCs w:val="21"/>
                <w:highlight w:val="none"/>
                <w:lang w:eastAsia="zh-CN"/>
              </w:rPr>
            </w:pPr>
            <w:r>
              <w:rPr>
                <w:rFonts w:hint="eastAsia" w:ascii="宋体" w:hAnsi="宋体" w:cs="Times New Roman"/>
                <w:b/>
                <w:bCs/>
                <w:color w:val="auto"/>
                <w:kern w:val="0"/>
                <w:szCs w:val="21"/>
                <w:highlight w:val="none"/>
              </w:rPr>
              <w:t>（</w:t>
            </w:r>
            <w:r>
              <w:rPr>
                <w:rFonts w:hint="eastAsia" w:ascii="宋体" w:hAnsi="宋体" w:cs="Times New Roman"/>
                <w:b/>
                <w:bCs/>
                <w:color w:val="auto"/>
                <w:kern w:val="0"/>
                <w:szCs w:val="21"/>
                <w:highlight w:val="none"/>
                <w:lang w:val="en-US" w:eastAsia="zh-CN"/>
              </w:rPr>
              <w:t>二</w:t>
            </w:r>
            <w:r>
              <w:rPr>
                <w:rFonts w:hint="eastAsia" w:ascii="宋体" w:hAnsi="宋体" w:cs="Times New Roman"/>
                <w:b/>
                <w:bCs/>
                <w:color w:val="auto"/>
                <w:kern w:val="0"/>
                <w:szCs w:val="21"/>
                <w:highlight w:val="none"/>
              </w:rPr>
              <w:t>）</w:t>
            </w:r>
            <w:r>
              <w:rPr>
                <w:rFonts w:hint="eastAsia" w:ascii="宋体" w:hAnsi="宋体" w:cs="Times New Roman"/>
                <w:b/>
                <w:bCs/>
                <w:color w:val="auto"/>
                <w:kern w:val="0"/>
                <w:szCs w:val="21"/>
                <w:highlight w:val="none"/>
                <w:lang w:val="en-US" w:eastAsia="zh-CN"/>
              </w:rPr>
              <w:t>项目整体</w:t>
            </w:r>
            <w:r>
              <w:rPr>
                <w:rFonts w:hint="eastAsia" w:ascii="宋体" w:hAnsi="宋体" w:cs="Times New Roman"/>
                <w:b/>
                <w:bCs/>
                <w:color w:val="auto"/>
                <w:kern w:val="0"/>
                <w:szCs w:val="21"/>
                <w:highlight w:val="none"/>
              </w:rPr>
              <w:t>验收</w:t>
            </w:r>
          </w:p>
          <w:p w14:paraId="7CC2C5B3">
            <w:pPr>
              <w:spacing w:line="360" w:lineRule="exact"/>
              <w:ind w:firstLine="420" w:firstLineChars="200"/>
              <w:rPr>
                <w:rFonts w:hint="eastAsia" w:ascii="宋体" w:hAnsi="宋体" w:cs="Times New Roman"/>
                <w:color w:val="auto"/>
                <w:kern w:val="0"/>
                <w:szCs w:val="21"/>
                <w:highlight w:val="none"/>
              </w:rPr>
            </w:pPr>
            <w:r>
              <w:rPr>
                <w:rFonts w:hint="eastAsia" w:ascii="宋体" w:hAnsi="宋体" w:cs="Times New Roman"/>
                <w:color w:val="auto"/>
                <w:kern w:val="0"/>
                <w:szCs w:val="21"/>
                <w:highlight w:val="none"/>
              </w:rPr>
              <w:t>项目完成规模验收后，由</w:t>
            </w:r>
            <w:r>
              <w:rPr>
                <w:rFonts w:hint="eastAsia" w:ascii="宋体" w:hAnsi="宋体" w:cs="Times New Roman"/>
                <w:color w:val="auto"/>
                <w:kern w:val="0"/>
                <w:szCs w:val="21"/>
                <w:highlight w:val="none"/>
                <w:lang w:val="en-US" w:eastAsia="zh-CN"/>
              </w:rPr>
              <w:t>县级</w:t>
            </w:r>
            <w:r>
              <w:rPr>
                <w:rFonts w:hint="eastAsia" w:ascii="宋体" w:hAnsi="宋体" w:cs="Times New Roman"/>
                <w:color w:val="auto"/>
                <w:kern w:val="0"/>
                <w:szCs w:val="21"/>
                <w:highlight w:val="none"/>
              </w:rPr>
              <w:t>农业农村局组织</w:t>
            </w:r>
            <w:r>
              <w:rPr>
                <w:rFonts w:hint="eastAsia" w:ascii="宋体" w:hAnsi="宋体" w:cs="Times New Roman"/>
                <w:color w:val="auto"/>
                <w:kern w:val="0"/>
                <w:szCs w:val="21"/>
                <w:highlight w:val="none"/>
                <w:lang w:val="en-US" w:eastAsia="zh-CN"/>
              </w:rPr>
              <w:t>市</w:t>
            </w:r>
            <w:r>
              <w:rPr>
                <w:rFonts w:hint="eastAsia" w:ascii="宋体" w:hAnsi="宋体" w:cs="Times New Roman"/>
                <w:color w:val="auto"/>
                <w:kern w:val="0"/>
                <w:szCs w:val="21"/>
                <w:highlight w:val="none"/>
              </w:rPr>
              <w:t>级农业农村部门</w:t>
            </w:r>
            <w:r>
              <w:rPr>
                <w:rFonts w:hint="eastAsia" w:ascii="宋体" w:hAnsi="宋体" w:cs="Times New Roman"/>
                <w:color w:val="auto"/>
                <w:kern w:val="0"/>
                <w:szCs w:val="21"/>
                <w:highlight w:val="none"/>
                <w:lang w:eastAsia="zh-CN"/>
              </w:rPr>
              <w:t>审核</w:t>
            </w:r>
            <w:r>
              <w:rPr>
                <w:rFonts w:hint="eastAsia" w:ascii="宋体" w:hAnsi="宋体" w:cs="Times New Roman"/>
                <w:color w:val="auto"/>
                <w:kern w:val="0"/>
                <w:szCs w:val="21"/>
                <w:highlight w:val="none"/>
              </w:rPr>
              <w:t>同意</w:t>
            </w:r>
            <w:r>
              <w:rPr>
                <w:rFonts w:hint="eastAsia" w:ascii="宋体" w:hAnsi="宋体" w:cs="Times New Roman"/>
                <w:color w:val="auto"/>
                <w:kern w:val="0"/>
                <w:szCs w:val="21"/>
                <w:highlight w:val="none"/>
                <w:lang w:eastAsia="zh-CN"/>
              </w:rPr>
              <w:t>的</w:t>
            </w:r>
            <w:r>
              <w:rPr>
                <w:rFonts w:hint="eastAsia" w:ascii="宋体" w:hAnsi="宋体" w:cs="Times New Roman"/>
                <w:color w:val="auto"/>
                <w:kern w:val="0"/>
                <w:szCs w:val="21"/>
                <w:highlight w:val="none"/>
              </w:rPr>
              <w:t>相关单位或者专家</w:t>
            </w:r>
            <w:r>
              <w:rPr>
                <w:rFonts w:hint="eastAsia" w:ascii="宋体" w:hAnsi="宋体" w:cs="Times New Roman"/>
                <w:color w:val="auto"/>
                <w:kern w:val="0"/>
                <w:szCs w:val="21"/>
                <w:highlight w:val="none"/>
                <w:lang w:eastAsia="zh-CN"/>
              </w:rPr>
              <w:t>，召开</w:t>
            </w:r>
            <w:r>
              <w:rPr>
                <w:rFonts w:hint="eastAsia" w:ascii="宋体" w:hAnsi="宋体" w:cs="Times New Roman"/>
                <w:color w:val="auto"/>
                <w:kern w:val="0"/>
                <w:szCs w:val="21"/>
                <w:highlight w:val="none"/>
              </w:rPr>
              <w:t>合同（工作）验收会，核验检测结果</w:t>
            </w:r>
            <w:r>
              <w:rPr>
                <w:rFonts w:hint="eastAsia" w:ascii="宋体" w:hAnsi="宋体" w:cs="Times New Roman"/>
                <w:color w:val="auto"/>
                <w:kern w:val="0"/>
                <w:szCs w:val="21"/>
                <w:highlight w:val="none"/>
                <w:lang w:eastAsia="zh-CN"/>
              </w:rPr>
              <w:t>，</w:t>
            </w:r>
            <w:r>
              <w:rPr>
                <w:rFonts w:hint="eastAsia" w:ascii="宋体" w:hAnsi="宋体" w:cs="Times New Roman"/>
                <w:color w:val="auto"/>
                <w:kern w:val="0"/>
                <w:szCs w:val="21"/>
                <w:highlight w:val="none"/>
              </w:rPr>
              <w:t>确认</w:t>
            </w:r>
            <w:r>
              <w:rPr>
                <w:rFonts w:hint="eastAsia" w:ascii="宋体" w:hAnsi="宋体" w:cs="Times New Roman"/>
                <w:color w:val="auto"/>
                <w:kern w:val="0"/>
                <w:szCs w:val="21"/>
                <w:highlight w:val="none"/>
                <w:lang w:val="en-US" w:eastAsia="zh-CN"/>
              </w:rPr>
              <w:t>项目实施</w:t>
            </w:r>
            <w:r>
              <w:rPr>
                <w:rFonts w:hint="eastAsia" w:ascii="宋体" w:hAnsi="宋体" w:cs="Times New Roman"/>
                <w:color w:val="auto"/>
                <w:kern w:val="0"/>
                <w:szCs w:val="21"/>
                <w:highlight w:val="none"/>
              </w:rPr>
              <w:t>面积</w:t>
            </w:r>
            <w:r>
              <w:rPr>
                <w:rFonts w:hint="eastAsia" w:ascii="宋体" w:hAnsi="宋体" w:cs="Times New Roman"/>
                <w:color w:val="auto"/>
                <w:kern w:val="0"/>
                <w:szCs w:val="21"/>
                <w:highlight w:val="none"/>
                <w:lang w:val="en-US" w:eastAsia="zh-CN"/>
              </w:rPr>
              <w:t>和</w:t>
            </w:r>
            <w:r>
              <w:rPr>
                <w:rFonts w:hint="eastAsia" w:ascii="宋体" w:hAnsi="宋体" w:cs="Times New Roman"/>
                <w:color w:val="auto"/>
                <w:kern w:val="0"/>
                <w:szCs w:val="21"/>
                <w:highlight w:val="none"/>
              </w:rPr>
              <w:t>培训人员数量</w:t>
            </w:r>
            <w:r>
              <w:rPr>
                <w:rFonts w:hint="eastAsia" w:ascii="宋体" w:hAnsi="宋体" w:cs="Times New Roman"/>
                <w:color w:val="auto"/>
                <w:kern w:val="0"/>
                <w:szCs w:val="21"/>
                <w:highlight w:val="none"/>
                <w:lang w:val="en-US" w:eastAsia="zh-CN"/>
              </w:rPr>
              <w:t>造册情况，</w:t>
            </w:r>
            <w:r>
              <w:rPr>
                <w:rFonts w:hint="eastAsia" w:ascii="宋体" w:hAnsi="宋体" w:cs="Times New Roman"/>
                <w:color w:val="auto"/>
                <w:kern w:val="0"/>
                <w:szCs w:val="21"/>
                <w:highlight w:val="none"/>
              </w:rPr>
              <w:t>照合同逐个指标进行验收。</w:t>
            </w:r>
          </w:p>
          <w:p w14:paraId="203B88E0">
            <w:pPr>
              <w:spacing w:line="360" w:lineRule="exact"/>
              <w:ind w:firstLine="420" w:firstLineChars="200"/>
              <w:rPr>
                <w:rFonts w:hint="eastAsia" w:ascii="宋体" w:hAnsi="宋体" w:cs="Times New Roman"/>
                <w:color w:val="auto"/>
                <w:kern w:val="0"/>
                <w:szCs w:val="21"/>
                <w:highlight w:val="none"/>
                <w:lang w:val="en-US" w:eastAsia="zh-CN"/>
              </w:rPr>
            </w:pPr>
          </w:p>
        </w:tc>
      </w:tr>
      <w:tr w14:paraId="19D7EA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4"/>
            <w:tcBorders>
              <w:top w:val="single" w:color="auto" w:sz="4" w:space="0"/>
              <w:left w:val="single" w:color="auto" w:sz="4" w:space="0"/>
              <w:bottom w:val="single" w:color="auto" w:sz="4" w:space="0"/>
              <w:right w:val="single" w:color="auto" w:sz="4" w:space="0"/>
            </w:tcBorders>
          </w:tcPr>
          <w:p w14:paraId="06B99D65">
            <w:pPr>
              <w:pStyle w:val="3"/>
              <w:snapToGrid w:val="0"/>
              <w:spacing w:line="360" w:lineRule="exact"/>
              <w:outlineLvl w:val="0"/>
              <w:rPr>
                <w:rFonts w:hint="eastAsia" w:hAnsi="宋体" w:cs="宋体"/>
                <w:b/>
                <w:color w:val="auto"/>
                <w:highlight w:val="none"/>
              </w:rPr>
            </w:pPr>
            <w:bookmarkStart w:id="4" w:name="_Toc13417"/>
            <w:r>
              <w:rPr>
                <w:rFonts w:hint="eastAsia" w:hAnsi="宋体" w:cs="宋体"/>
                <w:b/>
                <w:color w:val="auto"/>
                <w:highlight w:val="none"/>
              </w:rPr>
              <w:t>二、商务要求表</w:t>
            </w:r>
            <w:bookmarkEnd w:id="4"/>
          </w:p>
        </w:tc>
      </w:tr>
      <w:tr w14:paraId="7163BE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B56D240">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1CCCA1B1">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响应报价包括采购项目需求及合同条款中的所有内容、应交纳的各种税费等及为满足采购人项目要求所需服务的全部费用，包括但不限于样品制备费、保存费、转运及处理、差旅费、邮寄费、人工费、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tc>
      </w:tr>
      <w:tr w14:paraId="5E0E47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1A9E3400">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合同签订时间</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5227DB20">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自成交通知书发出之日起 15 日内。</w:t>
            </w:r>
          </w:p>
        </w:tc>
      </w:tr>
      <w:tr w14:paraId="418212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4E5298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服务期限及服务地点：</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1ED10ACA">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（1）服务期限：</w:t>
            </w:r>
            <w:r>
              <w:rPr>
                <w:rFonts w:hint="eastAsia" w:ascii="宋体" w:hAnsi="宋体" w:cs="宋体"/>
                <w:color w:val="auto"/>
                <w:kern w:val="0"/>
                <w:szCs w:val="21"/>
                <w:highlight w:val="none"/>
                <w:lang w:val="en-US" w:eastAsia="zh-CN"/>
              </w:rPr>
              <w:t>自签订合同之日起至 2026年 12 月20日前完成</w:t>
            </w:r>
            <w:r>
              <w:rPr>
                <w:rFonts w:hint="eastAsia" w:ascii="宋体" w:hAnsi="宋体" w:cs="宋体"/>
                <w:color w:val="auto"/>
                <w:szCs w:val="21"/>
                <w:highlight w:val="none"/>
                <w:lang w:val="en-US" w:eastAsia="zh-CN"/>
              </w:rPr>
              <w:t xml:space="preserve">。 </w:t>
            </w:r>
          </w:p>
          <w:p w14:paraId="2F9DBC11">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（2）服务地点：采购人指定地点。</w:t>
            </w:r>
          </w:p>
        </w:tc>
      </w:tr>
      <w:tr w14:paraId="3E304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35FB590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付款方式</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397292A3">
            <w:pPr>
              <w:spacing w:line="360" w:lineRule="exact"/>
              <w:ind w:firstLine="422" w:firstLineChars="200"/>
              <w:rPr>
                <w:rFonts w:hint="eastAsia" w:ascii="宋体" w:hAnsi="宋体" w:cs="宋体"/>
                <w:color w:val="auto"/>
                <w:szCs w:val="21"/>
                <w:highlight w:val="none"/>
                <w:lang w:val="en-US" w:eastAsia="zh-CN"/>
              </w:rPr>
            </w:pPr>
            <w:r>
              <w:rPr>
                <w:rFonts w:hint="default" w:ascii="宋体" w:hAnsi="宋体" w:cs="宋体"/>
                <w:b/>
                <w:bCs/>
                <w:color w:val="auto"/>
                <w:szCs w:val="21"/>
                <w:highlight w:val="none"/>
                <w:lang w:val="en-US" w:eastAsia="zh-CN"/>
              </w:rPr>
              <w:t>项目款结算办法</w:t>
            </w:r>
            <w:r>
              <w:rPr>
                <w:rFonts w:hint="eastAsia" w:ascii="宋体" w:hAnsi="宋体" w:cs="宋体"/>
                <w:b/>
                <w:bCs/>
                <w:color w:val="auto"/>
                <w:szCs w:val="21"/>
                <w:highlight w:val="none"/>
                <w:lang w:val="en-US" w:eastAsia="zh-CN"/>
              </w:rPr>
              <w:t>：</w:t>
            </w:r>
          </w:p>
          <w:p w14:paraId="6B9A60C9">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按照《广西壮族自治区财政厅关于持续优化政府采购营商环境推动高质量发展的通知》（桂财采〔2024〕55号）精神要求，项目款结算可采取拨付预付款</w:t>
            </w:r>
            <w:r>
              <w:rPr>
                <w:rFonts w:hint="eastAsia" w:eastAsia="仿宋_GB2312" w:cs="CESI仿宋-GB2312"/>
                <w:b w:val="0"/>
                <w:bCs/>
                <w:color w:val="auto"/>
                <w:sz w:val="32"/>
                <w:szCs w:val="32"/>
                <w:highlight w:val="none"/>
                <w:lang w:val="en-US" w:eastAsia="zh-CN"/>
              </w:rPr>
              <w:t>[</w:t>
            </w:r>
            <w:r>
              <w:rPr>
                <w:rFonts w:hint="eastAsia" w:ascii="宋体" w:hAnsi="宋体" w:cs="宋体"/>
                <w:color w:val="auto"/>
                <w:szCs w:val="21"/>
                <w:highlight w:val="none"/>
                <w:lang w:val="en-US" w:eastAsia="zh-CN"/>
              </w:rPr>
              <w:t>在签订委托合同（协议）并进场实际开工后，可拨付不超过合同金额40%的预付款</w:t>
            </w:r>
            <w:r>
              <w:rPr>
                <w:rFonts w:hint="eastAsia" w:eastAsia="仿宋_GB2312" w:cs="CESI仿宋-GB2312"/>
                <w:b w:val="0"/>
                <w:bCs/>
                <w:color w:val="auto"/>
                <w:sz w:val="32"/>
                <w:szCs w:val="32"/>
                <w:highlight w:val="none"/>
                <w:lang w:val="en-US" w:eastAsia="zh-CN"/>
              </w:rPr>
              <w:t>]</w:t>
            </w:r>
            <w:r>
              <w:rPr>
                <w:rFonts w:hint="eastAsia" w:ascii="宋体" w:hAnsi="宋体" w:cs="宋体"/>
                <w:color w:val="auto"/>
                <w:szCs w:val="21"/>
                <w:highlight w:val="none"/>
                <w:lang w:val="en-US" w:eastAsia="zh-CN"/>
              </w:rPr>
              <w:t>及分段验收、分批支付的方式，加快资金拨付。</w:t>
            </w:r>
          </w:p>
          <w:p w14:paraId="02167B3F">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1.“叶面阻隔+”技术措施模式：</w:t>
            </w:r>
          </w:p>
          <w:p w14:paraId="279557FD">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按合同完成各项措施落地及面积确认和宣传指导目标任务，并完成阶段性验收核验的，可拨付至项目合同金额的70%。</w:t>
            </w:r>
          </w:p>
          <w:p w14:paraId="124E834C">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项目区产品（稻谷）质量（重金属）合格率结果出来后，并完成项目整体验收，按以下规则拨付剩余项目资金：</w:t>
            </w:r>
          </w:p>
          <w:p w14:paraId="6F2233E6">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（1）产品合格率：≥93%，可以结算全部剩余项目资金（项目合同金额的30%）。</w:t>
            </w:r>
          </w:p>
          <w:p w14:paraId="72095544">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（2）产品合格率：60%（含）—93%（不含），可以结算30%项目合同金额×实际产品合格率÷93%的款项。</w:t>
            </w:r>
          </w:p>
          <w:p w14:paraId="5DD73841">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（3）产品合格率：小于60%（不含），不再支付剩余款额。</w:t>
            </w:r>
          </w:p>
          <w:p w14:paraId="0D5BE3B7">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2.“镉低积累品种替代+”技术措施模式：</w:t>
            </w:r>
          </w:p>
          <w:p w14:paraId="60AD2BF9">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按照合同完成镉低积累水稻种植面积，镉低积累水稻种子质量和真实性（提供相关检测报告）检测符合要求，并完成阶段性验收的，拨付至项目合同金额的60%。检测发现提供的种子不是指定的镉低积累水稻品种或种子质量不达标的，不再拨付项目剩余资金，该项目终止。</w:t>
            </w:r>
          </w:p>
          <w:p w14:paraId="1C32FA94">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在完成前款条件下，按合同完成相关措施落地及面积确认和宣传指导任务目标，并完成阶段性验收的，拨付至项目合同金额的90%。</w:t>
            </w:r>
          </w:p>
          <w:p w14:paraId="39D1B423">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项目区产品（稻谷）质量（重金属）合格率结果出来后，并完成项目整体验收的，按以下规则拨付剩余项目资金：</w:t>
            </w:r>
          </w:p>
          <w:p w14:paraId="4F1537C3">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（1）产品合格率：≥93%，可以结算全部剩余项目资金（项目合同金额的10%）。</w:t>
            </w:r>
          </w:p>
          <w:p w14:paraId="0A490E7F">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（2）产品合格率：60%（含）—93%（不含），结算10%项目合同金额款项×实际产品合格率÷93%的款项。</w:t>
            </w:r>
          </w:p>
          <w:p w14:paraId="0A4DECBC">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（3）产品合格率：小于60%（不含），不再支付剩余款项。</w:t>
            </w:r>
          </w:p>
        </w:tc>
      </w:tr>
      <w:tr w14:paraId="7702F5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C4A01AE">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售后技术服务要求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35039816">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不得将服务转包或委托给其他单位，一经发现并查实，取消合作并追回资金，由此产生的一切费用由成交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负责。 </w:t>
            </w:r>
          </w:p>
          <w:p w14:paraId="78D03772">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（2）处理问题响应时间：接到采购人处理问题通知后 24 小时内到达采购人指定现场。</w:t>
            </w:r>
          </w:p>
          <w:p w14:paraId="76B470F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必须配合采购人完成整体项目的验收。</w:t>
            </w:r>
          </w:p>
        </w:tc>
      </w:tr>
    </w:tbl>
    <w:p w14:paraId="746093E4">
      <w:pPr>
        <w:rPr>
          <w:rFonts w:ascii="黑体" w:hAnsi="黑体" w:eastAsia="黑体"/>
          <w:bCs/>
          <w:color w:val="auto"/>
          <w:kern w:val="32"/>
          <w:sz w:val="24"/>
          <w:szCs w:val="24"/>
          <w:highlight w:val="none"/>
        </w:rPr>
      </w:pPr>
      <w:r>
        <w:rPr>
          <w:rFonts w:hint="eastAsia"/>
          <w:color w:val="auto"/>
          <w:szCs w:val="21"/>
          <w:highlight w:val="none"/>
          <w:lang w:val="en-US" w:eastAsia="zh-CN"/>
        </w:rPr>
        <w:br w:type="page"/>
      </w:r>
      <w:r>
        <w:rPr>
          <w:rFonts w:hint="eastAsia" w:ascii="黑体" w:hAnsi="黑体" w:eastAsia="黑体"/>
          <w:bCs/>
          <w:color w:val="auto"/>
          <w:kern w:val="32"/>
          <w:sz w:val="24"/>
          <w:szCs w:val="24"/>
          <w:highlight w:val="none"/>
        </w:rPr>
        <w:t>附</w:t>
      </w:r>
      <w:r>
        <w:rPr>
          <w:rFonts w:hint="eastAsia" w:ascii="黑体" w:hAnsi="黑体" w:eastAsia="黑体"/>
          <w:bCs/>
          <w:color w:val="auto"/>
          <w:kern w:val="32"/>
          <w:sz w:val="24"/>
          <w:szCs w:val="24"/>
          <w:highlight w:val="none"/>
          <w:lang w:val="en-US" w:eastAsia="zh-CN"/>
        </w:rPr>
        <w:t>件1</w:t>
      </w:r>
      <w:r>
        <w:rPr>
          <w:rFonts w:hint="eastAsia" w:ascii="黑体" w:hAnsi="黑体" w:eastAsia="黑体"/>
          <w:bCs/>
          <w:color w:val="auto"/>
          <w:kern w:val="32"/>
          <w:sz w:val="24"/>
          <w:szCs w:val="24"/>
          <w:highlight w:val="none"/>
        </w:rPr>
        <w:t>：</w:t>
      </w:r>
    </w:p>
    <w:p w14:paraId="30CDED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rPr>
      </w:pPr>
      <w:r>
        <w:rPr>
          <w:rFonts w:hint="eastAsia" w:ascii="仿宋_GB2312" w:eastAsia="仿宋_GB2312"/>
          <w:bCs/>
          <w:color w:val="auto"/>
          <w:kern w:val="32"/>
          <w:sz w:val="32"/>
          <w:szCs w:val="32"/>
          <w:highlight w:val="none"/>
          <w:lang w:val="en-US" w:eastAsia="zh-CN"/>
        </w:rPr>
        <w:t xml:space="preserve"> </w:t>
      </w:r>
      <w:r>
        <w:rPr>
          <w:rFonts w:hint="eastAsia" w:ascii="仿宋_GB2312" w:eastAsia="仿宋_GB2312"/>
          <w:bCs/>
          <w:color w:val="auto"/>
          <w:kern w:val="32"/>
          <w:sz w:val="21"/>
          <w:szCs w:val="21"/>
          <w:highlight w:val="none"/>
          <w:lang w:val="en-US" w:eastAsia="zh-CN"/>
        </w:rPr>
        <w:t xml:space="preserve"> </w:t>
      </w:r>
      <w:r>
        <w:rPr>
          <w:rFonts w:hint="eastAsia" w:ascii="宋体" w:hAnsi="宋体" w:eastAsia="宋体" w:cs="宋体"/>
          <w:bCs/>
          <w:color w:val="auto"/>
          <w:kern w:val="32"/>
          <w:sz w:val="21"/>
          <w:szCs w:val="21"/>
          <w:highlight w:val="none"/>
          <w:lang w:val="en-US" w:eastAsia="zh-CN"/>
        </w:rPr>
        <w:t>2026</w:t>
      </w:r>
      <w:r>
        <w:rPr>
          <w:rFonts w:hint="eastAsia" w:ascii="宋体" w:hAnsi="宋体" w:eastAsia="宋体" w:cs="宋体"/>
          <w:bCs/>
          <w:color w:val="auto"/>
          <w:kern w:val="32"/>
          <w:sz w:val="21"/>
          <w:szCs w:val="21"/>
          <w:highlight w:val="none"/>
        </w:rPr>
        <w:t>年</w:t>
      </w:r>
      <w:r>
        <w:rPr>
          <w:rFonts w:hint="eastAsia" w:ascii="宋体" w:hAnsi="宋体" w:eastAsia="宋体" w:cs="宋体"/>
          <w:bCs/>
          <w:color w:val="auto"/>
          <w:kern w:val="32"/>
          <w:sz w:val="21"/>
          <w:szCs w:val="21"/>
          <w:highlight w:val="none"/>
          <w:lang w:val="en-GB" w:eastAsia="zh-CN"/>
        </w:rPr>
        <w:t>大新县</w:t>
      </w:r>
      <w:r>
        <w:rPr>
          <w:rFonts w:hint="eastAsia" w:ascii="宋体" w:hAnsi="宋体" w:eastAsia="宋体" w:cs="宋体"/>
          <w:bCs/>
          <w:color w:val="auto"/>
          <w:kern w:val="32"/>
          <w:sz w:val="21"/>
          <w:szCs w:val="21"/>
          <w:highlight w:val="none"/>
          <w:lang w:val="en-US" w:eastAsia="zh-CN"/>
        </w:rPr>
        <w:t>生产障碍耕地治理项目</w:t>
      </w:r>
      <w:r>
        <w:rPr>
          <w:rFonts w:hint="eastAsia" w:ascii="宋体" w:hAnsi="宋体" w:eastAsia="宋体" w:cs="宋体"/>
          <w:b w:val="0"/>
          <w:bCs/>
          <w:color w:val="auto"/>
          <w:sz w:val="21"/>
          <w:szCs w:val="21"/>
          <w:highlight w:val="none"/>
          <w:lang w:val="en-US" w:eastAsia="zh-CN"/>
        </w:rPr>
        <w:t>“叶面阻隔+”技术措施模式</w:t>
      </w:r>
      <w:r>
        <w:rPr>
          <w:rFonts w:hint="eastAsia" w:ascii="宋体" w:hAnsi="宋体" w:eastAsia="宋体" w:cs="宋体"/>
          <w:bCs/>
          <w:color w:val="auto"/>
          <w:kern w:val="32"/>
          <w:sz w:val="21"/>
          <w:szCs w:val="21"/>
          <w:highlight w:val="none"/>
        </w:rPr>
        <w:t>实施分布情况表</w:t>
      </w:r>
    </w:p>
    <w:tbl>
      <w:tblPr>
        <w:tblStyle w:val="6"/>
        <w:tblpPr w:leftFromText="180" w:rightFromText="180" w:vertAnchor="text" w:horzAnchor="page" w:tblpX="1995" w:tblpY="374"/>
        <w:tblOverlap w:val="never"/>
        <w:tblW w:w="9396" w:type="dxa"/>
        <w:tblInd w:w="0" w:type="dxa"/>
        <w:tblLayout w:type="fixed"/>
        <w:tblCellMar>
          <w:top w:w="0" w:type="dxa"/>
          <w:left w:w="108" w:type="dxa"/>
          <w:bottom w:w="0" w:type="dxa"/>
          <w:right w:w="108" w:type="dxa"/>
        </w:tblCellMar>
      </w:tblPr>
      <w:tblGrid>
        <w:gridCol w:w="566"/>
        <w:gridCol w:w="2021"/>
        <w:gridCol w:w="1389"/>
        <w:gridCol w:w="1522"/>
        <w:gridCol w:w="1302"/>
        <w:gridCol w:w="912"/>
        <w:gridCol w:w="886"/>
        <w:gridCol w:w="798"/>
      </w:tblGrid>
      <w:tr w14:paraId="6959AF4F">
        <w:tblPrEx>
          <w:tblCellMar>
            <w:top w:w="0" w:type="dxa"/>
            <w:left w:w="108" w:type="dxa"/>
            <w:bottom w:w="0" w:type="dxa"/>
            <w:right w:w="108" w:type="dxa"/>
          </w:tblCellMar>
        </w:tblPrEx>
        <w:trPr>
          <w:trHeight w:val="1089" w:hRule="atLeast"/>
        </w:trPr>
        <w:tc>
          <w:tcPr>
            <w:tcW w:w="566" w:type="dxa"/>
            <w:tcBorders>
              <w:top w:val="single" w:color="auto" w:sz="4" w:space="0"/>
              <w:left w:val="single" w:color="auto" w:sz="4" w:space="0"/>
              <w:bottom w:val="single" w:color="auto" w:sz="4" w:space="0"/>
              <w:right w:val="single" w:color="auto" w:sz="4" w:space="0"/>
            </w:tcBorders>
            <w:noWrap/>
            <w:vAlign w:val="center"/>
          </w:tcPr>
          <w:p w14:paraId="2D0331A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序号</w:t>
            </w:r>
          </w:p>
        </w:tc>
        <w:tc>
          <w:tcPr>
            <w:tcW w:w="2021" w:type="dxa"/>
            <w:tcBorders>
              <w:top w:val="single" w:color="auto" w:sz="4" w:space="0"/>
              <w:left w:val="nil"/>
              <w:bottom w:val="single" w:color="auto" w:sz="4" w:space="0"/>
              <w:right w:val="single" w:color="auto" w:sz="4" w:space="0"/>
            </w:tcBorders>
            <w:noWrap/>
            <w:vAlign w:val="center"/>
          </w:tcPr>
          <w:p w14:paraId="5410753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区  域</w:t>
            </w:r>
          </w:p>
        </w:tc>
        <w:tc>
          <w:tcPr>
            <w:tcW w:w="1389" w:type="dxa"/>
            <w:tcBorders>
              <w:top w:val="single" w:color="auto" w:sz="4" w:space="0"/>
              <w:left w:val="nil"/>
              <w:bottom w:val="single" w:color="auto" w:sz="4" w:space="0"/>
              <w:right w:val="single" w:color="auto" w:sz="4" w:space="0"/>
            </w:tcBorders>
            <w:noWrap/>
            <w:vAlign w:val="center"/>
          </w:tcPr>
          <w:p w14:paraId="470ADB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面积（亩）</w:t>
            </w:r>
          </w:p>
        </w:tc>
        <w:tc>
          <w:tcPr>
            <w:tcW w:w="1522" w:type="dxa"/>
            <w:tcBorders>
              <w:top w:val="single" w:color="auto" w:sz="4" w:space="0"/>
              <w:left w:val="nil"/>
              <w:bottom w:val="single" w:color="auto" w:sz="4" w:space="0"/>
              <w:right w:val="single" w:color="auto" w:sz="4" w:space="0"/>
            </w:tcBorders>
            <w:noWrap/>
            <w:vAlign w:val="center"/>
          </w:tcPr>
          <w:p w14:paraId="7B2BFB9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土壤环境质量类别</w:t>
            </w:r>
          </w:p>
        </w:tc>
        <w:tc>
          <w:tcPr>
            <w:tcW w:w="1302" w:type="dxa"/>
            <w:tcBorders>
              <w:top w:val="single" w:color="auto" w:sz="4" w:space="0"/>
              <w:left w:val="nil"/>
              <w:bottom w:val="single" w:color="auto" w:sz="4" w:space="0"/>
              <w:right w:val="single" w:color="auto" w:sz="4" w:space="0"/>
            </w:tcBorders>
            <w:noWrap/>
            <w:vAlign w:val="center"/>
          </w:tcPr>
          <w:p w14:paraId="1AF1BFD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土壤pH值（中间值）</w:t>
            </w:r>
          </w:p>
        </w:tc>
        <w:tc>
          <w:tcPr>
            <w:tcW w:w="912" w:type="dxa"/>
            <w:tcBorders>
              <w:top w:val="single" w:color="auto" w:sz="4" w:space="0"/>
              <w:left w:val="nil"/>
              <w:bottom w:val="single" w:color="auto" w:sz="4" w:space="0"/>
              <w:right w:val="single" w:color="auto" w:sz="4" w:space="0"/>
            </w:tcBorders>
            <w:noWrap/>
            <w:vAlign w:val="center"/>
          </w:tcPr>
          <w:p w14:paraId="22BF50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产品主要超标元素</w:t>
            </w:r>
          </w:p>
        </w:tc>
        <w:tc>
          <w:tcPr>
            <w:tcW w:w="886" w:type="dxa"/>
            <w:tcBorders>
              <w:top w:val="single" w:color="auto" w:sz="4" w:space="0"/>
              <w:left w:val="nil"/>
              <w:bottom w:val="single" w:color="auto" w:sz="4" w:space="0"/>
              <w:right w:val="single" w:color="auto" w:sz="4" w:space="0"/>
            </w:tcBorders>
            <w:noWrap/>
            <w:vAlign w:val="center"/>
          </w:tcPr>
          <w:p w14:paraId="097CCE4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产品超标个数</w:t>
            </w:r>
          </w:p>
        </w:tc>
        <w:tc>
          <w:tcPr>
            <w:tcW w:w="798" w:type="dxa"/>
            <w:tcBorders>
              <w:top w:val="single" w:color="auto" w:sz="4" w:space="0"/>
              <w:left w:val="nil"/>
              <w:bottom w:val="single" w:color="auto" w:sz="4" w:space="0"/>
              <w:right w:val="single" w:color="auto" w:sz="4" w:space="0"/>
            </w:tcBorders>
            <w:noWrap/>
            <w:vAlign w:val="center"/>
          </w:tcPr>
          <w:p w14:paraId="268841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备注</w:t>
            </w:r>
          </w:p>
        </w:tc>
      </w:tr>
      <w:tr w14:paraId="010DD231">
        <w:tblPrEx>
          <w:tblCellMar>
            <w:top w:w="0" w:type="dxa"/>
            <w:left w:w="108" w:type="dxa"/>
            <w:bottom w:w="0" w:type="dxa"/>
            <w:right w:w="108" w:type="dxa"/>
          </w:tblCellMar>
        </w:tblPrEx>
        <w:trPr>
          <w:trHeight w:val="1055"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237ED46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1</w:t>
            </w:r>
          </w:p>
        </w:tc>
        <w:tc>
          <w:tcPr>
            <w:tcW w:w="2021" w:type="dxa"/>
            <w:tcBorders>
              <w:top w:val="nil"/>
              <w:left w:val="nil"/>
              <w:bottom w:val="single" w:color="auto" w:sz="4" w:space="0"/>
              <w:right w:val="single" w:color="auto" w:sz="4" w:space="0"/>
            </w:tcBorders>
            <w:noWrap/>
            <w:vAlign w:val="center"/>
          </w:tcPr>
          <w:p w14:paraId="2BD028E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龙门乡</w:t>
            </w:r>
          </w:p>
          <w:p w14:paraId="1372FE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龙门社区</w:t>
            </w:r>
          </w:p>
        </w:tc>
        <w:tc>
          <w:tcPr>
            <w:tcW w:w="1389" w:type="dxa"/>
            <w:tcBorders>
              <w:top w:val="nil"/>
              <w:left w:val="nil"/>
              <w:bottom w:val="single" w:color="auto" w:sz="4" w:space="0"/>
              <w:right w:val="single" w:color="auto" w:sz="4" w:space="0"/>
            </w:tcBorders>
            <w:noWrap/>
            <w:vAlign w:val="center"/>
          </w:tcPr>
          <w:p w14:paraId="52EA7F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1300</w:t>
            </w:r>
          </w:p>
        </w:tc>
        <w:tc>
          <w:tcPr>
            <w:tcW w:w="1522" w:type="dxa"/>
            <w:tcBorders>
              <w:top w:val="nil"/>
              <w:left w:val="nil"/>
              <w:bottom w:val="single" w:color="000000" w:sz="4" w:space="0"/>
              <w:right w:val="single" w:color="auto" w:sz="4" w:space="0"/>
            </w:tcBorders>
            <w:noWrap w:val="0"/>
            <w:vAlign w:val="center"/>
          </w:tcPr>
          <w:p w14:paraId="4FB4CB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0"/>
            <w:vAlign w:val="center"/>
          </w:tcPr>
          <w:p w14:paraId="197178E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5.50</w:t>
            </w:r>
          </w:p>
        </w:tc>
        <w:tc>
          <w:tcPr>
            <w:tcW w:w="912" w:type="dxa"/>
            <w:tcBorders>
              <w:top w:val="nil"/>
              <w:left w:val="nil"/>
              <w:bottom w:val="single" w:color="000000" w:sz="4" w:space="0"/>
              <w:right w:val="single" w:color="auto" w:sz="4" w:space="0"/>
            </w:tcBorders>
            <w:noWrap w:val="0"/>
            <w:vAlign w:val="center"/>
          </w:tcPr>
          <w:p w14:paraId="39D4D39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nil"/>
              <w:left w:val="nil"/>
              <w:bottom w:val="single" w:color="000000" w:sz="4" w:space="0"/>
              <w:right w:val="single" w:color="auto" w:sz="4" w:space="0"/>
            </w:tcBorders>
            <w:noWrap w:val="0"/>
            <w:vAlign w:val="center"/>
          </w:tcPr>
          <w:p w14:paraId="29ACF76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9</w:t>
            </w:r>
          </w:p>
        </w:tc>
        <w:tc>
          <w:tcPr>
            <w:tcW w:w="798" w:type="dxa"/>
            <w:tcBorders>
              <w:top w:val="nil"/>
              <w:left w:val="nil"/>
              <w:bottom w:val="single" w:color="000000" w:sz="4" w:space="0"/>
              <w:right w:val="single" w:color="auto" w:sz="4" w:space="0"/>
            </w:tcBorders>
            <w:noWrap w:val="0"/>
            <w:vAlign w:val="center"/>
          </w:tcPr>
          <w:p w14:paraId="6F7A88B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1B7FC568">
        <w:tblPrEx>
          <w:tblCellMar>
            <w:top w:w="0" w:type="dxa"/>
            <w:left w:w="108" w:type="dxa"/>
            <w:bottom w:w="0" w:type="dxa"/>
            <w:right w:w="108" w:type="dxa"/>
          </w:tblCellMar>
        </w:tblPrEx>
        <w:trPr>
          <w:trHeight w:val="925"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0A3164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2</w:t>
            </w:r>
          </w:p>
        </w:tc>
        <w:tc>
          <w:tcPr>
            <w:tcW w:w="2021" w:type="dxa"/>
            <w:tcBorders>
              <w:top w:val="nil"/>
              <w:left w:val="nil"/>
              <w:bottom w:val="single" w:color="auto" w:sz="4" w:space="0"/>
              <w:right w:val="single" w:color="auto" w:sz="4" w:space="0"/>
            </w:tcBorders>
            <w:noWrap/>
            <w:vAlign w:val="center"/>
          </w:tcPr>
          <w:p w14:paraId="0DD263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龙门乡</w:t>
            </w:r>
          </w:p>
          <w:p w14:paraId="43107F1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西宁村</w:t>
            </w:r>
          </w:p>
        </w:tc>
        <w:tc>
          <w:tcPr>
            <w:tcW w:w="1389" w:type="dxa"/>
            <w:tcBorders>
              <w:top w:val="nil"/>
              <w:left w:val="nil"/>
              <w:bottom w:val="single" w:color="auto" w:sz="4" w:space="0"/>
              <w:right w:val="single" w:color="auto" w:sz="4" w:space="0"/>
            </w:tcBorders>
            <w:noWrap/>
            <w:vAlign w:val="center"/>
          </w:tcPr>
          <w:p w14:paraId="64268B4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490</w:t>
            </w:r>
          </w:p>
        </w:tc>
        <w:tc>
          <w:tcPr>
            <w:tcW w:w="1522" w:type="dxa"/>
            <w:tcBorders>
              <w:top w:val="nil"/>
              <w:left w:val="nil"/>
              <w:bottom w:val="single" w:color="000000" w:sz="4" w:space="0"/>
              <w:right w:val="single" w:color="auto" w:sz="4" w:space="0"/>
            </w:tcBorders>
            <w:noWrap w:val="0"/>
            <w:vAlign w:val="center"/>
          </w:tcPr>
          <w:p w14:paraId="06D079A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0"/>
            <w:vAlign w:val="center"/>
          </w:tcPr>
          <w:p w14:paraId="237D28D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5.70</w:t>
            </w:r>
          </w:p>
        </w:tc>
        <w:tc>
          <w:tcPr>
            <w:tcW w:w="912" w:type="dxa"/>
            <w:tcBorders>
              <w:top w:val="nil"/>
              <w:left w:val="nil"/>
              <w:bottom w:val="single" w:color="000000" w:sz="4" w:space="0"/>
              <w:right w:val="single" w:color="auto" w:sz="4" w:space="0"/>
            </w:tcBorders>
            <w:noWrap w:val="0"/>
            <w:vAlign w:val="center"/>
          </w:tcPr>
          <w:p w14:paraId="056FA0A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nil"/>
              <w:left w:val="nil"/>
              <w:bottom w:val="single" w:color="000000" w:sz="4" w:space="0"/>
              <w:right w:val="single" w:color="auto" w:sz="4" w:space="0"/>
            </w:tcBorders>
            <w:noWrap w:val="0"/>
            <w:vAlign w:val="center"/>
          </w:tcPr>
          <w:p w14:paraId="02BD8F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w:t>
            </w:r>
          </w:p>
        </w:tc>
        <w:tc>
          <w:tcPr>
            <w:tcW w:w="798" w:type="dxa"/>
            <w:tcBorders>
              <w:top w:val="nil"/>
              <w:left w:val="nil"/>
              <w:bottom w:val="single" w:color="000000" w:sz="4" w:space="0"/>
              <w:right w:val="single" w:color="auto" w:sz="4" w:space="0"/>
            </w:tcBorders>
            <w:noWrap w:val="0"/>
            <w:vAlign w:val="center"/>
          </w:tcPr>
          <w:p w14:paraId="3DB6909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53062470">
        <w:tblPrEx>
          <w:tblCellMar>
            <w:top w:w="0" w:type="dxa"/>
            <w:left w:w="108" w:type="dxa"/>
            <w:bottom w:w="0" w:type="dxa"/>
            <w:right w:w="108" w:type="dxa"/>
          </w:tblCellMar>
        </w:tblPrEx>
        <w:trPr>
          <w:trHeight w:val="1174"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0A57047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w:t>
            </w:r>
          </w:p>
        </w:tc>
        <w:tc>
          <w:tcPr>
            <w:tcW w:w="2021" w:type="dxa"/>
            <w:tcBorders>
              <w:top w:val="nil"/>
              <w:left w:val="nil"/>
              <w:bottom w:val="single" w:color="auto" w:sz="4" w:space="0"/>
              <w:right w:val="single" w:color="auto" w:sz="4" w:space="0"/>
            </w:tcBorders>
            <w:noWrap/>
            <w:vAlign w:val="center"/>
          </w:tcPr>
          <w:p w14:paraId="1853F33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全茗镇</w:t>
            </w:r>
          </w:p>
          <w:p w14:paraId="357FA00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配偶村</w:t>
            </w:r>
          </w:p>
        </w:tc>
        <w:tc>
          <w:tcPr>
            <w:tcW w:w="1389" w:type="dxa"/>
            <w:tcBorders>
              <w:top w:val="nil"/>
              <w:left w:val="nil"/>
              <w:bottom w:val="single" w:color="auto" w:sz="4" w:space="0"/>
              <w:right w:val="single" w:color="auto" w:sz="4" w:space="0"/>
            </w:tcBorders>
            <w:noWrap/>
            <w:vAlign w:val="center"/>
          </w:tcPr>
          <w:p w14:paraId="15A0A14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200</w:t>
            </w:r>
          </w:p>
        </w:tc>
        <w:tc>
          <w:tcPr>
            <w:tcW w:w="1522" w:type="dxa"/>
            <w:tcBorders>
              <w:top w:val="nil"/>
              <w:left w:val="nil"/>
              <w:bottom w:val="single" w:color="000000" w:sz="4" w:space="0"/>
              <w:right w:val="single" w:color="auto" w:sz="4" w:space="0"/>
            </w:tcBorders>
            <w:noWrap/>
            <w:vAlign w:val="center"/>
          </w:tcPr>
          <w:p w14:paraId="3A4B68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ign w:val="center"/>
          </w:tcPr>
          <w:p w14:paraId="4DDF4D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5.54</w:t>
            </w:r>
          </w:p>
        </w:tc>
        <w:tc>
          <w:tcPr>
            <w:tcW w:w="912" w:type="dxa"/>
            <w:tcBorders>
              <w:top w:val="nil"/>
              <w:left w:val="nil"/>
              <w:bottom w:val="single" w:color="auto" w:sz="4" w:space="0"/>
              <w:right w:val="single" w:color="auto" w:sz="4" w:space="0"/>
            </w:tcBorders>
            <w:noWrap/>
            <w:vAlign w:val="center"/>
          </w:tcPr>
          <w:p w14:paraId="4B48A4C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nil"/>
              <w:left w:val="nil"/>
              <w:bottom w:val="single" w:color="auto" w:sz="4" w:space="0"/>
              <w:right w:val="single" w:color="auto" w:sz="4" w:space="0"/>
            </w:tcBorders>
            <w:noWrap/>
            <w:vAlign w:val="center"/>
          </w:tcPr>
          <w:p w14:paraId="1849E15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2</w:t>
            </w:r>
          </w:p>
        </w:tc>
        <w:tc>
          <w:tcPr>
            <w:tcW w:w="798" w:type="dxa"/>
            <w:tcBorders>
              <w:top w:val="nil"/>
              <w:left w:val="nil"/>
              <w:bottom w:val="single" w:color="auto" w:sz="4" w:space="0"/>
              <w:right w:val="single" w:color="auto" w:sz="4" w:space="0"/>
            </w:tcBorders>
            <w:noWrap/>
            <w:vAlign w:val="center"/>
          </w:tcPr>
          <w:p w14:paraId="5A4A0D6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3F714A39">
        <w:tblPrEx>
          <w:tblCellMar>
            <w:top w:w="0" w:type="dxa"/>
            <w:left w:w="108" w:type="dxa"/>
            <w:bottom w:w="0" w:type="dxa"/>
            <w:right w:w="108" w:type="dxa"/>
          </w:tblCellMar>
        </w:tblPrEx>
        <w:trPr>
          <w:trHeight w:val="966"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144E067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4</w:t>
            </w:r>
          </w:p>
        </w:tc>
        <w:tc>
          <w:tcPr>
            <w:tcW w:w="2021" w:type="dxa"/>
            <w:tcBorders>
              <w:top w:val="nil"/>
              <w:left w:val="nil"/>
              <w:bottom w:val="single" w:color="auto" w:sz="4" w:space="0"/>
              <w:right w:val="single" w:color="auto" w:sz="4" w:space="0"/>
            </w:tcBorders>
            <w:noWrap/>
            <w:vAlign w:val="center"/>
          </w:tcPr>
          <w:p w14:paraId="410B03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全茗镇</w:t>
            </w:r>
          </w:p>
          <w:p w14:paraId="54DECA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政教村</w:t>
            </w:r>
          </w:p>
        </w:tc>
        <w:tc>
          <w:tcPr>
            <w:tcW w:w="1389" w:type="dxa"/>
            <w:tcBorders>
              <w:top w:val="nil"/>
              <w:left w:val="nil"/>
              <w:bottom w:val="single" w:color="auto" w:sz="4" w:space="0"/>
              <w:right w:val="single" w:color="auto" w:sz="4" w:space="0"/>
            </w:tcBorders>
            <w:noWrap/>
            <w:vAlign w:val="center"/>
          </w:tcPr>
          <w:p w14:paraId="003217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900</w:t>
            </w:r>
          </w:p>
        </w:tc>
        <w:tc>
          <w:tcPr>
            <w:tcW w:w="1522" w:type="dxa"/>
            <w:tcBorders>
              <w:top w:val="nil"/>
              <w:left w:val="nil"/>
              <w:bottom w:val="single" w:color="auto" w:sz="4" w:space="0"/>
              <w:right w:val="single" w:color="auto" w:sz="4" w:space="0"/>
            </w:tcBorders>
            <w:noWrap w:val="0"/>
            <w:vAlign w:val="center"/>
          </w:tcPr>
          <w:p w14:paraId="253DC1C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auto" w:sz="4" w:space="0"/>
              <w:right w:val="single" w:color="auto" w:sz="4" w:space="0"/>
            </w:tcBorders>
            <w:noWrap w:val="0"/>
            <w:vAlign w:val="center"/>
          </w:tcPr>
          <w:p w14:paraId="6A23852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5.66</w:t>
            </w:r>
          </w:p>
        </w:tc>
        <w:tc>
          <w:tcPr>
            <w:tcW w:w="912" w:type="dxa"/>
            <w:tcBorders>
              <w:top w:val="single" w:color="auto" w:sz="4" w:space="0"/>
              <w:left w:val="nil"/>
              <w:bottom w:val="single" w:color="auto" w:sz="4" w:space="0"/>
              <w:right w:val="single" w:color="auto" w:sz="4" w:space="0"/>
            </w:tcBorders>
            <w:noWrap w:val="0"/>
            <w:vAlign w:val="center"/>
          </w:tcPr>
          <w:p w14:paraId="45B2DCF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25767B0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8</w:t>
            </w:r>
          </w:p>
        </w:tc>
        <w:tc>
          <w:tcPr>
            <w:tcW w:w="798" w:type="dxa"/>
            <w:tcBorders>
              <w:top w:val="single" w:color="auto" w:sz="4" w:space="0"/>
              <w:left w:val="single" w:color="auto" w:sz="4" w:space="0"/>
              <w:bottom w:val="single" w:color="auto" w:sz="4" w:space="0"/>
              <w:right w:val="single" w:color="auto" w:sz="4" w:space="0"/>
            </w:tcBorders>
            <w:noWrap w:val="0"/>
            <w:vAlign w:val="center"/>
          </w:tcPr>
          <w:p w14:paraId="3E90E0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2559D3A8">
        <w:tblPrEx>
          <w:tblCellMar>
            <w:top w:w="0" w:type="dxa"/>
            <w:left w:w="108" w:type="dxa"/>
            <w:bottom w:w="0" w:type="dxa"/>
            <w:right w:w="108" w:type="dxa"/>
          </w:tblCellMar>
        </w:tblPrEx>
        <w:trPr>
          <w:trHeight w:val="1069" w:hRule="atLeast"/>
        </w:trPr>
        <w:tc>
          <w:tcPr>
            <w:tcW w:w="566" w:type="dxa"/>
            <w:tcBorders>
              <w:top w:val="single" w:color="auto" w:sz="4" w:space="0"/>
              <w:left w:val="single" w:color="auto" w:sz="4" w:space="0"/>
              <w:bottom w:val="single" w:color="auto" w:sz="4" w:space="0"/>
              <w:right w:val="single" w:color="auto" w:sz="4" w:space="0"/>
            </w:tcBorders>
            <w:noWrap w:val="0"/>
            <w:vAlign w:val="center"/>
          </w:tcPr>
          <w:p w14:paraId="153C4A6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5</w:t>
            </w:r>
          </w:p>
        </w:tc>
        <w:tc>
          <w:tcPr>
            <w:tcW w:w="2021" w:type="dxa"/>
            <w:tcBorders>
              <w:top w:val="nil"/>
              <w:left w:val="nil"/>
              <w:bottom w:val="single" w:color="auto" w:sz="4" w:space="0"/>
              <w:right w:val="single" w:color="auto" w:sz="4" w:space="0"/>
            </w:tcBorders>
            <w:noWrap/>
            <w:vAlign w:val="center"/>
          </w:tcPr>
          <w:p w14:paraId="308C65E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桃城镇</w:t>
            </w:r>
          </w:p>
          <w:p w14:paraId="4586E9A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万礼村</w:t>
            </w:r>
          </w:p>
        </w:tc>
        <w:tc>
          <w:tcPr>
            <w:tcW w:w="1389" w:type="dxa"/>
            <w:tcBorders>
              <w:top w:val="nil"/>
              <w:left w:val="nil"/>
              <w:bottom w:val="single" w:color="auto" w:sz="4" w:space="0"/>
              <w:right w:val="single" w:color="auto" w:sz="4" w:space="0"/>
            </w:tcBorders>
            <w:noWrap/>
            <w:vAlign w:val="center"/>
          </w:tcPr>
          <w:p w14:paraId="18C05E4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310</w:t>
            </w:r>
          </w:p>
        </w:tc>
        <w:tc>
          <w:tcPr>
            <w:tcW w:w="1522" w:type="dxa"/>
            <w:tcBorders>
              <w:top w:val="nil"/>
              <w:left w:val="nil"/>
              <w:bottom w:val="single" w:color="000000" w:sz="4" w:space="0"/>
              <w:right w:val="single" w:color="auto" w:sz="4" w:space="0"/>
            </w:tcBorders>
            <w:noWrap w:val="0"/>
            <w:vAlign w:val="center"/>
          </w:tcPr>
          <w:p w14:paraId="53C9F9F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二类地</w:t>
            </w:r>
          </w:p>
        </w:tc>
        <w:tc>
          <w:tcPr>
            <w:tcW w:w="1302" w:type="dxa"/>
            <w:tcBorders>
              <w:top w:val="nil"/>
              <w:left w:val="nil"/>
              <w:bottom w:val="single" w:color="000000" w:sz="4" w:space="0"/>
              <w:right w:val="single" w:color="auto" w:sz="4" w:space="0"/>
            </w:tcBorders>
            <w:noWrap w:val="0"/>
            <w:vAlign w:val="center"/>
          </w:tcPr>
          <w:p w14:paraId="3BC35C7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6.23</w:t>
            </w:r>
          </w:p>
        </w:tc>
        <w:tc>
          <w:tcPr>
            <w:tcW w:w="912" w:type="dxa"/>
            <w:tcBorders>
              <w:top w:val="nil"/>
              <w:left w:val="nil"/>
              <w:bottom w:val="single" w:color="000000" w:sz="4" w:space="0"/>
              <w:right w:val="single" w:color="auto" w:sz="4" w:space="0"/>
            </w:tcBorders>
            <w:noWrap w:val="0"/>
            <w:vAlign w:val="center"/>
          </w:tcPr>
          <w:p w14:paraId="6535B2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镉</w:t>
            </w:r>
          </w:p>
        </w:tc>
        <w:tc>
          <w:tcPr>
            <w:tcW w:w="886" w:type="dxa"/>
            <w:tcBorders>
              <w:top w:val="single" w:color="auto" w:sz="4" w:space="0"/>
              <w:left w:val="single" w:color="auto" w:sz="4" w:space="0"/>
              <w:bottom w:val="single" w:color="auto" w:sz="4" w:space="0"/>
              <w:right w:val="single" w:color="auto" w:sz="4" w:space="0"/>
            </w:tcBorders>
            <w:noWrap w:val="0"/>
            <w:vAlign w:val="center"/>
          </w:tcPr>
          <w:p w14:paraId="0D068D3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798" w:type="dxa"/>
            <w:tcBorders>
              <w:top w:val="single" w:color="auto" w:sz="4" w:space="0"/>
              <w:left w:val="single" w:color="auto" w:sz="4" w:space="0"/>
              <w:bottom w:val="single" w:color="auto" w:sz="4" w:space="0"/>
              <w:right w:val="single" w:color="auto" w:sz="4" w:space="0"/>
            </w:tcBorders>
            <w:noWrap w:val="0"/>
            <w:vAlign w:val="center"/>
          </w:tcPr>
          <w:p w14:paraId="63195B3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r w14:paraId="27B9F2DC">
        <w:tblPrEx>
          <w:tblCellMar>
            <w:top w:w="0" w:type="dxa"/>
            <w:left w:w="108" w:type="dxa"/>
            <w:bottom w:w="0" w:type="dxa"/>
            <w:right w:w="108" w:type="dxa"/>
          </w:tblCellMar>
        </w:tblPrEx>
        <w:trPr>
          <w:trHeight w:val="802" w:hRule="atLeast"/>
        </w:trPr>
        <w:tc>
          <w:tcPr>
            <w:tcW w:w="2587" w:type="dxa"/>
            <w:gridSpan w:val="2"/>
            <w:tcBorders>
              <w:top w:val="single" w:color="auto" w:sz="4" w:space="0"/>
              <w:left w:val="single" w:color="auto" w:sz="4" w:space="0"/>
              <w:bottom w:val="single" w:color="auto" w:sz="4" w:space="0"/>
              <w:right w:val="single" w:color="auto" w:sz="4" w:space="0"/>
            </w:tcBorders>
            <w:noWrap/>
            <w:vAlign w:val="center"/>
          </w:tcPr>
          <w:p w14:paraId="41F002C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合  计</w:t>
            </w:r>
          </w:p>
        </w:tc>
        <w:tc>
          <w:tcPr>
            <w:tcW w:w="1389" w:type="dxa"/>
            <w:tcBorders>
              <w:top w:val="single" w:color="auto" w:sz="4" w:space="0"/>
              <w:left w:val="single" w:color="auto" w:sz="4" w:space="0"/>
              <w:bottom w:val="single" w:color="auto" w:sz="4" w:space="0"/>
              <w:right w:val="single" w:color="auto" w:sz="4" w:space="0"/>
            </w:tcBorders>
            <w:noWrap/>
            <w:vAlign w:val="center"/>
          </w:tcPr>
          <w:p w14:paraId="492FFCB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宋体" w:hAnsi="宋体" w:eastAsia="宋体" w:cs="宋体"/>
                <w:bCs/>
                <w:color w:val="auto"/>
                <w:kern w:val="32"/>
                <w:sz w:val="21"/>
                <w:szCs w:val="21"/>
                <w:highlight w:val="none"/>
                <w:lang w:val="en-US" w:eastAsia="zh-CN"/>
              </w:rPr>
            </w:pPr>
            <w:r>
              <w:rPr>
                <w:rFonts w:hint="eastAsia" w:ascii="宋体" w:hAnsi="宋体" w:eastAsia="宋体" w:cs="宋体"/>
                <w:bCs/>
                <w:color w:val="auto"/>
                <w:kern w:val="32"/>
                <w:sz w:val="21"/>
                <w:szCs w:val="21"/>
                <w:highlight w:val="none"/>
                <w:lang w:val="en-US" w:eastAsia="zh-CN"/>
              </w:rPr>
              <w:t>3200</w:t>
            </w:r>
          </w:p>
        </w:tc>
        <w:tc>
          <w:tcPr>
            <w:tcW w:w="1522" w:type="dxa"/>
            <w:tcBorders>
              <w:top w:val="single" w:color="auto" w:sz="4" w:space="0"/>
              <w:left w:val="single" w:color="auto" w:sz="4" w:space="0"/>
              <w:bottom w:val="single" w:color="auto" w:sz="4" w:space="0"/>
              <w:right w:val="single" w:color="auto" w:sz="4" w:space="0"/>
            </w:tcBorders>
            <w:noWrap/>
            <w:vAlign w:val="center"/>
          </w:tcPr>
          <w:p w14:paraId="354CC56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1302" w:type="dxa"/>
            <w:tcBorders>
              <w:top w:val="single" w:color="auto" w:sz="4" w:space="0"/>
              <w:left w:val="single" w:color="auto" w:sz="4" w:space="0"/>
              <w:bottom w:val="single" w:color="auto" w:sz="4" w:space="0"/>
              <w:right w:val="single" w:color="auto" w:sz="4" w:space="0"/>
            </w:tcBorders>
            <w:noWrap/>
            <w:vAlign w:val="center"/>
          </w:tcPr>
          <w:p w14:paraId="04A2660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912" w:type="dxa"/>
            <w:tcBorders>
              <w:top w:val="single" w:color="auto" w:sz="4" w:space="0"/>
              <w:left w:val="single" w:color="auto" w:sz="4" w:space="0"/>
              <w:bottom w:val="single" w:color="auto" w:sz="4" w:space="0"/>
              <w:right w:val="single" w:color="auto" w:sz="4" w:space="0"/>
            </w:tcBorders>
            <w:noWrap/>
            <w:vAlign w:val="center"/>
          </w:tcPr>
          <w:p w14:paraId="7DBA03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886" w:type="dxa"/>
            <w:tcBorders>
              <w:top w:val="single" w:color="auto" w:sz="4" w:space="0"/>
              <w:left w:val="single" w:color="auto" w:sz="4" w:space="0"/>
              <w:bottom w:val="single" w:color="auto" w:sz="4" w:space="0"/>
              <w:right w:val="single" w:color="auto" w:sz="4" w:space="0"/>
            </w:tcBorders>
            <w:noWrap/>
            <w:vAlign w:val="center"/>
          </w:tcPr>
          <w:p w14:paraId="3ED5A7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c>
          <w:tcPr>
            <w:tcW w:w="798" w:type="dxa"/>
            <w:tcBorders>
              <w:top w:val="single" w:color="auto" w:sz="4" w:space="0"/>
              <w:left w:val="single" w:color="auto" w:sz="4" w:space="0"/>
              <w:bottom w:val="single" w:color="auto" w:sz="4" w:space="0"/>
              <w:right w:val="single" w:color="auto" w:sz="4" w:space="0"/>
            </w:tcBorders>
            <w:noWrap/>
            <w:vAlign w:val="center"/>
          </w:tcPr>
          <w:p w14:paraId="5702B1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kern w:val="32"/>
                <w:sz w:val="21"/>
                <w:szCs w:val="21"/>
                <w:highlight w:val="none"/>
                <w:lang w:val="en-US" w:eastAsia="zh-CN"/>
              </w:rPr>
            </w:pPr>
          </w:p>
        </w:tc>
      </w:tr>
    </w:tbl>
    <w:tbl>
      <w:tblPr>
        <w:tblStyle w:val="7"/>
        <w:tblpPr w:leftFromText="180" w:rightFromText="180" w:vertAnchor="text" w:tblpX="10483" w:tblpY="-489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7"/>
      </w:tblGrid>
      <w:tr w14:paraId="102D3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737" w:type="dxa"/>
            <w:noWrap w:val="0"/>
            <w:vAlign w:val="top"/>
          </w:tcPr>
          <w:p w14:paraId="2292D0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textAlignment w:val="auto"/>
              <w:rPr>
                <w:rFonts w:hint="eastAsia" w:ascii="仿宋_GB2312" w:hAnsi="仿宋_GB2312" w:eastAsia="仿宋_GB2312" w:cs="仿宋_GB2312"/>
                <w:bCs/>
                <w:color w:val="auto"/>
                <w:kern w:val="32"/>
                <w:sz w:val="28"/>
                <w:szCs w:val="28"/>
                <w:highlight w:val="none"/>
                <w:vertAlign w:val="baseline"/>
                <w:lang w:val="en-GB" w:eastAsia="zh-CN"/>
              </w:rPr>
            </w:pPr>
          </w:p>
        </w:tc>
      </w:tr>
    </w:tbl>
    <w:p w14:paraId="4793C7DE">
      <w:pPr>
        <w:keepNext w:val="0"/>
        <w:keepLines w:val="0"/>
        <w:pageBreakBefore w:val="0"/>
        <w:widowControl w:val="0"/>
        <w:kinsoku/>
        <w:wordWrap/>
        <w:overflowPunct/>
        <w:topLinePunct w:val="0"/>
        <w:autoSpaceDE/>
        <w:autoSpaceDN/>
        <w:bidi w:val="0"/>
        <w:adjustRightInd/>
        <w:snapToGrid/>
        <w:spacing w:line="520" w:lineRule="exact"/>
        <w:ind w:left="319" w:leftChars="152" w:firstLine="420" w:firstLineChars="200"/>
        <w:textAlignment w:val="auto"/>
        <w:rPr>
          <w:rFonts w:hint="eastAsia" w:ascii="宋体" w:hAnsi="宋体" w:eastAsia="宋体" w:cs="宋体"/>
          <w:bCs/>
          <w:color w:val="auto"/>
          <w:kern w:val="32"/>
          <w:sz w:val="21"/>
          <w:szCs w:val="21"/>
          <w:highlight w:val="none"/>
          <w:lang w:val="en" w:eastAsia="zh-CN"/>
        </w:rPr>
      </w:pPr>
      <w:r>
        <w:rPr>
          <w:rFonts w:hint="eastAsia" w:ascii="宋体" w:hAnsi="宋体" w:eastAsia="宋体" w:cs="宋体"/>
          <w:bCs/>
          <w:color w:val="auto"/>
          <w:kern w:val="32"/>
          <w:sz w:val="21"/>
          <w:szCs w:val="21"/>
          <w:highlight w:val="none"/>
          <w:lang w:val="en-GB" w:eastAsia="zh-CN"/>
        </w:rPr>
        <w:t>备注：具体面积以</w:t>
      </w:r>
      <w:r>
        <w:rPr>
          <w:rFonts w:hint="eastAsia" w:ascii="宋体" w:hAnsi="宋体" w:eastAsia="宋体" w:cs="宋体"/>
          <w:bCs/>
          <w:color w:val="auto"/>
          <w:kern w:val="32"/>
          <w:sz w:val="21"/>
          <w:szCs w:val="21"/>
          <w:highlight w:val="none"/>
          <w:lang w:val="en" w:eastAsia="zh-CN"/>
        </w:rPr>
        <w:t>实际实施的面积为准。如果以上区域水稻实际种植面积不够可以灵活从其他符合区域</w:t>
      </w:r>
      <w:r>
        <w:rPr>
          <w:rFonts w:hint="eastAsia" w:ascii="宋体" w:hAnsi="宋体" w:eastAsia="宋体" w:cs="宋体"/>
          <w:bCs/>
          <w:color w:val="auto"/>
          <w:kern w:val="32"/>
          <w:sz w:val="21"/>
          <w:szCs w:val="21"/>
          <w:highlight w:val="none"/>
          <w:lang w:val="en-US" w:eastAsia="zh-CN"/>
        </w:rPr>
        <w:t>的</w:t>
      </w:r>
      <w:r>
        <w:rPr>
          <w:rFonts w:hint="eastAsia" w:ascii="宋体" w:hAnsi="宋体" w:eastAsia="宋体" w:cs="宋体"/>
          <w:bCs/>
          <w:color w:val="auto"/>
          <w:kern w:val="32"/>
          <w:sz w:val="21"/>
          <w:szCs w:val="21"/>
          <w:highlight w:val="none"/>
          <w:lang w:val="en" w:eastAsia="zh-CN"/>
        </w:rPr>
        <w:t>种植面积予以补充。</w:t>
      </w:r>
    </w:p>
    <w:p w14:paraId="54BE1345">
      <w:pPr>
        <w:keepNext w:val="0"/>
        <w:keepLines w:val="0"/>
        <w:pageBreakBefore w:val="0"/>
        <w:widowControl w:val="0"/>
        <w:kinsoku/>
        <w:wordWrap/>
        <w:overflowPunct/>
        <w:topLinePunct w:val="0"/>
        <w:autoSpaceDE/>
        <w:autoSpaceDN/>
        <w:bidi w:val="0"/>
        <w:adjustRightInd/>
        <w:snapToGrid/>
        <w:spacing w:line="520" w:lineRule="exact"/>
        <w:ind w:left="319" w:leftChars="152" w:firstLine="210" w:firstLineChars="100"/>
        <w:textAlignment w:val="auto"/>
        <w:rPr>
          <w:rFonts w:hint="eastAsia" w:ascii="宋体" w:hAnsi="宋体" w:eastAsia="宋体" w:cs="宋体"/>
          <w:bCs/>
          <w:color w:val="auto"/>
          <w:kern w:val="32"/>
          <w:sz w:val="21"/>
          <w:szCs w:val="21"/>
          <w:highlight w:val="none"/>
          <w:lang w:val="en" w:eastAsia="zh-CN"/>
        </w:rPr>
      </w:pPr>
    </w:p>
    <w:p w14:paraId="1F06FD43">
      <w:pPr>
        <w:keepNext w:val="0"/>
        <w:keepLines w:val="0"/>
        <w:pageBreakBefore w:val="0"/>
        <w:widowControl w:val="0"/>
        <w:kinsoku/>
        <w:wordWrap/>
        <w:overflowPunct/>
        <w:topLinePunct w:val="0"/>
        <w:autoSpaceDE/>
        <w:autoSpaceDN/>
        <w:bidi w:val="0"/>
        <w:adjustRightInd/>
        <w:snapToGrid/>
        <w:spacing w:line="520" w:lineRule="exact"/>
        <w:ind w:left="319" w:leftChars="152" w:firstLine="280" w:firstLineChars="100"/>
        <w:textAlignment w:val="auto"/>
        <w:rPr>
          <w:rFonts w:hint="eastAsia" w:ascii="仿宋_GB2312" w:hAnsi="仿宋_GB2312" w:eastAsia="仿宋_GB2312" w:cs="仿宋_GB2312"/>
          <w:bCs/>
          <w:color w:val="auto"/>
          <w:kern w:val="32"/>
          <w:sz w:val="28"/>
          <w:szCs w:val="28"/>
          <w:highlight w:val="none"/>
          <w:lang w:val="en" w:eastAsia="zh-CN"/>
        </w:rPr>
      </w:pPr>
    </w:p>
    <w:p w14:paraId="396F50AD">
      <w:pPr>
        <w:rPr>
          <w:rFonts w:hint="eastAsia" w:ascii="仿宋_GB2312" w:hAnsi="仿宋_GB2312" w:eastAsia="仿宋_GB2312" w:cs="仿宋_GB2312"/>
          <w:bCs/>
          <w:color w:val="auto"/>
          <w:kern w:val="32"/>
          <w:sz w:val="28"/>
          <w:szCs w:val="28"/>
          <w:highlight w:val="none"/>
          <w:lang w:val="en" w:eastAsia="zh-CN"/>
        </w:rPr>
      </w:pPr>
      <w:r>
        <w:rPr>
          <w:rFonts w:hint="eastAsia" w:ascii="仿宋_GB2312" w:hAnsi="仿宋_GB2312" w:eastAsia="仿宋_GB2312" w:cs="仿宋_GB2312"/>
          <w:bCs/>
          <w:color w:val="auto"/>
          <w:kern w:val="32"/>
          <w:sz w:val="28"/>
          <w:szCs w:val="28"/>
          <w:highlight w:val="none"/>
          <w:lang w:val="en" w:eastAsia="zh-CN"/>
        </w:rPr>
        <w:br w:type="page"/>
      </w:r>
    </w:p>
    <w:p w14:paraId="21AF6836">
      <w:pPr>
        <w:rPr>
          <w:rFonts w:hint="eastAsia" w:ascii="黑体" w:hAnsi="黑体" w:eastAsia="黑体" w:cs="黑体"/>
          <w:bCs/>
          <w:color w:val="auto"/>
          <w:kern w:val="32"/>
          <w:sz w:val="24"/>
          <w:szCs w:val="24"/>
          <w:highlight w:val="none"/>
          <w:lang w:val="en-GB"/>
        </w:rPr>
      </w:pPr>
      <w:r>
        <w:rPr>
          <w:rFonts w:hint="eastAsia" w:ascii="黑体" w:hAnsi="黑体" w:eastAsia="黑体" w:cs="黑体"/>
          <w:bCs/>
          <w:color w:val="auto"/>
          <w:kern w:val="32"/>
          <w:sz w:val="24"/>
          <w:szCs w:val="24"/>
          <w:highlight w:val="none"/>
          <w:lang w:val="en-US" w:eastAsia="zh-CN"/>
        </w:rPr>
        <w:t>附件2：</w:t>
      </w:r>
    </w:p>
    <w:p w14:paraId="70EC76BD">
      <w:pPr>
        <w:keepNext w:val="0"/>
        <w:keepLines w:val="0"/>
        <w:pageBreakBefore w:val="0"/>
        <w:widowControl w:val="0"/>
        <w:kinsoku/>
        <w:wordWrap/>
        <w:overflowPunct/>
        <w:topLinePunct w:val="0"/>
        <w:autoSpaceDE/>
        <w:autoSpaceDN/>
        <w:bidi w:val="0"/>
        <w:adjustRightInd/>
        <w:snapToGrid/>
        <w:spacing w:line="560" w:lineRule="exact"/>
        <w:ind w:firstLine="420" w:firstLineChars="200"/>
        <w:jc w:val="center"/>
        <w:textAlignment w:val="auto"/>
        <w:rPr>
          <w:rFonts w:hint="eastAsia" w:ascii="宋体" w:hAnsi="宋体" w:eastAsia="宋体" w:cs="宋体"/>
          <w:bCs/>
          <w:color w:val="auto"/>
          <w:kern w:val="32"/>
          <w:sz w:val="21"/>
          <w:szCs w:val="21"/>
          <w:highlight w:val="none"/>
          <w:lang w:val="en-GB"/>
        </w:rPr>
      </w:pPr>
      <w:r>
        <w:rPr>
          <w:rFonts w:hint="eastAsia" w:ascii="宋体" w:hAnsi="宋体" w:eastAsia="宋体" w:cs="宋体"/>
          <w:bCs/>
          <w:color w:val="auto"/>
          <w:kern w:val="32"/>
          <w:sz w:val="21"/>
          <w:szCs w:val="21"/>
          <w:highlight w:val="none"/>
          <w:lang w:val="en-US" w:eastAsia="zh-CN"/>
        </w:rPr>
        <w:t>2026年</w:t>
      </w:r>
      <w:r>
        <w:rPr>
          <w:rFonts w:hint="eastAsia" w:ascii="宋体" w:hAnsi="宋体" w:eastAsia="宋体" w:cs="宋体"/>
          <w:bCs/>
          <w:color w:val="auto"/>
          <w:kern w:val="32"/>
          <w:sz w:val="21"/>
          <w:szCs w:val="21"/>
          <w:highlight w:val="none"/>
          <w:lang w:val="en-GB" w:eastAsia="zh-CN"/>
        </w:rPr>
        <w:t>大新县</w:t>
      </w:r>
      <w:r>
        <w:rPr>
          <w:rFonts w:hint="eastAsia" w:ascii="宋体" w:hAnsi="宋体" w:eastAsia="宋体" w:cs="宋体"/>
          <w:bCs/>
          <w:color w:val="auto"/>
          <w:kern w:val="32"/>
          <w:sz w:val="21"/>
          <w:szCs w:val="21"/>
          <w:highlight w:val="none"/>
          <w:lang w:val="en-US" w:eastAsia="zh-CN"/>
        </w:rPr>
        <w:t>生产障碍耕地治理项目</w:t>
      </w:r>
      <w:r>
        <w:rPr>
          <w:rFonts w:hint="eastAsia" w:ascii="宋体" w:hAnsi="宋体" w:eastAsia="宋体" w:cs="宋体"/>
          <w:b w:val="0"/>
          <w:bCs w:val="0"/>
          <w:color w:val="auto"/>
          <w:sz w:val="21"/>
          <w:szCs w:val="21"/>
          <w:highlight w:val="none"/>
          <w:lang w:val="en-US" w:eastAsia="zh-CN"/>
        </w:rPr>
        <w:t>“镉低积累品种替代+”技术措施</w:t>
      </w:r>
      <w:r>
        <w:rPr>
          <w:rFonts w:hint="eastAsia" w:ascii="宋体" w:hAnsi="宋体" w:eastAsia="宋体" w:cs="宋体"/>
          <w:b w:val="0"/>
          <w:bCs/>
          <w:color w:val="auto"/>
          <w:sz w:val="21"/>
          <w:szCs w:val="21"/>
          <w:highlight w:val="none"/>
          <w:lang w:val="en-US" w:eastAsia="zh-CN"/>
        </w:rPr>
        <w:t>模式</w:t>
      </w:r>
      <w:r>
        <w:rPr>
          <w:rFonts w:hint="eastAsia" w:ascii="宋体" w:hAnsi="宋体" w:eastAsia="宋体" w:cs="宋体"/>
          <w:bCs/>
          <w:color w:val="auto"/>
          <w:kern w:val="32"/>
          <w:sz w:val="21"/>
          <w:szCs w:val="21"/>
          <w:highlight w:val="none"/>
          <w:lang w:val="en-GB" w:eastAsia="zh-CN"/>
        </w:rPr>
        <w:t>实施分布</w:t>
      </w:r>
      <w:r>
        <w:rPr>
          <w:rFonts w:hint="eastAsia" w:ascii="宋体" w:hAnsi="宋体" w:eastAsia="宋体" w:cs="宋体"/>
          <w:bCs/>
          <w:color w:val="auto"/>
          <w:kern w:val="32"/>
          <w:sz w:val="21"/>
          <w:szCs w:val="21"/>
          <w:highlight w:val="none"/>
          <w:lang w:val="en-GB"/>
        </w:rPr>
        <w:t>情况表</w:t>
      </w:r>
    </w:p>
    <w:tbl>
      <w:tblPr>
        <w:tblStyle w:val="6"/>
        <w:tblpPr w:leftFromText="180" w:rightFromText="180" w:vertAnchor="text" w:horzAnchor="page" w:tblpX="1650" w:tblpY="351"/>
        <w:tblOverlap w:val="never"/>
        <w:tblW w:w="9055" w:type="dxa"/>
        <w:tblInd w:w="0" w:type="dxa"/>
        <w:tblLayout w:type="fixed"/>
        <w:tblCellMar>
          <w:top w:w="0" w:type="dxa"/>
          <w:left w:w="108" w:type="dxa"/>
          <w:bottom w:w="0" w:type="dxa"/>
          <w:right w:w="108" w:type="dxa"/>
        </w:tblCellMar>
      </w:tblPr>
      <w:tblGrid>
        <w:gridCol w:w="677"/>
        <w:gridCol w:w="1977"/>
        <w:gridCol w:w="1101"/>
        <w:gridCol w:w="1366"/>
        <w:gridCol w:w="1366"/>
        <w:gridCol w:w="856"/>
        <w:gridCol w:w="796"/>
        <w:gridCol w:w="916"/>
      </w:tblGrid>
      <w:tr w14:paraId="25CB6BEE">
        <w:tblPrEx>
          <w:tblCellMar>
            <w:top w:w="0" w:type="dxa"/>
            <w:left w:w="108" w:type="dxa"/>
            <w:bottom w:w="0" w:type="dxa"/>
            <w:right w:w="108" w:type="dxa"/>
          </w:tblCellMar>
        </w:tblPrEx>
        <w:trPr>
          <w:trHeight w:val="1585" w:hRule="atLeast"/>
        </w:trPr>
        <w:tc>
          <w:tcPr>
            <w:tcW w:w="6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6CD78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977" w:type="dxa"/>
            <w:tcBorders>
              <w:top w:val="single" w:color="auto" w:sz="4" w:space="0"/>
              <w:left w:val="nil"/>
              <w:bottom w:val="single" w:color="auto" w:sz="4" w:space="0"/>
              <w:right w:val="single" w:color="auto" w:sz="4" w:space="0"/>
            </w:tcBorders>
            <w:shd w:val="clear" w:color="auto" w:fill="auto"/>
            <w:noWrap/>
            <w:vAlign w:val="center"/>
          </w:tcPr>
          <w:p w14:paraId="15DA55F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区域</w:t>
            </w:r>
          </w:p>
        </w:tc>
        <w:tc>
          <w:tcPr>
            <w:tcW w:w="1101" w:type="dxa"/>
            <w:tcBorders>
              <w:top w:val="single" w:color="auto" w:sz="4" w:space="0"/>
              <w:left w:val="nil"/>
              <w:bottom w:val="single" w:color="auto" w:sz="4" w:space="0"/>
              <w:right w:val="single" w:color="auto" w:sz="4" w:space="0"/>
            </w:tcBorders>
            <w:shd w:val="clear" w:color="auto" w:fill="auto"/>
            <w:noWrap/>
            <w:vAlign w:val="center"/>
          </w:tcPr>
          <w:p w14:paraId="591B782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面积（亩）</w:t>
            </w:r>
          </w:p>
        </w:tc>
        <w:tc>
          <w:tcPr>
            <w:tcW w:w="1366" w:type="dxa"/>
            <w:tcBorders>
              <w:top w:val="single" w:color="auto" w:sz="4" w:space="0"/>
              <w:left w:val="nil"/>
              <w:bottom w:val="single" w:color="auto" w:sz="4" w:space="0"/>
              <w:right w:val="single" w:color="auto" w:sz="4" w:space="0"/>
            </w:tcBorders>
            <w:shd w:val="clear" w:color="auto" w:fill="auto"/>
            <w:noWrap/>
            <w:vAlign w:val="center"/>
          </w:tcPr>
          <w:p w14:paraId="2603E2C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土壤环境质量类别</w:t>
            </w:r>
          </w:p>
        </w:tc>
        <w:tc>
          <w:tcPr>
            <w:tcW w:w="1366" w:type="dxa"/>
            <w:tcBorders>
              <w:top w:val="single" w:color="auto" w:sz="4" w:space="0"/>
              <w:left w:val="nil"/>
              <w:bottom w:val="single" w:color="auto" w:sz="4" w:space="0"/>
              <w:right w:val="single" w:color="auto" w:sz="4" w:space="0"/>
            </w:tcBorders>
            <w:shd w:val="clear" w:color="auto" w:fill="auto"/>
            <w:noWrap/>
            <w:vAlign w:val="center"/>
          </w:tcPr>
          <w:p w14:paraId="502352A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土壤pH值</w:t>
            </w:r>
            <w:r>
              <w:rPr>
                <w:rFonts w:hint="eastAsia" w:ascii="宋体" w:hAnsi="宋体" w:eastAsia="宋体" w:cs="宋体"/>
                <w:color w:val="auto"/>
                <w:kern w:val="0"/>
                <w:sz w:val="21"/>
                <w:szCs w:val="21"/>
                <w:highlight w:val="none"/>
                <w:lang w:eastAsia="zh-CN"/>
              </w:rPr>
              <w:t>（中间</w:t>
            </w:r>
            <w:r>
              <w:rPr>
                <w:rFonts w:hint="eastAsia" w:ascii="宋体" w:hAnsi="宋体" w:eastAsia="宋体" w:cs="宋体"/>
                <w:color w:val="auto"/>
                <w:kern w:val="0"/>
                <w:sz w:val="21"/>
                <w:szCs w:val="21"/>
                <w:highlight w:val="none"/>
                <w:lang w:val="en-US" w:eastAsia="zh-CN"/>
              </w:rPr>
              <w:t>值</w:t>
            </w:r>
            <w:r>
              <w:rPr>
                <w:rFonts w:hint="eastAsia" w:ascii="宋体" w:hAnsi="宋体" w:eastAsia="宋体" w:cs="宋体"/>
                <w:color w:val="auto"/>
                <w:kern w:val="0"/>
                <w:sz w:val="21"/>
                <w:szCs w:val="21"/>
                <w:highlight w:val="none"/>
                <w:lang w:eastAsia="zh-CN"/>
              </w:rPr>
              <w:t>）</w:t>
            </w:r>
          </w:p>
        </w:tc>
        <w:tc>
          <w:tcPr>
            <w:tcW w:w="856" w:type="dxa"/>
            <w:tcBorders>
              <w:top w:val="single" w:color="auto" w:sz="4" w:space="0"/>
              <w:left w:val="nil"/>
              <w:bottom w:val="single" w:color="auto" w:sz="4" w:space="0"/>
              <w:right w:val="single" w:color="auto" w:sz="4" w:space="0"/>
            </w:tcBorders>
            <w:shd w:val="clear" w:color="auto" w:fill="auto"/>
            <w:noWrap/>
            <w:vAlign w:val="center"/>
          </w:tcPr>
          <w:p w14:paraId="284ADA3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产品主要超标元素</w:t>
            </w:r>
          </w:p>
        </w:tc>
        <w:tc>
          <w:tcPr>
            <w:tcW w:w="796" w:type="dxa"/>
            <w:tcBorders>
              <w:top w:val="single" w:color="auto" w:sz="4" w:space="0"/>
              <w:left w:val="nil"/>
              <w:bottom w:val="single" w:color="auto" w:sz="4" w:space="0"/>
              <w:right w:val="single" w:color="auto" w:sz="4" w:space="0"/>
            </w:tcBorders>
            <w:shd w:val="clear" w:color="auto" w:fill="auto"/>
            <w:noWrap/>
            <w:vAlign w:val="center"/>
          </w:tcPr>
          <w:p w14:paraId="1B9B33B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eastAsia="zh-CN"/>
              </w:rPr>
              <w:t>产品超标个数</w:t>
            </w:r>
          </w:p>
        </w:tc>
        <w:tc>
          <w:tcPr>
            <w:tcW w:w="916" w:type="dxa"/>
            <w:tcBorders>
              <w:top w:val="single" w:color="auto" w:sz="4" w:space="0"/>
              <w:left w:val="nil"/>
              <w:bottom w:val="single" w:color="auto" w:sz="4" w:space="0"/>
              <w:right w:val="single" w:color="auto" w:sz="4" w:space="0"/>
            </w:tcBorders>
            <w:shd w:val="clear" w:color="auto" w:fill="auto"/>
            <w:noWrap/>
            <w:vAlign w:val="center"/>
          </w:tcPr>
          <w:p w14:paraId="51B458E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备注</w:t>
            </w:r>
          </w:p>
        </w:tc>
      </w:tr>
      <w:tr w14:paraId="4AE6E8A8">
        <w:tblPrEx>
          <w:tblCellMar>
            <w:top w:w="0" w:type="dxa"/>
            <w:left w:w="108" w:type="dxa"/>
            <w:bottom w:w="0" w:type="dxa"/>
            <w:right w:w="108" w:type="dxa"/>
          </w:tblCellMar>
        </w:tblPrEx>
        <w:trPr>
          <w:trHeight w:val="1001" w:hRule="atLeast"/>
        </w:trPr>
        <w:tc>
          <w:tcPr>
            <w:tcW w:w="67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FF7AD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2CC439C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龙门乡龙门社区、武安村</w:t>
            </w:r>
          </w:p>
        </w:tc>
        <w:tc>
          <w:tcPr>
            <w:tcW w:w="1101" w:type="dxa"/>
            <w:tcBorders>
              <w:top w:val="nil"/>
              <w:left w:val="nil"/>
              <w:bottom w:val="single" w:color="auto" w:sz="4" w:space="0"/>
              <w:right w:val="single" w:color="auto" w:sz="4" w:space="0"/>
            </w:tcBorders>
            <w:shd w:val="clear" w:color="auto" w:fill="auto"/>
            <w:noWrap/>
            <w:vAlign w:val="center"/>
          </w:tcPr>
          <w:p w14:paraId="6488330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365</w:t>
            </w:r>
          </w:p>
        </w:tc>
        <w:tc>
          <w:tcPr>
            <w:tcW w:w="1366" w:type="dxa"/>
            <w:tcBorders>
              <w:top w:val="nil"/>
              <w:left w:val="single" w:color="auto" w:sz="4" w:space="0"/>
              <w:bottom w:val="single" w:color="000000" w:sz="4" w:space="0"/>
              <w:right w:val="single" w:color="auto" w:sz="4" w:space="0"/>
            </w:tcBorders>
            <w:shd w:val="clear" w:color="auto" w:fill="auto"/>
            <w:noWrap/>
            <w:vAlign w:val="center"/>
          </w:tcPr>
          <w:p w14:paraId="489C5E9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二类地</w:t>
            </w:r>
          </w:p>
        </w:tc>
        <w:tc>
          <w:tcPr>
            <w:tcW w:w="1366" w:type="dxa"/>
            <w:tcBorders>
              <w:top w:val="nil"/>
              <w:left w:val="single" w:color="auto" w:sz="4" w:space="0"/>
              <w:bottom w:val="single" w:color="000000" w:sz="4" w:space="0"/>
              <w:right w:val="single" w:color="auto" w:sz="4" w:space="0"/>
            </w:tcBorders>
            <w:shd w:val="clear" w:color="auto" w:fill="auto"/>
            <w:noWrap/>
            <w:vAlign w:val="center"/>
          </w:tcPr>
          <w:p w14:paraId="4155A15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5.94</w:t>
            </w:r>
          </w:p>
        </w:tc>
        <w:tc>
          <w:tcPr>
            <w:tcW w:w="856" w:type="dxa"/>
            <w:tcBorders>
              <w:top w:val="nil"/>
              <w:left w:val="single" w:color="auto" w:sz="4" w:space="0"/>
              <w:bottom w:val="single" w:color="000000" w:sz="4" w:space="0"/>
              <w:right w:val="single" w:color="auto" w:sz="4" w:space="0"/>
            </w:tcBorders>
            <w:shd w:val="clear" w:color="auto" w:fill="auto"/>
            <w:noWrap/>
            <w:vAlign w:val="center"/>
          </w:tcPr>
          <w:p w14:paraId="7C7CEDD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shd w:val="clear" w:color="auto" w:fill="auto"/>
            <w:noWrap/>
            <w:vAlign w:val="center"/>
          </w:tcPr>
          <w:p w14:paraId="13BF6C9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916" w:type="dxa"/>
            <w:tcBorders>
              <w:top w:val="nil"/>
              <w:left w:val="single" w:color="auto" w:sz="4" w:space="0"/>
              <w:bottom w:val="single" w:color="000000" w:sz="4" w:space="0"/>
              <w:right w:val="single" w:color="auto" w:sz="4" w:space="0"/>
            </w:tcBorders>
            <w:shd w:val="clear" w:color="auto" w:fill="auto"/>
            <w:noWrap/>
            <w:vAlign w:val="center"/>
          </w:tcPr>
          <w:p w14:paraId="1D1A23B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p>
        </w:tc>
      </w:tr>
      <w:tr w14:paraId="6F9AFFE9">
        <w:tblPrEx>
          <w:tblCellMar>
            <w:top w:w="0" w:type="dxa"/>
            <w:left w:w="108" w:type="dxa"/>
            <w:bottom w:w="0" w:type="dxa"/>
            <w:right w:w="108" w:type="dxa"/>
          </w:tblCellMar>
        </w:tblPrEx>
        <w:trPr>
          <w:trHeight w:val="1001" w:hRule="atLeast"/>
        </w:trPr>
        <w:tc>
          <w:tcPr>
            <w:tcW w:w="677" w:type="dxa"/>
            <w:tcBorders>
              <w:top w:val="single" w:color="auto" w:sz="4" w:space="0"/>
              <w:left w:val="single" w:color="auto" w:sz="4" w:space="0"/>
              <w:bottom w:val="single" w:color="auto" w:sz="4" w:space="0"/>
              <w:right w:val="single" w:color="auto" w:sz="4" w:space="0"/>
            </w:tcBorders>
            <w:vAlign w:val="center"/>
          </w:tcPr>
          <w:p w14:paraId="78A11DFE">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001AB392">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全茗镇政教村</w:t>
            </w:r>
          </w:p>
        </w:tc>
        <w:tc>
          <w:tcPr>
            <w:tcW w:w="1101" w:type="dxa"/>
            <w:tcBorders>
              <w:top w:val="nil"/>
              <w:left w:val="nil"/>
              <w:bottom w:val="single" w:color="auto" w:sz="4" w:space="0"/>
              <w:right w:val="nil"/>
            </w:tcBorders>
            <w:shd w:val="clear" w:color="auto" w:fill="auto"/>
            <w:noWrap/>
            <w:vAlign w:val="center"/>
          </w:tcPr>
          <w:p w14:paraId="246CA55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129</w:t>
            </w:r>
          </w:p>
        </w:tc>
        <w:tc>
          <w:tcPr>
            <w:tcW w:w="1366" w:type="dxa"/>
            <w:tcBorders>
              <w:top w:val="nil"/>
              <w:left w:val="single" w:color="auto" w:sz="4" w:space="0"/>
              <w:bottom w:val="single" w:color="000000" w:sz="4" w:space="0"/>
              <w:right w:val="single" w:color="auto" w:sz="4" w:space="0"/>
            </w:tcBorders>
            <w:vAlign w:val="center"/>
          </w:tcPr>
          <w:p w14:paraId="5E1A7E6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二类地</w:t>
            </w:r>
          </w:p>
        </w:tc>
        <w:tc>
          <w:tcPr>
            <w:tcW w:w="1366" w:type="dxa"/>
            <w:tcBorders>
              <w:top w:val="nil"/>
              <w:left w:val="single" w:color="auto" w:sz="4" w:space="0"/>
              <w:bottom w:val="single" w:color="000000" w:sz="4" w:space="0"/>
              <w:right w:val="single" w:color="auto" w:sz="4" w:space="0"/>
            </w:tcBorders>
            <w:vAlign w:val="center"/>
          </w:tcPr>
          <w:p w14:paraId="6CDC47A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5.66</w:t>
            </w:r>
          </w:p>
        </w:tc>
        <w:tc>
          <w:tcPr>
            <w:tcW w:w="856" w:type="dxa"/>
            <w:tcBorders>
              <w:top w:val="nil"/>
              <w:left w:val="single" w:color="auto" w:sz="4" w:space="0"/>
              <w:bottom w:val="single" w:color="000000" w:sz="4" w:space="0"/>
              <w:right w:val="single" w:color="auto" w:sz="4" w:space="0"/>
            </w:tcBorders>
            <w:vAlign w:val="center"/>
          </w:tcPr>
          <w:p w14:paraId="430A086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64B9329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5EDFBF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highlight w:val="none"/>
                <w:lang w:val="en-US" w:eastAsia="zh-CN"/>
              </w:rPr>
            </w:pPr>
          </w:p>
        </w:tc>
      </w:tr>
      <w:tr w14:paraId="1F7EA482">
        <w:tblPrEx>
          <w:tblCellMar>
            <w:top w:w="0" w:type="dxa"/>
            <w:left w:w="108" w:type="dxa"/>
            <w:bottom w:w="0" w:type="dxa"/>
            <w:right w:w="108" w:type="dxa"/>
          </w:tblCellMar>
        </w:tblPrEx>
        <w:trPr>
          <w:trHeight w:val="1194" w:hRule="atLeast"/>
        </w:trPr>
        <w:tc>
          <w:tcPr>
            <w:tcW w:w="677" w:type="dxa"/>
            <w:tcBorders>
              <w:top w:val="single" w:color="auto" w:sz="4" w:space="0"/>
              <w:left w:val="single" w:color="auto" w:sz="4" w:space="0"/>
              <w:bottom w:val="single" w:color="auto" w:sz="4" w:space="0"/>
              <w:right w:val="single" w:color="auto" w:sz="4" w:space="0"/>
            </w:tcBorders>
            <w:vAlign w:val="center"/>
          </w:tcPr>
          <w:p w14:paraId="648A706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2F3C079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堪圩</w:t>
            </w:r>
            <w:r>
              <w:rPr>
                <w:rFonts w:hint="eastAsia" w:ascii="宋体" w:hAnsi="宋体" w:eastAsia="宋体" w:cs="宋体"/>
                <w:color w:val="auto"/>
                <w:kern w:val="0"/>
                <w:sz w:val="21"/>
                <w:szCs w:val="21"/>
                <w:highlight w:val="none"/>
                <w:lang w:eastAsia="zh-CN" w:bidi="ar"/>
              </w:rPr>
              <w:t>乡</w:t>
            </w:r>
            <w:r>
              <w:rPr>
                <w:rFonts w:hint="eastAsia" w:ascii="宋体" w:hAnsi="宋体" w:eastAsia="宋体" w:cs="宋体"/>
                <w:color w:val="auto"/>
                <w:kern w:val="0"/>
                <w:sz w:val="21"/>
                <w:szCs w:val="21"/>
                <w:highlight w:val="none"/>
                <w:lang w:val="en-US" w:eastAsia="zh-CN" w:bidi="ar"/>
              </w:rPr>
              <w:t>拨浪村</w:t>
            </w:r>
          </w:p>
        </w:tc>
        <w:tc>
          <w:tcPr>
            <w:tcW w:w="1101" w:type="dxa"/>
            <w:tcBorders>
              <w:top w:val="nil"/>
              <w:left w:val="nil"/>
              <w:bottom w:val="single" w:color="auto" w:sz="4" w:space="0"/>
              <w:right w:val="nil"/>
            </w:tcBorders>
            <w:shd w:val="clear" w:color="auto" w:fill="auto"/>
            <w:noWrap/>
            <w:vAlign w:val="center"/>
          </w:tcPr>
          <w:p w14:paraId="2CF07CD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120</w:t>
            </w:r>
          </w:p>
        </w:tc>
        <w:tc>
          <w:tcPr>
            <w:tcW w:w="1366" w:type="dxa"/>
            <w:tcBorders>
              <w:top w:val="nil"/>
              <w:left w:val="single" w:color="auto" w:sz="4" w:space="0"/>
              <w:bottom w:val="single" w:color="000000" w:sz="4" w:space="0"/>
              <w:right w:val="single" w:color="auto" w:sz="4" w:space="0"/>
            </w:tcBorders>
            <w:vAlign w:val="center"/>
          </w:tcPr>
          <w:p w14:paraId="40E867E9">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二类地  三类地</w:t>
            </w:r>
          </w:p>
        </w:tc>
        <w:tc>
          <w:tcPr>
            <w:tcW w:w="1366" w:type="dxa"/>
            <w:tcBorders>
              <w:top w:val="nil"/>
              <w:left w:val="single" w:color="auto" w:sz="4" w:space="0"/>
              <w:bottom w:val="single" w:color="000000" w:sz="4" w:space="0"/>
              <w:right w:val="single" w:color="auto" w:sz="4" w:space="0"/>
            </w:tcBorders>
            <w:vAlign w:val="center"/>
          </w:tcPr>
          <w:p w14:paraId="1130663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6.20</w:t>
            </w:r>
          </w:p>
        </w:tc>
        <w:tc>
          <w:tcPr>
            <w:tcW w:w="856" w:type="dxa"/>
            <w:tcBorders>
              <w:top w:val="nil"/>
              <w:left w:val="single" w:color="auto" w:sz="4" w:space="0"/>
              <w:bottom w:val="single" w:color="000000" w:sz="4" w:space="0"/>
              <w:right w:val="single" w:color="auto" w:sz="4" w:space="0"/>
            </w:tcBorders>
            <w:vAlign w:val="center"/>
          </w:tcPr>
          <w:p w14:paraId="57DE7F9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6180029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6393B2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center"/>
              <w:textAlignment w:val="auto"/>
              <w:rPr>
                <w:rFonts w:hint="eastAsia" w:ascii="宋体" w:hAnsi="宋体" w:eastAsia="宋体" w:cs="宋体"/>
                <w:color w:val="auto"/>
                <w:kern w:val="0"/>
                <w:sz w:val="21"/>
                <w:szCs w:val="21"/>
                <w:highlight w:val="none"/>
                <w:lang w:val="en-US" w:eastAsia="zh-CN"/>
              </w:rPr>
            </w:pPr>
          </w:p>
        </w:tc>
      </w:tr>
      <w:tr w14:paraId="033833B5">
        <w:tblPrEx>
          <w:tblCellMar>
            <w:top w:w="0" w:type="dxa"/>
            <w:left w:w="108" w:type="dxa"/>
            <w:bottom w:w="0" w:type="dxa"/>
            <w:right w:w="108" w:type="dxa"/>
          </w:tblCellMar>
        </w:tblPrEx>
        <w:trPr>
          <w:trHeight w:val="851" w:hRule="atLeast"/>
        </w:trPr>
        <w:tc>
          <w:tcPr>
            <w:tcW w:w="677" w:type="dxa"/>
            <w:tcBorders>
              <w:top w:val="single" w:color="auto" w:sz="4" w:space="0"/>
              <w:left w:val="single" w:color="auto" w:sz="4" w:space="0"/>
              <w:bottom w:val="single" w:color="auto" w:sz="4" w:space="0"/>
              <w:right w:val="single" w:color="auto" w:sz="4" w:space="0"/>
            </w:tcBorders>
            <w:vAlign w:val="center"/>
          </w:tcPr>
          <w:p w14:paraId="32AF448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3038684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榄圩乡上吉村</w:t>
            </w:r>
          </w:p>
        </w:tc>
        <w:tc>
          <w:tcPr>
            <w:tcW w:w="1101" w:type="dxa"/>
            <w:tcBorders>
              <w:top w:val="nil"/>
              <w:left w:val="nil"/>
              <w:bottom w:val="single" w:color="auto" w:sz="4" w:space="0"/>
              <w:right w:val="single" w:color="auto" w:sz="4" w:space="0"/>
            </w:tcBorders>
            <w:shd w:val="clear" w:color="auto" w:fill="auto"/>
            <w:noWrap/>
            <w:vAlign w:val="center"/>
          </w:tcPr>
          <w:p w14:paraId="6A6E1A3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174.3</w:t>
            </w:r>
          </w:p>
        </w:tc>
        <w:tc>
          <w:tcPr>
            <w:tcW w:w="1366" w:type="dxa"/>
            <w:tcBorders>
              <w:top w:val="nil"/>
              <w:left w:val="single" w:color="auto" w:sz="4" w:space="0"/>
              <w:bottom w:val="single" w:color="000000" w:sz="4" w:space="0"/>
              <w:right w:val="single" w:color="auto" w:sz="4" w:space="0"/>
            </w:tcBorders>
            <w:vAlign w:val="center"/>
          </w:tcPr>
          <w:p w14:paraId="10E74FE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三类地</w:t>
            </w:r>
          </w:p>
        </w:tc>
        <w:tc>
          <w:tcPr>
            <w:tcW w:w="1366" w:type="dxa"/>
            <w:tcBorders>
              <w:top w:val="nil"/>
              <w:left w:val="single" w:color="auto" w:sz="4" w:space="0"/>
              <w:bottom w:val="single" w:color="000000" w:sz="4" w:space="0"/>
              <w:right w:val="single" w:color="auto" w:sz="4" w:space="0"/>
            </w:tcBorders>
            <w:vAlign w:val="center"/>
          </w:tcPr>
          <w:p w14:paraId="0B9B116D">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6.25</w:t>
            </w:r>
          </w:p>
        </w:tc>
        <w:tc>
          <w:tcPr>
            <w:tcW w:w="856" w:type="dxa"/>
            <w:tcBorders>
              <w:top w:val="nil"/>
              <w:left w:val="single" w:color="auto" w:sz="4" w:space="0"/>
              <w:bottom w:val="single" w:color="000000" w:sz="4" w:space="0"/>
              <w:right w:val="single" w:color="auto" w:sz="4" w:space="0"/>
            </w:tcBorders>
            <w:vAlign w:val="center"/>
          </w:tcPr>
          <w:p w14:paraId="7E4BA8F6">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220E0FD4">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25759EFB">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rPr>
            </w:pPr>
          </w:p>
        </w:tc>
      </w:tr>
      <w:tr w14:paraId="47321D56">
        <w:tblPrEx>
          <w:tblCellMar>
            <w:top w:w="0" w:type="dxa"/>
            <w:left w:w="108" w:type="dxa"/>
            <w:bottom w:w="0" w:type="dxa"/>
            <w:right w:w="108" w:type="dxa"/>
          </w:tblCellMar>
        </w:tblPrEx>
        <w:trPr>
          <w:trHeight w:val="868" w:hRule="atLeast"/>
        </w:trPr>
        <w:tc>
          <w:tcPr>
            <w:tcW w:w="677" w:type="dxa"/>
            <w:tcBorders>
              <w:top w:val="single" w:color="auto" w:sz="4" w:space="0"/>
              <w:left w:val="single" w:color="auto" w:sz="4" w:space="0"/>
              <w:bottom w:val="single" w:color="auto" w:sz="4" w:space="0"/>
              <w:right w:val="single" w:color="auto" w:sz="4" w:space="0"/>
            </w:tcBorders>
            <w:vAlign w:val="center"/>
          </w:tcPr>
          <w:p w14:paraId="6B4BE00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w:t>
            </w:r>
          </w:p>
        </w:tc>
        <w:tc>
          <w:tcPr>
            <w:tcW w:w="1977" w:type="dxa"/>
            <w:tcBorders>
              <w:top w:val="nil"/>
              <w:left w:val="single" w:color="auto" w:sz="4" w:space="0"/>
              <w:bottom w:val="single" w:color="auto" w:sz="4" w:space="0"/>
              <w:right w:val="single" w:color="auto" w:sz="4" w:space="0"/>
            </w:tcBorders>
            <w:shd w:val="clear" w:color="auto" w:fill="auto"/>
            <w:noWrap/>
            <w:vAlign w:val="center"/>
          </w:tcPr>
          <w:p w14:paraId="3C72B34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硕龙镇门</w:t>
            </w:r>
            <w:r>
              <w:rPr>
                <w:rFonts w:hint="eastAsia" w:ascii="宋体" w:hAnsi="宋体" w:eastAsia="宋体" w:cs="宋体"/>
                <w:color w:val="auto"/>
                <w:kern w:val="0"/>
                <w:sz w:val="21"/>
                <w:szCs w:val="21"/>
                <w:highlight w:val="none"/>
                <w:lang w:eastAsia="zh-CN" w:bidi="ar"/>
              </w:rPr>
              <w:t>村</w:t>
            </w:r>
          </w:p>
        </w:tc>
        <w:tc>
          <w:tcPr>
            <w:tcW w:w="1101" w:type="dxa"/>
            <w:tcBorders>
              <w:top w:val="nil"/>
              <w:left w:val="nil"/>
              <w:bottom w:val="single" w:color="auto" w:sz="4" w:space="0"/>
              <w:right w:val="single" w:color="auto" w:sz="4" w:space="0"/>
            </w:tcBorders>
            <w:shd w:val="clear" w:color="auto" w:fill="auto"/>
            <w:noWrap/>
            <w:vAlign w:val="center"/>
          </w:tcPr>
          <w:p w14:paraId="03D10E9E">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211.7</w:t>
            </w:r>
          </w:p>
        </w:tc>
        <w:tc>
          <w:tcPr>
            <w:tcW w:w="1366" w:type="dxa"/>
            <w:tcBorders>
              <w:top w:val="nil"/>
              <w:left w:val="single" w:color="auto" w:sz="4" w:space="0"/>
              <w:bottom w:val="single" w:color="000000" w:sz="4" w:space="0"/>
              <w:right w:val="single" w:color="auto" w:sz="4" w:space="0"/>
            </w:tcBorders>
            <w:vAlign w:val="center"/>
          </w:tcPr>
          <w:p w14:paraId="7EB3251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三类地</w:t>
            </w:r>
          </w:p>
        </w:tc>
        <w:tc>
          <w:tcPr>
            <w:tcW w:w="1366" w:type="dxa"/>
            <w:tcBorders>
              <w:top w:val="nil"/>
              <w:left w:val="single" w:color="auto" w:sz="4" w:space="0"/>
              <w:bottom w:val="single" w:color="000000" w:sz="4" w:space="0"/>
              <w:right w:val="single" w:color="auto" w:sz="4" w:space="0"/>
            </w:tcBorders>
            <w:vAlign w:val="center"/>
          </w:tcPr>
          <w:p w14:paraId="2699DC5B">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5.55</w:t>
            </w:r>
          </w:p>
        </w:tc>
        <w:tc>
          <w:tcPr>
            <w:tcW w:w="856" w:type="dxa"/>
            <w:tcBorders>
              <w:top w:val="nil"/>
              <w:left w:val="single" w:color="auto" w:sz="4" w:space="0"/>
              <w:bottom w:val="single" w:color="000000" w:sz="4" w:space="0"/>
              <w:right w:val="single" w:color="auto" w:sz="4" w:space="0"/>
            </w:tcBorders>
            <w:vAlign w:val="center"/>
          </w:tcPr>
          <w:p w14:paraId="5E5A2203">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镉</w:t>
            </w:r>
          </w:p>
        </w:tc>
        <w:tc>
          <w:tcPr>
            <w:tcW w:w="796" w:type="dxa"/>
            <w:tcBorders>
              <w:top w:val="nil"/>
              <w:left w:val="single" w:color="auto" w:sz="4" w:space="0"/>
              <w:bottom w:val="single" w:color="000000" w:sz="4" w:space="0"/>
              <w:right w:val="single" w:color="auto" w:sz="4" w:space="0"/>
            </w:tcBorders>
            <w:vAlign w:val="center"/>
          </w:tcPr>
          <w:p w14:paraId="148526F1">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SA"/>
              </w:rPr>
            </w:pPr>
          </w:p>
        </w:tc>
        <w:tc>
          <w:tcPr>
            <w:tcW w:w="916" w:type="dxa"/>
            <w:tcBorders>
              <w:top w:val="nil"/>
              <w:left w:val="single" w:color="auto" w:sz="4" w:space="0"/>
              <w:bottom w:val="single" w:color="000000" w:sz="4" w:space="0"/>
              <w:right w:val="single" w:color="auto" w:sz="4" w:space="0"/>
            </w:tcBorders>
            <w:vAlign w:val="center"/>
          </w:tcPr>
          <w:p w14:paraId="4384F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jc w:val="both"/>
              <w:textAlignment w:val="auto"/>
              <w:rPr>
                <w:rFonts w:hint="eastAsia" w:ascii="宋体" w:hAnsi="宋体" w:eastAsia="宋体" w:cs="宋体"/>
                <w:color w:val="auto"/>
                <w:kern w:val="0"/>
                <w:sz w:val="21"/>
                <w:szCs w:val="21"/>
                <w:highlight w:val="none"/>
                <w:lang w:val="en-US" w:eastAsia="zh-CN" w:bidi="ar-SA"/>
              </w:rPr>
            </w:pPr>
          </w:p>
        </w:tc>
      </w:tr>
      <w:tr w14:paraId="6ECDCC42">
        <w:tblPrEx>
          <w:tblCellMar>
            <w:top w:w="0" w:type="dxa"/>
            <w:left w:w="108" w:type="dxa"/>
            <w:bottom w:w="0" w:type="dxa"/>
            <w:right w:w="108" w:type="dxa"/>
          </w:tblCellMar>
        </w:tblPrEx>
        <w:trPr>
          <w:trHeight w:val="843" w:hRule="atLeast"/>
        </w:trPr>
        <w:tc>
          <w:tcPr>
            <w:tcW w:w="2654" w:type="dxa"/>
            <w:gridSpan w:val="2"/>
            <w:tcBorders>
              <w:top w:val="single" w:color="auto" w:sz="4" w:space="0"/>
              <w:left w:val="single" w:color="auto" w:sz="4" w:space="0"/>
              <w:bottom w:val="single" w:color="auto" w:sz="4" w:space="0"/>
              <w:right w:val="nil"/>
            </w:tcBorders>
            <w:shd w:val="clear" w:color="auto" w:fill="auto"/>
            <w:noWrap/>
            <w:vAlign w:val="center"/>
          </w:tcPr>
          <w:p w14:paraId="642BDF88">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计</w:t>
            </w:r>
          </w:p>
        </w:tc>
        <w:tc>
          <w:tcPr>
            <w:tcW w:w="1101" w:type="dxa"/>
            <w:tcBorders>
              <w:top w:val="nil"/>
              <w:left w:val="single" w:color="auto" w:sz="4" w:space="0"/>
              <w:bottom w:val="single" w:color="auto" w:sz="4" w:space="0"/>
              <w:right w:val="single" w:color="auto" w:sz="4" w:space="0"/>
            </w:tcBorders>
            <w:shd w:val="clear" w:color="auto" w:fill="auto"/>
            <w:noWrap/>
            <w:vAlign w:val="center"/>
          </w:tcPr>
          <w:p w14:paraId="7F3B2667">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1000</w:t>
            </w:r>
          </w:p>
        </w:tc>
        <w:tc>
          <w:tcPr>
            <w:tcW w:w="1366" w:type="dxa"/>
            <w:tcBorders>
              <w:top w:val="nil"/>
              <w:left w:val="nil"/>
              <w:bottom w:val="single" w:color="auto" w:sz="4" w:space="0"/>
              <w:right w:val="single" w:color="auto" w:sz="4" w:space="0"/>
            </w:tcBorders>
            <w:shd w:val="clear" w:color="auto" w:fill="auto"/>
            <w:noWrap/>
            <w:vAlign w:val="center"/>
          </w:tcPr>
          <w:p w14:paraId="5AC0988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1366" w:type="dxa"/>
            <w:tcBorders>
              <w:top w:val="nil"/>
              <w:left w:val="nil"/>
              <w:bottom w:val="single" w:color="auto" w:sz="4" w:space="0"/>
              <w:right w:val="single" w:color="auto" w:sz="4" w:space="0"/>
            </w:tcBorders>
            <w:shd w:val="clear" w:color="auto" w:fill="auto"/>
            <w:noWrap/>
            <w:vAlign w:val="center"/>
          </w:tcPr>
          <w:p w14:paraId="5F7AC17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856" w:type="dxa"/>
            <w:tcBorders>
              <w:top w:val="nil"/>
              <w:left w:val="nil"/>
              <w:bottom w:val="single" w:color="auto" w:sz="4" w:space="0"/>
              <w:right w:val="single" w:color="auto" w:sz="4" w:space="0"/>
            </w:tcBorders>
            <w:shd w:val="clear" w:color="auto" w:fill="auto"/>
            <w:noWrap/>
            <w:vAlign w:val="center"/>
          </w:tcPr>
          <w:p w14:paraId="754507BF">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c>
          <w:tcPr>
            <w:tcW w:w="796" w:type="dxa"/>
            <w:tcBorders>
              <w:top w:val="nil"/>
              <w:left w:val="nil"/>
              <w:bottom w:val="single" w:color="auto" w:sz="4" w:space="0"/>
              <w:right w:val="single" w:color="auto" w:sz="4" w:space="0"/>
            </w:tcBorders>
            <w:shd w:val="clear" w:color="auto" w:fill="auto"/>
            <w:noWrap/>
            <w:vAlign w:val="center"/>
          </w:tcPr>
          <w:p w14:paraId="42724DCC">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rPr>
            </w:pPr>
          </w:p>
        </w:tc>
        <w:tc>
          <w:tcPr>
            <w:tcW w:w="916" w:type="dxa"/>
            <w:tcBorders>
              <w:top w:val="nil"/>
              <w:left w:val="nil"/>
              <w:bottom w:val="single" w:color="auto" w:sz="4" w:space="0"/>
              <w:right w:val="single" w:color="auto" w:sz="4" w:space="0"/>
            </w:tcBorders>
            <w:shd w:val="clear" w:color="auto" w:fill="auto"/>
            <w:noWrap/>
            <w:vAlign w:val="center"/>
          </w:tcPr>
          <w:p w14:paraId="10D7E260">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rPr>
            </w:pPr>
          </w:p>
        </w:tc>
      </w:tr>
    </w:tbl>
    <w:p w14:paraId="2E88578D">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宋体"/>
          <w:bCs/>
          <w:color w:val="auto"/>
          <w:kern w:val="32"/>
          <w:sz w:val="21"/>
          <w:szCs w:val="21"/>
          <w:highlight w:val="none"/>
          <w:lang w:val="en" w:eastAsia="zh-CN"/>
        </w:rPr>
      </w:pPr>
      <w:r>
        <w:rPr>
          <w:rFonts w:hint="eastAsia" w:ascii="宋体" w:hAnsi="宋体" w:eastAsia="宋体" w:cs="宋体"/>
          <w:bCs/>
          <w:color w:val="auto"/>
          <w:kern w:val="32"/>
          <w:sz w:val="21"/>
          <w:szCs w:val="21"/>
          <w:highlight w:val="none"/>
          <w:lang w:val="en-GB" w:eastAsia="zh-CN"/>
        </w:rPr>
        <w:t>备注：具体面积以</w:t>
      </w:r>
      <w:r>
        <w:rPr>
          <w:rFonts w:hint="eastAsia" w:ascii="宋体" w:hAnsi="宋体" w:eastAsia="宋体" w:cs="宋体"/>
          <w:bCs/>
          <w:color w:val="auto"/>
          <w:kern w:val="32"/>
          <w:sz w:val="21"/>
          <w:szCs w:val="21"/>
          <w:highlight w:val="none"/>
          <w:lang w:val="en" w:eastAsia="zh-CN"/>
        </w:rPr>
        <w:t>实际实施的面积为准。如果以上区域水稻实际种植面积不够可以灵活从其他符合区域</w:t>
      </w:r>
      <w:r>
        <w:rPr>
          <w:rFonts w:hint="eastAsia" w:ascii="宋体" w:hAnsi="宋体" w:eastAsia="宋体" w:cs="宋体"/>
          <w:bCs/>
          <w:color w:val="auto"/>
          <w:kern w:val="32"/>
          <w:sz w:val="21"/>
          <w:szCs w:val="21"/>
          <w:highlight w:val="none"/>
          <w:lang w:val="en-US" w:eastAsia="zh-CN"/>
        </w:rPr>
        <w:t>的</w:t>
      </w:r>
      <w:r>
        <w:rPr>
          <w:rFonts w:hint="eastAsia" w:ascii="宋体" w:hAnsi="宋体" w:eastAsia="宋体" w:cs="宋体"/>
          <w:bCs/>
          <w:color w:val="auto"/>
          <w:kern w:val="32"/>
          <w:sz w:val="21"/>
          <w:szCs w:val="21"/>
          <w:highlight w:val="none"/>
          <w:lang w:val="en" w:eastAsia="zh-CN"/>
        </w:rPr>
        <w:t>种植面积予以补充。</w:t>
      </w:r>
    </w:p>
    <w:p w14:paraId="66C97403">
      <w:pPr>
        <w:rPr>
          <w:rFonts w:hint="eastAsia"/>
          <w:color w:val="auto"/>
          <w:szCs w:val="21"/>
          <w:highlight w:val="none"/>
          <w:lang w:val="en-US" w:eastAsia="zh-CN"/>
        </w:rPr>
      </w:pPr>
      <w:r>
        <w:rPr>
          <w:rFonts w:hint="eastAsia"/>
          <w:color w:val="auto"/>
          <w:szCs w:val="21"/>
          <w:highlight w:val="none"/>
          <w:lang w:val="en-US" w:eastAsia="zh-CN"/>
        </w:rPr>
        <w:br w:type="page"/>
      </w:r>
    </w:p>
    <w:p w14:paraId="35556B26">
      <w:pPr>
        <w:rPr>
          <w:rFonts w:hint="default"/>
          <w:color w:val="auto"/>
          <w:szCs w:val="21"/>
          <w:highlight w:val="none"/>
          <w:lang w:val="en-US" w:eastAsia="zh-CN"/>
        </w:rPr>
      </w:pPr>
    </w:p>
    <w:p w14:paraId="5F887EE1">
      <w:pPr>
        <w:rPr>
          <w:rFonts w:hint="eastAsia"/>
          <w:color w:val="auto"/>
          <w:sz w:val="22"/>
          <w:szCs w:val="22"/>
          <w:highlight w:val="none"/>
          <w:lang w:val="en-US" w:eastAsia="zh-CN"/>
        </w:rPr>
      </w:pPr>
      <w:r>
        <w:rPr>
          <w:rFonts w:hint="eastAsia"/>
          <w:color w:val="auto"/>
          <w:sz w:val="22"/>
          <w:szCs w:val="22"/>
          <w:highlight w:val="none"/>
          <w:lang w:val="en-US" w:eastAsia="zh-CN"/>
        </w:rPr>
        <w:t>分标2:</w:t>
      </w:r>
    </w:p>
    <w:tbl>
      <w:tblPr>
        <w:tblStyle w:val="6"/>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946"/>
        <w:gridCol w:w="6974"/>
      </w:tblGrid>
      <w:tr w14:paraId="04F6C8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674E4253">
            <w:pPr>
              <w:pStyle w:val="3"/>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序号</w:t>
            </w: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6AD307A5">
            <w:pPr>
              <w:pStyle w:val="3"/>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采购内容</w:t>
            </w:r>
          </w:p>
        </w:tc>
        <w:tc>
          <w:tcPr>
            <w:tcW w:w="6974" w:type="dxa"/>
            <w:tcBorders>
              <w:top w:val="single" w:color="auto" w:sz="4" w:space="0"/>
              <w:left w:val="single" w:color="auto" w:sz="4" w:space="0"/>
              <w:bottom w:val="single" w:color="auto" w:sz="4" w:space="0"/>
              <w:right w:val="single" w:color="auto" w:sz="4" w:space="0"/>
            </w:tcBorders>
            <w:vAlign w:val="center"/>
          </w:tcPr>
          <w:p w14:paraId="0B38CB91">
            <w:pPr>
              <w:pStyle w:val="3"/>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技术要求</w:t>
            </w:r>
          </w:p>
        </w:tc>
      </w:tr>
      <w:tr w14:paraId="32F8E5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7A312E6A">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850" w:type="dxa"/>
            <w:gridSpan w:val="2"/>
            <w:tcBorders>
              <w:top w:val="single" w:color="auto" w:sz="4" w:space="0"/>
              <w:left w:val="single" w:color="auto" w:sz="4" w:space="0"/>
              <w:right w:val="single" w:color="auto" w:sz="4" w:space="0"/>
            </w:tcBorders>
            <w:vAlign w:val="center"/>
          </w:tcPr>
          <w:p w14:paraId="5A2463B9">
            <w:pPr>
              <w:spacing w:line="36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稻谷样品采集及检测</w:t>
            </w:r>
          </w:p>
        </w:tc>
        <w:tc>
          <w:tcPr>
            <w:tcW w:w="6974" w:type="dxa"/>
            <w:tcBorders>
              <w:top w:val="single" w:color="auto" w:sz="4" w:space="0"/>
              <w:left w:val="single" w:color="auto" w:sz="4" w:space="0"/>
              <w:right w:val="single" w:color="auto" w:sz="4" w:space="0"/>
            </w:tcBorders>
            <w:vAlign w:val="center"/>
          </w:tcPr>
          <w:p w14:paraId="6D15E74C">
            <w:pPr>
              <w:numPr>
                <w:ilvl w:val="0"/>
                <w:numId w:val="0"/>
              </w:numP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1、主要实施内容：(1)项目区域内按25亩/个样品的布点密度进行，约采集检测168个样；(2)严格管控类耕地水稻稻谷采集定量检测25个样；(3)严格管控类耕地水稻稻谷采集CMA检测63个样；(4)严格管控类耕地水稻稻谷样品快速检测试剂600份。</w:t>
            </w:r>
          </w:p>
          <w:p w14:paraId="3D42659D">
            <w:pPr>
              <w:numPr>
                <w:ilvl w:val="0"/>
                <w:numId w:val="0"/>
              </w:numP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2、稻谷样品采集：参照《中华人民共和国农业行业标准耕地污染治理效果评价准则》（NY/T3343—2018），按照15—50亩/个样品的布点密度进行，涉及严格管控类耕地区域的，应适当加密布点，做好稻谷重金属质量检测。由检测评估第三方按规定采集样品，与项目实施第三方、监理单位（方法一）或者采购单位（方法二）人员三方一起确认后进行现场封样。农产品检测项目为总镉、总汞、总砷（稻谷测总砷超0.35mg/kg时必须测无机砷）、总铅、总铬检测5项重金属指标。样品备份、检测、保存样的管理及效果判定按照《食品安全国家标准食品中污染物限量》（GB2762—2022）规定进行，并协同现场测定样品采集地块土壤pH值。样品信息至少含水稻品种及带经纬度的采样地块位置的正东、正南、正西、正北等方向相片和工作相片，带经纬度的现场测定土壤pH值相片。如信息不全、无法证明采集样地及pH仪校正与现场测定土壤pH值的，将视为无效样品。样品采样信息、土壤pH值测定及数据传输方式，按自治区农业生态与资源保护站要求进行。</w:t>
            </w:r>
          </w:p>
          <w:p w14:paraId="06B75018">
            <w:pPr>
              <w:numPr>
                <w:ilvl w:val="0"/>
                <w:numId w:val="0"/>
              </w:numPr>
              <w:spacing w:line="360" w:lineRule="exact"/>
              <w:ind w:firstLine="420" w:firstLineChars="200"/>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3、样品检测：</w:t>
            </w:r>
          </w:p>
          <w:p w14:paraId="5D115184">
            <w:pPr>
              <w:widowControl/>
              <w:numPr>
                <w:ilvl w:val="0"/>
                <w:numId w:val="0"/>
              </w:numPr>
              <w:spacing w:line="360" w:lineRule="auto"/>
              <w:jc w:val="left"/>
              <w:textAlignment w:val="center"/>
              <w:rPr>
                <w:rFonts w:hint="default"/>
                <w:color w:val="auto"/>
                <w:highlight w:val="none"/>
                <w:lang w:val="en-US" w:eastAsia="zh-CN"/>
              </w:rPr>
            </w:pP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sz w:val="21"/>
                <w:szCs w:val="21"/>
                <w:highlight w:val="none"/>
              </w:rPr>
              <w:t>完成样品</w:t>
            </w:r>
            <w:r>
              <w:rPr>
                <w:rFonts w:hint="eastAsia" w:ascii="宋体" w:hAnsi="宋体" w:eastAsia="宋体" w:cs="宋体"/>
                <w:color w:val="auto"/>
                <w:sz w:val="21"/>
                <w:szCs w:val="21"/>
                <w:highlight w:val="none"/>
                <w:lang w:val="en-US" w:eastAsia="zh-CN"/>
              </w:rPr>
              <w:t>采</w:t>
            </w:r>
            <w:r>
              <w:rPr>
                <w:rFonts w:hint="eastAsia" w:ascii="宋体" w:hAnsi="宋体" w:eastAsia="宋体" w:cs="宋体"/>
                <w:color w:val="auto"/>
                <w:sz w:val="21"/>
                <w:szCs w:val="21"/>
                <w:highlight w:val="none"/>
              </w:rPr>
              <w:t>样检测及效果判定评价工作</w:t>
            </w:r>
            <w:r>
              <w:rPr>
                <w:rFonts w:hint="eastAsia" w:ascii="宋体" w:hAnsi="宋体" w:eastAsia="宋体" w:cs="宋体"/>
                <w:color w:val="auto"/>
                <w:sz w:val="21"/>
                <w:szCs w:val="21"/>
                <w:highlight w:val="none"/>
                <w:lang w:eastAsia="zh-CN"/>
              </w:rPr>
              <w:t>，并提供检测结果及效果评估结果报告。</w:t>
            </w:r>
          </w:p>
          <w:p w14:paraId="7554DB93">
            <w:pPr>
              <w:widowControl/>
              <w:numPr>
                <w:ilvl w:val="0"/>
                <w:numId w:val="0"/>
              </w:numPr>
              <w:spacing w:line="360" w:lineRule="auto"/>
              <w:jc w:val="left"/>
              <w:textAlignment w:val="center"/>
              <w:rPr>
                <w:rFonts w:ascii="宋体" w:hAnsi="宋体" w:eastAsia="宋体" w:cs="宋体"/>
                <w:color w:val="auto"/>
                <w:kern w:val="0"/>
                <w:sz w:val="21"/>
                <w:szCs w:val="21"/>
                <w:highlight w:val="none"/>
                <w:lang w:bidi="ar"/>
              </w:rPr>
            </w:pP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2</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抽样时间：水稻成熟度80%至收割前。</w:t>
            </w:r>
            <w:r>
              <w:rPr>
                <w:rFonts w:hint="eastAsia" w:ascii="宋体" w:hAnsi="宋体" w:eastAsia="宋体" w:cs="宋体"/>
                <w:color w:val="auto"/>
                <w:kern w:val="0"/>
                <w:sz w:val="21"/>
                <w:szCs w:val="21"/>
                <w:highlight w:val="none"/>
                <w:lang w:bidi="ar"/>
              </w:rPr>
              <w:br w:type="textWrapping"/>
            </w:r>
            <w:r>
              <w:rPr>
                <w:rFonts w:hint="eastAsia" w:ascii="宋体" w:hAnsi="宋体" w:cs="宋体"/>
                <w:color w:val="auto"/>
                <w:kern w:val="0"/>
                <w:sz w:val="21"/>
                <w:szCs w:val="21"/>
                <w:highlight w:val="none"/>
                <w:lang w:eastAsia="zh-CN" w:bidi="ar"/>
              </w:rPr>
              <w:t>（</w:t>
            </w:r>
            <w:r>
              <w:rPr>
                <w:rFonts w:hint="eastAsia" w:ascii="宋体" w:hAnsi="宋体" w:cs="宋体"/>
                <w:color w:val="auto"/>
                <w:kern w:val="0"/>
                <w:sz w:val="21"/>
                <w:szCs w:val="21"/>
                <w:highlight w:val="none"/>
                <w:lang w:val="en-US" w:eastAsia="zh-CN" w:bidi="ar"/>
              </w:rPr>
              <w:t>3</w:t>
            </w:r>
            <w:r>
              <w:rPr>
                <w:rFonts w:hint="eastAsia" w:ascii="宋体" w:hAnsi="宋体" w:cs="宋体"/>
                <w:color w:val="auto"/>
                <w:kern w:val="0"/>
                <w:sz w:val="21"/>
                <w:szCs w:val="21"/>
                <w:highlight w:val="none"/>
                <w:lang w:eastAsia="zh-CN" w:bidi="ar"/>
              </w:rPr>
              <w:t>）</w:t>
            </w:r>
            <w:r>
              <w:rPr>
                <w:rFonts w:hint="eastAsia" w:ascii="宋体" w:hAnsi="宋体" w:eastAsia="宋体" w:cs="宋体"/>
                <w:color w:val="auto"/>
                <w:kern w:val="0"/>
                <w:sz w:val="21"/>
                <w:szCs w:val="21"/>
                <w:highlight w:val="none"/>
                <w:lang w:bidi="ar"/>
              </w:rPr>
              <w:t>样品类型：实施季稻谷样品。</w:t>
            </w:r>
          </w:p>
          <w:p w14:paraId="54418E76">
            <w:pPr>
              <w:numPr>
                <w:ilvl w:val="0"/>
                <w:numId w:val="0"/>
              </w:numP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4）纠纷处理：2026年度实施的同类项目（2026年以前顺延至2026年实施的项目除外），如有一方对检测结果及效果评估结果存疑，实施方与检测方协商确定重新检测费用来源之后，可向自治区农业生态与资源保护站提出申诉，由自治区农业生态与资源保护站组织协调，一同协商委托其他有资质的检测单位对保存样进行重新检测（合同约定所有检测指标），或者直接向当地司法部门申请司法处理。</w:t>
            </w:r>
          </w:p>
        </w:tc>
      </w:tr>
      <w:tr w14:paraId="4F7E55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4"/>
            <w:tcBorders>
              <w:top w:val="single" w:color="auto" w:sz="4" w:space="0"/>
              <w:left w:val="single" w:color="auto" w:sz="4" w:space="0"/>
              <w:bottom w:val="single" w:color="auto" w:sz="4" w:space="0"/>
              <w:right w:val="single" w:color="auto" w:sz="4" w:space="0"/>
            </w:tcBorders>
          </w:tcPr>
          <w:p w14:paraId="6D05CAB9">
            <w:pPr>
              <w:pStyle w:val="3"/>
              <w:snapToGrid w:val="0"/>
              <w:spacing w:line="360" w:lineRule="exact"/>
              <w:outlineLvl w:val="0"/>
              <w:rPr>
                <w:rFonts w:hint="eastAsia" w:hAnsi="宋体" w:cs="宋体"/>
                <w:b/>
                <w:color w:val="auto"/>
                <w:highlight w:val="none"/>
              </w:rPr>
            </w:pPr>
            <w:r>
              <w:rPr>
                <w:rFonts w:hint="eastAsia" w:hAnsi="宋体" w:cs="宋体"/>
                <w:b/>
                <w:color w:val="auto"/>
                <w:highlight w:val="none"/>
              </w:rPr>
              <w:t>二、商务要求表</w:t>
            </w:r>
          </w:p>
        </w:tc>
      </w:tr>
      <w:tr w14:paraId="15D6D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76A496EA">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11F5CB1D">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响应报价包括采购项目需求及合同条款中的所有内容、应交纳的各种税费等及为满足采购人项目要求所需服务的全部费用，包括但不限于样品制备费、保存费、转运及处理、差旅费、邮寄费、人工费、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tc>
      </w:tr>
      <w:tr w14:paraId="6FBE62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7AE7085A">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合同签订时间</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7E17DF27">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自成交通知书发出之日起 15 日内。</w:t>
            </w:r>
          </w:p>
        </w:tc>
      </w:tr>
      <w:tr w14:paraId="7D2D48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EFCE4EB">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服务期限及服务地点：</w:t>
            </w:r>
          </w:p>
        </w:tc>
        <w:tc>
          <w:tcPr>
            <w:tcW w:w="7920" w:type="dxa"/>
            <w:gridSpan w:val="2"/>
            <w:tcBorders>
              <w:top w:val="single" w:color="auto" w:sz="4" w:space="0"/>
              <w:left w:val="single" w:color="auto" w:sz="4" w:space="0"/>
              <w:bottom w:val="single" w:color="auto" w:sz="4" w:space="0"/>
              <w:right w:val="single" w:color="auto" w:sz="4" w:space="0"/>
            </w:tcBorders>
            <w:vAlign w:val="top"/>
          </w:tcPr>
          <w:p w14:paraId="2CB8C287">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（1）服务期限：</w:t>
            </w:r>
            <w:r>
              <w:rPr>
                <w:rFonts w:hint="eastAsia" w:ascii="宋体" w:hAnsi="宋体" w:cs="宋体"/>
                <w:color w:val="auto"/>
                <w:kern w:val="0"/>
                <w:szCs w:val="21"/>
                <w:highlight w:val="none"/>
                <w:lang w:val="en-US" w:eastAsia="zh-CN"/>
              </w:rPr>
              <w:t>自签订合同之日起至 2026年 12 月20日前完成</w:t>
            </w:r>
            <w:r>
              <w:rPr>
                <w:rFonts w:hint="eastAsia" w:ascii="宋体" w:hAnsi="宋体" w:cs="宋体"/>
                <w:color w:val="auto"/>
                <w:szCs w:val="21"/>
                <w:highlight w:val="none"/>
                <w:lang w:val="en-US" w:eastAsia="zh-CN"/>
              </w:rPr>
              <w:t xml:space="preserve">。 </w:t>
            </w:r>
          </w:p>
          <w:p w14:paraId="52062FC0">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（2）服务地点：采购人指定地点。</w:t>
            </w:r>
          </w:p>
        </w:tc>
      </w:tr>
      <w:tr w14:paraId="3C6B3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7C1790F8">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付款方式</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0E5A9E6A">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项目完成后，根据合同约定内容与项目验收结果，按时向采购人提供水稻稻谷快速检测试剂及电极卡600份，货到并实际使用无问题后验收通过；快速检测超标样品开展定量检测和涉及严格管控类耕地稻谷 CMA 检测评价；按实际开展完成数量，出具检测评价报告后，按合同约定与实际完成数量计算支付。 成交供应商向采购人出具符合要求的发票，待申请财政及县政府同意后支付全部合同金额。</w:t>
            </w:r>
          </w:p>
        </w:tc>
      </w:tr>
      <w:tr w14:paraId="786A07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00D7A8A">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售后技术服务要求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1139785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不得将服务转包或委托给其他单位，一经发现并查实，取消合作并追回资金，由此产生的一切费用由成交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负责。 </w:t>
            </w:r>
          </w:p>
          <w:p w14:paraId="33613F0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（2）处理问题响应时间：接到采购人处理问题通知后 24 小时内到达采购人指定现场。</w:t>
            </w:r>
          </w:p>
          <w:p w14:paraId="1721B2A1">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必须配合采购人完成整体项目的验收。</w:t>
            </w:r>
          </w:p>
        </w:tc>
      </w:tr>
      <w:tr w14:paraId="4702FA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F3E287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其他要求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61389C4C">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供应商承诺成交后能提供固定的检验工作场所以及检测所需的检测设备等工作条件。</w:t>
            </w:r>
          </w:p>
        </w:tc>
      </w:tr>
    </w:tbl>
    <w:p w14:paraId="046E7EEA">
      <w:pPr>
        <w:rPr>
          <w:color w:val="auto"/>
          <w:szCs w:val="21"/>
          <w:highlight w:val="none"/>
        </w:rPr>
      </w:pPr>
      <w:r>
        <w:rPr>
          <w:color w:val="auto"/>
          <w:szCs w:val="21"/>
          <w:highlight w:val="none"/>
        </w:rPr>
        <w:br w:type="page"/>
      </w:r>
    </w:p>
    <w:p w14:paraId="25A208A1">
      <w:pPr>
        <w:rPr>
          <w:rFonts w:hint="eastAsia"/>
          <w:color w:val="auto"/>
          <w:szCs w:val="21"/>
          <w:highlight w:val="none"/>
          <w:lang w:val="en-US" w:eastAsia="zh-CN"/>
        </w:rPr>
      </w:pPr>
      <w:r>
        <w:rPr>
          <w:rFonts w:hint="eastAsia"/>
          <w:color w:val="auto"/>
          <w:szCs w:val="21"/>
          <w:highlight w:val="none"/>
          <w:lang w:val="en-US" w:eastAsia="zh-CN"/>
        </w:rPr>
        <w:t>分标3:</w:t>
      </w:r>
    </w:p>
    <w:tbl>
      <w:tblPr>
        <w:tblStyle w:val="6"/>
        <w:tblW w:w="94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4"/>
        <w:gridCol w:w="904"/>
        <w:gridCol w:w="946"/>
        <w:gridCol w:w="6974"/>
      </w:tblGrid>
      <w:tr w14:paraId="39ECB1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bottom w:val="single" w:color="auto" w:sz="4" w:space="0"/>
              <w:right w:val="single" w:color="auto" w:sz="4" w:space="0"/>
            </w:tcBorders>
            <w:vAlign w:val="center"/>
          </w:tcPr>
          <w:p w14:paraId="354F89BD">
            <w:pPr>
              <w:pStyle w:val="3"/>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序号</w:t>
            </w:r>
          </w:p>
        </w:tc>
        <w:tc>
          <w:tcPr>
            <w:tcW w:w="1850" w:type="dxa"/>
            <w:gridSpan w:val="2"/>
            <w:tcBorders>
              <w:top w:val="single" w:color="auto" w:sz="4" w:space="0"/>
              <w:left w:val="single" w:color="auto" w:sz="4" w:space="0"/>
              <w:bottom w:val="single" w:color="auto" w:sz="4" w:space="0"/>
              <w:right w:val="single" w:color="auto" w:sz="4" w:space="0"/>
            </w:tcBorders>
            <w:vAlign w:val="center"/>
          </w:tcPr>
          <w:p w14:paraId="4C86F7C5">
            <w:pPr>
              <w:pStyle w:val="3"/>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采购内容</w:t>
            </w:r>
          </w:p>
        </w:tc>
        <w:tc>
          <w:tcPr>
            <w:tcW w:w="6974" w:type="dxa"/>
            <w:tcBorders>
              <w:top w:val="single" w:color="auto" w:sz="4" w:space="0"/>
              <w:left w:val="single" w:color="auto" w:sz="4" w:space="0"/>
              <w:bottom w:val="single" w:color="auto" w:sz="4" w:space="0"/>
              <w:right w:val="single" w:color="auto" w:sz="4" w:space="0"/>
            </w:tcBorders>
            <w:vAlign w:val="center"/>
          </w:tcPr>
          <w:p w14:paraId="5DF75D17">
            <w:pPr>
              <w:pStyle w:val="3"/>
              <w:snapToGrid w:val="0"/>
              <w:spacing w:line="360" w:lineRule="exact"/>
              <w:jc w:val="center"/>
              <w:outlineLvl w:val="0"/>
              <w:rPr>
                <w:rFonts w:hint="eastAsia" w:hAnsi="宋体" w:cs="宋体"/>
                <w:b/>
                <w:bCs/>
                <w:color w:val="auto"/>
                <w:highlight w:val="none"/>
              </w:rPr>
            </w:pPr>
            <w:r>
              <w:rPr>
                <w:rFonts w:hint="eastAsia" w:hAnsi="宋体" w:cs="宋体"/>
                <w:b/>
                <w:bCs/>
                <w:color w:val="auto"/>
                <w:highlight w:val="none"/>
              </w:rPr>
              <w:t>技术要求</w:t>
            </w:r>
          </w:p>
        </w:tc>
      </w:tr>
      <w:tr w14:paraId="17582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644" w:type="dxa"/>
            <w:tcBorders>
              <w:top w:val="single" w:color="auto" w:sz="4" w:space="0"/>
              <w:left w:val="single" w:color="auto" w:sz="4" w:space="0"/>
              <w:right w:val="single" w:color="auto" w:sz="4" w:space="0"/>
            </w:tcBorders>
            <w:vAlign w:val="center"/>
          </w:tcPr>
          <w:p w14:paraId="6F23D08B">
            <w:pPr>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850" w:type="dxa"/>
            <w:gridSpan w:val="2"/>
            <w:tcBorders>
              <w:top w:val="single" w:color="auto" w:sz="4" w:space="0"/>
              <w:left w:val="single" w:color="auto" w:sz="4" w:space="0"/>
              <w:right w:val="single" w:color="auto" w:sz="4" w:space="0"/>
            </w:tcBorders>
            <w:vAlign w:val="center"/>
          </w:tcPr>
          <w:p w14:paraId="249EBEBF">
            <w:pPr>
              <w:spacing w:line="360" w:lineRule="exact"/>
              <w:jc w:val="center"/>
              <w:rPr>
                <w:rFonts w:hint="eastAsia" w:ascii="宋体" w:hAnsi="宋体" w:cs="宋体"/>
                <w:color w:val="auto"/>
                <w:szCs w:val="21"/>
                <w:highlight w:val="none"/>
              </w:rPr>
            </w:pPr>
            <w:r>
              <w:rPr>
                <w:rFonts w:hint="eastAsia" w:ascii="宋体" w:hAnsi="宋体" w:cs="宋体"/>
                <w:color w:val="auto"/>
                <w:kern w:val="0"/>
                <w:szCs w:val="21"/>
                <w:highlight w:val="none"/>
                <w:lang w:val="en-US" w:eastAsia="zh-CN"/>
              </w:rPr>
              <w:t>项目监理</w:t>
            </w:r>
          </w:p>
        </w:tc>
        <w:tc>
          <w:tcPr>
            <w:tcW w:w="6974" w:type="dxa"/>
            <w:tcBorders>
              <w:top w:val="single" w:color="auto" w:sz="4" w:space="0"/>
              <w:left w:val="single" w:color="auto" w:sz="4" w:space="0"/>
              <w:right w:val="single" w:color="auto" w:sz="4" w:space="0"/>
            </w:tcBorders>
            <w:vAlign w:val="center"/>
          </w:tcPr>
          <w:p w14:paraId="05A77A0E">
            <w:pPr>
              <w:numPr>
                <w:ilvl w:val="0"/>
                <w:numId w:val="0"/>
              </w:numP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（1）目标任务：为开展2026年大新县生产障碍耕地治理项目实施进行监理，确保2026年大新县生产障碍耕地治理项目按时按质按量完成并通过项目竣工验收。</w:t>
            </w:r>
          </w:p>
          <w:p w14:paraId="33DED03A">
            <w:pPr>
              <w:numPr>
                <w:ilvl w:val="0"/>
                <w:numId w:val="0"/>
              </w:numP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2）服务内容：对项目实施全程监理。包括但不限于监督实施方面积落实率及符合度、技术措施落实率、农时符合度、投入品质量、镉低积累水稻品种质量及真实性，实现项目区农用地安全利用率大于93%的绩效目标等。</w:t>
            </w:r>
          </w:p>
          <w:p w14:paraId="42918435">
            <w:pPr>
              <w:numPr>
                <w:ilvl w:val="0"/>
                <w:numId w:val="0"/>
              </w:numP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3）服务要求：包括但不限于对投入品（实物）的入库及出库进行造册登记，项目实施前、中、后等相关佐证图片收集，实施方出勤记录，宣传技术指导现场、样品采集过程跟踪监督等。按《2026年大新县生产障碍耕地治理项目实施方案》中相关要求对大新县2026年生产障碍耕地治理项目全程实施进行监督。</w:t>
            </w:r>
          </w:p>
          <w:p w14:paraId="0992FCF0">
            <w:pPr>
              <w:numPr>
                <w:ilvl w:val="0"/>
                <w:numId w:val="0"/>
              </w:numP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（4）成果要求：分标段项目提供监理报告。</w:t>
            </w:r>
          </w:p>
          <w:p w14:paraId="1979007E">
            <w:pPr>
              <w:numPr>
                <w:ilvl w:val="0"/>
                <w:numId w:val="0"/>
              </w:numPr>
              <w:spacing w:line="360" w:lineRule="exact"/>
              <w:rPr>
                <w:rFonts w:hint="eastAsia" w:ascii="宋体" w:hAnsi="宋体" w:cs="Times New Roman"/>
                <w:color w:val="auto"/>
                <w:kern w:val="0"/>
                <w:szCs w:val="21"/>
                <w:highlight w:val="none"/>
                <w:lang w:val="en-US" w:eastAsia="zh-CN"/>
              </w:rPr>
            </w:pPr>
            <w:r>
              <w:rPr>
                <w:rFonts w:hint="eastAsia" w:ascii="宋体" w:hAnsi="宋体" w:cs="Times New Roman"/>
                <w:color w:val="auto"/>
                <w:kern w:val="0"/>
                <w:szCs w:val="21"/>
                <w:highlight w:val="none"/>
                <w:lang w:val="en-US" w:eastAsia="zh-CN"/>
              </w:rPr>
              <w:t>（5）保密要求：鉴于本项目内容涉及敏感，所有接触项目内容的人员必须对信息、结果数据等按保密要求进行保密；对泄漏秘密造成影响的，要追究当事人及责任人的责任。</w:t>
            </w:r>
          </w:p>
        </w:tc>
      </w:tr>
      <w:tr w14:paraId="110BD8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9468" w:type="dxa"/>
            <w:gridSpan w:val="4"/>
            <w:tcBorders>
              <w:top w:val="single" w:color="auto" w:sz="4" w:space="0"/>
              <w:left w:val="single" w:color="auto" w:sz="4" w:space="0"/>
              <w:bottom w:val="single" w:color="auto" w:sz="4" w:space="0"/>
              <w:right w:val="single" w:color="auto" w:sz="4" w:space="0"/>
            </w:tcBorders>
          </w:tcPr>
          <w:p w14:paraId="0A92C1A5">
            <w:pPr>
              <w:pStyle w:val="3"/>
              <w:snapToGrid w:val="0"/>
              <w:spacing w:line="360" w:lineRule="exact"/>
              <w:outlineLvl w:val="0"/>
              <w:rPr>
                <w:rFonts w:hint="eastAsia" w:hAnsi="宋体" w:cs="宋体"/>
                <w:b/>
                <w:color w:val="auto"/>
                <w:highlight w:val="none"/>
              </w:rPr>
            </w:pPr>
            <w:r>
              <w:rPr>
                <w:rFonts w:hint="eastAsia" w:hAnsi="宋体" w:cs="宋体"/>
                <w:b/>
                <w:color w:val="auto"/>
                <w:highlight w:val="none"/>
              </w:rPr>
              <w:t>二、商务要求表</w:t>
            </w:r>
          </w:p>
        </w:tc>
      </w:tr>
      <w:tr w14:paraId="3AD94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2DAF3097">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报价要求</w:t>
            </w:r>
          </w:p>
        </w:tc>
        <w:tc>
          <w:tcPr>
            <w:tcW w:w="7920" w:type="dxa"/>
            <w:gridSpan w:val="2"/>
            <w:tcBorders>
              <w:top w:val="single" w:color="auto" w:sz="4" w:space="0"/>
              <w:left w:val="single" w:color="auto" w:sz="4" w:space="0"/>
              <w:bottom w:val="single" w:color="auto" w:sz="4" w:space="0"/>
              <w:right w:val="single" w:color="auto" w:sz="4" w:space="0"/>
            </w:tcBorders>
          </w:tcPr>
          <w:p w14:paraId="627A56E7">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响应报价包括采购项目需求及合同条款中的所有内容、应交纳的各种税费等及为满足采购人项目要求所需服务的全部费用，包括但不限于样品制备费、保存费、转运及处理、差旅费、邮寄费、人工费、 税金、业务培训、代理费等一切费用，费用包干。</w:t>
            </w:r>
          </w:p>
        </w:tc>
      </w:tr>
      <w:tr w14:paraId="39ECA5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E1C40E1">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合同签订时间</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4A288147">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自成交通知书发出之日起 15 日内。</w:t>
            </w:r>
          </w:p>
        </w:tc>
      </w:tr>
      <w:tr w14:paraId="6480B0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5CD0AF59">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服务期限及服务地点：</w:t>
            </w:r>
          </w:p>
        </w:tc>
        <w:tc>
          <w:tcPr>
            <w:tcW w:w="7920" w:type="dxa"/>
            <w:gridSpan w:val="2"/>
            <w:tcBorders>
              <w:top w:val="single" w:color="auto" w:sz="4" w:space="0"/>
              <w:left w:val="single" w:color="auto" w:sz="4" w:space="0"/>
              <w:bottom w:val="single" w:color="auto" w:sz="4" w:space="0"/>
              <w:right w:val="single" w:color="auto" w:sz="4" w:space="0"/>
            </w:tcBorders>
          </w:tcPr>
          <w:p w14:paraId="4DAB7386">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（1）服务期限：</w:t>
            </w:r>
            <w:r>
              <w:rPr>
                <w:rFonts w:hint="eastAsia" w:ascii="宋体" w:hAnsi="宋体" w:cs="宋体"/>
                <w:color w:val="auto"/>
                <w:kern w:val="0"/>
                <w:szCs w:val="21"/>
                <w:highlight w:val="none"/>
                <w:lang w:val="en-US" w:eastAsia="zh-CN"/>
              </w:rPr>
              <w:t>自签订合同之日起至 2026年 12 月20日前完成</w:t>
            </w:r>
            <w:r>
              <w:rPr>
                <w:rFonts w:hint="eastAsia" w:ascii="宋体" w:hAnsi="宋体" w:cs="宋体"/>
                <w:color w:val="auto"/>
                <w:szCs w:val="21"/>
                <w:highlight w:val="none"/>
                <w:lang w:val="en-US" w:eastAsia="zh-CN"/>
              </w:rPr>
              <w:t xml:space="preserve">。 </w:t>
            </w:r>
          </w:p>
          <w:p w14:paraId="07EE9FBB">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（2）服务地点：采购人指定地点。</w:t>
            </w:r>
          </w:p>
        </w:tc>
      </w:tr>
      <w:tr w14:paraId="11DE7E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426C2C08">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付款方式</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64C71E2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本项目无预付款，合同签订后成交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按服务项目进度支付不超过 </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0％的进度款；剩余款待服务项目整体通过验收申请财政及县政府同意后支付。</w:t>
            </w:r>
          </w:p>
        </w:tc>
      </w:tr>
      <w:tr w14:paraId="4F867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6F692933">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售后技术服务要求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1BFF1F53">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不得将服务转包或委托给其他单位，一经发现并查实，取消合作并追回资金，由此产生的一切费用由成交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 xml:space="preserve">负责。 </w:t>
            </w:r>
          </w:p>
          <w:p w14:paraId="4F8BA1D8">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（2）处理问题响应时间：接到采购人处理问题通知后 24 小时内到达采购人指定现场。</w:t>
            </w:r>
          </w:p>
          <w:p w14:paraId="38E3084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（3）质量保证期为一年（相关标准大于一年，须按相关标准执行），质保期自项目成果经国家或自治区验收合格之日起计算。质保期内发生质量问题由成交</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负责，产生的一切费用均由</w:t>
            </w:r>
            <w:r>
              <w:rPr>
                <w:rFonts w:hint="eastAsia" w:ascii="宋体" w:hAnsi="宋体" w:cs="宋体"/>
                <w:color w:val="auto"/>
                <w:szCs w:val="21"/>
                <w:highlight w:val="none"/>
                <w:lang w:val="en-US" w:eastAsia="zh-CN"/>
              </w:rPr>
              <w:t>成交</w:t>
            </w:r>
            <w:r>
              <w:rPr>
                <w:rFonts w:hint="eastAsia" w:ascii="宋体" w:hAnsi="宋体" w:cs="宋体"/>
                <w:color w:val="auto"/>
                <w:szCs w:val="21"/>
                <w:highlight w:val="none"/>
              </w:rPr>
              <w:t>供应商承担。</w:t>
            </w:r>
          </w:p>
        </w:tc>
      </w:tr>
      <w:tr w14:paraId="58C7A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548" w:type="dxa"/>
            <w:gridSpan w:val="2"/>
            <w:tcBorders>
              <w:top w:val="single" w:color="auto" w:sz="4" w:space="0"/>
              <w:left w:val="single" w:color="auto" w:sz="4" w:space="0"/>
              <w:bottom w:val="single" w:color="auto" w:sz="4" w:space="0"/>
              <w:right w:val="single" w:color="auto" w:sz="4" w:space="0"/>
            </w:tcBorders>
            <w:vAlign w:val="center"/>
          </w:tcPr>
          <w:p w14:paraId="089ABEF8">
            <w:pPr>
              <w:snapToGrid w:val="0"/>
              <w:spacing w:line="360" w:lineRule="exact"/>
              <w:jc w:val="center"/>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其他要求</w:t>
            </w:r>
          </w:p>
        </w:tc>
        <w:tc>
          <w:tcPr>
            <w:tcW w:w="7920" w:type="dxa"/>
            <w:gridSpan w:val="2"/>
            <w:tcBorders>
              <w:top w:val="single" w:color="auto" w:sz="4" w:space="0"/>
              <w:left w:val="single" w:color="auto" w:sz="4" w:space="0"/>
              <w:bottom w:val="single" w:color="auto" w:sz="4" w:space="0"/>
              <w:right w:val="single" w:color="auto" w:sz="4" w:space="0"/>
            </w:tcBorders>
            <w:vAlign w:val="center"/>
          </w:tcPr>
          <w:p w14:paraId="6260E9B2">
            <w:pPr>
              <w:spacing w:line="360" w:lineRule="exact"/>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 xml:space="preserve">本项目采购标的需执行的国家相关标准、行业标准、地方标准或其他强制性标准、 </w:t>
            </w:r>
          </w:p>
          <w:p w14:paraId="4E8763D9">
            <w:pPr>
              <w:spacing w:line="360" w:lineRule="exact"/>
              <w:rPr>
                <w:rFonts w:hint="eastAsia" w:ascii="宋体" w:hAnsi="宋体" w:cs="宋体"/>
                <w:color w:val="auto"/>
                <w:szCs w:val="21"/>
                <w:highlight w:val="none"/>
              </w:rPr>
            </w:pPr>
            <w:r>
              <w:rPr>
                <w:rFonts w:hint="eastAsia" w:ascii="宋体" w:hAnsi="宋体" w:cs="宋体"/>
                <w:color w:val="auto"/>
                <w:szCs w:val="21"/>
                <w:highlight w:val="none"/>
                <w:lang w:val="en-US" w:eastAsia="zh-CN"/>
              </w:rPr>
              <w:t>规范等要求。</w:t>
            </w:r>
          </w:p>
        </w:tc>
      </w:tr>
    </w:tbl>
    <w:p w14:paraId="78F858A6">
      <w:pPr>
        <w:rPr>
          <w:color w:val="auto"/>
          <w:szCs w:val="21"/>
          <w:highlight w:val="none"/>
        </w:rPr>
      </w:pPr>
      <w:r>
        <w:rPr>
          <w:color w:val="auto"/>
          <w:szCs w:val="21"/>
          <w:highlight w:val="none"/>
        </w:rPr>
        <w:br w:type="page"/>
      </w:r>
    </w:p>
    <w:p w14:paraId="2099A61D">
      <w:pPr>
        <w:spacing w:line="528" w:lineRule="exact"/>
        <w:ind w:firstLine="280" w:firstLineChars="100"/>
        <w:rPr>
          <w:color w:val="auto"/>
          <w:sz w:val="28"/>
          <w:szCs w:val="28"/>
          <w:highlight w:val="none"/>
        </w:rPr>
      </w:pPr>
      <w:bookmarkStart w:id="5" w:name="_Hlk132878602"/>
      <w:r>
        <w:rPr>
          <w:rFonts w:hint="eastAsia"/>
          <w:color w:val="auto"/>
          <w:sz w:val="28"/>
          <w:szCs w:val="28"/>
          <w:highlight w:val="none"/>
        </w:rPr>
        <w:t>附件</w:t>
      </w:r>
      <w:r>
        <w:rPr>
          <w:rFonts w:hint="eastAsia"/>
          <w:color w:val="auto"/>
          <w:sz w:val="28"/>
          <w:szCs w:val="28"/>
          <w:highlight w:val="none"/>
          <w:lang w:val="en-US" w:eastAsia="zh-CN"/>
        </w:rPr>
        <w:t>3</w:t>
      </w:r>
      <w:r>
        <w:rPr>
          <w:rFonts w:hint="eastAsia"/>
          <w:color w:val="auto"/>
          <w:sz w:val="28"/>
          <w:szCs w:val="28"/>
          <w:highlight w:val="none"/>
        </w:rPr>
        <w:t xml:space="preserve">： </w:t>
      </w:r>
      <w:r>
        <w:rPr>
          <w:color w:val="auto"/>
          <w:sz w:val="28"/>
          <w:szCs w:val="28"/>
          <w:highlight w:val="none"/>
        </w:rPr>
        <w:t xml:space="preserve">               </w:t>
      </w:r>
    </w:p>
    <w:p w14:paraId="032FE764">
      <w:pPr>
        <w:spacing w:line="528" w:lineRule="exact"/>
        <w:ind w:firstLine="280" w:firstLineChars="100"/>
        <w:jc w:val="center"/>
        <w:rPr>
          <w:color w:val="auto"/>
          <w:sz w:val="28"/>
          <w:szCs w:val="28"/>
          <w:highlight w:val="none"/>
        </w:rPr>
      </w:pPr>
      <w:r>
        <w:rPr>
          <w:rFonts w:hint="eastAsia"/>
          <w:color w:val="auto"/>
          <w:sz w:val="28"/>
          <w:szCs w:val="28"/>
          <w:highlight w:val="none"/>
        </w:rPr>
        <w:t>中小微企业划型标准</w:t>
      </w:r>
    </w:p>
    <w:tbl>
      <w:tblPr>
        <w:tblStyle w:val="6"/>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42E0522">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392919C9">
            <w:pPr>
              <w:widowControl/>
              <w:jc w:val="left"/>
              <w:rPr>
                <w:color w:val="auto"/>
                <w:szCs w:val="21"/>
                <w:highlight w:val="none"/>
              </w:rPr>
            </w:pPr>
            <w:r>
              <w:rPr>
                <w:rFonts w:hint="eastAsia"/>
                <w:color w:val="auto"/>
                <w:szCs w:val="21"/>
                <w:highlight w:val="none"/>
              </w:rPr>
              <w:t>行业名称</w:t>
            </w:r>
          </w:p>
        </w:tc>
        <w:tc>
          <w:tcPr>
            <w:tcW w:w="1701" w:type="dxa"/>
            <w:tcBorders>
              <w:top w:val="single" w:color="auto" w:sz="4" w:space="0"/>
              <w:left w:val="nil"/>
              <w:bottom w:val="single" w:color="auto" w:sz="4" w:space="0"/>
              <w:right w:val="single" w:color="auto" w:sz="4" w:space="0"/>
            </w:tcBorders>
            <w:noWrap w:val="0"/>
            <w:vAlign w:val="center"/>
          </w:tcPr>
          <w:p w14:paraId="7E5E0E39">
            <w:pPr>
              <w:widowControl/>
              <w:jc w:val="left"/>
              <w:rPr>
                <w:color w:val="auto"/>
                <w:szCs w:val="21"/>
                <w:highlight w:val="none"/>
              </w:rPr>
            </w:pPr>
            <w:r>
              <w:rPr>
                <w:rFonts w:hint="eastAsia"/>
                <w:color w:val="auto"/>
                <w:szCs w:val="21"/>
                <w:highlight w:val="none"/>
              </w:rPr>
              <w:t>指标名称</w:t>
            </w:r>
          </w:p>
        </w:tc>
        <w:tc>
          <w:tcPr>
            <w:tcW w:w="1134" w:type="dxa"/>
            <w:tcBorders>
              <w:top w:val="single" w:color="auto" w:sz="4" w:space="0"/>
              <w:left w:val="nil"/>
              <w:bottom w:val="single" w:color="auto" w:sz="4" w:space="0"/>
              <w:right w:val="single" w:color="auto" w:sz="4" w:space="0"/>
            </w:tcBorders>
            <w:noWrap w:val="0"/>
            <w:vAlign w:val="center"/>
          </w:tcPr>
          <w:p w14:paraId="5B7E9E53">
            <w:pPr>
              <w:widowControl/>
              <w:jc w:val="left"/>
              <w:rPr>
                <w:color w:val="auto"/>
                <w:szCs w:val="21"/>
                <w:highlight w:val="none"/>
              </w:rPr>
            </w:pPr>
            <w:r>
              <w:rPr>
                <w:rFonts w:hint="eastAsia"/>
                <w:color w:val="auto"/>
                <w:szCs w:val="21"/>
                <w:highlight w:val="none"/>
              </w:rPr>
              <w:t>计量单位</w:t>
            </w:r>
          </w:p>
        </w:tc>
        <w:tc>
          <w:tcPr>
            <w:tcW w:w="1846" w:type="dxa"/>
            <w:tcBorders>
              <w:top w:val="single" w:color="auto" w:sz="4" w:space="0"/>
              <w:left w:val="nil"/>
              <w:bottom w:val="single" w:color="auto" w:sz="4" w:space="0"/>
              <w:right w:val="single" w:color="auto" w:sz="4" w:space="0"/>
            </w:tcBorders>
            <w:noWrap w:val="0"/>
            <w:vAlign w:val="center"/>
          </w:tcPr>
          <w:p w14:paraId="6364F2D0">
            <w:pPr>
              <w:widowControl/>
              <w:jc w:val="left"/>
              <w:rPr>
                <w:color w:val="auto"/>
                <w:szCs w:val="21"/>
                <w:highlight w:val="none"/>
              </w:rPr>
            </w:pPr>
            <w:r>
              <w:rPr>
                <w:rFonts w:hint="eastAsia"/>
                <w:color w:val="auto"/>
                <w:szCs w:val="21"/>
                <w:highlight w:val="none"/>
              </w:rPr>
              <w:t>中型</w:t>
            </w:r>
          </w:p>
        </w:tc>
        <w:tc>
          <w:tcPr>
            <w:tcW w:w="1570" w:type="dxa"/>
            <w:tcBorders>
              <w:top w:val="single" w:color="auto" w:sz="4" w:space="0"/>
              <w:left w:val="nil"/>
              <w:bottom w:val="single" w:color="auto" w:sz="4" w:space="0"/>
              <w:right w:val="single" w:color="auto" w:sz="4" w:space="0"/>
            </w:tcBorders>
            <w:noWrap w:val="0"/>
            <w:vAlign w:val="center"/>
          </w:tcPr>
          <w:p w14:paraId="5DCB64DD">
            <w:pPr>
              <w:widowControl/>
              <w:jc w:val="left"/>
              <w:rPr>
                <w:color w:val="auto"/>
                <w:szCs w:val="21"/>
                <w:highlight w:val="none"/>
              </w:rPr>
            </w:pPr>
            <w:r>
              <w:rPr>
                <w:rFonts w:hint="eastAsia"/>
                <w:color w:val="auto"/>
                <w:szCs w:val="21"/>
                <w:highlight w:val="none"/>
              </w:rPr>
              <w:t>小型</w:t>
            </w:r>
          </w:p>
        </w:tc>
        <w:tc>
          <w:tcPr>
            <w:tcW w:w="1009" w:type="dxa"/>
            <w:tcBorders>
              <w:top w:val="single" w:color="auto" w:sz="4" w:space="0"/>
              <w:left w:val="nil"/>
              <w:bottom w:val="single" w:color="auto" w:sz="4" w:space="0"/>
              <w:right w:val="single" w:color="auto" w:sz="4" w:space="0"/>
            </w:tcBorders>
            <w:noWrap w:val="0"/>
            <w:vAlign w:val="center"/>
          </w:tcPr>
          <w:p w14:paraId="076AD890">
            <w:pPr>
              <w:widowControl/>
              <w:jc w:val="left"/>
              <w:rPr>
                <w:color w:val="auto"/>
                <w:szCs w:val="21"/>
                <w:highlight w:val="none"/>
              </w:rPr>
            </w:pPr>
            <w:r>
              <w:rPr>
                <w:rFonts w:hint="eastAsia"/>
                <w:color w:val="auto"/>
                <w:szCs w:val="21"/>
                <w:highlight w:val="none"/>
              </w:rPr>
              <w:t>微型</w:t>
            </w:r>
          </w:p>
        </w:tc>
      </w:tr>
      <w:tr w14:paraId="34815D60">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5E52A822">
            <w:pPr>
              <w:widowControl/>
              <w:jc w:val="center"/>
              <w:rPr>
                <w:color w:val="auto"/>
                <w:szCs w:val="21"/>
                <w:highlight w:val="none"/>
              </w:rPr>
            </w:pPr>
            <w:r>
              <w:rPr>
                <w:rFonts w:hint="eastAsia"/>
                <w:color w:val="auto"/>
                <w:szCs w:val="21"/>
                <w:highlight w:val="none"/>
              </w:rPr>
              <w:t>农、林、牧、渔</w:t>
            </w:r>
          </w:p>
        </w:tc>
        <w:tc>
          <w:tcPr>
            <w:tcW w:w="1701" w:type="dxa"/>
            <w:tcBorders>
              <w:top w:val="nil"/>
              <w:left w:val="nil"/>
              <w:bottom w:val="single" w:color="auto" w:sz="4" w:space="0"/>
              <w:right w:val="single" w:color="auto" w:sz="4" w:space="0"/>
            </w:tcBorders>
            <w:noWrap w:val="0"/>
            <w:vAlign w:val="center"/>
          </w:tcPr>
          <w:p w14:paraId="34F55CA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1D5841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46B3C02">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2DA1FF93">
            <w:pPr>
              <w:widowControl/>
              <w:jc w:val="left"/>
              <w:rPr>
                <w:color w:val="auto"/>
                <w:szCs w:val="21"/>
                <w:highlight w:val="none"/>
              </w:rPr>
            </w:pPr>
            <w:r>
              <w:rPr>
                <w:rFonts w:hint="eastAsia"/>
                <w:color w:val="auto"/>
                <w:szCs w:val="21"/>
                <w:highlight w:val="none"/>
              </w:rPr>
              <w:t>50≤Y＜500</w:t>
            </w:r>
          </w:p>
        </w:tc>
        <w:tc>
          <w:tcPr>
            <w:tcW w:w="1009" w:type="dxa"/>
            <w:tcBorders>
              <w:top w:val="nil"/>
              <w:left w:val="nil"/>
              <w:bottom w:val="single" w:color="auto" w:sz="4" w:space="0"/>
              <w:right w:val="single" w:color="auto" w:sz="4" w:space="0"/>
            </w:tcBorders>
            <w:noWrap w:val="0"/>
            <w:vAlign w:val="center"/>
          </w:tcPr>
          <w:p w14:paraId="2AD09DE0">
            <w:pPr>
              <w:widowControl/>
              <w:jc w:val="left"/>
              <w:rPr>
                <w:color w:val="auto"/>
                <w:szCs w:val="21"/>
                <w:highlight w:val="none"/>
              </w:rPr>
            </w:pPr>
            <w:r>
              <w:rPr>
                <w:rFonts w:hint="eastAsia"/>
                <w:color w:val="auto"/>
                <w:szCs w:val="21"/>
                <w:highlight w:val="none"/>
              </w:rPr>
              <w:t>Y＜50</w:t>
            </w:r>
          </w:p>
        </w:tc>
      </w:tr>
      <w:tr w14:paraId="00C83E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4AAD49D">
            <w:pPr>
              <w:widowControl/>
              <w:jc w:val="center"/>
              <w:rPr>
                <w:color w:val="auto"/>
                <w:szCs w:val="21"/>
                <w:highlight w:val="none"/>
              </w:rPr>
            </w:pPr>
            <w:r>
              <w:rPr>
                <w:rFonts w:hint="eastAsia"/>
                <w:color w:val="auto"/>
                <w:szCs w:val="21"/>
                <w:highlight w:val="none"/>
              </w:rPr>
              <w:t>工业</w:t>
            </w:r>
          </w:p>
        </w:tc>
        <w:tc>
          <w:tcPr>
            <w:tcW w:w="1701" w:type="dxa"/>
            <w:tcBorders>
              <w:top w:val="nil"/>
              <w:left w:val="nil"/>
              <w:bottom w:val="single" w:color="auto" w:sz="4" w:space="0"/>
              <w:right w:val="single" w:color="auto" w:sz="4" w:space="0"/>
            </w:tcBorders>
            <w:noWrap w:val="0"/>
            <w:vAlign w:val="center"/>
          </w:tcPr>
          <w:p w14:paraId="416AB59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4272340F">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6F3474B6">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6F26EA98">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4A00A45E">
            <w:pPr>
              <w:widowControl/>
              <w:jc w:val="left"/>
              <w:rPr>
                <w:color w:val="auto"/>
                <w:szCs w:val="21"/>
                <w:highlight w:val="none"/>
              </w:rPr>
            </w:pPr>
            <w:r>
              <w:rPr>
                <w:rFonts w:hint="eastAsia"/>
                <w:color w:val="auto"/>
                <w:szCs w:val="21"/>
                <w:highlight w:val="none"/>
              </w:rPr>
              <w:t>X＜20</w:t>
            </w:r>
          </w:p>
        </w:tc>
      </w:tr>
      <w:tr w14:paraId="5BE1040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2BA33C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14792A4">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5C91269">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06E2445">
            <w:pPr>
              <w:widowControl/>
              <w:jc w:val="left"/>
              <w:rPr>
                <w:color w:val="auto"/>
                <w:szCs w:val="21"/>
                <w:highlight w:val="none"/>
              </w:rPr>
            </w:pPr>
            <w:r>
              <w:rPr>
                <w:rFonts w:hint="eastAsia"/>
                <w:color w:val="auto"/>
                <w:szCs w:val="21"/>
                <w:highlight w:val="none"/>
              </w:rPr>
              <w:t>2000≤Y＜40000</w:t>
            </w:r>
          </w:p>
        </w:tc>
        <w:tc>
          <w:tcPr>
            <w:tcW w:w="1570" w:type="dxa"/>
            <w:tcBorders>
              <w:top w:val="nil"/>
              <w:left w:val="nil"/>
              <w:bottom w:val="single" w:color="auto" w:sz="4" w:space="0"/>
              <w:right w:val="single" w:color="auto" w:sz="4" w:space="0"/>
            </w:tcBorders>
            <w:noWrap w:val="0"/>
            <w:vAlign w:val="center"/>
          </w:tcPr>
          <w:p w14:paraId="73F699B3">
            <w:pPr>
              <w:widowControl/>
              <w:jc w:val="left"/>
              <w:rPr>
                <w:color w:val="auto"/>
                <w:szCs w:val="21"/>
                <w:highlight w:val="none"/>
              </w:rPr>
            </w:pPr>
            <w:r>
              <w:rPr>
                <w:rFonts w:hint="eastAsia"/>
                <w:color w:val="auto"/>
                <w:szCs w:val="21"/>
                <w:highlight w:val="none"/>
              </w:rPr>
              <w:t>300≤Y＜2000</w:t>
            </w:r>
          </w:p>
        </w:tc>
        <w:tc>
          <w:tcPr>
            <w:tcW w:w="1009" w:type="dxa"/>
            <w:tcBorders>
              <w:top w:val="nil"/>
              <w:left w:val="nil"/>
              <w:bottom w:val="single" w:color="auto" w:sz="4" w:space="0"/>
              <w:right w:val="single" w:color="auto" w:sz="4" w:space="0"/>
            </w:tcBorders>
            <w:noWrap w:val="0"/>
            <w:vAlign w:val="center"/>
          </w:tcPr>
          <w:p w14:paraId="44917483">
            <w:pPr>
              <w:widowControl/>
              <w:jc w:val="left"/>
              <w:rPr>
                <w:color w:val="auto"/>
                <w:szCs w:val="21"/>
                <w:highlight w:val="none"/>
              </w:rPr>
            </w:pPr>
            <w:r>
              <w:rPr>
                <w:rFonts w:hint="eastAsia"/>
                <w:color w:val="auto"/>
                <w:szCs w:val="21"/>
                <w:highlight w:val="none"/>
              </w:rPr>
              <w:t>Y＜300</w:t>
            </w:r>
          </w:p>
        </w:tc>
      </w:tr>
      <w:tr w14:paraId="764AA14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704EBED">
            <w:pPr>
              <w:widowControl/>
              <w:jc w:val="center"/>
              <w:rPr>
                <w:color w:val="auto"/>
                <w:szCs w:val="21"/>
                <w:highlight w:val="none"/>
              </w:rPr>
            </w:pPr>
            <w:r>
              <w:rPr>
                <w:rFonts w:hint="eastAsia"/>
                <w:color w:val="auto"/>
                <w:szCs w:val="21"/>
                <w:highlight w:val="none"/>
              </w:rPr>
              <w:t>建筑业</w:t>
            </w:r>
          </w:p>
        </w:tc>
        <w:tc>
          <w:tcPr>
            <w:tcW w:w="1701" w:type="dxa"/>
            <w:tcBorders>
              <w:top w:val="nil"/>
              <w:left w:val="nil"/>
              <w:bottom w:val="single" w:color="auto" w:sz="4" w:space="0"/>
              <w:right w:val="single" w:color="auto" w:sz="4" w:space="0"/>
            </w:tcBorders>
            <w:noWrap w:val="0"/>
            <w:vAlign w:val="center"/>
          </w:tcPr>
          <w:p w14:paraId="11C82B4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144AE03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4DC74E66">
            <w:pPr>
              <w:widowControl/>
              <w:jc w:val="left"/>
              <w:rPr>
                <w:color w:val="auto"/>
                <w:szCs w:val="21"/>
                <w:highlight w:val="none"/>
              </w:rPr>
            </w:pPr>
            <w:r>
              <w:rPr>
                <w:rFonts w:hint="eastAsia"/>
                <w:color w:val="auto"/>
                <w:szCs w:val="21"/>
                <w:highlight w:val="none"/>
              </w:rPr>
              <w:t>6000≤Y＜80000</w:t>
            </w:r>
          </w:p>
        </w:tc>
        <w:tc>
          <w:tcPr>
            <w:tcW w:w="1570" w:type="dxa"/>
            <w:tcBorders>
              <w:top w:val="nil"/>
              <w:left w:val="nil"/>
              <w:bottom w:val="single" w:color="auto" w:sz="4" w:space="0"/>
              <w:right w:val="single" w:color="auto" w:sz="4" w:space="0"/>
            </w:tcBorders>
            <w:noWrap w:val="0"/>
            <w:vAlign w:val="center"/>
          </w:tcPr>
          <w:p w14:paraId="7D27E4BA">
            <w:pPr>
              <w:widowControl/>
              <w:jc w:val="left"/>
              <w:rPr>
                <w:color w:val="auto"/>
                <w:szCs w:val="21"/>
                <w:highlight w:val="none"/>
              </w:rPr>
            </w:pPr>
            <w:r>
              <w:rPr>
                <w:rFonts w:hint="eastAsia"/>
                <w:color w:val="auto"/>
                <w:szCs w:val="21"/>
                <w:highlight w:val="none"/>
              </w:rPr>
              <w:t>300≤Y＜6000</w:t>
            </w:r>
          </w:p>
        </w:tc>
        <w:tc>
          <w:tcPr>
            <w:tcW w:w="1009" w:type="dxa"/>
            <w:tcBorders>
              <w:top w:val="nil"/>
              <w:left w:val="nil"/>
              <w:bottom w:val="single" w:color="auto" w:sz="4" w:space="0"/>
              <w:right w:val="single" w:color="auto" w:sz="4" w:space="0"/>
            </w:tcBorders>
            <w:noWrap w:val="0"/>
            <w:vAlign w:val="center"/>
          </w:tcPr>
          <w:p w14:paraId="0C0FC333">
            <w:pPr>
              <w:widowControl/>
              <w:jc w:val="left"/>
              <w:rPr>
                <w:color w:val="auto"/>
                <w:szCs w:val="21"/>
                <w:highlight w:val="none"/>
              </w:rPr>
            </w:pPr>
            <w:r>
              <w:rPr>
                <w:rFonts w:hint="eastAsia"/>
                <w:color w:val="auto"/>
                <w:szCs w:val="21"/>
                <w:highlight w:val="none"/>
              </w:rPr>
              <w:t>Y＜300</w:t>
            </w:r>
          </w:p>
        </w:tc>
      </w:tr>
      <w:tr w14:paraId="597CEA7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334F997">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EF0F110">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61A5E424">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EC38B5A">
            <w:pPr>
              <w:widowControl/>
              <w:jc w:val="left"/>
              <w:rPr>
                <w:color w:val="auto"/>
                <w:szCs w:val="21"/>
                <w:highlight w:val="none"/>
              </w:rPr>
            </w:pPr>
            <w:r>
              <w:rPr>
                <w:rFonts w:hint="eastAsia"/>
                <w:color w:val="auto"/>
                <w:szCs w:val="21"/>
                <w:highlight w:val="none"/>
              </w:rPr>
              <w:t>5000≤Z＜80000</w:t>
            </w:r>
          </w:p>
        </w:tc>
        <w:tc>
          <w:tcPr>
            <w:tcW w:w="1570" w:type="dxa"/>
            <w:tcBorders>
              <w:top w:val="nil"/>
              <w:left w:val="nil"/>
              <w:bottom w:val="single" w:color="auto" w:sz="4" w:space="0"/>
              <w:right w:val="single" w:color="auto" w:sz="4" w:space="0"/>
            </w:tcBorders>
            <w:noWrap w:val="0"/>
            <w:vAlign w:val="center"/>
          </w:tcPr>
          <w:p w14:paraId="07CA26C4">
            <w:pPr>
              <w:widowControl/>
              <w:jc w:val="left"/>
              <w:rPr>
                <w:color w:val="auto"/>
                <w:szCs w:val="21"/>
                <w:highlight w:val="none"/>
              </w:rPr>
            </w:pPr>
            <w:r>
              <w:rPr>
                <w:rFonts w:hint="eastAsia"/>
                <w:color w:val="auto"/>
                <w:szCs w:val="21"/>
                <w:highlight w:val="none"/>
              </w:rPr>
              <w:t>300≤Z＜5000</w:t>
            </w:r>
          </w:p>
        </w:tc>
        <w:tc>
          <w:tcPr>
            <w:tcW w:w="1009" w:type="dxa"/>
            <w:tcBorders>
              <w:top w:val="nil"/>
              <w:left w:val="nil"/>
              <w:bottom w:val="single" w:color="auto" w:sz="4" w:space="0"/>
              <w:right w:val="single" w:color="auto" w:sz="4" w:space="0"/>
            </w:tcBorders>
            <w:noWrap w:val="0"/>
            <w:vAlign w:val="center"/>
          </w:tcPr>
          <w:p w14:paraId="5DE0860C">
            <w:pPr>
              <w:widowControl/>
              <w:jc w:val="left"/>
              <w:rPr>
                <w:color w:val="auto"/>
                <w:szCs w:val="21"/>
                <w:highlight w:val="none"/>
              </w:rPr>
            </w:pPr>
            <w:r>
              <w:rPr>
                <w:rFonts w:hint="eastAsia"/>
                <w:color w:val="auto"/>
                <w:szCs w:val="21"/>
                <w:highlight w:val="none"/>
              </w:rPr>
              <w:t>Z＜300</w:t>
            </w:r>
          </w:p>
        </w:tc>
      </w:tr>
      <w:tr w14:paraId="1444C6D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E312E96">
            <w:pPr>
              <w:widowControl/>
              <w:ind w:firstLine="315" w:firstLineChars="150"/>
              <w:rPr>
                <w:color w:val="auto"/>
                <w:szCs w:val="21"/>
                <w:highlight w:val="none"/>
              </w:rPr>
            </w:pPr>
            <w:r>
              <w:rPr>
                <w:rFonts w:hint="eastAsia"/>
                <w:color w:val="auto"/>
                <w:szCs w:val="21"/>
                <w:highlight w:val="none"/>
              </w:rPr>
              <w:t>批发业</w:t>
            </w:r>
          </w:p>
        </w:tc>
        <w:tc>
          <w:tcPr>
            <w:tcW w:w="1701" w:type="dxa"/>
            <w:tcBorders>
              <w:top w:val="nil"/>
              <w:left w:val="nil"/>
              <w:bottom w:val="single" w:color="auto" w:sz="4" w:space="0"/>
              <w:right w:val="single" w:color="auto" w:sz="4" w:space="0"/>
            </w:tcBorders>
            <w:noWrap w:val="0"/>
            <w:vAlign w:val="center"/>
          </w:tcPr>
          <w:p w14:paraId="441110F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05822D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DD524F7">
            <w:pPr>
              <w:widowControl/>
              <w:jc w:val="left"/>
              <w:rPr>
                <w:color w:val="auto"/>
                <w:szCs w:val="21"/>
                <w:highlight w:val="none"/>
              </w:rPr>
            </w:pPr>
            <w:r>
              <w:rPr>
                <w:rFonts w:hint="eastAsia"/>
                <w:color w:val="auto"/>
                <w:szCs w:val="21"/>
                <w:highlight w:val="none"/>
              </w:rPr>
              <w:t>20≤X＜200</w:t>
            </w:r>
          </w:p>
        </w:tc>
        <w:tc>
          <w:tcPr>
            <w:tcW w:w="1570" w:type="dxa"/>
            <w:tcBorders>
              <w:top w:val="nil"/>
              <w:left w:val="nil"/>
              <w:bottom w:val="single" w:color="auto" w:sz="4" w:space="0"/>
              <w:right w:val="single" w:color="auto" w:sz="4" w:space="0"/>
            </w:tcBorders>
            <w:noWrap w:val="0"/>
            <w:vAlign w:val="center"/>
          </w:tcPr>
          <w:p w14:paraId="46D17F16">
            <w:pPr>
              <w:widowControl/>
              <w:jc w:val="left"/>
              <w:rPr>
                <w:color w:val="auto"/>
                <w:szCs w:val="21"/>
                <w:highlight w:val="none"/>
              </w:rPr>
            </w:pPr>
            <w:r>
              <w:rPr>
                <w:rFonts w:hint="eastAsia"/>
                <w:color w:val="auto"/>
                <w:szCs w:val="21"/>
                <w:highlight w:val="none"/>
              </w:rPr>
              <w:t>5≤X＜20</w:t>
            </w:r>
          </w:p>
        </w:tc>
        <w:tc>
          <w:tcPr>
            <w:tcW w:w="1009" w:type="dxa"/>
            <w:tcBorders>
              <w:top w:val="nil"/>
              <w:left w:val="nil"/>
              <w:bottom w:val="single" w:color="auto" w:sz="4" w:space="0"/>
              <w:right w:val="single" w:color="auto" w:sz="4" w:space="0"/>
            </w:tcBorders>
            <w:noWrap w:val="0"/>
            <w:vAlign w:val="center"/>
          </w:tcPr>
          <w:p w14:paraId="69B78AF3">
            <w:pPr>
              <w:widowControl/>
              <w:jc w:val="left"/>
              <w:rPr>
                <w:color w:val="auto"/>
                <w:szCs w:val="21"/>
                <w:highlight w:val="none"/>
              </w:rPr>
            </w:pPr>
            <w:r>
              <w:rPr>
                <w:rFonts w:hint="eastAsia"/>
                <w:color w:val="auto"/>
                <w:szCs w:val="21"/>
                <w:highlight w:val="none"/>
              </w:rPr>
              <w:t>X＜5</w:t>
            </w:r>
          </w:p>
        </w:tc>
      </w:tr>
      <w:tr w14:paraId="08967CC5">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4C419C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B18F4E9">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760539F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C05ADD6">
            <w:pPr>
              <w:widowControl/>
              <w:jc w:val="left"/>
              <w:rPr>
                <w:color w:val="auto"/>
                <w:szCs w:val="21"/>
                <w:highlight w:val="none"/>
              </w:rPr>
            </w:pPr>
            <w:r>
              <w:rPr>
                <w:rFonts w:hint="eastAsia"/>
                <w:color w:val="auto"/>
                <w:szCs w:val="21"/>
                <w:highlight w:val="none"/>
              </w:rPr>
              <w:t>5000≤Y＜40000</w:t>
            </w:r>
          </w:p>
        </w:tc>
        <w:tc>
          <w:tcPr>
            <w:tcW w:w="1570" w:type="dxa"/>
            <w:tcBorders>
              <w:top w:val="nil"/>
              <w:left w:val="nil"/>
              <w:bottom w:val="single" w:color="auto" w:sz="4" w:space="0"/>
              <w:right w:val="single" w:color="auto" w:sz="4" w:space="0"/>
            </w:tcBorders>
            <w:noWrap w:val="0"/>
            <w:vAlign w:val="center"/>
          </w:tcPr>
          <w:p w14:paraId="4834383F">
            <w:pPr>
              <w:widowControl/>
              <w:jc w:val="left"/>
              <w:rPr>
                <w:color w:val="auto"/>
                <w:szCs w:val="21"/>
                <w:highlight w:val="none"/>
              </w:rPr>
            </w:pPr>
            <w:r>
              <w:rPr>
                <w:rFonts w:hint="eastAsia"/>
                <w:color w:val="auto"/>
                <w:szCs w:val="21"/>
                <w:highlight w:val="none"/>
              </w:rPr>
              <w:t>1000≤Y＜5000</w:t>
            </w:r>
          </w:p>
        </w:tc>
        <w:tc>
          <w:tcPr>
            <w:tcW w:w="1009" w:type="dxa"/>
            <w:tcBorders>
              <w:top w:val="nil"/>
              <w:left w:val="nil"/>
              <w:bottom w:val="single" w:color="auto" w:sz="4" w:space="0"/>
              <w:right w:val="single" w:color="auto" w:sz="4" w:space="0"/>
            </w:tcBorders>
            <w:noWrap w:val="0"/>
            <w:vAlign w:val="center"/>
          </w:tcPr>
          <w:p w14:paraId="74486796">
            <w:pPr>
              <w:widowControl/>
              <w:jc w:val="left"/>
              <w:rPr>
                <w:color w:val="auto"/>
                <w:szCs w:val="21"/>
                <w:highlight w:val="none"/>
              </w:rPr>
            </w:pPr>
            <w:r>
              <w:rPr>
                <w:rFonts w:hint="eastAsia"/>
                <w:color w:val="auto"/>
                <w:szCs w:val="21"/>
                <w:highlight w:val="none"/>
              </w:rPr>
              <w:t>Y＜1000</w:t>
            </w:r>
          </w:p>
        </w:tc>
      </w:tr>
      <w:tr w14:paraId="7E217D0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2D5E57">
            <w:pPr>
              <w:widowControl/>
              <w:jc w:val="center"/>
              <w:rPr>
                <w:color w:val="auto"/>
                <w:szCs w:val="21"/>
                <w:highlight w:val="none"/>
              </w:rPr>
            </w:pPr>
            <w:r>
              <w:rPr>
                <w:rFonts w:hint="eastAsia"/>
                <w:color w:val="auto"/>
                <w:szCs w:val="21"/>
                <w:highlight w:val="none"/>
              </w:rPr>
              <w:t>零售业</w:t>
            </w:r>
          </w:p>
        </w:tc>
        <w:tc>
          <w:tcPr>
            <w:tcW w:w="1701" w:type="dxa"/>
            <w:tcBorders>
              <w:top w:val="nil"/>
              <w:left w:val="nil"/>
              <w:bottom w:val="single" w:color="auto" w:sz="4" w:space="0"/>
              <w:right w:val="single" w:color="auto" w:sz="4" w:space="0"/>
            </w:tcBorders>
            <w:noWrap w:val="0"/>
            <w:vAlign w:val="center"/>
          </w:tcPr>
          <w:p w14:paraId="72D0A4A7">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6D7F938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4222B0A">
            <w:pPr>
              <w:widowControl/>
              <w:jc w:val="left"/>
              <w:rPr>
                <w:color w:val="auto"/>
                <w:szCs w:val="21"/>
                <w:highlight w:val="none"/>
              </w:rPr>
            </w:pPr>
            <w:r>
              <w:rPr>
                <w:rFonts w:hint="eastAsia"/>
                <w:color w:val="auto"/>
                <w:szCs w:val="21"/>
                <w:highlight w:val="none"/>
              </w:rPr>
              <w:t>50≤X＜300</w:t>
            </w:r>
          </w:p>
        </w:tc>
        <w:tc>
          <w:tcPr>
            <w:tcW w:w="1570" w:type="dxa"/>
            <w:tcBorders>
              <w:top w:val="nil"/>
              <w:left w:val="nil"/>
              <w:bottom w:val="single" w:color="auto" w:sz="4" w:space="0"/>
              <w:right w:val="single" w:color="auto" w:sz="4" w:space="0"/>
            </w:tcBorders>
            <w:noWrap w:val="0"/>
            <w:vAlign w:val="center"/>
          </w:tcPr>
          <w:p w14:paraId="48A7BD6D">
            <w:pPr>
              <w:widowControl/>
              <w:jc w:val="left"/>
              <w:rPr>
                <w:color w:val="auto"/>
                <w:szCs w:val="21"/>
                <w:highlight w:val="none"/>
              </w:rPr>
            </w:pPr>
            <w:r>
              <w:rPr>
                <w:rFonts w:hint="eastAsia"/>
                <w:color w:val="auto"/>
                <w:szCs w:val="21"/>
                <w:highlight w:val="none"/>
              </w:rPr>
              <w:t>10≤X＜50</w:t>
            </w:r>
          </w:p>
        </w:tc>
        <w:tc>
          <w:tcPr>
            <w:tcW w:w="1009" w:type="dxa"/>
            <w:tcBorders>
              <w:top w:val="nil"/>
              <w:left w:val="nil"/>
              <w:bottom w:val="single" w:color="auto" w:sz="4" w:space="0"/>
              <w:right w:val="single" w:color="auto" w:sz="4" w:space="0"/>
            </w:tcBorders>
            <w:noWrap w:val="0"/>
            <w:vAlign w:val="center"/>
          </w:tcPr>
          <w:p w14:paraId="4A648938">
            <w:pPr>
              <w:widowControl/>
              <w:jc w:val="left"/>
              <w:rPr>
                <w:color w:val="auto"/>
                <w:szCs w:val="21"/>
                <w:highlight w:val="none"/>
              </w:rPr>
            </w:pPr>
            <w:r>
              <w:rPr>
                <w:rFonts w:hint="eastAsia"/>
                <w:color w:val="auto"/>
                <w:szCs w:val="21"/>
                <w:highlight w:val="none"/>
              </w:rPr>
              <w:t>X＜10</w:t>
            </w:r>
          </w:p>
        </w:tc>
      </w:tr>
      <w:tr w14:paraId="60B9F2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E846E0">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3CF2E2B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B155A5C">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602E5B8">
            <w:pPr>
              <w:widowControl/>
              <w:jc w:val="left"/>
              <w:rPr>
                <w:color w:val="auto"/>
                <w:szCs w:val="21"/>
                <w:highlight w:val="none"/>
              </w:rPr>
            </w:pPr>
            <w:r>
              <w:rPr>
                <w:rFonts w:hint="eastAsia"/>
                <w:color w:val="auto"/>
                <w:szCs w:val="21"/>
                <w:highlight w:val="none"/>
              </w:rPr>
              <w:t>500≤Y＜20000</w:t>
            </w:r>
          </w:p>
        </w:tc>
        <w:tc>
          <w:tcPr>
            <w:tcW w:w="1570" w:type="dxa"/>
            <w:tcBorders>
              <w:top w:val="nil"/>
              <w:left w:val="nil"/>
              <w:bottom w:val="single" w:color="auto" w:sz="4" w:space="0"/>
              <w:right w:val="single" w:color="auto" w:sz="4" w:space="0"/>
            </w:tcBorders>
            <w:noWrap w:val="0"/>
            <w:vAlign w:val="center"/>
          </w:tcPr>
          <w:p w14:paraId="5E14EF1F">
            <w:pPr>
              <w:widowControl/>
              <w:jc w:val="left"/>
              <w:rPr>
                <w:color w:val="auto"/>
                <w:szCs w:val="21"/>
                <w:highlight w:val="none"/>
              </w:rPr>
            </w:pPr>
            <w:r>
              <w:rPr>
                <w:rFonts w:hint="eastAsia"/>
                <w:color w:val="auto"/>
                <w:szCs w:val="21"/>
                <w:highlight w:val="none"/>
              </w:rPr>
              <w:t>100≤Y＜500</w:t>
            </w:r>
          </w:p>
        </w:tc>
        <w:tc>
          <w:tcPr>
            <w:tcW w:w="1009" w:type="dxa"/>
            <w:tcBorders>
              <w:top w:val="nil"/>
              <w:left w:val="nil"/>
              <w:bottom w:val="single" w:color="auto" w:sz="4" w:space="0"/>
              <w:right w:val="single" w:color="auto" w:sz="4" w:space="0"/>
            </w:tcBorders>
            <w:noWrap w:val="0"/>
            <w:vAlign w:val="center"/>
          </w:tcPr>
          <w:p w14:paraId="4C2918F0">
            <w:pPr>
              <w:widowControl/>
              <w:jc w:val="left"/>
              <w:rPr>
                <w:color w:val="auto"/>
                <w:szCs w:val="21"/>
                <w:highlight w:val="none"/>
              </w:rPr>
            </w:pPr>
            <w:r>
              <w:rPr>
                <w:rFonts w:hint="eastAsia"/>
                <w:color w:val="auto"/>
                <w:szCs w:val="21"/>
                <w:highlight w:val="none"/>
              </w:rPr>
              <w:t>Y＜100</w:t>
            </w:r>
          </w:p>
        </w:tc>
      </w:tr>
      <w:tr w14:paraId="56400B1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A38DA2">
            <w:pPr>
              <w:widowControl/>
              <w:jc w:val="center"/>
              <w:rPr>
                <w:color w:val="auto"/>
                <w:szCs w:val="21"/>
                <w:highlight w:val="none"/>
              </w:rPr>
            </w:pPr>
            <w:r>
              <w:rPr>
                <w:rFonts w:hint="eastAsia"/>
                <w:color w:val="auto"/>
                <w:szCs w:val="21"/>
                <w:highlight w:val="none"/>
              </w:rPr>
              <w:t>交通运输业</w:t>
            </w:r>
          </w:p>
        </w:tc>
        <w:tc>
          <w:tcPr>
            <w:tcW w:w="1701" w:type="dxa"/>
            <w:tcBorders>
              <w:top w:val="nil"/>
              <w:left w:val="nil"/>
              <w:bottom w:val="single" w:color="auto" w:sz="4" w:space="0"/>
              <w:right w:val="single" w:color="auto" w:sz="4" w:space="0"/>
            </w:tcBorders>
            <w:noWrap w:val="0"/>
            <w:vAlign w:val="center"/>
          </w:tcPr>
          <w:p w14:paraId="260C1EA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824AF5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6A0D9A8">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596BD644">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0F59354F">
            <w:pPr>
              <w:widowControl/>
              <w:jc w:val="left"/>
              <w:rPr>
                <w:color w:val="auto"/>
                <w:szCs w:val="21"/>
                <w:highlight w:val="none"/>
              </w:rPr>
            </w:pPr>
            <w:r>
              <w:rPr>
                <w:rFonts w:hint="eastAsia"/>
                <w:color w:val="auto"/>
                <w:szCs w:val="21"/>
                <w:highlight w:val="none"/>
              </w:rPr>
              <w:t>X＜20</w:t>
            </w:r>
          </w:p>
        </w:tc>
      </w:tr>
      <w:tr w14:paraId="637A4A83">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2475A2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2CBA4AC">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B4ADFD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BF8DAE9">
            <w:pPr>
              <w:widowControl/>
              <w:jc w:val="left"/>
              <w:rPr>
                <w:color w:val="auto"/>
                <w:szCs w:val="21"/>
                <w:highlight w:val="none"/>
              </w:rPr>
            </w:pPr>
            <w:r>
              <w:rPr>
                <w:rFonts w:hint="eastAsia"/>
                <w:color w:val="auto"/>
                <w:szCs w:val="21"/>
                <w:highlight w:val="none"/>
              </w:rPr>
              <w:t>3000≤Y＜30000</w:t>
            </w:r>
          </w:p>
        </w:tc>
        <w:tc>
          <w:tcPr>
            <w:tcW w:w="1570" w:type="dxa"/>
            <w:tcBorders>
              <w:top w:val="nil"/>
              <w:left w:val="nil"/>
              <w:bottom w:val="single" w:color="auto" w:sz="4" w:space="0"/>
              <w:right w:val="single" w:color="auto" w:sz="4" w:space="0"/>
            </w:tcBorders>
            <w:noWrap w:val="0"/>
            <w:vAlign w:val="center"/>
          </w:tcPr>
          <w:p w14:paraId="5EBE2527">
            <w:pPr>
              <w:widowControl/>
              <w:jc w:val="left"/>
              <w:rPr>
                <w:color w:val="auto"/>
                <w:szCs w:val="21"/>
                <w:highlight w:val="none"/>
              </w:rPr>
            </w:pPr>
            <w:r>
              <w:rPr>
                <w:rFonts w:hint="eastAsia"/>
                <w:color w:val="auto"/>
                <w:szCs w:val="21"/>
                <w:highlight w:val="none"/>
              </w:rPr>
              <w:t>200≤Y＜3000</w:t>
            </w:r>
          </w:p>
        </w:tc>
        <w:tc>
          <w:tcPr>
            <w:tcW w:w="1009" w:type="dxa"/>
            <w:tcBorders>
              <w:top w:val="nil"/>
              <w:left w:val="nil"/>
              <w:bottom w:val="single" w:color="auto" w:sz="4" w:space="0"/>
              <w:right w:val="single" w:color="auto" w:sz="4" w:space="0"/>
            </w:tcBorders>
            <w:noWrap w:val="0"/>
            <w:vAlign w:val="center"/>
          </w:tcPr>
          <w:p w14:paraId="29704335">
            <w:pPr>
              <w:widowControl/>
              <w:jc w:val="left"/>
              <w:rPr>
                <w:color w:val="auto"/>
                <w:szCs w:val="21"/>
                <w:highlight w:val="none"/>
              </w:rPr>
            </w:pPr>
            <w:r>
              <w:rPr>
                <w:rFonts w:hint="eastAsia"/>
                <w:color w:val="auto"/>
                <w:szCs w:val="21"/>
                <w:highlight w:val="none"/>
              </w:rPr>
              <w:t>Y＜200</w:t>
            </w:r>
          </w:p>
        </w:tc>
      </w:tr>
      <w:tr w14:paraId="1D67ABCE">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CEF55C4">
            <w:pPr>
              <w:widowControl/>
              <w:jc w:val="center"/>
              <w:rPr>
                <w:color w:val="auto"/>
                <w:szCs w:val="21"/>
                <w:highlight w:val="none"/>
              </w:rPr>
            </w:pPr>
            <w:r>
              <w:rPr>
                <w:rFonts w:hint="eastAsia"/>
                <w:color w:val="auto"/>
                <w:szCs w:val="21"/>
                <w:highlight w:val="none"/>
              </w:rPr>
              <w:t>仓储业</w:t>
            </w:r>
          </w:p>
        </w:tc>
        <w:tc>
          <w:tcPr>
            <w:tcW w:w="1701" w:type="dxa"/>
            <w:tcBorders>
              <w:top w:val="nil"/>
              <w:left w:val="nil"/>
              <w:bottom w:val="single" w:color="auto" w:sz="4" w:space="0"/>
              <w:right w:val="single" w:color="auto" w:sz="4" w:space="0"/>
            </w:tcBorders>
            <w:noWrap w:val="0"/>
            <w:vAlign w:val="center"/>
          </w:tcPr>
          <w:p w14:paraId="00A4BF9A">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BBF7A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4E89611">
            <w:pPr>
              <w:widowControl/>
              <w:jc w:val="left"/>
              <w:rPr>
                <w:color w:val="auto"/>
                <w:szCs w:val="21"/>
                <w:highlight w:val="none"/>
              </w:rPr>
            </w:pPr>
            <w:r>
              <w:rPr>
                <w:rFonts w:hint="eastAsia"/>
                <w:color w:val="auto"/>
                <w:szCs w:val="21"/>
                <w:highlight w:val="none"/>
              </w:rPr>
              <w:t>100≤X＜200</w:t>
            </w:r>
          </w:p>
        </w:tc>
        <w:tc>
          <w:tcPr>
            <w:tcW w:w="1570" w:type="dxa"/>
            <w:tcBorders>
              <w:top w:val="nil"/>
              <w:left w:val="nil"/>
              <w:bottom w:val="single" w:color="auto" w:sz="4" w:space="0"/>
              <w:right w:val="single" w:color="auto" w:sz="4" w:space="0"/>
            </w:tcBorders>
            <w:noWrap w:val="0"/>
            <w:vAlign w:val="center"/>
          </w:tcPr>
          <w:p w14:paraId="688F4D50">
            <w:pPr>
              <w:widowControl/>
              <w:jc w:val="left"/>
              <w:rPr>
                <w:color w:val="auto"/>
                <w:szCs w:val="21"/>
                <w:highlight w:val="none"/>
              </w:rPr>
            </w:pPr>
            <w:r>
              <w:rPr>
                <w:rFonts w:hint="eastAsia"/>
                <w:color w:val="auto"/>
                <w:szCs w:val="21"/>
                <w:highlight w:val="none"/>
              </w:rPr>
              <w:t>20≤X＜100</w:t>
            </w:r>
          </w:p>
        </w:tc>
        <w:tc>
          <w:tcPr>
            <w:tcW w:w="1009" w:type="dxa"/>
            <w:tcBorders>
              <w:top w:val="nil"/>
              <w:left w:val="nil"/>
              <w:bottom w:val="single" w:color="auto" w:sz="4" w:space="0"/>
              <w:right w:val="single" w:color="auto" w:sz="4" w:space="0"/>
            </w:tcBorders>
            <w:noWrap w:val="0"/>
            <w:vAlign w:val="center"/>
          </w:tcPr>
          <w:p w14:paraId="7FC23978">
            <w:pPr>
              <w:widowControl/>
              <w:jc w:val="left"/>
              <w:rPr>
                <w:color w:val="auto"/>
                <w:szCs w:val="21"/>
                <w:highlight w:val="none"/>
              </w:rPr>
            </w:pPr>
            <w:r>
              <w:rPr>
                <w:rFonts w:hint="eastAsia"/>
                <w:color w:val="auto"/>
                <w:szCs w:val="21"/>
                <w:highlight w:val="none"/>
              </w:rPr>
              <w:t>X＜20</w:t>
            </w:r>
          </w:p>
        </w:tc>
      </w:tr>
      <w:tr w14:paraId="5A3DC5F1">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20F61E">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5F93C16">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580CF5A">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5F80E21">
            <w:pPr>
              <w:widowControl/>
              <w:jc w:val="left"/>
              <w:rPr>
                <w:color w:val="auto"/>
                <w:szCs w:val="21"/>
                <w:highlight w:val="none"/>
              </w:rPr>
            </w:pPr>
            <w:r>
              <w:rPr>
                <w:rFonts w:hint="eastAsia"/>
                <w:color w:val="auto"/>
                <w:szCs w:val="21"/>
                <w:highlight w:val="none"/>
              </w:rPr>
              <w:t>1000≤Y＜30000</w:t>
            </w:r>
          </w:p>
        </w:tc>
        <w:tc>
          <w:tcPr>
            <w:tcW w:w="1570" w:type="dxa"/>
            <w:tcBorders>
              <w:top w:val="nil"/>
              <w:left w:val="nil"/>
              <w:bottom w:val="single" w:color="auto" w:sz="4" w:space="0"/>
              <w:right w:val="single" w:color="auto" w:sz="4" w:space="0"/>
            </w:tcBorders>
            <w:noWrap w:val="0"/>
            <w:vAlign w:val="center"/>
          </w:tcPr>
          <w:p w14:paraId="23DCBC20">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7D42E107">
            <w:pPr>
              <w:widowControl/>
              <w:jc w:val="left"/>
              <w:rPr>
                <w:color w:val="auto"/>
                <w:szCs w:val="21"/>
                <w:highlight w:val="none"/>
              </w:rPr>
            </w:pPr>
            <w:r>
              <w:rPr>
                <w:rFonts w:hint="eastAsia"/>
                <w:color w:val="auto"/>
                <w:szCs w:val="21"/>
                <w:highlight w:val="none"/>
              </w:rPr>
              <w:t>Y＜100</w:t>
            </w:r>
          </w:p>
        </w:tc>
      </w:tr>
      <w:tr w14:paraId="1DE2286F">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3364AC9">
            <w:pPr>
              <w:widowControl/>
              <w:jc w:val="center"/>
              <w:rPr>
                <w:color w:val="auto"/>
                <w:szCs w:val="21"/>
                <w:highlight w:val="none"/>
              </w:rPr>
            </w:pPr>
            <w:r>
              <w:rPr>
                <w:rFonts w:hint="eastAsia"/>
                <w:color w:val="auto"/>
                <w:szCs w:val="21"/>
                <w:highlight w:val="none"/>
              </w:rPr>
              <w:t>邮政业</w:t>
            </w:r>
          </w:p>
        </w:tc>
        <w:tc>
          <w:tcPr>
            <w:tcW w:w="1701" w:type="dxa"/>
            <w:tcBorders>
              <w:top w:val="nil"/>
              <w:left w:val="nil"/>
              <w:bottom w:val="single" w:color="auto" w:sz="4" w:space="0"/>
              <w:right w:val="single" w:color="auto" w:sz="4" w:space="0"/>
            </w:tcBorders>
            <w:noWrap w:val="0"/>
            <w:vAlign w:val="center"/>
          </w:tcPr>
          <w:p w14:paraId="37F22372">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0600F42">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7ED77F9">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309080D">
            <w:pPr>
              <w:widowControl/>
              <w:jc w:val="left"/>
              <w:rPr>
                <w:color w:val="auto"/>
                <w:szCs w:val="21"/>
                <w:highlight w:val="none"/>
              </w:rPr>
            </w:pPr>
            <w:r>
              <w:rPr>
                <w:rFonts w:hint="eastAsia"/>
                <w:color w:val="auto"/>
                <w:szCs w:val="21"/>
                <w:highlight w:val="none"/>
              </w:rPr>
              <w:t>20≤X＜300</w:t>
            </w:r>
          </w:p>
        </w:tc>
        <w:tc>
          <w:tcPr>
            <w:tcW w:w="1009" w:type="dxa"/>
            <w:tcBorders>
              <w:top w:val="nil"/>
              <w:left w:val="nil"/>
              <w:bottom w:val="single" w:color="auto" w:sz="4" w:space="0"/>
              <w:right w:val="single" w:color="auto" w:sz="4" w:space="0"/>
            </w:tcBorders>
            <w:noWrap w:val="0"/>
            <w:vAlign w:val="center"/>
          </w:tcPr>
          <w:p w14:paraId="0F15B17C">
            <w:pPr>
              <w:widowControl/>
              <w:jc w:val="left"/>
              <w:rPr>
                <w:color w:val="auto"/>
                <w:szCs w:val="21"/>
                <w:highlight w:val="none"/>
              </w:rPr>
            </w:pPr>
            <w:r>
              <w:rPr>
                <w:rFonts w:hint="eastAsia"/>
                <w:color w:val="auto"/>
                <w:szCs w:val="21"/>
                <w:highlight w:val="none"/>
              </w:rPr>
              <w:t>X＜20</w:t>
            </w:r>
          </w:p>
        </w:tc>
      </w:tr>
      <w:tr w14:paraId="5B741DD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9CD01E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1A818F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71618E1">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4DAD31C">
            <w:pPr>
              <w:widowControl/>
              <w:jc w:val="left"/>
              <w:rPr>
                <w:color w:val="auto"/>
                <w:szCs w:val="21"/>
                <w:highlight w:val="none"/>
              </w:rPr>
            </w:pPr>
            <w:r>
              <w:rPr>
                <w:rFonts w:hint="eastAsia"/>
                <w:color w:val="auto"/>
                <w:szCs w:val="21"/>
                <w:highlight w:val="none"/>
              </w:rPr>
              <w:t>2000≤Y＜30000</w:t>
            </w:r>
          </w:p>
        </w:tc>
        <w:tc>
          <w:tcPr>
            <w:tcW w:w="1570" w:type="dxa"/>
            <w:tcBorders>
              <w:top w:val="nil"/>
              <w:left w:val="nil"/>
              <w:bottom w:val="single" w:color="auto" w:sz="4" w:space="0"/>
              <w:right w:val="single" w:color="auto" w:sz="4" w:space="0"/>
            </w:tcBorders>
            <w:noWrap w:val="0"/>
            <w:vAlign w:val="center"/>
          </w:tcPr>
          <w:p w14:paraId="0B471E6F">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E4BCD36">
            <w:pPr>
              <w:widowControl/>
              <w:jc w:val="left"/>
              <w:rPr>
                <w:color w:val="auto"/>
                <w:szCs w:val="21"/>
                <w:highlight w:val="none"/>
              </w:rPr>
            </w:pPr>
            <w:r>
              <w:rPr>
                <w:rFonts w:hint="eastAsia"/>
                <w:color w:val="auto"/>
                <w:szCs w:val="21"/>
                <w:highlight w:val="none"/>
              </w:rPr>
              <w:t>Y＜100</w:t>
            </w:r>
          </w:p>
        </w:tc>
      </w:tr>
      <w:tr w14:paraId="3614D2A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957D1AD">
            <w:pPr>
              <w:widowControl/>
              <w:jc w:val="center"/>
              <w:rPr>
                <w:color w:val="auto"/>
                <w:szCs w:val="21"/>
                <w:highlight w:val="none"/>
              </w:rPr>
            </w:pPr>
            <w:r>
              <w:rPr>
                <w:rFonts w:hint="eastAsia"/>
                <w:color w:val="auto"/>
                <w:szCs w:val="21"/>
                <w:highlight w:val="none"/>
              </w:rPr>
              <w:t>住宿业</w:t>
            </w:r>
          </w:p>
        </w:tc>
        <w:tc>
          <w:tcPr>
            <w:tcW w:w="1701" w:type="dxa"/>
            <w:tcBorders>
              <w:top w:val="nil"/>
              <w:left w:val="nil"/>
              <w:bottom w:val="single" w:color="auto" w:sz="4" w:space="0"/>
              <w:right w:val="single" w:color="auto" w:sz="4" w:space="0"/>
            </w:tcBorders>
            <w:noWrap w:val="0"/>
            <w:vAlign w:val="center"/>
          </w:tcPr>
          <w:p w14:paraId="4AF2877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F88E787">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37A7CF3F">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2A17DC52">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1333C61">
            <w:pPr>
              <w:widowControl/>
              <w:jc w:val="left"/>
              <w:rPr>
                <w:color w:val="auto"/>
                <w:szCs w:val="21"/>
                <w:highlight w:val="none"/>
              </w:rPr>
            </w:pPr>
            <w:r>
              <w:rPr>
                <w:rFonts w:hint="eastAsia"/>
                <w:color w:val="auto"/>
                <w:szCs w:val="21"/>
                <w:highlight w:val="none"/>
              </w:rPr>
              <w:t>X＜10</w:t>
            </w:r>
          </w:p>
        </w:tc>
      </w:tr>
      <w:tr w14:paraId="34882D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AEA6759">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1AF75EB0">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0DD3E74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776E69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360E37A0">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0300328C">
            <w:pPr>
              <w:widowControl/>
              <w:jc w:val="left"/>
              <w:rPr>
                <w:color w:val="auto"/>
                <w:szCs w:val="21"/>
                <w:highlight w:val="none"/>
              </w:rPr>
            </w:pPr>
            <w:r>
              <w:rPr>
                <w:rFonts w:hint="eastAsia"/>
                <w:color w:val="auto"/>
                <w:szCs w:val="21"/>
                <w:highlight w:val="none"/>
              </w:rPr>
              <w:t>Y＜100</w:t>
            </w:r>
          </w:p>
        </w:tc>
      </w:tr>
      <w:tr w14:paraId="7E7E3C0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96F07F7">
            <w:pPr>
              <w:widowControl/>
              <w:jc w:val="center"/>
              <w:rPr>
                <w:color w:val="auto"/>
                <w:szCs w:val="21"/>
                <w:highlight w:val="none"/>
              </w:rPr>
            </w:pPr>
            <w:r>
              <w:rPr>
                <w:rFonts w:hint="eastAsia"/>
                <w:color w:val="auto"/>
                <w:szCs w:val="21"/>
                <w:highlight w:val="none"/>
              </w:rPr>
              <w:t>餐饮业</w:t>
            </w:r>
          </w:p>
        </w:tc>
        <w:tc>
          <w:tcPr>
            <w:tcW w:w="1701" w:type="dxa"/>
            <w:tcBorders>
              <w:top w:val="nil"/>
              <w:left w:val="nil"/>
              <w:bottom w:val="single" w:color="auto" w:sz="4" w:space="0"/>
              <w:right w:val="single" w:color="auto" w:sz="4" w:space="0"/>
            </w:tcBorders>
            <w:noWrap w:val="0"/>
            <w:vAlign w:val="center"/>
          </w:tcPr>
          <w:p w14:paraId="5D676BA5">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10CD6B0A">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7669F45">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851700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56067A48">
            <w:pPr>
              <w:widowControl/>
              <w:jc w:val="left"/>
              <w:rPr>
                <w:color w:val="auto"/>
                <w:szCs w:val="21"/>
                <w:highlight w:val="none"/>
              </w:rPr>
            </w:pPr>
            <w:r>
              <w:rPr>
                <w:rFonts w:hint="eastAsia"/>
                <w:color w:val="auto"/>
                <w:szCs w:val="21"/>
                <w:highlight w:val="none"/>
              </w:rPr>
              <w:t>X＜10</w:t>
            </w:r>
          </w:p>
        </w:tc>
      </w:tr>
      <w:tr w14:paraId="42EB278F">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774110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754BAF17">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55B68CD0">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7EC50F1">
            <w:pPr>
              <w:widowControl/>
              <w:jc w:val="left"/>
              <w:rPr>
                <w:color w:val="auto"/>
                <w:szCs w:val="21"/>
                <w:highlight w:val="none"/>
              </w:rPr>
            </w:pPr>
            <w:r>
              <w:rPr>
                <w:rFonts w:hint="eastAsia"/>
                <w:color w:val="auto"/>
                <w:szCs w:val="21"/>
                <w:highlight w:val="none"/>
              </w:rPr>
              <w:t>2000≤Y＜10000</w:t>
            </w:r>
          </w:p>
        </w:tc>
        <w:tc>
          <w:tcPr>
            <w:tcW w:w="1570" w:type="dxa"/>
            <w:tcBorders>
              <w:top w:val="nil"/>
              <w:left w:val="nil"/>
              <w:bottom w:val="single" w:color="auto" w:sz="4" w:space="0"/>
              <w:right w:val="single" w:color="auto" w:sz="4" w:space="0"/>
            </w:tcBorders>
            <w:noWrap w:val="0"/>
            <w:vAlign w:val="center"/>
          </w:tcPr>
          <w:p w14:paraId="6E25FBA9">
            <w:pPr>
              <w:widowControl/>
              <w:jc w:val="left"/>
              <w:rPr>
                <w:color w:val="auto"/>
                <w:szCs w:val="21"/>
                <w:highlight w:val="none"/>
              </w:rPr>
            </w:pPr>
            <w:r>
              <w:rPr>
                <w:rFonts w:hint="eastAsia"/>
                <w:color w:val="auto"/>
                <w:szCs w:val="21"/>
                <w:highlight w:val="none"/>
              </w:rPr>
              <w:t>100≤Y＜2000</w:t>
            </w:r>
          </w:p>
        </w:tc>
        <w:tc>
          <w:tcPr>
            <w:tcW w:w="1009" w:type="dxa"/>
            <w:tcBorders>
              <w:top w:val="nil"/>
              <w:left w:val="nil"/>
              <w:bottom w:val="single" w:color="auto" w:sz="4" w:space="0"/>
              <w:right w:val="single" w:color="auto" w:sz="4" w:space="0"/>
            </w:tcBorders>
            <w:noWrap w:val="0"/>
            <w:vAlign w:val="center"/>
          </w:tcPr>
          <w:p w14:paraId="7C1B54E1">
            <w:pPr>
              <w:widowControl/>
              <w:jc w:val="left"/>
              <w:rPr>
                <w:color w:val="auto"/>
                <w:szCs w:val="21"/>
                <w:highlight w:val="none"/>
              </w:rPr>
            </w:pPr>
            <w:r>
              <w:rPr>
                <w:rFonts w:hint="eastAsia"/>
                <w:color w:val="auto"/>
                <w:szCs w:val="21"/>
                <w:highlight w:val="none"/>
              </w:rPr>
              <w:t>Y＜100</w:t>
            </w:r>
          </w:p>
        </w:tc>
      </w:tr>
      <w:tr w14:paraId="2CF2958B">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02FF1D0">
            <w:pPr>
              <w:widowControl/>
              <w:jc w:val="center"/>
              <w:rPr>
                <w:color w:val="auto"/>
                <w:szCs w:val="21"/>
                <w:highlight w:val="none"/>
              </w:rPr>
            </w:pPr>
            <w:r>
              <w:rPr>
                <w:rFonts w:hint="eastAsia"/>
                <w:color w:val="auto"/>
                <w:szCs w:val="21"/>
                <w:highlight w:val="none"/>
              </w:rPr>
              <w:t>信息传输业</w:t>
            </w:r>
          </w:p>
        </w:tc>
        <w:tc>
          <w:tcPr>
            <w:tcW w:w="1701" w:type="dxa"/>
            <w:tcBorders>
              <w:top w:val="nil"/>
              <w:left w:val="nil"/>
              <w:bottom w:val="single" w:color="auto" w:sz="4" w:space="0"/>
              <w:right w:val="single" w:color="auto" w:sz="4" w:space="0"/>
            </w:tcBorders>
            <w:noWrap w:val="0"/>
            <w:vAlign w:val="center"/>
          </w:tcPr>
          <w:p w14:paraId="5367F080">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79E76E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FD9B74C">
            <w:pPr>
              <w:widowControl/>
              <w:jc w:val="left"/>
              <w:rPr>
                <w:color w:val="auto"/>
                <w:szCs w:val="21"/>
                <w:highlight w:val="none"/>
              </w:rPr>
            </w:pPr>
            <w:r>
              <w:rPr>
                <w:rFonts w:hint="eastAsia"/>
                <w:color w:val="auto"/>
                <w:szCs w:val="21"/>
                <w:highlight w:val="none"/>
              </w:rPr>
              <w:t>100≤X＜2000</w:t>
            </w:r>
          </w:p>
        </w:tc>
        <w:tc>
          <w:tcPr>
            <w:tcW w:w="1570" w:type="dxa"/>
            <w:tcBorders>
              <w:top w:val="nil"/>
              <w:left w:val="nil"/>
              <w:bottom w:val="single" w:color="auto" w:sz="4" w:space="0"/>
              <w:right w:val="single" w:color="auto" w:sz="4" w:space="0"/>
            </w:tcBorders>
            <w:noWrap w:val="0"/>
            <w:vAlign w:val="center"/>
          </w:tcPr>
          <w:p w14:paraId="0859CA63">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689E11C0">
            <w:pPr>
              <w:widowControl/>
              <w:jc w:val="left"/>
              <w:rPr>
                <w:color w:val="auto"/>
                <w:szCs w:val="21"/>
                <w:highlight w:val="none"/>
              </w:rPr>
            </w:pPr>
            <w:r>
              <w:rPr>
                <w:rFonts w:hint="eastAsia"/>
                <w:color w:val="auto"/>
                <w:szCs w:val="21"/>
                <w:highlight w:val="none"/>
              </w:rPr>
              <w:t>X＜10</w:t>
            </w:r>
          </w:p>
        </w:tc>
      </w:tr>
      <w:tr w14:paraId="77F11AD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C9BEBD3">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73DA493">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555B46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B3956BF">
            <w:pPr>
              <w:widowControl/>
              <w:jc w:val="left"/>
              <w:rPr>
                <w:color w:val="auto"/>
                <w:szCs w:val="21"/>
                <w:highlight w:val="none"/>
              </w:rPr>
            </w:pPr>
            <w:r>
              <w:rPr>
                <w:rFonts w:hint="eastAsia"/>
                <w:color w:val="auto"/>
                <w:szCs w:val="21"/>
                <w:highlight w:val="none"/>
              </w:rPr>
              <w:t>1000≤Y＜100000</w:t>
            </w:r>
          </w:p>
        </w:tc>
        <w:tc>
          <w:tcPr>
            <w:tcW w:w="1570" w:type="dxa"/>
            <w:tcBorders>
              <w:top w:val="nil"/>
              <w:left w:val="nil"/>
              <w:bottom w:val="single" w:color="auto" w:sz="4" w:space="0"/>
              <w:right w:val="single" w:color="auto" w:sz="4" w:space="0"/>
            </w:tcBorders>
            <w:noWrap w:val="0"/>
            <w:vAlign w:val="center"/>
          </w:tcPr>
          <w:p w14:paraId="47F52305">
            <w:pPr>
              <w:widowControl/>
              <w:jc w:val="left"/>
              <w:rPr>
                <w:color w:val="auto"/>
                <w:szCs w:val="21"/>
                <w:highlight w:val="none"/>
              </w:rPr>
            </w:pPr>
            <w:r>
              <w:rPr>
                <w:rFonts w:hint="eastAsia"/>
                <w:color w:val="auto"/>
                <w:szCs w:val="21"/>
                <w:highlight w:val="none"/>
              </w:rPr>
              <w:t>100≤Y＜1000</w:t>
            </w:r>
          </w:p>
        </w:tc>
        <w:tc>
          <w:tcPr>
            <w:tcW w:w="1009" w:type="dxa"/>
            <w:tcBorders>
              <w:top w:val="nil"/>
              <w:left w:val="nil"/>
              <w:bottom w:val="single" w:color="auto" w:sz="4" w:space="0"/>
              <w:right w:val="single" w:color="auto" w:sz="4" w:space="0"/>
            </w:tcBorders>
            <w:noWrap w:val="0"/>
            <w:vAlign w:val="center"/>
          </w:tcPr>
          <w:p w14:paraId="69C20FC6">
            <w:pPr>
              <w:widowControl/>
              <w:jc w:val="left"/>
              <w:rPr>
                <w:color w:val="auto"/>
                <w:szCs w:val="21"/>
                <w:highlight w:val="none"/>
              </w:rPr>
            </w:pPr>
            <w:r>
              <w:rPr>
                <w:rFonts w:hint="eastAsia"/>
                <w:color w:val="auto"/>
                <w:szCs w:val="21"/>
                <w:highlight w:val="none"/>
              </w:rPr>
              <w:t>Y＜100</w:t>
            </w:r>
          </w:p>
        </w:tc>
      </w:tr>
      <w:tr w14:paraId="21A1DD0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A6E4220">
            <w:pPr>
              <w:widowControl/>
              <w:jc w:val="center"/>
              <w:rPr>
                <w:color w:val="auto"/>
                <w:szCs w:val="21"/>
                <w:highlight w:val="none"/>
              </w:rPr>
            </w:pPr>
            <w:r>
              <w:rPr>
                <w:rFonts w:hint="eastAsia"/>
                <w:color w:val="auto"/>
                <w:szCs w:val="21"/>
                <w:highlight w:val="none"/>
              </w:rPr>
              <w:t>软件和信息技术服务业</w:t>
            </w:r>
          </w:p>
        </w:tc>
        <w:tc>
          <w:tcPr>
            <w:tcW w:w="1701" w:type="dxa"/>
            <w:tcBorders>
              <w:top w:val="nil"/>
              <w:left w:val="nil"/>
              <w:bottom w:val="single" w:color="auto" w:sz="4" w:space="0"/>
              <w:right w:val="single" w:color="auto" w:sz="4" w:space="0"/>
            </w:tcBorders>
            <w:noWrap w:val="0"/>
            <w:vAlign w:val="center"/>
          </w:tcPr>
          <w:p w14:paraId="7DA29023">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5DF9E2DB">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462ADF20">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2710C14">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323B4C8E">
            <w:pPr>
              <w:widowControl/>
              <w:jc w:val="left"/>
              <w:rPr>
                <w:color w:val="auto"/>
                <w:szCs w:val="21"/>
                <w:highlight w:val="none"/>
              </w:rPr>
            </w:pPr>
            <w:r>
              <w:rPr>
                <w:rFonts w:hint="eastAsia"/>
                <w:color w:val="auto"/>
                <w:szCs w:val="21"/>
                <w:highlight w:val="none"/>
              </w:rPr>
              <w:t>X＜10</w:t>
            </w:r>
          </w:p>
        </w:tc>
      </w:tr>
      <w:tr w14:paraId="7634F9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C15B2EE">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6832B481">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0E3935F">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68788E94">
            <w:pPr>
              <w:widowControl/>
              <w:jc w:val="left"/>
              <w:rPr>
                <w:color w:val="auto"/>
                <w:szCs w:val="21"/>
                <w:highlight w:val="none"/>
              </w:rPr>
            </w:pPr>
            <w:r>
              <w:rPr>
                <w:rFonts w:hint="eastAsia"/>
                <w:color w:val="auto"/>
                <w:szCs w:val="21"/>
                <w:highlight w:val="none"/>
              </w:rPr>
              <w:t>1000≤Y＜10000</w:t>
            </w:r>
          </w:p>
        </w:tc>
        <w:tc>
          <w:tcPr>
            <w:tcW w:w="1570" w:type="dxa"/>
            <w:tcBorders>
              <w:top w:val="nil"/>
              <w:left w:val="nil"/>
              <w:bottom w:val="single" w:color="auto" w:sz="4" w:space="0"/>
              <w:right w:val="single" w:color="auto" w:sz="4" w:space="0"/>
            </w:tcBorders>
            <w:noWrap w:val="0"/>
            <w:vAlign w:val="center"/>
          </w:tcPr>
          <w:p w14:paraId="0DA42DEE">
            <w:pPr>
              <w:widowControl/>
              <w:jc w:val="left"/>
              <w:rPr>
                <w:color w:val="auto"/>
                <w:szCs w:val="21"/>
                <w:highlight w:val="none"/>
              </w:rPr>
            </w:pPr>
            <w:r>
              <w:rPr>
                <w:rFonts w:hint="eastAsia"/>
                <w:color w:val="auto"/>
                <w:szCs w:val="21"/>
                <w:highlight w:val="none"/>
              </w:rPr>
              <w:t>50≤Y＜1000</w:t>
            </w:r>
          </w:p>
        </w:tc>
        <w:tc>
          <w:tcPr>
            <w:tcW w:w="1009" w:type="dxa"/>
            <w:tcBorders>
              <w:top w:val="nil"/>
              <w:left w:val="nil"/>
              <w:bottom w:val="single" w:color="auto" w:sz="4" w:space="0"/>
              <w:right w:val="single" w:color="auto" w:sz="4" w:space="0"/>
            </w:tcBorders>
            <w:noWrap w:val="0"/>
            <w:vAlign w:val="center"/>
          </w:tcPr>
          <w:p w14:paraId="1B6362AA">
            <w:pPr>
              <w:widowControl/>
              <w:jc w:val="left"/>
              <w:rPr>
                <w:color w:val="auto"/>
                <w:szCs w:val="21"/>
                <w:highlight w:val="none"/>
              </w:rPr>
            </w:pPr>
            <w:r>
              <w:rPr>
                <w:rFonts w:hint="eastAsia"/>
                <w:color w:val="auto"/>
                <w:szCs w:val="21"/>
                <w:highlight w:val="none"/>
              </w:rPr>
              <w:t>Y＜50</w:t>
            </w:r>
          </w:p>
        </w:tc>
      </w:tr>
      <w:tr w14:paraId="735B070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04D1B41">
            <w:pPr>
              <w:widowControl/>
              <w:jc w:val="center"/>
              <w:rPr>
                <w:color w:val="auto"/>
                <w:szCs w:val="21"/>
                <w:highlight w:val="none"/>
              </w:rPr>
            </w:pPr>
            <w:r>
              <w:rPr>
                <w:rFonts w:hint="eastAsia"/>
                <w:color w:val="auto"/>
                <w:szCs w:val="21"/>
                <w:highlight w:val="none"/>
              </w:rPr>
              <w:t>房地产开发经营</w:t>
            </w:r>
          </w:p>
        </w:tc>
        <w:tc>
          <w:tcPr>
            <w:tcW w:w="1701" w:type="dxa"/>
            <w:tcBorders>
              <w:top w:val="nil"/>
              <w:left w:val="nil"/>
              <w:bottom w:val="single" w:color="auto" w:sz="4" w:space="0"/>
              <w:right w:val="single" w:color="auto" w:sz="4" w:space="0"/>
            </w:tcBorders>
            <w:noWrap w:val="0"/>
            <w:vAlign w:val="center"/>
          </w:tcPr>
          <w:p w14:paraId="621767AE">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3E1EE89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34CB91F6">
            <w:pPr>
              <w:widowControl/>
              <w:jc w:val="left"/>
              <w:rPr>
                <w:color w:val="auto"/>
                <w:szCs w:val="21"/>
                <w:highlight w:val="none"/>
              </w:rPr>
            </w:pPr>
            <w:r>
              <w:rPr>
                <w:rFonts w:hint="eastAsia"/>
                <w:color w:val="auto"/>
                <w:szCs w:val="21"/>
                <w:highlight w:val="none"/>
              </w:rPr>
              <w:t>1000≤Y＜200000</w:t>
            </w:r>
          </w:p>
        </w:tc>
        <w:tc>
          <w:tcPr>
            <w:tcW w:w="1570" w:type="dxa"/>
            <w:tcBorders>
              <w:top w:val="nil"/>
              <w:left w:val="nil"/>
              <w:bottom w:val="single" w:color="auto" w:sz="4" w:space="0"/>
              <w:right w:val="single" w:color="auto" w:sz="4" w:space="0"/>
            </w:tcBorders>
            <w:noWrap w:val="0"/>
            <w:vAlign w:val="center"/>
          </w:tcPr>
          <w:p w14:paraId="0A43BD9C">
            <w:pPr>
              <w:widowControl/>
              <w:jc w:val="left"/>
              <w:rPr>
                <w:color w:val="auto"/>
                <w:szCs w:val="21"/>
                <w:highlight w:val="none"/>
              </w:rPr>
            </w:pPr>
            <w:r>
              <w:rPr>
                <w:rFonts w:hint="eastAsia"/>
                <w:color w:val="auto"/>
                <w:szCs w:val="21"/>
                <w:highlight w:val="none"/>
              </w:rPr>
              <w:t>100≤X＜1000</w:t>
            </w:r>
          </w:p>
        </w:tc>
        <w:tc>
          <w:tcPr>
            <w:tcW w:w="1009" w:type="dxa"/>
            <w:tcBorders>
              <w:top w:val="nil"/>
              <w:left w:val="nil"/>
              <w:bottom w:val="single" w:color="auto" w:sz="4" w:space="0"/>
              <w:right w:val="single" w:color="auto" w:sz="4" w:space="0"/>
            </w:tcBorders>
            <w:noWrap w:val="0"/>
            <w:vAlign w:val="center"/>
          </w:tcPr>
          <w:p w14:paraId="0F41081E">
            <w:pPr>
              <w:widowControl/>
              <w:jc w:val="left"/>
              <w:rPr>
                <w:color w:val="auto"/>
                <w:szCs w:val="21"/>
                <w:highlight w:val="none"/>
              </w:rPr>
            </w:pPr>
            <w:r>
              <w:rPr>
                <w:rFonts w:hint="eastAsia"/>
                <w:color w:val="auto"/>
                <w:szCs w:val="21"/>
                <w:highlight w:val="none"/>
              </w:rPr>
              <w:t>X＜100</w:t>
            </w:r>
          </w:p>
        </w:tc>
      </w:tr>
      <w:tr w14:paraId="4C3AFD5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9DD95FB">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26439143">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0AFA081B">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2A6A8D69">
            <w:pPr>
              <w:widowControl/>
              <w:jc w:val="left"/>
              <w:rPr>
                <w:color w:val="auto"/>
                <w:szCs w:val="21"/>
                <w:highlight w:val="none"/>
              </w:rPr>
            </w:pPr>
            <w:r>
              <w:rPr>
                <w:rFonts w:hint="eastAsia"/>
                <w:color w:val="auto"/>
                <w:szCs w:val="21"/>
                <w:highlight w:val="none"/>
              </w:rPr>
              <w:t>5000≤Z＜10000</w:t>
            </w:r>
          </w:p>
        </w:tc>
        <w:tc>
          <w:tcPr>
            <w:tcW w:w="1570" w:type="dxa"/>
            <w:tcBorders>
              <w:top w:val="nil"/>
              <w:left w:val="nil"/>
              <w:bottom w:val="single" w:color="auto" w:sz="4" w:space="0"/>
              <w:right w:val="single" w:color="auto" w:sz="4" w:space="0"/>
            </w:tcBorders>
            <w:noWrap w:val="0"/>
            <w:vAlign w:val="center"/>
          </w:tcPr>
          <w:p w14:paraId="21107ED6">
            <w:pPr>
              <w:widowControl/>
              <w:jc w:val="left"/>
              <w:rPr>
                <w:color w:val="auto"/>
                <w:szCs w:val="21"/>
                <w:highlight w:val="none"/>
              </w:rPr>
            </w:pPr>
            <w:r>
              <w:rPr>
                <w:rFonts w:hint="eastAsia"/>
                <w:color w:val="auto"/>
                <w:szCs w:val="21"/>
                <w:highlight w:val="none"/>
              </w:rPr>
              <w:t>2000≤Y＜5000</w:t>
            </w:r>
          </w:p>
        </w:tc>
        <w:tc>
          <w:tcPr>
            <w:tcW w:w="1009" w:type="dxa"/>
            <w:tcBorders>
              <w:top w:val="nil"/>
              <w:left w:val="nil"/>
              <w:bottom w:val="single" w:color="auto" w:sz="4" w:space="0"/>
              <w:right w:val="single" w:color="auto" w:sz="4" w:space="0"/>
            </w:tcBorders>
            <w:noWrap w:val="0"/>
            <w:vAlign w:val="center"/>
          </w:tcPr>
          <w:p w14:paraId="616AAEA1">
            <w:pPr>
              <w:widowControl/>
              <w:jc w:val="left"/>
              <w:rPr>
                <w:color w:val="auto"/>
                <w:szCs w:val="21"/>
                <w:highlight w:val="none"/>
              </w:rPr>
            </w:pPr>
            <w:r>
              <w:rPr>
                <w:rFonts w:hint="eastAsia"/>
                <w:color w:val="auto"/>
                <w:szCs w:val="21"/>
                <w:highlight w:val="none"/>
              </w:rPr>
              <w:t>Y＜2000</w:t>
            </w:r>
          </w:p>
        </w:tc>
      </w:tr>
      <w:tr w14:paraId="4D3E03B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4505A82">
            <w:pPr>
              <w:widowControl/>
              <w:jc w:val="center"/>
              <w:rPr>
                <w:color w:val="auto"/>
                <w:szCs w:val="21"/>
                <w:highlight w:val="none"/>
              </w:rPr>
            </w:pPr>
            <w:r>
              <w:rPr>
                <w:rFonts w:hint="eastAsia"/>
                <w:color w:val="auto"/>
                <w:szCs w:val="21"/>
                <w:highlight w:val="none"/>
              </w:rPr>
              <w:t>物业管理</w:t>
            </w:r>
          </w:p>
        </w:tc>
        <w:tc>
          <w:tcPr>
            <w:tcW w:w="1701" w:type="dxa"/>
            <w:tcBorders>
              <w:top w:val="nil"/>
              <w:left w:val="nil"/>
              <w:bottom w:val="single" w:color="auto" w:sz="4" w:space="0"/>
              <w:right w:val="single" w:color="auto" w:sz="4" w:space="0"/>
            </w:tcBorders>
            <w:noWrap w:val="0"/>
            <w:vAlign w:val="center"/>
          </w:tcPr>
          <w:p w14:paraId="10D914D4">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04321DD8">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39EDCA2">
            <w:pPr>
              <w:widowControl/>
              <w:jc w:val="left"/>
              <w:rPr>
                <w:color w:val="auto"/>
                <w:szCs w:val="21"/>
                <w:highlight w:val="none"/>
              </w:rPr>
            </w:pPr>
            <w:r>
              <w:rPr>
                <w:rFonts w:hint="eastAsia"/>
                <w:color w:val="auto"/>
                <w:szCs w:val="21"/>
                <w:highlight w:val="none"/>
              </w:rPr>
              <w:t>300≤X＜1000</w:t>
            </w:r>
          </w:p>
        </w:tc>
        <w:tc>
          <w:tcPr>
            <w:tcW w:w="1570" w:type="dxa"/>
            <w:tcBorders>
              <w:top w:val="nil"/>
              <w:left w:val="nil"/>
              <w:bottom w:val="single" w:color="auto" w:sz="4" w:space="0"/>
              <w:right w:val="single" w:color="auto" w:sz="4" w:space="0"/>
            </w:tcBorders>
            <w:noWrap w:val="0"/>
            <w:vAlign w:val="center"/>
          </w:tcPr>
          <w:p w14:paraId="0B057A69">
            <w:pPr>
              <w:widowControl/>
              <w:jc w:val="left"/>
              <w:rPr>
                <w:color w:val="auto"/>
                <w:szCs w:val="21"/>
                <w:highlight w:val="none"/>
              </w:rPr>
            </w:pPr>
            <w:r>
              <w:rPr>
                <w:rFonts w:hint="eastAsia"/>
                <w:color w:val="auto"/>
                <w:szCs w:val="21"/>
                <w:highlight w:val="none"/>
              </w:rPr>
              <w:t>100≤X＜300</w:t>
            </w:r>
          </w:p>
        </w:tc>
        <w:tc>
          <w:tcPr>
            <w:tcW w:w="1009" w:type="dxa"/>
            <w:tcBorders>
              <w:top w:val="nil"/>
              <w:left w:val="nil"/>
              <w:bottom w:val="single" w:color="auto" w:sz="4" w:space="0"/>
              <w:right w:val="single" w:color="auto" w:sz="4" w:space="0"/>
            </w:tcBorders>
            <w:noWrap w:val="0"/>
            <w:vAlign w:val="center"/>
          </w:tcPr>
          <w:p w14:paraId="4A530371">
            <w:pPr>
              <w:widowControl/>
              <w:jc w:val="left"/>
              <w:rPr>
                <w:color w:val="auto"/>
                <w:szCs w:val="21"/>
                <w:highlight w:val="none"/>
              </w:rPr>
            </w:pPr>
            <w:r>
              <w:rPr>
                <w:rFonts w:hint="eastAsia"/>
                <w:color w:val="auto"/>
                <w:szCs w:val="21"/>
                <w:highlight w:val="none"/>
              </w:rPr>
              <w:t>X＜100</w:t>
            </w:r>
          </w:p>
        </w:tc>
      </w:tr>
      <w:tr w14:paraId="74A9D26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10E8CE5">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4A9FA178">
            <w:pPr>
              <w:widowControl/>
              <w:jc w:val="left"/>
              <w:rPr>
                <w:color w:val="auto"/>
                <w:szCs w:val="21"/>
                <w:highlight w:val="none"/>
              </w:rPr>
            </w:pPr>
            <w:r>
              <w:rPr>
                <w:rFonts w:hint="eastAsia"/>
                <w:color w:val="auto"/>
                <w:szCs w:val="21"/>
                <w:highlight w:val="none"/>
              </w:rPr>
              <w:t>营业收入（Y）</w:t>
            </w:r>
          </w:p>
        </w:tc>
        <w:tc>
          <w:tcPr>
            <w:tcW w:w="1134" w:type="dxa"/>
            <w:tcBorders>
              <w:top w:val="nil"/>
              <w:left w:val="nil"/>
              <w:bottom w:val="single" w:color="auto" w:sz="4" w:space="0"/>
              <w:right w:val="single" w:color="auto" w:sz="4" w:space="0"/>
            </w:tcBorders>
            <w:noWrap w:val="0"/>
            <w:vAlign w:val="center"/>
          </w:tcPr>
          <w:p w14:paraId="645C4E4D">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02498B7B">
            <w:pPr>
              <w:widowControl/>
              <w:jc w:val="left"/>
              <w:rPr>
                <w:color w:val="auto"/>
                <w:szCs w:val="21"/>
                <w:highlight w:val="none"/>
              </w:rPr>
            </w:pPr>
            <w:r>
              <w:rPr>
                <w:rFonts w:hint="eastAsia"/>
                <w:color w:val="auto"/>
                <w:szCs w:val="21"/>
                <w:highlight w:val="none"/>
              </w:rPr>
              <w:t>1000≤Y＜5000</w:t>
            </w:r>
          </w:p>
        </w:tc>
        <w:tc>
          <w:tcPr>
            <w:tcW w:w="1570" w:type="dxa"/>
            <w:tcBorders>
              <w:top w:val="nil"/>
              <w:left w:val="nil"/>
              <w:bottom w:val="single" w:color="auto" w:sz="4" w:space="0"/>
              <w:right w:val="single" w:color="auto" w:sz="4" w:space="0"/>
            </w:tcBorders>
            <w:noWrap w:val="0"/>
            <w:vAlign w:val="center"/>
          </w:tcPr>
          <w:p w14:paraId="31C8A831">
            <w:pPr>
              <w:widowControl/>
              <w:jc w:val="left"/>
              <w:rPr>
                <w:color w:val="auto"/>
                <w:szCs w:val="21"/>
                <w:highlight w:val="none"/>
              </w:rPr>
            </w:pPr>
            <w:r>
              <w:rPr>
                <w:rFonts w:hint="eastAsia"/>
                <w:color w:val="auto"/>
                <w:szCs w:val="21"/>
                <w:highlight w:val="none"/>
              </w:rPr>
              <w:t>500≤Y＜1000</w:t>
            </w:r>
          </w:p>
        </w:tc>
        <w:tc>
          <w:tcPr>
            <w:tcW w:w="1009" w:type="dxa"/>
            <w:tcBorders>
              <w:top w:val="nil"/>
              <w:left w:val="nil"/>
              <w:bottom w:val="single" w:color="auto" w:sz="4" w:space="0"/>
              <w:right w:val="single" w:color="auto" w:sz="4" w:space="0"/>
            </w:tcBorders>
            <w:noWrap w:val="0"/>
            <w:vAlign w:val="center"/>
          </w:tcPr>
          <w:p w14:paraId="356FF3AB">
            <w:pPr>
              <w:widowControl/>
              <w:jc w:val="left"/>
              <w:rPr>
                <w:color w:val="auto"/>
                <w:szCs w:val="21"/>
                <w:highlight w:val="none"/>
              </w:rPr>
            </w:pPr>
            <w:r>
              <w:rPr>
                <w:rFonts w:hint="eastAsia"/>
                <w:color w:val="auto"/>
                <w:szCs w:val="21"/>
                <w:highlight w:val="none"/>
              </w:rPr>
              <w:t>Y＜500</w:t>
            </w:r>
          </w:p>
        </w:tc>
      </w:tr>
      <w:tr w14:paraId="6469A547">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E733029">
            <w:pPr>
              <w:widowControl/>
              <w:jc w:val="center"/>
              <w:rPr>
                <w:color w:val="auto"/>
                <w:szCs w:val="21"/>
                <w:highlight w:val="none"/>
              </w:rPr>
            </w:pPr>
            <w:r>
              <w:rPr>
                <w:rFonts w:hint="eastAsia"/>
                <w:color w:val="auto"/>
                <w:szCs w:val="21"/>
                <w:highlight w:val="none"/>
              </w:rPr>
              <w:t>租赁和商务服务业</w:t>
            </w:r>
          </w:p>
        </w:tc>
        <w:tc>
          <w:tcPr>
            <w:tcW w:w="1701" w:type="dxa"/>
            <w:tcBorders>
              <w:top w:val="nil"/>
              <w:left w:val="nil"/>
              <w:bottom w:val="single" w:color="auto" w:sz="4" w:space="0"/>
              <w:right w:val="single" w:color="auto" w:sz="4" w:space="0"/>
            </w:tcBorders>
            <w:noWrap w:val="0"/>
            <w:vAlign w:val="center"/>
          </w:tcPr>
          <w:p w14:paraId="795F55CB">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7DAE8846">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1CADD34E">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1425C65A">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7088C08F">
            <w:pPr>
              <w:widowControl/>
              <w:jc w:val="left"/>
              <w:rPr>
                <w:color w:val="auto"/>
                <w:szCs w:val="21"/>
                <w:highlight w:val="none"/>
              </w:rPr>
            </w:pPr>
            <w:r>
              <w:rPr>
                <w:rFonts w:hint="eastAsia"/>
                <w:color w:val="auto"/>
                <w:szCs w:val="21"/>
                <w:highlight w:val="none"/>
              </w:rPr>
              <w:t>X＜10</w:t>
            </w:r>
          </w:p>
        </w:tc>
      </w:tr>
      <w:tr w14:paraId="7BFB903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7853507C">
            <w:pPr>
              <w:widowControl/>
              <w:jc w:val="left"/>
              <w:rPr>
                <w:color w:val="auto"/>
                <w:szCs w:val="21"/>
                <w:highlight w:val="none"/>
              </w:rPr>
            </w:pPr>
          </w:p>
        </w:tc>
        <w:tc>
          <w:tcPr>
            <w:tcW w:w="1701" w:type="dxa"/>
            <w:tcBorders>
              <w:top w:val="nil"/>
              <w:left w:val="nil"/>
              <w:bottom w:val="single" w:color="auto" w:sz="4" w:space="0"/>
              <w:right w:val="single" w:color="auto" w:sz="4" w:space="0"/>
            </w:tcBorders>
            <w:noWrap w:val="0"/>
            <w:vAlign w:val="center"/>
          </w:tcPr>
          <w:p w14:paraId="0024AF3F">
            <w:pPr>
              <w:widowControl/>
              <w:jc w:val="left"/>
              <w:rPr>
                <w:color w:val="auto"/>
                <w:szCs w:val="21"/>
                <w:highlight w:val="none"/>
              </w:rPr>
            </w:pPr>
            <w:r>
              <w:rPr>
                <w:rFonts w:hint="eastAsia"/>
                <w:color w:val="auto"/>
                <w:szCs w:val="21"/>
                <w:highlight w:val="none"/>
              </w:rPr>
              <w:t>资产总额（Z）</w:t>
            </w:r>
          </w:p>
        </w:tc>
        <w:tc>
          <w:tcPr>
            <w:tcW w:w="1134" w:type="dxa"/>
            <w:tcBorders>
              <w:top w:val="nil"/>
              <w:left w:val="nil"/>
              <w:bottom w:val="single" w:color="auto" w:sz="4" w:space="0"/>
              <w:right w:val="single" w:color="auto" w:sz="4" w:space="0"/>
            </w:tcBorders>
            <w:noWrap w:val="0"/>
            <w:vAlign w:val="center"/>
          </w:tcPr>
          <w:p w14:paraId="74CC849E">
            <w:pPr>
              <w:widowControl/>
              <w:jc w:val="left"/>
              <w:rPr>
                <w:color w:val="auto"/>
                <w:szCs w:val="21"/>
                <w:highlight w:val="none"/>
              </w:rPr>
            </w:pPr>
            <w:r>
              <w:rPr>
                <w:rFonts w:hint="eastAsia"/>
                <w:color w:val="auto"/>
                <w:szCs w:val="21"/>
                <w:highlight w:val="none"/>
              </w:rPr>
              <w:t>万元</w:t>
            </w:r>
          </w:p>
        </w:tc>
        <w:tc>
          <w:tcPr>
            <w:tcW w:w="1846" w:type="dxa"/>
            <w:tcBorders>
              <w:top w:val="nil"/>
              <w:left w:val="nil"/>
              <w:bottom w:val="single" w:color="auto" w:sz="4" w:space="0"/>
              <w:right w:val="single" w:color="auto" w:sz="4" w:space="0"/>
            </w:tcBorders>
            <w:noWrap w:val="0"/>
            <w:vAlign w:val="center"/>
          </w:tcPr>
          <w:p w14:paraId="13734CC3">
            <w:pPr>
              <w:widowControl/>
              <w:jc w:val="left"/>
              <w:rPr>
                <w:color w:val="auto"/>
                <w:szCs w:val="21"/>
                <w:highlight w:val="none"/>
              </w:rPr>
            </w:pPr>
            <w:r>
              <w:rPr>
                <w:rFonts w:hint="eastAsia"/>
                <w:color w:val="auto"/>
                <w:szCs w:val="21"/>
                <w:highlight w:val="none"/>
              </w:rPr>
              <w:t>8000≤Z＜120000</w:t>
            </w:r>
          </w:p>
        </w:tc>
        <w:tc>
          <w:tcPr>
            <w:tcW w:w="1570" w:type="dxa"/>
            <w:tcBorders>
              <w:top w:val="nil"/>
              <w:left w:val="nil"/>
              <w:bottom w:val="single" w:color="auto" w:sz="4" w:space="0"/>
              <w:right w:val="single" w:color="auto" w:sz="4" w:space="0"/>
            </w:tcBorders>
            <w:noWrap w:val="0"/>
            <w:vAlign w:val="center"/>
          </w:tcPr>
          <w:p w14:paraId="24832FC7">
            <w:pPr>
              <w:widowControl/>
              <w:jc w:val="left"/>
              <w:rPr>
                <w:color w:val="auto"/>
                <w:szCs w:val="21"/>
                <w:highlight w:val="none"/>
              </w:rPr>
            </w:pPr>
            <w:r>
              <w:rPr>
                <w:rFonts w:hint="eastAsia"/>
                <w:color w:val="auto"/>
                <w:szCs w:val="21"/>
                <w:highlight w:val="none"/>
              </w:rPr>
              <w:t>100≤Z＜8000</w:t>
            </w:r>
          </w:p>
        </w:tc>
        <w:tc>
          <w:tcPr>
            <w:tcW w:w="1009" w:type="dxa"/>
            <w:tcBorders>
              <w:top w:val="nil"/>
              <w:left w:val="nil"/>
              <w:bottom w:val="single" w:color="auto" w:sz="4" w:space="0"/>
              <w:right w:val="single" w:color="auto" w:sz="4" w:space="0"/>
            </w:tcBorders>
            <w:noWrap w:val="0"/>
            <w:vAlign w:val="center"/>
          </w:tcPr>
          <w:p w14:paraId="5B7A0846">
            <w:pPr>
              <w:widowControl/>
              <w:jc w:val="left"/>
              <w:rPr>
                <w:color w:val="auto"/>
                <w:szCs w:val="21"/>
                <w:highlight w:val="none"/>
              </w:rPr>
            </w:pPr>
            <w:r>
              <w:rPr>
                <w:rFonts w:hint="eastAsia"/>
                <w:color w:val="auto"/>
                <w:szCs w:val="21"/>
                <w:highlight w:val="none"/>
              </w:rPr>
              <w:t>Y＜100</w:t>
            </w:r>
          </w:p>
        </w:tc>
      </w:tr>
      <w:tr w14:paraId="0624D16D">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4112A65C">
            <w:pPr>
              <w:widowControl/>
              <w:jc w:val="center"/>
              <w:rPr>
                <w:color w:val="auto"/>
                <w:szCs w:val="21"/>
                <w:highlight w:val="none"/>
              </w:rPr>
            </w:pPr>
            <w:r>
              <w:rPr>
                <w:rFonts w:hint="eastAsia"/>
                <w:color w:val="auto"/>
                <w:szCs w:val="21"/>
                <w:highlight w:val="none"/>
              </w:rPr>
              <w:t>其他未列明行业</w:t>
            </w:r>
          </w:p>
        </w:tc>
        <w:tc>
          <w:tcPr>
            <w:tcW w:w="1701" w:type="dxa"/>
            <w:tcBorders>
              <w:top w:val="nil"/>
              <w:left w:val="nil"/>
              <w:bottom w:val="single" w:color="auto" w:sz="4" w:space="0"/>
              <w:right w:val="single" w:color="auto" w:sz="4" w:space="0"/>
            </w:tcBorders>
            <w:noWrap w:val="0"/>
            <w:vAlign w:val="center"/>
          </w:tcPr>
          <w:p w14:paraId="590D95EC">
            <w:pPr>
              <w:widowControl/>
              <w:jc w:val="left"/>
              <w:rPr>
                <w:color w:val="auto"/>
                <w:szCs w:val="21"/>
                <w:highlight w:val="none"/>
              </w:rPr>
            </w:pPr>
            <w:r>
              <w:rPr>
                <w:rFonts w:hint="eastAsia"/>
                <w:color w:val="auto"/>
                <w:szCs w:val="21"/>
                <w:highlight w:val="none"/>
              </w:rPr>
              <w:t>从业人员（X）</w:t>
            </w:r>
          </w:p>
        </w:tc>
        <w:tc>
          <w:tcPr>
            <w:tcW w:w="1134" w:type="dxa"/>
            <w:tcBorders>
              <w:top w:val="nil"/>
              <w:left w:val="nil"/>
              <w:bottom w:val="single" w:color="auto" w:sz="4" w:space="0"/>
              <w:right w:val="single" w:color="auto" w:sz="4" w:space="0"/>
            </w:tcBorders>
            <w:noWrap w:val="0"/>
            <w:vAlign w:val="center"/>
          </w:tcPr>
          <w:p w14:paraId="35D098A5">
            <w:pPr>
              <w:widowControl/>
              <w:jc w:val="left"/>
              <w:rPr>
                <w:color w:val="auto"/>
                <w:szCs w:val="21"/>
                <w:highlight w:val="none"/>
              </w:rPr>
            </w:pPr>
            <w:r>
              <w:rPr>
                <w:rFonts w:hint="eastAsia"/>
                <w:color w:val="auto"/>
                <w:szCs w:val="21"/>
                <w:highlight w:val="none"/>
              </w:rPr>
              <w:t>人</w:t>
            </w:r>
          </w:p>
        </w:tc>
        <w:tc>
          <w:tcPr>
            <w:tcW w:w="1846" w:type="dxa"/>
            <w:tcBorders>
              <w:top w:val="nil"/>
              <w:left w:val="nil"/>
              <w:bottom w:val="single" w:color="auto" w:sz="4" w:space="0"/>
              <w:right w:val="single" w:color="auto" w:sz="4" w:space="0"/>
            </w:tcBorders>
            <w:noWrap w:val="0"/>
            <w:vAlign w:val="center"/>
          </w:tcPr>
          <w:p w14:paraId="05C21BEE">
            <w:pPr>
              <w:widowControl/>
              <w:jc w:val="left"/>
              <w:rPr>
                <w:color w:val="auto"/>
                <w:szCs w:val="21"/>
                <w:highlight w:val="none"/>
              </w:rPr>
            </w:pPr>
            <w:r>
              <w:rPr>
                <w:rFonts w:hint="eastAsia"/>
                <w:color w:val="auto"/>
                <w:szCs w:val="21"/>
                <w:highlight w:val="none"/>
              </w:rPr>
              <w:t>100≤X＜300</w:t>
            </w:r>
          </w:p>
        </w:tc>
        <w:tc>
          <w:tcPr>
            <w:tcW w:w="1570" w:type="dxa"/>
            <w:tcBorders>
              <w:top w:val="nil"/>
              <w:left w:val="nil"/>
              <w:bottom w:val="single" w:color="auto" w:sz="4" w:space="0"/>
              <w:right w:val="single" w:color="auto" w:sz="4" w:space="0"/>
            </w:tcBorders>
            <w:noWrap w:val="0"/>
            <w:vAlign w:val="center"/>
          </w:tcPr>
          <w:p w14:paraId="51119A97">
            <w:pPr>
              <w:widowControl/>
              <w:jc w:val="left"/>
              <w:rPr>
                <w:color w:val="auto"/>
                <w:szCs w:val="21"/>
                <w:highlight w:val="none"/>
              </w:rPr>
            </w:pPr>
            <w:r>
              <w:rPr>
                <w:rFonts w:hint="eastAsia"/>
                <w:color w:val="auto"/>
                <w:szCs w:val="21"/>
                <w:highlight w:val="none"/>
              </w:rPr>
              <w:t>10≤X＜100</w:t>
            </w:r>
          </w:p>
        </w:tc>
        <w:tc>
          <w:tcPr>
            <w:tcW w:w="1009" w:type="dxa"/>
            <w:tcBorders>
              <w:top w:val="nil"/>
              <w:left w:val="nil"/>
              <w:bottom w:val="single" w:color="auto" w:sz="4" w:space="0"/>
              <w:right w:val="single" w:color="auto" w:sz="4" w:space="0"/>
            </w:tcBorders>
            <w:noWrap w:val="0"/>
            <w:vAlign w:val="center"/>
          </w:tcPr>
          <w:p w14:paraId="0DCA1704">
            <w:pPr>
              <w:widowControl/>
              <w:jc w:val="left"/>
              <w:rPr>
                <w:color w:val="auto"/>
                <w:szCs w:val="21"/>
                <w:highlight w:val="none"/>
              </w:rPr>
            </w:pPr>
            <w:r>
              <w:rPr>
                <w:rFonts w:hint="eastAsia"/>
                <w:color w:val="auto"/>
                <w:szCs w:val="21"/>
                <w:highlight w:val="none"/>
              </w:rPr>
              <w:t>X＜10</w:t>
            </w:r>
          </w:p>
        </w:tc>
      </w:tr>
    </w:tbl>
    <w:p w14:paraId="16C4F3D8">
      <w:pPr>
        <w:spacing w:line="360" w:lineRule="auto"/>
        <w:ind w:firstLine="525" w:firstLineChars="250"/>
      </w:pPr>
      <w:r>
        <w:rPr>
          <w:rFonts w:hint="eastAsia"/>
          <w:color w:val="auto"/>
          <w:szCs w:val="21"/>
          <w:highlight w:val="none"/>
        </w:rPr>
        <w:t>说明：上述标准参照《关于印发中小企业划型标准规定的通知》（工信部联企业</w:t>
      </w:r>
      <w:r>
        <w:rPr>
          <w:rFonts w:hint="eastAsia"/>
          <w:color w:val="auto"/>
          <w:szCs w:val="21"/>
          <w:highlight w:val="none"/>
          <w:lang w:eastAsia="zh-CN"/>
        </w:rPr>
        <w:t>〔2011〕300号</w:t>
      </w:r>
      <w:r>
        <w:rPr>
          <w:rFonts w:hint="eastAsia"/>
          <w:color w:val="auto"/>
          <w:szCs w:val="21"/>
          <w:highlight w:val="none"/>
        </w:rPr>
        <w:t>），大型、中型和小型企业须同时满足所列指标的下限，否则下划一档；微型企业只须满足所列指标中的一项即可。</w:t>
      </w:r>
      <w:bookmarkEnd w:id="5"/>
      <w:bookmarkStart w:id="6" w:name="_GoBack"/>
      <w:bookmarkEnd w:id="6"/>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F"/>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A0764">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8</w:t>
    </w:r>
    <w:r>
      <w:fldChar w:fldCharType="end"/>
    </w:r>
  </w:p>
  <w:p w14:paraId="403A40A6">
    <w:pPr>
      <w:pStyle w:val="4"/>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4123B0">
    <w:pPr>
      <w:pStyle w:val="5"/>
      <w:jc w:val="left"/>
    </w:pPr>
    <w:r>
      <w:rPr>
        <w:rFonts w:hint="eastAsia"/>
      </w:rPr>
      <w:t xml:space="preserve">广西机电设备招标有限公司招标文件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84FCC0"/>
    <w:multiLevelType w:val="singleLevel"/>
    <w:tmpl w:val="7F84FCC0"/>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C419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line="380" w:lineRule="exact"/>
    </w:pPr>
    <w:rPr>
      <w:sz w:val="24"/>
    </w:rPr>
  </w:style>
  <w:style w:type="paragraph" w:styleId="3">
    <w:name w:val="Plain Text"/>
    <w:basedOn w:val="1"/>
    <w:next w:val="1"/>
    <w:qFormat/>
    <w:uiPriority w:val="0"/>
    <w:rPr>
      <w:rFonts w:ascii="宋体" w:hAnsi="Courier New" w:cs="Courier New"/>
      <w:szCs w:val="21"/>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2026-07-09T07:05:45Z</dcterms:created>
  <dc:creator>Administrator</dc:creator>
  <cp:lastModifiedBy>admin</cp:lastModifiedBy>
  <dcterms:modified xsi:type="dcterms:W3CDTF">2026-07-09T07:06:04Z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eyJoZGlkIjoiNTZlMzdlMTY3NDA3NDgzMmMwYjVjMDZiNjFlNWI5MTIiLCJ1c2VySWQiOiIxMDg2Nzc2Mzg1In0=</vt:lpwstr>
  </property>
  <property fmtid="{D5CDD505-2E9C-101B-9397-08002B2CF9AE}" pid="4" name="ICV">
    <vt:lpwstr>282E8EB512324A1397BF35A64F09363E_12</vt:lpwstr>
  </property>
</Properties>
</file>