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2806D">
      <w:pPr>
        <w:pStyle w:val="3"/>
        <w:snapToGrid w:val="0"/>
        <w:spacing w:before="120" w:after="120" w:line="320" w:lineRule="exact"/>
        <w:jc w:val="center"/>
        <w:outlineLvl w:val="0"/>
        <w:rPr>
          <w:rFonts w:hAnsi="宋体" w:eastAsia="宋体" w:cs="宋体"/>
          <w:sz w:val="32"/>
          <w:szCs w:val="32"/>
        </w:rPr>
      </w:pPr>
      <w:bookmarkStart w:id="0" w:name="_Toc114485412"/>
      <w:bookmarkStart w:id="1" w:name="_Toc89186350"/>
      <w:r>
        <w:rPr>
          <w:rFonts w:hint="eastAsia" w:hAnsi="宋体" w:eastAsia="宋体" w:cs="宋体"/>
          <w:sz w:val="32"/>
          <w:szCs w:val="32"/>
        </w:rPr>
        <w:t>第二章  采购需求</w:t>
      </w:r>
      <w:bookmarkEnd w:id="0"/>
      <w:bookmarkEnd w:id="1"/>
    </w:p>
    <w:p w14:paraId="30C298C2">
      <w:pPr>
        <w:jc w:val="center"/>
        <w:rPr>
          <w:rFonts w:ascii="宋体" w:hAnsi="宋体" w:eastAsia="宋体" w:cs="宋体"/>
          <w:sz w:val="28"/>
          <w:szCs w:val="28"/>
        </w:rPr>
      </w:pPr>
    </w:p>
    <w:p w14:paraId="4B14CB5C">
      <w:pPr>
        <w:spacing w:line="312" w:lineRule="auto"/>
        <w:ind w:firstLine="562" w:firstLineChars="200"/>
        <w:jc w:val="left"/>
        <w:outlineLvl w:val="1"/>
        <w:rPr>
          <w:rFonts w:ascii="宋体" w:hAnsi="宋体" w:eastAsia="宋体" w:cs="宋体"/>
          <w:b/>
          <w:kern w:val="0"/>
          <w:sz w:val="28"/>
          <w:szCs w:val="28"/>
        </w:rPr>
      </w:pPr>
      <w:r>
        <w:rPr>
          <w:rFonts w:hint="eastAsia" w:ascii="宋体" w:hAnsi="宋体" w:eastAsia="宋体" w:cs="宋体"/>
          <w:b/>
          <w:kern w:val="0"/>
          <w:sz w:val="28"/>
          <w:szCs w:val="28"/>
        </w:rPr>
        <w:t>一、工程量清单</w:t>
      </w:r>
    </w:p>
    <w:p w14:paraId="45B416A0">
      <w:pPr>
        <w:spacing w:line="312" w:lineRule="auto"/>
        <w:ind w:firstLine="422" w:firstLineChars="200"/>
        <w:jc w:val="left"/>
        <w:rPr>
          <w:rFonts w:ascii="宋体" w:hAnsi="宋体" w:eastAsia="宋体" w:cs="宋体"/>
          <w:b/>
          <w:bCs/>
          <w:kern w:val="0"/>
          <w:szCs w:val="21"/>
        </w:rPr>
      </w:pPr>
      <w:r>
        <w:rPr>
          <w:rFonts w:hint="eastAsia" w:ascii="宋体" w:hAnsi="宋体" w:eastAsia="宋体" w:cs="宋体"/>
          <w:b/>
          <w:bCs/>
          <w:kern w:val="0"/>
          <w:szCs w:val="21"/>
        </w:rPr>
        <w:t>1.工程量清单说明</w:t>
      </w:r>
    </w:p>
    <w:p w14:paraId="3EA21490">
      <w:pPr>
        <w:spacing w:line="360" w:lineRule="auto"/>
        <w:ind w:firstLine="420" w:firstLineChars="200"/>
        <w:rPr>
          <w:rFonts w:ascii="宋体" w:hAnsi="宋体" w:eastAsia="宋体" w:cs="宋体"/>
        </w:rPr>
      </w:pPr>
      <w:r>
        <w:rPr>
          <w:rFonts w:hint="eastAsia" w:ascii="宋体" w:hAnsi="宋体" w:eastAsia="宋体" w:cs="宋体"/>
        </w:rPr>
        <w:t>1.1本工程量清单依据《广西壮族自治区建设工程全过程计价规范》（以下简称《计价规范》）、《广西壮族自治区建设工程多层级工程量清单计算规范》（以下简称《计算规范》）、采购文件、图纸等编制。计算规范中没有的清单项目，应在本章第1.4款约定。</w:t>
      </w:r>
    </w:p>
    <w:p w14:paraId="017ADFF5">
      <w:pPr>
        <w:spacing w:line="360" w:lineRule="auto"/>
        <w:ind w:firstLine="420" w:firstLineChars="200"/>
        <w:rPr>
          <w:rFonts w:ascii="宋体" w:hAnsi="宋体" w:eastAsia="宋体" w:cs="宋体"/>
        </w:rPr>
      </w:pPr>
      <w:r>
        <w:rPr>
          <w:rFonts w:hint="eastAsia" w:ascii="宋体" w:hAnsi="宋体" w:eastAsia="宋体" w:cs="宋体"/>
        </w:rPr>
        <w:t>1.2 工程量清单应与供应商须知、合同协议条款、合同的通用条款、合同专用条款、技术规范及图纸等文件一起结合使用。</w:t>
      </w:r>
    </w:p>
    <w:p w14:paraId="72F76770">
      <w:pPr>
        <w:spacing w:line="360" w:lineRule="auto"/>
        <w:ind w:firstLine="420" w:firstLineChars="200"/>
        <w:rPr>
          <w:rFonts w:ascii="宋体" w:hAnsi="宋体" w:eastAsia="宋体" w:cs="宋体"/>
        </w:rPr>
      </w:pPr>
      <w:r>
        <w:rPr>
          <w:rFonts w:hint="eastAsia" w:ascii="宋体" w:hAnsi="宋体" w:eastAsia="宋体" w:cs="宋体"/>
        </w:rPr>
        <w:t>1.3 工程量清单是采购文件的组成部分。</w:t>
      </w:r>
    </w:p>
    <w:p w14:paraId="768989D8">
      <w:pPr>
        <w:spacing w:line="360" w:lineRule="auto"/>
        <w:ind w:firstLine="420" w:firstLineChars="200"/>
        <w:rPr>
          <w:rFonts w:ascii="宋体" w:hAnsi="宋体" w:eastAsia="宋体" w:cs="宋体"/>
        </w:rPr>
      </w:pPr>
      <w:r>
        <w:rPr>
          <w:rFonts w:hint="eastAsia" w:ascii="宋体" w:hAnsi="宋体" w:eastAsia="宋体" w:cs="宋体"/>
        </w:rPr>
        <w:t>1.4 补充清单项目的特征、计量单位、工程量计算规则及工作内容在发布的工程量清单编制说明中明确。</w:t>
      </w:r>
    </w:p>
    <w:p w14:paraId="59F7FB8C">
      <w:pPr>
        <w:spacing w:line="360" w:lineRule="auto"/>
        <w:ind w:firstLine="420" w:firstLineChars="200"/>
        <w:rPr>
          <w:rFonts w:ascii="宋体" w:hAnsi="宋体" w:eastAsia="宋体" w:cs="宋体"/>
        </w:rPr>
      </w:pPr>
      <w:r>
        <w:rPr>
          <w:rFonts w:hint="eastAsia" w:ascii="宋体" w:hAnsi="宋体" w:eastAsia="宋体" w:cs="宋体"/>
        </w:rPr>
        <w:t>1.5 工程量清单应载明人工及主要材料价差调整的相关信息，具体如下：</w:t>
      </w:r>
    </w:p>
    <w:p w14:paraId="5334386F">
      <w:pPr>
        <w:spacing w:line="360" w:lineRule="auto"/>
        <w:ind w:firstLine="420" w:firstLineChars="200"/>
        <w:rPr>
          <w:rFonts w:ascii="宋体" w:hAnsi="宋体" w:eastAsia="宋体" w:cs="宋体"/>
          <w:color w:val="auto"/>
          <w:highlight w:val="none"/>
        </w:rPr>
      </w:pPr>
      <w:r>
        <w:rPr>
          <w:rFonts w:hint="eastAsia" w:ascii="宋体" w:hAnsi="宋体" w:eastAsia="宋体" w:cs="宋体"/>
        </w:rPr>
        <w:sym w:font="Wingdings 2" w:char="00A3"/>
      </w:r>
      <w:r>
        <w:rPr>
          <w:rFonts w:hint="eastAsia" w:ascii="宋体" w:hAnsi="宋体" w:eastAsia="宋体" w:cs="宋体"/>
        </w:rPr>
        <w:t>本工程为单价合同，主要材料价差调整采用价格差额调整法，有关调价信息详见《允许调整</w:t>
      </w:r>
      <w:r>
        <w:rPr>
          <w:rFonts w:hint="eastAsia" w:ascii="宋体" w:hAnsi="宋体" w:eastAsia="宋体" w:cs="宋体"/>
          <w:color w:val="auto"/>
          <w:highlight w:val="none"/>
        </w:rPr>
        <w:t>价格的主要材料一览表》。</w:t>
      </w:r>
      <w:r>
        <w:rPr>
          <w:rFonts w:ascii="宋体" w:hAnsi="宋体" w:eastAsia="宋体" w:cs="宋体"/>
          <w:color w:val="auto"/>
          <w:highlight w:val="none"/>
          <w:lang w:val="en"/>
        </w:rPr>
        <w:t>人工基准价格指数和风险幅度详见合同专用条款11.2.1（2）。</w:t>
      </w:r>
    </w:p>
    <w:p w14:paraId="51D05E8F">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sym w:font="Wingdings 2" w:char="0052"/>
      </w:r>
      <w:r>
        <w:rPr>
          <w:rFonts w:hint="eastAsia" w:ascii="宋体" w:hAnsi="宋体" w:eastAsia="宋体" w:cs="宋体"/>
          <w:color w:val="auto"/>
          <w:highlight w:val="none"/>
        </w:rPr>
        <w:t>本工程为固定单价合同，人工及主要材料价差调整采用价格指数调整法。有关调价信息详见《人工及主要材料可调因子价格指数及权重表》。</w:t>
      </w:r>
    </w:p>
    <w:p w14:paraId="1389099A">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1.6 本工程暂列金额共</w:t>
      </w:r>
      <w:r>
        <w:rPr>
          <w:rFonts w:hint="eastAsia" w:ascii="宋体" w:hAnsi="宋体" w:eastAsia="宋体" w:cs="宋体"/>
          <w:color w:val="auto"/>
          <w:highlight w:val="none"/>
          <w:u w:val="single"/>
        </w:rPr>
        <w:t xml:space="preserve">  0  </w:t>
      </w:r>
      <w:r>
        <w:rPr>
          <w:rFonts w:hint="eastAsia" w:ascii="宋体" w:hAnsi="宋体" w:eastAsia="宋体" w:cs="宋体"/>
          <w:color w:val="auto"/>
          <w:highlight w:val="none"/>
        </w:rPr>
        <w:t>元，作为响应时尚未能确定或详细说明的工程、服务和工程实施中可能发生的合同价款调整等所预留的费用。</w:t>
      </w:r>
    </w:p>
    <w:p w14:paraId="19640F58">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1.7 本工程</w:t>
      </w:r>
      <w:bookmarkStart w:id="2" w:name="OLE_LINK1"/>
      <w:bookmarkStart w:id="3" w:name="OLE_LINK2"/>
      <w:r>
        <w:rPr>
          <w:rFonts w:hint="eastAsia" w:ascii="宋体" w:hAnsi="宋体" w:eastAsia="宋体" w:cs="宋体"/>
          <w:color w:val="auto"/>
          <w:highlight w:val="none"/>
        </w:rPr>
        <w:t>□有☑</w:t>
      </w:r>
      <w:bookmarkEnd w:id="2"/>
      <w:bookmarkEnd w:id="3"/>
      <w:r>
        <w:rPr>
          <w:rFonts w:hint="eastAsia" w:ascii="宋体" w:hAnsi="宋体" w:eastAsia="宋体" w:cs="宋体"/>
          <w:color w:val="auto"/>
          <w:highlight w:val="none"/>
        </w:rPr>
        <w:t>无材料暂估价，具体内容详见《材料暂估价明细表》，结算按实调整。</w:t>
      </w:r>
    </w:p>
    <w:p w14:paraId="77AD8099">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1.8 本工程□有☑无暂估专业工程，具体内容详见《专业工程暂估价明细表》，结算按实调整。</w:t>
      </w:r>
    </w:p>
    <w:p w14:paraId="0A0C7792">
      <w:pP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1.9 本工程□有☑无发包人提供的材料，具体内容详见《发包人提供材料一览表》。</w:t>
      </w:r>
    </w:p>
    <w:p w14:paraId="03DD9EC9">
      <w:pPr>
        <w:spacing w:line="360" w:lineRule="auto"/>
        <w:ind w:firstLine="420" w:firstLineChars="200"/>
        <w:rPr>
          <w:rFonts w:ascii="宋体" w:hAnsi="宋体" w:eastAsia="宋体" w:cs="宋体"/>
        </w:rPr>
      </w:pPr>
      <w:r>
        <w:rPr>
          <w:rFonts w:hint="eastAsia" w:ascii="宋体" w:hAnsi="宋体" w:eastAsia="宋体" w:cs="宋体"/>
        </w:rPr>
        <w:t>1.10 其它需要说明的问题：</w:t>
      </w:r>
      <w:r>
        <w:rPr>
          <w:rFonts w:hint="eastAsia" w:ascii="宋体" w:hAnsi="宋体" w:eastAsia="宋体" w:cs="宋体"/>
          <w:u w:val="single"/>
        </w:rPr>
        <w:t xml:space="preserve"> ①报价方式：采用工程量清单报价方式，供应商已标价工程量清单（包含首次报价、最后报价）的项目编码、项目名称及项目特征描述、计量单位、工程量须与采购工程量清单一致的，否则响应无效；最终报价不得高于最高限价。本项目采用二次报价方式，供应商的最终报价如有变动，则必须以工程量清单报价表的格式编制提交，供应商须提前做好相关准备并按时递交最终报价文件，否则报价无效。 ②响应报价是履行合同的最终价格，必须包含满足本次响应全部采购需求所应提供的服务包括：货物的价格；货物的标准附件、备品备件、专用工具的价格；运输、装卸、调试、培训、技术支持、售后服务、配合费、代理费、货物保护等费用；必要的保险费用和各项税费；包括安装和检测费；安装需要的土建内容 </w:t>
      </w:r>
      <w:r>
        <w:rPr>
          <w:rFonts w:hint="eastAsia" w:ascii="宋体" w:hAnsi="宋体" w:eastAsia="宋体" w:cs="宋体"/>
        </w:rPr>
        <w:t xml:space="preserve">。                                                       </w:t>
      </w:r>
    </w:p>
    <w:p w14:paraId="1DE3BFF5">
      <w:pPr>
        <w:spacing w:line="312" w:lineRule="auto"/>
        <w:ind w:firstLine="422" w:firstLineChars="200"/>
        <w:jc w:val="left"/>
        <w:rPr>
          <w:rFonts w:ascii="宋体" w:hAnsi="宋体" w:eastAsia="宋体" w:cs="宋体"/>
          <w:b/>
          <w:bCs/>
          <w:kern w:val="0"/>
          <w:szCs w:val="21"/>
        </w:rPr>
      </w:pPr>
      <w:r>
        <w:rPr>
          <w:rFonts w:hint="eastAsia" w:ascii="宋体" w:hAnsi="宋体" w:eastAsia="宋体" w:cs="宋体"/>
          <w:b/>
          <w:bCs/>
          <w:kern w:val="0"/>
          <w:szCs w:val="21"/>
        </w:rPr>
        <w:t>2.本工程预算金额评审依据</w:t>
      </w:r>
    </w:p>
    <w:p w14:paraId="25F4CA60">
      <w:pPr>
        <w:spacing w:line="360" w:lineRule="auto"/>
        <w:ind w:firstLine="420" w:firstLineChars="200"/>
        <w:rPr>
          <w:rFonts w:ascii="宋体" w:hAnsi="宋体" w:eastAsia="宋体" w:cs="宋体"/>
          <w:lang w:val="en"/>
        </w:rPr>
      </w:pPr>
      <w:r>
        <w:rPr>
          <w:rFonts w:hint="eastAsia" w:ascii="宋体" w:hAnsi="宋体" w:eastAsia="宋体" w:cs="宋体"/>
        </w:rPr>
        <w:t>（1）</w:t>
      </w:r>
      <w:r>
        <w:rPr>
          <w:rFonts w:hint="eastAsia" w:ascii="宋体" w:hAnsi="宋体" w:eastAsia="宋体" w:cs="宋体"/>
          <w:lang w:val="en"/>
        </w:rPr>
        <w:t>自治区建设行政主管部门颁发的《</w:t>
      </w:r>
      <w:r>
        <w:rPr>
          <w:rFonts w:hint="eastAsia" w:ascii="宋体" w:hAnsi="宋体" w:eastAsia="宋体" w:cs="宋体"/>
        </w:rPr>
        <w:t>计价规范》《</w:t>
      </w:r>
      <w:r>
        <w:rPr>
          <w:rFonts w:hint="eastAsia" w:ascii="宋体" w:hAnsi="宋体" w:eastAsia="宋体" w:cs="宋体"/>
          <w:lang w:val="en"/>
        </w:rPr>
        <w:t>计算规范》，以及根据工程需要补充的工程量计算规则；</w:t>
      </w:r>
    </w:p>
    <w:p w14:paraId="7036F7AB">
      <w:pPr>
        <w:spacing w:line="360" w:lineRule="auto"/>
        <w:ind w:firstLine="420" w:firstLineChars="200"/>
        <w:rPr>
          <w:rFonts w:ascii="宋体" w:hAnsi="宋体" w:eastAsia="宋体" w:cs="宋体"/>
          <w:lang w:val="en"/>
        </w:rPr>
      </w:pPr>
      <w:r>
        <w:rPr>
          <w:rFonts w:hint="eastAsia" w:ascii="宋体" w:hAnsi="宋体" w:eastAsia="宋体" w:cs="宋体"/>
        </w:rPr>
        <w:t>（2）采购</w:t>
      </w:r>
      <w:r>
        <w:rPr>
          <w:rFonts w:hint="eastAsia" w:ascii="宋体" w:hAnsi="宋体" w:eastAsia="宋体" w:cs="宋体"/>
          <w:lang w:val="en"/>
        </w:rPr>
        <w:t>文件（包括工程量清单、合同条款、图纸等）及其补遗、澄清或修改；</w:t>
      </w:r>
    </w:p>
    <w:p w14:paraId="398614E0">
      <w:pPr>
        <w:spacing w:line="360" w:lineRule="auto"/>
        <w:ind w:firstLine="420" w:firstLineChars="200"/>
        <w:rPr>
          <w:rFonts w:ascii="宋体" w:hAnsi="宋体" w:eastAsia="宋体" w:cs="宋体"/>
          <w:lang w:val="en"/>
        </w:rPr>
      </w:pPr>
      <w:r>
        <w:rPr>
          <w:rFonts w:hint="eastAsia" w:ascii="宋体" w:hAnsi="宋体" w:eastAsia="宋体" w:cs="宋体"/>
        </w:rPr>
        <w:t>（3）</w:t>
      </w:r>
      <w:r>
        <w:rPr>
          <w:rFonts w:hint="eastAsia" w:ascii="宋体" w:hAnsi="宋体" w:eastAsia="宋体" w:cs="宋体"/>
          <w:lang w:val="en"/>
        </w:rPr>
        <w:t>与</w:t>
      </w:r>
      <w:r>
        <w:rPr>
          <w:rFonts w:hint="eastAsia" w:ascii="宋体" w:hAnsi="宋体" w:eastAsia="宋体" w:cs="宋体"/>
        </w:rPr>
        <w:t>本</w:t>
      </w:r>
      <w:r>
        <w:rPr>
          <w:rFonts w:hint="eastAsia" w:ascii="宋体" w:hAnsi="宋体" w:eastAsia="宋体" w:cs="宋体"/>
          <w:lang w:val="en"/>
        </w:rPr>
        <w:t>工程相关的标准、规范、技术资料；</w:t>
      </w:r>
    </w:p>
    <w:p w14:paraId="203CB09E">
      <w:pPr>
        <w:spacing w:line="360" w:lineRule="auto"/>
        <w:ind w:firstLine="420" w:firstLineChars="200"/>
        <w:rPr>
          <w:rFonts w:ascii="宋体" w:hAnsi="宋体" w:eastAsia="宋体" w:cs="宋体"/>
          <w:lang w:val="en"/>
        </w:rPr>
      </w:pPr>
      <w:r>
        <w:rPr>
          <w:rFonts w:hint="eastAsia" w:ascii="宋体" w:hAnsi="宋体" w:eastAsia="宋体" w:cs="宋体"/>
        </w:rPr>
        <w:t>（4）</w:t>
      </w:r>
      <w:r>
        <w:rPr>
          <w:rFonts w:hint="eastAsia" w:ascii="宋体" w:hAnsi="宋体" w:eastAsia="宋体" w:cs="宋体"/>
          <w:lang w:val="en"/>
        </w:rPr>
        <w:t>施工现场情况、地勘水文资料、工程特点等；</w:t>
      </w:r>
    </w:p>
    <w:p w14:paraId="43BF04AE">
      <w:pPr>
        <w:spacing w:line="360" w:lineRule="auto"/>
        <w:ind w:firstLine="420" w:firstLineChars="200"/>
        <w:rPr>
          <w:rFonts w:ascii="宋体" w:hAnsi="宋体" w:eastAsia="宋体" w:cs="宋体"/>
          <w:lang w:val="en"/>
        </w:rPr>
      </w:pPr>
      <w:r>
        <w:rPr>
          <w:rFonts w:hint="eastAsia" w:ascii="宋体" w:hAnsi="宋体" w:eastAsia="宋体" w:cs="宋体"/>
        </w:rPr>
        <w:t>（5）</w:t>
      </w:r>
      <w:r>
        <w:rPr>
          <w:rFonts w:hint="eastAsia" w:ascii="宋体" w:hAnsi="宋体" w:eastAsia="宋体" w:cs="宋体"/>
          <w:lang w:val="en"/>
        </w:rPr>
        <w:t>合理施工工期及常规施工工艺、顺序；</w:t>
      </w:r>
    </w:p>
    <w:p w14:paraId="2DE60BC6">
      <w:pPr>
        <w:spacing w:line="360" w:lineRule="auto"/>
        <w:ind w:firstLine="420" w:firstLineChars="200"/>
        <w:rPr>
          <w:rFonts w:ascii="宋体" w:hAnsi="宋体" w:eastAsia="宋体" w:cs="宋体"/>
        </w:rPr>
      </w:pPr>
      <w:r>
        <w:rPr>
          <w:rFonts w:hint="eastAsia" w:ascii="宋体" w:hAnsi="宋体" w:eastAsia="宋体" w:cs="宋体"/>
        </w:rPr>
        <w:t>（6）预算金额计算方法及价格来源：</w:t>
      </w:r>
      <w:r>
        <w:rPr>
          <w:rFonts w:hint="eastAsia" w:ascii="宋体" w:hAnsi="宋体" w:eastAsia="宋体" w:cs="宋体"/>
          <w:u w:val="single"/>
        </w:rPr>
        <w:t xml:space="preserve">       /            </w:t>
      </w:r>
      <w:r>
        <w:rPr>
          <w:rFonts w:hint="eastAsia" w:ascii="宋体" w:hAnsi="宋体" w:eastAsia="宋体" w:cs="宋体"/>
        </w:rPr>
        <w:t>。</w:t>
      </w:r>
    </w:p>
    <w:p w14:paraId="43B4A7E7">
      <w:pPr>
        <w:spacing w:line="360" w:lineRule="auto"/>
        <w:ind w:firstLine="420" w:firstLineChars="200"/>
        <w:rPr>
          <w:rFonts w:ascii="宋体" w:hAnsi="宋体" w:eastAsia="宋体" w:cs="宋体"/>
        </w:rPr>
      </w:pPr>
      <w:r>
        <w:rPr>
          <w:rFonts w:hint="eastAsia" w:ascii="宋体" w:hAnsi="宋体" w:eastAsia="宋体" w:cs="宋体"/>
        </w:rPr>
        <w:t>2.2 分部分项及单价措施项目综合单价应包括采购文件中采购人要求成交供应商所承担的风险内容及其范围（幅度）产生的风险费用。</w:t>
      </w:r>
    </w:p>
    <w:p w14:paraId="10E1BC82">
      <w:pPr>
        <w:spacing w:line="360" w:lineRule="auto"/>
        <w:ind w:firstLine="420" w:firstLineChars="200"/>
        <w:rPr>
          <w:rFonts w:ascii="宋体" w:hAnsi="宋体" w:eastAsia="宋体" w:cs="宋体"/>
        </w:rPr>
      </w:pPr>
      <w:r>
        <w:rPr>
          <w:rFonts w:hint="eastAsia" w:ascii="宋体" w:hAnsi="宋体" w:eastAsia="宋体" w:cs="宋体"/>
        </w:rPr>
        <w:t>2.3 技术措施项目清单和综合措施项目清单根据拟定的采购文件和常规施工方案按《计价规范》和《计算规范》规定编制。</w:t>
      </w:r>
    </w:p>
    <w:p w14:paraId="79C1A638">
      <w:pPr>
        <w:spacing w:line="360" w:lineRule="auto"/>
        <w:ind w:firstLine="420" w:firstLineChars="200"/>
        <w:rPr>
          <w:rFonts w:ascii="宋体" w:hAnsi="宋体" w:eastAsia="宋体" w:cs="宋体"/>
        </w:rPr>
      </w:pPr>
      <w:r>
        <w:rPr>
          <w:rFonts w:hint="eastAsia" w:ascii="宋体" w:hAnsi="宋体" w:eastAsia="宋体" w:cs="宋体"/>
        </w:rPr>
        <w:t>2.4 其他项目费应按下列规定报价：</w:t>
      </w:r>
    </w:p>
    <w:p w14:paraId="1E404D81">
      <w:pPr>
        <w:spacing w:line="360" w:lineRule="auto"/>
        <w:ind w:firstLine="420" w:firstLineChars="200"/>
        <w:rPr>
          <w:rFonts w:ascii="宋体" w:hAnsi="宋体" w:eastAsia="宋体" w:cs="宋体"/>
        </w:rPr>
      </w:pPr>
      <w:r>
        <w:rPr>
          <w:rFonts w:hint="eastAsia" w:ascii="宋体" w:hAnsi="宋体" w:eastAsia="宋体" w:cs="宋体"/>
        </w:rPr>
        <w:t>（1）材料暂估价按工程量清单中列出的单价计算，不计入分部分项工程项目清单综合单价；</w:t>
      </w:r>
    </w:p>
    <w:p w14:paraId="39BCDD7C">
      <w:pPr>
        <w:spacing w:line="360" w:lineRule="auto"/>
        <w:ind w:firstLine="420" w:firstLineChars="200"/>
        <w:rPr>
          <w:rFonts w:ascii="宋体" w:hAnsi="宋体" w:eastAsia="宋体" w:cs="宋体"/>
        </w:rPr>
      </w:pPr>
      <w:r>
        <w:rPr>
          <w:rFonts w:hint="eastAsia" w:ascii="宋体" w:hAnsi="宋体" w:eastAsia="宋体" w:cs="宋体"/>
        </w:rPr>
        <w:t>（2）专业工程暂估价按工程量清单中列出的金额计算；</w:t>
      </w:r>
    </w:p>
    <w:p w14:paraId="6B8427B8">
      <w:pPr>
        <w:spacing w:line="360" w:lineRule="auto"/>
        <w:ind w:firstLine="420" w:firstLineChars="200"/>
        <w:rPr>
          <w:rFonts w:ascii="宋体" w:hAnsi="宋体" w:eastAsia="宋体" w:cs="宋体"/>
        </w:rPr>
      </w:pPr>
      <w:r>
        <w:rPr>
          <w:rFonts w:hint="eastAsia" w:ascii="宋体" w:hAnsi="宋体" w:eastAsia="宋体" w:cs="宋体"/>
        </w:rPr>
        <w:t>（3）暂列金额按工程量清单中列出的金额计算；</w:t>
      </w:r>
    </w:p>
    <w:p w14:paraId="78C8A8F7">
      <w:pPr>
        <w:spacing w:line="360" w:lineRule="auto"/>
        <w:ind w:firstLine="420" w:firstLineChars="200"/>
        <w:rPr>
          <w:rFonts w:ascii="宋体" w:hAnsi="宋体" w:eastAsia="宋体" w:cs="宋体"/>
        </w:rPr>
      </w:pPr>
      <w:r>
        <w:rPr>
          <w:rFonts w:hint="eastAsia" w:ascii="宋体" w:hAnsi="宋体" w:eastAsia="宋体" w:cs="宋体"/>
        </w:rPr>
        <w:t>（4）总承包服务费按工程量清单列出的需要供应商提供服务的服务内容计价。</w:t>
      </w:r>
    </w:p>
    <w:p w14:paraId="41D0044C">
      <w:pPr>
        <w:spacing w:line="360" w:lineRule="auto"/>
        <w:ind w:firstLine="420" w:firstLineChars="200"/>
        <w:rPr>
          <w:rFonts w:ascii="宋体" w:hAnsi="宋体" w:eastAsia="宋体" w:cs="宋体"/>
        </w:rPr>
      </w:pPr>
      <w:r>
        <w:rPr>
          <w:rFonts w:hint="eastAsia" w:ascii="宋体" w:hAnsi="宋体" w:eastAsia="宋体" w:cs="宋体"/>
        </w:rPr>
        <w:t>2.5 安全生产费按建设行政主管部门有关规定确定，作为不可竞争费用。</w:t>
      </w:r>
    </w:p>
    <w:p w14:paraId="099D6D2A">
      <w:pPr>
        <w:spacing w:line="360" w:lineRule="auto"/>
        <w:ind w:firstLine="420" w:firstLineChars="200"/>
        <w:rPr>
          <w:rFonts w:ascii="宋体" w:hAnsi="宋体" w:eastAsia="宋体" w:cs="宋体"/>
        </w:rPr>
      </w:pPr>
      <w:r>
        <w:rPr>
          <w:rFonts w:hint="eastAsia" w:ascii="宋体" w:hAnsi="宋体" w:eastAsia="宋体" w:cs="宋体"/>
        </w:rPr>
        <w:t>2.6 增值税按政府有关主管部门的规定计算。</w:t>
      </w:r>
    </w:p>
    <w:p w14:paraId="777E0E5A">
      <w:pPr>
        <w:spacing w:line="360" w:lineRule="auto"/>
        <w:ind w:firstLine="420" w:firstLineChars="200"/>
        <w:rPr>
          <w:rFonts w:ascii="宋体" w:hAnsi="宋体" w:eastAsia="宋体" w:cs="宋体"/>
        </w:rPr>
      </w:pPr>
      <w:r>
        <w:rPr>
          <w:rFonts w:hint="eastAsia" w:ascii="宋体" w:hAnsi="宋体" w:eastAsia="宋体" w:cs="宋体"/>
        </w:rPr>
        <w:t>2.7 其它需要说明的问题：</w:t>
      </w:r>
      <w:r>
        <w:rPr>
          <w:rFonts w:hint="eastAsia" w:ascii="宋体" w:hAnsi="宋体" w:eastAsia="宋体" w:cs="宋体"/>
          <w:u w:val="single"/>
        </w:rPr>
        <w:t>供应商在编制响应报价文件时，安责险应按工程量清单中给出的安责险暂估价的具体金额填写，不得调整</w:t>
      </w:r>
      <w:r>
        <w:rPr>
          <w:rFonts w:hint="eastAsia" w:ascii="宋体" w:hAnsi="宋体" w:eastAsia="宋体" w:cs="宋体"/>
        </w:rPr>
        <w:t xml:space="preserve">。 </w:t>
      </w:r>
    </w:p>
    <w:p w14:paraId="4BD1C393">
      <w:pPr>
        <w:spacing w:line="312" w:lineRule="auto"/>
        <w:ind w:firstLine="422" w:firstLineChars="200"/>
        <w:jc w:val="left"/>
        <w:rPr>
          <w:rFonts w:ascii="宋体" w:hAnsi="宋体" w:eastAsia="宋体" w:cs="宋体"/>
          <w:b/>
          <w:bCs/>
          <w:kern w:val="0"/>
          <w:szCs w:val="21"/>
        </w:rPr>
      </w:pPr>
      <w:r>
        <w:rPr>
          <w:rFonts w:hint="eastAsia" w:ascii="宋体" w:hAnsi="宋体" w:eastAsia="宋体" w:cs="宋体"/>
          <w:b/>
          <w:bCs/>
          <w:kern w:val="0"/>
          <w:szCs w:val="21"/>
        </w:rPr>
        <w:t>3.响应报价（已标价工程量清单）编制说明</w:t>
      </w:r>
    </w:p>
    <w:p w14:paraId="65177E70">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 供应商依据采购文件、工程量清单以及《计价规范》《计算规范》自主确定响应报价，并应对已标价工程量清单填报价格的一致性及合理性负责，承担不合理报价及总价合同工程量清单缺陷等风险。</w:t>
      </w:r>
    </w:p>
    <w:p w14:paraId="21DB9A4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 供应商的响应报价不得高于采购人公布的最高限价。</w:t>
      </w:r>
    </w:p>
    <w:p w14:paraId="1C28D29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3.3 供应商应在接收采购文件后，在规定时间内根据采购文件说明的工程特点及合同要求复查采购文件中计划工期的可行性及其风险与影响，对计划工期存有疑问的，应按采购文件的规定及时以书面形式提请采购人澄清或修正。供应商对计划工期或采购人澄清或修正后的计划工期无疑问的，供应商应根据自身的实施方案、施工技术、管理水平、合同履约风险及暂估专业工程工期等合理确定响应工期并响应报价。响应工期不得超过采购人的计划工期或澄清修正的计划工期。</w:t>
      </w:r>
    </w:p>
    <w:p w14:paraId="0F914C3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3.4 供应商应在接收采购文件后，在规定时间内根据工程特点、合同要求及现场踏勘情况，复查措施项目清单列项的完整性和适用性。如供应商对措施项目清单有疑问的，可按采购文件的规定以书面形式提请采购人澄清，采购人核实后作出修正的，供应商应按修正后的措施项目清单进行响应报价。若供应商认为需要增加措施项目的，可在措施项目中补充列项及报价，并对措施项目清单的准确性和完整性负责。</w:t>
      </w:r>
    </w:p>
    <w:p w14:paraId="7F0C5CF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3.5 采用单价合同的工程，供应商应在接收采购文件后，在规定时间内对工程量清单的分部分项工程项目清单进行复核。如供应商对分部分项工程项目清单有疑问的，应按采购文件的规定以书面形式提请采购人澄清，采购人核实后作出修正的，供应商应按修正后的分部分项工程项目清单进行响应报价。无论供应商是否已提出疑问，分部分项工程项目清单的完整性和准确性由采购人负责。</w:t>
      </w:r>
    </w:p>
    <w:p w14:paraId="0D1DDDF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3.6 采用总价合同的工程，供应商应在接收采购文件后，在规定时间内对工程量清单进行复核。如供应商对工程项目清单有疑问的，应按采购文件的规定以书面形式提请采购人澄清，采购人核实后作出修正的，供应商应按修正后的工程量清单进行报价。如供应商经复核认为工程量清单及其修正后（如有）的分部分项工程项目清单存在工程量清单缺陷的，可在已标价工程量清单的分部分项工程项目清单中进行补充完善及报价，并对已标价分部分项工程项目清单的完整性和准确性负责。无论供应商是否已提出疑问或按已修正后的工程量清单报价或对分部分项工程项目清单作出补充完善及报价，除工程量清单说明为暂定数量的单价计价分部分项工程项目清单外，合同价格不应因存在工程量清单缺陷而调整。</w:t>
      </w:r>
    </w:p>
    <w:p w14:paraId="34DF544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3.7 供应商的响应报价应包括采购文件中规定的由承包人承担范围及幅度内的风险费用。如采购文件中未明确相关风险责任的，供应商应在接收采购文件后，在规定的时间内提请采购人明确，采购人应在规定时间内予以书面答复。</w:t>
      </w:r>
    </w:p>
    <w:p w14:paraId="3B184F4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3.8 采用单价合同的工程，供应商应按要求完整填报工程量清单中所有清单项目的综合单价及其合价和（或）总价计价项目的价格，且每个清单项目应只填报一个报价，未按要求填报（漏填或未填）综合单价及其合价和（或）清单项目价格的，相关清单项目报价可视为已包含在其他的清单项目中。</w:t>
      </w:r>
    </w:p>
    <w:p w14:paraId="0C4C8041">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3.9 采用总价合同的工程，供应商应按规定补充完善工程量清单，并完整填报工程量清单中所有清单项目的综合单价及其合价和（或）总价计价项目的价格，且每个清单项目应只填报一个报价，未按要求填报（漏填或未填）综合单价及其合价和（或）清单项目价格的，相关清单项目报价可视为已包含在其他的清单项目中。</w:t>
      </w:r>
    </w:p>
    <w:p w14:paraId="3B066DEC">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3.10 供应商的响应总价应当与已标价工程量清单所含各项清单合价总额一致。</w:t>
      </w:r>
    </w:p>
    <w:p w14:paraId="1B1906D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3.11 响应报价编制应符合下列规定：</w:t>
      </w:r>
    </w:p>
    <w:p w14:paraId="2173C00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（1）《计价规范》；</w:t>
      </w:r>
    </w:p>
    <w:p w14:paraId="71FA83AD">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（2）自治区建设行政主管部门颁发的建设工程计算规范及根据工程需要补充的工程量计算规则；</w:t>
      </w:r>
    </w:p>
    <w:p w14:paraId="3CF801C2">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（3）采购文件（包括工程量清单、合同条款、图纸等）及其补遗、答疑、澄清或修正；</w:t>
      </w:r>
    </w:p>
    <w:p w14:paraId="6ABB739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（4）与本工程相关的技术、标准、规范等技术资料；</w:t>
      </w:r>
    </w:p>
    <w:p w14:paraId="2254513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（5）工程特点、地勘水文资料、现场踏勘情况；</w:t>
      </w:r>
    </w:p>
    <w:p w14:paraId="2C47625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（6）供应商的工程实施方案及投标工期；</w:t>
      </w:r>
    </w:p>
    <w:p w14:paraId="68C192C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（7）供应商的企业定额、工程造价数据、价格指数、市场价格信息及价格变动预期、装备及管理水平、造价资讯等；</w:t>
      </w:r>
    </w:p>
    <w:p w14:paraId="2DDB681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（8）其他相关资料。</w:t>
      </w:r>
    </w:p>
    <w:p w14:paraId="3D8C6A8E">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 xml:space="preserve"> 3.12 下列事项引起的计量与计价风险应由承包人承担，承包人在响应报价中应予考虑，因其引起的合同价格和（或）工期变化应视为已包含在合同总价及合同工期内，除合同另有约定外，合同价格和工期不应予调整。</w:t>
      </w:r>
    </w:p>
    <w:p w14:paraId="2F96742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（1）措施项目清单的准确性及完整性；</w:t>
      </w:r>
    </w:p>
    <w:p w14:paraId="3EB36A3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采用总价合同的工程，已标价工程量清单存在的缺陷（单价计价的暂定数量清单项目除外），以及承包人为完成总价合同中合同图纸及合同规范所要求的工程、自治区建设行政主管部门颁发的工程量计算规范中工作内容说明的所有工作所需费用；</w:t>
      </w:r>
    </w:p>
    <w:p w14:paraId="031BF89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（3）采用单价合同的工程，承包人为完成工程量清单及其项目特征所说明的工程、自治区建设行政主管部门颁发的工程量计算规范中工作内容说明的所有工作所需费用；</w:t>
      </w:r>
    </w:p>
    <w:p w14:paraId="456D0F5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（4）承包人因自身原因引起实施方案变化引起的费用调整；</w:t>
      </w:r>
    </w:p>
    <w:p w14:paraId="4D503EE5">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（5）承包人因施工机具使用、施工技术应用以及组织管理水平等自身原因造成的施工费用增加；</w:t>
      </w:r>
    </w:p>
    <w:p w14:paraId="2D43727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（6）承包人因自身原因引起的赶工、停工或暂缓施工；</w:t>
      </w:r>
    </w:p>
    <w:p w14:paraId="24D64D4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（7）未超出采购文件、合同约定物价变化范围和波动幅度的市场物价变动；</w:t>
      </w:r>
    </w:p>
    <w:p w14:paraId="6E5DE442">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（8）其他应当由承包人承担责任的事项。</w:t>
      </w:r>
    </w:p>
    <w:p w14:paraId="2CEA332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3.13 供应商按自治区建设行政主管部门颁发的计算规范规定和采购人补充的工程量计算规则，对分部分项工程项目清单的所有清单项目进行报价，其报价应满足下列因素对价格的要求：</w:t>
      </w:r>
    </w:p>
    <w:p w14:paraId="5F0BD0D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（1）工程数量对材料采购及人工价格的影响；</w:t>
      </w:r>
    </w:p>
    <w:p w14:paraId="45D6736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（2）采购文件规定物价变化进行价格调整的清单项目，在调整的范围和波动幅度内市场物价变动及调整时段带来的承包风险的影响；</w:t>
      </w:r>
    </w:p>
    <w:p w14:paraId="08C6110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（3）采购文件未规定物价变化进行价格调整的清单项目的材料费、人工费、施工机具使用费等市场价格波动的影响；</w:t>
      </w:r>
    </w:p>
    <w:p w14:paraId="334DCB2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（4）单价合同工程量清单缺陷价格调整和工程变更计价规定的工程数量变化带来的承包风险的影响；</w:t>
      </w:r>
    </w:p>
    <w:p w14:paraId="325E7914">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（5）总价合同工程量清单缺陷责任及价格包干规定，以及工程变更计价规则带来的承包风险的影响；</w:t>
      </w:r>
    </w:p>
    <w:p w14:paraId="0BE0A32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（6）除采购文件中合同价款调整外，总价合同及单价合同中综合单价不作调整的规定所引起的承包风险的影响；</w:t>
      </w:r>
    </w:p>
    <w:p w14:paraId="42CF8C6F">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（7）供应商可根据实际情况对采购人提供的分部分项工程预算清单项目中的主要材料消耗量进行调整。</w:t>
      </w:r>
    </w:p>
    <w:p w14:paraId="5E499EBD">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3.14 对分部分项工程项目清单中按项计价的项目，供应商应按其项目特征的工作内容、自身的实施方案、市场合理价格，以及履行采购图纸和技术标准规范要求、工程变更价格调整引起的承包风险，对按项计价项目进行响应报价。除合同另有约定外，按项计价项目报价为包干价，工程结算时不应做调整。</w:t>
      </w:r>
    </w:p>
    <w:p w14:paraId="06588102">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3.15 对分部分项工程项目清单中发包人提供材料的清单项目，供应商应按采购文件说明的发包人提供材料的规格型号，对发包人提供材料的清单项目进行安装报价，并应满足工程数量对人工价格变化、采购文件规定的有效损耗率、自身原因超耗使用材料产生的承包风险等要求。响应报价的综合单价及总价不应包含发包人提供材料的供货人将相关的材料运抵交货地点、完成卸货的费用。</w:t>
      </w:r>
    </w:p>
    <w:p w14:paraId="23F10D0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3.16 对分部分项工程项目清单中载明材料暂估价的清单项目，应按采购人提供的工程量清单中的《材料暂估价明细表》载明的材料暂估单价计入其他项目清单费用，不计入清单项目综合单价中，清单项目仅包含安装费用。</w:t>
      </w:r>
    </w:p>
    <w:p w14:paraId="7960AAC1">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3.17 供应商应按自身的工程实施方案及响应工期、拟定的措施项目，对措施项目清单进行自主报价。措施项目清单的报价应满足下列因素对价格影响的要求：</w:t>
      </w:r>
    </w:p>
    <w:p w14:paraId="1F14627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（1）本工程的特点及其标段划分和完工交付标准；</w:t>
      </w:r>
    </w:p>
    <w:p w14:paraId="33D9903A">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（2）工程地质条件、邻近建筑物、现场设施情况、周边道路、交通、水文、环境；</w:t>
      </w:r>
    </w:p>
    <w:p w14:paraId="1504370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（3）采购文件说明的相关合同责任；</w:t>
      </w:r>
    </w:p>
    <w:p w14:paraId="702FB3B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（4）采购文件规定的承包风险；</w:t>
      </w:r>
    </w:p>
    <w:p w14:paraId="09B67887">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（5）除工程变更、新增工程、工程索赔等引起的措施项目费用调整外，执行措施项目费用包干引起的承包风险。</w:t>
      </w:r>
    </w:p>
    <w:p w14:paraId="5771297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3.18 供应商应按工程量清单中提供的暂列金额、材料暂估价、专业工程暂估价，准确填报在其他项目清单内。</w:t>
      </w:r>
    </w:p>
    <w:p w14:paraId="50F133F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3.19 供应商应按工程实施方案和对暂估专业工程的工期安排，以及对发包人提供材料的供应履行管理及协调责任、对各暂估专业工程履行协调及配合责任等采购文件规定的总承包服务内容及要求进行投标报价，并应满足总承包服务费计价风险的要求。</w:t>
      </w:r>
    </w:p>
    <w:p w14:paraId="1ABBBFD2">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3.20 供应商应在响应文件递交时完整递交与已标价工程量清单中综合单价及合价一致的费用构成明细表，相关表格应符合《分部分项工程项目清单综合单价分析表》《技术措施综合单价分析表》要求。</w:t>
      </w:r>
    </w:p>
    <w:p w14:paraId="1B98BC28">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3.21 供应商应根据政府有关主管部门的规定计算增值税。</w:t>
      </w:r>
    </w:p>
    <w:p w14:paraId="210CEF3E">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3.22 供应商响应采购文件的要求填写《允许调整价格的主要材料一览表》相应材料的投标报价或《人工及主要材料可调因子价格指数及权重表》表中可调因子权重。供应商若发现采购人提供的工程量清单或发包人要求中无《允许调整价格主要材料一览表》《人工及主要材料可调因子价格指数及权重表》或表格内容未明确的，在规定时间内提出质疑，采购人在规定时间内进行修改。如供应商未填写可调因子权重，材料价格上涨时则按采购人提供的权重范围低值计算，材料下跌时按采购人提供的权重范围高值计算。</w:t>
      </w:r>
    </w:p>
    <w:p w14:paraId="2B4BC0AB">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3.23 安全生产费应按自治区建设行政主管部门规定的计算基础和费率计算，作为不可竞争费用。</w:t>
      </w:r>
    </w:p>
    <w:p w14:paraId="773AC849">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3.24 响应总价应当与分部分项工程费、技术措施项目费、综合措施项目费、其他项目费的合计金额一致。</w:t>
      </w:r>
    </w:p>
    <w:p w14:paraId="616AF291">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未尽事宜详见本工程量清单以及现行《计价规范》等有关规定执行。</w:t>
      </w:r>
    </w:p>
    <w:p w14:paraId="1FE8F6E6">
      <w:pPr>
        <w:spacing w:line="312"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3.25合同签订期：自成交通知书发出之日起15日内（注：成交通知书发出之日起15日内必须签订合同。）</w:t>
      </w:r>
    </w:p>
    <w:p w14:paraId="7ED9522B">
      <w:pPr>
        <w:spacing w:line="312" w:lineRule="auto"/>
        <w:ind w:firstLine="562" w:firstLineChars="200"/>
        <w:jc w:val="left"/>
        <w:outlineLvl w:val="1"/>
        <w:rPr>
          <w:rFonts w:ascii="宋体" w:hAnsi="宋体" w:eastAsia="宋体" w:cs="宋体"/>
          <w:b/>
          <w:kern w:val="0"/>
          <w:sz w:val="28"/>
          <w:szCs w:val="28"/>
        </w:rPr>
      </w:pPr>
      <w:r>
        <w:rPr>
          <w:rFonts w:hint="eastAsia" w:ascii="宋体" w:hAnsi="宋体" w:eastAsia="宋体" w:cs="宋体"/>
          <w:b/>
          <w:kern w:val="0"/>
          <w:sz w:val="28"/>
          <w:szCs w:val="28"/>
        </w:rPr>
        <w:t>二、危险性较大的分部分项工程清单</w:t>
      </w:r>
    </w:p>
    <w:p w14:paraId="187CC279">
      <w:pPr>
        <w:spacing w:line="312" w:lineRule="auto"/>
        <w:ind w:firstLine="630" w:firstLineChars="300"/>
        <w:jc w:val="left"/>
        <w:rPr>
          <w:rFonts w:ascii="宋体" w:hAnsi="宋体" w:eastAsia="宋体" w:cs="宋体"/>
          <w:bCs/>
          <w:kern w:val="0"/>
          <w:szCs w:val="21"/>
        </w:rPr>
      </w:pPr>
      <w:r>
        <w:rPr>
          <w:rFonts w:hint="eastAsia" w:ascii="宋体" w:hAnsi="宋体" w:eastAsia="宋体" w:cs="宋体"/>
          <w:bCs/>
          <w:kern w:val="0"/>
          <w:szCs w:val="21"/>
        </w:rPr>
        <w:t>无。</w:t>
      </w:r>
    </w:p>
    <w:p w14:paraId="795910EA">
      <w:pPr>
        <w:spacing w:line="312" w:lineRule="auto"/>
        <w:ind w:firstLine="562" w:firstLineChars="200"/>
        <w:jc w:val="left"/>
        <w:outlineLvl w:val="1"/>
        <w:rPr>
          <w:rFonts w:ascii="宋体" w:hAnsi="宋体" w:eastAsia="宋体" w:cs="宋体"/>
          <w:b/>
          <w:kern w:val="0"/>
          <w:sz w:val="28"/>
          <w:szCs w:val="28"/>
        </w:rPr>
      </w:pPr>
      <w:r>
        <w:rPr>
          <w:rFonts w:hint="eastAsia" w:ascii="宋体" w:hAnsi="宋体" w:eastAsia="宋体" w:cs="宋体"/>
          <w:b/>
          <w:kern w:val="0"/>
          <w:sz w:val="28"/>
          <w:szCs w:val="28"/>
        </w:rPr>
        <w:t>三、图纸</w:t>
      </w:r>
    </w:p>
    <w:p w14:paraId="56FA089C">
      <w:pPr>
        <w:spacing w:line="312" w:lineRule="auto"/>
        <w:ind w:firstLine="420" w:firstLineChars="200"/>
        <w:jc w:val="left"/>
        <w:rPr>
          <w:rFonts w:ascii="宋体" w:hAnsi="宋体" w:eastAsia="宋体" w:cs="宋体"/>
          <w:bCs/>
          <w:kern w:val="0"/>
          <w:szCs w:val="21"/>
        </w:rPr>
      </w:pPr>
      <w:r>
        <w:rPr>
          <w:rFonts w:hint="eastAsia" w:ascii="宋体" w:hAnsi="宋体" w:eastAsia="宋体" w:cs="宋体"/>
          <w:bCs/>
          <w:kern w:val="0"/>
          <w:szCs w:val="21"/>
        </w:rPr>
        <w:t>图纸详见本采购文件附件。</w:t>
      </w:r>
    </w:p>
    <w:p w14:paraId="46BCD26A">
      <w:pPr>
        <w:spacing w:line="312" w:lineRule="auto"/>
        <w:ind w:firstLine="562" w:firstLineChars="200"/>
        <w:jc w:val="left"/>
        <w:outlineLvl w:val="1"/>
        <w:rPr>
          <w:rFonts w:ascii="宋体" w:hAnsi="宋体" w:eastAsia="宋体" w:cs="宋体"/>
          <w:b/>
          <w:kern w:val="0"/>
          <w:sz w:val="28"/>
          <w:szCs w:val="28"/>
        </w:rPr>
      </w:pPr>
      <w:r>
        <w:rPr>
          <w:rFonts w:hint="eastAsia" w:ascii="宋体" w:hAnsi="宋体" w:eastAsia="宋体" w:cs="宋体"/>
          <w:b/>
          <w:kern w:val="0"/>
          <w:sz w:val="28"/>
          <w:szCs w:val="28"/>
        </w:rPr>
        <w:t>四、技术配置及交付标准</w:t>
      </w:r>
    </w:p>
    <w:p w14:paraId="14FBD563">
      <w:pPr>
        <w:spacing w:line="312" w:lineRule="auto"/>
        <w:ind w:firstLine="420" w:firstLineChars="200"/>
        <w:jc w:val="left"/>
        <w:rPr>
          <w:rFonts w:ascii="宋体" w:hAnsi="宋体" w:eastAsia="宋体" w:cs="宋体"/>
          <w:bCs/>
          <w:kern w:val="0"/>
          <w:szCs w:val="21"/>
        </w:rPr>
      </w:pPr>
      <w:r>
        <w:rPr>
          <w:rFonts w:hint="eastAsia" w:ascii="宋体" w:hAnsi="宋体" w:eastAsia="宋体" w:cs="宋体"/>
          <w:bCs/>
          <w:kern w:val="0"/>
          <w:szCs w:val="21"/>
        </w:rPr>
        <w:t>符合</w:t>
      </w:r>
      <w:r>
        <w:rPr>
          <w:rFonts w:ascii="宋体" w:hAnsi="宋体" w:eastAsia="宋体" w:cs="宋体"/>
          <w:bCs/>
          <w:kern w:val="0"/>
          <w:szCs w:val="21"/>
        </w:rPr>
        <w:t>国家行业和地方现行标准、规范和规程</w:t>
      </w:r>
    </w:p>
    <w:p w14:paraId="34BDCAE6">
      <w:pPr>
        <w:spacing w:line="312" w:lineRule="auto"/>
        <w:ind w:firstLine="562" w:firstLineChars="200"/>
        <w:jc w:val="left"/>
        <w:outlineLvl w:val="1"/>
        <w:rPr>
          <w:rFonts w:ascii="宋体" w:hAnsi="宋体" w:eastAsia="宋体" w:cs="宋体"/>
          <w:b/>
          <w:kern w:val="0"/>
          <w:sz w:val="28"/>
          <w:szCs w:val="28"/>
        </w:rPr>
      </w:pPr>
      <w:r>
        <w:rPr>
          <w:rFonts w:hint="eastAsia" w:ascii="宋体" w:hAnsi="宋体" w:eastAsia="宋体" w:cs="宋体"/>
          <w:b/>
          <w:kern w:val="0"/>
          <w:sz w:val="28"/>
          <w:szCs w:val="28"/>
        </w:rPr>
        <w:t>五、本项目标的所属行业</w:t>
      </w:r>
    </w:p>
    <w:p w14:paraId="62BA1408">
      <w:pPr>
        <w:spacing w:line="312" w:lineRule="auto"/>
        <w:ind w:firstLine="420" w:firstLineChars="200"/>
        <w:jc w:val="left"/>
      </w:pPr>
      <w:bookmarkStart w:id="4" w:name="_Hlk74905748"/>
      <w:r>
        <w:rPr>
          <w:rFonts w:hint="eastAsia" w:ascii="宋体" w:hAnsi="宋体" w:eastAsia="宋体" w:cs="宋体"/>
          <w:bCs/>
          <w:kern w:val="0"/>
          <w:szCs w:val="21"/>
        </w:rPr>
        <w:t>本项目所属行业：</w:t>
      </w:r>
      <w:r>
        <w:rPr>
          <w:rFonts w:hint="eastAsia" w:ascii="宋体" w:hAnsi="宋体" w:eastAsia="宋体" w:cs="宋体"/>
          <w:b/>
          <w:kern w:val="0"/>
          <w:szCs w:val="21"/>
        </w:rPr>
        <w:t>建筑业</w:t>
      </w:r>
      <w:bookmarkEnd w:id="4"/>
      <w:r>
        <w:rPr>
          <w:rFonts w:hint="eastAsia" w:ascii="宋体" w:hAnsi="宋体" w:eastAsia="宋体" w:cs="宋体"/>
          <w:bCs/>
          <w:kern w:val="0"/>
          <w:szCs w:val="21"/>
        </w:rPr>
        <w:t>。</w:t>
      </w:r>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292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等线"/>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rFonts w:ascii="Times New Roman" w:hAnsi="Times New Roman"/>
      <w:bCs/>
      <w:spacing w:val="10"/>
      <w:kern w:val="0"/>
      <w:sz w:val="24"/>
      <w:szCs w:val="20"/>
    </w:rPr>
  </w:style>
  <w:style w:type="paragraph" w:styleId="3">
    <w:name w:val="Plain Text"/>
    <w:basedOn w:val="1"/>
    <w:qFormat/>
    <w:uiPriority w:val="0"/>
    <w:rPr>
      <w:rFonts w:ascii="宋体" w:hAnsi="Courier New" w:cs="Courier New"/>
      <w:szCs w:val="21"/>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2026-08-31T03:52:35Z</dcterms:created>
  <dc:creator>Administrator</dc:creator>
  <cp:lastModifiedBy>admin</cp:lastModifiedBy>
  <dcterms:modified xsi:type="dcterms:W3CDTF">2026-08-31T03:52:42Z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eyJoZGlkIjoiNTZlMzdlMTY3NDA3NDgzMmMwYjVjMDZiNjFlNWI5MTIiLCJ1c2VySWQiOiIxMDg2Nzc2Mzg1In0=</vt:lpwstr>
  </property>
  <property fmtid="{D5CDD505-2E9C-101B-9397-08002B2CF9AE}" pid="4" name="ICV">
    <vt:lpwstr>02A81810FE3A4BD4BE2897DFF5EAE65F_12</vt:lpwstr>
  </property>
</Properties>
</file>