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3AC5C7E">
      <w:pPr>
        <w:pStyle w:val="2"/>
        <w:kinsoku w:val="0"/>
        <w:overflowPunct w:val="0"/>
        <w:rPr>
          <w:color w:val="auto"/>
          <w:sz w:val="20"/>
          <w:highlight w:val="none"/>
        </w:rPr>
      </w:pPr>
      <w:bookmarkStart w:id="0" w:name="_Toc183682338"/>
      <w:bookmarkStart w:id="1" w:name="_Toc217446030"/>
      <w:r>
        <w:rPr>
          <w:rFonts w:hint="eastAsia"/>
          <w:color w:val="auto"/>
          <w:highlight w:val="none"/>
          <w:lang w:eastAsia="zh-CN"/>
        </w:rPr>
        <w:drawing>
          <wp:anchor distT="0" distB="0" distL="114300" distR="114300" simplePos="0" relativeHeight="251659264" behindDoc="1" locked="0" layoutInCell="1" allowOverlap="1">
            <wp:simplePos x="0" y="0"/>
            <wp:positionH relativeFrom="column">
              <wp:posOffset>-1005840</wp:posOffset>
            </wp:positionH>
            <wp:positionV relativeFrom="paragraph">
              <wp:posOffset>-914400</wp:posOffset>
            </wp:positionV>
            <wp:extent cx="7190740" cy="10781030"/>
            <wp:effectExtent l="0" t="0" r="10160" b="1270"/>
            <wp:wrapNone/>
            <wp:docPr id="1" name="图片 5" descr="2-2-3辅助图形3白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5" descr="2-2-3辅助图形3白底"/>
                    <pic:cNvPicPr>
                      <a:picLocks noChangeAspect="1"/>
                    </pic:cNvPicPr>
                  </pic:nvPicPr>
                  <pic:blipFill>
                    <a:blip r:embed="rId18"/>
                    <a:stretch>
                      <a:fillRect/>
                    </a:stretch>
                  </pic:blipFill>
                  <pic:spPr>
                    <a:xfrm>
                      <a:off x="0" y="0"/>
                      <a:ext cx="7190740" cy="10781030"/>
                    </a:xfrm>
                    <a:prstGeom prst="rect">
                      <a:avLst/>
                    </a:prstGeom>
                    <a:noFill/>
                    <a:ln>
                      <a:noFill/>
                    </a:ln>
                  </pic:spPr>
                </pic:pic>
              </a:graphicData>
            </a:graphic>
          </wp:anchor>
        </w:drawing>
      </w:r>
    </w:p>
    <w:p w14:paraId="07811918">
      <w:pPr>
        <w:tabs>
          <w:tab w:val="left" w:pos="1710"/>
        </w:tabs>
        <w:jc w:val="center"/>
        <w:rPr>
          <w:color w:val="auto"/>
          <w:highlight w:val="none"/>
        </w:rPr>
      </w:pPr>
      <w:r>
        <w:rPr>
          <w:rFonts w:hint="eastAsia"/>
          <w:color w:val="auto"/>
          <w:highlight w:val="none"/>
          <w:lang w:eastAsia="zh-CN"/>
        </w:rPr>
        <w:drawing>
          <wp:inline distT="0" distB="0" distL="114300" distR="114300">
            <wp:extent cx="4654550" cy="583565"/>
            <wp:effectExtent l="0" t="0" r="12700" b="6985"/>
            <wp:docPr id="2" name="图片 7" descr="1-2-1LOGO中英文全称横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7" descr="1-2-1LOGO中英文全称横式"/>
                    <pic:cNvPicPr>
                      <a:picLocks noChangeAspect="1"/>
                    </pic:cNvPicPr>
                  </pic:nvPicPr>
                  <pic:blipFill>
                    <a:blip r:embed="rId19"/>
                    <a:stretch>
                      <a:fillRect/>
                    </a:stretch>
                  </pic:blipFill>
                  <pic:spPr>
                    <a:xfrm>
                      <a:off x="0" y="0"/>
                      <a:ext cx="4654550" cy="583565"/>
                    </a:xfrm>
                    <a:prstGeom prst="rect">
                      <a:avLst/>
                    </a:prstGeom>
                    <a:noFill/>
                    <a:ln>
                      <a:noFill/>
                    </a:ln>
                  </pic:spPr>
                </pic:pic>
              </a:graphicData>
            </a:graphic>
          </wp:inline>
        </w:drawing>
      </w:r>
    </w:p>
    <w:p w14:paraId="51A5EFEC">
      <w:pPr>
        <w:tabs>
          <w:tab w:val="left" w:pos="1710"/>
        </w:tabs>
        <w:rPr>
          <w:color w:val="auto"/>
          <w:highlight w:val="none"/>
        </w:rPr>
      </w:pPr>
    </w:p>
    <w:p w14:paraId="26B6483B">
      <w:pPr>
        <w:tabs>
          <w:tab w:val="left" w:pos="1710"/>
        </w:tabs>
        <w:rPr>
          <w:color w:val="auto"/>
          <w:highlight w:val="none"/>
        </w:rPr>
      </w:pPr>
    </w:p>
    <w:p w14:paraId="22D2DE5C">
      <w:pPr>
        <w:tabs>
          <w:tab w:val="left" w:pos="1710"/>
        </w:tabs>
        <w:rPr>
          <w:color w:val="auto"/>
          <w:highlight w:val="none"/>
        </w:rPr>
      </w:pPr>
    </w:p>
    <w:p w14:paraId="59C613EF">
      <w:pPr>
        <w:tabs>
          <w:tab w:val="left" w:pos="1710"/>
        </w:tabs>
        <w:rPr>
          <w:color w:val="auto"/>
          <w:highlight w:val="none"/>
        </w:rPr>
      </w:pPr>
    </w:p>
    <w:p w14:paraId="06162763">
      <w:pPr>
        <w:tabs>
          <w:tab w:val="left" w:pos="1710"/>
        </w:tabs>
        <w:rPr>
          <w:color w:val="auto"/>
          <w:highlight w:val="none"/>
        </w:rPr>
      </w:pPr>
    </w:p>
    <w:p w14:paraId="4314D2D5">
      <w:pPr>
        <w:tabs>
          <w:tab w:val="left" w:pos="1710"/>
        </w:tabs>
        <w:rPr>
          <w:color w:val="auto"/>
          <w:highlight w:val="none"/>
        </w:rPr>
      </w:pPr>
    </w:p>
    <w:p w14:paraId="055D5E5E">
      <w:pPr>
        <w:tabs>
          <w:tab w:val="left" w:pos="1710"/>
        </w:tabs>
        <w:rPr>
          <w:color w:val="auto"/>
          <w:highlight w:val="none"/>
        </w:rPr>
      </w:pPr>
    </w:p>
    <w:p w14:paraId="44B7874C">
      <w:pPr>
        <w:tabs>
          <w:tab w:val="left" w:pos="1710"/>
        </w:tabs>
        <w:rPr>
          <w:color w:val="auto"/>
          <w:highlight w:val="none"/>
        </w:rPr>
      </w:pPr>
    </w:p>
    <w:p w14:paraId="781FF455">
      <w:pPr>
        <w:tabs>
          <w:tab w:val="left" w:pos="1710"/>
        </w:tabs>
        <w:rPr>
          <w:color w:val="auto"/>
          <w:highlight w:val="none"/>
        </w:rPr>
      </w:pPr>
    </w:p>
    <w:tbl>
      <w:tblPr>
        <w:tblStyle w:val="5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64"/>
        <w:gridCol w:w="5942"/>
      </w:tblGrid>
      <w:tr w14:paraId="3D6AD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jc w:val="center"/>
        </w:trPr>
        <w:tc>
          <w:tcPr>
            <w:tcW w:w="7706" w:type="dxa"/>
            <w:gridSpan w:val="2"/>
            <w:tcBorders>
              <w:top w:val="nil"/>
              <w:left w:val="nil"/>
              <w:right w:val="nil"/>
            </w:tcBorders>
            <w:noWrap w:val="0"/>
            <w:vAlign w:val="top"/>
          </w:tcPr>
          <w:p w14:paraId="489A49C3">
            <w:pPr>
              <w:snapToGrid w:val="0"/>
              <w:spacing w:line="240" w:lineRule="atLeast"/>
              <w:jc w:val="center"/>
              <w:rPr>
                <w:b/>
                <w:color w:val="auto"/>
                <w:sz w:val="60"/>
                <w:szCs w:val="60"/>
                <w:highlight w:val="none"/>
              </w:rPr>
            </w:pPr>
            <w:r>
              <w:rPr>
                <w:rFonts w:hint="eastAsia"/>
                <w:b/>
                <w:color w:val="auto"/>
                <w:sz w:val="60"/>
                <w:szCs w:val="60"/>
                <w:highlight w:val="none"/>
              </w:rPr>
              <w:t>采购</w:t>
            </w:r>
            <w:r>
              <w:rPr>
                <w:b/>
                <w:color w:val="auto"/>
                <w:sz w:val="60"/>
                <w:szCs w:val="60"/>
                <w:highlight w:val="none"/>
              </w:rPr>
              <w:t>文件</w:t>
            </w:r>
          </w:p>
        </w:tc>
      </w:tr>
      <w:tr w14:paraId="199FF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1764" w:type="dxa"/>
            <w:noWrap w:val="0"/>
            <w:vAlign w:val="center"/>
          </w:tcPr>
          <w:p w14:paraId="296287F1">
            <w:pPr>
              <w:rPr>
                <w:b/>
                <w:color w:val="auto"/>
                <w:sz w:val="32"/>
                <w:szCs w:val="32"/>
                <w:highlight w:val="none"/>
              </w:rPr>
            </w:pPr>
            <w:r>
              <w:rPr>
                <w:b/>
                <w:color w:val="auto"/>
                <w:sz w:val="32"/>
                <w:szCs w:val="32"/>
                <w:highlight w:val="none"/>
              </w:rPr>
              <w:t>项目名称：</w:t>
            </w:r>
          </w:p>
        </w:tc>
        <w:tc>
          <w:tcPr>
            <w:tcW w:w="5942" w:type="dxa"/>
            <w:noWrap w:val="0"/>
            <w:vAlign w:val="center"/>
          </w:tcPr>
          <w:p w14:paraId="376B64FC">
            <w:pPr>
              <w:rPr>
                <w:b/>
                <w:color w:val="auto"/>
                <w:sz w:val="32"/>
                <w:szCs w:val="32"/>
                <w:highlight w:val="none"/>
              </w:rPr>
            </w:pPr>
            <w:r>
              <w:rPr>
                <w:rFonts w:hint="eastAsia"/>
                <w:b/>
                <w:color w:val="auto"/>
                <w:sz w:val="32"/>
                <w:szCs w:val="32"/>
                <w:highlight w:val="none"/>
              </w:rPr>
              <w:t>广西职业师范学院相思湖校区运动场跑道及灯光改造项目</w:t>
            </w:r>
          </w:p>
        </w:tc>
      </w:tr>
      <w:tr w14:paraId="5567E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1764" w:type="dxa"/>
            <w:noWrap w:val="0"/>
            <w:vAlign w:val="center"/>
          </w:tcPr>
          <w:p w14:paraId="4B4F722A">
            <w:pPr>
              <w:rPr>
                <w:b/>
                <w:color w:val="auto"/>
                <w:sz w:val="32"/>
                <w:szCs w:val="32"/>
                <w:highlight w:val="none"/>
              </w:rPr>
            </w:pPr>
            <w:r>
              <w:rPr>
                <w:b/>
                <w:color w:val="auto"/>
                <w:sz w:val="32"/>
                <w:szCs w:val="32"/>
                <w:highlight w:val="none"/>
              </w:rPr>
              <w:t>项目编号：</w:t>
            </w:r>
          </w:p>
        </w:tc>
        <w:tc>
          <w:tcPr>
            <w:tcW w:w="5942" w:type="dxa"/>
            <w:noWrap w:val="0"/>
            <w:vAlign w:val="center"/>
          </w:tcPr>
          <w:p w14:paraId="5BB07A05">
            <w:pPr>
              <w:rPr>
                <w:rFonts w:hint="default" w:eastAsia="宋体"/>
                <w:b/>
                <w:color w:val="auto"/>
                <w:sz w:val="32"/>
                <w:szCs w:val="32"/>
                <w:highlight w:val="none"/>
                <w:lang w:val="en-US" w:eastAsia="zh-CN"/>
              </w:rPr>
            </w:pPr>
            <w:r>
              <w:rPr>
                <w:rFonts w:hint="default" w:eastAsia="宋体"/>
                <w:b/>
                <w:color w:val="auto"/>
                <w:sz w:val="32"/>
                <w:szCs w:val="32"/>
                <w:highlight w:val="none"/>
                <w:lang w:val="en-US" w:eastAsia="zh-CN"/>
              </w:rPr>
              <w:t>GXZC2026-C2-002964-JDZB</w:t>
            </w:r>
          </w:p>
        </w:tc>
      </w:tr>
      <w:tr w14:paraId="685E2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1764" w:type="dxa"/>
            <w:noWrap w:val="0"/>
            <w:vAlign w:val="center"/>
          </w:tcPr>
          <w:p w14:paraId="2C23B25D">
            <w:pPr>
              <w:rPr>
                <w:b/>
                <w:color w:val="auto"/>
                <w:sz w:val="32"/>
                <w:szCs w:val="32"/>
                <w:highlight w:val="none"/>
              </w:rPr>
            </w:pPr>
            <w:r>
              <w:rPr>
                <w:b/>
                <w:color w:val="auto"/>
                <w:sz w:val="32"/>
                <w:szCs w:val="32"/>
                <w:highlight w:val="none"/>
              </w:rPr>
              <w:t>联系电话：</w:t>
            </w:r>
          </w:p>
        </w:tc>
        <w:tc>
          <w:tcPr>
            <w:tcW w:w="5942" w:type="dxa"/>
            <w:noWrap w:val="0"/>
            <w:vAlign w:val="center"/>
          </w:tcPr>
          <w:p w14:paraId="494F9CA8">
            <w:pPr>
              <w:rPr>
                <w:b/>
                <w:color w:val="auto"/>
                <w:sz w:val="32"/>
                <w:szCs w:val="32"/>
                <w:highlight w:val="none"/>
              </w:rPr>
            </w:pPr>
            <w:r>
              <w:rPr>
                <w:rFonts w:hint="eastAsia"/>
                <w:b/>
                <w:color w:val="auto"/>
                <w:sz w:val="32"/>
                <w:szCs w:val="32"/>
                <w:highlight w:val="none"/>
              </w:rPr>
              <w:t>0771-2808981</w:t>
            </w:r>
          </w:p>
        </w:tc>
      </w:tr>
      <w:tr w14:paraId="204E9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1764" w:type="dxa"/>
            <w:noWrap w:val="0"/>
            <w:vAlign w:val="center"/>
          </w:tcPr>
          <w:p w14:paraId="1BDD737E">
            <w:pPr>
              <w:rPr>
                <w:b/>
                <w:color w:val="auto"/>
                <w:sz w:val="32"/>
                <w:szCs w:val="32"/>
                <w:highlight w:val="none"/>
              </w:rPr>
            </w:pPr>
            <w:r>
              <w:rPr>
                <w:rFonts w:hint="eastAsia"/>
                <w:b/>
                <w:color w:val="auto"/>
                <w:sz w:val="32"/>
                <w:szCs w:val="32"/>
                <w:highlight w:val="none"/>
              </w:rPr>
              <w:t>采购方式：</w:t>
            </w:r>
          </w:p>
        </w:tc>
        <w:tc>
          <w:tcPr>
            <w:tcW w:w="5942" w:type="dxa"/>
            <w:noWrap w:val="0"/>
            <w:vAlign w:val="center"/>
          </w:tcPr>
          <w:p w14:paraId="084C2BA0">
            <w:pPr>
              <w:rPr>
                <w:b/>
                <w:color w:val="auto"/>
                <w:sz w:val="32"/>
                <w:szCs w:val="32"/>
                <w:highlight w:val="none"/>
              </w:rPr>
            </w:pPr>
            <w:r>
              <w:rPr>
                <w:rFonts w:hint="eastAsia"/>
                <w:b/>
                <w:color w:val="auto"/>
                <w:sz w:val="32"/>
                <w:szCs w:val="32"/>
                <w:highlight w:val="none"/>
              </w:rPr>
              <w:t>竞争性磋商</w:t>
            </w:r>
          </w:p>
        </w:tc>
      </w:tr>
    </w:tbl>
    <w:p w14:paraId="5446F9D5">
      <w:pPr>
        <w:tabs>
          <w:tab w:val="left" w:pos="1710"/>
        </w:tabs>
        <w:rPr>
          <w:color w:val="auto"/>
          <w:highlight w:val="none"/>
        </w:rPr>
      </w:pPr>
    </w:p>
    <w:p w14:paraId="7789A800">
      <w:pPr>
        <w:rPr>
          <w:color w:val="auto"/>
          <w:highlight w:val="none"/>
        </w:rPr>
      </w:pPr>
    </w:p>
    <w:p w14:paraId="4202E9A8">
      <w:pPr>
        <w:rPr>
          <w:color w:val="auto"/>
          <w:highlight w:val="none"/>
        </w:rPr>
      </w:pPr>
    </w:p>
    <w:p w14:paraId="7605ABF0">
      <w:pPr>
        <w:rPr>
          <w:color w:val="auto"/>
          <w:highlight w:val="none"/>
        </w:rPr>
      </w:pPr>
    </w:p>
    <w:p w14:paraId="3F7C3487">
      <w:pPr>
        <w:rPr>
          <w:color w:val="auto"/>
          <w:highlight w:val="none"/>
        </w:rPr>
      </w:pPr>
    </w:p>
    <w:p w14:paraId="68134201">
      <w:pPr>
        <w:rPr>
          <w:color w:val="auto"/>
          <w:highlight w:val="none"/>
        </w:rPr>
      </w:pPr>
    </w:p>
    <w:p w14:paraId="2BFFA8BC">
      <w:pPr>
        <w:rPr>
          <w:color w:val="auto"/>
          <w:highlight w:val="none"/>
        </w:rPr>
      </w:pPr>
    </w:p>
    <w:p w14:paraId="1E5EA667">
      <w:pPr>
        <w:rPr>
          <w:color w:val="auto"/>
          <w:highlight w:val="none"/>
        </w:rPr>
      </w:pPr>
    </w:p>
    <w:p w14:paraId="5BF5CA0C">
      <w:pPr>
        <w:rPr>
          <w:color w:val="auto"/>
          <w:highlight w:val="none"/>
        </w:rPr>
      </w:pPr>
    </w:p>
    <w:p w14:paraId="4E05489F">
      <w:pPr>
        <w:rPr>
          <w:color w:val="auto"/>
          <w:highlight w:val="none"/>
        </w:rPr>
      </w:pPr>
    </w:p>
    <w:p w14:paraId="7E3AB13E">
      <w:pPr>
        <w:rPr>
          <w:color w:val="auto"/>
          <w:highlight w:val="none"/>
        </w:rPr>
      </w:pPr>
    </w:p>
    <w:p w14:paraId="78B44B26">
      <w:pPr>
        <w:rPr>
          <w:color w:val="auto"/>
          <w:highlight w:val="none"/>
        </w:rPr>
      </w:pPr>
    </w:p>
    <w:p w14:paraId="0751C2B7">
      <w:pPr>
        <w:rPr>
          <w:color w:val="auto"/>
          <w:highlight w:val="none"/>
        </w:rPr>
      </w:pPr>
    </w:p>
    <w:tbl>
      <w:tblPr>
        <w:tblStyle w:val="54"/>
        <w:tblW w:w="0" w:type="auto"/>
        <w:jc w:val="center"/>
        <w:tblLayout w:type="fixed"/>
        <w:tblCellMar>
          <w:top w:w="0" w:type="dxa"/>
          <w:left w:w="108" w:type="dxa"/>
          <w:bottom w:w="0" w:type="dxa"/>
          <w:right w:w="108" w:type="dxa"/>
        </w:tblCellMar>
      </w:tblPr>
      <w:tblGrid>
        <w:gridCol w:w="2707"/>
        <w:gridCol w:w="6"/>
        <w:gridCol w:w="5571"/>
      </w:tblGrid>
      <w:tr w14:paraId="632CA1BD">
        <w:tblPrEx>
          <w:tblCellMar>
            <w:top w:w="0" w:type="dxa"/>
            <w:left w:w="108" w:type="dxa"/>
            <w:bottom w:w="0" w:type="dxa"/>
            <w:right w:w="108" w:type="dxa"/>
          </w:tblCellMar>
        </w:tblPrEx>
        <w:trPr>
          <w:trHeight w:val="703" w:hRule="atLeast"/>
          <w:jc w:val="center"/>
        </w:trPr>
        <w:tc>
          <w:tcPr>
            <w:tcW w:w="2707" w:type="dxa"/>
            <w:noWrap w:val="0"/>
            <w:vAlign w:val="center"/>
          </w:tcPr>
          <w:p w14:paraId="2E6282E7">
            <w:pPr>
              <w:autoSpaceDE w:val="0"/>
              <w:autoSpaceDN w:val="0"/>
              <w:adjustRightInd w:val="0"/>
              <w:jc w:val="right"/>
              <w:rPr>
                <w:b/>
                <w:color w:val="auto"/>
                <w:sz w:val="32"/>
                <w:szCs w:val="32"/>
                <w:highlight w:val="none"/>
              </w:rPr>
            </w:pPr>
            <w:r>
              <w:rPr>
                <w:b/>
                <w:color w:val="auto"/>
                <w:sz w:val="32"/>
                <w:szCs w:val="32"/>
                <w:highlight w:val="none"/>
              </w:rPr>
              <w:t xml:space="preserve">  采购人：</w:t>
            </w:r>
          </w:p>
        </w:tc>
        <w:tc>
          <w:tcPr>
            <w:tcW w:w="5577" w:type="dxa"/>
            <w:gridSpan w:val="2"/>
            <w:noWrap w:val="0"/>
            <w:vAlign w:val="center"/>
          </w:tcPr>
          <w:p w14:paraId="1B0585C2">
            <w:pPr>
              <w:autoSpaceDE w:val="0"/>
              <w:autoSpaceDN w:val="0"/>
              <w:adjustRightInd w:val="0"/>
              <w:jc w:val="left"/>
              <w:rPr>
                <w:b/>
                <w:color w:val="auto"/>
                <w:sz w:val="32"/>
                <w:szCs w:val="32"/>
                <w:highlight w:val="none"/>
              </w:rPr>
            </w:pPr>
            <w:r>
              <w:rPr>
                <w:rFonts w:hint="eastAsia"/>
                <w:b/>
                <w:color w:val="auto"/>
                <w:sz w:val="32"/>
                <w:szCs w:val="32"/>
                <w:highlight w:val="none"/>
              </w:rPr>
              <w:t>广西职业师范学院</w:t>
            </w:r>
          </w:p>
        </w:tc>
      </w:tr>
      <w:tr w14:paraId="741BA23D">
        <w:tblPrEx>
          <w:tblCellMar>
            <w:top w:w="0" w:type="dxa"/>
            <w:left w:w="108" w:type="dxa"/>
            <w:bottom w:w="0" w:type="dxa"/>
            <w:right w:w="108" w:type="dxa"/>
          </w:tblCellMar>
        </w:tblPrEx>
        <w:trPr>
          <w:trHeight w:val="703" w:hRule="atLeast"/>
          <w:jc w:val="center"/>
        </w:trPr>
        <w:tc>
          <w:tcPr>
            <w:tcW w:w="2713" w:type="dxa"/>
            <w:gridSpan w:val="2"/>
            <w:noWrap w:val="0"/>
            <w:vAlign w:val="center"/>
          </w:tcPr>
          <w:p w14:paraId="69040F62">
            <w:pPr>
              <w:autoSpaceDE w:val="0"/>
              <w:autoSpaceDN w:val="0"/>
              <w:adjustRightInd w:val="0"/>
              <w:jc w:val="right"/>
              <w:rPr>
                <w:b/>
                <w:color w:val="auto"/>
                <w:sz w:val="32"/>
                <w:szCs w:val="32"/>
                <w:highlight w:val="none"/>
              </w:rPr>
            </w:pPr>
            <w:r>
              <w:rPr>
                <w:b/>
                <w:color w:val="auto"/>
                <w:sz w:val="32"/>
                <w:szCs w:val="32"/>
                <w:highlight w:val="none"/>
              </w:rPr>
              <w:t>采购代理机构：</w:t>
            </w:r>
          </w:p>
        </w:tc>
        <w:tc>
          <w:tcPr>
            <w:tcW w:w="5571" w:type="dxa"/>
            <w:noWrap w:val="0"/>
            <w:vAlign w:val="center"/>
          </w:tcPr>
          <w:p w14:paraId="271CBD6D">
            <w:pPr>
              <w:autoSpaceDE w:val="0"/>
              <w:autoSpaceDN w:val="0"/>
              <w:adjustRightInd w:val="0"/>
              <w:jc w:val="both"/>
              <w:rPr>
                <w:b/>
                <w:color w:val="auto"/>
                <w:sz w:val="32"/>
                <w:szCs w:val="32"/>
                <w:highlight w:val="none"/>
                <w:u w:val="single"/>
              </w:rPr>
            </w:pPr>
            <w:r>
              <w:rPr>
                <w:b/>
                <w:color w:val="auto"/>
                <w:sz w:val="32"/>
                <w:szCs w:val="32"/>
                <w:highlight w:val="none"/>
              </w:rPr>
              <w:t>广西机电设备招标有限公司</w:t>
            </w:r>
          </w:p>
        </w:tc>
      </w:tr>
    </w:tbl>
    <w:p w14:paraId="7FDEE074">
      <w:pPr>
        <w:rPr>
          <w:color w:val="auto"/>
          <w:highlight w:val="none"/>
        </w:rPr>
      </w:pPr>
    </w:p>
    <w:p w14:paraId="7C2BC31A">
      <w:pPr>
        <w:ind w:left="0" w:leftChars="0" w:firstLine="0" w:firstLineChars="0"/>
        <w:jc w:val="center"/>
        <w:rPr>
          <w:b/>
          <w:color w:val="auto"/>
          <w:sz w:val="32"/>
          <w:szCs w:val="32"/>
          <w:highlight w:val="none"/>
        </w:rPr>
        <w:sectPr>
          <w:headerReference r:id="rId3" w:type="first"/>
          <w:footerReference r:id="rId4" w:type="first"/>
          <w:pgSz w:w="11906" w:h="16838"/>
          <w:pgMar w:top="1418" w:right="1418" w:bottom="1246" w:left="1418" w:header="851" w:footer="992" w:gutter="0"/>
          <w:pgNumType w:start="0"/>
          <w:cols w:space="720" w:num="1"/>
          <w:titlePg/>
          <w:docGrid w:linePitch="312" w:charSpace="0"/>
        </w:sectPr>
      </w:pPr>
      <w:r>
        <w:rPr>
          <w:b/>
          <w:color w:val="auto"/>
          <w:sz w:val="32"/>
          <w:szCs w:val="32"/>
          <w:highlight w:val="none"/>
        </w:rPr>
        <w:t>202</w:t>
      </w:r>
      <w:r>
        <w:rPr>
          <w:rFonts w:hint="eastAsia"/>
          <w:b/>
          <w:color w:val="auto"/>
          <w:sz w:val="32"/>
          <w:szCs w:val="32"/>
          <w:highlight w:val="none"/>
          <w:lang w:val="en-US" w:eastAsia="zh-CN"/>
        </w:rPr>
        <w:t>6</w:t>
      </w:r>
      <w:r>
        <w:rPr>
          <w:b/>
          <w:color w:val="auto"/>
          <w:sz w:val="32"/>
          <w:szCs w:val="32"/>
          <w:highlight w:val="none"/>
        </w:rPr>
        <w:t>年</w:t>
      </w:r>
      <w:r>
        <w:rPr>
          <w:rFonts w:hint="eastAsia"/>
          <w:b/>
          <w:color w:val="auto"/>
          <w:sz w:val="32"/>
          <w:szCs w:val="32"/>
          <w:highlight w:val="none"/>
          <w:lang w:val="en-US" w:eastAsia="zh-CN"/>
        </w:rPr>
        <w:t>9</w:t>
      </w:r>
      <w:r>
        <w:rPr>
          <w:b/>
          <w:color w:val="auto"/>
          <w:sz w:val="32"/>
          <w:szCs w:val="32"/>
          <w:highlight w:val="none"/>
        </w:rPr>
        <w:t>月</w:t>
      </w:r>
    </w:p>
    <w:p w14:paraId="6D8FAC78">
      <w:pPr>
        <w:rPr>
          <w:color w:val="auto"/>
          <w:sz w:val="32"/>
          <w:szCs w:val="32"/>
          <w:highlight w:val="none"/>
        </w:rPr>
      </w:pPr>
    </w:p>
    <w:p w14:paraId="02EB4487">
      <w:pPr>
        <w:pStyle w:val="27"/>
        <w:snapToGrid w:val="0"/>
        <w:spacing w:before="120" w:after="120" w:line="320" w:lineRule="exact"/>
        <w:jc w:val="center"/>
        <w:outlineLvl w:val="9"/>
        <w:rPr>
          <w:rFonts w:ascii="Times New Roman" w:hAnsi="Times New Roman" w:cs="Times New Roman"/>
          <w:color w:val="auto"/>
          <w:sz w:val="32"/>
          <w:szCs w:val="32"/>
          <w:highlight w:val="none"/>
        </w:rPr>
      </w:pPr>
      <w:bookmarkStart w:id="2" w:name="_Toc503889276"/>
      <w:bookmarkStart w:id="3" w:name="_Toc89186348"/>
      <w:bookmarkStart w:id="4" w:name="_Toc483235754"/>
      <w:bookmarkStart w:id="5" w:name="_Toc23183402"/>
      <w:r>
        <w:rPr>
          <w:rFonts w:ascii="Times New Roman" w:hAnsi="Times New Roman" w:cs="Times New Roman"/>
          <w:color w:val="auto"/>
          <w:sz w:val="32"/>
          <w:szCs w:val="32"/>
          <w:highlight w:val="none"/>
        </w:rPr>
        <w:t>目    录</w:t>
      </w:r>
      <w:bookmarkEnd w:id="2"/>
      <w:bookmarkEnd w:id="3"/>
      <w:bookmarkEnd w:id="4"/>
      <w:bookmarkEnd w:id="5"/>
    </w:p>
    <w:p w14:paraId="24F71829">
      <w:pPr>
        <w:pStyle w:val="34"/>
        <w:tabs>
          <w:tab w:val="right" w:leader="dot" w:pos="9070"/>
          <w:tab w:val="clear" w:pos="8398"/>
        </w:tabs>
        <w:rPr>
          <w:color w:val="auto"/>
          <w:highlight w:val="none"/>
        </w:rPr>
      </w:pPr>
      <w:r>
        <w:rPr>
          <w:rFonts w:ascii="Times New Roman" w:hAnsi="Times New Roman"/>
          <w:color w:val="auto"/>
          <w:highlight w:val="none"/>
        </w:rPr>
        <w:fldChar w:fldCharType="begin"/>
      </w:r>
      <w:r>
        <w:rPr>
          <w:rStyle w:val="61"/>
          <w:rFonts w:ascii="Times New Roman" w:hAnsi="Times New Roman"/>
          <w:color w:val="auto"/>
          <w:highlight w:val="none"/>
        </w:rPr>
        <w:instrText xml:space="preserve"> TOC \o "1-1" \h \z \u </w:instrText>
      </w:r>
      <w:r>
        <w:rPr>
          <w:rFonts w:ascii="Times New Roman" w:hAnsi="Times New Roman"/>
          <w:color w:val="auto"/>
          <w:highlight w:val="none"/>
        </w:rPr>
        <w:fldChar w:fldCharType="separate"/>
      </w:r>
      <w:r>
        <w:rPr>
          <w:rFonts w:ascii="Times New Roman" w:hAnsi="Times New Roman"/>
          <w:color w:val="auto"/>
          <w:highlight w:val="none"/>
        </w:rPr>
        <w:fldChar w:fldCharType="begin"/>
      </w:r>
      <w:r>
        <w:rPr>
          <w:rFonts w:ascii="Times New Roman" w:hAnsi="Times New Roman"/>
          <w:color w:val="auto"/>
          <w:highlight w:val="none"/>
        </w:rPr>
        <w:instrText xml:space="preserve"> HYPERLINK \l _Toc15415 </w:instrText>
      </w:r>
      <w:r>
        <w:rPr>
          <w:rFonts w:ascii="Times New Roman" w:hAnsi="Times New Roman"/>
          <w:color w:val="auto"/>
          <w:highlight w:val="none"/>
        </w:rPr>
        <w:fldChar w:fldCharType="separate"/>
      </w:r>
      <w:r>
        <w:rPr>
          <w:rFonts w:ascii="Times New Roman" w:hAnsi="Times New Roman" w:cs="Times New Roman"/>
          <w:color w:val="auto"/>
          <w:szCs w:val="32"/>
          <w:highlight w:val="none"/>
        </w:rPr>
        <w:t>第一章  竞争性磋商公告</w:t>
      </w:r>
      <w:r>
        <w:rPr>
          <w:color w:val="auto"/>
          <w:highlight w:val="none"/>
        </w:rPr>
        <w:tab/>
      </w:r>
      <w:r>
        <w:rPr>
          <w:color w:val="auto"/>
          <w:highlight w:val="none"/>
        </w:rPr>
        <w:fldChar w:fldCharType="begin"/>
      </w:r>
      <w:r>
        <w:rPr>
          <w:color w:val="auto"/>
          <w:highlight w:val="none"/>
        </w:rPr>
        <w:instrText xml:space="preserve"> PAGEREF _Toc15415 \h </w:instrText>
      </w:r>
      <w:r>
        <w:rPr>
          <w:color w:val="auto"/>
          <w:highlight w:val="none"/>
        </w:rPr>
        <w:fldChar w:fldCharType="separate"/>
      </w:r>
      <w:r>
        <w:rPr>
          <w:color w:val="auto"/>
          <w:highlight w:val="none"/>
        </w:rPr>
        <w:t>1</w:t>
      </w:r>
      <w:r>
        <w:rPr>
          <w:color w:val="auto"/>
          <w:highlight w:val="none"/>
        </w:rPr>
        <w:fldChar w:fldCharType="end"/>
      </w:r>
      <w:r>
        <w:rPr>
          <w:rFonts w:ascii="Times New Roman" w:hAnsi="Times New Roman"/>
          <w:color w:val="auto"/>
          <w:highlight w:val="none"/>
        </w:rPr>
        <w:fldChar w:fldCharType="end"/>
      </w:r>
    </w:p>
    <w:p w14:paraId="639458D4">
      <w:pPr>
        <w:pStyle w:val="34"/>
        <w:tabs>
          <w:tab w:val="right" w:leader="dot" w:pos="9070"/>
          <w:tab w:val="clear" w:pos="8398"/>
        </w:tabs>
        <w:rPr>
          <w:color w:val="auto"/>
          <w:highlight w:val="none"/>
        </w:rPr>
      </w:pPr>
      <w:r>
        <w:rPr>
          <w:rFonts w:ascii="Times New Roman" w:hAnsi="Times New Roman"/>
          <w:color w:val="auto"/>
          <w:szCs w:val="28"/>
          <w:highlight w:val="none"/>
        </w:rPr>
        <w:fldChar w:fldCharType="begin"/>
      </w:r>
      <w:r>
        <w:rPr>
          <w:rFonts w:ascii="Times New Roman" w:hAnsi="Times New Roman"/>
          <w:color w:val="auto"/>
          <w:szCs w:val="28"/>
          <w:highlight w:val="none"/>
        </w:rPr>
        <w:instrText xml:space="preserve"> HYPERLINK \l _Toc17868 </w:instrText>
      </w:r>
      <w:r>
        <w:rPr>
          <w:rFonts w:ascii="Times New Roman" w:hAnsi="Times New Roman"/>
          <w:color w:val="auto"/>
          <w:szCs w:val="28"/>
          <w:highlight w:val="none"/>
        </w:rPr>
        <w:fldChar w:fldCharType="separate"/>
      </w:r>
      <w:r>
        <w:rPr>
          <w:rFonts w:ascii="Times New Roman" w:hAnsi="Times New Roman" w:cs="Times New Roman"/>
          <w:color w:val="auto"/>
          <w:szCs w:val="32"/>
          <w:highlight w:val="none"/>
        </w:rPr>
        <w:t>第</w:t>
      </w:r>
      <w:r>
        <w:rPr>
          <w:rFonts w:hint="eastAsia" w:ascii="Times New Roman" w:hAnsi="Times New Roman" w:cs="Times New Roman"/>
          <w:color w:val="auto"/>
          <w:szCs w:val="32"/>
          <w:highlight w:val="none"/>
        </w:rPr>
        <w:t>二</w:t>
      </w:r>
      <w:r>
        <w:rPr>
          <w:rFonts w:ascii="Times New Roman" w:hAnsi="Times New Roman" w:cs="Times New Roman"/>
          <w:color w:val="auto"/>
          <w:szCs w:val="32"/>
          <w:highlight w:val="none"/>
        </w:rPr>
        <w:t xml:space="preserve">章  </w:t>
      </w:r>
      <w:r>
        <w:rPr>
          <w:rFonts w:hint="eastAsia" w:ascii="Times New Roman" w:hAnsi="Times New Roman" w:cs="Times New Roman"/>
          <w:color w:val="auto"/>
          <w:szCs w:val="32"/>
          <w:highlight w:val="none"/>
        </w:rPr>
        <w:t>采购需求</w:t>
      </w:r>
      <w:r>
        <w:rPr>
          <w:color w:val="auto"/>
          <w:highlight w:val="none"/>
        </w:rPr>
        <w:tab/>
      </w:r>
      <w:r>
        <w:rPr>
          <w:color w:val="auto"/>
          <w:highlight w:val="none"/>
        </w:rPr>
        <w:fldChar w:fldCharType="begin"/>
      </w:r>
      <w:r>
        <w:rPr>
          <w:color w:val="auto"/>
          <w:highlight w:val="none"/>
        </w:rPr>
        <w:instrText xml:space="preserve"> PAGEREF _Toc17868 \h </w:instrText>
      </w:r>
      <w:r>
        <w:rPr>
          <w:color w:val="auto"/>
          <w:highlight w:val="none"/>
        </w:rPr>
        <w:fldChar w:fldCharType="separate"/>
      </w:r>
      <w:r>
        <w:rPr>
          <w:color w:val="auto"/>
          <w:highlight w:val="none"/>
        </w:rPr>
        <w:t>4</w:t>
      </w:r>
      <w:r>
        <w:rPr>
          <w:color w:val="auto"/>
          <w:highlight w:val="none"/>
        </w:rPr>
        <w:fldChar w:fldCharType="end"/>
      </w:r>
      <w:r>
        <w:rPr>
          <w:rFonts w:ascii="Times New Roman" w:hAnsi="Times New Roman"/>
          <w:color w:val="auto"/>
          <w:szCs w:val="28"/>
          <w:highlight w:val="none"/>
        </w:rPr>
        <w:fldChar w:fldCharType="end"/>
      </w:r>
    </w:p>
    <w:p w14:paraId="3DCBBB9C">
      <w:pPr>
        <w:pStyle w:val="34"/>
        <w:tabs>
          <w:tab w:val="right" w:leader="dot" w:pos="9070"/>
          <w:tab w:val="clear" w:pos="8398"/>
        </w:tabs>
        <w:rPr>
          <w:color w:val="auto"/>
          <w:highlight w:val="none"/>
        </w:rPr>
      </w:pPr>
      <w:r>
        <w:rPr>
          <w:rFonts w:ascii="Times New Roman" w:hAnsi="Times New Roman"/>
          <w:color w:val="auto"/>
          <w:szCs w:val="28"/>
          <w:highlight w:val="none"/>
        </w:rPr>
        <w:fldChar w:fldCharType="begin"/>
      </w:r>
      <w:r>
        <w:rPr>
          <w:rFonts w:ascii="Times New Roman" w:hAnsi="Times New Roman"/>
          <w:color w:val="auto"/>
          <w:szCs w:val="28"/>
          <w:highlight w:val="none"/>
        </w:rPr>
        <w:instrText xml:space="preserve"> HYPERLINK \l _Toc27730 </w:instrText>
      </w:r>
      <w:r>
        <w:rPr>
          <w:rFonts w:ascii="Times New Roman" w:hAnsi="Times New Roman"/>
          <w:color w:val="auto"/>
          <w:szCs w:val="28"/>
          <w:highlight w:val="none"/>
        </w:rPr>
        <w:fldChar w:fldCharType="separate"/>
      </w:r>
      <w:r>
        <w:rPr>
          <w:rFonts w:ascii="Times New Roman" w:hAnsi="Times New Roman" w:cs="Times New Roman"/>
          <w:color w:val="auto"/>
          <w:szCs w:val="32"/>
          <w:highlight w:val="none"/>
        </w:rPr>
        <w:t>第三章  供应商须知</w:t>
      </w:r>
      <w:r>
        <w:rPr>
          <w:color w:val="auto"/>
          <w:highlight w:val="none"/>
        </w:rPr>
        <w:tab/>
      </w:r>
      <w:r>
        <w:rPr>
          <w:color w:val="auto"/>
          <w:highlight w:val="none"/>
        </w:rPr>
        <w:fldChar w:fldCharType="begin"/>
      </w:r>
      <w:r>
        <w:rPr>
          <w:color w:val="auto"/>
          <w:highlight w:val="none"/>
        </w:rPr>
        <w:instrText xml:space="preserve"> PAGEREF _Toc27730 \h </w:instrText>
      </w:r>
      <w:r>
        <w:rPr>
          <w:color w:val="auto"/>
          <w:highlight w:val="none"/>
        </w:rPr>
        <w:fldChar w:fldCharType="separate"/>
      </w:r>
      <w:r>
        <w:rPr>
          <w:color w:val="auto"/>
          <w:highlight w:val="none"/>
        </w:rPr>
        <w:t>9</w:t>
      </w:r>
      <w:r>
        <w:rPr>
          <w:color w:val="auto"/>
          <w:highlight w:val="none"/>
        </w:rPr>
        <w:fldChar w:fldCharType="end"/>
      </w:r>
      <w:r>
        <w:rPr>
          <w:rFonts w:ascii="Times New Roman" w:hAnsi="Times New Roman"/>
          <w:color w:val="auto"/>
          <w:szCs w:val="28"/>
          <w:highlight w:val="none"/>
        </w:rPr>
        <w:fldChar w:fldCharType="end"/>
      </w:r>
    </w:p>
    <w:p w14:paraId="0CE78AD1">
      <w:pPr>
        <w:pStyle w:val="34"/>
        <w:tabs>
          <w:tab w:val="right" w:leader="dot" w:pos="9070"/>
          <w:tab w:val="clear" w:pos="8398"/>
        </w:tabs>
        <w:rPr>
          <w:color w:val="auto"/>
          <w:highlight w:val="none"/>
        </w:rPr>
      </w:pPr>
      <w:r>
        <w:rPr>
          <w:rFonts w:ascii="Times New Roman" w:hAnsi="Times New Roman"/>
          <w:color w:val="auto"/>
          <w:szCs w:val="28"/>
          <w:highlight w:val="none"/>
        </w:rPr>
        <w:fldChar w:fldCharType="begin"/>
      </w:r>
      <w:r>
        <w:rPr>
          <w:rFonts w:ascii="Times New Roman" w:hAnsi="Times New Roman"/>
          <w:color w:val="auto"/>
          <w:szCs w:val="28"/>
          <w:highlight w:val="none"/>
        </w:rPr>
        <w:instrText xml:space="preserve"> HYPERLINK \l _Toc24860 </w:instrText>
      </w:r>
      <w:r>
        <w:rPr>
          <w:rFonts w:ascii="Times New Roman" w:hAnsi="Times New Roman"/>
          <w:color w:val="auto"/>
          <w:szCs w:val="28"/>
          <w:highlight w:val="none"/>
        </w:rPr>
        <w:fldChar w:fldCharType="separate"/>
      </w:r>
      <w:r>
        <w:rPr>
          <w:rFonts w:ascii="Times New Roman" w:hAnsi="Times New Roman" w:cs="Times New Roman"/>
          <w:color w:val="auto"/>
          <w:szCs w:val="32"/>
          <w:highlight w:val="none"/>
        </w:rPr>
        <w:t>第</w:t>
      </w:r>
      <w:r>
        <w:rPr>
          <w:rFonts w:hint="eastAsia" w:ascii="Times New Roman" w:hAnsi="Times New Roman" w:cs="Times New Roman"/>
          <w:color w:val="auto"/>
          <w:szCs w:val="32"/>
          <w:highlight w:val="none"/>
        </w:rPr>
        <w:t>四</w:t>
      </w:r>
      <w:r>
        <w:rPr>
          <w:rFonts w:ascii="Times New Roman" w:hAnsi="Times New Roman" w:cs="Times New Roman"/>
          <w:color w:val="auto"/>
          <w:szCs w:val="32"/>
          <w:highlight w:val="none"/>
        </w:rPr>
        <w:t>章  评审方法及标准</w:t>
      </w:r>
      <w:r>
        <w:rPr>
          <w:color w:val="auto"/>
          <w:highlight w:val="none"/>
        </w:rPr>
        <w:tab/>
      </w:r>
      <w:r>
        <w:rPr>
          <w:color w:val="auto"/>
          <w:highlight w:val="none"/>
        </w:rPr>
        <w:fldChar w:fldCharType="begin"/>
      </w:r>
      <w:r>
        <w:rPr>
          <w:color w:val="auto"/>
          <w:highlight w:val="none"/>
        </w:rPr>
        <w:instrText xml:space="preserve"> PAGEREF _Toc24860 \h </w:instrText>
      </w:r>
      <w:r>
        <w:rPr>
          <w:color w:val="auto"/>
          <w:highlight w:val="none"/>
        </w:rPr>
        <w:fldChar w:fldCharType="separate"/>
      </w:r>
      <w:r>
        <w:rPr>
          <w:color w:val="auto"/>
          <w:highlight w:val="none"/>
        </w:rPr>
        <w:t>29</w:t>
      </w:r>
      <w:r>
        <w:rPr>
          <w:color w:val="auto"/>
          <w:highlight w:val="none"/>
        </w:rPr>
        <w:fldChar w:fldCharType="end"/>
      </w:r>
      <w:r>
        <w:rPr>
          <w:rFonts w:ascii="Times New Roman" w:hAnsi="Times New Roman"/>
          <w:color w:val="auto"/>
          <w:szCs w:val="28"/>
          <w:highlight w:val="none"/>
        </w:rPr>
        <w:fldChar w:fldCharType="end"/>
      </w:r>
    </w:p>
    <w:p w14:paraId="18E6D57D">
      <w:pPr>
        <w:pStyle w:val="34"/>
        <w:tabs>
          <w:tab w:val="right" w:leader="dot" w:pos="9070"/>
          <w:tab w:val="clear" w:pos="8398"/>
        </w:tabs>
        <w:rPr>
          <w:color w:val="auto"/>
          <w:highlight w:val="none"/>
        </w:rPr>
      </w:pPr>
      <w:r>
        <w:rPr>
          <w:rFonts w:ascii="Times New Roman" w:hAnsi="Times New Roman"/>
          <w:color w:val="auto"/>
          <w:szCs w:val="28"/>
          <w:highlight w:val="none"/>
        </w:rPr>
        <w:fldChar w:fldCharType="begin"/>
      </w:r>
      <w:r>
        <w:rPr>
          <w:rFonts w:ascii="Times New Roman" w:hAnsi="Times New Roman"/>
          <w:color w:val="auto"/>
          <w:szCs w:val="28"/>
          <w:highlight w:val="none"/>
        </w:rPr>
        <w:instrText xml:space="preserve"> HYPERLINK \l _Toc29467 </w:instrText>
      </w:r>
      <w:r>
        <w:rPr>
          <w:rFonts w:ascii="Times New Roman" w:hAnsi="Times New Roman"/>
          <w:color w:val="auto"/>
          <w:szCs w:val="28"/>
          <w:highlight w:val="none"/>
        </w:rPr>
        <w:fldChar w:fldCharType="separate"/>
      </w:r>
      <w:r>
        <w:rPr>
          <w:rFonts w:ascii="Times New Roman" w:hAnsi="Times New Roman" w:cs="Times New Roman"/>
          <w:color w:val="auto"/>
          <w:szCs w:val="32"/>
          <w:highlight w:val="none"/>
        </w:rPr>
        <w:t>第</w:t>
      </w:r>
      <w:r>
        <w:rPr>
          <w:rFonts w:hint="eastAsia" w:ascii="Times New Roman" w:hAnsi="Times New Roman" w:cs="Times New Roman"/>
          <w:color w:val="auto"/>
          <w:szCs w:val="32"/>
          <w:highlight w:val="none"/>
        </w:rPr>
        <w:t>五</w:t>
      </w:r>
      <w:r>
        <w:rPr>
          <w:rFonts w:ascii="Times New Roman" w:hAnsi="Times New Roman" w:cs="Times New Roman"/>
          <w:color w:val="auto"/>
          <w:szCs w:val="32"/>
          <w:highlight w:val="none"/>
        </w:rPr>
        <w:t>章  合同主要条款格式</w:t>
      </w:r>
      <w:r>
        <w:rPr>
          <w:color w:val="auto"/>
          <w:highlight w:val="none"/>
        </w:rPr>
        <w:tab/>
      </w:r>
      <w:r>
        <w:rPr>
          <w:color w:val="auto"/>
          <w:highlight w:val="none"/>
        </w:rPr>
        <w:fldChar w:fldCharType="begin"/>
      </w:r>
      <w:r>
        <w:rPr>
          <w:color w:val="auto"/>
          <w:highlight w:val="none"/>
        </w:rPr>
        <w:instrText xml:space="preserve"> PAGEREF _Toc29467 \h </w:instrText>
      </w:r>
      <w:r>
        <w:rPr>
          <w:color w:val="auto"/>
          <w:highlight w:val="none"/>
        </w:rPr>
        <w:fldChar w:fldCharType="separate"/>
      </w:r>
      <w:r>
        <w:rPr>
          <w:color w:val="auto"/>
          <w:highlight w:val="none"/>
        </w:rPr>
        <w:t>35</w:t>
      </w:r>
      <w:r>
        <w:rPr>
          <w:color w:val="auto"/>
          <w:highlight w:val="none"/>
        </w:rPr>
        <w:fldChar w:fldCharType="end"/>
      </w:r>
      <w:r>
        <w:rPr>
          <w:rFonts w:ascii="Times New Roman" w:hAnsi="Times New Roman"/>
          <w:color w:val="auto"/>
          <w:szCs w:val="28"/>
          <w:highlight w:val="none"/>
        </w:rPr>
        <w:fldChar w:fldCharType="end"/>
      </w:r>
    </w:p>
    <w:p w14:paraId="063B4135">
      <w:pPr>
        <w:pStyle w:val="34"/>
        <w:tabs>
          <w:tab w:val="right" w:leader="dot" w:pos="9070"/>
          <w:tab w:val="clear" w:pos="8398"/>
        </w:tabs>
        <w:rPr>
          <w:color w:val="auto"/>
          <w:highlight w:val="none"/>
        </w:rPr>
      </w:pPr>
      <w:r>
        <w:rPr>
          <w:rFonts w:ascii="Times New Roman" w:hAnsi="Times New Roman"/>
          <w:color w:val="auto"/>
          <w:szCs w:val="28"/>
          <w:highlight w:val="none"/>
        </w:rPr>
        <w:fldChar w:fldCharType="begin"/>
      </w:r>
      <w:r>
        <w:rPr>
          <w:rFonts w:ascii="Times New Roman" w:hAnsi="Times New Roman"/>
          <w:color w:val="auto"/>
          <w:szCs w:val="28"/>
          <w:highlight w:val="none"/>
        </w:rPr>
        <w:instrText xml:space="preserve"> HYPERLINK \l _Toc12216 </w:instrText>
      </w:r>
      <w:r>
        <w:rPr>
          <w:rFonts w:ascii="Times New Roman" w:hAnsi="Times New Roman"/>
          <w:color w:val="auto"/>
          <w:szCs w:val="28"/>
          <w:highlight w:val="none"/>
        </w:rPr>
        <w:fldChar w:fldCharType="separate"/>
      </w:r>
      <w:r>
        <w:rPr>
          <w:rFonts w:ascii="Times New Roman" w:hAnsi="Times New Roman" w:cs="Times New Roman"/>
          <w:color w:val="auto"/>
          <w:szCs w:val="32"/>
          <w:highlight w:val="none"/>
        </w:rPr>
        <w:t>第</w:t>
      </w:r>
      <w:r>
        <w:rPr>
          <w:rFonts w:hint="eastAsia" w:ascii="Times New Roman" w:hAnsi="Times New Roman" w:cs="Times New Roman"/>
          <w:color w:val="auto"/>
          <w:szCs w:val="32"/>
          <w:highlight w:val="none"/>
        </w:rPr>
        <w:t>六</w:t>
      </w:r>
      <w:r>
        <w:rPr>
          <w:rFonts w:ascii="Times New Roman" w:hAnsi="Times New Roman" w:cs="Times New Roman"/>
          <w:color w:val="auto"/>
          <w:szCs w:val="32"/>
          <w:highlight w:val="none"/>
        </w:rPr>
        <w:t>章  响应文件格式</w:t>
      </w:r>
      <w:r>
        <w:rPr>
          <w:color w:val="auto"/>
          <w:highlight w:val="none"/>
        </w:rPr>
        <w:tab/>
      </w:r>
      <w:r>
        <w:rPr>
          <w:color w:val="auto"/>
          <w:highlight w:val="none"/>
        </w:rPr>
        <w:fldChar w:fldCharType="begin"/>
      </w:r>
      <w:r>
        <w:rPr>
          <w:color w:val="auto"/>
          <w:highlight w:val="none"/>
        </w:rPr>
        <w:instrText xml:space="preserve"> PAGEREF _Toc12216 \h </w:instrText>
      </w:r>
      <w:r>
        <w:rPr>
          <w:color w:val="auto"/>
          <w:highlight w:val="none"/>
        </w:rPr>
        <w:fldChar w:fldCharType="separate"/>
      </w:r>
      <w:r>
        <w:rPr>
          <w:color w:val="auto"/>
          <w:highlight w:val="none"/>
        </w:rPr>
        <w:t>87</w:t>
      </w:r>
      <w:r>
        <w:rPr>
          <w:color w:val="auto"/>
          <w:highlight w:val="none"/>
        </w:rPr>
        <w:fldChar w:fldCharType="end"/>
      </w:r>
      <w:r>
        <w:rPr>
          <w:rFonts w:ascii="Times New Roman" w:hAnsi="Times New Roman"/>
          <w:color w:val="auto"/>
          <w:szCs w:val="28"/>
          <w:highlight w:val="none"/>
        </w:rPr>
        <w:fldChar w:fldCharType="end"/>
      </w:r>
    </w:p>
    <w:p w14:paraId="33BEB880">
      <w:pPr>
        <w:pStyle w:val="34"/>
        <w:ind w:firstLine="281"/>
        <w:rPr>
          <w:rFonts w:ascii="Times New Roman" w:hAnsi="Times New Roman"/>
          <w:color w:val="auto"/>
          <w:sz w:val="28"/>
          <w:szCs w:val="28"/>
          <w:highlight w:val="none"/>
        </w:rPr>
        <w:sectPr>
          <w:headerReference r:id="rId5" w:type="first"/>
          <w:footerReference r:id="rId7" w:type="first"/>
          <w:footerReference r:id="rId6" w:type="default"/>
          <w:pgSz w:w="11906" w:h="16838"/>
          <w:pgMar w:top="1418" w:right="1418" w:bottom="1246" w:left="1418" w:header="851" w:footer="992" w:gutter="0"/>
          <w:pgNumType w:start="0"/>
          <w:cols w:space="720" w:num="1"/>
          <w:titlePg/>
          <w:docGrid w:linePitch="312" w:charSpace="0"/>
        </w:sectPr>
      </w:pPr>
      <w:r>
        <w:rPr>
          <w:rFonts w:ascii="Times New Roman" w:hAnsi="Times New Roman"/>
          <w:color w:val="auto"/>
          <w:szCs w:val="28"/>
          <w:highlight w:val="none"/>
        </w:rPr>
        <w:fldChar w:fldCharType="end"/>
      </w:r>
    </w:p>
    <w:p w14:paraId="0325CAFD">
      <w:pPr>
        <w:pStyle w:val="27"/>
        <w:snapToGrid w:val="0"/>
        <w:spacing w:before="120" w:after="120" w:line="320" w:lineRule="exact"/>
        <w:jc w:val="center"/>
        <w:outlineLvl w:val="0"/>
        <w:rPr>
          <w:rFonts w:ascii="Times New Roman" w:hAnsi="Times New Roman" w:cs="Times New Roman"/>
          <w:color w:val="auto"/>
          <w:sz w:val="32"/>
          <w:szCs w:val="32"/>
          <w:highlight w:val="none"/>
        </w:rPr>
      </w:pPr>
      <w:bookmarkStart w:id="6" w:name="_Toc254970489"/>
      <w:bookmarkStart w:id="7" w:name="_Toc254970630"/>
      <w:bookmarkStart w:id="8" w:name="_Toc15415"/>
      <w:r>
        <w:rPr>
          <w:rFonts w:ascii="Times New Roman" w:hAnsi="Times New Roman" w:cs="Times New Roman"/>
          <w:color w:val="auto"/>
          <w:sz w:val="32"/>
          <w:szCs w:val="32"/>
          <w:highlight w:val="none"/>
        </w:rPr>
        <w:t xml:space="preserve">第一章  </w:t>
      </w:r>
      <w:bookmarkEnd w:id="6"/>
      <w:bookmarkEnd w:id="7"/>
      <w:r>
        <w:rPr>
          <w:rFonts w:ascii="Times New Roman" w:hAnsi="Times New Roman" w:cs="Times New Roman"/>
          <w:color w:val="auto"/>
          <w:sz w:val="32"/>
          <w:szCs w:val="32"/>
          <w:highlight w:val="none"/>
        </w:rPr>
        <w:t>竞争性磋商公告</w:t>
      </w:r>
      <w:bookmarkEnd w:id="8"/>
    </w:p>
    <w:p w14:paraId="799628F8">
      <w:pPr>
        <w:spacing w:line="400" w:lineRule="exact"/>
        <w:jc w:val="center"/>
        <w:rPr>
          <w:color w:val="auto"/>
          <w:kern w:val="0"/>
          <w:sz w:val="24"/>
          <w:highlight w:val="none"/>
        </w:rPr>
      </w:pPr>
      <w:r>
        <w:rPr>
          <w:color w:val="auto"/>
          <w:kern w:val="0"/>
          <w:sz w:val="24"/>
          <w:highlight w:val="none"/>
        </w:rPr>
        <w:t>广西机电设备招标有限公司关于</w:t>
      </w:r>
      <w:r>
        <w:rPr>
          <w:rFonts w:hint="eastAsia"/>
          <w:color w:val="auto"/>
          <w:kern w:val="0"/>
          <w:sz w:val="24"/>
          <w:highlight w:val="none"/>
        </w:rPr>
        <w:t>广西职业师范学院相思湖校区运动场跑道及灯光改造项目</w:t>
      </w:r>
      <w:r>
        <w:rPr>
          <w:color w:val="auto"/>
          <w:kern w:val="0"/>
          <w:sz w:val="24"/>
          <w:highlight w:val="none"/>
        </w:rPr>
        <w:t>(GXZC2026-C2-002964-JDZB</w:t>
      </w:r>
      <w:r>
        <w:rPr>
          <w:rFonts w:hint="eastAsia"/>
          <w:color w:val="auto"/>
          <w:kern w:val="0"/>
          <w:sz w:val="24"/>
          <w:highlight w:val="none"/>
          <w:lang w:val="en-US" w:eastAsia="zh-CN"/>
        </w:rPr>
        <w:t xml:space="preserve"> </w:t>
      </w:r>
      <w:r>
        <w:rPr>
          <w:color w:val="auto"/>
          <w:kern w:val="0"/>
          <w:sz w:val="24"/>
          <w:highlight w:val="none"/>
        </w:rPr>
        <w:t>)竞争性磋商公告</w:t>
      </w:r>
    </w:p>
    <w:p w14:paraId="3C1F01C6">
      <w:pPr>
        <w:spacing w:line="312" w:lineRule="auto"/>
        <w:ind w:firstLine="420" w:firstLineChars="200"/>
        <w:jc w:val="left"/>
        <w:rPr>
          <w:color w:val="auto"/>
          <w:kern w:val="0"/>
          <w:szCs w:val="21"/>
          <w:highlight w:val="none"/>
        </w:rPr>
      </w:pPr>
    </w:p>
    <w:p w14:paraId="74D30D73">
      <w:pPr>
        <w:spacing w:line="312" w:lineRule="auto"/>
        <w:ind w:firstLine="420" w:firstLineChars="200"/>
        <w:jc w:val="left"/>
        <w:rPr>
          <w:rFonts w:hint="eastAsia"/>
          <w:color w:val="auto"/>
          <w:kern w:val="0"/>
          <w:szCs w:val="21"/>
          <w:highlight w:val="none"/>
        </w:rPr>
      </w:pPr>
      <w:r>
        <w:rPr>
          <w:rFonts w:hint="eastAsia"/>
          <w:color w:val="auto"/>
          <w:kern w:val="0"/>
          <w:szCs w:val="21"/>
          <w:highlight w:val="none"/>
        </w:rPr>
        <w:t>项目概况：</w:t>
      </w:r>
      <w:r>
        <w:rPr>
          <w:rFonts w:hint="eastAsia" w:ascii="宋体" w:hAnsi="宋体" w:eastAsia="宋体" w:cs="宋体"/>
          <w:color w:val="auto"/>
          <w:szCs w:val="21"/>
          <w:highlight w:val="none"/>
        </w:rPr>
        <w:t>广西职业师范学院相思湖校区运动场跑道及灯光改造</w:t>
      </w:r>
      <w:r>
        <w:rPr>
          <w:rFonts w:hint="eastAsia"/>
          <w:color w:val="auto"/>
          <w:kern w:val="0"/>
          <w:szCs w:val="21"/>
          <w:highlight w:val="none"/>
        </w:rPr>
        <w:t>项目的潜在供应商应在</w:t>
      </w:r>
      <w:r>
        <w:rPr>
          <w:rFonts w:hint="eastAsia"/>
          <w:color w:val="auto"/>
          <w:szCs w:val="21"/>
          <w:highlight w:val="none"/>
        </w:rPr>
        <w:t>广西政府采购云平台 （https://www.gcy.zfcg.gxzf.gov.cn/）获取采购文件，并于</w:t>
      </w:r>
      <w:r>
        <w:rPr>
          <w:rFonts w:hint="eastAsia"/>
          <w:color w:val="auto"/>
          <w:szCs w:val="21"/>
          <w:highlight w:val="none"/>
          <w:lang w:val="en-US" w:eastAsia="zh-CN"/>
        </w:rPr>
        <w:t>2026</w:t>
      </w:r>
      <w:r>
        <w:rPr>
          <w:rFonts w:hint="eastAsia"/>
          <w:color w:val="auto"/>
          <w:szCs w:val="21"/>
          <w:highlight w:val="none"/>
        </w:rPr>
        <w:t xml:space="preserve">年 </w:t>
      </w:r>
      <w:r>
        <w:rPr>
          <w:rFonts w:hint="eastAsia"/>
          <w:color w:val="auto"/>
          <w:szCs w:val="21"/>
          <w:highlight w:val="none"/>
          <w:lang w:val="en-US" w:eastAsia="zh-CN"/>
        </w:rPr>
        <w:t>9</w:t>
      </w:r>
      <w:r>
        <w:rPr>
          <w:rFonts w:hint="eastAsia"/>
          <w:color w:val="auto"/>
          <w:szCs w:val="21"/>
          <w:highlight w:val="none"/>
        </w:rPr>
        <w:t xml:space="preserve">月 </w:t>
      </w:r>
      <w:r>
        <w:rPr>
          <w:rFonts w:hint="eastAsia"/>
          <w:color w:val="auto"/>
          <w:szCs w:val="21"/>
          <w:highlight w:val="none"/>
          <w:lang w:val="en-US" w:eastAsia="zh-CN"/>
        </w:rPr>
        <w:t>15</w:t>
      </w:r>
      <w:r>
        <w:rPr>
          <w:rFonts w:hint="eastAsia"/>
          <w:color w:val="auto"/>
          <w:szCs w:val="21"/>
          <w:highlight w:val="none"/>
        </w:rPr>
        <w:t xml:space="preserve">日 </w:t>
      </w:r>
      <w:r>
        <w:rPr>
          <w:rFonts w:hint="eastAsia"/>
          <w:color w:val="auto"/>
          <w:szCs w:val="21"/>
          <w:highlight w:val="none"/>
          <w:lang w:val="en-US" w:eastAsia="zh-CN"/>
        </w:rPr>
        <w:t>09</w:t>
      </w:r>
      <w:r>
        <w:rPr>
          <w:rFonts w:hint="eastAsia"/>
          <w:color w:val="auto"/>
          <w:szCs w:val="21"/>
          <w:highlight w:val="none"/>
        </w:rPr>
        <w:t xml:space="preserve">点 </w:t>
      </w:r>
      <w:r>
        <w:rPr>
          <w:rFonts w:hint="eastAsia"/>
          <w:color w:val="auto"/>
          <w:szCs w:val="21"/>
          <w:highlight w:val="none"/>
          <w:lang w:val="en-US" w:eastAsia="zh-CN"/>
        </w:rPr>
        <w:t>30</w:t>
      </w:r>
      <w:r>
        <w:rPr>
          <w:rFonts w:hint="eastAsia"/>
          <w:color w:val="auto"/>
          <w:szCs w:val="21"/>
          <w:highlight w:val="none"/>
        </w:rPr>
        <w:t>分（北京时间）前提交响应</w:t>
      </w:r>
      <w:r>
        <w:rPr>
          <w:color w:val="auto"/>
          <w:szCs w:val="21"/>
          <w:highlight w:val="none"/>
        </w:rPr>
        <w:t>文件</w:t>
      </w:r>
      <w:r>
        <w:rPr>
          <w:rFonts w:hint="eastAsia"/>
          <w:color w:val="auto"/>
          <w:szCs w:val="21"/>
          <w:highlight w:val="none"/>
        </w:rPr>
        <w:t>。</w:t>
      </w:r>
    </w:p>
    <w:p w14:paraId="67DEDAF0">
      <w:pPr>
        <w:spacing w:line="312" w:lineRule="auto"/>
        <w:ind w:firstLine="442" w:firstLineChars="200"/>
        <w:jc w:val="left"/>
        <w:rPr>
          <w:b/>
          <w:bCs/>
          <w:color w:val="auto"/>
          <w:kern w:val="0"/>
          <w:sz w:val="22"/>
          <w:szCs w:val="22"/>
          <w:highlight w:val="none"/>
        </w:rPr>
      </w:pPr>
      <w:r>
        <w:rPr>
          <w:rFonts w:hint="eastAsia"/>
          <w:b/>
          <w:bCs/>
          <w:color w:val="auto"/>
          <w:kern w:val="0"/>
          <w:sz w:val="22"/>
          <w:szCs w:val="22"/>
          <w:highlight w:val="none"/>
        </w:rPr>
        <w:t>一、项目基本情况</w:t>
      </w:r>
    </w:p>
    <w:p w14:paraId="36A701A3">
      <w:pPr>
        <w:spacing w:line="312" w:lineRule="auto"/>
        <w:ind w:firstLine="420" w:firstLineChars="200"/>
        <w:jc w:val="left"/>
        <w:rPr>
          <w:rFonts w:hint="eastAsia"/>
          <w:color w:val="auto"/>
          <w:szCs w:val="21"/>
          <w:highlight w:val="none"/>
          <w:lang w:val="en-US" w:eastAsia="zh-CN"/>
        </w:rPr>
      </w:pPr>
      <w:r>
        <w:rPr>
          <w:color w:val="auto"/>
          <w:kern w:val="0"/>
          <w:szCs w:val="21"/>
          <w:highlight w:val="none"/>
        </w:rPr>
        <w:t>项目编号：</w:t>
      </w:r>
      <w:r>
        <w:rPr>
          <w:rFonts w:hint="eastAsia"/>
          <w:color w:val="auto"/>
          <w:szCs w:val="21"/>
          <w:highlight w:val="none"/>
          <w:lang w:val="en-US" w:eastAsia="zh-CN"/>
        </w:rPr>
        <w:t>GXZC2026-C2-002964-JDZB</w:t>
      </w:r>
    </w:p>
    <w:p w14:paraId="27A40FB1">
      <w:pPr>
        <w:spacing w:line="312" w:lineRule="auto"/>
        <w:ind w:firstLine="420" w:firstLineChars="200"/>
        <w:jc w:val="left"/>
        <w:rPr>
          <w:color w:val="auto"/>
          <w:kern w:val="0"/>
          <w:szCs w:val="21"/>
          <w:highlight w:val="none"/>
        </w:rPr>
      </w:pPr>
      <w:r>
        <w:rPr>
          <w:color w:val="auto"/>
          <w:kern w:val="0"/>
          <w:szCs w:val="21"/>
          <w:highlight w:val="none"/>
        </w:rPr>
        <w:t>项目名称：</w:t>
      </w:r>
      <w:r>
        <w:rPr>
          <w:rFonts w:hint="eastAsia"/>
          <w:color w:val="auto"/>
          <w:kern w:val="0"/>
          <w:szCs w:val="21"/>
          <w:highlight w:val="none"/>
        </w:rPr>
        <w:t>广西职业师范学院相思湖校区运动场跑道及灯光改造项目</w:t>
      </w:r>
    </w:p>
    <w:p w14:paraId="2F8ACAA7">
      <w:pPr>
        <w:spacing w:line="312" w:lineRule="auto"/>
        <w:ind w:firstLine="420" w:firstLineChars="200"/>
        <w:jc w:val="left"/>
        <w:rPr>
          <w:color w:val="auto"/>
          <w:kern w:val="0"/>
          <w:szCs w:val="21"/>
          <w:highlight w:val="none"/>
        </w:rPr>
      </w:pPr>
      <w:bookmarkStart w:id="9" w:name="_Hlk77608065"/>
      <w:r>
        <w:rPr>
          <w:rFonts w:hint="eastAsia"/>
          <w:color w:val="auto"/>
          <w:kern w:val="0"/>
          <w:szCs w:val="21"/>
          <w:highlight w:val="none"/>
        </w:rPr>
        <w:t>采购方式：竞争性磋商</w:t>
      </w:r>
    </w:p>
    <w:p w14:paraId="1E491EAE">
      <w:pPr>
        <w:spacing w:line="312" w:lineRule="auto"/>
        <w:ind w:firstLine="420" w:firstLineChars="200"/>
        <w:jc w:val="left"/>
        <w:rPr>
          <w:color w:val="auto"/>
          <w:kern w:val="0"/>
          <w:szCs w:val="21"/>
          <w:highlight w:val="none"/>
        </w:rPr>
      </w:pPr>
      <w:r>
        <w:rPr>
          <w:color w:val="auto"/>
          <w:kern w:val="0"/>
          <w:szCs w:val="21"/>
          <w:highlight w:val="none"/>
        </w:rPr>
        <w:t>预算</w:t>
      </w:r>
      <w:r>
        <w:rPr>
          <w:rFonts w:hint="eastAsia"/>
          <w:color w:val="auto"/>
          <w:kern w:val="0"/>
          <w:szCs w:val="21"/>
          <w:highlight w:val="none"/>
        </w:rPr>
        <w:t>总</w:t>
      </w:r>
      <w:r>
        <w:rPr>
          <w:color w:val="auto"/>
          <w:kern w:val="0"/>
          <w:szCs w:val="21"/>
          <w:highlight w:val="none"/>
        </w:rPr>
        <w:t>金额</w:t>
      </w:r>
      <w:r>
        <w:rPr>
          <w:rFonts w:hint="eastAsia"/>
          <w:color w:val="auto"/>
          <w:kern w:val="0"/>
          <w:szCs w:val="21"/>
          <w:highlight w:val="none"/>
        </w:rPr>
        <w:t>（元）</w:t>
      </w:r>
      <w:r>
        <w:rPr>
          <w:color w:val="auto"/>
          <w:kern w:val="0"/>
          <w:szCs w:val="21"/>
          <w:highlight w:val="none"/>
        </w:rPr>
        <w:t>：</w:t>
      </w:r>
      <w:r>
        <w:rPr>
          <w:rFonts w:hint="eastAsia"/>
          <w:color w:val="auto"/>
          <w:kern w:val="0"/>
          <w:szCs w:val="21"/>
          <w:highlight w:val="none"/>
        </w:rPr>
        <w:t>1362261.64</w:t>
      </w:r>
    </w:p>
    <w:p w14:paraId="1C210FCC">
      <w:pPr>
        <w:spacing w:line="312" w:lineRule="auto"/>
        <w:ind w:firstLine="420" w:firstLineChars="200"/>
        <w:jc w:val="left"/>
        <w:rPr>
          <w:color w:val="auto"/>
          <w:kern w:val="0"/>
          <w:szCs w:val="21"/>
          <w:highlight w:val="none"/>
        </w:rPr>
      </w:pPr>
      <w:r>
        <w:rPr>
          <w:rFonts w:hint="eastAsia"/>
          <w:color w:val="auto"/>
          <w:kern w:val="0"/>
          <w:szCs w:val="21"/>
          <w:highlight w:val="none"/>
        </w:rPr>
        <w:t>采购需求</w:t>
      </w:r>
      <w:r>
        <w:rPr>
          <w:color w:val="auto"/>
          <w:kern w:val="0"/>
          <w:szCs w:val="21"/>
          <w:highlight w:val="none"/>
        </w:rPr>
        <w:t>：</w:t>
      </w:r>
    </w:p>
    <w:p w14:paraId="488BD32A">
      <w:pPr>
        <w:spacing w:line="312" w:lineRule="auto"/>
        <w:ind w:firstLine="735" w:firstLineChars="350"/>
        <w:jc w:val="left"/>
        <w:rPr>
          <w:color w:val="auto"/>
          <w:kern w:val="0"/>
          <w:szCs w:val="21"/>
          <w:highlight w:val="none"/>
        </w:rPr>
      </w:pPr>
      <w:r>
        <w:rPr>
          <w:rFonts w:hint="eastAsia"/>
          <w:color w:val="auto"/>
          <w:kern w:val="0"/>
          <w:szCs w:val="21"/>
          <w:highlight w:val="none"/>
        </w:rPr>
        <w:t>标项名称：广西职业师范学院相思湖校区运动场跑道及灯光改造项目</w:t>
      </w:r>
    </w:p>
    <w:p w14:paraId="3C8A4742">
      <w:pPr>
        <w:spacing w:line="312" w:lineRule="auto"/>
        <w:ind w:firstLine="735" w:firstLineChars="350"/>
        <w:jc w:val="left"/>
        <w:rPr>
          <w:rFonts w:hint="eastAsia" w:eastAsia="宋体"/>
          <w:color w:val="auto"/>
          <w:kern w:val="0"/>
          <w:szCs w:val="21"/>
          <w:highlight w:val="none"/>
          <w:lang w:val="en-US" w:eastAsia="zh-CN"/>
        </w:rPr>
      </w:pPr>
      <w:r>
        <w:rPr>
          <w:rFonts w:hint="eastAsia"/>
          <w:color w:val="auto"/>
          <w:kern w:val="0"/>
          <w:szCs w:val="21"/>
          <w:highlight w:val="none"/>
        </w:rPr>
        <w:t>数量：</w:t>
      </w:r>
      <w:r>
        <w:rPr>
          <w:rFonts w:hint="eastAsia"/>
          <w:color w:val="auto"/>
          <w:kern w:val="0"/>
          <w:szCs w:val="21"/>
          <w:highlight w:val="none"/>
          <w:lang w:val="en-US" w:eastAsia="zh-CN"/>
        </w:rPr>
        <w:t>1</w:t>
      </w:r>
    </w:p>
    <w:p w14:paraId="349EAF11">
      <w:pPr>
        <w:spacing w:line="312" w:lineRule="auto"/>
        <w:ind w:firstLine="735" w:firstLineChars="350"/>
        <w:jc w:val="left"/>
        <w:rPr>
          <w:color w:val="auto"/>
          <w:kern w:val="0"/>
          <w:szCs w:val="21"/>
          <w:highlight w:val="none"/>
        </w:rPr>
      </w:pPr>
      <w:r>
        <w:rPr>
          <w:rFonts w:hint="eastAsia"/>
          <w:color w:val="auto"/>
          <w:kern w:val="0"/>
          <w:szCs w:val="21"/>
          <w:highlight w:val="none"/>
        </w:rPr>
        <w:t>预算金额（元）：1362261.64元</w:t>
      </w:r>
    </w:p>
    <w:p w14:paraId="212017A6">
      <w:pPr>
        <w:spacing w:line="312" w:lineRule="auto"/>
        <w:ind w:firstLine="735" w:firstLineChars="350"/>
        <w:jc w:val="left"/>
        <w:rPr>
          <w:color w:val="auto"/>
          <w:kern w:val="0"/>
          <w:szCs w:val="21"/>
          <w:highlight w:val="none"/>
        </w:rPr>
      </w:pPr>
      <w:r>
        <w:rPr>
          <w:rFonts w:hint="eastAsia"/>
          <w:color w:val="auto"/>
          <w:kern w:val="0"/>
          <w:szCs w:val="21"/>
          <w:highlight w:val="none"/>
        </w:rPr>
        <w:t>简要规格描述或项目基本概况介绍、用途：</w:t>
      </w:r>
      <w:r>
        <w:rPr>
          <w:rFonts w:hint="eastAsia" w:ascii="宋体" w:hAnsi="宋体" w:eastAsia="宋体" w:cs="宋体"/>
          <w:color w:val="auto"/>
          <w:szCs w:val="21"/>
          <w:highlight w:val="none"/>
        </w:rPr>
        <w:t>广西职业师范学院相思湖校区运动场跑道及灯光改造项目1项，本工程为相思湖校区运动场跑道和灯光改造项目，位于南宁市，工程内容为运动跑道拆除及新建、灯光改造等</w:t>
      </w:r>
      <w:r>
        <w:rPr>
          <w:rFonts w:hint="eastAsia" w:ascii="宋体" w:hAnsi="宋体" w:eastAsia="宋体" w:cs="宋体"/>
          <w:color w:val="auto"/>
          <w:highlight w:val="none"/>
        </w:rPr>
        <w:t>。</w:t>
      </w:r>
      <w:r>
        <w:rPr>
          <w:rFonts w:hint="eastAsia" w:ascii="宋体" w:hAnsi="宋体" w:eastAsia="宋体" w:cs="宋体"/>
          <w:color w:val="auto"/>
          <w:szCs w:val="21"/>
          <w:highlight w:val="none"/>
        </w:rPr>
        <w:t>具体内容详见工程量清单及图纸要求。</w:t>
      </w:r>
    </w:p>
    <w:p w14:paraId="1539EB67">
      <w:pPr>
        <w:spacing w:line="312" w:lineRule="auto"/>
        <w:ind w:firstLine="735" w:firstLineChars="350"/>
        <w:jc w:val="left"/>
        <w:rPr>
          <w:rFonts w:hint="eastAsia"/>
          <w:color w:val="auto"/>
          <w:kern w:val="0"/>
          <w:szCs w:val="21"/>
          <w:highlight w:val="none"/>
        </w:rPr>
      </w:pPr>
      <w:r>
        <w:rPr>
          <w:rFonts w:hint="eastAsia"/>
          <w:color w:val="auto"/>
          <w:kern w:val="0"/>
          <w:szCs w:val="21"/>
          <w:highlight w:val="none"/>
        </w:rPr>
        <w:t>最高限价（如有）：1362261.64元</w:t>
      </w:r>
    </w:p>
    <w:p w14:paraId="3D4B3553">
      <w:pPr>
        <w:spacing w:line="312" w:lineRule="auto"/>
        <w:ind w:firstLine="735" w:firstLineChars="350"/>
        <w:jc w:val="left"/>
        <w:rPr>
          <w:color w:val="auto"/>
          <w:kern w:val="0"/>
          <w:szCs w:val="21"/>
          <w:highlight w:val="none"/>
        </w:rPr>
      </w:pPr>
      <w:r>
        <w:rPr>
          <w:rFonts w:hint="eastAsia"/>
          <w:color w:val="auto"/>
          <w:kern w:val="0"/>
          <w:szCs w:val="21"/>
          <w:highlight w:val="none"/>
        </w:rPr>
        <w:t>合同履约期限：</w:t>
      </w:r>
      <w:r>
        <w:rPr>
          <w:rFonts w:hint="eastAsia"/>
          <w:color w:val="auto"/>
          <w:kern w:val="0"/>
          <w:szCs w:val="21"/>
          <w:highlight w:val="none"/>
          <w:lang w:val="en-US" w:eastAsia="zh-CN"/>
        </w:rPr>
        <w:t>30</w:t>
      </w:r>
      <w:r>
        <w:rPr>
          <w:rFonts w:hint="eastAsia"/>
          <w:color w:val="auto"/>
          <w:kern w:val="0"/>
          <w:szCs w:val="21"/>
          <w:highlight w:val="none"/>
        </w:rPr>
        <w:t>日历天。</w:t>
      </w:r>
    </w:p>
    <w:p w14:paraId="380E0ABB">
      <w:pPr>
        <w:spacing w:line="312" w:lineRule="auto"/>
        <w:ind w:firstLine="735" w:firstLineChars="350"/>
        <w:jc w:val="left"/>
        <w:rPr>
          <w:color w:val="auto"/>
          <w:kern w:val="0"/>
          <w:szCs w:val="21"/>
          <w:highlight w:val="none"/>
        </w:rPr>
      </w:pPr>
      <w:r>
        <w:rPr>
          <w:color w:val="auto"/>
          <w:kern w:val="0"/>
          <w:szCs w:val="21"/>
          <w:highlight w:val="none"/>
        </w:rPr>
        <w:t>本项目</w:t>
      </w:r>
      <w:r>
        <w:rPr>
          <w:rFonts w:hint="eastAsia"/>
          <w:color w:val="auto"/>
          <w:kern w:val="0"/>
          <w:szCs w:val="21"/>
          <w:highlight w:val="none"/>
        </w:rPr>
        <w:t>（</w:t>
      </w:r>
      <w:r>
        <w:rPr>
          <w:rFonts w:hint="eastAsia"/>
          <w:color w:val="auto"/>
          <w:szCs w:val="21"/>
          <w:highlight w:val="none"/>
        </w:rPr>
        <w:t>否</w:t>
      </w:r>
      <w:r>
        <w:rPr>
          <w:rFonts w:hint="eastAsia"/>
          <w:color w:val="auto"/>
          <w:kern w:val="0"/>
          <w:szCs w:val="21"/>
          <w:highlight w:val="none"/>
        </w:rPr>
        <w:t>）接受</w:t>
      </w:r>
      <w:r>
        <w:rPr>
          <w:color w:val="auto"/>
          <w:kern w:val="0"/>
          <w:szCs w:val="21"/>
          <w:highlight w:val="none"/>
        </w:rPr>
        <w:t>联合体。</w:t>
      </w:r>
    </w:p>
    <w:p w14:paraId="5F9B1111">
      <w:pPr>
        <w:spacing w:line="312" w:lineRule="auto"/>
        <w:ind w:firstLine="735" w:firstLineChars="350"/>
        <w:jc w:val="left"/>
        <w:rPr>
          <w:rFonts w:hint="eastAsia"/>
          <w:color w:val="auto"/>
          <w:kern w:val="0"/>
          <w:szCs w:val="21"/>
          <w:highlight w:val="none"/>
        </w:rPr>
      </w:pPr>
      <w:r>
        <w:rPr>
          <w:rFonts w:hint="eastAsia"/>
          <w:color w:val="auto"/>
          <w:kern w:val="0"/>
          <w:szCs w:val="21"/>
          <w:highlight w:val="none"/>
        </w:rPr>
        <w:t>备注：采购计划号：广西政采[2026]18513号</w:t>
      </w:r>
    </w:p>
    <w:bookmarkEnd w:id="9"/>
    <w:p w14:paraId="0689AEA7">
      <w:pPr>
        <w:spacing w:line="312" w:lineRule="auto"/>
        <w:ind w:firstLine="442" w:firstLineChars="200"/>
        <w:jc w:val="left"/>
        <w:rPr>
          <w:rFonts w:hint="eastAsia"/>
          <w:b/>
          <w:bCs/>
          <w:color w:val="auto"/>
          <w:kern w:val="0"/>
          <w:sz w:val="22"/>
          <w:szCs w:val="22"/>
          <w:highlight w:val="none"/>
        </w:rPr>
      </w:pPr>
      <w:r>
        <w:rPr>
          <w:rFonts w:hint="eastAsia"/>
          <w:b/>
          <w:bCs/>
          <w:color w:val="auto"/>
          <w:kern w:val="0"/>
          <w:sz w:val="22"/>
          <w:szCs w:val="22"/>
          <w:highlight w:val="none"/>
        </w:rPr>
        <w:t>二、申请人的资格要求</w:t>
      </w:r>
    </w:p>
    <w:p w14:paraId="5488322A">
      <w:pPr>
        <w:spacing w:line="312" w:lineRule="auto"/>
        <w:ind w:firstLine="420" w:firstLineChars="200"/>
        <w:jc w:val="left"/>
        <w:rPr>
          <w:color w:val="auto"/>
          <w:kern w:val="0"/>
          <w:szCs w:val="21"/>
          <w:highlight w:val="none"/>
        </w:rPr>
      </w:pPr>
      <w:r>
        <w:rPr>
          <w:color w:val="auto"/>
          <w:kern w:val="0"/>
          <w:szCs w:val="21"/>
          <w:highlight w:val="none"/>
        </w:rPr>
        <w:t>1</w:t>
      </w:r>
      <w:r>
        <w:rPr>
          <w:rFonts w:hint="eastAsia"/>
          <w:color w:val="auto"/>
          <w:kern w:val="0"/>
          <w:szCs w:val="21"/>
          <w:highlight w:val="none"/>
        </w:rPr>
        <w:t>.满足</w:t>
      </w:r>
      <w:r>
        <w:rPr>
          <w:color w:val="auto"/>
          <w:kern w:val="0"/>
          <w:szCs w:val="21"/>
          <w:highlight w:val="none"/>
        </w:rPr>
        <w:t>《中华人民共和国政府采购法》第二十二条规定；</w:t>
      </w:r>
    </w:p>
    <w:p w14:paraId="66A852E8">
      <w:pPr>
        <w:spacing w:line="312" w:lineRule="auto"/>
        <w:ind w:firstLine="420" w:firstLineChars="200"/>
        <w:jc w:val="left"/>
        <w:rPr>
          <w:rFonts w:hint="eastAsia" w:eastAsia="宋体"/>
          <w:color w:val="auto"/>
          <w:szCs w:val="21"/>
          <w:highlight w:val="none"/>
          <w:lang w:eastAsia="zh-CN"/>
        </w:rPr>
      </w:pPr>
      <w:r>
        <w:rPr>
          <w:rFonts w:hint="eastAsia"/>
          <w:color w:val="auto"/>
          <w:szCs w:val="21"/>
          <w:highlight w:val="none"/>
        </w:rPr>
        <w:t>2</w:t>
      </w:r>
      <w:r>
        <w:rPr>
          <w:rFonts w:hint="eastAsia"/>
          <w:color w:val="auto"/>
          <w:kern w:val="0"/>
          <w:szCs w:val="21"/>
          <w:highlight w:val="none"/>
        </w:rPr>
        <w:t>.</w:t>
      </w:r>
      <w:r>
        <w:rPr>
          <w:rFonts w:hint="eastAsia"/>
          <w:color w:val="auto"/>
          <w:szCs w:val="21"/>
          <w:highlight w:val="none"/>
        </w:rPr>
        <w:t>落实政府采购政策需满足的资格要求：</w:t>
      </w:r>
      <w:bookmarkStart w:id="10" w:name="_Hlk132732708"/>
      <w:r>
        <w:rPr>
          <w:rFonts w:hint="eastAsia"/>
          <w:color w:val="auto"/>
          <w:kern w:val="0"/>
          <w:szCs w:val="21"/>
          <w:highlight w:val="none"/>
        </w:rPr>
        <w:t>无</w:t>
      </w:r>
      <w:r>
        <w:rPr>
          <w:rFonts w:hint="eastAsia"/>
          <w:color w:val="auto"/>
          <w:kern w:val="0"/>
          <w:szCs w:val="21"/>
          <w:highlight w:val="none"/>
          <w:lang w:eastAsia="zh-CN"/>
        </w:rPr>
        <w:t>。</w:t>
      </w:r>
    </w:p>
    <w:bookmarkEnd w:id="10"/>
    <w:p w14:paraId="498C6F2E">
      <w:pPr>
        <w:spacing w:line="312" w:lineRule="auto"/>
        <w:ind w:firstLine="420" w:firstLineChars="200"/>
        <w:jc w:val="left"/>
        <w:rPr>
          <w:rFonts w:hint="eastAsia"/>
          <w:color w:val="auto"/>
          <w:kern w:val="0"/>
          <w:szCs w:val="21"/>
          <w:highlight w:val="none"/>
        </w:rPr>
      </w:pPr>
      <w:r>
        <w:rPr>
          <w:color w:val="auto"/>
          <w:kern w:val="0"/>
          <w:szCs w:val="21"/>
          <w:highlight w:val="none"/>
        </w:rPr>
        <w:t>3</w:t>
      </w:r>
      <w:r>
        <w:rPr>
          <w:rFonts w:hint="eastAsia"/>
          <w:color w:val="auto"/>
          <w:kern w:val="0"/>
          <w:szCs w:val="21"/>
          <w:highlight w:val="none"/>
        </w:rPr>
        <w:t>.本项目的</w:t>
      </w:r>
      <w:r>
        <w:rPr>
          <w:color w:val="auto"/>
          <w:kern w:val="0"/>
          <w:szCs w:val="21"/>
          <w:highlight w:val="none"/>
        </w:rPr>
        <w:t>特定资格</w:t>
      </w:r>
      <w:r>
        <w:rPr>
          <w:rFonts w:hint="eastAsia"/>
          <w:color w:val="auto"/>
          <w:kern w:val="0"/>
          <w:szCs w:val="21"/>
          <w:highlight w:val="none"/>
        </w:rPr>
        <w:t>要求</w:t>
      </w:r>
      <w:r>
        <w:rPr>
          <w:color w:val="auto"/>
          <w:kern w:val="0"/>
          <w:szCs w:val="21"/>
          <w:highlight w:val="none"/>
        </w:rPr>
        <w:t>：</w:t>
      </w:r>
    </w:p>
    <w:p w14:paraId="24675C03">
      <w:pPr>
        <w:spacing w:line="312" w:lineRule="auto"/>
        <w:ind w:firstLine="420" w:firstLineChars="200"/>
        <w:jc w:val="left"/>
        <w:rPr>
          <w:color w:val="auto"/>
          <w:kern w:val="0"/>
          <w:szCs w:val="21"/>
          <w:highlight w:val="none"/>
        </w:rPr>
      </w:pPr>
      <w:r>
        <w:rPr>
          <w:color w:val="auto"/>
          <w:kern w:val="0"/>
          <w:szCs w:val="21"/>
          <w:highlight w:val="none"/>
        </w:rPr>
        <w:t>（1）资质要求：</w:t>
      </w:r>
      <w:r>
        <w:rPr>
          <w:rFonts w:hint="eastAsia" w:ascii="宋体" w:hAnsi="宋体" w:eastAsia="宋体" w:cs="宋体"/>
          <w:color w:val="auto"/>
          <w:kern w:val="0"/>
          <w:szCs w:val="21"/>
          <w:highlight w:val="none"/>
        </w:rPr>
        <w:t>具备</w:t>
      </w:r>
      <w:r>
        <w:rPr>
          <w:rFonts w:hint="eastAsia" w:ascii="宋体" w:hAnsi="宋体" w:eastAsia="宋体" w:cs="宋体"/>
          <w:color w:val="auto"/>
          <w:highlight w:val="none"/>
          <w:u w:val="single"/>
        </w:rPr>
        <w:t>建筑工程施工总承包叁级以上（含叁级）资质</w:t>
      </w:r>
      <w:r>
        <w:rPr>
          <w:rFonts w:hint="eastAsia" w:ascii="宋体" w:hAnsi="宋体" w:eastAsia="宋体" w:cs="宋体"/>
          <w:color w:val="auto"/>
          <w:kern w:val="0"/>
          <w:szCs w:val="21"/>
          <w:highlight w:val="none"/>
        </w:rPr>
        <w:t>，</w:t>
      </w:r>
      <w:r>
        <w:rPr>
          <w:rFonts w:hint="eastAsia" w:ascii="宋体" w:hAnsi="宋体" w:eastAsia="宋体" w:cs="宋体"/>
          <w:color w:val="auto"/>
          <w:szCs w:val="21"/>
          <w:highlight w:val="none"/>
        </w:rPr>
        <w:t>具备有效的安全生产许可证</w:t>
      </w:r>
      <w:r>
        <w:rPr>
          <w:rFonts w:hint="eastAsia" w:ascii="宋体" w:hAnsi="宋体" w:eastAsia="宋体" w:cs="宋体"/>
          <w:color w:val="auto"/>
          <w:kern w:val="0"/>
          <w:szCs w:val="21"/>
          <w:highlight w:val="none"/>
        </w:rPr>
        <w:t>。</w:t>
      </w:r>
    </w:p>
    <w:p w14:paraId="4E0B899F">
      <w:pPr>
        <w:spacing w:line="312" w:lineRule="auto"/>
        <w:ind w:firstLine="420" w:firstLineChars="200"/>
        <w:jc w:val="left"/>
        <w:rPr>
          <w:color w:val="auto"/>
          <w:kern w:val="0"/>
          <w:szCs w:val="21"/>
          <w:highlight w:val="none"/>
        </w:rPr>
      </w:pPr>
      <w:r>
        <w:rPr>
          <w:rFonts w:hint="eastAsia"/>
          <w:color w:val="auto"/>
          <w:kern w:val="0"/>
          <w:szCs w:val="21"/>
          <w:highlight w:val="none"/>
        </w:rPr>
        <w:t>（2）人员要求</w:t>
      </w:r>
    </w:p>
    <w:p w14:paraId="225C05C9">
      <w:pPr>
        <w:spacing w:line="312" w:lineRule="auto"/>
        <w:ind w:firstLine="420" w:firstLineChars="200"/>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项目经理要求：具备</w:t>
      </w:r>
      <w:r>
        <w:rPr>
          <w:rFonts w:hint="eastAsia" w:ascii="宋体" w:hAnsi="宋体" w:eastAsia="宋体" w:cs="宋体"/>
          <w:color w:val="auto"/>
          <w:highlight w:val="none"/>
          <w:u w:val="single"/>
        </w:rPr>
        <w:t xml:space="preserve"> 建筑工程 </w:t>
      </w:r>
      <w:r>
        <w:rPr>
          <w:rFonts w:hint="eastAsia" w:ascii="宋体" w:hAnsi="宋体" w:eastAsia="宋体" w:cs="宋体"/>
          <w:color w:val="auto"/>
          <w:highlight w:val="none"/>
        </w:rPr>
        <w:t>专业</w:t>
      </w:r>
      <w:r>
        <w:rPr>
          <w:rFonts w:hint="eastAsia" w:ascii="宋体" w:hAnsi="宋体" w:eastAsia="宋体" w:cs="宋体"/>
          <w:color w:val="auto"/>
          <w:highlight w:val="none"/>
          <w:u w:val="single"/>
        </w:rPr>
        <w:t xml:space="preserve"> 二 </w:t>
      </w:r>
      <w:r>
        <w:rPr>
          <w:rFonts w:hint="eastAsia" w:ascii="宋体" w:hAnsi="宋体" w:eastAsia="宋体" w:cs="宋体"/>
          <w:color w:val="auto"/>
          <w:highlight w:val="none"/>
        </w:rPr>
        <w:t>级以上（含二级）</w:t>
      </w:r>
      <w:r>
        <w:rPr>
          <w:rFonts w:hint="eastAsia" w:ascii="宋体" w:hAnsi="宋体" w:eastAsia="宋体" w:cs="宋体"/>
          <w:color w:val="auto"/>
          <w:kern w:val="0"/>
          <w:szCs w:val="21"/>
          <w:highlight w:val="none"/>
        </w:rPr>
        <w:t>注册建造师执业资格，具备有效的安全生产考核合格证书（B类）。</w:t>
      </w:r>
    </w:p>
    <w:p w14:paraId="65959C62">
      <w:pPr>
        <w:spacing w:line="312" w:lineRule="auto"/>
        <w:ind w:firstLine="420" w:firstLineChars="200"/>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技术负责人要求：无。</w:t>
      </w:r>
    </w:p>
    <w:p w14:paraId="68759A93">
      <w:pPr>
        <w:spacing w:line="312" w:lineRule="auto"/>
        <w:ind w:firstLine="420" w:firstLineChars="200"/>
        <w:jc w:val="left"/>
        <w:rPr>
          <w:color w:val="auto"/>
          <w:kern w:val="0"/>
          <w:szCs w:val="21"/>
          <w:highlight w:val="none"/>
        </w:rPr>
      </w:pPr>
      <w:r>
        <w:rPr>
          <w:rFonts w:hint="eastAsia" w:ascii="宋体" w:hAnsi="宋体" w:eastAsia="宋体" w:cs="宋体"/>
          <w:color w:val="auto"/>
          <w:highlight w:val="none"/>
        </w:rPr>
        <w:t>专职安全员</w:t>
      </w:r>
      <w:r>
        <w:rPr>
          <w:rFonts w:hint="eastAsia" w:ascii="宋体" w:hAnsi="宋体" w:eastAsia="宋体" w:cs="宋体"/>
          <w:color w:val="auto"/>
          <w:kern w:val="0"/>
          <w:szCs w:val="21"/>
          <w:highlight w:val="none"/>
        </w:rPr>
        <w:t>要求：</w:t>
      </w:r>
      <w:r>
        <w:rPr>
          <w:rFonts w:hint="eastAsia" w:ascii="宋体" w:hAnsi="宋体" w:eastAsia="宋体" w:cs="宋体"/>
          <w:color w:val="auto"/>
          <w:highlight w:val="none"/>
        </w:rPr>
        <w:t>须具备有效的安全生产考核合格证书（C类），人数符合住房和城乡建设部《建筑施工企业、工程项目安全生产管理机构设置及安全生产管理人员配备办法》（建质规〔2025〕3号）的规定不少于1人。</w:t>
      </w:r>
    </w:p>
    <w:p w14:paraId="53E98BBC">
      <w:pPr>
        <w:spacing w:line="312" w:lineRule="auto"/>
        <w:ind w:firstLine="420" w:firstLineChars="200"/>
        <w:jc w:val="left"/>
        <w:rPr>
          <w:color w:val="auto"/>
          <w:kern w:val="0"/>
          <w:szCs w:val="21"/>
          <w:highlight w:val="none"/>
        </w:rPr>
      </w:pPr>
      <w:r>
        <w:rPr>
          <w:color w:val="auto"/>
          <w:kern w:val="0"/>
          <w:szCs w:val="21"/>
          <w:highlight w:val="none"/>
        </w:rPr>
        <w:t>（3）业绩要求：无。</w:t>
      </w:r>
    </w:p>
    <w:p w14:paraId="6B1AB20E">
      <w:pPr>
        <w:spacing w:line="312" w:lineRule="auto"/>
        <w:ind w:firstLine="420" w:firstLineChars="200"/>
        <w:jc w:val="left"/>
        <w:rPr>
          <w:color w:val="auto"/>
          <w:kern w:val="0"/>
          <w:szCs w:val="21"/>
          <w:highlight w:val="none"/>
        </w:rPr>
      </w:pPr>
      <w:r>
        <w:rPr>
          <w:color w:val="auto"/>
          <w:kern w:val="0"/>
          <w:szCs w:val="21"/>
          <w:highlight w:val="none"/>
        </w:rPr>
        <w:t>（4）单位负责人为同一人或者存在直接控股、管理关系的不同供应商，不得参加本项目同一合同项下的政府采购活动。为本项目提供整体设计、规范编制或者项目管理、监理、检测等服务的供应商，不得再参加</w:t>
      </w:r>
      <w:r>
        <w:rPr>
          <w:rFonts w:hint="eastAsia"/>
          <w:color w:val="auto"/>
          <w:kern w:val="0"/>
          <w:szCs w:val="21"/>
          <w:highlight w:val="none"/>
        </w:rPr>
        <w:t>本</w:t>
      </w:r>
      <w:r>
        <w:rPr>
          <w:color w:val="auto"/>
          <w:kern w:val="0"/>
          <w:szCs w:val="21"/>
          <w:highlight w:val="none"/>
        </w:rPr>
        <w:t>项目的采购活动</w:t>
      </w:r>
      <w:r>
        <w:rPr>
          <w:rFonts w:hint="eastAsia"/>
          <w:color w:val="auto"/>
          <w:kern w:val="0"/>
          <w:szCs w:val="21"/>
          <w:highlight w:val="none"/>
        </w:rPr>
        <w:t>。</w:t>
      </w:r>
    </w:p>
    <w:p w14:paraId="3EF21126">
      <w:pPr>
        <w:spacing w:line="312" w:lineRule="auto"/>
        <w:ind w:firstLine="420" w:firstLineChars="200"/>
        <w:jc w:val="left"/>
        <w:rPr>
          <w:color w:val="auto"/>
          <w:kern w:val="0"/>
          <w:szCs w:val="21"/>
          <w:highlight w:val="none"/>
        </w:rPr>
      </w:pPr>
      <w:r>
        <w:rPr>
          <w:rFonts w:hint="eastAsia"/>
          <w:color w:val="auto"/>
          <w:kern w:val="0"/>
          <w:szCs w:val="21"/>
          <w:highlight w:val="none"/>
        </w:rPr>
        <w:t>（</w:t>
      </w:r>
      <w:r>
        <w:rPr>
          <w:color w:val="auto"/>
          <w:kern w:val="0"/>
          <w:szCs w:val="21"/>
          <w:highlight w:val="none"/>
        </w:rPr>
        <w:t>5</w:t>
      </w:r>
      <w:r>
        <w:rPr>
          <w:rFonts w:hint="eastAsia"/>
          <w:color w:val="auto"/>
          <w:kern w:val="0"/>
          <w:szCs w:val="21"/>
          <w:highlight w:val="none"/>
        </w:rPr>
        <w:t>）</w:t>
      </w:r>
      <w:r>
        <w:rPr>
          <w:color w:val="auto"/>
          <w:kern w:val="0"/>
          <w:szCs w:val="21"/>
          <w:highlight w:val="none"/>
        </w:rPr>
        <w:t>未被列入失信被执行人、重大税收违法失信主体、政府采购严重违法失信行为记录名单。</w:t>
      </w:r>
    </w:p>
    <w:p w14:paraId="291074A5">
      <w:pPr>
        <w:spacing w:line="312" w:lineRule="auto"/>
        <w:ind w:firstLine="420" w:firstLineChars="200"/>
        <w:jc w:val="left"/>
        <w:rPr>
          <w:color w:val="auto"/>
          <w:kern w:val="0"/>
          <w:szCs w:val="21"/>
          <w:highlight w:val="none"/>
        </w:rPr>
      </w:pPr>
      <w:bookmarkStart w:id="11" w:name="_Hlk132732817"/>
      <w:r>
        <w:rPr>
          <w:rFonts w:hint="eastAsia"/>
          <w:color w:val="auto"/>
          <w:szCs w:val="21"/>
          <w:highlight w:val="none"/>
        </w:rPr>
        <w:t>（</w:t>
      </w:r>
      <w:r>
        <w:rPr>
          <w:color w:val="auto"/>
          <w:szCs w:val="21"/>
          <w:highlight w:val="none"/>
        </w:rPr>
        <w:t>6</w:t>
      </w:r>
      <w:r>
        <w:rPr>
          <w:rFonts w:hint="eastAsia"/>
          <w:color w:val="auto"/>
          <w:szCs w:val="21"/>
          <w:highlight w:val="none"/>
        </w:rPr>
        <w:t>）</w:t>
      </w:r>
      <w:r>
        <w:rPr>
          <w:rFonts w:hint="eastAsia"/>
          <w:color w:val="auto"/>
          <w:kern w:val="0"/>
          <w:szCs w:val="21"/>
          <w:highlight w:val="none"/>
        </w:rPr>
        <w:t>本项目不允许分包。</w:t>
      </w:r>
    </w:p>
    <w:p w14:paraId="5ACE58AC">
      <w:pPr>
        <w:spacing w:line="312" w:lineRule="auto"/>
        <w:ind w:firstLine="420" w:firstLineChars="200"/>
        <w:jc w:val="left"/>
        <w:rPr>
          <w:rFonts w:hint="eastAsia"/>
          <w:color w:val="auto"/>
          <w:szCs w:val="21"/>
          <w:highlight w:val="none"/>
        </w:rPr>
      </w:pPr>
      <w:r>
        <w:rPr>
          <w:rFonts w:hint="eastAsia"/>
          <w:color w:val="auto"/>
          <w:kern w:val="0"/>
          <w:szCs w:val="21"/>
          <w:highlight w:val="none"/>
        </w:rPr>
        <w:t>（</w:t>
      </w:r>
      <w:r>
        <w:rPr>
          <w:color w:val="auto"/>
          <w:kern w:val="0"/>
          <w:szCs w:val="21"/>
          <w:highlight w:val="none"/>
        </w:rPr>
        <w:t>7</w:t>
      </w:r>
      <w:r>
        <w:rPr>
          <w:rFonts w:hint="eastAsia"/>
          <w:color w:val="auto"/>
          <w:kern w:val="0"/>
          <w:szCs w:val="21"/>
          <w:highlight w:val="none"/>
        </w:rPr>
        <w:t>）</w:t>
      </w:r>
      <w:r>
        <w:rPr>
          <w:color w:val="auto"/>
          <w:kern w:val="0"/>
          <w:szCs w:val="21"/>
          <w:highlight w:val="none"/>
        </w:rPr>
        <w:t>本项目不接受联合体。</w:t>
      </w:r>
      <w:bookmarkEnd w:id="11"/>
    </w:p>
    <w:p w14:paraId="6E8368EF">
      <w:pPr>
        <w:spacing w:line="312" w:lineRule="auto"/>
        <w:ind w:firstLine="420" w:firstLineChars="200"/>
        <w:jc w:val="left"/>
        <w:rPr>
          <w:rFonts w:hint="eastAsia"/>
          <w:color w:val="auto"/>
          <w:kern w:val="0"/>
          <w:szCs w:val="21"/>
          <w:highlight w:val="none"/>
        </w:rPr>
      </w:pPr>
      <w:r>
        <w:rPr>
          <w:rFonts w:hint="eastAsia"/>
          <w:color w:val="auto"/>
          <w:kern w:val="0"/>
          <w:szCs w:val="21"/>
          <w:highlight w:val="none"/>
        </w:rPr>
        <w:t>（</w:t>
      </w:r>
      <w:r>
        <w:rPr>
          <w:color w:val="auto"/>
          <w:kern w:val="0"/>
          <w:szCs w:val="21"/>
          <w:highlight w:val="none"/>
        </w:rPr>
        <w:t>8</w:t>
      </w:r>
      <w:r>
        <w:rPr>
          <w:rFonts w:hint="eastAsia"/>
          <w:color w:val="auto"/>
          <w:kern w:val="0"/>
          <w:szCs w:val="21"/>
          <w:highlight w:val="none"/>
        </w:rPr>
        <w:t>）</w:t>
      </w:r>
      <w:r>
        <w:rPr>
          <w:color w:val="auto"/>
          <w:kern w:val="0"/>
          <w:szCs w:val="21"/>
          <w:highlight w:val="none"/>
        </w:rPr>
        <w:t>按照</w:t>
      </w:r>
      <w:r>
        <w:rPr>
          <w:rFonts w:hint="eastAsia"/>
          <w:color w:val="auto"/>
          <w:highlight w:val="none"/>
        </w:rPr>
        <w:t>磋商</w:t>
      </w:r>
      <w:r>
        <w:rPr>
          <w:color w:val="auto"/>
          <w:kern w:val="0"/>
          <w:szCs w:val="21"/>
          <w:highlight w:val="none"/>
        </w:rPr>
        <w:t>公告的规定获得</w:t>
      </w:r>
      <w:r>
        <w:rPr>
          <w:rFonts w:hint="eastAsia"/>
          <w:color w:val="auto"/>
          <w:highlight w:val="none"/>
        </w:rPr>
        <w:t>采购文件</w:t>
      </w:r>
      <w:r>
        <w:rPr>
          <w:color w:val="auto"/>
          <w:kern w:val="0"/>
          <w:szCs w:val="21"/>
          <w:highlight w:val="none"/>
        </w:rPr>
        <w:t>。</w:t>
      </w:r>
      <w:r>
        <w:rPr>
          <w:rFonts w:hint="eastAsia"/>
          <w:color w:val="auto"/>
          <w:kern w:val="0"/>
          <w:szCs w:val="21"/>
          <w:highlight w:val="none"/>
        </w:rPr>
        <w:t>采购文件有规定时按要求提交磋商保证金。</w:t>
      </w:r>
    </w:p>
    <w:p w14:paraId="349FDA7E">
      <w:pPr>
        <w:spacing w:line="312" w:lineRule="auto"/>
        <w:ind w:firstLine="442" w:firstLineChars="200"/>
        <w:jc w:val="left"/>
        <w:rPr>
          <w:rFonts w:hint="eastAsia"/>
          <w:b/>
          <w:bCs/>
          <w:color w:val="auto"/>
          <w:kern w:val="0"/>
          <w:sz w:val="22"/>
          <w:szCs w:val="22"/>
          <w:highlight w:val="none"/>
        </w:rPr>
      </w:pPr>
      <w:r>
        <w:rPr>
          <w:rFonts w:hint="eastAsia"/>
          <w:b/>
          <w:bCs/>
          <w:color w:val="auto"/>
          <w:kern w:val="0"/>
          <w:sz w:val="22"/>
          <w:szCs w:val="22"/>
          <w:highlight w:val="none"/>
        </w:rPr>
        <w:t>三、获取采购文件</w:t>
      </w:r>
    </w:p>
    <w:p w14:paraId="08E4A3A8">
      <w:pPr>
        <w:spacing w:line="312" w:lineRule="auto"/>
        <w:ind w:firstLine="420" w:firstLineChars="200"/>
        <w:jc w:val="left"/>
        <w:rPr>
          <w:color w:val="auto"/>
          <w:highlight w:val="none"/>
        </w:rPr>
      </w:pPr>
      <w:r>
        <w:rPr>
          <w:rFonts w:hint="eastAsia"/>
          <w:color w:val="auto"/>
          <w:highlight w:val="none"/>
        </w:rPr>
        <w:t>时间：</w:t>
      </w:r>
      <w:r>
        <w:rPr>
          <w:rFonts w:hint="eastAsia"/>
          <w:color w:val="auto"/>
          <w:highlight w:val="none"/>
          <w:u w:val="single"/>
        </w:rPr>
        <w:t>20</w:t>
      </w:r>
      <w:r>
        <w:rPr>
          <w:rFonts w:hint="eastAsia"/>
          <w:color w:val="auto"/>
          <w:highlight w:val="none"/>
          <w:u w:val="single"/>
          <w:lang w:val="en-US" w:eastAsia="zh-CN"/>
        </w:rPr>
        <w:t>26</w:t>
      </w:r>
      <w:r>
        <w:rPr>
          <w:rFonts w:hint="eastAsia"/>
          <w:color w:val="auto"/>
          <w:highlight w:val="none"/>
          <w:u w:val="single"/>
        </w:rPr>
        <w:t>年</w:t>
      </w:r>
      <w:r>
        <w:rPr>
          <w:rFonts w:hint="eastAsia"/>
          <w:color w:val="auto"/>
          <w:highlight w:val="none"/>
          <w:u w:val="single"/>
          <w:lang w:val="en-US" w:eastAsia="zh-CN"/>
        </w:rPr>
        <w:t>9</w:t>
      </w:r>
      <w:r>
        <w:rPr>
          <w:rFonts w:hint="eastAsia"/>
          <w:color w:val="auto"/>
          <w:highlight w:val="none"/>
          <w:u w:val="single"/>
        </w:rPr>
        <w:t>月</w:t>
      </w:r>
      <w:r>
        <w:rPr>
          <w:rFonts w:hint="eastAsia"/>
          <w:color w:val="auto"/>
          <w:highlight w:val="none"/>
          <w:u w:val="single"/>
          <w:lang w:val="en-US" w:eastAsia="zh-CN"/>
        </w:rPr>
        <w:t>4</w:t>
      </w:r>
      <w:r>
        <w:rPr>
          <w:rFonts w:hint="eastAsia"/>
          <w:color w:val="auto"/>
          <w:highlight w:val="none"/>
          <w:u w:val="single"/>
        </w:rPr>
        <w:t>日起至20</w:t>
      </w:r>
      <w:r>
        <w:rPr>
          <w:rFonts w:hint="eastAsia"/>
          <w:color w:val="auto"/>
          <w:highlight w:val="none"/>
          <w:u w:val="single"/>
          <w:lang w:val="en-US" w:eastAsia="zh-CN"/>
        </w:rPr>
        <w:t>26</w:t>
      </w:r>
      <w:r>
        <w:rPr>
          <w:rFonts w:hint="eastAsia"/>
          <w:color w:val="auto"/>
          <w:highlight w:val="none"/>
          <w:u w:val="single"/>
        </w:rPr>
        <w:t>年</w:t>
      </w:r>
      <w:r>
        <w:rPr>
          <w:rFonts w:hint="eastAsia"/>
          <w:color w:val="auto"/>
          <w:highlight w:val="none"/>
          <w:u w:val="single"/>
          <w:lang w:val="en-US" w:eastAsia="zh-CN"/>
        </w:rPr>
        <w:t>9</w:t>
      </w:r>
      <w:r>
        <w:rPr>
          <w:rFonts w:hint="eastAsia"/>
          <w:color w:val="auto"/>
          <w:highlight w:val="none"/>
          <w:u w:val="single"/>
        </w:rPr>
        <w:t>月</w:t>
      </w:r>
      <w:r>
        <w:rPr>
          <w:rFonts w:hint="eastAsia"/>
          <w:color w:val="auto"/>
          <w:highlight w:val="none"/>
          <w:u w:val="single"/>
          <w:lang w:val="en-US" w:eastAsia="zh-CN"/>
        </w:rPr>
        <w:t>11</w:t>
      </w:r>
      <w:r>
        <w:rPr>
          <w:rFonts w:hint="eastAsia"/>
          <w:color w:val="auto"/>
          <w:highlight w:val="none"/>
          <w:u w:val="single"/>
        </w:rPr>
        <w:t>日</w:t>
      </w:r>
      <w:r>
        <w:rPr>
          <w:rFonts w:hint="eastAsia"/>
          <w:color w:val="auto"/>
          <w:highlight w:val="none"/>
        </w:rPr>
        <w:t>，</w:t>
      </w:r>
      <w:r>
        <w:rPr>
          <w:rFonts w:hint="eastAsia"/>
          <w:kern w:val="0"/>
          <w:szCs w:val="21"/>
        </w:rPr>
        <w:t>每天00时00分至12时00分，12时00分至23时59分</w:t>
      </w:r>
      <w:r>
        <w:rPr>
          <w:rFonts w:hint="eastAsia"/>
        </w:rPr>
        <w:t>（北京时间，法定节假日除外）</w:t>
      </w:r>
      <w:r>
        <w:rPr>
          <w:rFonts w:hint="eastAsia"/>
          <w:color w:val="auto"/>
          <w:highlight w:val="none"/>
        </w:rPr>
        <w:t>。</w:t>
      </w:r>
    </w:p>
    <w:p w14:paraId="7BEBE2E6">
      <w:pPr>
        <w:spacing w:line="312" w:lineRule="auto"/>
        <w:ind w:firstLine="420" w:firstLineChars="200"/>
        <w:jc w:val="left"/>
        <w:rPr>
          <w:color w:val="auto"/>
          <w:highlight w:val="none"/>
        </w:rPr>
      </w:pPr>
      <w:bookmarkStart w:id="12" w:name="_Hlk46137393"/>
      <w:r>
        <w:rPr>
          <w:rFonts w:hint="eastAsia"/>
          <w:color w:val="auto"/>
          <w:highlight w:val="none"/>
        </w:rPr>
        <w:t>地点（网址）</w:t>
      </w:r>
      <w:bookmarkEnd w:id="12"/>
      <w:r>
        <w:rPr>
          <w:rFonts w:hint="eastAsia"/>
          <w:color w:val="auto"/>
          <w:highlight w:val="none"/>
          <w:lang w:eastAsia="zh-CN"/>
        </w:rPr>
        <w:t>：</w:t>
      </w:r>
      <w:r>
        <w:rPr>
          <w:rFonts w:ascii="Arial" w:hAnsi="Arial" w:cs="Arial"/>
          <w:color w:val="auto"/>
          <w:kern w:val="0"/>
          <w:szCs w:val="21"/>
          <w:highlight w:val="none"/>
        </w:rPr>
        <w:t>广西政府采购云平台</w:t>
      </w:r>
      <w:r>
        <w:rPr>
          <w:rFonts w:hint="eastAsia" w:ascii="Arial" w:hAnsi="Arial" w:cs="Arial"/>
          <w:color w:val="auto"/>
          <w:kern w:val="0"/>
          <w:szCs w:val="21"/>
          <w:highlight w:val="none"/>
        </w:rPr>
        <w:t>（https://www.gcy.zfcg.gxzf.gov.cn/）</w:t>
      </w:r>
    </w:p>
    <w:p w14:paraId="1F8C4FCF">
      <w:pPr>
        <w:spacing w:line="312" w:lineRule="auto"/>
        <w:ind w:firstLine="420" w:firstLineChars="200"/>
        <w:rPr>
          <w:color w:val="auto"/>
          <w:highlight w:val="none"/>
        </w:rPr>
      </w:pPr>
      <w:r>
        <w:rPr>
          <w:rFonts w:hint="eastAsia"/>
          <w:color w:val="auto"/>
          <w:szCs w:val="21"/>
          <w:highlight w:val="none"/>
        </w:rPr>
        <w:t>方式：供应商登录</w:t>
      </w:r>
      <w:r>
        <w:rPr>
          <w:rFonts w:ascii="Arial" w:hAnsi="Arial" w:cs="Arial"/>
          <w:color w:val="auto"/>
          <w:kern w:val="0"/>
          <w:szCs w:val="21"/>
          <w:highlight w:val="none"/>
        </w:rPr>
        <w:t>广西政府采购云平台</w:t>
      </w:r>
      <w:r>
        <w:rPr>
          <w:rFonts w:hint="eastAsia"/>
          <w:color w:val="auto"/>
          <w:szCs w:val="21"/>
          <w:highlight w:val="none"/>
        </w:rPr>
        <w:t>在线申请获取采购文件（进入“项目采购”应用，在获取采购文件菜单中选择项目，申请获取采购文件）</w:t>
      </w:r>
    </w:p>
    <w:p w14:paraId="181C2CF2">
      <w:pPr>
        <w:spacing w:line="312" w:lineRule="auto"/>
        <w:ind w:firstLine="420" w:firstLineChars="200"/>
        <w:jc w:val="left"/>
        <w:rPr>
          <w:color w:val="auto"/>
          <w:highlight w:val="none"/>
        </w:rPr>
      </w:pPr>
      <w:r>
        <w:rPr>
          <w:rFonts w:hint="eastAsia"/>
          <w:color w:val="auto"/>
          <w:highlight w:val="none"/>
        </w:rPr>
        <w:t>售价（元）：</w:t>
      </w:r>
      <w:r>
        <w:rPr>
          <w:color w:val="auto"/>
          <w:highlight w:val="none"/>
        </w:rPr>
        <w:t>0</w:t>
      </w:r>
    </w:p>
    <w:p w14:paraId="4FE1244F">
      <w:pPr>
        <w:spacing w:line="312" w:lineRule="auto"/>
        <w:ind w:firstLine="442" w:firstLineChars="200"/>
        <w:jc w:val="left"/>
        <w:rPr>
          <w:rFonts w:hint="eastAsia"/>
          <w:b/>
          <w:bCs/>
          <w:color w:val="auto"/>
          <w:kern w:val="0"/>
          <w:sz w:val="22"/>
          <w:szCs w:val="22"/>
          <w:highlight w:val="none"/>
        </w:rPr>
      </w:pPr>
      <w:r>
        <w:rPr>
          <w:rFonts w:hint="eastAsia"/>
          <w:b/>
          <w:bCs/>
          <w:color w:val="auto"/>
          <w:kern w:val="0"/>
          <w:sz w:val="22"/>
          <w:szCs w:val="22"/>
          <w:highlight w:val="none"/>
        </w:rPr>
        <w:t>四、响应文件提交</w:t>
      </w:r>
    </w:p>
    <w:p w14:paraId="7A00A55E">
      <w:pPr>
        <w:spacing w:line="312" w:lineRule="auto"/>
        <w:ind w:firstLine="420" w:firstLineChars="200"/>
        <w:jc w:val="left"/>
        <w:rPr>
          <w:color w:val="auto"/>
          <w:kern w:val="0"/>
          <w:szCs w:val="21"/>
          <w:highlight w:val="none"/>
        </w:rPr>
      </w:pPr>
      <w:r>
        <w:rPr>
          <w:rFonts w:hint="eastAsia"/>
          <w:color w:val="auto"/>
          <w:kern w:val="0"/>
          <w:szCs w:val="21"/>
          <w:highlight w:val="none"/>
        </w:rPr>
        <w:t>截止时间：</w:t>
      </w:r>
      <w:r>
        <w:rPr>
          <w:rFonts w:hint="eastAsia"/>
          <w:u w:val="single"/>
        </w:rPr>
        <w:t>2026年</w:t>
      </w:r>
      <w:r>
        <w:rPr>
          <w:rFonts w:hint="eastAsia"/>
          <w:u w:val="single"/>
          <w:lang w:val="en-US" w:eastAsia="zh-CN"/>
        </w:rPr>
        <w:t>9</w:t>
      </w:r>
      <w:r>
        <w:rPr>
          <w:rFonts w:hint="eastAsia"/>
          <w:u w:val="single"/>
        </w:rPr>
        <w:t>月</w:t>
      </w:r>
      <w:r>
        <w:rPr>
          <w:rFonts w:hint="eastAsia"/>
          <w:u w:val="single"/>
          <w:lang w:val="en-US" w:eastAsia="zh-CN"/>
        </w:rPr>
        <w:t>15</w:t>
      </w:r>
      <w:r>
        <w:rPr>
          <w:rFonts w:hint="eastAsia"/>
          <w:u w:val="single"/>
        </w:rPr>
        <w:t>日9时</w:t>
      </w:r>
      <w:r>
        <w:rPr>
          <w:rFonts w:hint="eastAsia"/>
          <w:u w:val="single"/>
          <w:lang w:val="en-US" w:eastAsia="zh-CN"/>
        </w:rPr>
        <w:t>3</w:t>
      </w:r>
      <w:r>
        <w:rPr>
          <w:rFonts w:hint="eastAsia"/>
          <w:u w:val="single"/>
        </w:rPr>
        <w:t>0分</w:t>
      </w:r>
      <w:r>
        <w:rPr>
          <w:rFonts w:hint="eastAsia"/>
          <w:color w:val="auto"/>
          <w:kern w:val="0"/>
          <w:szCs w:val="21"/>
          <w:highlight w:val="none"/>
        </w:rPr>
        <w:t>（北京时间）</w:t>
      </w:r>
    </w:p>
    <w:p w14:paraId="0A8D5B9A">
      <w:pPr>
        <w:spacing w:line="312" w:lineRule="auto"/>
        <w:ind w:firstLine="420" w:firstLineChars="200"/>
        <w:jc w:val="left"/>
        <w:rPr>
          <w:color w:val="auto"/>
          <w:kern w:val="0"/>
          <w:szCs w:val="21"/>
          <w:highlight w:val="none"/>
        </w:rPr>
      </w:pPr>
      <w:r>
        <w:rPr>
          <w:rFonts w:hint="eastAsia"/>
          <w:color w:val="auto"/>
          <w:kern w:val="0"/>
          <w:szCs w:val="21"/>
          <w:highlight w:val="none"/>
        </w:rPr>
        <w:t>地点（网址）：</w:t>
      </w:r>
      <w:r>
        <w:rPr>
          <w:rFonts w:hint="eastAsia"/>
          <w:color w:val="auto"/>
          <w:szCs w:val="21"/>
          <w:highlight w:val="none"/>
        </w:rPr>
        <w:t>本项目为全流程电子化项目，没有现场递交响应文件及现场截标环节，通过广西政府采购云平台（https://www.gcy.zfcg.gxzf.gov.cn/）实行在线电子响应，供应商应先安装广西政府采购云平台新版客户端（请自行前往广西政府采购网-办事服务-下载专区进行下载），并按照本项目采购文件和广西政府采购云平台的要求使用C</w:t>
      </w:r>
      <w:r>
        <w:rPr>
          <w:color w:val="auto"/>
          <w:szCs w:val="21"/>
          <w:highlight w:val="none"/>
        </w:rPr>
        <w:t>A</w:t>
      </w:r>
      <w:r>
        <w:rPr>
          <w:rFonts w:hint="eastAsia"/>
          <w:color w:val="auto"/>
          <w:szCs w:val="21"/>
          <w:highlight w:val="none"/>
        </w:rPr>
        <w:t xml:space="preserve">认证编制、加密响应文件后在响应截止时间前上传至广西政府采购云平台，供应商在广西政府采购云平台提交电子版响应文件时，请填写参加远程截标活动经办人联系方式。 </w:t>
      </w:r>
    </w:p>
    <w:p w14:paraId="239047B4">
      <w:pPr>
        <w:spacing w:line="312" w:lineRule="auto"/>
        <w:ind w:firstLine="442" w:firstLineChars="200"/>
        <w:jc w:val="left"/>
        <w:rPr>
          <w:b/>
          <w:bCs/>
          <w:color w:val="auto"/>
          <w:kern w:val="0"/>
          <w:sz w:val="22"/>
          <w:szCs w:val="22"/>
          <w:highlight w:val="none"/>
        </w:rPr>
      </w:pPr>
      <w:r>
        <w:rPr>
          <w:rFonts w:hint="eastAsia"/>
          <w:b/>
          <w:bCs/>
          <w:color w:val="auto"/>
          <w:kern w:val="0"/>
          <w:sz w:val="22"/>
          <w:szCs w:val="22"/>
          <w:highlight w:val="none"/>
        </w:rPr>
        <w:t>五、开启</w:t>
      </w:r>
    </w:p>
    <w:p w14:paraId="4A26AD7B">
      <w:pPr>
        <w:spacing w:line="312" w:lineRule="auto"/>
        <w:ind w:firstLine="442" w:firstLineChars="200"/>
        <w:jc w:val="left"/>
        <w:rPr>
          <w:color w:val="auto"/>
          <w:kern w:val="0"/>
          <w:szCs w:val="21"/>
          <w:highlight w:val="none"/>
        </w:rPr>
      </w:pPr>
      <w:r>
        <w:rPr>
          <w:rFonts w:hint="eastAsia"/>
          <w:b/>
          <w:bCs/>
          <w:color w:val="auto"/>
          <w:kern w:val="0"/>
          <w:sz w:val="22"/>
          <w:szCs w:val="22"/>
          <w:highlight w:val="none"/>
        </w:rPr>
        <w:t>开启时间：</w:t>
      </w:r>
      <w:r>
        <w:rPr>
          <w:rFonts w:hint="eastAsia"/>
          <w:u w:val="single"/>
        </w:rPr>
        <w:t>2026年</w:t>
      </w:r>
      <w:r>
        <w:rPr>
          <w:rFonts w:hint="eastAsia"/>
          <w:u w:val="single"/>
          <w:lang w:val="en-US" w:eastAsia="zh-CN"/>
        </w:rPr>
        <w:t>9</w:t>
      </w:r>
      <w:r>
        <w:rPr>
          <w:rFonts w:hint="eastAsia"/>
          <w:u w:val="single"/>
        </w:rPr>
        <w:t>月</w:t>
      </w:r>
      <w:r>
        <w:rPr>
          <w:rFonts w:hint="eastAsia"/>
          <w:u w:val="single"/>
          <w:lang w:val="en-US" w:eastAsia="zh-CN"/>
        </w:rPr>
        <w:t>15</w:t>
      </w:r>
      <w:r>
        <w:rPr>
          <w:rFonts w:hint="eastAsia"/>
          <w:u w:val="single"/>
        </w:rPr>
        <w:t>日9时</w:t>
      </w:r>
      <w:r>
        <w:rPr>
          <w:rFonts w:hint="eastAsia"/>
          <w:u w:val="single"/>
          <w:lang w:val="en-US" w:eastAsia="zh-CN"/>
        </w:rPr>
        <w:t>3</w:t>
      </w:r>
      <w:r>
        <w:rPr>
          <w:rFonts w:hint="eastAsia"/>
          <w:u w:val="single"/>
        </w:rPr>
        <w:t>0分</w:t>
      </w:r>
      <w:r>
        <w:rPr>
          <w:rFonts w:hint="eastAsia"/>
          <w:color w:val="auto"/>
          <w:kern w:val="0"/>
          <w:szCs w:val="21"/>
          <w:highlight w:val="none"/>
        </w:rPr>
        <w:t>（北京时间）</w:t>
      </w:r>
    </w:p>
    <w:p w14:paraId="3033A2B3">
      <w:pPr>
        <w:spacing w:line="312" w:lineRule="auto"/>
        <w:ind w:firstLine="442" w:firstLineChars="200"/>
        <w:jc w:val="left"/>
        <w:rPr>
          <w:rFonts w:hint="eastAsia"/>
          <w:b/>
          <w:bCs/>
          <w:color w:val="auto"/>
          <w:kern w:val="0"/>
          <w:sz w:val="22"/>
          <w:szCs w:val="22"/>
          <w:highlight w:val="none"/>
        </w:rPr>
      </w:pPr>
      <w:r>
        <w:rPr>
          <w:rFonts w:hint="eastAsia"/>
          <w:b/>
          <w:bCs/>
          <w:color w:val="auto"/>
          <w:kern w:val="0"/>
          <w:sz w:val="22"/>
          <w:szCs w:val="22"/>
          <w:highlight w:val="none"/>
        </w:rPr>
        <w:t>地点：</w:t>
      </w:r>
      <w:r>
        <w:rPr>
          <w:rFonts w:hint="eastAsia"/>
          <w:color w:val="auto"/>
          <w:szCs w:val="21"/>
          <w:highlight w:val="none"/>
        </w:rPr>
        <w:t>供应商</w:t>
      </w:r>
      <w:r>
        <w:rPr>
          <w:rFonts w:hint="eastAsia"/>
          <w:color w:val="auto"/>
          <w:highlight w:val="none"/>
        </w:rPr>
        <w:t>登录</w:t>
      </w:r>
      <w:r>
        <w:rPr>
          <w:rFonts w:ascii="Arial" w:hAnsi="Arial" w:cs="Arial"/>
          <w:color w:val="auto"/>
          <w:kern w:val="0"/>
          <w:szCs w:val="21"/>
          <w:highlight w:val="none"/>
        </w:rPr>
        <w:t>广西政府采购云平台</w:t>
      </w:r>
      <w:r>
        <w:rPr>
          <w:rFonts w:hint="eastAsia"/>
          <w:color w:val="auto"/>
          <w:szCs w:val="21"/>
          <w:highlight w:val="none"/>
        </w:rPr>
        <w:t>电子开标大厅截标。</w:t>
      </w:r>
    </w:p>
    <w:p w14:paraId="241AD209">
      <w:pPr>
        <w:spacing w:line="312" w:lineRule="auto"/>
        <w:ind w:firstLine="442" w:firstLineChars="200"/>
        <w:jc w:val="left"/>
        <w:rPr>
          <w:b/>
          <w:bCs/>
          <w:color w:val="auto"/>
          <w:kern w:val="0"/>
          <w:sz w:val="22"/>
          <w:szCs w:val="22"/>
          <w:highlight w:val="none"/>
        </w:rPr>
      </w:pPr>
      <w:r>
        <w:rPr>
          <w:rFonts w:hint="eastAsia"/>
          <w:b/>
          <w:bCs/>
          <w:color w:val="auto"/>
          <w:kern w:val="0"/>
          <w:sz w:val="22"/>
          <w:szCs w:val="22"/>
          <w:highlight w:val="none"/>
        </w:rPr>
        <w:t>六、公告期限</w:t>
      </w:r>
    </w:p>
    <w:p w14:paraId="331A2372">
      <w:pPr>
        <w:spacing w:line="312" w:lineRule="auto"/>
        <w:ind w:firstLine="420" w:firstLineChars="200"/>
        <w:jc w:val="left"/>
        <w:rPr>
          <w:rFonts w:hint="eastAsia"/>
          <w:color w:val="auto"/>
          <w:kern w:val="0"/>
          <w:szCs w:val="21"/>
          <w:highlight w:val="none"/>
        </w:rPr>
      </w:pPr>
      <w:r>
        <w:rPr>
          <w:rFonts w:hint="eastAsia"/>
          <w:color w:val="auto"/>
          <w:kern w:val="0"/>
          <w:szCs w:val="21"/>
          <w:highlight w:val="none"/>
        </w:rPr>
        <w:t>自本公告发布之日起</w:t>
      </w:r>
      <w:r>
        <w:rPr>
          <w:rFonts w:hint="eastAsia"/>
          <w:color w:val="auto"/>
          <w:kern w:val="0"/>
          <w:szCs w:val="21"/>
          <w:highlight w:val="none"/>
          <w:lang w:val="en-US" w:eastAsia="zh-CN"/>
        </w:rPr>
        <w:t>5</w:t>
      </w:r>
      <w:r>
        <w:rPr>
          <w:rFonts w:hint="eastAsia"/>
          <w:color w:val="auto"/>
          <w:kern w:val="0"/>
          <w:szCs w:val="21"/>
          <w:highlight w:val="none"/>
        </w:rPr>
        <w:t>个工作日。</w:t>
      </w:r>
    </w:p>
    <w:p w14:paraId="1E7CC397">
      <w:pPr>
        <w:spacing w:line="312" w:lineRule="auto"/>
        <w:ind w:firstLine="442" w:firstLineChars="200"/>
        <w:jc w:val="left"/>
        <w:rPr>
          <w:b/>
          <w:bCs/>
          <w:color w:val="auto"/>
          <w:kern w:val="0"/>
          <w:sz w:val="22"/>
          <w:szCs w:val="22"/>
          <w:highlight w:val="none"/>
        </w:rPr>
      </w:pPr>
      <w:r>
        <w:rPr>
          <w:rFonts w:hint="eastAsia"/>
          <w:b/>
          <w:bCs/>
          <w:color w:val="auto"/>
          <w:kern w:val="0"/>
          <w:sz w:val="22"/>
          <w:szCs w:val="22"/>
          <w:highlight w:val="none"/>
        </w:rPr>
        <w:t>七、其他补充事宜</w:t>
      </w:r>
    </w:p>
    <w:p w14:paraId="0EE54F63">
      <w:pPr>
        <w:spacing w:line="312" w:lineRule="auto"/>
        <w:ind w:firstLine="420" w:firstLineChars="200"/>
        <w:jc w:val="left"/>
        <w:rPr>
          <w:color w:val="auto"/>
          <w:kern w:val="0"/>
          <w:szCs w:val="21"/>
          <w:highlight w:val="none"/>
        </w:rPr>
      </w:pPr>
      <w:r>
        <w:rPr>
          <w:rFonts w:hint="eastAsia"/>
          <w:color w:val="auto"/>
          <w:kern w:val="0"/>
          <w:szCs w:val="21"/>
          <w:highlight w:val="none"/>
        </w:rPr>
        <w:t>1</w:t>
      </w:r>
      <w:r>
        <w:rPr>
          <w:color w:val="auto"/>
          <w:kern w:val="0"/>
          <w:szCs w:val="21"/>
          <w:highlight w:val="none"/>
        </w:rPr>
        <w:t>.</w:t>
      </w:r>
      <w:r>
        <w:rPr>
          <w:rFonts w:hint="eastAsia"/>
          <w:color w:val="auto"/>
          <w:kern w:val="0"/>
          <w:szCs w:val="21"/>
          <w:highlight w:val="none"/>
        </w:rPr>
        <w:t>公告发布媒体：广西壮族自治区政府采购网、中国政府采购网</w:t>
      </w:r>
    </w:p>
    <w:p w14:paraId="0D65CF88">
      <w:pPr>
        <w:spacing w:line="312" w:lineRule="auto"/>
        <w:ind w:firstLine="420" w:firstLineChars="200"/>
        <w:jc w:val="left"/>
        <w:rPr>
          <w:color w:val="auto"/>
          <w:kern w:val="0"/>
          <w:szCs w:val="21"/>
          <w:highlight w:val="none"/>
        </w:rPr>
      </w:pPr>
      <w:r>
        <w:rPr>
          <w:rFonts w:hint="eastAsia"/>
          <w:color w:val="auto"/>
          <w:kern w:val="0"/>
          <w:szCs w:val="21"/>
          <w:highlight w:val="none"/>
        </w:rPr>
        <w:t>2</w:t>
      </w:r>
      <w:r>
        <w:rPr>
          <w:color w:val="auto"/>
          <w:kern w:val="0"/>
          <w:szCs w:val="21"/>
          <w:highlight w:val="none"/>
        </w:rPr>
        <w:t>.</w:t>
      </w:r>
      <w:r>
        <w:rPr>
          <w:rFonts w:hint="eastAsia"/>
          <w:color w:val="auto"/>
          <w:kern w:val="0"/>
          <w:szCs w:val="21"/>
          <w:highlight w:val="none"/>
        </w:rPr>
        <w:t>需落实的政府采购政策：</w:t>
      </w:r>
      <w:r>
        <w:rPr>
          <w:color w:val="auto"/>
          <w:kern w:val="0"/>
          <w:szCs w:val="21"/>
          <w:highlight w:val="none"/>
        </w:rPr>
        <w:t>本项目适用政府采购促进中小企业、监狱企业发展、促进残疾人就业、节能环保等有关政策，具体详见</w:t>
      </w:r>
      <w:r>
        <w:rPr>
          <w:rFonts w:hint="eastAsia"/>
          <w:color w:val="auto"/>
          <w:highlight w:val="none"/>
        </w:rPr>
        <w:t>采购</w:t>
      </w:r>
      <w:r>
        <w:rPr>
          <w:color w:val="auto"/>
          <w:kern w:val="0"/>
          <w:szCs w:val="21"/>
          <w:highlight w:val="none"/>
        </w:rPr>
        <w:t>文件。</w:t>
      </w:r>
    </w:p>
    <w:p w14:paraId="44E11D7B">
      <w:pPr>
        <w:spacing w:line="312" w:lineRule="auto"/>
        <w:ind w:firstLine="420" w:firstLineChars="200"/>
        <w:jc w:val="left"/>
        <w:rPr>
          <w:rFonts w:hint="eastAsia" w:eastAsia="宋体"/>
          <w:color w:val="auto"/>
          <w:kern w:val="0"/>
          <w:szCs w:val="21"/>
          <w:highlight w:val="none"/>
          <w:lang w:eastAsia="zh-CN"/>
        </w:rPr>
      </w:pPr>
      <w:r>
        <w:rPr>
          <w:color w:val="auto"/>
          <w:kern w:val="0"/>
          <w:szCs w:val="21"/>
          <w:highlight w:val="none"/>
        </w:rPr>
        <w:t>3</w:t>
      </w:r>
      <w:r>
        <w:rPr>
          <w:rFonts w:hint="eastAsia"/>
          <w:color w:val="auto"/>
          <w:kern w:val="0"/>
          <w:szCs w:val="21"/>
          <w:highlight w:val="none"/>
        </w:rPr>
        <w:t>.本项目供应商的产生方式：</w:t>
      </w:r>
      <w:r>
        <w:rPr>
          <w:color w:val="auto"/>
          <w:highlight w:val="none"/>
        </w:rPr>
        <w:t>发布</w:t>
      </w:r>
      <w:r>
        <w:rPr>
          <w:rFonts w:hint="eastAsia"/>
          <w:color w:val="auto"/>
          <w:highlight w:val="none"/>
        </w:rPr>
        <w:t>公告征集</w:t>
      </w:r>
      <w:r>
        <w:rPr>
          <w:rFonts w:hint="eastAsia"/>
          <w:color w:val="auto"/>
          <w:highlight w:val="none"/>
          <w:lang w:eastAsia="zh-CN"/>
        </w:rPr>
        <w:t>。</w:t>
      </w:r>
    </w:p>
    <w:p w14:paraId="2D560669">
      <w:pPr>
        <w:spacing w:line="312" w:lineRule="auto"/>
        <w:ind w:firstLine="420" w:firstLineChars="200"/>
        <w:rPr>
          <w:rFonts w:hint="eastAsia"/>
          <w:color w:val="auto"/>
          <w:kern w:val="0"/>
          <w:szCs w:val="21"/>
          <w:highlight w:val="none"/>
        </w:rPr>
      </w:pPr>
      <w:r>
        <w:rPr>
          <w:rFonts w:hint="eastAsia"/>
          <w:color w:val="auto"/>
          <w:kern w:val="0"/>
          <w:szCs w:val="21"/>
          <w:highlight w:val="none"/>
        </w:rPr>
        <w:t>4</w:t>
      </w:r>
      <w:r>
        <w:rPr>
          <w:color w:val="auto"/>
          <w:kern w:val="0"/>
          <w:szCs w:val="21"/>
          <w:highlight w:val="none"/>
        </w:rPr>
        <w:t>.</w:t>
      </w:r>
      <w:r>
        <w:rPr>
          <w:rFonts w:hint="eastAsia"/>
          <w:color w:val="auto"/>
          <w:kern w:val="0"/>
          <w:szCs w:val="21"/>
          <w:highlight w:val="none"/>
        </w:rPr>
        <w:t>注意事项：</w:t>
      </w:r>
    </w:p>
    <w:p w14:paraId="45CEF61B">
      <w:pPr>
        <w:spacing w:line="276" w:lineRule="auto"/>
        <w:ind w:firstLine="420" w:firstLineChars="200"/>
        <w:rPr>
          <w:color w:val="auto"/>
          <w:szCs w:val="21"/>
          <w:highlight w:val="none"/>
        </w:rPr>
      </w:pPr>
      <w:bookmarkStart w:id="13" w:name="_Hlk49778118"/>
      <w:r>
        <w:rPr>
          <w:rFonts w:hint="eastAsia"/>
          <w:color w:val="auto"/>
          <w:kern w:val="0"/>
          <w:szCs w:val="21"/>
          <w:highlight w:val="none"/>
        </w:rPr>
        <w:t>（1）</w:t>
      </w:r>
      <w:r>
        <w:rPr>
          <w:rFonts w:hint="eastAsia"/>
          <w:color w:val="auto"/>
          <w:szCs w:val="21"/>
          <w:highlight w:val="none"/>
        </w:rPr>
        <w:t>未进行网上注册并办理数字证书（CA认证）的供应商将无法参与本项目政府采购活动，潜在供应商应当在响应截止时间前，完成广西政府采购云平台上的CA数字证书办理及响应文件的提交。完成CA数字证书办理预计7日左右，建议各供应商抓紧时间办理。</w:t>
      </w:r>
    </w:p>
    <w:p w14:paraId="1B06277A">
      <w:pPr>
        <w:spacing w:line="276" w:lineRule="auto"/>
        <w:ind w:firstLine="420" w:firstLineChars="200"/>
        <w:rPr>
          <w:color w:val="auto"/>
          <w:kern w:val="0"/>
          <w:szCs w:val="21"/>
          <w:highlight w:val="none"/>
        </w:rPr>
      </w:pPr>
      <w:r>
        <w:rPr>
          <w:rFonts w:hint="eastAsia"/>
          <w:color w:val="auto"/>
          <w:szCs w:val="21"/>
          <w:highlight w:val="none"/>
        </w:rPr>
        <w:t>（2）为确保网上操作合法、有效和安全，请供应商确保在电子投标过程中能够对相关数据电文进行加密和使用电子签章，妥善保管CA数字证书并使用有效的CA数字证书参与整个招标活动。</w:t>
      </w:r>
    </w:p>
    <w:p w14:paraId="0DB6DCFB">
      <w:pPr>
        <w:spacing w:line="276" w:lineRule="auto"/>
        <w:ind w:firstLine="420" w:firstLineChars="200"/>
        <w:rPr>
          <w:rFonts w:ascii="宋体" w:hAnsi="宋体" w:cs="宋体"/>
          <w:color w:val="auto"/>
          <w:kern w:val="0"/>
          <w:szCs w:val="21"/>
          <w:highlight w:val="none"/>
        </w:rPr>
      </w:pPr>
      <w:r>
        <w:rPr>
          <w:rFonts w:hint="eastAsia"/>
          <w:color w:val="auto"/>
          <w:kern w:val="0"/>
          <w:szCs w:val="21"/>
          <w:highlight w:val="none"/>
        </w:rPr>
        <w:t>（</w:t>
      </w:r>
      <w:r>
        <w:rPr>
          <w:color w:val="auto"/>
          <w:kern w:val="0"/>
          <w:szCs w:val="21"/>
          <w:highlight w:val="none"/>
        </w:rPr>
        <w:t>3</w:t>
      </w:r>
      <w:r>
        <w:rPr>
          <w:rFonts w:hint="eastAsia"/>
          <w:color w:val="auto"/>
          <w:kern w:val="0"/>
          <w:szCs w:val="21"/>
          <w:highlight w:val="none"/>
        </w:rPr>
        <w:t>）</w:t>
      </w:r>
      <w:r>
        <w:rPr>
          <w:rFonts w:hint="eastAsia" w:ascii="宋体" w:hAnsi="宋体" w:cs="宋体"/>
          <w:color w:val="auto"/>
          <w:kern w:val="0"/>
          <w:szCs w:val="21"/>
          <w:highlight w:val="none"/>
        </w:rPr>
        <w:t>若对项目采购电子交易系统操作有疑问，可登录广西政府采购云平台（https://www.gcy.zfcg.gxzf.gov.cn/），点击右侧咨询小采或帮助文档或拨打客服热线</w:t>
      </w:r>
      <w:r>
        <w:rPr>
          <w:rFonts w:ascii="宋体" w:hAnsi="宋体" w:cs="宋体"/>
          <w:color w:val="auto"/>
          <w:kern w:val="0"/>
          <w:szCs w:val="21"/>
          <w:highlight w:val="none"/>
        </w:rPr>
        <w:t>95763</w:t>
      </w:r>
      <w:r>
        <w:rPr>
          <w:rFonts w:hint="eastAsia" w:ascii="宋体" w:hAnsi="宋体" w:cs="宋体"/>
          <w:color w:val="auto"/>
          <w:kern w:val="0"/>
          <w:szCs w:val="21"/>
          <w:highlight w:val="none"/>
        </w:rPr>
        <w:t>。</w:t>
      </w:r>
    </w:p>
    <w:bookmarkEnd w:id="13"/>
    <w:p w14:paraId="5461FDA4">
      <w:pPr>
        <w:spacing w:line="276" w:lineRule="auto"/>
        <w:ind w:firstLine="442" w:firstLineChars="200"/>
        <w:rPr>
          <w:rFonts w:hint="eastAsia"/>
          <w:b/>
          <w:bCs/>
          <w:color w:val="auto"/>
          <w:kern w:val="0"/>
          <w:sz w:val="22"/>
          <w:szCs w:val="22"/>
          <w:highlight w:val="none"/>
        </w:rPr>
      </w:pPr>
      <w:r>
        <w:rPr>
          <w:rFonts w:hint="eastAsia"/>
          <w:b/>
          <w:bCs/>
          <w:color w:val="auto"/>
          <w:kern w:val="0"/>
          <w:sz w:val="22"/>
          <w:szCs w:val="22"/>
          <w:highlight w:val="none"/>
        </w:rPr>
        <w:t>八、对本次采购提出询问，请按以下方式联系</w:t>
      </w:r>
    </w:p>
    <w:p w14:paraId="7A1B43D7">
      <w:pPr>
        <w:spacing w:line="312" w:lineRule="auto"/>
        <w:ind w:firstLine="420" w:firstLineChars="200"/>
        <w:jc w:val="left"/>
        <w:rPr>
          <w:rFonts w:hint="eastAsia"/>
          <w:color w:val="auto"/>
          <w:kern w:val="0"/>
          <w:szCs w:val="21"/>
          <w:highlight w:val="none"/>
        </w:rPr>
      </w:pPr>
      <w:r>
        <w:rPr>
          <w:rFonts w:hint="eastAsia"/>
          <w:color w:val="auto"/>
          <w:kern w:val="0"/>
          <w:szCs w:val="21"/>
          <w:highlight w:val="none"/>
        </w:rPr>
        <w:t>1</w:t>
      </w:r>
      <w:r>
        <w:rPr>
          <w:color w:val="auto"/>
          <w:kern w:val="0"/>
          <w:szCs w:val="21"/>
          <w:highlight w:val="none"/>
        </w:rPr>
        <w:t>.</w:t>
      </w:r>
      <w:r>
        <w:rPr>
          <w:rFonts w:hint="eastAsia"/>
          <w:color w:val="auto"/>
          <w:kern w:val="0"/>
          <w:szCs w:val="21"/>
          <w:highlight w:val="none"/>
        </w:rPr>
        <w:t>采购人信息</w:t>
      </w:r>
    </w:p>
    <w:p w14:paraId="17C33504">
      <w:pPr>
        <w:spacing w:line="312" w:lineRule="auto"/>
        <w:ind w:firstLine="420" w:firstLineChars="200"/>
        <w:jc w:val="left"/>
        <w:rPr>
          <w:color w:val="auto"/>
          <w:kern w:val="0"/>
          <w:szCs w:val="21"/>
          <w:highlight w:val="none"/>
          <w:u w:val="single"/>
        </w:rPr>
      </w:pPr>
      <w:bookmarkStart w:id="14" w:name="_Hlk19048373"/>
      <w:r>
        <w:rPr>
          <w:rFonts w:hint="eastAsia"/>
          <w:color w:val="auto"/>
          <w:kern w:val="0"/>
          <w:szCs w:val="21"/>
          <w:highlight w:val="none"/>
        </w:rPr>
        <w:t>名称</w:t>
      </w:r>
      <w:r>
        <w:rPr>
          <w:color w:val="auto"/>
          <w:kern w:val="0"/>
          <w:szCs w:val="21"/>
          <w:highlight w:val="none"/>
        </w:rPr>
        <w:t>：</w:t>
      </w:r>
      <w:r>
        <w:rPr>
          <w:rFonts w:hint="eastAsia"/>
          <w:color w:val="auto"/>
          <w:kern w:val="0"/>
          <w:szCs w:val="21"/>
          <w:highlight w:val="none"/>
        </w:rPr>
        <w:t>广西职业师范学院</w:t>
      </w:r>
    </w:p>
    <w:p w14:paraId="549B3061">
      <w:pPr>
        <w:spacing w:line="312" w:lineRule="auto"/>
        <w:ind w:firstLine="420" w:firstLineChars="200"/>
        <w:jc w:val="left"/>
        <w:rPr>
          <w:color w:val="auto"/>
          <w:kern w:val="0"/>
          <w:szCs w:val="21"/>
          <w:highlight w:val="none"/>
          <w:u w:val="single"/>
        </w:rPr>
      </w:pPr>
      <w:r>
        <w:rPr>
          <w:color w:val="auto"/>
          <w:kern w:val="0"/>
          <w:szCs w:val="21"/>
          <w:highlight w:val="none"/>
        </w:rPr>
        <w:t>地址：</w:t>
      </w:r>
      <w:r>
        <w:rPr>
          <w:rFonts w:hint="eastAsia"/>
          <w:color w:val="auto"/>
          <w:kern w:val="0"/>
          <w:szCs w:val="21"/>
          <w:highlight w:val="none"/>
        </w:rPr>
        <w:t>广西南宁市西乡塘区大学东路105号</w:t>
      </w:r>
    </w:p>
    <w:p w14:paraId="3B5EA317">
      <w:pPr>
        <w:spacing w:line="312" w:lineRule="auto"/>
        <w:ind w:firstLine="420" w:firstLineChars="200"/>
        <w:jc w:val="left"/>
        <w:rPr>
          <w:color w:val="auto"/>
          <w:kern w:val="0"/>
          <w:szCs w:val="21"/>
          <w:highlight w:val="none"/>
          <w:u w:val="single"/>
        </w:rPr>
      </w:pPr>
      <w:r>
        <w:rPr>
          <w:rFonts w:hint="eastAsia"/>
          <w:color w:val="auto"/>
          <w:kern w:val="0"/>
          <w:szCs w:val="21"/>
          <w:highlight w:val="none"/>
        </w:rPr>
        <w:t>项目联系人：覃老师</w:t>
      </w:r>
    </w:p>
    <w:p w14:paraId="7D7BCEA4">
      <w:pPr>
        <w:spacing w:line="312" w:lineRule="auto"/>
        <w:ind w:firstLine="420" w:firstLineChars="200"/>
        <w:jc w:val="left"/>
        <w:rPr>
          <w:color w:val="auto"/>
          <w:kern w:val="0"/>
          <w:szCs w:val="21"/>
          <w:highlight w:val="none"/>
          <w:u w:val="single"/>
        </w:rPr>
      </w:pPr>
      <w:r>
        <w:rPr>
          <w:rFonts w:hint="eastAsia"/>
          <w:color w:val="auto"/>
          <w:kern w:val="0"/>
          <w:szCs w:val="21"/>
          <w:highlight w:val="none"/>
        </w:rPr>
        <w:t>项目联系方式：0771-3245617</w:t>
      </w:r>
    </w:p>
    <w:p w14:paraId="0DE128A8">
      <w:pPr>
        <w:spacing w:line="312" w:lineRule="auto"/>
        <w:ind w:firstLine="420" w:firstLineChars="200"/>
        <w:jc w:val="left"/>
        <w:rPr>
          <w:rFonts w:hint="eastAsia"/>
          <w:color w:val="auto"/>
          <w:kern w:val="0"/>
          <w:szCs w:val="21"/>
          <w:highlight w:val="none"/>
        </w:rPr>
      </w:pPr>
      <w:r>
        <w:rPr>
          <w:rFonts w:hint="eastAsia"/>
          <w:color w:val="auto"/>
          <w:kern w:val="0"/>
          <w:szCs w:val="21"/>
          <w:highlight w:val="none"/>
        </w:rPr>
        <w:t>2</w:t>
      </w:r>
      <w:r>
        <w:rPr>
          <w:color w:val="auto"/>
          <w:kern w:val="0"/>
          <w:szCs w:val="21"/>
          <w:highlight w:val="none"/>
        </w:rPr>
        <w:t>.</w:t>
      </w:r>
      <w:r>
        <w:rPr>
          <w:rFonts w:hint="eastAsia"/>
          <w:color w:val="auto"/>
          <w:kern w:val="0"/>
          <w:szCs w:val="21"/>
          <w:highlight w:val="none"/>
        </w:rPr>
        <w:t>采购代理机构信息</w:t>
      </w:r>
    </w:p>
    <w:p w14:paraId="2EA9366D">
      <w:pPr>
        <w:spacing w:line="312" w:lineRule="auto"/>
        <w:ind w:firstLine="420" w:firstLineChars="200"/>
        <w:jc w:val="left"/>
        <w:rPr>
          <w:color w:val="auto"/>
          <w:kern w:val="0"/>
          <w:szCs w:val="21"/>
          <w:highlight w:val="none"/>
          <w:u w:val="none"/>
        </w:rPr>
      </w:pPr>
      <w:r>
        <w:rPr>
          <w:rFonts w:hint="eastAsia"/>
          <w:color w:val="auto"/>
          <w:kern w:val="0"/>
          <w:szCs w:val="21"/>
          <w:highlight w:val="none"/>
          <w:u w:val="none"/>
        </w:rPr>
        <w:t>名称</w:t>
      </w:r>
      <w:r>
        <w:rPr>
          <w:color w:val="auto"/>
          <w:kern w:val="0"/>
          <w:szCs w:val="21"/>
          <w:highlight w:val="none"/>
          <w:u w:val="none"/>
        </w:rPr>
        <w:t>：广西机电设备招标有限公司</w:t>
      </w:r>
    </w:p>
    <w:p w14:paraId="39BEE963">
      <w:pPr>
        <w:spacing w:line="312" w:lineRule="auto"/>
        <w:ind w:firstLine="420" w:firstLineChars="200"/>
        <w:jc w:val="left"/>
        <w:rPr>
          <w:color w:val="auto"/>
          <w:highlight w:val="none"/>
          <w:u w:val="none"/>
        </w:rPr>
      </w:pPr>
      <w:r>
        <w:rPr>
          <w:color w:val="auto"/>
          <w:kern w:val="0"/>
          <w:szCs w:val="21"/>
          <w:highlight w:val="none"/>
          <w:u w:val="none"/>
        </w:rPr>
        <w:t>地址：</w:t>
      </w:r>
      <w:bookmarkStart w:id="15" w:name="_Hlk43198245"/>
      <w:bookmarkStart w:id="16" w:name="_Hlk43199749"/>
      <w:r>
        <w:rPr>
          <w:color w:val="auto"/>
          <w:highlight w:val="none"/>
          <w:u w:val="none"/>
        </w:rPr>
        <w:t>广西南宁市金湖路63号金源CBD现代城B座7层</w:t>
      </w:r>
      <w:bookmarkEnd w:id="15"/>
    </w:p>
    <w:bookmarkEnd w:id="14"/>
    <w:bookmarkEnd w:id="16"/>
    <w:p w14:paraId="284E032E">
      <w:pPr>
        <w:spacing w:line="312" w:lineRule="auto"/>
        <w:ind w:firstLine="420" w:firstLineChars="200"/>
        <w:jc w:val="left"/>
        <w:rPr>
          <w:rFonts w:hint="eastAsia" w:eastAsia="宋体"/>
          <w:color w:val="auto"/>
          <w:kern w:val="0"/>
          <w:szCs w:val="21"/>
          <w:highlight w:val="none"/>
          <w:u w:val="none"/>
          <w:lang w:eastAsia="zh-CN"/>
        </w:rPr>
      </w:pPr>
      <w:bookmarkStart w:id="17" w:name="_Toc254970631"/>
      <w:bookmarkStart w:id="18" w:name="_Toc254970490"/>
      <w:r>
        <w:rPr>
          <w:rFonts w:hint="eastAsia"/>
          <w:color w:val="auto"/>
          <w:kern w:val="0"/>
          <w:szCs w:val="21"/>
          <w:highlight w:val="none"/>
          <w:u w:val="none"/>
        </w:rPr>
        <w:t>项目联系人：</w:t>
      </w:r>
      <w:r>
        <w:rPr>
          <w:rFonts w:hint="eastAsia" w:ascii="宋体" w:hAnsi="宋体" w:eastAsia="宋体" w:cs="宋体"/>
          <w:color w:val="auto"/>
          <w:kern w:val="0"/>
          <w:szCs w:val="21"/>
          <w:highlight w:val="none"/>
          <w:u w:val="none"/>
        </w:rPr>
        <w:t>梁艳冰、梅莹</w:t>
      </w:r>
      <w:r>
        <w:rPr>
          <w:rFonts w:hint="eastAsia" w:ascii="宋体" w:hAnsi="宋体" w:eastAsia="宋体" w:cs="宋体"/>
          <w:color w:val="auto"/>
          <w:kern w:val="0"/>
          <w:szCs w:val="21"/>
          <w:highlight w:val="none"/>
          <w:u w:val="none"/>
          <w:lang w:eastAsia="zh-CN"/>
        </w:rPr>
        <w:t>、</w:t>
      </w:r>
      <w:r>
        <w:rPr>
          <w:rFonts w:hint="eastAsia"/>
          <w:color w:val="auto"/>
          <w:kern w:val="0"/>
          <w:szCs w:val="21"/>
          <w:highlight w:val="none"/>
          <w:u w:val="none"/>
          <w:lang w:eastAsia="zh-CN"/>
        </w:rPr>
        <w:t>黄晓蕾、</w:t>
      </w:r>
      <w:r>
        <w:rPr>
          <w:rFonts w:hint="eastAsia" w:ascii="宋体" w:hAnsi="宋体" w:eastAsia="宋体" w:cs="宋体"/>
          <w:color w:val="auto"/>
          <w:kern w:val="0"/>
          <w:szCs w:val="21"/>
          <w:highlight w:val="none"/>
          <w:u w:val="none"/>
          <w:lang w:eastAsia="zh-CN"/>
        </w:rPr>
        <w:t>彭瑶</w:t>
      </w:r>
    </w:p>
    <w:p w14:paraId="258AC76D">
      <w:pPr>
        <w:spacing w:line="312" w:lineRule="auto"/>
        <w:ind w:right="420" w:firstLine="420" w:firstLineChars="200"/>
        <w:rPr>
          <w:color w:val="auto"/>
          <w:kern w:val="0"/>
          <w:szCs w:val="21"/>
          <w:highlight w:val="none"/>
          <w:u w:val="none"/>
        </w:rPr>
      </w:pPr>
      <w:r>
        <w:rPr>
          <w:rFonts w:hint="eastAsia"/>
          <w:color w:val="auto"/>
          <w:kern w:val="0"/>
          <w:szCs w:val="21"/>
          <w:highlight w:val="none"/>
          <w:u w:val="none"/>
        </w:rPr>
        <w:t>项目联系方式：0771-2808981</w:t>
      </w:r>
    </w:p>
    <w:p w14:paraId="7864C0C8">
      <w:pPr>
        <w:spacing w:line="312" w:lineRule="auto"/>
        <w:ind w:firstLine="442" w:firstLineChars="200"/>
        <w:jc w:val="right"/>
        <w:rPr>
          <w:b/>
          <w:bCs/>
          <w:color w:val="auto"/>
          <w:kern w:val="0"/>
          <w:sz w:val="22"/>
          <w:szCs w:val="22"/>
          <w:highlight w:val="none"/>
        </w:rPr>
      </w:pPr>
    </w:p>
    <w:p w14:paraId="727C786E">
      <w:pPr>
        <w:spacing w:line="312" w:lineRule="auto"/>
        <w:ind w:firstLine="420" w:firstLineChars="200"/>
        <w:jc w:val="right"/>
        <w:rPr>
          <w:rFonts w:hint="eastAsia"/>
          <w:color w:val="auto"/>
          <w:kern w:val="0"/>
          <w:szCs w:val="21"/>
          <w:highlight w:val="none"/>
        </w:rPr>
      </w:pPr>
    </w:p>
    <w:p w14:paraId="1DCDF37D">
      <w:pPr>
        <w:spacing w:line="312" w:lineRule="auto"/>
        <w:ind w:firstLine="420" w:firstLineChars="200"/>
        <w:jc w:val="right"/>
        <w:rPr>
          <w:color w:val="auto"/>
          <w:kern w:val="0"/>
          <w:szCs w:val="21"/>
          <w:highlight w:val="none"/>
        </w:rPr>
      </w:pPr>
      <w:r>
        <w:rPr>
          <w:color w:val="auto"/>
          <w:kern w:val="0"/>
          <w:szCs w:val="21"/>
          <w:highlight w:val="none"/>
        </w:rPr>
        <w:t>广西机电设备招标有限公司</w:t>
      </w:r>
    </w:p>
    <w:p w14:paraId="2BC35FC4">
      <w:pPr>
        <w:spacing w:line="312" w:lineRule="auto"/>
        <w:ind w:firstLine="420" w:firstLineChars="200"/>
        <w:jc w:val="right"/>
        <w:rPr>
          <w:color w:val="auto"/>
          <w:sz w:val="2"/>
          <w:szCs w:val="2"/>
          <w:highlight w:val="none"/>
        </w:rPr>
      </w:pPr>
      <w:r>
        <w:rPr>
          <w:color w:val="auto"/>
          <w:kern w:val="0"/>
          <w:szCs w:val="21"/>
          <w:highlight w:val="none"/>
        </w:rPr>
        <w:t>20</w:t>
      </w:r>
      <w:r>
        <w:rPr>
          <w:rFonts w:hint="eastAsia"/>
          <w:color w:val="auto"/>
          <w:kern w:val="0"/>
          <w:szCs w:val="21"/>
          <w:highlight w:val="none"/>
          <w:lang w:val="en-US" w:eastAsia="zh-CN"/>
        </w:rPr>
        <w:t>26</w:t>
      </w:r>
      <w:r>
        <w:rPr>
          <w:color w:val="auto"/>
          <w:kern w:val="0"/>
          <w:szCs w:val="21"/>
          <w:highlight w:val="none"/>
        </w:rPr>
        <w:t>年</w:t>
      </w:r>
      <w:r>
        <w:rPr>
          <w:rFonts w:hint="eastAsia"/>
          <w:color w:val="auto"/>
          <w:kern w:val="0"/>
          <w:szCs w:val="21"/>
          <w:highlight w:val="none"/>
          <w:lang w:val="en-US" w:eastAsia="zh-CN"/>
        </w:rPr>
        <w:t>9</w:t>
      </w:r>
      <w:r>
        <w:rPr>
          <w:color w:val="auto"/>
          <w:kern w:val="0"/>
          <w:szCs w:val="21"/>
          <w:highlight w:val="none"/>
        </w:rPr>
        <w:t>月</w:t>
      </w:r>
      <w:r>
        <w:rPr>
          <w:rFonts w:hint="eastAsia"/>
          <w:color w:val="auto"/>
          <w:kern w:val="0"/>
          <w:szCs w:val="21"/>
          <w:highlight w:val="none"/>
          <w:lang w:val="en-US" w:eastAsia="zh-CN"/>
        </w:rPr>
        <w:t>4</w:t>
      </w:r>
      <w:r>
        <w:rPr>
          <w:color w:val="auto"/>
          <w:kern w:val="0"/>
          <w:szCs w:val="21"/>
          <w:highlight w:val="none"/>
        </w:rPr>
        <w:t>日</w:t>
      </w:r>
    </w:p>
    <w:p w14:paraId="3E920629">
      <w:pPr>
        <w:rPr>
          <w:color w:val="auto"/>
          <w:szCs w:val="21"/>
          <w:highlight w:val="none"/>
        </w:rPr>
        <w:sectPr>
          <w:footerReference r:id="rId9" w:type="first"/>
          <w:headerReference r:id="rId8" w:type="default"/>
          <w:pgSz w:w="11906" w:h="16838"/>
          <w:pgMar w:top="1417" w:right="1133" w:bottom="1246" w:left="1418" w:header="851" w:footer="797" w:gutter="0"/>
          <w:cols w:space="720" w:num="1"/>
          <w:docGrid w:linePitch="312" w:charSpace="0"/>
        </w:sectPr>
      </w:pPr>
    </w:p>
    <w:bookmarkEnd w:id="17"/>
    <w:bookmarkEnd w:id="18"/>
    <w:p w14:paraId="091A4E03">
      <w:pPr>
        <w:pStyle w:val="27"/>
        <w:snapToGrid w:val="0"/>
        <w:spacing w:before="120" w:after="120" w:line="320" w:lineRule="exact"/>
        <w:jc w:val="center"/>
        <w:outlineLvl w:val="0"/>
        <w:rPr>
          <w:rFonts w:ascii="Times New Roman" w:hAnsi="Times New Roman" w:cs="Times New Roman"/>
          <w:color w:val="auto"/>
          <w:sz w:val="32"/>
          <w:szCs w:val="32"/>
          <w:highlight w:val="none"/>
        </w:rPr>
      </w:pPr>
      <w:bookmarkStart w:id="19" w:name="_Toc17868"/>
      <w:bookmarkStart w:id="20" w:name="_Hlk89187818"/>
      <w:r>
        <w:rPr>
          <w:rFonts w:ascii="Times New Roman" w:hAnsi="Times New Roman" w:cs="Times New Roman"/>
          <w:color w:val="auto"/>
          <w:sz w:val="32"/>
          <w:szCs w:val="32"/>
          <w:highlight w:val="none"/>
        </w:rPr>
        <w:t>第</w:t>
      </w:r>
      <w:r>
        <w:rPr>
          <w:rFonts w:hint="eastAsia" w:ascii="Times New Roman" w:hAnsi="Times New Roman" w:cs="Times New Roman"/>
          <w:color w:val="auto"/>
          <w:sz w:val="32"/>
          <w:szCs w:val="32"/>
          <w:highlight w:val="none"/>
        </w:rPr>
        <w:t>二</w:t>
      </w:r>
      <w:r>
        <w:rPr>
          <w:rFonts w:ascii="Times New Roman" w:hAnsi="Times New Roman" w:cs="Times New Roman"/>
          <w:color w:val="auto"/>
          <w:sz w:val="32"/>
          <w:szCs w:val="32"/>
          <w:highlight w:val="none"/>
        </w:rPr>
        <w:t xml:space="preserve">章  </w:t>
      </w:r>
      <w:r>
        <w:rPr>
          <w:rFonts w:hint="eastAsia" w:ascii="Times New Roman" w:hAnsi="Times New Roman" w:cs="Times New Roman"/>
          <w:color w:val="auto"/>
          <w:sz w:val="32"/>
          <w:szCs w:val="32"/>
          <w:highlight w:val="none"/>
        </w:rPr>
        <w:t>采购需求</w:t>
      </w:r>
      <w:bookmarkEnd w:id="19"/>
    </w:p>
    <w:p w14:paraId="33CBF0B6">
      <w:pPr>
        <w:spacing w:line="312" w:lineRule="auto"/>
        <w:ind w:firstLine="562" w:firstLineChars="200"/>
        <w:jc w:val="left"/>
        <w:outlineLvl w:val="1"/>
        <w:rPr>
          <w:rFonts w:ascii="宋体" w:hAnsi="宋体" w:eastAsia="宋体" w:cs="宋体"/>
          <w:b/>
          <w:color w:val="auto"/>
          <w:kern w:val="0"/>
          <w:sz w:val="28"/>
          <w:szCs w:val="28"/>
          <w:highlight w:val="none"/>
        </w:rPr>
      </w:pPr>
      <w:bookmarkStart w:id="21" w:name="_Hlk101188646"/>
      <w:r>
        <w:rPr>
          <w:rFonts w:hint="eastAsia" w:ascii="宋体" w:hAnsi="宋体" w:eastAsia="宋体" w:cs="宋体"/>
          <w:b/>
          <w:color w:val="auto"/>
          <w:kern w:val="0"/>
          <w:sz w:val="28"/>
          <w:szCs w:val="28"/>
          <w:highlight w:val="none"/>
        </w:rPr>
        <w:t>一、工程量清单</w:t>
      </w:r>
    </w:p>
    <w:p w14:paraId="62ACD536">
      <w:pPr>
        <w:spacing w:line="312" w:lineRule="auto"/>
        <w:ind w:firstLine="422" w:firstLineChars="200"/>
        <w:jc w:val="left"/>
        <w:rPr>
          <w:rFonts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1.工程量清单说明</w:t>
      </w:r>
    </w:p>
    <w:p w14:paraId="17FCFA89">
      <w:pPr>
        <w:spacing w:line="360" w:lineRule="auto"/>
        <w:ind w:firstLine="420" w:firstLineChars="200"/>
        <w:rPr>
          <w:rFonts w:ascii="宋体" w:hAnsi="宋体" w:eastAsia="宋体" w:cs="宋体"/>
          <w:color w:val="auto"/>
          <w:highlight w:val="none"/>
        </w:rPr>
      </w:pPr>
      <w:r>
        <w:rPr>
          <w:rFonts w:hint="eastAsia" w:ascii="宋体" w:hAnsi="宋体" w:eastAsia="宋体" w:cs="宋体"/>
          <w:color w:val="auto"/>
          <w:highlight w:val="none"/>
        </w:rPr>
        <w:t xml:space="preserve">1.1本工程量清单依据《建设工程工程量清单计价规范》(GB 50500-2013)、广西壮族自治区住房和城乡建设厅颁布的《&lt;建设工程工程量清单计价规范&gt;GB 50500-2013广西壮族自治区实施细则》、《建设工程工程量清单计算规范&gt;GB (50854～50862-20130)广西壮族自治区实施细则》(修订本)、 </w:t>
      </w:r>
      <w:r>
        <w:rPr>
          <w:rFonts w:hint="eastAsia" w:ascii="宋体" w:hAnsi="宋体" w:eastAsia="宋体" w:cs="宋体"/>
          <w:color w:val="auto"/>
          <w:highlight w:val="none"/>
        </w:rPr>
        <w:tab/>
      </w:r>
      <w:r>
        <w:rPr>
          <w:rFonts w:hint="eastAsia" w:ascii="宋体" w:hAnsi="宋体" w:eastAsia="宋体" w:cs="宋体"/>
          <w:color w:val="auto"/>
          <w:highlight w:val="none"/>
        </w:rPr>
        <w:t>2023年《广西壮族自治区安装工程消耗量定额》及其配套的费用定额、2022年《广西壮族自治区市政工程消耗量定额》及配套费用定额、《关于建筑业实施营业税改增值税后广西壮族自治区建设工程计价依据调整的通知》（桂建标〔2016〕17号）、《自治区住房城乡建设厅关于调整建设工程定额人工费及有关费率的通知》（桂建标〔2023〕7号）、《自治区住房城乡建设厅关于调整建设工程计价增值税税率的通知》（桂建标〔2019〕12号）、《自治区住房城乡建设厅关于印发广西壮族自治区房屋建筑和市政基础设施工程安全生产责任保险计价规定的通知》(桂建发〔2023〕6号)</w:t>
      </w:r>
      <w:r>
        <w:rPr>
          <w:rFonts w:hint="eastAsia" w:ascii="宋体" w:hAnsi="宋体" w:eastAsia="宋体" w:cs="宋体"/>
          <w:color w:val="auto"/>
          <w:kern w:val="0"/>
          <w:highlight w:val="none"/>
        </w:rPr>
        <w:t>、采购文件</w:t>
      </w:r>
      <w:r>
        <w:rPr>
          <w:rFonts w:hint="eastAsia" w:ascii="宋体" w:hAnsi="宋体" w:eastAsia="宋体" w:cs="宋体"/>
          <w:color w:val="auto"/>
          <w:highlight w:val="none"/>
        </w:rPr>
        <w:t>、施工图等编制。计算规范中没有的清单项目，应在本章第1.4款约定。</w:t>
      </w:r>
    </w:p>
    <w:p w14:paraId="2A4F0B8C">
      <w:pPr>
        <w:spacing w:line="360" w:lineRule="auto"/>
        <w:ind w:firstLine="420" w:firstLineChars="200"/>
        <w:rPr>
          <w:rFonts w:ascii="宋体" w:hAnsi="宋体" w:eastAsia="宋体" w:cs="宋体"/>
          <w:color w:val="auto"/>
          <w:highlight w:val="none"/>
        </w:rPr>
      </w:pPr>
      <w:r>
        <w:rPr>
          <w:rFonts w:hint="eastAsia" w:ascii="宋体" w:hAnsi="宋体" w:eastAsia="宋体" w:cs="宋体"/>
          <w:color w:val="auto"/>
          <w:highlight w:val="none"/>
        </w:rPr>
        <w:t>1.2 工程量清单应与供应商须知、合同协议条款、合同的通用条款、合同专用条款、技术规范及图纸等文件一起结合使用。</w:t>
      </w:r>
    </w:p>
    <w:p w14:paraId="2CE37EA6">
      <w:pPr>
        <w:spacing w:line="360" w:lineRule="auto"/>
        <w:ind w:firstLine="420" w:firstLineChars="200"/>
        <w:rPr>
          <w:rFonts w:ascii="宋体" w:hAnsi="宋体" w:eastAsia="宋体" w:cs="宋体"/>
          <w:color w:val="auto"/>
          <w:highlight w:val="none"/>
        </w:rPr>
      </w:pPr>
      <w:r>
        <w:rPr>
          <w:rFonts w:hint="eastAsia" w:ascii="宋体" w:hAnsi="宋体" w:eastAsia="宋体" w:cs="宋体"/>
          <w:color w:val="auto"/>
          <w:highlight w:val="none"/>
        </w:rPr>
        <w:t>1.3 工程量清单是采购文件的组成部分，是工程量清单计价的基础，作为编制控制价、响应报价、计算或调整工程量、索赔等的依据之一。</w:t>
      </w:r>
    </w:p>
    <w:p w14:paraId="16BB485A">
      <w:pPr>
        <w:spacing w:line="360" w:lineRule="auto"/>
        <w:ind w:firstLine="420" w:firstLineChars="200"/>
        <w:rPr>
          <w:rFonts w:ascii="宋体" w:hAnsi="宋体" w:eastAsia="宋体" w:cs="宋体"/>
          <w:color w:val="auto"/>
          <w:highlight w:val="none"/>
        </w:rPr>
      </w:pPr>
      <w:r>
        <w:rPr>
          <w:rFonts w:hint="eastAsia" w:ascii="宋体" w:hAnsi="宋体" w:eastAsia="宋体" w:cs="宋体"/>
          <w:color w:val="auto"/>
          <w:highlight w:val="none"/>
        </w:rPr>
        <w:t>1.4 补充清单项目的特征、计量单位、工程量计算规则及工作内容说明如下：无。</w:t>
      </w:r>
    </w:p>
    <w:p w14:paraId="4EDB57AD">
      <w:pPr>
        <w:pStyle w:val="27"/>
        <w:spacing w:line="360" w:lineRule="auto"/>
        <w:ind w:firstLine="420" w:firstLineChars="200"/>
        <w:rPr>
          <w:rFonts w:hAnsi="宋体" w:eastAsia="宋体" w:cs="宋体"/>
          <w:color w:val="auto"/>
          <w:highlight w:val="none"/>
        </w:rPr>
      </w:pPr>
      <w:r>
        <w:rPr>
          <w:rFonts w:hint="eastAsia" w:hAnsi="宋体" w:eastAsia="宋体" w:cs="宋体"/>
          <w:color w:val="auto"/>
          <w:highlight w:val="none"/>
        </w:rPr>
        <w:t>1.5 《允许调整主要材料和工程设备一览表》（表-22，表格编号为计价规范相应表格编号，下同）作为项目实施过程中材料和设备价格风险调整依据。</w:t>
      </w:r>
    </w:p>
    <w:p w14:paraId="263A6E46">
      <w:pPr>
        <w:pStyle w:val="27"/>
        <w:spacing w:line="360" w:lineRule="auto"/>
        <w:ind w:firstLine="420" w:firstLineChars="200"/>
        <w:rPr>
          <w:rFonts w:hAnsi="宋体" w:eastAsia="宋体" w:cs="宋体"/>
          <w:color w:val="auto"/>
          <w:highlight w:val="none"/>
        </w:rPr>
      </w:pPr>
      <w:r>
        <w:rPr>
          <w:rFonts w:hint="eastAsia" w:hAnsi="宋体" w:eastAsia="宋体" w:cs="宋体"/>
          <w:color w:val="auto"/>
          <w:highlight w:val="none"/>
        </w:rPr>
        <w:t>1.6 本工程暂列金额</w:t>
      </w:r>
      <w:r>
        <w:rPr>
          <w:rFonts w:hint="eastAsia" w:hAnsi="宋体" w:cs="宋体"/>
          <w:color w:val="auto"/>
          <w:highlight w:val="none"/>
          <w:lang w:val="en-US" w:eastAsia="zh-CN"/>
        </w:rPr>
        <w:t>42317.41</w:t>
      </w:r>
      <w:r>
        <w:rPr>
          <w:rFonts w:hint="eastAsia" w:hAnsi="宋体" w:eastAsia="宋体" w:cs="宋体"/>
          <w:color w:val="auto"/>
          <w:highlight w:val="none"/>
          <w:lang w:val="en-US" w:eastAsia="zh-CN"/>
        </w:rPr>
        <w:t>元</w:t>
      </w:r>
      <w:r>
        <w:rPr>
          <w:rFonts w:hint="eastAsia" w:hAnsi="宋体" w:eastAsia="宋体" w:cs="宋体"/>
          <w:color w:val="auto"/>
          <w:highlight w:val="none"/>
        </w:rPr>
        <w:t>。</w:t>
      </w:r>
    </w:p>
    <w:p w14:paraId="5B622ED1">
      <w:pPr>
        <w:pStyle w:val="27"/>
        <w:spacing w:line="360" w:lineRule="auto"/>
        <w:ind w:firstLine="420" w:firstLineChars="200"/>
        <w:rPr>
          <w:rFonts w:hAnsi="宋体" w:eastAsia="宋体" w:cs="宋体"/>
          <w:color w:val="auto"/>
          <w:highlight w:val="none"/>
        </w:rPr>
      </w:pPr>
      <w:r>
        <w:rPr>
          <w:rFonts w:hint="eastAsia" w:hAnsi="宋体" w:eastAsia="宋体" w:cs="宋体"/>
          <w:color w:val="auto"/>
          <w:highlight w:val="none"/>
        </w:rPr>
        <w:t>1.7 本工程发包人提供的材料和设备详见《发包人提供的主要材料和工程设备一览表》（表-21）。</w:t>
      </w:r>
    </w:p>
    <w:p w14:paraId="684E02F0">
      <w:pPr>
        <w:spacing w:line="360" w:lineRule="auto"/>
        <w:ind w:firstLine="420" w:firstLineChars="200"/>
        <w:rPr>
          <w:rFonts w:ascii="宋体" w:hAnsi="宋体" w:eastAsia="宋体" w:cs="宋体"/>
          <w:color w:val="auto"/>
          <w:highlight w:val="none"/>
        </w:rPr>
      </w:pPr>
      <w:r>
        <w:rPr>
          <w:rFonts w:hint="eastAsia" w:ascii="宋体" w:hAnsi="宋体" w:eastAsia="宋体" w:cs="宋体"/>
          <w:color w:val="auto"/>
          <w:highlight w:val="none"/>
        </w:rPr>
        <w:t>1.8 本工程部分材料和设备在招标时作为暂估价计列，结算按实调整，具体内容详见《材料（工程设备）暂估单价及调整表》（表12-2）。</w:t>
      </w:r>
    </w:p>
    <w:p w14:paraId="66E8BCCD">
      <w:pPr>
        <w:spacing w:line="360" w:lineRule="auto"/>
        <w:ind w:firstLine="420" w:firstLineChars="200"/>
        <w:rPr>
          <w:rFonts w:ascii="宋体" w:hAnsi="宋体" w:eastAsia="宋体" w:cs="宋体"/>
          <w:color w:val="auto"/>
          <w:highlight w:val="none"/>
        </w:rPr>
      </w:pPr>
      <w:r>
        <w:rPr>
          <w:rFonts w:hint="eastAsia" w:ascii="宋体" w:hAnsi="宋体" w:eastAsia="宋体" w:cs="宋体"/>
          <w:color w:val="auto"/>
          <w:highlight w:val="none"/>
        </w:rPr>
        <w:t>1.9 招标时暂估专业工程的价款属于暂估价，结算按实调整，具体内容详见《专业工程暂估价及结算价表》（表12-3）。</w:t>
      </w:r>
    </w:p>
    <w:p w14:paraId="7791D6B6">
      <w:pPr>
        <w:spacing w:line="360" w:lineRule="auto"/>
        <w:ind w:firstLine="420" w:firstLineChars="200"/>
        <w:rPr>
          <w:rFonts w:ascii="宋体" w:hAnsi="宋体" w:eastAsia="宋体" w:cs="宋体"/>
          <w:color w:val="auto"/>
          <w:highlight w:val="none"/>
        </w:rPr>
      </w:pPr>
      <w:r>
        <w:rPr>
          <w:rFonts w:hint="eastAsia" w:ascii="宋体" w:hAnsi="宋体" w:eastAsia="宋体" w:cs="宋体"/>
          <w:color w:val="auto"/>
          <w:highlight w:val="none"/>
        </w:rPr>
        <w:t>1.10 本工程量清单编码处标注“*”号的清单项目作为主要清单项目，需要投标人提供《主要清单项目工料机分析表》（表-10）。</w:t>
      </w:r>
    </w:p>
    <w:p w14:paraId="7D4B8C2C">
      <w:pPr>
        <w:spacing w:line="360" w:lineRule="auto"/>
        <w:ind w:firstLine="420" w:firstLineChars="200"/>
        <w:rPr>
          <w:rFonts w:ascii="宋体" w:hAnsi="宋体" w:eastAsia="宋体" w:cs="宋体"/>
          <w:color w:val="auto"/>
          <w:highlight w:val="none"/>
        </w:rPr>
      </w:pPr>
      <w:r>
        <w:rPr>
          <w:rFonts w:hint="eastAsia" w:ascii="宋体" w:hAnsi="宋体" w:eastAsia="宋体" w:cs="宋体"/>
          <w:color w:val="auto"/>
          <w:highlight w:val="none"/>
        </w:rPr>
        <w:t>1.11 其它需要说明的问题：</w:t>
      </w:r>
      <w:r>
        <w:rPr>
          <w:rFonts w:hint="eastAsia" w:ascii="宋体" w:hAnsi="宋体" w:eastAsia="宋体" w:cs="宋体"/>
          <w:color w:val="auto"/>
          <w:highlight w:val="none"/>
          <w:u w:val="single"/>
        </w:rPr>
        <w:t xml:space="preserve"> ①报价方式：采用工程量清单报价方式，供应商已标价工程量清单（包含首次报价、最后报价）的项目编码、项目名称及项目特征描述、计量单位、工程量须与采购工程量清单一致的，否则响应无效；最终报价不得高于最高限价。本项目采用二次报价方式，供应商的最终报价如有变动，则必须以工程量清单报价表的格式编制提交，供应商须提前做好相关准备并按时递交最终报价文件，否则报价无效。 ②响应报价是履行合同的最终价格，必须包含满足本次响应全部采购需求所应提供的服务包括：货物的价格；货物的标准附件、备品备件、专用工具的价格；运输、装卸、调试、培训、技术支持、售后服务、配合费、代理费、货物保护等费用；必要的保险费用和各项税费；包括安装和检测费；安装需要的土建内容 </w:t>
      </w:r>
      <w:r>
        <w:rPr>
          <w:rFonts w:hint="eastAsia" w:ascii="宋体" w:hAnsi="宋体" w:eastAsia="宋体" w:cs="宋体"/>
          <w:color w:val="auto"/>
          <w:highlight w:val="none"/>
        </w:rPr>
        <w:t>。</w:t>
      </w:r>
    </w:p>
    <w:p w14:paraId="3488166F">
      <w:pPr>
        <w:spacing w:line="312" w:lineRule="auto"/>
        <w:ind w:firstLine="422" w:firstLineChars="200"/>
        <w:jc w:val="left"/>
        <w:rPr>
          <w:rFonts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2.本工程预算金额评审依据</w:t>
      </w:r>
    </w:p>
    <w:p w14:paraId="4580E925">
      <w:pPr>
        <w:spacing w:line="360" w:lineRule="auto"/>
        <w:ind w:firstLine="420" w:firstLineChars="200"/>
        <w:rPr>
          <w:rFonts w:ascii="宋体" w:hAnsi="宋体" w:eastAsia="宋体" w:cs="宋体"/>
          <w:color w:val="auto"/>
          <w:highlight w:val="none"/>
        </w:rPr>
      </w:pPr>
      <w:r>
        <w:rPr>
          <w:rFonts w:hint="eastAsia" w:ascii="宋体" w:hAnsi="宋体" w:eastAsia="宋体" w:cs="宋体"/>
          <w:color w:val="auto"/>
          <w:highlight w:val="none"/>
        </w:rPr>
        <w:t>2.1编制依据：</w:t>
      </w:r>
    </w:p>
    <w:p w14:paraId="28EB7A76">
      <w:pPr>
        <w:spacing w:line="360" w:lineRule="auto"/>
        <w:ind w:firstLine="420" w:firstLineChars="200"/>
        <w:rPr>
          <w:rFonts w:ascii="宋体" w:hAnsi="宋体" w:eastAsia="宋体" w:cs="宋体"/>
          <w:color w:val="auto"/>
          <w:highlight w:val="none"/>
        </w:rPr>
      </w:pPr>
      <w:r>
        <w:rPr>
          <w:rFonts w:hint="eastAsia" w:ascii="宋体" w:hAnsi="宋体" w:eastAsia="宋体" w:cs="宋体"/>
          <w:color w:val="auto"/>
          <w:highlight w:val="none"/>
        </w:rPr>
        <w:t>（1）《计价规范》及《计算规范》、</w:t>
      </w:r>
      <w:r>
        <w:rPr>
          <w:rFonts w:hint="eastAsia" w:ascii="宋体" w:hAnsi="宋体" w:eastAsia="宋体" w:cs="宋体"/>
          <w:color w:val="auto"/>
          <w:kern w:val="0"/>
          <w:highlight w:val="none"/>
        </w:rPr>
        <w:t>《关于建筑业实施营业税改征增值税后广西壮族自治区建设工程计价依据调整的通知》（桂建标〔2016〕17号）等</w:t>
      </w:r>
      <w:r>
        <w:rPr>
          <w:rFonts w:hint="eastAsia" w:ascii="宋体" w:hAnsi="宋体" w:eastAsia="宋体" w:cs="宋体"/>
          <w:color w:val="auto"/>
          <w:highlight w:val="none"/>
        </w:rPr>
        <w:t>；</w:t>
      </w:r>
    </w:p>
    <w:p w14:paraId="55BA0A52">
      <w:pPr>
        <w:spacing w:line="360" w:lineRule="auto"/>
        <w:rPr>
          <w:rFonts w:ascii="宋体" w:hAnsi="宋体" w:eastAsia="宋体" w:cs="宋体"/>
          <w:color w:val="auto"/>
          <w:highlight w:val="none"/>
        </w:rPr>
      </w:pPr>
      <w:r>
        <w:rPr>
          <w:rFonts w:hint="eastAsia" w:ascii="宋体" w:hAnsi="宋体" w:eastAsia="宋体" w:cs="宋体"/>
          <w:color w:val="auto"/>
          <w:highlight w:val="none"/>
        </w:rPr>
        <w:t>（2）自治区住房城乡建设行政主管部门颁发的计价定额及有关规定：</w:t>
      </w:r>
      <w:r>
        <w:rPr>
          <w:rFonts w:hint="eastAsia" w:ascii="宋体" w:hAnsi="宋体" w:eastAsia="宋体" w:cs="宋体"/>
          <w:color w:val="auto"/>
          <w:highlight w:val="none"/>
          <w:u w:val="single"/>
        </w:rPr>
        <w:t xml:space="preserve">2023年《广西壮族自治区安装工程消耗量定额》及其配套的费用定额、2022年《广西壮族自治区市政工程消耗量定额》及配套费用定额、《自治区住房城乡建设厅关于调整建设工程定额人工费及有关费率的通知》（桂建标〔2023〕7号） </w:t>
      </w:r>
      <w:r>
        <w:rPr>
          <w:rFonts w:hint="eastAsia" w:ascii="宋体" w:hAnsi="宋体" w:eastAsia="宋体" w:cs="宋体"/>
          <w:color w:val="auto"/>
          <w:highlight w:val="none"/>
        </w:rPr>
        <w:t>。</w:t>
      </w:r>
    </w:p>
    <w:p w14:paraId="55966E9A">
      <w:pPr>
        <w:spacing w:line="360" w:lineRule="auto"/>
        <w:ind w:firstLine="420" w:firstLineChars="200"/>
        <w:rPr>
          <w:rFonts w:ascii="宋体" w:hAnsi="宋体" w:eastAsia="宋体" w:cs="宋体"/>
          <w:color w:val="auto"/>
          <w:highlight w:val="none"/>
        </w:rPr>
      </w:pPr>
      <w:r>
        <w:rPr>
          <w:rFonts w:hint="eastAsia" w:ascii="宋体" w:hAnsi="宋体" w:eastAsia="宋体" w:cs="宋体"/>
          <w:color w:val="auto"/>
          <w:highlight w:val="none"/>
        </w:rPr>
        <w:t>（3）建设工程设计文件及相关资料：</w:t>
      </w:r>
      <w:r>
        <w:rPr>
          <w:rFonts w:hint="eastAsia" w:ascii="宋体" w:hAnsi="宋体" w:eastAsia="宋体" w:cs="宋体"/>
          <w:color w:val="auto"/>
          <w:highlight w:val="none"/>
          <w:u w:val="single"/>
        </w:rPr>
        <w:t>经主管部门审批通过的该项目施工图以及相关设计答疑</w:t>
      </w:r>
      <w:r>
        <w:rPr>
          <w:rFonts w:hint="eastAsia" w:ascii="宋体" w:hAnsi="宋体" w:eastAsia="宋体" w:cs="宋体"/>
          <w:color w:val="auto"/>
          <w:highlight w:val="none"/>
        </w:rPr>
        <w:t xml:space="preserve">。 </w:t>
      </w:r>
    </w:p>
    <w:p w14:paraId="1484AD6F">
      <w:pPr>
        <w:spacing w:line="360" w:lineRule="auto"/>
        <w:ind w:firstLine="420" w:firstLineChars="200"/>
        <w:rPr>
          <w:rFonts w:ascii="宋体" w:hAnsi="宋体" w:eastAsia="宋体" w:cs="宋体"/>
          <w:color w:val="auto"/>
          <w:highlight w:val="none"/>
        </w:rPr>
      </w:pPr>
      <w:r>
        <w:rPr>
          <w:rFonts w:hint="eastAsia" w:ascii="宋体" w:hAnsi="宋体" w:eastAsia="宋体" w:cs="宋体"/>
          <w:color w:val="auto"/>
          <w:highlight w:val="none"/>
        </w:rPr>
        <w:t>（4）本工程采购文件及工程量清单；</w:t>
      </w:r>
    </w:p>
    <w:p w14:paraId="06F4C0E2">
      <w:pPr>
        <w:spacing w:line="360" w:lineRule="auto"/>
        <w:ind w:firstLine="420" w:firstLineChars="200"/>
        <w:rPr>
          <w:rFonts w:ascii="宋体" w:hAnsi="宋体" w:eastAsia="宋体" w:cs="宋体"/>
          <w:color w:val="auto"/>
          <w:highlight w:val="none"/>
        </w:rPr>
      </w:pPr>
      <w:r>
        <w:rPr>
          <w:rFonts w:hint="eastAsia" w:ascii="宋体" w:hAnsi="宋体" w:eastAsia="宋体" w:cs="宋体"/>
          <w:color w:val="auto"/>
          <w:highlight w:val="none"/>
        </w:rPr>
        <w:t>（5）与建设项目相关的标准、规范、技术资料；</w:t>
      </w:r>
    </w:p>
    <w:p w14:paraId="2FF4FF2E">
      <w:pPr>
        <w:spacing w:line="360" w:lineRule="auto"/>
        <w:ind w:firstLine="420" w:firstLineChars="200"/>
        <w:rPr>
          <w:rFonts w:ascii="宋体" w:hAnsi="宋体" w:eastAsia="宋体" w:cs="宋体"/>
          <w:color w:val="auto"/>
          <w:highlight w:val="none"/>
        </w:rPr>
      </w:pPr>
      <w:r>
        <w:rPr>
          <w:rFonts w:hint="eastAsia" w:ascii="宋体" w:hAnsi="宋体" w:eastAsia="宋体" w:cs="宋体"/>
          <w:color w:val="auto"/>
          <w:highlight w:val="none"/>
        </w:rPr>
        <w:t>（6）施工现场情况、工程特点及常规施工方案；</w:t>
      </w:r>
    </w:p>
    <w:p w14:paraId="0D846828">
      <w:pPr>
        <w:spacing w:line="360" w:lineRule="auto"/>
        <w:ind w:firstLine="420" w:firstLineChars="200"/>
        <w:rPr>
          <w:rFonts w:ascii="宋体" w:hAnsi="宋体" w:eastAsia="宋体" w:cs="宋体"/>
          <w:color w:val="auto"/>
          <w:highlight w:val="none"/>
        </w:rPr>
      </w:pPr>
      <w:r>
        <w:rPr>
          <w:rFonts w:hint="eastAsia" w:ascii="宋体" w:hAnsi="宋体" w:eastAsia="宋体" w:cs="宋体"/>
          <w:color w:val="auto"/>
          <w:highlight w:val="none"/>
        </w:rPr>
        <w:t>（7）材料价格信息：材料价格参考2026年1月下半月《南宁市建设工程造价信息》发布除税价格计取，缺项部分通过市场询价计取。</w:t>
      </w:r>
    </w:p>
    <w:p w14:paraId="03A5CEB4">
      <w:pPr>
        <w:spacing w:line="360" w:lineRule="auto"/>
        <w:ind w:firstLine="420" w:firstLineChars="200"/>
        <w:rPr>
          <w:rFonts w:ascii="宋体" w:hAnsi="宋体" w:eastAsia="宋体" w:cs="宋体"/>
          <w:color w:val="auto"/>
          <w:highlight w:val="none"/>
        </w:rPr>
      </w:pPr>
      <w:r>
        <w:rPr>
          <w:rFonts w:hint="eastAsia" w:ascii="宋体" w:hAnsi="宋体" w:eastAsia="宋体" w:cs="宋体"/>
          <w:color w:val="auto"/>
          <w:highlight w:val="none"/>
        </w:rPr>
        <w:t>2.2 分部分项及单价措施项目综合单价应包括采购文件中采购人要求成交供应商所承担的风险内容及其范围（幅度）产生的风险费用。</w:t>
      </w:r>
    </w:p>
    <w:p w14:paraId="098BE7E6">
      <w:pPr>
        <w:spacing w:line="360" w:lineRule="auto"/>
        <w:ind w:firstLine="420"/>
        <w:rPr>
          <w:rFonts w:ascii="宋体" w:hAnsi="宋体" w:eastAsia="宋体" w:cs="宋体"/>
          <w:color w:val="auto"/>
          <w:highlight w:val="none"/>
        </w:rPr>
      </w:pPr>
      <w:r>
        <w:rPr>
          <w:rFonts w:hint="eastAsia" w:ascii="宋体" w:hAnsi="宋体" w:eastAsia="宋体" w:cs="宋体"/>
          <w:color w:val="auto"/>
          <w:highlight w:val="none"/>
        </w:rPr>
        <w:t>2.3 总价措施项目应根据拟定的采购文件和常规施工方案按《计价规范》和《计算规范》规定编制。</w:t>
      </w:r>
    </w:p>
    <w:p w14:paraId="4571BE4A">
      <w:pPr>
        <w:spacing w:line="360" w:lineRule="auto"/>
        <w:ind w:firstLine="420" w:firstLineChars="200"/>
        <w:rPr>
          <w:rFonts w:ascii="宋体" w:hAnsi="宋体" w:eastAsia="宋体" w:cs="宋体"/>
          <w:color w:val="auto"/>
          <w:highlight w:val="none"/>
        </w:rPr>
      </w:pPr>
      <w:r>
        <w:rPr>
          <w:rFonts w:hint="eastAsia" w:ascii="宋体" w:hAnsi="宋体" w:eastAsia="宋体" w:cs="宋体"/>
          <w:color w:val="auto"/>
          <w:highlight w:val="none"/>
        </w:rPr>
        <w:t>2.4 其他项目费应按下列规定报价：</w:t>
      </w:r>
    </w:p>
    <w:p w14:paraId="5E496DF8">
      <w:pPr>
        <w:spacing w:line="360" w:lineRule="auto"/>
        <w:ind w:firstLine="420" w:firstLineChars="200"/>
        <w:rPr>
          <w:rFonts w:ascii="宋体" w:hAnsi="宋体" w:eastAsia="宋体" w:cs="宋体"/>
          <w:color w:val="auto"/>
          <w:highlight w:val="none"/>
        </w:rPr>
      </w:pPr>
      <w:r>
        <w:rPr>
          <w:rFonts w:hint="eastAsia" w:ascii="宋体" w:hAnsi="宋体" w:eastAsia="宋体" w:cs="宋体"/>
          <w:color w:val="auto"/>
          <w:highlight w:val="none"/>
        </w:rPr>
        <w:t>（1）暂列金额应按招标工程量清单中列出的金额填写；</w:t>
      </w:r>
    </w:p>
    <w:p w14:paraId="2E33B8F3">
      <w:pPr>
        <w:pStyle w:val="235"/>
        <w:spacing w:line="360" w:lineRule="auto"/>
        <w:ind w:firstLine="420" w:firstLineChars="200"/>
        <w:rPr>
          <w:rFonts w:ascii="宋体" w:hAnsi="宋体" w:eastAsia="宋体" w:cs="宋体"/>
          <w:color w:val="auto"/>
          <w:highlight w:val="none"/>
        </w:rPr>
      </w:pPr>
      <w:r>
        <w:rPr>
          <w:rFonts w:hint="eastAsia" w:ascii="宋体" w:hAnsi="宋体" w:eastAsia="宋体" w:cs="宋体"/>
          <w:color w:val="auto"/>
          <w:highlight w:val="none"/>
        </w:rPr>
        <w:t>（2）材料、工程设备暂估价应按招标工程量清单中列出的单价计入综合单价；</w:t>
      </w:r>
    </w:p>
    <w:p w14:paraId="3285A4DD">
      <w:pPr>
        <w:spacing w:line="360" w:lineRule="auto"/>
        <w:ind w:firstLine="420" w:firstLineChars="200"/>
        <w:rPr>
          <w:rFonts w:ascii="宋体" w:hAnsi="宋体" w:eastAsia="宋体" w:cs="宋体"/>
          <w:color w:val="auto"/>
          <w:highlight w:val="none"/>
        </w:rPr>
      </w:pPr>
      <w:r>
        <w:rPr>
          <w:rFonts w:hint="eastAsia" w:ascii="宋体" w:hAnsi="宋体" w:eastAsia="宋体" w:cs="宋体"/>
          <w:color w:val="auto"/>
          <w:highlight w:val="none"/>
        </w:rPr>
        <w:t>（3）专业工程暂估价应按工程量清单中列出的金额填写；</w:t>
      </w:r>
    </w:p>
    <w:p w14:paraId="2470887D">
      <w:pPr>
        <w:spacing w:line="360" w:lineRule="auto"/>
        <w:ind w:firstLine="420" w:firstLineChars="200"/>
        <w:rPr>
          <w:rFonts w:ascii="宋体" w:hAnsi="宋体" w:eastAsia="宋体" w:cs="宋体"/>
          <w:color w:val="auto"/>
          <w:highlight w:val="none"/>
        </w:rPr>
      </w:pPr>
      <w:r>
        <w:rPr>
          <w:rFonts w:hint="eastAsia" w:ascii="宋体" w:hAnsi="宋体" w:eastAsia="宋体" w:cs="宋体"/>
          <w:color w:val="auto"/>
          <w:highlight w:val="none"/>
        </w:rPr>
        <w:t>（4）计日工应按工程量清单中列出的项目和数量，根据工程特点和有关计价依据确定的综合单价计算；</w:t>
      </w:r>
    </w:p>
    <w:p w14:paraId="176E5970">
      <w:pPr>
        <w:spacing w:line="360" w:lineRule="auto"/>
        <w:ind w:firstLine="420" w:firstLineChars="200"/>
        <w:rPr>
          <w:rFonts w:ascii="宋体" w:hAnsi="宋体" w:eastAsia="宋体" w:cs="宋体"/>
          <w:color w:val="auto"/>
          <w:highlight w:val="none"/>
        </w:rPr>
      </w:pPr>
      <w:r>
        <w:rPr>
          <w:rFonts w:hint="eastAsia" w:ascii="宋体" w:hAnsi="宋体" w:eastAsia="宋体" w:cs="宋体"/>
          <w:color w:val="auto"/>
          <w:highlight w:val="none"/>
        </w:rPr>
        <w:t>（5）总承包服务费应根据招标工程量清单列出的内容和要求，按自治区住房城乡建设行政主管部门颁发的计价定额及有关规定计算。</w:t>
      </w:r>
    </w:p>
    <w:p w14:paraId="516BF360">
      <w:pPr>
        <w:spacing w:line="360" w:lineRule="auto"/>
        <w:ind w:firstLine="420" w:firstLineChars="200"/>
        <w:rPr>
          <w:rFonts w:ascii="宋体" w:hAnsi="宋体" w:eastAsia="宋体" w:cs="宋体"/>
          <w:color w:val="auto"/>
          <w:highlight w:val="none"/>
        </w:rPr>
      </w:pPr>
      <w:r>
        <w:rPr>
          <w:rFonts w:hint="eastAsia" w:ascii="宋体" w:hAnsi="宋体" w:eastAsia="宋体" w:cs="宋体"/>
          <w:color w:val="auto"/>
          <w:highlight w:val="none"/>
        </w:rPr>
        <w:t>（6）对建设单位创建优质工程的，鼓励在控制价和预算中按我区工程建设定额规定计列工程优质费，并明确工程优质费不可竞争。</w:t>
      </w:r>
    </w:p>
    <w:p w14:paraId="6700B568">
      <w:pPr>
        <w:spacing w:line="360" w:lineRule="auto"/>
        <w:ind w:firstLine="420" w:firstLineChars="200"/>
        <w:rPr>
          <w:rFonts w:ascii="宋体" w:hAnsi="宋体" w:eastAsia="宋体" w:cs="宋体"/>
          <w:color w:val="auto"/>
          <w:highlight w:val="none"/>
        </w:rPr>
      </w:pPr>
      <w:r>
        <w:rPr>
          <w:rFonts w:hint="eastAsia" w:ascii="宋体" w:hAnsi="宋体" w:eastAsia="宋体" w:cs="宋体"/>
          <w:color w:val="auto"/>
          <w:highlight w:val="none"/>
        </w:rPr>
        <w:t>2.5 规费和增值税应按规定确定，作为不可竞争费用。</w:t>
      </w:r>
    </w:p>
    <w:p w14:paraId="3FE9F49D">
      <w:pPr>
        <w:spacing w:line="360" w:lineRule="auto"/>
        <w:ind w:firstLine="420" w:firstLineChars="200"/>
        <w:rPr>
          <w:rFonts w:ascii="宋体" w:hAnsi="宋体" w:eastAsia="宋体" w:cs="宋体"/>
          <w:color w:val="auto"/>
          <w:highlight w:val="none"/>
        </w:rPr>
      </w:pPr>
      <w:r>
        <w:rPr>
          <w:rFonts w:hint="eastAsia" w:ascii="宋体" w:hAnsi="宋体" w:eastAsia="宋体" w:cs="宋体"/>
          <w:color w:val="auto"/>
          <w:highlight w:val="none"/>
        </w:rPr>
        <w:t>2.6 其它需要说明的问题：</w:t>
      </w:r>
      <w:r>
        <w:rPr>
          <w:rFonts w:hint="eastAsia" w:ascii="宋体" w:hAnsi="宋体" w:eastAsia="宋体" w:cs="宋体"/>
          <w:color w:val="auto"/>
          <w:highlight w:val="none"/>
          <w:u w:val="single"/>
        </w:rPr>
        <w:t xml:space="preserve">  供应商在编制响应报价文件时，安责险应按工程量清单中给出的安责险暂估价的具体金额填写，不得调整 </w:t>
      </w:r>
      <w:r>
        <w:rPr>
          <w:rFonts w:hint="eastAsia" w:ascii="宋体" w:hAnsi="宋体" w:eastAsia="宋体" w:cs="宋体"/>
          <w:color w:val="auto"/>
          <w:highlight w:val="none"/>
        </w:rPr>
        <w:t>。</w:t>
      </w:r>
    </w:p>
    <w:p w14:paraId="21C9BF67">
      <w:pPr>
        <w:spacing w:line="312" w:lineRule="auto"/>
        <w:ind w:firstLine="422" w:firstLineChars="200"/>
        <w:jc w:val="left"/>
        <w:rPr>
          <w:rFonts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3.响应报价（已标价工程量清单）编制说明</w:t>
      </w:r>
    </w:p>
    <w:p w14:paraId="3DFDC6E0">
      <w:pPr>
        <w:spacing w:line="312" w:lineRule="auto"/>
        <w:ind w:firstLine="420" w:firstLineChars="200"/>
        <w:jc w:val="left"/>
        <w:rPr>
          <w:rFonts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3.1供应商应依据采购文件、工程量清单以及《计价规范》、《计算规范》自主报价，自主报价不得违反计价规范强制性条文规定。供应商不得采用总价让利或以百分比让利等形式进行报价，任何优惠（或降价、让利）均应反映在相应清单项目的综合单价中。同时，不得出现任意一项单价重大让利，不得以自有机械闲置、自有材料等不计成本为由低于工程成本报价。</w:t>
      </w:r>
    </w:p>
    <w:p w14:paraId="20CF7476">
      <w:pPr>
        <w:spacing w:line="312" w:lineRule="auto"/>
        <w:ind w:firstLine="420" w:firstLineChars="200"/>
        <w:jc w:val="left"/>
        <w:rPr>
          <w:rFonts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3.2</w:t>
      </w:r>
      <w:r>
        <w:rPr>
          <w:rFonts w:hint="eastAsia" w:ascii="宋体" w:hAnsi="宋体" w:eastAsia="宋体" w:cs="宋体"/>
          <w:b/>
          <w:color w:val="auto"/>
          <w:kern w:val="0"/>
          <w:szCs w:val="21"/>
          <w:highlight w:val="none"/>
        </w:rPr>
        <w:t>供应商应按工程量清单填报价格。项目编码、项目名称、项目特征、计量单位、已标价工程量必须与工程量清单一致，供应商不得对工程量清单项目进行增减调整</w:t>
      </w:r>
      <w:r>
        <w:rPr>
          <w:rFonts w:hint="eastAsia" w:ascii="宋体" w:hAnsi="宋体" w:eastAsia="宋体" w:cs="宋体"/>
          <w:bCs/>
          <w:color w:val="auto"/>
          <w:kern w:val="0"/>
          <w:szCs w:val="21"/>
          <w:highlight w:val="none"/>
        </w:rPr>
        <w:t>。</w:t>
      </w:r>
    </w:p>
    <w:p w14:paraId="210E01DA">
      <w:pPr>
        <w:spacing w:line="312" w:lineRule="auto"/>
        <w:ind w:firstLine="420" w:firstLineChars="200"/>
        <w:jc w:val="left"/>
        <w:rPr>
          <w:rFonts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3.3综合单价中应包含采购文件中划分的应由供应商承担的风险范围及其费用。</w:t>
      </w:r>
    </w:p>
    <w:p w14:paraId="7F10B4A4">
      <w:pPr>
        <w:spacing w:line="312" w:lineRule="auto"/>
        <w:ind w:firstLine="420" w:firstLineChars="200"/>
        <w:jc w:val="left"/>
        <w:rPr>
          <w:rFonts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3.4分部分项工程项目和单价措施项目，应根据采购文件和工程量清单项目中的特征描述确定综合单价计算。如出现工程量清单特征描述与设计图纸不符时，供应商应以工程量清单的项目特征描述为准，确定响应报价的综合单价。</w:t>
      </w:r>
    </w:p>
    <w:p w14:paraId="64A31194">
      <w:pPr>
        <w:spacing w:line="312" w:lineRule="auto"/>
        <w:ind w:firstLine="420" w:firstLineChars="200"/>
        <w:jc w:val="left"/>
        <w:rPr>
          <w:rFonts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3.5总价措施项目的金额应根据采购文件及拟定的施工组织设计或施工方案，按计价规范的规定自主确定。但安全文明施工费按国家、省级或行业建设主管部门的有关规定执行，作为不竞争费用单列。</w:t>
      </w:r>
    </w:p>
    <w:p w14:paraId="398B1844">
      <w:pPr>
        <w:spacing w:line="312" w:lineRule="auto"/>
        <w:ind w:firstLine="420" w:firstLineChars="200"/>
        <w:jc w:val="left"/>
        <w:rPr>
          <w:rFonts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3.6其他项目费应按下列规定报价：</w:t>
      </w:r>
    </w:p>
    <w:p w14:paraId="0814CB28">
      <w:pPr>
        <w:spacing w:line="312" w:lineRule="auto"/>
        <w:ind w:firstLine="420" w:firstLineChars="200"/>
        <w:jc w:val="left"/>
        <w:rPr>
          <w:rFonts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（1）暂列金额应按工程量清单中列出的金额填写；</w:t>
      </w:r>
    </w:p>
    <w:p w14:paraId="3CFE1AD5">
      <w:pPr>
        <w:spacing w:line="312" w:lineRule="auto"/>
        <w:ind w:firstLine="420" w:firstLineChars="200"/>
        <w:jc w:val="left"/>
        <w:rPr>
          <w:rFonts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（2）材料、工程设备暂估价应按工程量清单中列出的单价计入综合单价；</w:t>
      </w:r>
    </w:p>
    <w:p w14:paraId="67C85D89">
      <w:pPr>
        <w:spacing w:line="312" w:lineRule="auto"/>
        <w:ind w:firstLine="420" w:firstLineChars="200"/>
        <w:jc w:val="left"/>
        <w:rPr>
          <w:rFonts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（3）专业工程暂估价应按工程量清单中列出的金额填写；</w:t>
      </w:r>
    </w:p>
    <w:p w14:paraId="0711D60C">
      <w:pPr>
        <w:spacing w:line="312" w:lineRule="auto"/>
        <w:ind w:firstLine="420" w:firstLineChars="200"/>
        <w:jc w:val="left"/>
        <w:rPr>
          <w:rFonts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（4）计日工应按工程量清单中列出的项目和估算数量，自主确定综合单价并计算计日工总额；计日工单价均不含规费和税金；</w:t>
      </w:r>
    </w:p>
    <w:p w14:paraId="72B9F8A5">
      <w:pPr>
        <w:spacing w:line="360" w:lineRule="auto"/>
        <w:ind w:firstLine="420" w:firstLineChars="200"/>
        <w:rPr>
          <w:rFonts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（5）总承包服务费应根据工程量清单中列出的内容和供应材料、设备情况，按照采购人提出的协调、配合与服务要求和施工现场管理需要自主确定。</w:t>
      </w:r>
    </w:p>
    <w:p w14:paraId="6A55B78B">
      <w:pPr>
        <w:spacing w:line="360" w:lineRule="auto"/>
        <w:ind w:firstLine="420" w:firstLineChars="200"/>
        <w:rPr>
          <w:rFonts w:ascii="宋体" w:hAnsi="宋体" w:eastAsia="宋体" w:cs="宋体"/>
          <w:color w:val="auto"/>
          <w:highlight w:val="none"/>
        </w:rPr>
      </w:pPr>
      <w:r>
        <w:rPr>
          <w:rFonts w:hint="eastAsia" w:ascii="宋体" w:hAnsi="宋体" w:eastAsia="宋体" w:cs="宋体"/>
          <w:color w:val="auto"/>
          <w:highlight w:val="none"/>
        </w:rPr>
        <w:t>（6）对建设单位创建优质工程的，鼓励在控制价和预算中按我区工程建设定额规定计列工程优质费，并明确工程优质费不可竞争。</w:t>
      </w:r>
    </w:p>
    <w:p w14:paraId="106A8031">
      <w:pPr>
        <w:spacing w:line="312" w:lineRule="auto"/>
        <w:ind w:firstLine="420" w:firstLineChars="200"/>
        <w:jc w:val="left"/>
        <w:rPr>
          <w:rFonts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3.7规费和增值税应按规定确定，作为不可竞争费用。</w:t>
      </w:r>
    </w:p>
    <w:p w14:paraId="79145932">
      <w:pPr>
        <w:spacing w:line="312" w:lineRule="auto"/>
        <w:ind w:firstLine="420" w:firstLineChars="200"/>
        <w:jc w:val="left"/>
        <w:rPr>
          <w:rFonts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3.8工程量清单与计价表中列明的所有需要填写的单价和合价的项目，供应商均应填写且只允许有一个报价。未填写单价和合价的项目，视为此项费用已包含在已标价工程量清单中其他项目的单价和合价之中。竣工结算时，此项目不得重新组价予以调整。</w:t>
      </w:r>
    </w:p>
    <w:p w14:paraId="611C0581">
      <w:pPr>
        <w:spacing w:line="312" w:lineRule="auto"/>
        <w:ind w:firstLine="420" w:firstLineChars="200"/>
        <w:jc w:val="left"/>
        <w:rPr>
          <w:rFonts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3.9响应总价应当与分部分项工程费、措施项目费、其他项目费和规费、增值税的合计金额一致。</w:t>
      </w:r>
    </w:p>
    <w:p w14:paraId="6FD46A09">
      <w:pPr>
        <w:spacing w:line="312" w:lineRule="auto"/>
        <w:ind w:firstLine="420" w:firstLineChars="200"/>
        <w:jc w:val="left"/>
        <w:rPr>
          <w:rFonts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3.10供应商应按《</w:t>
      </w:r>
      <w:r>
        <w:rPr>
          <w:rFonts w:hint="eastAsia" w:ascii="宋体" w:hAnsi="宋体" w:eastAsia="宋体" w:cs="宋体"/>
          <w:color w:val="auto"/>
          <w:highlight w:val="none"/>
        </w:rPr>
        <w:t>允许调整主要材料和工程设备一览表</w:t>
      </w:r>
      <w:r>
        <w:rPr>
          <w:rFonts w:hint="eastAsia" w:ascii="宋体" w:hAnsi="宋体" w:eastAsia="宋体" w:cs="宋体"/>
          <w:bCs/>
          <w:color w:val="auto"/>
          <w:kern w:val="0"/>
          <w:szCs w:val="21"/>
          <w:highlight w:val="none"/>
        </w:rPr>
        <w:t>》的内容填报，不得擅自调整材料和设备名称型号规格、单位、风险系数、基准单价。</w:t>
      </w:r>
    </w:p>
    <w:p w14:paraId="0330F052">
      <w:pPr>
        <w:spacing w:line="312" w:lineRule="auto"/>
        <w:ind w:firstLine="420" w:firstLineChars="200"/>
        <w:jc w:val="left"/>
        <w:rPr>
          <w:rFonts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3.11响应报价表格按本工程工程量清单表格要求填写，并应按采购文件的要求，附上《工程量清单综合单价分析表》和《主要清单项目工料机分析表》。</w:t>
      </w:r>
    </w:p>
    <w:p w14:paraId="13EFE318">
      <w:pPr>
        <w:spacing w:line="312" w:lineRule="auto"/>
        <w:ind w:firstLine="420" w:firstLineChars="200"/>
        <w:jc w:val="left"/>
        <w:rPr>
          <w:rFonts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未尽事宜详见本工程工程量清单、预算金额编制说明以及现行《计价规范》等有关规定执行。</w:t>
      </w:r>
    </w:p>
    <w:p w14:paraId="0EE52A23">
      <w:pPr>
        <w:spacing w:line="312" w:lineRule="auto"/>
        <w:ind w:firstLine="562" w:firstLineChars="200"/>
        <w:jc w:val="left"/>
        <w:outlineLvl w:val="1"/>
        <w:rPr>
          <w:rFonts w:ascii="宋体" w:hAnsi="宋体" w:eastAsia="宋体" w:cs="宋体"/>
          <w:b/>
          <w:color w:val="auto"/>
          <w:kern w:val="0"/>
          <w:sz w:val="28"/>
          <w:szCs w:val="28"/>
          <w:highlight w:val="none"/>
        </w:rPr>
      </w:pPr>
      <w:r>
        <w:rPr>
          <w:rFonts w:hint="eastAsia" w:ascii="宋体" w:hAnsi="宋体" w:eastAsia="宋体" w:cs="宋体"/>
          <w:b/>
          <w:color w:val="auto"/>
          <w:kern w:val="0"/>
          <w:sz w:val="28"/>
          <w:szCs w:val="28"/>
          <w:highlight w:val="none"/>
        </w:rPr>
        <w:t>二、工期及其他要求</w:t>
      </w:r>
    </w:p>
    <w:p w14:paraId="6FE28264">
      <w:pPr>
        <w:spacing w:line="312" w:lineRule="auto"/>
        <w:ind w:firstLine="420" w:firstLineChars="200"/>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1.工期：</w:t>
      </w:r>
      <w:r>
        <w:rPr>
          <w:rFonts w:hint="eastAsia" w:ascii="宋体" w:hAnsi="宋体" w:cs="宋体"/>
          <w:color w:val="auto"/>
          <w:kern w:val="0"/>
          <w:szCs w:val="21"/>
          <w:highlight w:val="none"/>
          <w:lang w:val="en-US" w:eastAsia="zh-CN"/>
        </w:rPr>
        <w:t>30</w:t>
      </w:r>
      <w:r>
        <w:rPr>
          <w:rFonts w:hint="eastAsia" w:ascii="宋体" w:hAnsi="宋体" w:eastAsia="宋体" w:cs="宋体"/>
          <w:color w:val="auto"/>
          <w:kern w:val="0"/>
          <w:szCs w:val="21"/>
          <w:highlight w:val="none"/>
        </w:rPr>
        <w:t>日历天。</w:t>
      </w:r>
    </w:p>
    <w:p w14:paraId="7D22C89E">
      <w:pPr>
        <w:spacing w:line="312" w:lineRule="auto"/>
        <w:ind w:firstLine="420" w:firstLineChars="200"/>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2.其他要求：</w:t>
      </w:r>
    </w:p>
    <w:p w14:paraId="41B85D72">
      <w:pPr>
        <w:spacing w:line="312" w:lineRule="auto"/>
        <w:ind w:firstLine="420" w:firstLineChars="200"/>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2.1验收标准、规范：</w:t>
      </w:r>
    </w:p>
    <w:p w14:paraId="1BD4B05B">
      <w:pPr>
        <w:spacing w:line="312" w:lineRule="auto"/>
        <w:ind w:firstLine="420" w:firstLineChars="200"/>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2.1.1.根据采购人的要求和国家现行的有关的工程建设标准、技术规范及强制性标准条文等有关规范标准。</w:t>
      </w:r>
    </w:p>
    <w:p w14:paraId="5D8D327B">
      <w:pPr>
        <w:spacing w:line="312" w:lineRule="auto"/>
        <w:ind w:firstLine="420" w:firstLineChars="200"/>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2.1.2验收过程中所产生的一切费用均由成交供应商承担。报价时应考虑相关费用。</w:t>
      </w:r>
    </w:p>
    <w:p w14:paraId="4A05EF79">
      <w:pPr>
        <w:spacing w:line="312" w:lineRule="auto"/>
        <w:ind w:firstLine="420" w:firstLineChars="200"/>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2.2工程质量保修要求：</w:t>
      </w:r>
    </w:p>
    <w:p w14:paraId="4487F0B9">
      <w:pPr>
        <w:spacing w:line="312" w:lineRule="auto"/>
        <w:ind w:firstLine="420" w:firstLineChars="200"/>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2.2.1质量保修期：2年，质量保修期从工程实际竣工验收通过之日算起。</w:t>
      </w:r>
    </w:p>
    <w:p w14:paraId="3858EBE4">
      <w:pPr>
        <w:spacing w:line="312" w:lineRule="auto"/>
        <w:ind w:firstLine="420" w:firstLineChars="200"/>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2.2.2双方根据国家有关规定，按法律、行政法规或国家关于工程质量保修的有关规定，对交付采购人使用的工程质量保修期为工程实际竣工验收通过之日起2年，应承担质量保修责任。</w:t>
      </w:r>
    </w:p>
    <w:p w14:paraId="3D0254A5">
      <w:pPr>
        <w:spacing w:line="312" w:lineRule="auto"/>
        <w:ind w:firstLine="420" w:firstLineChars="200"/>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2.2.3在工程质量保修期期限内发生质量问题，必须在收到质保通知后的1个日历天内整改完毕。</w:t>
      </w:r>
    </w:p>
    <w:p w14:paraId="6BDD40B5">
      <w:pPr>
        <w:spacing w:line="312" w:lineRule="auto"/>
        <w:ind w:firstLine="420" w:firstLineChars="200"/>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2.2.4在没有明文规定下，参照建设工程质量保修条例，双方协商为设计文件规定的该工程的合理使用年限内保修。</w:t>
      </w:r>
    </w:p>
    <w:p w14:paraId="7F8D60CB">
      <w:pPr>
        <w:spacing w:line="312" w:lineRule="auto"/>
        <w:ind w:firstLine="420" w:firstLineChars="200"/>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3.合同签订期：自成交通知书发出之日起</w:t>
      </w:r>
      <w:r>
        <w:rPr>
          <w:rFonts w:hint="eastAsia" w:ascii="宋体" w:hAnsi="宋体" w:cs="宋体"/>
          <w:color w:val="auto"/>
          <w:kern w:val="0"/>
          <w:szCs w:val="21"/>
          <w:highlight w:val="none"/>
          <w:lang w:val="en-US" w:eastAsia="zh-CN"/>
        </w:rPr>
        <w:t>10</w:t>
      </w:r>
      <w:r>
        <w:rPr>
          <w:rFonts w:hint="eastAsia" w:ascii="宋体" w:hAnsi="宋体" w:eastAsia="宋体" w:cs="宋体"/>
          <w:color w:val="auto"/>
          <w:kern w:val="0"/>
          <w:szCs w:val="21"/>
          <w:highlight w:val="none"/>
        </w:rPr>
        <w:t>日</w:t>
      </w:r>
      <w:r>
        <w:rPr>
          <w:rFonts w:hint="eastAsia" w:ascii="宋体" w:hAnsi="宋体" w:cs="宋体"/>
          <w:color w:val="auto"/>
          <w:kern w:val="0"/>
          <w:szCs w:val="21"/>
          <w:highlight w:val="none"/>
          <w:lang w:val="en-US" w:eastAsia="zh-CN"/>
        </w:rPr>
        <w:t>历日</w:t>
      </w:r>
      <w:r>
        <w:rPr>
          <w:rFonts w:hint="eastAsia" w:ascii="宋体" w:hAnsi="宋体" w:eastAsia="宋体" w:cs="宋体"/>
          <w:color w:val="auto"/>
          <w:kern w:val="0"/>
          <w:szCs w:val="21"/>
          <w:highlight w:val="none"/>
        </w:rPr>
        <w:t>内（注：成交通知书发出之日起</w:t>
      </w:r>
      <w:r>
        <w:rPr>
          <w:rFonts w:hint="eastAsia" w:ascii="宋体" w:hAnsi="宋体" w:cs="宋体"/>
          <w:color w:val="auto"/>
          <w:kern w:val="0"/>
          <w:szCs w:val="21"/>
          <w:highlight w:val="none"/>
          <w:lang w:val="en-US" w:eastAsia="zh-CN"/>
        </w:rPr>
        <w:t>10</w:t>
      </w:r>
      <w:r>
        <w:rPr>
          <w:rFonts w:hint="eastAsia" w:ascii="宋体" w:hAnsi="宋体" w:eastAsia="宋体" w:cs="宋体"/>
          <w:color w:val="auto"/>
          <w:kern w:val="0"/>
          <w:szCs w:val="21"/>
          <w:highlight w:val="none"/>
        </w:rPr>
        <w:t>日</w:t>
      </w:r>
      <w:r>
        <w:rPr>
          <w:rFonts w:hint="eastAsia" w:ascii="宋体" w:hAnsi="宋体" w:cs="宋体"/>
          <w:color w:val="auto"/>
          <w:kern w:val="0"/>
          <w:szCs w:val="21"/>
          <w:highlight w:val="none"/>
          <w:lang w:val="en-US" w:eastAsia="zh-CN"/>
        </w:rPr>
        <w:t>历日</w:t>
      </w:r>
      <w:r>
        <w:rPr>
          <w:rFonts w:hint="eastAsia" w:ascii="宋体" w:hAnsi="宋体" w:eastAsia="宋体" w:cs="宋体"/>
          <w:color w:val="auto"/>
          <w:kern w:val="0"/>
          <w:szCs w:val="21"/>
          <w:highlight w:val="none"/>
        </w:rPr>
        <w:t>必须签订合同。）</w:t>
      </w:r>
    </w:p>
    <w:p w14:paraId="24ACB02E">
      <w:pPr>
        <w:spacing w:line="360" w:lineRule="auto"/>
        <w:ind w:firstLine="459"/>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4</w:t>
      </w:r>
      <w:r>
        <w:rPr>
          <w:rFonts w:hint="eastAsia" w:ascii="宋体" w:hAnsi="宋体" w:eastAsia="宋体" w:cs="宋体"/>
          <w:color w:val="auto"/>
          <w:kern w:val="0"/>
          <w:szCs w:val="21"/>
          <w:highlight w:val="none"/>
        </w:rPr>
        <w:t>.成交供应商须于本合同签订后3个工作日内配齐项目所需人员、设备进场开展工作。如因成交供应商单方原因，合同签订后7个工作日内未能进场施工的，</w:t>
      </w:r>
      <w:r>
        <w:rPr>
          <w:rFonts w:hint="eastAsia" w:ascii="宋体" w:hAnsi="宋体" w:cs="宋体"/>
          <w:color w:val="auto"/>
          <w:kern w:val="0"/>
          <w:szCs w:val="21"/>
          <w:highlight w:val="none"/>
          <w:lang w:val="en-US" w:eastAsia="zh-CN"/>
        </w:rPr>
        <w:t>采购</w:t>
      </w:r>
      <w:r>
        <w:rPr>
          <w:rFonts w:hint="eastAsia" w:ascii="宋体" w:hAnsi="宋体" w:eastAsia="宋体" w:cs="宋体"/>
          <w:color w:val="auto"/>
          <w:kern w:val="0"/>
          <w:szCs w:val="21"/>
          <w:highlight w:val="none"/>
        </w:rPr>
        <w:t>人可向其发出书面催告通知；成交供应商在催告通知载明的期限内仍未进场的，视为根本性违约。</w:t>
      </w:r>
      <w:r>
        <w:rPr>
          <w:rFonts w:hint="eastAsia" w:ascii="宋体" w:hAnsi="宋体" w:cs="宋体"/>
          <w:color w:val="auto"/>
          <w:kern w:val="0"/>
          <w:szCs w:val="21"/>
          <w:highlight w:val="none"/>
          <w:lang w:val="en-US" w:eastAsia="zh-CN"/>
        </w:rPr>
        <w:t>采购</w:t>
      </w:r>
      <w:r>
        <w:rPr>
          <w:rFonts w:hint="eastAsia" w:ascii="宋体" w:hAnsi="宋体" w:eastAsia="宋体" w:cs="宋体"/>
          <w:color w:val="auto"/>
          <w:kern w:val="0"/>
          <w:szCs w:val="21"/>
          <w:highlight w:val="none"/>
        </w:rPr>
        <w:t>人有权单方解除本合同、没收履约保证金，履约保证金不足以</w:t>
      </w:r>
      <w:r>
        <w:rPr>
          <w:rFonts w:hint="eastAsia" w:ascii="宋体" w:hAnsi="宋体" w:cs="宋体"/>
          <w:color w:val="auto"/>
          <w:kern w:val="0"/>
          <w:szCs w:val="21"/>
          <w:highlight w:val="none"/>
          <w:lang w:val="en-US" w:eastAsia="zh-CN"/>
        </w:rPr>
        <w:t>弥补采购</w:t>
      </w:r>
      <w:r>
        <w:rPr>
          <w:rFonts w:hint="eastAsia" w:ascii="宋体" w:hAnsi="宋体" w:eastAsia="宋体" w:cs="宋体"/>
          <w:color w:val="auto"/>
          <w:kern w:val="0"/>
          <w:szCs w:val="21"/>
          <w:highlight w:val="none"/>
        </w:rPr>
        <w:t>人实际经济损失的，</w:t>
      </w:r>
      <w:r>
        <w:rPr>
          <w:rFonts w:hint="eastAsia" w:ascii="宋体" w:hAnsi="宋体" w:cs="宋体"/>
          <w:color w:val="auto"/>
          <w:kern w:val="0"/>
          <w:szCs w:val="21"/>
          <w:highlight w:val="none"/>
          <w:lang w:val="en-US" w:eastAsia="zh-CN"/>
        </w:rPr>
        <w:t>成交供应商还应向采购人支付违约金，违约金按合同金额的8%计算。</w:t>
      </w:r>
    </w:p>
    <w:p w14:paraId="1A60A814">
      <w:pPr>
        <w:pStyle w:val="2"/>
        <w:ind w:firstLine="420" w:firstLineChars="200"/>
        <w:rPr>
          <w:rFonts w:ascii="宋体" w:hAnsi="宋体" w:eastAsia="宋体" w:cs="宋体"/>
          <w:color w:val="auto"/>
          <w:kern w:val="0"/>
          <w:sz w:val="21"/>
          <w:szCs w:val="21"/>
          <w:highlight w:val="none"/>
        </w:rPr>
      </w:pPr>
      <w:r>
        <w:rPr>
          <w:rFonts w:hint="eastAsia" w:ascii="宋体" w:hAnsi="宋体" w:cs="宋体"/>
          <w:color w:val="auto"/>
          <w:kern w:val="0"/>
          <w:sz w:val="21"/>
          <w:szCs w:val="21"/>
          <w:highlight w:val="none"/>
          <w:lang w:val="en-US" w:eastAsia="zh-CN"/>
        </w:rPr>
        <w:t>5.</w:t>
      </w:r>
      <w:r>
        <w:rPr>
          <w:rFonts w:hint="eastAsia" w:ascii="宋体" w:hAnsi="宋体" w:eastAsia="宋体" w:cs="宋体"/>
          <w:color w:val="auto"/>
          <w:kern w:val="0"/>
          <w:sz w:val="21"/>
          <w:szCs w:val="21"/>
          <w:highlight w:val="none"/>
        </w:rPr>
        <w:t>承包方式：固定综合单价。</w:t>
      </w:r>
    </w:p>
    <w:p w14:paraId="7A6575FA">
      <w:pPr>
        <w:spacing w:line="312" w:lineRule="auto"/>
        <w:ind w:firstLine="562" w:firstLineChars="200"/>
        <w:jc w:val="left"/>
        <w:outlineLvl w:val="1"/>
        <w:rPr>
          <w:rFonts w:ascii="宋体" w:hAnsi="宋体" w:eastAsia="宋体" w:cs="宋体"/>
          <w:b/>
          <w:color w:val="auto"/>
          <w:kern w:val="0"/>
          <w:sz w:val="28"/>
          <w:szCs w:val="28"/>
          <w:highlight w:val="none"/>
        </w:rPr>
      </w:pPr>
      <w:r>
        <w:rPr>
          <w:rFonts w:hint="eastAsia" w:ascii="宋体" w:hAnsi="宋体" w:eastAsia="宋体" w:cs="宋体"/>
          <w:b/>
          <w:color w:val="auto"/>
          <w:kern w:val="0"/>
          <w:sz w:val="28"/>
          <w:szCs w:val="28"/>
          <w:highlight w:val="none"/>
        </w:rPr>
        <w:t>三、图纸</w:t>
      </w:r>
    </w:p>
    <w:p w14:paraId="2068947F">
      <w:pPr>
        <w:spacing w:line="312" w:lineRule="auto"/>
        <w:ind w:firstLine="420" w:firstLineChars="200"/>
        <w:jc w:val="left"/>
        <w:rPr>
          <w:rFonts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图纸另附。</w:t>
      </w:r>
    </w:p>
    <w:p w14:paraId="281B6D96">
      <w:pPr>
        <w:spacing w:line="312" w:lineRule="auto"/>
        <w:ind w:firstLine="562" w:firstLineChars="200"/>
        <w:jc w:val="left"/>
        <w:outlineLvl w:val="1"/>
        <w:rPr>
          <w:rFonts w:ascii="宋体" w:hAnsi="宋体" w:eastAsia="宋体" w:cs="宋体"/>
          <w:b/>
          <w:color w:val="auto"/>
          <w:kern w:val="0"/>
          <w:sz w:val="28"/>
          <w:szCs w:val="28"/>
          <w:highlight w:val="none"/>
        </w:rPr>
      </w:pPr>
      <w:r>
        <w:rPr>
          <w:rFonts w:hint="eastAsia" w:ascii="宋体" w:hAnsi="宋体" w:eastAsia="宋体" w:cs="宋体"/>
          <w:b/>
          <w:color w:val="auto"/>
          <w:kern w:val="0"/>
          <w:sz w:val="28"/>
          <w:szCs w:val="28"/>
          <w:highlight w:val="none"/>
        </w:rPr>
        <w:t>四、技术配置及交付标准</w:t>
      </w:r>
    </w:p>
    <w:p w14:paraId="0D4BF0A6">
      <w:pPr>
        <w:spacing w:line="312" w:lineRule="auto"/>
        <w:ind w:firstLine="420" w:firstLineChars="200"/>
        <w:jc w:val="left"/>
        <w:rPr>
          <w:rFonts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①建筑装饰工程技术配置及交付标准（及以上标准）</w:t>
      </w:r>
    </w:p>
    <w:tbl>
      <w:tblPr>
        <w:tblStyle w:val="5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3"/>
        <w:gridCol w:w="1644"/>
        <w:gridCol w:w="2843"/>
        <w:gridCol w:w="3707"/>
      </w:tblGrid>
      <w:tr w14:paraId="4EE90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2737" w:type="dxa"/>
            <w:gridSpan w:val="2"/>
            <w:noWrap w:val="0"/>
            <w:vAlign w:val="center"/>
          </w:tcPr>
          <w:p w14:paraId="28FB393E">
            <w:pPr>
              <w:spacing w:line="312" w:lineRule="auto"/>
              <w:jc w:val="center"/>
              <w:rPr>
                <w:rFonts w:ascii="宋体" w:hAnsi="宋体" w:eastAsia="宋体" w:cs="宋体"/>
                <w:b/>
                <w:bCs w:val="0"/>
                <w:color w:val="auto"/>
                <w:kern w:val="0"/>
                <w:szCs w:val="21"/>
                <w:highlight w:val="none"/>
              </w:rPr>
            </w:pPr>
            <w:r>
              <w:rPr>
                <w:rFonts w:hint="eastAsia" w:ascii="宋体" w:hAnsi="宋体" w:eastAsia="宋体" w:cs="宋体"/>
                <w:b/>
                <w:bCs w:val="0"/>
                <w:color w:val="auto"/>
                <w:kern w:val="0"/>
                <w:szCs w:val="21"/>
                <w:highlight w:val="none"/>
              </w:rPr>
              <w:t>专业名称</w:t>
            </w:r>
          </w:p>
        </w:tc>
        <w:tc>
          <w:tcPr>
            <w:tcW w:w="6550" w:type="dxa"/>
            <w:gridSpan w:val="2"/>
            <w:noWrap w:val="0"/>
            <w:vAlign w:val="center"/>
          </w:tcPr>
          <w:p w14:paraId="24DAE29B">
            <w:pPr>
              <w:spacing w:line="312" w:lineRule="auto"/>
              <w:jc w:val="center"/>
              <w:rPr>
                <w:rFonts w:ascii="宋体" w:hAnsi="宋体" w:eastAsia="宋体" w:cs="宋体"/>
                <w:b/>
                <w:bCs w:val="0"/>
                <w:color w:val="auto"/>
                <w:kern w:val="0"/>
                <w:szCs w:val="21"/>
                <w:highlight w:val="none"/>
              </w:rPr>
            </w:pPr>
            <w:r>
              <w:rPr>
                <w:rFonts w:hint="eastAsia" w:ascii="宋体" w:hAnsi="宋体" w:eastAsia="宋体" w:cs="宋体"/>
                <w:b/>
                <w:bCs w:val="0"/>
                <w:color w:val="auto"/>
                <w:kern w:val="0"/>
                <w:szCs w:val="21"/>
                <w:highlight w:val="none"/>
              </w:rPr>
              <w:t>建筑装饰工程</w:t>
            </w:r>
          </w:p>
        </w:tc>
      </w:tr>
      <w:tr w14:paraId="6C319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trPr>
        <w:tc>
          <w:tcPr>
            <w:tcW w:w="1093" w:type="dxa"/>
            <w:noWrap w:val="0"/>
            <w:vAlign w:val="center"/>
          </w:tcPr>
          <w:p w14:paraId="701B8EBD">
            <w:pPr>
              <w:widowControl/>
              <w:jc w:val="center"/>
              <w:rPr>
                <w:rFonts w:ascii="宋体" w:hAnsi="宋体" w:eastAsia="宋体" w:cs="宋体"/>
                <w:bCs/>
                <w:color w:val="auto"/>
                <w:kern w:val="0"/>
                <w:szCs w:val="21"/>
                <w:highlight w:val="none"/>
              </w:rPr>
            </w:pPr>
            <w:r>
              <w:rPr>
                <w:rFonts w:hint="eastAsia" w:ascii="宋体" w:hAnsi="宋体" w:eastAsia="宋体" w:cs="宋体"/>
                <w:b/>
                <w:bCs/>
                <w:color w:val="auto"/>
                <w:kern w:val="0"/>
                <w:szCs w:val="21"/>
                <w:highlight w:val="none"/>
                <w:lang w:bidi="ar"/>
              </w:rPr>
              <w:t>编号</w:t>
            </w:r>
          </w:p>
        </w:tc>
        <w:tc>
          <w:tcPr>
            <w:tcW w:w="1644" w:type="dxa"/>
            <w:noWrap w:val="0"/>
            <w:vAlign w:val="center"/>
          </w:tcPr>
          <w:p w14:paraId="6CF46903">
            <w:pPr>
              <w:widowControl/>
              <w:jc w:val="center"/>
              <w:rPr>
                <w:rFonts w:ascii="宋体" w:hAnsi="宋体" w:eastAsia="宋体" w:cs="宋体"/>
                <w:bCs/>
                <w:color w:val="auto"/>
                <w:kern w:val="0"/>
                <w:szCs w:val="21"/>
                <w:highlight w:val="none"/>
              </w:rPr>
            </w:pPr>
            <w:r>
              <w:rPr>
                <w:rFonts w:hint="eastAsia" w:ascii="宋体" w:hAnsi="宋体" w:eastAsia="宋体" w:cs="宋体"/>
                <w:b/>
                <w:bCs/>
                <w:color w:val="auto"/>
                <w:kern w:val="0"/>
                <w:szCs w:val="21"/>
                <w:highlight w:val="none"/>
                <w:lang w:bidi="ar"/>
              </w:rPr>
              <w:t>部位</w:t>
            </w:r>
          </w:p>
        </w:tc>
        <w:tc>
          <w:tcPr>
            <w:tcW w:w="2843" w:type="dxa"/>
            <w:noWrap w:val="0"/>
            <w:vAlign w:val="center"/>
          </w:tcPr>
          <w:p w14:paraId="281E6C7C">
            <w:pPr>
              <w:widowControl/>
              <w:jc w:val="center"/>
              <w:rPr>
                <w:rFonts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lang w:bidi="ar"/>
              </w:rPr>
              <w:t>技术配置及交付标准描述</w:t>
            </w:r>
          </w:p>
          <w:p w14:paraId="69F282B5">
            <w:pPr>
              <w:widowControl/>
              <w:jc w:val="center"/>
              <w:rPr>
                <w:rFonts w:ascii="宋体" w:hAnsi="宋体" w:eastAsia="宋体" w:cs="宋体"/>
                <w:bCs/>
                <w:color w:val="auto"/>
                <w:kern w:val="0"/>
                <w:szCs w:val="21"/>
                <w:highlight w:val="none"/>
              </w:rPr>
            </w:pPr>
          </w:p>
        </w:tc>
        <w:tc>
          <w:tcPr>
            <w:tcW w:w="3707" w:type="dxa"/>
            <w:noWrap w:val="0"/>
            <w:vAlign w:val="center"/>
          </w:tcPr>
          <w:p w14:paraId="3AD435B9">
            <w:pPr>
              <w:widowControl/>
              <w:jc w:val="center"/>
              <w:rPr>
                <w:rFonts w:hint="eastAsia" w:ascii="宋体" w:hAnsi="宋体" w:eastAsia="宋体" w:cs="宋体"/>
                <w:bCs/>
                <w:color w:val="auto"/>
                <w:kern w:val="0"/>
                <w:szCs w:val="21"/>
                <w:highlight w:val="none"/>
                <w:lang w:eastAsia="zh-CN"/>
              </w:rPr>
            </w:pPr>
            <w:r>
              <w:rPr>
                <w:rFonts w:hint="eastAsia" w:ascii="宋体" w:hAnsi="宋体" w:eastAsia="宋体" w:cs="宋体"/>
                <w:b/>
                <w:bCs/>
                <w:color w:val="auto"/>
                <w:kern w:val="0"/>
                <w:szCs w:val="21"/>
                <w:highlight w:val="none"/>
                <w:lang w:bidi="ar"/>
              </w:rPr>
              <w:t>材料设备</w:t>
            </w:r>
            <w:r>
              <w:rPr>
                <w:rFonts w:hint="eastAsia" w:ascii="宋体" w:hAnsi="宋体" w:cs="宋体"/>
                <w:b/>
                <w:bCs/>
                <w:color w:val="auto"/>
                <w:kern w:val="0"/>
                <w:szCs w:val="21"/>
                <w:highlight w:val="none"/>
                <w:lang w:val="en-US" w:eastAsia="zh-CN" w:bidi="ar"/>
              </w:rPr>
              <w:t>要求</w:t>
            </w:r>
          </w:p>
        </w:tc>
      </w:tr>
      <w:tr w14:paraId="446A7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1093" w:type="dxa"/>
            <w:noWrap w:val="0"/>
            <w:vAlign w:val="center"/>
          </w:tcPr>
          <w:p w14:paraId="445A253C">
            <w:pPr>
              <w:widowControl/>
              <w:jc w:val="center"/>
              <w:rPr>
                <w:rFonts w:ascii="宋体" w:hAnsi="宋体" w:eastAsia="宋体" w:cs="宋体"/>
                <w:bCs/>
                <w:color w:val="auto"/>
                <w:kern w:val="0"/>
                <w:szCs w:val="21"/>
                <w:highlight w:val="none"/>
              </w:rPr>
            </w:pPr>
            <w:r>
              <w:rPr>
                <w:rFonts w:hint="eastAsia" w:ascii="宋体" w:hAnsi="宋体" w:eastAsia="宋体" w:cs="宋体"/>
                <w:color w:val="auto"/>
                <w:kern w:val="0"/>
                <w:szCs w:val="21"/>
                <w:highlight w:val="none"/>
                <w:lang w:bidi="ar"/>
              </w:rPr>
              <w:t>1</w:t>
            </w:r>
          </w:p>
        </w:tc>
        <w:tc>
          <w:tcPr>
            <w:tcW w:w="1644" w:type="dxa"/>
            <w:noWrap w:val="0"/>
            <w:vAlign w:val="center"/>
          </w:tcPr>
          <w:p w14:paraId="492D8CC5">
            <w:pPr>
              <w:widowControl/>
              <w:jc w:val="center"/>
              <w:rPr>
                <w:rFonts w:ascii="宋体" w:hAnsi="宋体" w:eastAsia="宋体" w:cs="宋体"/>
                <w:bCs/>
                <w:color w:val="auto"/>
                <w:kern w:val="0"/>
                <w:szCs w:val="21"/>
                <w:highlight w:val="none"/>
              </w:rPr>
            </w:pPr>
            <w:r>
              <w:rPr>
                <w:rFonts w:hint="eastAsia" w:ascii="宋体" w:hAnsi="宋体" w:eastAsia="宋体" w:cs="宋体"/>
                <w:color w:val="auto"/>
                <w:kern w:val="0"/>
                <w:szCs w:val="21"/>
                <w:highlight w:val="none"/>
                <w:lang w:bidi="ar"/>
              </w:rPr>
              <w:t>跑道</w:t>
            </w:r>
          </w:p>
        </w:tc>
        <w:tc>
          <w:tcPr>
            <w:tcW w:w="2843" w:type="dxa"/>
            <w:noWrap w:val="0"/>
            <w:vAlign w:val="center"/>
          </w:tcPr>
          <w:p w14:paraId="4473B24E">
            <w:pPr>
              <w:widowControl/>
              <w:rPr>
                <w:rFonts w:ascii="宋体" w:hAnsi="宋体" w:eastAsia="宋体" w:cs="宋体"/>
                <w:bCs/>
                <w:color w:val="auto"/>
                <w:kern w:val="0"/>
                <w:szCs w:val="21"/>
                <w:highlight w:val="none"/>
              </w:rPr>
            </w:pPr>
            <w:r>
              <w:rPr>
                <w:rFonts w:hint="eastAsia" w:ascii="宋体" w:hAnsi="宋体" w:eastAsia="宋体" w:cs="宋体"/>
                <w:color w:val="auto"/>
                <w:kern w:val="0"/>
                <w:szCs w:val="21"/>
                <w:highlight w:val="none"/>
                <w:lang w:bidi="ar"/>
              </w:rPr>
              <w:t>≥13mm厚耐磨混合型塑胶面层（红色）</w:t>
            </w:r>
          </w:p>
        </w:tc>
        <w:tc>
          <w:tcPr>
            <w:tcW w:w="3707" w:type="dxa"/>
            <w:noWrap w:val="0"/>
            <w:vAlign w:val="center"/>
          </w:tcPr>
          <w:p w14:paraId="45A3219A">
            <w:pPr>
              <w:widowControl/>
              <w:jc w:val="center"/>
              <w:rPr>
                <w:rFonts w:ascii="宋体" w:hAnsi="宋体" w:eastAsia="宋体" w:cs="宋体"/>
                <w:bCs/>
                <w:color w:val="auto"/>
                <w:kern w:val="0"/>
                <w:szCs w:val="21"/>
                <w:highlight w:val="none"/>
              </w:rPr>
            </w:pPr>
            <w:r>
              <w:rPr>
                <w:rFonts w:hint="eastAsia" w:ascii="宋体" w:hAnsi="宋体" w:eastAsia="宋体" w:cs="宋体"/>
                <w:color w:val="auto"/>
                <w:kern w:val="0"/>
                <w:szCs w:val="21"/>
                <w:highlight w:val="none"/>
                <w:lang w:bidi="ar"/>
              </w:rPr>
              <w:t>满足有关国标规范标准产品，品质要求不低于中档</w:t>
            </w:r>
          </w:p>
        </w:tc>
      </w:tr>
      <w:tr w14:paraId="7720A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trPr>
        <w:tc>
          <w:tcPr>
            <w:tcW w:w="1093" w:type="dxa"/>
            <w:noWrap w:val="0"/>
            <w:vAlign w:val="center"/>
          </w:tcPr>
          <w:p w14:paraId="62870721">
            <w:pPr>
              <w:widowControl/>
              <w:jc w:val="center"/>
              <w:rPr>
                <w:rFonts w:ascii="宋体" w:hAnsi="宋体" w:eastAsia="宋体" w:cs="宋体"/>
                <w:bCs/>
                <w:color w:val="auto"/>
                <w:kern w:val="0"/>
                <w:szCs w:val="21"/>
                <w:highlight w:val="none"/>
              </w:rPr>
            </w:pPr>
            <w:r>
              <w:rPr>
                <w:rFonts w:hint="eastAsia" w:ascii="宋体" w:hAnsi="宋体" w:eastAsia="宋体" w:cs="宋体"/>
                <w:color w:val="auto"/>
                <w:kern w:val="0"/>
                <w:szCs w:val="21"/>
                <w:highlight w:val="none"/>
                <w:lang w:bidi="ar"/>
              </w:rPr>
              <w:t>2</w:t>
            </w:r>
          </w:p>
        </w:tc>
        <w:tc>
          <w:tcPr>
            <w:tcW w:w="1644" w:type="dxa"/>
            <w:noWrap w:val="0"/>
            <w:vAlign w:val="center"/>
          </w:tcPr>
          <w:p w14:paraId="1A7D7BF9">
            <w:pPr>
              <w:widowControl/>
              <w:jc w:val="center"/>
              <w:rPr>
                <w:rFonts w:ascii="宋体" w:hAnsi="宋体" w:eastAsia="宋体" w:cs="宋体"/>
                <w:bCs/>
                <w:color w:val="auto"/>
                <w:kern w:val="0"/>
                <w:szCs w:val="21"/>
                <w:highlight w:val="none"/>
              </w:rPr>
            </w:pPr>
            <w:r>
              <w:rPr>
                <w:rFonts w:hint="eastAsia" w:ascii="宋体" w:hAnsi="宋体" w:eastAsia="宋体" w:cs="宋体"/>
                <w:color w:val="auto"/>
                <w:kern w:val="0"/>
                <w:szCs w:val="21"/>
                <w:highlight w:val="none"/>
                <w:lang w:bidi="ar"/>
              </w:rPr>
              <w:t>跳远及跳高</w:t>
            </w:r>
          </w:p>
        </w:tc>
        <w:tc>
          <w:tcPr>
            <w:tcW w:w="2843" w:type="dxa"/>
            <w:noWrap w:val="0"/>
            <w:vAlign w:val="center"/>
          </w:tcPr>
          <w:p w14:paraId="229C1A90">
            <w:pPr>
              <w:widowControl/>
              <w:rPr>
                <w:rFonts w:ascii="宋体" w:hAnsi="宋体" w:eastAsia="宋体" w:cs="宋体"/>
                <w:bCs/>
                <w:color w:val="auto"/>
                <w:kern w:val="0"/>
                <w:szCs w:val="21"/>
                <w:highlight w:val="none"/>
              </w:rPr>
            </w:pPr>
            <w:r>
              <w:rPr>
                <w:rFonts w:hint="eastAsia" w:ascii="宋体" w:hAnsi="宋体" w:eastAsia="宋体" w:cs="宋体"/>
                <w:color w:val="auto"/>
                <w:kern w:val="0"/>
                <w:szCs w:val="21"/>
                <w:highlight w:val="none"/>
                <w:lang w:bidi="ar"/>
              </w:rPr>
              <w:t>≥20mm厚混合型塑胶</w:t>
            </w:r>
          </w:p>
        </w:tc>
        <w:tc>
          <w:tcPr>
            <w:tcW w:w="3707" w:type="dxa"/>
            <w:noWrap w:val="0"/>
            <w:vAlign w:val="center"/>
          </w:tcPr>
          <w:p w14:paraId="06390A7E">
            <w:pPr>
              <w:widowControl/>
              <w:jc w:val="center"/>
              <w:rPr>
                <w:rFonts w:ascii="宋体" w:hAnsi="宋体" w:eastAsia="宋体" w:cs="宋体"/>
                <w:bCs/>
                <w:color w:val="auto"/>
                <w:kern w:val="0"/>
                <w:szCs w:val="21"/>
                <w:highlight w:val="none"/>
              </w:rPr>
            </w:pPr>
            <w:r>
              <w:rPr>
                <w:rFonts w:hint="eastAsia" w:ascii="宋体" w:hAnsi="宋体" w:eastAsia="宋体" w:cs="宋体"/>
                <w:color w:val="auto"/>
                <w:kern w:val="0"/>
                <w:szCs w:val="21"/>
                <w:highlight w:val="none"/>
                <w:lang w:bidi="ar"/>
              </w:rPr>
              <w:t>满足有关国标规范标准产品，品质要求不低于中档</w:t>
            </w:r>
          </w:p>
        </w:tc>
      </w:tr>
    </w:tbl>
    <w:p w14:paraId="0E19140F">
      <w:pPr>
        <w:spacing w:line="312" w:lineRule="auto"/>
        <w:ind w:firstLine="420" w:firstLineChars="200"/>
        <w:jc w:val="left"/>
        <w:rPr>
          <w:rFonts w:ascii="宋体" w:hAnsi="宋体" w:eastAsia="宋体" w:cs="宋体"/>
          <w:bCs/>
          <w:color w:val="auto"/>
          <w:kern w:val="0"/>
          <w:szCs w:val="21"/>
          <w:highlight w:val="none"/>
        </w:rPr>
      </w:pPr>
    </w:p>
    <w:p w14:paraId="4FA6B7DF">
      <w:pPr>
        <w:spacing w:line="312" w:lineRule="auto"/>
        <w:ind w:firstLine="420" w:firstLineChars="200"/>
        <w:jc w:val="left"/>
        <w:rPr>
          <w:rFonts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②电气设备安装工程技术配置及交付标准（及以上标准）</w:t>
      </w:r>
    </w:p>
    <w:tbl>
      <w:tblPr>
        <w:tblStyle w:val="5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9"/>
        <w:gridCol w:w="1688"/>
        <w:gridCol w:w="4131"/>
        <w:gridCol w:w="2459"/>
      </w:tblGrid>
      <w:tr w14:paraId="30B1C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2" w:hRule="atLeast"/>
        </w:trPr>
        <w:tc>
          <w:tcPr>
            <w:tcW w:w="2697" w:type="dxa"/>
            <w:gridSpan w:val="2"/>
            <w:noWrap w:val="0"/>
            <w:vAlign w:val="center"/>
          </w:tcPr>
          <w:p w14:paraId="3C69C64B">
            <w:pPr>
              <w:widowControl/>
              <w:jc w:val="center"/>
              <w:rPr>
                <w:rFonts w:ascii="宋体" w:hAnsi="宋体" w:eastAsia="宋体" w:cs="宋体"/>
                <w:bCs/>
                <w:color w:val="auto"/>
                <w:kern w:val="0"/>
                <w:szCs w:val="21"/>
                <w:highlight w:val="none"/>
              </w:rPr>
            </w:pPr>
            <w:r>
              <w:rPr>
                <w:rFonts w:hint="eastAsia" w:ascii="宋体" w:hAnsi="宋体" w:eastAsia="宋体" w:cs="宋体"/>
                <w:b/>
                <w:bCs/>
                <w:color w:val="auto"/>
                <w:kern w:val="0"/>
                <w:szCs w:val="21"/>
                <w:highlight w:val="none"/>
                <w:lang w:bidi="ar"/>
              </w:rPr>
              <w:t>专业名称</w:t>
            </w:r>
          </w:p>
        </w:tc>
        <w:tc>
          <w:tcPr>
            <w:tcW w:w="6590" w:type="dxa"/>
            <w:gridSpan w:val="2"/>
            <w:noWrap w:val="0"/>
            <w:vAlign w:val="center"/>
          </w:tcPr>
          <w:p w14:paraId="4E232686">
            <w:pPr>
              <w:widowControl/>
              <w:jc w:val="center"/>
              <w:rPr>
                <w:rFonts w:ascii="宋体" w:hAnsi="宋体" w:eastAsia="宋体" w:cs="宋体"/>
                <w:bCs/>
                <w:color w:val="auto"/>
                <w:kern w:val="0"/>
                <w:szCs w:val="21"/>
                <w:highlight w:val="none"/>
              </w:rPr>
            </w:pPr>
            <w:r>
              <w:rPr>
                <w:rFonts w:hint="eastAsia" w:ascii="宋体" w:hAnsi="宋体" w:eastAsia="宋体" w:cs="宋体"/>
                <w:b/>
                <w:bCs/>
                <w:color w:val="auto"/>
                <w:kern w:val="0"/>
                <w:szCs w:val="21"/>
                <w:highlight w:val="none"/>
                <w:lang w:bidi="ar"/>
              </w:rPr>
              <w:t>电气设备安装工程</w:t>
            </w:r>
          </w:p>
        </w:tc>
      </w:tr>
      <w:tr w14:paraId="3D1D5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trPr>
        <w:tc>
          <w:tcPr>
            <w:tcW w:w="1009" w:type="dxa"/>
            <w:noWrap w:val="0"/>
            <w:vAlign w:val="center"/>
          </w:tcPr>
          <w:p w14:paraId="46084FDC">
            <w:pPr>
              <w:widowControl/>
              <w:jc w:val="center"/>
              <w:rPr>
                <w:rFonts w:ascii="宋体" w:hAnsi="宋体" w:eastAsia="宋体" w:cs="宋体"/>
                <w:bCs/>
                <w:color w:val="auto"/>
                <w:kern w:val="0"/>
                <w:szCs w:val="21"/>
                <w:highlight w:val="none"/>
              </w:rPr>
            </w:pPr>
            <w:r>
              <w:rPr>
                <w:rFonts w:hint="eastAsia" w:ascii="宋体" w:hAnsi="宋体" w:eastAsia="宋体" w:cs="宋体"/>
                <w:b/>
                <w:bCs/>
                <w:color w:val="auto"/>
                <w:kern w:val="0"/>
                <w:szCs w:val="21"/>
                <w:highlight w:val="none"/>
                <w:lang w:bidi="ar"/>
              </w:rPr>
              <w:t>编号</w:t>
            </w:r>
          </w:p>
        </w:tc>
        <w:tc>
          <w:tcPr>
            <w:tcW w:w="1688" w:type="dxa"/>
            <w:noWrap w:val="0"/>
            <w:vAlign w:val="center"/>
          </w:tcPr>
          <w:p w14:paraId="654B4E27">
            <w:pPr>
              <w:widowControl/>
              <w:jc w:val="center"/>
              <w:rPr>
                <w:rFonts w:ascii="宋体" w:hAnsi="宋体" w:eastAsia="宋体" w:cs="宋体"/>
                <w:bCs/>
                <w:color w:val="auto"/>
                <w:kern w:val="0"/>
                <w:szCs w:val="21"/>
                <w:highlight w:val="none"/>
              </w:rPr>
            </w:pPr>
            <w:r>
              <w:rPr>
                <w:rFonts w:hint="eastAsia" w:ascii="宋体" w:hAnsi="宋体" w:eastAsia="宋体" w:cs="宋体"/>
                <w:b/>
                <w:bCs/>
                <w:color w:val="auto"/>
                <w:kern w:val="0"/>
                <w:szCs w:val="21"/>
                <w:highlight w:val="none"/>
                <w:lang w:bidi="ar"/>
              </w:rPr>
              <w:t>部位</w:t>
            </w:r>
          </w:p>
        </w:tc>
        <w:tc>
          <w:tcPr>
            <w:tcW w:w="4131" w:type="dxa"/>
            <w:noWrap w:val="0"/>
            <w:vAlign w:val="center"/>
          </w:tcPr>
          <w:p w14:paraId="3197784E">
            <w:pPr>
              <w:widowControl/>
              <w:jc w:val="center"/>
              <w:rPr>
                <w:rFonts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lang w:bidi="ar"/>
              </w:rPr>
              <w:t>技术配置及交付标准描述</w:t>
            </w:r>
          </w:p>
          <w:p w14:paraId="5CAAEA12">
            <w:pPr>
              <w:widowControl/>
              <w:jc w:val="center"/>
              <w:rPr>
                <w:rFonts w:ascii="宋体" w:hAnsi="宋体" w:eastAsia="宋体" w:cs="宋体"/>
                <w:bCs/>
                <w:color w:val="auto"/>
                <w:kern w:val="0"/>
                <w:szCs w:val="21"/>
                <w:highlight w:val="none"/>
              </w:rPr>
            </w:pPr>
          </w:p>
        </w:tc>
        <w:tc>
          <w:tcPr>
            <w:tcW w:w="2459" w:type="dxa"/>
            <w:noWrap w:val="0"/>
            <w:vAlign w:val="center"/>
          </w:tcPr>
          <w:p w14:paraId="4D859089">
            <w:pPr>
              <w:widowControl/>
              <w:jc w:val="center"/>
              <w:rPr>
                <w:rFonts w:ascii="宋体" w:hAnsi="宋体" w:eastAsia="宋体" w:cs="宋体"/>
                <w:bCs/>
                <w:color w:val="auto"/>
                <w:kern w:val="0"/>
                <w:szCs w:val="21"/>
                <w:highlight w:val="none"/>
              </w:rPr>
            </w:pPr>
            <w:r>
              <w:rPr>
                <w:rFonts w:hint="eastAsia" w:ascii="宋体" w:hAnsi="宋体" w:eastAsia="宋体" w:cs="宋体"/>
                <w:b/>
                <w:bCs/>
                <w:color w:val="auto"/>
                <w:kern w:val="0"/>
                <w:szCs w:val="21"/>
                <w:highlight w:val="none"/>
                <w:lang w:bidi="ar"/>
              </w:rPr>
              <w:t>材料设备</w:t>
            </w:r>
            <w:r>
              <w:rPr>
                <w:rFonts w:hint="eastAsia" w:ascii="宋体" w:hAnsi="宋体" w:cs="宋体"/>
                <w:b/>
                <w:bCs/>
                <w:color w:val="auto"/>
                <w:kern w:val="0"/>
                <w:szCs w:val="21"/>
                <w:highlight w:val="none"/>
                <w:lang w:val="en-US" w:eastAsia="zh-CN" w:bidi="ar"/>
              </w:rPr>
              <w:t>要求</w:t>
            </w:r>
          </w:p>
        </w:tc>
      </w:tr>
      <w:tr w14:paraId="1EDCE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1009" w:type="dxa"/>
            <w:noWrap w:val="0"/>
            <w:vAlign w:val="center"/>
          </w:tcPr>
          <w:p w14:paraId="1A11787E">
            <w:pPr>
              <w:widowControl/>
              <w:jc w:val="center"/>
              <w:rPr>
                <w:rFonts w:ascii="宋体" w:hAnsi="宋体" w:eastAsia="宋体" w:cs="宋体"/>
                <w:bCs/>
                <w:color w:val="auto"/>
                <w:kern w:val="0"/>
                <w:szCs w:val="21"/>
                <w:highlight w:val="none"/>
              </w:rPr>
            </w:pPr>
            <w:r>
              <w:rPr>
                <w:rFonts w:hint="eastAsia" w:ascii="宋体" w:hAnsi="宋体" w:eastAsia="宋体" w:cs="宋体"/>
                <w:color w:val="auto"/>
                <w:kern w:val="0"/>
                <w:szCs w:val="21"/>
                <w:highlight w:val="none"/>
                <w:lang w:bidi="ar"/>
              </w:rPr>
              <w:t>1</w:t>
            </w:r>
          </w:p>
        </w:tc>
        <w:tc>
          <w:tcPr>
            <w:tcW w:w="1688" w:type="dxa"/>
            <w:noWrap w:val="0"/>
            <w:vAlign w:val="center"/>
          </w:tcPr>
          <w:p w14:paraId="3C94AA43">
            <w:pPr>
              <w:widowControl/>
              <w:jc w:val="center"/>
              <w:rPr>
                <w:rFonts w:ascii="宋体" w:hAnsi="宋体" w:eastAsia="宋体" w:cs="宋体"/>
                <w:bCs/>
                <w:color w:val="auto"/>
                <w:kern w:val="0"/>
                <w:szCs w:val="21"/>
                <w:highlight w:val="none"/>
              </w:rPr>
            </w:pPr>
            <w:r>
              <w:rPr>
                <w:rFonts w:hint="eastAsia" w:ascii="宋体" w:hAnsi="宋体" w:eastAsia="宋体" w:cs="宋体"/>
                <w:color w:val="auto"/>
                <w:kern w:val="0"/>
                <w:szCs w:val="21"/>
                <w:highlight w:val="none"/>
                <w:lang w:bidi="ar"/>
              </w:rPr>
              <w:t>内墙距地1.5米明装</w:t>
            </w:r>
          </w:p>
        </w:tc>
        <w:tc>
          <w:tcPr>
            <w:tcW w:w="4131" w:type="dxa"/>
            <w:noWrap w:val="0"/>
            <w:vAlign w:val="center"/>
          </w:tcPr>
          <w:p w14:paraId="338BA51D">
            <w:pPr>
              <w:widowControl/>
              <w:rPr>
                <w:rFonts w:ascii="宋体" w:hAnsi="宋体" w:eastAsia="宋体" w:cs="宋体"/>
                <w:bCs/>
                <w:color w:val="auto"/>
                <w:kern w:val="0"/>
                <w:szCs w:val="21"/>
                <w:highlight w:val="none"/>
              </w:rPr>
            </w:pPr>
            <w:r>
              <w:rPr>
                <w:rFonts w:hint="eastAsia" w:ascii="宋体" w:hAnsi="宋体" w:eastAsia="宋体" w:cs="宋体"/>
                <w:color w:val="auto"/>
                <w:kern w:val="0"/>
                <w:szCs w:val="21"/>
                <w:highlight w:val="none"/>
                <w:lang w:bidi="ar"/>
              </w:rPr>
              <w:t>非标金属箱体配电箱</w:t>
            </w:r>
          </w:p>
        </w:tc>
        <w:tc>
          <w:tcPr>
            <w:tcW w:w="2459" w:type="dxa"/>
            <w:noWrap w:val="0"/>
            <w:vAlign w:val="center"/>
          </w:tcPr>
          <w:p w14:paraId="0528914C">
            <w:pPr>
              <w:widowControl/>
              <w:jc w:val="center"/>
              <w:rPr>
                <w:rFonts w:ascii="宋体" w:hAnsi="宋体" w:eastAsia="宋体" w:cs="宋体"/>
                <w:bCs/>
                <w:color w:val="auto"/>
                <w:kern w:val="0"/>
                <w:szCs w:val="21"/>
                <w:highlight w:val="none"/>
              </w:rPr>
            </w:pPr>
            <w:r>
              <w:rPr>
                <w:rFonts w:hint="eastAsia" w:ascii="宋体" w:hAnsi="宋体" w:eastAsia="宋体" w:cs="宋体"/>
                <w:color w:val="auto"/>
                <w:kern w:val="0"/>
                <w:szCs w:val="21"/>
                <w:highlight w:val="none"/>
                <w:lang w:bidi="ar"/>
              </w:rPr>
              <w:t>满足有关规范标准产品</w:t>
            </w:r>
          </w:p>
        </w:tc>
      </w:tr>
      <w:tr w14:paraId="1E2D1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1009" w:type="dxa"/>
            <w:noWrap w:val="0"/>
            <w:vAlign w:val="center"/>
          </w:tcPr>
          <w:p w14:paraId="23A8B4F3">
            <w:pPr>
              <w:widowControl/>
              <w:jc w:val="center"/>
              <w:rPr>
                <w:rFonts w:ascii="宋体" w:hAnsi="宋体" w:eastAsia="宋体" w:cs="宋体"/>
                <w:bCs/>
                <w:color w:val="auto"/>
                <w:kern w:val="0"/>
                <w:szCs w:val="21"/>
                <w:highlight w:val="none"/>
              </w:rPr>
            </w:pPr>
            <w:r>
              <w:rPr>
                <w:rFonts w:hint="eastAsia" w:ascii="宋体" w:hAnsi="宋体" w:eastAsia="宋体" w:cs="宋体"/>
                <w:color w:val="auto"/>
                <w:kern w:val="0"/>
                <w:szCs w:val="21"/>
                <w:highlight w:val="none"/>
                <w:lang w:bidi="ar"/>
              </w:rPr>
              <w:t>2</w:t>
            </w:r>
          </w:p>
        </w:tc>
        <w:tc>
          <w:tcPr>
            <w:tcW w:w="1688" w:type="dxa"/>
            <w:noWrap w:val="0"/>
            <w:vAlign w:val="center"/>
          </w:tcPr>
          <w:p w14:paraId="5DC9229F">
            <w:pPr>
              <w:widowControl/>
              <w:jc w:val="center"/>
              <w:rPr>
                <w:rFonts w:ascii="宋体" w:hAnsi="宋体" w:eastAsia="宋体" w:cs="宋体"/>
                <w:bCs/>
                <w:color w:val="auto"/>
                <w:kern w:val="0"/>
                <w:szCs w:val="21"/>
                <w:highlight w:val="none"/>
              </w:rPr>
            </w:pPr>
            <w:r>
              <w:rPr>
                <w:rFonts w:hint="eastAsia" w:ascii="宋体" w:hAnsi="宋体" w:eastAsia="宋体" w:cs="宋体"/>
                <w:color w:val="auto"/>
                <w:kern w:val="0"/>
                <w:szCs w:val="21"/>
                <w:highlight w:val="none"/>
                <w:lang w:bidi="ar"/>
              </w:rPr>
              <w:t>LED灯具</w:t>
            </w:r>
          </w:p>
        </w:tc>
        <w:tc>
          <w:tcPr>
            <w:tcW w:w="4131" w:type="dxa"/>
            <w:noWrap w:val="0"/>
            <w:vAlign w:val="center"/>
          </w:tcPr>
          <w:p w14:paraId="5D3B34BA">
            <w:pPr>
              <w:widowControl/>
              <w:rPr>
                <w:rFonts w:ascii="宋体" w:hAnsi="宋体" w:eastAsia="宋体" w:cs="宋体"/>
                <w:bCs/>
                <w:color w:val="auto"/>
                <w:kern w:val="0"/>
                <w:szCs w:val="21"/>
                <w:highlight w:val="none"/>
              </w:rPr>
            </w:pPr>
            <w:r>
              <w:rPr>
                <w:rFonts w:hint="eastAsia" w:ascii="宋体" w:hAnsi="宋体" w:eastAsia="宋体" w:cs="宋体"/>
                <w:color w:val="auto"/>
                <w:kern w:val="0"/>
                <w:szCs w:val="21"/>
                <w:highlight w:val="none"/>
                <w:lang w:bidi="ar"/>
              </w:rPr>
              <w:t>3*600W LED球场灯（照明距离：≥140米）</w:t>
            </w:r>
          </w:p>
        </w:tc>
        <w:tc>
          <w:tcPr>
            <w:tcW w:w="2459" w:type="dxa"/>
            <w:noWrap w:val="0"/>
            <w:vAlign w:val="center"/>
          </w:tcPr>
          <w:p w14:paraId="047E3C8B">
            <w:pPr>
              <w:widowControl/>
              <w:jc w:val="center"/>
              <w:rPr>
                <w:rFonts w:ascii="宋体" w:hAnsi="宋体" w:eastAsia="宋体" w:cs="宋体"/>
                <w:bCs/>
                <w:color w:val="auto"/>
                <w:kern w:val="0"/>
                <w:szCs w:val="21"/>
                <w:highlight w:val="none"/>
              </w:rPr>
            </w:pPr>
            <w:r>
              <w:rPr>
                <w:rFonts w:hint="eastAsia" w:ascii="宋体" w:hAnsi="宋体" w:eastAsia="宋体" w:cs="宋体"/>
                <w:color w:val="auto"/>
                <w:kern w:val="0"/>
                <w:szCs w:val="21"/>
                <w:highlight w:val="none"/>
                <w:lang w:bidi="ar"/>
              </w:rPr>
              <w:t>满足有关规范标准产品</w:t>
            </w:r>
          </w:p>
        </w:tc>
      </w:tr>
      <w:tr w14:paraId="2D586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9" w:type="dxa"/>
            <w:noWrap w:val="0"/>
            <w:vAlign w:val="center"/>
          </w:tcPr>
          <w:p w14:paraId="10F1BA7E">
            <w:pPr>
              <w:widowControl/>
              <w:jc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3</w:t>
            </w:r>
          </w:p>
        </w:tc>
        <w:tc>
          <w:tcPr>
            <w:tcW w:w="1688" w:type="dxa"/>
            <w:noWrap w:val="0"/>
            <w:vAlign w:val="center"/>
          </w:tcPr>
          <w:p w14:paraId="39F6A6D3">
            <w:pPr>
              <w:widowControl/>
              <w:jc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电力电缆</w:t>
            </w:r>
          </w:p>
        </w:tc>
        <w:tc>
          <w:tcPr>
            <w:tcW w:w="4131" w:type="dxa"/>
            <w:noWrap w:val="0"/>
            <w:vAlign w:val="center"/>
          </w:tcPr>
          <w:p w14:paraId="7CDAB7C2">
            <w:pPr>
              <w:widowControl/>
              <w:jc w:val="left"/>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铜芯塑料绝缘导线 BV-0.45/0.75kV-2.5/10.0mm2</w:t>
            </w:r>
          </w:p>
        </w:tc>
        <w:tc>
          <w:tcPr>
            <w:tcW w:w="2459" w:type="dxa"/>
            <w:noWrap w:val="0"/>
            <w:vAlign w:val="center"/>
          </w:tcPr>
          <w:p w14:paraId="2E2A384D">
            <w:pPr>
              <w:widowControl/>
              <w:jc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满足有关规范标准产品</w:t>
            </w:r>
          </w:p>
        </w:tc>
      </w:tr>
    </w:tbl>
    <w:p w14:paraId="1EF1FF53">
      <w:pPr>
        <w:spacing w:line="312" w:lineRule="auto"/>
        <w:jc w:val="left"/>
        <w:rPr>
          <w:rFonts w:ascii="宋体" w:hAnsi="宋体" w:eastAsia="宋体" w:cs="宋体"/>
          <w:bCs/>
          <w:color w:val="auto"/>
          <w:kern w:val="0"/>
          <w:szCs w:val="21"/>
          <w:highlight w:val="none"/>
        </w:rPr>
      </w:pPr>
    </w:p>
    <w:p w14:paraId="62E1BA5E">
      <w:pPr>
        <w:spacing w:line="312" w:lineRule="auto"/>
        <w:ind w:firstLine="562" w:firstLineChars="200"/>
        <w:jc w:val="left"/>
        <w:outlineLvl w:val="1"/>
        <w:rPr>
          <w:rFonts w:ascii="宋体" w:hAnsi="宋体" w:eastAsia="宋体" w:cs="宋体"/>
          <w:b/>
          <w:color w:val="auto"/>
          <w:kern w:val="0"/>
          <w:sz w:val="28"/>
          <w:szCs w:val="28"/>
          <w:highlight w:val="none"/>
        </w:rPr>
      </w:pPr>
      <w:r>
        <w:rPr>
          <w:rFonts w:hint="eastAsia" w:ascii="宋体" w:hAnsi="宋体" w:eastAsia="宋体" w:cs="宋体"/>
          <w:b/>
          <w:color w:val="auto"/>
          <w:kern w:val="0"/>
          <w:sz w:val="28"/>
          <w:szCs w:val="28"/>
          <w:highlight w:val="none"/>
        </w:rPr>
        <w:t>五、本项目标的所属行业</w:t>
      </w:r>
    </w:p>
    <w:p w14:paraId="014EEB10">
      <w:pPr>
        <w:spacing w:line="312" w:lineRule="auto"/>
        <w:ind w:firstLine="420" w:firstLineChars="200"/>
        <w:jc w:val="left"/>
        <w:rPr>
          <w:rFonts w:ascii="宋体" w:hAnsi="宋体" w:eastAsia="宋体" w:cs="宋体"/>
          <w:bCs/>
          <w:color w:val="auto"/>
          <w:kern w:val="0"/>
          <w:szCs w:val="21"/>
          <w:highlight w:val="none"/>
        </w:rPr>
      </w:pPr>
      <w:bookmarkStart w:id="22" w:name="_Hlk74905748"/>
      <w:r>
        <w:rPr>
          <w:rFonts w:hint="eastAsia" w:ascii="宋体" w:hAnsi="宋体" w:eastAsia="宋体" w:cs="宋体"/>
          <w:bCs/>
          <w:color w:val="auto"/>
          <w:kern w:val="0"/>
          <w:szCs w:val="21"/>
          <w:highlight w:val="none"/>
        </w:rPr>
        <w:t>本项目所属行业：</w:t>
      </w:r>
      <w:r>
        <w:rPr>
          <w:rFonts w:hint="eastAsia" w:ascii="宋体" w:hAnsi="宋体" w:eastAsia="宋体" w:cs="宋体"/>
          <w:b/>
          <w:color w:val="auto"/>
          <w:kern w:val="0"/>
          <w:szCs w:val="21"/>
          <w:highlight w:val="none"/>
        </w:rPr>
        <w:t>建筑业</w:t>
      </w:r>
      <w:bookmarkEnd w:id="22"/>
      <w:r>
        <w:rPr>
          <w:rFonts w:hint="eastAsia" w:ascii="宋体" w:hAnsi="宋体" w:eastAsia="宋体" w:cs="宋体"/>
          <w:bCs/>
          <w:color w:val="auto"/>
          <w:kern w:val="0"/>
          <w:szCs w:val="21"/>
          <w:highlight w:val="none"/>
        </w:rPr>
        <w:t>。</w:t>
      </w:r>
    </w:p>
    <w:p w14:paraId="35DB82D9">
      <w:pPr>
        <w:spacing w:line="528" w:lineRule="exact"/>
        <w:ind w:firstLine="0" w:firstLineChars="0"/>
        <w:rPr>
          <w:color w:val="auto"/>
          <w:sz w:val="28"/>
          <w:szCs w:val="28"/>
          <w:highlight w:val="none"/>
        </w:rPr>
      </w:pPr>
      <w:bookmarkStart w:id="23" w:name="_Hlk133572867"/>
      <w:r>
        <w:rPr>
          <w:rFonts w:hint="eastAsia"/>
          <w:color w:val="auto"/>
          <w:sz w:val="28"/>
          <w:szCs w:val="28"/>
          <w:highlight w:val="none"/>
        </w:rPr>
        <w:t xml:space="preserve">附件： </w:t>
      </w:r>
      <w:r>
        <w:rPr>
          <w:color w:val="auto"/>
          <w:sz w:val="28"/>
          <w:szCs w:val="28"/>
          <w:highlight w:val="none"/>
        </w:rPr>
        <w:t xml:space="preserve">                             </w:t>
      </w:r>
    </w:p>
    <w:p w14:paraId="3A3AE58A">
      <w:pPr>
        <w:spacing w:line="528" w:lineRule="exact"/>
        <w:ind w:firstLine="280" w:firstLineChars="100"/>
        <w:jc w:val="center"/>
        <w:rPr>
          <w:color w:val="auto"/>
          <w:sz w:val="28"/>
          <w:szCs w:val="28"/>
          <w:highlight w:val="none"/>
        </w:rPr>
      </w:pPr>
      <w:r>
        <w:rPr>
          <w:rFonts w:hint="eastAsia"/>
          <w:color w:val="auto"/>
          <w:sz w:val="28"/>
          <w:szCs w:val="28"/>
          <w:highlight w:val="none"/>
        </w:rPr>
        <w:t>中小微企业划型标准</w:t>
      </w:r>
    </w:p>
    <w:tbl>
      <w:tblPr>
        <w:tblStyle w:val="54"/>
        <w:tblW w:w="8706" w:type="dxa"/>
        <w:tblInd w:w="250" w:type="dxa"/>
        <w:tblLayout w:type="fixed"/>
        <w:tblCellMar>
          <w:top w:w="0" w:type="dxa"/>
          <w:left w:w="108" w:type="dxa"/>
          <w:bottom w:w="0" w:type="dxa"/>
          <w:right w:w="108" w:type="dxa"/>
        </w:tblCellMar>
      </w:tblPr>
      <w:tblGrid>
        <w:gridCol w:w="1446"/>
        <w:gridCol w:w="1701"/>
        <w:gridCol w:w="1134"/>
        <w:gridCol w:w="1846"/>
        <w:gridCol w:w="1570"/>
        <w:gridCol w:w="1009"/>
      </w:tblGrid>
      <w:tr w14:paraId="6131CF24">
        <w:tblPrEx>
          <w:tblCellMar>
            <w:top w:w="0" w:type="dxa"/>
            <w:left w:w="108" w:type="dxa"/>
            <w:bottom w:w="0" w:type="dxa"/>
            <w:right w:w="108" w:type="dxa"/>
          </w:tblCellMar>
        </w:tblPrEx>
        <w:trPr>
          <w:trHeight w:val="279" w:hRule="atLeast"/>
        </w:trPr>
        <w:tc>
          <w:tcPr>
            <w:tcW w:w="1446" w:type="dxa"/>
            <w:tcBorders>
              <w:top w:val="single" w:color="auto" w:sz="4" w:space="0"/>
              <w:left w:val="single" w:color="auto" w:sz="4" w:space="0"/>
              <w:bottom w:val="single" w:color="auto" w:sz="4" w:space="0"/>
              <w:right w:val="single" w:color="auto" w:sz="4" w:space="0"/>
            </w:tcBorders>
            <w:noWrap w:val="0"/>
            <w:vAlign w:val="center"/>
          </w:tcPr>
          <w:p w14:paraId="57C23EE0">
            <w:pPr>
              <w:widowControl/>
              <w:jc w:val="left"/>
              <w:rPr>
                <w:color w:val="auto"/>
                <w:szCs w:val="21"/>
                <w:highlight w:val="none"/>
              </w:rPr>
            </w:pPr>
            <w:r>
              <w:rPr>
                <w:rFonts w:hint="eastAsia"/>
                <w:color w:val="auto"/>
                <w:szCs w:val="21"/>
                <w:highlight w:val="none"/>
              </w:rPr>
              <w:t>行业名称</w:t>
            </w:r>
          </w:p>
        </w:tc>
        <w:tc>
          <w:tcPr>
            <w:tcW w:w="1701" w:type="dxa"/>
            <w:tcBorders>
              <w:top w:val="single" w:color="auto" w:sz="4" w:space="0"/>
              <w:left w:val="nil"/>
              <w:bottom w:val="single" w:color="auto" w:sz="4" w:space="0"/>
              <w:right w:val="single" w:color="auto" w:sz="4" w:space="0"/>
            </w:tcBorders>
            <w:noWrap w:val="0"/>
            <w:vAlign w:val="center"/>
          </w:tcPr>
          <w:p w14:paraId="24DCB46E">
            <w:pPr>
              <w:widowControl/>
              <w:jc w:val="left"/>
              <w:rPr>
                <w:color w:val="auto"/>
                <w:szCs w:val="21"/>
                <w:highlight w:val="none"/>
              </w:rPr>
            </w:pPr>
            <w:r>
              <w:rPr>
                <w:rFonts w:hint="eastAsia"/>
                <w:color w:val="auto"/>
                <w:szCs w:val="21"/>
                <w:highlight w:val="none"/>
              </w:rPr>
              <w:t>指标名称</w:t>
            </w:r>
          </w:p>
        </w:tc>
        <w:tc>
          <w:tcPr>
            <w:tcW w:w="1134" w:type="dxa"/>
            <w:tcBorders>
              <w:top w:val="single" w:color="auto" w:sz="4" w:space="0"/>
              <w:left w:val="nil"/>
              <w:bottom w:val="single" w:color="auto" w:sz="4" w:space="0"/>
              <w:right w:val="single" w:color="auto" w:sz="4" w:space="0"/>
            </w:tcBorders>
            <w:noWrap w:val="0"/>
            <w:vAlign w:val="center"/>
          </w:tcPr>
          <w:p w14:paraId="0D587590">
            <w:pPr>
              <w:widowControl/>
              <w:jc w:val="left"/>
              <w:rPr>
                <w:color w:val="auto"/>
                <w:szCs w:val="21"/>
                <w:highlight w:val="none"/>
              </w:rPr>
            </w:pPr>
            <w:r>
              <w:rPr>
                <w:rFonts w:hint="eastAsia"/>
                <w:color w:val="auto"/>
                <w:szCs w:val="21"/>
                <w:highlight w:val="none"/>
              </w:rPr>
              <w:t>计量单位</w:t>
            </w:r>
          </w:p>
        </w:tc>
        <w:tc>
          <w:tcPr>
            <w:tcW w:w="1846" w:type="dxa"/>
            <w:tcBorders>
              <w:top w:val="single" w:color="auto" w:sz="4" w:space="0"/>
              <w:left w:val="nil"/>
              <w:bottom w:val="single" w:color="auto" w:sz="4" w:space="0"/>
              <w:right w:val="single" w:color="auto" w:sz="4" w:space="0"/>
            </w:tcBorders>
            <w:noWrap w:val="0"/>
            <w:vAlign w:val="center"/>
          </w:tcPr>
          <w:p w14:paraId="08E9F2CC">
            <w:pPr>
              <w:widowControl/>
              <w:jc w:val="left"/>
              <w:rPr>
                <w:color w:val="auto"/>
                <w:szCs w:val="21"/>
                <w:highlight w:val="none"/>
              </w:rPr>
            </w:pPr>
            <w:r>
              <w:rPr>
                <w:rFonts w:hint="eastAsia"/>
                <w:color w:val="auto"/>
                <w:szCs w:val="21"/>
                <w:highlight w:val="none"/>
              </w:rPr>
              <w:t>中型</w:t>
            </w:r>
          </w:p>
        </w:tc>
        <w:tc>
          <w:tcPr>
            <w:tcW w:w="1570" w:type="dxa"/>
            <w:tcBorders>
              <w:top w:val="single" w:color="auto" w:sz="4" w:space="0"/>
              <w:left w:val="nil"/>
              <w:bottom w:val="single" w:color="auto" w:sz="4" w:space="0"/>
              <w:right w:val="single" w:color="auto" w:sz="4" w:space="0"/>
            </w:tcBorders>
            <w:noWrap w:val="0"/>
            <w:vAlign w:val="center"/>
          </w:tcPr>
          <w:p w14:paraId="104CDAA3">
            <w:pPr>
              <w:widowControl/>
              <w:jc w:val="left"/>
              <w:rPr>
                <w:color w:val="auto"/>
                <w:szCs w:val="21"/>
                <w:highlight w:val="none"/>
              </w:rPr>
            </w:pPr>
            <w:r>
              <w:rPr>
                <w:rFonts w:hint="eastAsia"/>
                <w:color w:val="auto"/>
                <w:szCs w:val="21"/>
                <w:highlight w:val="none"/>
              </w:rPr>
              <w:t>小型</w:t>
            </w:r>
          </w:p>
        </w:tc>
        <w:tc>
          <w:tcPr>
            <w:tcW w:w="1009" w:type="dxa"/>
            <w:tcBorders>
              <w:top w:val="single" w:color="auto" w:sz="4" w:space="0"/>
              <w:left w:val="nil"/>
              <w:bottom w:val="single" w:color="auto" w:sz="4" w:space="0"/>
              <w:right w:val="single" w:color="auto" w:sz="4" w:space="0"/>
            </w:tcBorders>
            <w:noWrap w:val="0"/>
            <w:vAlign w:val="center"/>
          </w:tcPr>
          <w:p w14:paraId="41A3CC82">
            <w:pPr>
              <w:widowControl/>
              <w:jc w:val="left"/>
              <w:rPr>
                <w:color w:val="auto"/>
                <w:szCs w:val="21"/>
                <w:highlight w:val="none"/>
              </w:rPr>
            </w:pPr>
            <w:r>
              <w:rPr>
                <w:rFonts w:hint="eastAsia"/>
                <w:color w:val="auto"/>
                <w:szCs w:val="21"/>
                <w:highlight w:val="none"/>
              </w:rPr>
              <w:t>微型</w:t>
            </w:r>
          </w:p>
        </w:tc>
      </w:tr>
      <w:tr w14:paraId="73EA6F30">
        <w:tblPrEx>
          <w:tblCellMar>
            <w:top w:w="0" w:type="dxa"/>
            <w:left w:w="108" w:type="dxa"/>
            <w:bottom w:w="0" w:type="dxa"/>
            <w:right w:w="108" w:type="dxa"/>
          </w:tblCellMar>
        </w:tblPrEx>
        <w:trPr>
          <w:trHeight w:val="220" w:hRule="atLeast"/>
        </w:trPr>
        <w:tc>
          <w:tcPr>
            <w:tcW w:w="1446" w:type="dxa"/>
            <w:tcBorders>
              <w:top w:val="nil"/>
              <w:left w:val="single" w:color="auto" w:sz="4" w:space="0"/>
              <w:bottom w:val="single" w:color="auto" w:sz="4" w:space="0"/>
              <w:right w:val="single" w:color="auto" w:sz="4" w:space="0"/>
            </w:tcBorders>
            <w:noWrap w:val="0"/>
            <w:vAlign w:val="bottom"/>
          </w:tcPr>
          <w:p w14:paraId="7BFE68AB">
            <w:pPr>
              <w:widowControl/>
              <w:jc w:val="center"/>
              <w:rPr>
                <w:color w:val="auto"/>
                <w:szCs w:val="21"/>
                <w:highlight w:val="none"/>
              </w:rPr>
            </w:pPr>
            <w:r>
              <w:rPr>
                <w:rFonts w:hint="eastAsia"/>
                <w:color w:val="auto"/>
                <w:szCs w:val="21"/>
                <w:highlight w:val="none"/>
              </w:rPr>
              <w:t>农、林、牧、渔</w:t>
            </w:r>
          </w:p>
        </w:tc>
        <w:tc>
          <w:tcPr>
            <w:tcW w:w="1701" w:type="dxa"/>
            <w:tcBorders>
              <w:top w:val="nil"/>
              <w:left w:val="nil"/>
              <w:bottom w:val="single" w:color="auto" w:sz="4" w:space="0"/>
              <w:right w:val="single" w:color="auto" w:sz="4" w:space="0"/>
            </w:tcBorders>
            <w:noWrap w:val="0"/>
            <w:vAlign w:val="center"/>
          </w:tcPr>
          <w:p w14:paraId="59A59B83">
            <w:pPr>
              <w:widowControl/>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3D1D6787">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49BF9E26">
            <w:pPr>
              <w:widowControl/>
              <w:jc w:val="left"/>
              <w:rPr>
                <w:color w:val="auto"/>
                <w:szCs w:val="21"/>
                <w:highlight w:val="none"/>
              </w:rPr>
            </w:pPr>
            <w:r>
              <w:rPr>
                <w:rFonts w:hint="eastAsia"/>
                <w:color w:val="auto"/>
                <w:szCs w:val="21"/>
                <w:highlight w:val="none"/>
              </w:rPr>
              <w:t>500≤Y＜20000</w:t>
            </w:r>
          </w:p>
        </w:tc>
        <w:tc>
          <w:tcPr>
            <w:tcW w:w="1570" w:type="dxa"/>
            <w:tcBorders>
              <w:top w:val="nil"/>
              <w:left w:val="nil"/>
              <w:bottom w:val="single" w:color="auto" w:sz="4" w:space="0"/>
              <w:right w:val="single" w:color="auto" w:sz="4" w:space="0"/>
            </w:tcBorders>
            <w:noWrap w:val="0"/>
            <w:vAlign w:val="center"/>
          </w:tcPr>
          <w:p w14:paraId="56205E93">
            <w:pPr>
              <w:widowControl/>
              <w:jc w:val="left"/>
              <w:rPr>
                <w:color w:val="auto"/>
                <w:szCs w:val="21"/>
                <w:highlight w:val="none"/>
              </w:rPr>
            </w:pPr>
            <w:r>
              <w:rPr>
                <w:rFonts w:hint="eastAsia"/>
                <w:color w:val="auto"/>
                <w:szCs w:val="21"/>
                <w:highlight w:val="none"/>
              </w:rPr>
              <w:t>50≤Y＜500</w:t>
            </w:r>
          </w:p>
        </w:tc>
        <w:tc>
          <w:tcPr>
            <w:tcW w:w="1009" w:type="dxa"/>
            <w:tcBorders>
              <w:top w:val="nil"/>
              <w:left w:val="nil"/>
              <w:bottom w:val="single" w:color="auto" w:sz="4" w:space="0"/>
              <w:right w:val="single" w:color="auto" w:sz="4" w:space="0"/>
            </w:tcBorders>
            <w:noWrap w:val="0"/>
            <w:vAlign w:val="center"/>
          </w:tcPr>
          <w:p w14:paraId="6D9C6066">
            <w:pPr>
              <w:widowControl/>
              <w:jc w:val="left"/>
              <w:rPr>
                <w:color w:val="auto"/>
                <w:szCs w:val="21"/>
                <w:highlight w:val="none"/>
              </w:rPr>
            </w:pPr>
            <w:r>
              <w:rPr>
                <w:rFonts w:hint="eastAsia"/>
                <w:color w:val="auto"/>
                <w:szCs w:val="21"/>
                <w:highlight w:val="none"/>
              </w:rPr>
              <w:t>Y＜50</w:t>
            </w:r>
          </w:p>
        </w:tc>
      </w:tr>
      <w:tr w14:paraId="789877DE">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7399B96C">
            <w:pPr>
              <w:widowControl/>
              <w:jc w:val="center"/>
              <w:rPr>
                <w:color w:val="auto"/>
                <w:szCs w:val="21"/>
                <w:highlight w:val="none"/>
              </w:rPr>
            </w:pPr>
            <w:r>
              <w:rPr>
                <w:rFonts w:hint="eastAsia"/>
                <w:color w:val="auto"/>
                <w:szCs w:val="21"/>
                <w:highlight w:val="none"/>
              </w:rPr>
              <w:t>工业</w:t>
            </w:r>
          </w:p>
        </w:tc>
        <w:tc>
          <w:tcPr>
            <w:tcW w:w="1701" w:type="dxa"/>
            <w:tcBorders>
              <w:top w:val="nil"/>
              <w:left w:val="nil"/>
              <w:bottom w:val="single" w:color="auto" w:sz="4" w:space="0"/>
              <w:right w:val="single" w:color="auto" w:sz="4" w:space="0"/>
            </w:tcBorders>
            <w:noWrap w:val="0"/>
            <w:vAlign w:val="center"/>
          </w:tcPr>
          <w:p w14:paraId="72141F81">
            <w:pPr>
              <w:widowControl/>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5D594C1E">
            <w:pPr>
              <w:widowControl/>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09AD69CC">
            <w:pPr>
              <w:widowControl/>
              <w:jc w:val="left"/>
              <w:rPr>
                <w:color w:val="auto"/>
                <w:szCs w:val="21"/>
                <w:highlight w:val="none"/>
              </w:rPr>
            </w:pPr>
            <w:r>
              <w:rPr>
                <w:rFonts w:hint="eastAsia"/>
                <w:color w:val="auto"/>
                <w:szCs w:val="21"/>
                <w:highlight w:val="none"/>
              </w:rPr>
              <w:t>300≤X＜1000</w:t>
            </w:r>
          </w:p>
        </w:tc>
        <w:tc>
          <w:tcPr>
            <w:tcW w:w="1570" w:type="dxa"/>
            <w:tcBorders>
              <w:top w:val="nil"/>
              <w:left w:val="nil"/>
              <w:bottom w:val="single" w:color="auto" w:sz="4" w:space="0"/>
              <w:right w:val="single" w:color="auto" w:sz="4" w:space="0"/>
            </w:tcBorders>
            <w:noWrap w:val="0"/>
            <w:vAlign w:val="center"/>
          </w:tcPr>
          <w:p w14:paraId="7F9F9708">
            <w:pPr>
              <w:widowControl/>
              <w:jc w:val="left"/>
              <w:rPr>
                <w:color w:val="auto"/>
                <w:szCs w:val="21"/>
                <w:highlight w:val="none"/>
              </w:rPr>
            </w:pPr>
            <w:r>
              <w:rPr>
                <w:rFonts w:hint="eastAsia"/>
                <w:color w:val="auto"/>
                <w:szCs w:val="21"/>
                <w:highlight w:val="none"/>
              </w:rPr>
              <w:t>20≤X＜300</w:t>
            </w:r>
          </w:p>
        </w:tc>
        <w:tc>
          <w:tcPr>
            <w:tcW w:w="1009" w:type="dxa"/>
            <w:tcBorders>
              <w:top w:val="nil"/>
              <w:left w:val="nil"/>
              <w:bottom w:val="single" w:color="auto" w:sz="4" w:space="0"/>
              <w:right w:val="single" w:color="auto" w:sz="4" w:space="0"/>
            </w:tcBorders>
            <w:noWrap w:val="0"/>
            <w:vAlign w:val="center"/>
          </w:tcPr>
          <w:p w14:paraId="1AB083CC">
            <w:pPr>
              <w:widowControl/>
              <w:jc w:val="left"/>
              <w:rPr>
                <w:color w:val="auto"/>
                <w:szCs w:val="21"/>
                <w:highlight w:val="none"/>
              </w:rPr>
            </w:pPr>
            <w:r>
              <w:rPr>
                <w:rFonts w:hint="eastAsia"/>
                <w:color w:val="auto"/>
                <w:szCs w:val="21"/>
                <w:highlight w:val="none"/>
              </w:rPr>
              <w:t>X＜20</w:t>
            </w:r>
          </w:p>
        </w:tc>
      </w:tr>
      <w:tr w14:paraId="0E33CA2F">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703D50A9">
            <w:pPr>
              <w:widowControl/>
              <w:jc w:val="left"/>
              <w:rPr>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5249ABF1">
            <w:pPr>
              <w:widowControl/>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645E4EF0">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314BEF5F">
            <w:pPr>
              <w:widowControl/>
              <w:jc w:val="left"/>
              <w:rPr>
                <w:color w:val="auto"/>
                <w:szCs w:val="21"/>
                <w:highlight w:val="none"/>
              </w:rPr>
            </w:pPr>
            <w:r>
              <w:rPr>
                <w:rFonts w:hint="eastAsia"/>
                <w:color w:val="auto"/>
                <w:szCs w:val="21"/>
                <w:highlight w:val="none"/>
              </w:rPr>
              <w:t>2000≤Y＜40000</w:t>
            </w:r>
          </w:p>
        </w:tc>
        <w:tc>
          <w:tcPr>
            <w:tcW w:w="1570" w:type="dxa"/>
            <w:tcBorders>
              <w:top w:val="nil"/>
              <w:left w:val="nil"/>
              <w:bottom w:val="single" w:color="auto" w:sz="4" w:space="0"/>
              <w:right w:val="single" w:color="auto" w:sz="4" w:space="0"/>
            </w:tcBorders>
            <w:noWrap w:val="0"/>
            <w:vAlign w:val="center"/>
          </w:tcPr>
          <w:p w14:paraId="483FFEE0">
            <w:pPr>
              <w:widowControl/>
              <w:jc w:val="left"/>
              <w:rPr>
                <w:color w:val="auto"/>
                <w:szCs w:val="21"/>
                <w:highlight w:val="none"/>
              </w:rPr>
            </w:pPr>
            <w:r>
              <w:rPr>
                <w:rFonts w:hint="eastAsia"/>
                <w:color w:val="auto"/>
                <w:szCs w:val="21"/>
                <w:highlight w:val="none"/>
              </w:rPr>
              <w:t>300≤Y＜2000</w:t>
            </w:r>
          </w:p>
        </w:tc>
        <w:tc>
          <w:tcPr>
            <w:tcW w:w="1009" w:type="dxa"/>
            <w:tcBorders>
              <w:top w:val="nil"/>
              <w:left w:val="nil"/>
              <w:bottom w:val="single" w:color="auto" w:sz="4" w:space="0"/>
              <w:right w:val="single" w:color="auto" w:sz="4" w:space="0"/>
            </w:tcBorders>
            <w:noWrap w:val="0"/>
            <w:vAlign w:val="center"/>
          </w:tcPr>
          <w:p w14:paraId="76834AFD">
            <w:pPr>
              <w:widowControl/>
              <w:jc w:val="left"/>
              <w:rPr>
                <w:color w:val="auto"/>
                <w:szCs w:val="21"/>
                <w:highlight w:val="none"/>
              </w:rPr>
            </w:pPr>
            <w:r>
              <w:rPr>
                <w:rFonts w:hint="eastAsia"/>
                <w:color w:val="auto"/>
                <w:szCs w:val="21"/>
                <w:highlight w:val="none"/>
              </w:rPr>
              <w:t>Y＜300</w:t>
            </w:r>
          </w:p>
        </w:tc>
      </w:tr>
      <w:tr w14:paraId="5382611F">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3CD45B1B">
            <w:pPr>
              <w:widowControl/>
              <w:jc w:val="center"/>
              <w:rPr>
                <w:color w:val="auto"/>
                <w:szCs w:val="21"/>
                <w:highlight w:val="none"/>
              </w:rPr>
            </w:pPr>
            <w:r>
              <w:rPr>
                <w:rFonts w:hint="eastAsia"/>
                <w:color w:val="auto"/>
                <w:szCs w:val="21"/>
                <w:highlight w:val="none"/>
              </w:rPr>
              <w:t>建筑业</w:t>
            </w:r>
          </w:p>
        </w:tc>
        <w:tc>
          <w:tcPr>
            <w:tcW w:w="1701" w:type="dxa"/>
            <w:tcBorders>
              <w:top w:val="nil"/>
              <w:left w:val="nil"/>
              <w:bottom w:val="single" w:color="auto" w:sz="4" w:space="0"/>
              <w:right w:val="single" w:color="auto" w:sz="4" w:space="0"/>
            </w:tcBorders>
            <w:noWrap w:val="0"/>
            <w:vAlign w:val="center"/>
          </w:tcPr>
          <w:p w14:paraId="48791A3F">
            <w:pPr>
              <w:widowControl/>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266C8A7F">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2DECF28E">
            <w:pPr>
              <w:widowControl/>
              <w:jc w:val="left"/>
              <w:rPr>
                <w:color w:val="auto"/>
                <w:szCs w:val="21"/>
                <w:highlight w:val="none"/>
              </w:rPr>
            </w:pPr>
            <w:r>
              <w:rPr>
                <w:rFonts w:hint="eastAsia"/>
                <w:color w:val="auto"/>
                <w:szCs w:val="21"/>
                <w:highlight w:val="none"/>
              </w:rPr>
              <w:t>6000≤Y＜80000</w:t>
            </w:r>
          </w:p>
        </w:tc>
        <w:tc>
          <w:tcPr>
            <w:tcW w:w="1570" w:type="dxa"/>
            <w:tcBorders>
              <w:top w:val="nil"/>
              <w:left w:val="nil"/>
              <w:bottom w:val="single" w:color="auto" w:sz="4" w:space="0"/>
              <w:right w:val="single" w:color="auto" w:sz="4" w:space="0"/>
            </w:tcBorders>
            <w:noWrap w:val="0"/>
            <w:vAlign w:val="center"/>
          </w:tcPr>
          <w:p w14:paraId="6A03AC58">
            <w:pPr>
              <w:widowControl/>
              <w:jc w:val="left"/>
              <w:rPr>
                <w:color w:val="auto"/>
                <w:szCs w:val="21"/>
                <w:highlight w:val="none"/>
              </w:rPr>
            </w:pPr>
            <w:r>
              <w:rPr>
                <w:rFonts w:hint="eastAsia"/>
                <w:color w:val="auto"/>
                <w:szCs w:val="21"/>
                <w:highlight w:val="none"/>
              </w:rPr>
              <w:t>300≤Y＜6000</w:t>
            </w:r>
          </w:p>
        </w:tc>
        <w:tc>
          <w:tcPr>
            <w:tcW w:w="1009" w:type="dxa"/>
            <w:tcBorders>
              <w:top w:val="nil"/>
              <w:left w:val="nil"/>
              <w:bottom w:val="single" w:color="auto" w:sz="4" w:space="0"/>
              <w:right w:val="single" w:color="auto" w:sz="4" w:space="0"/>
            </w:tcBorders>
            <w:noWrap w:val="0"/>
            <w:vAlign w:val="center"/>
          </w:tcPr>
          <w:p w14:paraId="17CF25C7">
            <w:pPr>
              <w:widowControl/>
              <w:jc w:val="left"/>
              <w:rPr>
                <w:color w:val="auto"/>
                <w:szCs w:val="21"/>
                <w:highlight w:val="none"/>
              </w:rPr>
            </w:pPr>
            <w:r>
              <w:rPr>
                <w:rFonts w:hint="eastAsia"/>
                <w:color w:val="auto"/>
                <w:szCs w:val="21"/>
                <w:highlight w:val="none"/>
              </w:rPr>
              <w:t>Y＜300</w:t>
            </w:r>
          </w:p>
        </w:tc>
      </w:tr>
      <w:tr w14:paraId="72A9D928">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79104712">
            <w:pPr>
              <w:widowControl/>
              <w:jc w:val="left"/>
              <w:rPr>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242EB046">
            <w:pPr>
              <w:widowControl/>
              <w:jc w:val="left"/>
              <w:rPr>
                <w:color w:val="auto"/>
                <w:szCs w:val="21"/>
                <w:highlight w:val="none"/>
              </w:rPr>
            </w:pPr>
            <w:r>
              <w:rPr>
                <w:rFonts w:hint="eastAsia"/>
                <w:color w:val="auto"/>
                <w:szCs w:val="21"/>
                <w:highlight w:val="none"/>
              </w:rPr>
              <w:t>资产总额（Z）</w:t>
            </w:r>
          </w:p>
        </w:tc>
        <w:tc>
          <w:tcPr>
            <w:tcW w:w="1134" w:type="dxa"/>
            <w:tcBorders>
              <w:top w:val="nil"/>
              <w:left w:val="nil"/>
              <w:bottom w:val="single" w:color="auto" w:sz="4" w:space="0"/>
              <w:right w:val="single" w:color="auto" w:sz="4" w:space="0"/>
            </w:tcBorders>
            <w:noWrap w:val="0"/>
            <w:vAlign w:val="center"/>
          </w:tcPr>
          <w:p w14:paraId="558BF75D">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2AC1E250">
            <w:pPr>
              <w:widowControl/>
              <w:jc w:val="left"/>
              <w:rPr>
                <w:color w:val="auto"/>
                <w:szCs w:val="21"/>
                <w:highlight w:val="none"/>
              </w:rPr>
            </w:pPr>
            <w:r>
              <w:rPr>
                <w:rFonts w:hint="eastAsia"/>
                <w:color w:val="auto"/>
                <w:szCs w:val="21"/>
                <w:highlight w:val="none"/>
              </w:rPr>
              <w:t>5000≤Z＜80000</w:t>
            </w:r>
          </w:p>
        </w:tc>
        <w:tc>
          <w:tcPr>
            <w:tcW w:w="1570" w:type="dxa"/>
            <w:tcBorders>
              <w:top w:val="nil"/>
              <w:left w:val="nil"/>
              <w:bottom w:val="single" w:color="auto" w:sz="4" w:space="0"/>
              <w:right w:val="single" w:color="auto" w:sz="4" w:space="0"/>
            </w:tcBorders>
            <w:noWrap w:val="0"/>
            <w:vAlign w:val="center"/>
          </w:tcPr>
          <w:p w14:paraId="68EB98EC">
            <w:pPr>
              <w:widowControl/>
              <w:jc w:val="left"/>
              <w:rPr>
                <w:color w:val="auto"/>
                <w:szCs w:val="21"/>
                <w:highlight w:val="none"/>
              </w:rPr>
            </w:pPr>
            <w:r>
              <w:rPr>
                <w:rFonts w:hint="eastAsia"/>
                <w:color w:val="auto"/>
                <w:szCs w:val="21"/>
                <w:highlight w:val="none"/>
              </w:rPr>
              <w:t>300≤Z＜5000</w:t>
            </w:r>
          </w:p>
        </w:tc>
        <w:tc>
          <w:tcPr>
            <w:tcW w:w="1009" w:type="dxa"/>
            <w:tcBorders>
              <w:top w:val="nil"/>
              <w:left w:val="nil"/>
              <w:bottom w:val="single" w:color="auto" w:sz="4" w:space="0"/>
              <w:right w:val="single" w:color="auto" w:sz="4" w:space="0"/>
            </w:tcBorders>
            <w:noWrap w:val="0"/>
            <w:vAlign w:val="center"/>
          </w:tcPr>
          <w:p w14:paraId="44C8D9DB">
            <w:pPr>
              <w:widowControl/>
              <w:jc w:val="left"/>
              <w:rPr>
                <w:color w:val="auto"/>
                <w:szCs w:val="21"/>
                <w:highlight w:val="none"/>
              </w:rPr>
            </w:pPr>
            <w:r>
              <w:rPr>
                <w:rFonts w:hint="eastAsia"/>
                <w:color w:val="auto"/>
                <w:szCs w:val="21"/>
                <w:highlight w:val="none"/>
              </w:rPr>
              <w:t>Z＜300</w:t>
            </w:r>
          </w:p>
        </w:tc>
      </w:tr>
      <w:tr w14:paraId="3E0279C3">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0E651EBA">
            <w:pPr>
              <w:widowControl/>
              <w:ind w:firstLine="315" w:firstLineChars="150"/>
              <w:rPr>
                <w:color w:val="auto"/>
                <w:szCs w:val="21"/>
                <w:highlight w:val="none"/>
              </w:rPr>
            </w:pPr>
            <w:r>
              <w:rPr>
                <w:rFonts w:hint="eastAsia"/>
                <w:color w:val="auto"/>
                <w:szCs w:val="21"/>
                <w:highlight w:val="none"/>
              </w:rPr>
              <w:t>批发业</w:t>
            </w:r>
          </w:p>
        </w:tc>
        <w:tc>
          <w:tcPr>
            <w:tcW w:w="1701" w:type="dxa"/>
            <w:tcBorders>
              <w:top w:val="nil"/>
              <w:left w:val="nil"/>
              <w:bottom w:val="single" w:color="auto" w:sz="4" w:space="0"/>
              <w:right w:val="single" w:color="auto" w:sz="4" w:space="0"/>
            </w:tcBorders>
            <w:noWrap w:val="0"/>
            <w:vAlign w:val="center"/>
          </w:tcPr>
          <w:p w14:paraId="4543CEEB">
            <w:pPr>
              <w:widowControl/>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0EA61C57">
            <w:pPr>
              <w:widowControl/>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2AB41150">
            <w:pPr>
              <w:widowControl/>
              <w:jc w:val="left"/>
              <w:rPr>
                <w:color w:val="auto"/>
                <w:szCs w:val="21"/>
                <w:highlight w:val="none"/>
              </w:rPr>
            </w:pPr>
            <w:r>
              <w:rPr>
                <w:rFonts w:hint="eastAsia"/>
                <w:color w:val="auto"/>
                <w:szCs w:val="21"/>
                <w:highlight w:val="none"/>
              </w:rPr>
              <w:t>20≤X＜200</w:t>
            </w:r>
          </w:p>
        </w:tc>
        <w:tc>
          <w:tcPr>
            <w:tcW w:w="1570" w:type="dxa"/>
            <w:tcBorders>
              <w:top w:val="nil"/>
              <w:left w:val="nil"/>
              <w:bottom w:val="single" w:color="auto" w:sz="4" w:space="0"/>
              <w:right w:val="single" w:color="auto" w:sz="4" w:space="0"/>
            </w:tcBorders>
            <w:noWrap w:val="0"/>
            <w:vAlign w:val="center"/>
          </w:tcPr>
          <w:p w14:paraId="10AB5A74">
            <w:pPr>
              <w:widowControl/>
              <w:jc w:val="left"/>
              <w:rPr>
                <w:color w:val="auto"/>
                <w:szCs w:val="21"/>
                <w:highlight w:val="none"/>
              </w:rPr>
            </w:pPr>
            <w:r>
              <w:rPr>
                <w:rFonts w:hint="eastAsia"/>
                <w:color w:val="auto"/>
                <w:szCs w:val="21"/>
                <w:highlight w:val="none"/>
              </w:rPr>
              <w:t>5≤X＜20</w:t>
            </w:r>
          </w:p>
        </w:tc>
        <w:tc>
          <w:tcPr>
            <w:tcW w:w="1009" w:type="dxa"/>
            <w:tcBorders>
              <w:top w:val="nil"/>
              <w:left w:val="nil"/>
              <w:bottom w:val="single" w:color="auto" w:sz="4" w:space="0"/>
              <w:right w:val="single" w:color="auto" w:sz="4" w:space="0"/>
            </w:tcBorders>
            <w:noWrap w:val="0"/>
            <w:vAlign w:val="center"/>
          </w:tcPr>
          <w:p w14:paraId="232B519D">
            <w:pPr>
              <w:widowControl/>
              <w:jc w:val="left"/>
              <w:rPr>
                <w:color w:val="auto"/>
                <w:szCs w:val="21"/>
                <w:highlight w:val="none"/>
              </w:rPr>
            </w:pPr>
            <w:r>
              <w:rPr>
                <w:rFonts w:hint="eastAsia"/>
                <w:color w:val="auto"/>
                <w:szCs w:val="21"/>
                <w:highlight w:val="none"/>
              </w:rPr>
              <w:t>X＜5</w:t>
            </w:r>
          </w:p>
        </w:tc>
      </w:tr>
      <w:tr w14:paraId="76132D1D">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70445175">
            <w:pPr>
              <w:widowControl/>
              <w:jc w:val="left"/>
              <w:rPr>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5B1374DB">
            <w:pPr>
              <w:widowControl/>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2D2E9F9D">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562655D2">
            <w:pPr>
              <w:widowControl/>
              <w:jc w:val="left"/>
              <w:rPr>
                <w:color w:val="auto"/>
                <w:szCs w:val="21"/>
                <w:highlight w:val="none"/>
              </w:rPr>
            </w:pPr>
            <w:r>
              <w:rPr>
                <w:rFonts w:hint="eastAsia"/>
                <w:color w:val="auto"/>
                <w:szCs w:val="21"/>
                <w:highlight w:val="none"/>
              </w:rPr>
              <w:t>5000≤Y＜40000</w:t>
            </w:r>
          </w:p>
        </w:tc>
        <w:tc>
          <w:tcPr>
            <w:tcW w:w="1570" w:type="dxa"/>
            <w:tcBorders>
              <w:top w:val="nil"/>
              <w:left w:val="nil"/>
              <w:bottom w:val="single" w:color="auto" w:sz="4" w:space="0"/>
              <w:right w:val="single" w:color="auto" w:sz="4" w:space="0"/>
            </w:tcBorders>
            <w:noWrap w:val="0"/>
            <w:vAlign w:val="center"/>
          </w:tcPr>
          <w:p w14:paraId="1A5F5CA3">
            <w:pPr>
              <w:widowControl/>
              <w:jc w:val="left"/>
              <w:rPr>
                <w:color w:val="auto"/>
                <w:szCs w:val="21"/>
                <w:highlight w:val="none"/>
              </w:rPr>
            </w:pPr>
            <w:r>
              <w:rPr>
                <w:rFonts w:hint="eastAsia"/>
                <w:color w:val="auto"/>
                <w:szCs w:val="21"/>
                <w:highlight w:val="none"/>
              </w:rPr>
              <w:t>1000≤Y＜5000</w:t>
            </w:r>
          </w:p>
        </w:tc>
        <w:tc>
          <w:tcPr>
            <w:tcW w:w="1009" w:type="dxa"/>
            <w:tcBorders>
              <w:top w:val="nil"/>
              <w:left w:val="nil"/>
              <w:bottom w:val="single" w:color="auto" w:sz="4" w:space="0"/>
              <w:right w:val="single" w:color="auto" w:sz="4" w:space="0"/>
            </w:tcBorders>
            <w:noWrap w:val="0"/>
            <w:vAlign w:val="center"/>
          </w:tcPr>
          <w:p w14:paraId="71A72B99">
            <w:pPr>
              <w:widowControl/>
              <w:jc w:val="left"/>
              <w:rPr>
                <w:color w:val="auto"/>
                <w:szCs w:val="21"/>
                <w:highlight w:val="none"/>
              </w:rPr>
            </w:pPr>
            <w:r>
              <w:rPr>
                <w:rFonts w:hint="eastAsia"/>
                <w:color w:val="auto"/>
                <w:szCs w:val="21"/>
                <w:highlight w:val="none"/>
              </w:rPr>
              <w:t>Y＜1000</w:t>
            </w:r>
          </w:p>
        </w:tc>
      </w:tr>
      <w:tr w14:paraId="5B569B3C">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1EEEF0A8">
            <w:pPr>
              <w:widowControl/>
              <w:jc w:val="center"/>
              <w:rPr>
                <w:color w:val="auto"/>
                <w:szCs w:val="21"/>
                <w:highlight w:val="none"/>
              </w:rPr>
            </w:pPr>
            <w:r>
              <w:rPr>
                <w:rFonts w:hint="eastAsia"/>
                <w:color w:val="auto"/>
                <w:szCs w:val="21"/>
                <w:highlight w:val="none"/>
              </w:rPr>
              <w:t>零售业</w:t>
            </w:r>
          </w:p>
        </w:tc>
        <w:tc>
          <w:tcPr>
            <w:tcW w:w="1701" w:type="dxa"/>
            <w:tcBorders>
              <w:top w:val="nil"/>
              <w:left w:val="nil"/>
              <w:bottom w:val="single" w:color="auto" w:sz="4" w:space="0"/>
              <w:right w:val="single" w:color="auto" w:sz="4" w:space="0"/>
            </w:tcBorders>
            <w:noWrap w:val="0"/>
            <w:vAlign w:val="center"/>
          </w:tcPr>
          <w:p w14:paraId="75CC416E">
            <w:pPr>
              <w:widowControl/>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7FAF93A4">
            <w:pPr>
              <w:widowControl/>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66AA013E">
            <w:pPr>
              <w:widowControl/>
              <w:jc w:val="left"/>
              <w:rPr>
                <w:color w:val="auto"/>
                <w:szCs w:val="21"/>
                <w:highlight w:val="none"/>
              </w:rPr>
            </w:pPr>
            <w:r>
              <w:rPr>
                <w:rFonts w:hint="eastAsia"/>
                <w:color w:val="auto"/>
                <w:szCs w:val="21"/>
                <w:highlight w:val="none"/>
              </w:rPr>
              <w:t>50≤X＜300</w:t>
            </w:r>
          </w:p>
        </w:tc>
        <w:tc>
          <w:tcPr>
            <w:tcW w:w="1570" w:type="dxa"/>
            <w:tcBorders>
              <w:top w:val="nil"/>
              <w:left w:val="nil"/>
              <w:bottom w:val="single" w:color="auto" w:sz="4" w:space="0"/>
              <w:right w:val="single" w:color="auto" w:sz="4" w:space="0"/>
            </w:tcBorders>
            <w:noWrap w:val="0"/>
            <w:vAlign w:val="center"/>
          </w:tcPr>
          <w:p w14:paraId="3546AC51">
            <w:pPr>
              <w:widowControl/>
              <w:jc w:val="left"/>
              <w:rPr>
                <w:color w:val="auto"/>
                <w:szCs w:val="21"/>
                <w:highlight w:val="none"/>
              </w:rPr>
            </w:pPr>
            <w:r>
              <w:rPr>
                <w:rFonts w:hint="eastAsia"/>
                <w:color w:val="auto"/>
                <w:szCs w:val="21"/>
                <w:highlight w:val="none"/>
              </w:rPr>
              <w:t>10≤X＜50</w:t>
            </w:r>
          </w:p>
        </w:tc>
        <w:tc>
          <w:tcPr>
            <w:tcW w:w="1009" w:type="dxa"/>
            <w:tcBorders>
              <w:top w:val="nil"/>
              <w:left w:val="nil"/>
              <w:bottom w:val="single" w:color="auto" w:sz="4" w:space="0"/>
              <w:right w:val="single" w:color="auto" w:sz="4" w:space="0"/>
            </w:tcBorders>
            <w:noWrap w:val="0"/>
            <w:vAlign w:val="center"/>
          </w:tcPr>
          <w:p w14:paraId="5996A57E">
            <w:pPr>
              <w:widowControl/>
              <w:jc w:val="left"/>
              <w:rPr>
                <w:color w:val="auto"/>
                <w:szCs w:val="21"/>
                <w:highlight w:val="none"/>
              </w:rPr>
            </w:pPr>
            <w:r>
              <w:rPr>
                <w:rFonts w:hint="eastAsia"/>
                <w:color w:val="auto"/>
                <w:szCs w:val="21"/>
                <w:highlight w:val="none"/>
              </w:rPr>
              <w:t>X＜10</w:t>
            </w:r>
          </w:p>
        </w:tc>
      </w:tr>
      <w:tr w14:paraId="71B14CDD">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39CA7CF8">
            <w:pPr>
              <w:widowControl/>
              <w:jc w:val="left"/>
              <w:rPr>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02A46ADC">
            <w:pPr>
              <w:widowControl/>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33D291E3">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5D8F9D62">
            <w:pPr>
              <w:widowControl/>
              <w:jc w:val="left"/>
              <w:rPr>
                <w:color w:val="auto"/>
                <w:szCs w:val="21"/>
                <w:highlight w:val="none"/>
              </w:rPr>
            </w:pPr>
            <w:r>
              <w:rPr>
                <w:rFonts w:hint="eastAsia"/>
                <w:color w:val="auto"/>
                <w:szCs w:val="21"/>
                <w:highlight w:val="none"/>
              </w:rPr>
              <w:t>500≤Y＜20000</w:t>
            </w:r>
          </w:p>
        </w:tc>
        <w:tc>
          <w:tcPr>
            <w:tcW w:w="1570" w:type="dxa"/>
            <w:tcBorders>
              <w:top w:val="nil"/>
              <w:left w:val="nil"/>
              <w:bottom w:val="single" w:color="auto" w:sz="4" w:space="0"/>
              <w:right w:val="single" w:color="auto" w:sz="4" w:space="0"/>
            </w:tcBorders>
            <w:noWrap w:val="0"/>
            <w:vAlign w:val="center"/>
          </w:tcPr>
          <w:p w14:paraId="44DA4545">
            <w:pPr>
              <w:widowControl/>
              <w:jc w:val="left"/>
              <w:rPr>
                <w:color w:val="auto"/>
                <w:szCs w:val="21"/>
                <w:highlight w:val="none"/>
              </w:rPr>
            </w:pPr>
            <w:r>
              <w:rPr>
                <w:rFonts w:hint="eastAsia"/>
                <w:color w:val="auto"/>
                <w:szCs w:val="21"/>
                <w:highlight w:val="none"/>
              </w:rPr>
              <w:t>100≤Y＜500</w:t>
            </w:r>
          </w:p>
        </w:tc>
        <w:tc>
          <w:tcPr>
            <w:tcW w:w="1009" w:type="dxa"/>
            <w:tcBorders>
              <w:top w:val="nil"/>
              <w:left w:val="nil"/>
              <w:bottom w:val="single" w:color="auto" w:sz="4" w:space="0"/>
              <w:right w:val="single" w:color="auto" w:sz="4" w:space="0"/>
            </w:tcBorders>
            <w:noWrap w:val="0"/>
            <w:vAlign w:val="center"/>
          </w:tcPr>
          <w:p w14:paraId="3066FC8D">
            <w:pPr>
              <w:widowControl/>
              <w:jc w:val="left"/>
              <w:rPr>
                <w:color w:val="auto"/>
                <w:szCs w:val="21"/>
                <w:highlight w:val="none"/>
              </w:rPr>
            </w:pPr>
            <w:r>
              <w:rPr>
                <w:rFonts w:hint="eastAsia"/>
                <w:color w:val="auto"/>
                <w:szCs w:val="21"/>
                <w:highlight w:val="none"/>
              </w:rPr>
              <w:t>Y＜100</w:t>
            </w:r>
          </w:p>
        </w:tc>
      </w:tr>
      <w:tr w14:paraId="39F30DAA">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6B2A1BC3">
            <w:pPr>
              <w:widowControl/>
              <w:jc w:val="center"/>
              <w:rPr>
                <w:color w:val="auto"/>
                <w:szCs w:val="21"/>
                <w:highlight w:val="none"/>
              </w:rPr>
            </w:pPr>
            <w:r>
              <w:rPr>
                <w:rFonts w:hint="eastAsia"/>
                <w:color w:val="auto"/>
                <w:szCs w:val="21"/>
                <w:highlight w:val="none"/>
              </w:rPr>
              <w:t>交通运输业</w:t>
            </w:r>
          </w:p>
        </w:tc>
        <w:tc>
          <w:tcPr>
            <w:tcW w:w="1701" w:type="dxa"/>
            <w:tcBorders>
              <w:top w:val="nil"/>
              <w:left w:val="nil"/>
              <w:bottom w:val="single" w:color="auto" w:sz="4" w:space="0"/>
              <w:right w:val="single" w:color="auto" w:sz="4" w:space="0"/>
            </w:tcBorders>
            <w:noWrap w:val="0"/>
            <w:vAlign w:val="center"/>
          </w:tcPr>
          <w:p w14:paraId="21DA1597">
            <w:pPr>
              <w:widowControl/>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610FFDE8">
            <w:pPr>
              <w:widowControl/>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6E3792AE">
            <w:pPr>
              <w:widowControl/>
              <w:jc w:val="left"/>
              <w:rPr>
                <w:color w:val="auto"/>
                <w:szCs w:val="21"/>
                <w:highlight w:val="none"/>
              </w:rPr>
            </w:pPr>
            <w:r>
              <w:rPr>
                <w:rFonts w:hint="eastAsia"/>
                <w:color w:val="auto"/>
                <w:szCs w:val="21"/>
                <w:highlight w:val="none"/>
              </w:rPr>
              <w:t>300≤X＜1000</w:t>
            </w:r>
          </w:p>
        </w:tc>
        <w:tc>
          <w:tcPr>
            <w:tcW w:w="1570" w:type="dxa"/>
            <w:tcBorders>
              <w:top w:val="nil"/>
              <w:left w:val="nil"/>
              <w:bottom w:val="single" w:color="auto" w:sz="4" w:space="0"/>
              <w:right w:val="single" w:color="auto" w:sz="4" w:space="0"/>
            </w:tcBorders>
            <w:noWrap w:val="0"/>
            <w:vAlign w:val="center"/>
          </w:tcPr>
          <w:p w14:paraId="683D0278">
            <w:pPr>
              <w:widowControl/>
              <w:jc w:val="left"/>
              <w:rPr>
                <w:color w:val="auto"/>
                <w:szCs w:val="21"/>
                <w:highlight w:val="none"/>
              </w:rPr>
            </w:pPr>
            <w:r>
              <w:rPr>
                <w:rFonts w:hint="eastAsia"/>
                <w:color w:val="auto"/>
                <w:szCs w:val="21"/>
                <w:highlight w:val="none"/>
              </w:rPr>
              <w:t>20≤X＜300</w:t>
            </w:r>
          </w:p>
        </w:tc>
        <w:tc>
          <w:tcPr>
            <w:tcW w:w="1009" w:type="dxa"/>
            <w:tcBorders>
              <w:top w:val="nil"/>
              <w:left w:val="nil"/>
              <w:bottom w:val="single" w:color="auto" w:sz="4" w:space="0"/>
              <w:right w:val="single" w:color="auto" w:sz="4" w:space="0"/>
            </w:tcBorders>
            <w:noWrap w:val="0"/>
            <w:vAlign w:val="center"/>
          </w:tcPr>
          <w:p w14:paraId="42823F1D">
            <w:pPr>
              <w:widowControl/>
              <w:jc w:val="left"/>
              <w:rPr>
                <w:color w:val="auto"/>
                <w:szCs w:val="21"/>
                <w:highlight w:val="none"/>
              </w:rPr>
            </w:pPr>
            <w:r>
              <w:rPr>
                <w:rFonts w:hint="eastAsia"/>
                <w:color w:val="auto"/>
                <w:szCs w:val="21"/>
                <w:highlight w:val="none"/>
              </w:rPr>
              <w:t>X＜20</w:t>
            </w:r>
          </w:p>
        </w:tc>
      </w:tr>
      <w:tr w14:paraId="3DCC2B99">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2A6999E0">
            <w:pPr>
              <w:widowControl/>
              <w:jc w:val="left"/>
              <w:rPr>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1E9D7D0D">
            <w:pPr>
              <w:widowControl/>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056B66C6">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778320C1">
            <w:pPr>
              <w:widowControl/>
              <w:jc w:val="left"/>
              <w:rPr>
                <w:color w:val="auto"/>
                <w:szCs w:val="21"/>
                <w:highlight w:val="none"/>
              </w:rPr>
            </w:pPr>
            <w:r>
              <w:rPr>
                <w:rFonts w:hint="eastAsia"/>
                <w:color w:val="auto"/>
                <w:szCs w:val="21"/>
                <w:highlight w:val="none"/>
              </w:rPr>
              <w:t>3000≤Y＜30000</w:t>
            </w:r>
          </w:p>
        </w:tc>
        <w:tc>
          <w:tcPr>
            <w:tcW w:w="1570" w:type="dxa"/>
            <w:tcBorders>
              <w:top w:val="nil"/>
              <w:left w:val="nil"/>
              <w:bottom w:val="single" w:color="auto" w:sz="4" w:space="0"/>
              <w:right w:val="single" w:color="auto" w:sz="4" w:space="0"/>
            </w:tcBorders>
            <w:noWrap w:val="0"/>
            <w:vAlign w:val="center"/>
          </w:tcPr>
          <w:p w14:paraId="5265EEE4">
            <w:pPr>
              <w:widowControl/>
              <w:jc w:val="left"/>
              <w:rPr>
                <w:color w:val="auto"/>
                <w:szCs w:val="21"/>
                <w:highlight w:val="none"/>
              </w:rPr>
            </w:pPr>
            <w:r>
              <w:rPr>
                <w:rFonts w:hint="eastAsia"/>
                <w:color w:val="auto"/>
                <w:szCs w:val="21"/>
                <w:highlight w:val="none"/>
              </w:rPr>
              <w:t>200≤Y＜3000</w:t>
            </w:r>
          </w:p>
        </w:tc>
        <w:tc>
          <w:tcPr>
            <w:tcW w:w="1009" w:type="dxa"/>
            <w:tcBorders>
              <w:top w:val="nil"/>
              <w:left w:val="nil"/>
              <w:bottom w:val="single" w:color="auto" w:sz="4" w:space="0"/>
              <w:right w:val="single" w:color="auto" w:sz="4" w:space="0"/>
            </w:tcBorders>
            <w:noWrap w:val="0"/>
            <w:vAlign w:val="center"/>
          </w:tcPr>
          <w:p w14:paraId="7F22E5CB">
            <w:pPr>
              <w:widowControl/>
              <w:jc w:val="left"/>
              <w:rPr>
                <w:color w:val="auto"/>
                <w:szCs w:val="21"/>
                <w:highlight w:val="none"/>
              </w:rPr>
            </w:pPr>
            <w:r>
              <w:rPr>
                <w:rFonts w:hint="eastAsia"/>
                <w:color w:val="auto"/>
                <w:szCs w:val="21"/>
                <w:highlight w:val="none"/>
              </w:rPr>
              <w:t>Y＜200</w:t>
            </w:r>
          </w:p>
        </w:tc>
      </w:tr>
      <w:tr w14:paraId="4022F665">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06D62D2F">
            <w:pPr>
              <w:widowControl/>
              <w:jc w:val="center"/>
              <w:rPr>
                <w:color w:val="auto"/>
                <w:szCs w:val="21"/>
                <w:highlight w:val="none"/>
              </w:rPr>
            </w:pPr>
            <w:r>
              <w:rPr>
                <w:rFonts w:hint="eastAsia"/>
                <w:color w:val="auto"/>
                <w:szCs w:val="21"/>
                <w:highlight w:val="none"/>
              </w:rPr>
              <w:t>仓储业</w:t>
            </w:r>
          </w:p>
        </w:tc>
        <w:tc>
          <w:tcPr>
            <w:tcW w:w="1701" w:type="dxa"/>
            <w:tcBorders>
              <w:top w:val="nil"/>
              <w:left w:val="nil"/>
              <w:bottom w:val="single" w:color="auto" w:sz="4" w:space="0"/>
              <w:right w:val="single" w:color="auto" w:sz="4" w:space="0"/>
            </w:tcBorders>
            <w:noWrap w:val="0"/>
            <w:vAlign w:val="center"/>
          </w:tcPr>
          <w:p w14:paraId="09B63BE2">
            <w:pPr>
              <w:widowControl/>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4928B43B">
            <w:pPr>
              <w:widowControl/>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76795BEF">
            <w:pPr>
              <w:widowControl/>
              <w:jc w:val="left"/>
              <w:rPr>
                <w:color w:val="auto"/>
                <w:szCs w:val="21"/>
                <w:highlight w:val="none"/>
              </w:rPr>
            </w:pPr>
            <w:r>
              <w:rPr>
                <w:rFonts w:hint="eastAsia"/>
                <w:color w:val="auto"/>
                <w:szCs w:val="21"/>
                <w:highlight w:val="none"/>
              </w:rPr>
              <w:t>100≤X＜200</w:t>
            </w:r>
          </w:p>
        </w:tc>
        <w:tc>
          <w:tcPr>
            <w:tcW w:w="1570" w:type="dxa"/>
            <w:tcBorders>
              <w:top w:val="nil"/>
              <w:left w:val="nil"/>
              <w:bottom w:val="single" w:color="auto" w:sz="4" w:space="0"/>
              <w:right w:val="single" w:color="auto" w:sz="4" w:space="0"/>
            </w:tcBorders>
            <w:noWrap w:val="0"/>
            <w:vAlign w:val="center"/>
          </w:tcPr>
          <w:p w14:paraId="1FD49167">
            <w:pPr>
              <w:widowControl/>
              <w:jc w:val="left"/>
              <w:rPr>
                <w:color w:val="auto"/>
                <w:szCs w:val="21"/>
                <w:highlight w:val="none"/>
              </w:rPr>
            </w:pPr>
            <w:r>
              <w:rPr>
                <w:rFonts w:hint="eastAsia"/>
                <w:color w:val="auto"/>
                <w:szCs w:val="21"/>
                <w:highlight w:val="none"/>
              </w:rPr>
              <w:t>20≤X＜100</w:t>
            </w:r>
          </w:p>
        </w:tc>
        <w:tc>
          <w:tcPr>
            <w:tcW w:w="1009" w:type="dxa"/>
            <w:tcBorders>
              <w:top w:val="nil"/>
              <w:left w:val="nil"/>
              <w:bottom w:val="single" w:color="auto" w:sz="4" w:space="0"/>
              <w:right w:val="single" w:color="auto" w:sz="4" w:space="0"/>
            </w:tcBorders>
            <w:noWrap w:val="0"/>
            <w:vAlign w:val="center"/>
          </w:tcPr>
          <w:p w14:paraId="5D493B49">
            <w:pPr>
              <w:widowControl/>
              <w:jc w:val="left"/>
              <w:rPr>
                <w:color w:val="auto"/>
                <w:szCs w:val="21"/>
                <w:highlight w:val="none"/>
              </w:rPr>
            </w:pPr>
            <w:r>
              <w:rPr>
                <w:rFonts w:hint="eastAsia"/>
                <w:color w:val="auto"/>
                <w:szCs w:val="21"/>
                <w:highlight w:val="none"/>
              </w:rPr>
              <w:t>X＜20</w:t>
            </w:r>
          </w:p>
        </w:tc>
      </w:tr>
      <w:tr w14:paraId="29C900F8">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4A43A257">
            <w:pPr>
              <w:widowControl/>
              <w:jc w:val="left"/>
              <w:rPr>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1CBFE1EE">
            <w:pPr>
              <w:widowControl/>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4EC71C32">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66262ADE">
            <w:pPr>
              <w:widowControl/>
              <w:jc w:val="left"/>
              <w:rPr>
                <w:color w:val="auto"/>
                <w:szCs w:val="21"/>
                <w:highlight w:val="none"/>
              </w:rPr>
            </w:pPr>
            <w:r>
              <w:rPr>
                <w:rFonts w:hint="eastAsia"/>
                <w:color w:val="auto"/>
                <w:szCs w:val="21"/>
                <w:highlight w:val="none"/>
              </w:rPr>
              <w:t>1000≤Y＜30000</w:t>
            </w:r>
          </w:p>
        </w:tc>
        <w:tc>
          <w:tcPr>
            <w:tcW w:w="1570" w:type="dxa"/>
            <w:tcBorders>
              <w:top w:val="nil"/>
              <w:left w:val="nil"/>
              <w:bottom w:val="single" w:color="auto" w:sz="4" w:space="0"/>
              <w:right w:val="single" w:color="auto" w:sz="4" w:space="0"/>
            </w:tcBorders>
            <w:noWrap w:val="0"/>
            <w:vAlign w:val="center"/>
          </w:tcPr>
          <w:p w14:paraId="601003FD">
            <w:pPr>
              <w:widowControl/>
              <w:jc w:val="left"/>
              <w:rPr>
                <w:color w:val="auto"/>
                <w:szCs w:val="21"/>
                <w:highlight w:val="none"/>
              </w:rPr>
            </w:pPr>
            <w:r>
              <w:rPr>
                <w:rFonts w:hint="eastAsia"/>
                <w:color w:val="auto"/>
                <w:szCs w:val="21"/>
                <w:highlight w:val="none"/>
              </w:rPr>
              <w:t>100≤Y＜1000</w:t>
            </w:r>
          </w:p>
        </w:tc>
        <w:tc>
          <w:tcPr>
            <w:tcW w:w="1009" w:type="dxa"/>
            <w:tcBorders>
              <w:top w:val="nil"/>
              <w:left w:val="nil"/>
              <w:bottom w:val="single" w:color="auto" w:sz="4" w:space="0"/>
              <w:right w:val="single" w:color="auto" w:sz="4" w:space="0"/>
            </w:tcBorders>
            <w:noWrap w:val="0"/>
            <w:vAlign w:val="center"/>
          </w:tcPr>
          <w:p w14:paraId="362A8177">
            <w:pPr>
              <w:widowControl/>
              <w:jc w:val="left"/>
              <w:rPr>
                <w:color w:val="auto"/>
                <w:szCs w:val="21"/>
                <w:highlight w:val="none"/>
              </w:rPr>
            </w:pPr>
            <w:r>
              <w:rPr>
                <w:rFonts w:hint="eastAsia"/>
                <w:color w:val="auto"/>
                <w:szCs w:val="21"/>
                <w:highlight w:val="none"/>
              </w:rPr>
              <w:t>Y＜100</w:t>
            </w:r>
          </w:p>
        </w:tc>
      </w:tr>
      <w:tr w14:paraId="2FCF773B">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60C8CBD1">
            <w:pPr>
              <w:widowControl/>
              <w:jc w:val="center"/>
              <w:rPr>
                <w:color w:val="auto"/>
                <w:szCs w:val="21"/>
                <w:highlight w:val="none"/>
              </w:rPr>
            </w:pPr>
            <w:r>
              <w:rPr>
                <w:rFonts w:hint="eastAsia"/>
                <w:color w:val="auto"/>
                <w:szCs w:val="21"/>
                <w:highlight w:val="none"/>
              </w:rPr>
              <w:t>邮政业</w:t>
            </w:r>
          </w:p>
        </w:tc>
        <w:tc>
          <w:tcPr>
            <w:tcW w:w="1701" w:type="dxa"/>
            <w:tcBorders>
              <w:top w:val="nil"/>
              <w:left w:val="nil"/>
              <w:bottom w:val="single" w:color="auto" w:sz="4" w:space="0"/>
              <w:right w:val="single" w:color="auto" w:sz="4" w:space="0"/>
            </w:tcBorders>
            <w:noWrap w:val="0"/>
            <w:vAlign w:val="center"/>
          </w:tcPr>
          <w:p w14:paraId="024B75A4">
            <w:pPr>
              <w:widowControl/>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1FE18601">
            <w:pPr>
              <w:widowControl/>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2A2F3B77">
            <w:pPr>
              <w:widowControl/>
              <w:jc w:val="left"/>
              <w:rPr>
                <w:color w:val="auto"/>
                <w:szCs w:val="21"/>
                <w:highlight w:val="none"/>
              </w:rPr>
            </w:pPr>
            <w:r>
              <w:rPr>
                <w:rFonts w:hint="eastAsia"/>
                <w:color w:val="auto"/>
                <w:szCs w:val="21"/>
                <w:highlight w:val="none"/>
              </w:rPr>
              <w:t>300≤X＜1000</w:t>
            </w:r>
          </w:p>
        </w:tc>
        <w:tc>
          <w:tcPr>
            <w:tcW w:w="1570" w:type="dxa"/>
            <w:tcBorders>
              <w:top w:val="nil"/>
              <w:left w:val="nil"/>
              <w:bottom w:val="single" w:color="auto" w:sz="4" w:space="0"/>
              <w:right w:val="single" w:color="auto" w:sz="4" w:space="0"/>
            </w:tcBorders>
            <w:noWrap w:val="0"/>
            <w:vAlign w:val="center"/>
          </w:tcPr>
          <w:p w14:paraId="0FBAE448">
            <w:pPr>
              <w:widowControl/>
              <w:jc w:val="left"/>
              <w:rPr>
                <w:color w:val="auto"/>
                <w:szCs w:val="21"/>
                <w:highlight w:val="none"/>
              </w:rPr>
            </w:pPr>
            <w:r>
              <w:rPr>
                <w:rFonts w:hint="eastAsia"/>
                <w:color w:val="auto"/>
                <w:szCs w:val="21"/>
                <w:highlight w:val="none"/>
              </w:rPr>
              <w:t>20≤X＜300</w:t>
            </w:r>
          </w:p>
        </w:tc>
        <w:tc>
          <w:tcPr>
            <w:tcW w:w="1009" w:type="dxa"/>
            <w:tcBorders>
              <w:top w:val="nil"/>
              <w:left w:val="nil"/>
              <w:bottom w:val="single" w:color="auto" w:sz="4" w:space="0"/>
              <w:right w:val="single" w:color="auto" w:sz="4" w:space="0"/>
            </w:tcBorders>
            <w:noWrap w:val="0"/>
            <w:vAlign w:val="center"/>
          </w:tcPr>
          <w:p w14:paraId="1F9B5A0C">
            <w:pPr>
              <w:widowControl/>
              <w:jc w:val="left"/>
              <w:rPr>
                <w:color w:val="auto"/>
                <w:szCs w:val="21"/>
                <w:highlight w:val="none"/>
              </w:rPr>
            </w:pPr>
            <w:r>
              <w:rPr>
                <w:rFonts w:hint="eastAsia"/>
                <w:color w:val="auto"/>
                <w:szCs w:val="21"/>
                <w:highlight w:val="none"/>
              </w:rPr>
              <w:t>X＜20</w:t>
            </w:r>
          </w:p>
        </w:tc>
      </w:tr>
      <w:tr w14:paraId="5E6FF667">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6EBFC63D">
            <w:pPr>
              <w:widowControl/>
              <w:jc w:val="left"/>
              <w:rPr>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5C2D8049">
            <w:pPr>
              <w:widowControl/>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5986E6CB">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5A968E4F">
            <w:pPr>
              <w:widowControl/>
              <w:jc w:val="left"/>
              <w:rPr>
                <w:color w:val="auto"/>
                <w:szCs w:val="21"/>
                <w:highlight w:val="none"/>
              </w:rPr>
            </w:pPr>
            <w:r>
              <w:rPr>
                <w:rFonts w:hint="eastAsia"/>
                <w:color w:val="auto"/>
                <w:szCs w:val="21"/>
                <w:highlight w:val="none"/>
              </w:rPr>
              <w:t>2000≤Y＜30000</w:t>
            </w:r>
          </w:p>
        </w:tc>
        <w:tc>
          <w:tcPr>
            <w:tcW w:w="1570" w:type="dxa"/>
            <w:tcBorders>
              <w:top w:val="nil"/>
              <w:left w:val="nil"/>
              <w:bottom w:val="single" w:color="auto" w:sz="4" w:space="0"/>
              <w:right w:val="single" w:color="auto" w:sz="4" w:space="0"/>
            </w:tcBorders>
            <w:noWrap w:val="0"/>
            <w:vAlign w:val="center"/>
          </w:tcPr>
          <w:p w14:paraId="21C3AA19">
            <w:pPr>
              <w:widowControl/>
              <w:jc w:val="left"/>
              <w:rPr>
                <w:color w:val="auto"/>
                <w:szCs w:val="21"/>
                <w:highlight w:val="none"/>
              </w:rPr>
            </w:pPr>
            <w:r>
              <w:rPr>
                <w:rFonts w:hint="eastAsia"/>
                <w:color w:val="auto"/>
                <w:szCs w:val="21"/>
                <w:highlight w:val="none"/>
              </w:rPr>
              <w:t>100≤Y＜2000</w:t>
            </w:r>
          </w:p>
        </w:tc>
        <w:tc>
          <w:tcPr>
            <w:tcW w:w="1009" w:type="dxa"/>
            <w:tcBorders>
              <w:top w:val="nil"/>
              <w:left w:val="nil"/>
              <w:bottom w:val="single" w:color="auto" w:sz="4" w:space="0"/>
              <w:right w:val="single" w:color="auto" w:sz="4" w:space="0"/>
            </w:tcBorders>
            <w:noWrap w:val="0"/>
            <w:vAlign w:val="center"/>
          </w:tcPr>
          <w:p w14:paraId="7DBC4322">
            <w:pPr>
              <w:widowControl/>
              <w:jc w:val="left"/>
              <w:rPr>
                <w:color w:val="auto"/>
                <w:szCs w:val="21"/>
                <w:highlight w:val="none"/>
              </w:rPr>
            </w:pPr>
            <w:r>
              <w:rPr>
                <w:rFonts w:hint="eastAsia"/>
                <w:color w:val="auto"/>
                <w:szCs w:val="21"/>
                <w:highlight w:val="none"/>
              </w:rPr>
              <w:t>Y＜100</w:t>
            </w:r>
          </w:p>
        </w:tc>
      </w:tr>
      <w:tr w14:paraId="3920034C">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295BBE62">
            <w:pPr>
              <w:widowControl/>
              <w:jc w:val="center"/>
              <w:rPr>
                <w:color w:val="auto"/>
                <w:szCs w:val="21"/>
                <w:highlight w:val="none"/>
              </w:rPr>
            </w:pPr>
            <w:r>
              <w:rPr>
                <w:rFonts w:hint="eastAsia"/>
                <w:color w:val="auto"/>
                <w:szCs w:val="21"/>
                <w:highlight w:val="none"/>
              </w:rPr>
              <w:t>住宿业</w:t>
            </w:r>
          </w:p>
        </w:tc>
        <w:tc>
          <w:tcPr>
            <w:tcW w:w="1701" w:type="dxa"/>
            <w:tcBorders>
              <w:top w:val="nil"/>
              <w:left w:val="nil"/>
              <w:bottom w:val="single" w:color="auto" w:sz="4" w:space="0"/>
              <w:right w:val="single" w:color="auto" w:sz="4" w:space="0"/>
            </w:tcBorders>
            <w:noWrap w:val="0"/>
            <w:vAlign w:val="center"/>
          </w:tcPr>
          <w:p w14:paraId="4306A650">
            <w:pPr>
              <w:widowControl/>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42DDE4E9">
            <w:pPr>
              <w:widowControl/>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07FAA7CB">
            <w:pPr>
              <w:widowControl/>
              <w:jc w:val="left"/>
              <w:rPr>
                <w:color w:val="auto"/>
                <w:szCs w:val="21"/>
                <w:highlight w:val="none"/>
              </w:rPr>
            </w:pPr>
            <w:r>
              <w:rPr>
                <w:rFonts w:hint="eastAsia"/>
                <w:color w:val="auto"/>
                <w:szCs w:val="21"/>
                <w:highlight w:val="none"/>
              </w:rPr>
              <w:t>100≤X＜300</w:t>
            </w:r>
          </w:p>
        </w:tc>
        <w:tc>
          <w:tcPr>
            <w:tcW w:w="1570" w:type="dxa"/>
            <w:tcBorders>
              <w:top w:val="nil"/>
              <w:left w:val="nil"/>
              <w:bottom w:val="single" w:color="auto" w:sz="4" w:space="0"/>
              <w:right w:val="single" w:color="auto" w:sz="4" w:space="0"/>
            </w:tcBorders>
            <w:noWrap w:val="0"/>
            <w:vAlign w:val="center"/>
          </w:tcPr>
          <w:p w14:paraId="28D818D0">
            <w:pPr>
              <w:widowControl/>
              <w:jc w:val="left"/>
              <w:rPr>
                <w:color w:val="auto"/>
                <w:szCs w:val="21"/>
                <w:highlight w:val="none"/>
              </w:rPr>
            </w:pPr>
            <w:r>
              <w:rPr>
                <w:rFonts w:hint="eastAsia"/>
                <w:color w:val="auto"/>
                <w:szCs w:val="21"/>
                <w:highlight w:val="none"/>
              </w:rPr>
              <w:t>10≤X＜100</w:t>
            </w:r>
          </w:p>
        </w:tc>
        <w:tc>
          <w:tcPr>
            <w:tcW w:w="1009" w:type="dxa"/>
            <w:tcBorders>
              <w:top w:val="nil"/>
              <w:left w:val="nil"/>
              <w:bottom w:val="single" w:color="auto" w:sz="4" w:space="0"/>
              <w:right w:val="single" w:color="auto" w:sz="4" w:space="0"/>
            </w:tcBorders>
            <w:noWrap w:val="0"/>
            <w:vAlign w:val="center"/>
          </w:tcPr>
          <w:p w14:paraId="5511E5B5">
            <w:pPr>
              <w:widowControl/>
              <w:jc w:val="left"/>
              <w:rPr>
                <w:color w:val="auto"/>
                <w:szCs w:val="21"/>
                <w:highlight w:val="none"/>
              </w:rPr>
            </w:pPr>
            <w:r>
              <w:rPr>
                <w:rFonts w:hint="eastAsia"/>
                <w:color w:val="auto"/>
                <w:szCs w:val="21"/>
                <w:highlight w:val="none"/>
              </w:rPr>
              <w:t>X＜10</w:t>
            </w:r>
          </w:p>
        </w:tc>
      </w:tr>
      <w:tr w14:paraId="602C4CF0">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047C3D70">
            <w:pPr>
              <w:widowControl/>
              <w:jc w:val="left"/>
              <w:rPr>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48B766FA">
            <w:pPr>
              <w:widowControl/>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12079BB1">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4599CA38">
            <w:pPr>
              <w:widowControl/>
              <w:jc w:val="left"/>
              <w:rPr>
                <w:color w:val="auto"/>
                <w:szCs w:val="21"/>
                <w:highlight w:val="none"/>
              </w:rPr>
            </w:pPr>
            <w:r>
              <w:rPr>
                <w:rFonts w:hint="eastAsia"/>
                <w:color w:val="auto"/>
                <w:szCs w:val="21"/>
                <w:highlight w:val="none"/>
              </w:rPr>
              <w:t>2000≤Y＜10000</w:t>
            </w:r>
          </w:p>
        </w:tc>
        <w:tc>
          <w:tcPr>
            <w:tcW w:w="1570" w:type="dxa"/>
            <w:tcBorders>
              <w:top w:val="nil"/>
              <w:left w:val="nil"/>
              <w:bottom w:val="single" w:color="auto" w:sz="4" w:space="0"/>
              <w:right w:val="single" w:color="auto" w:sz="4" w:space="0"/>
            </w:tcBorders>
            <w:noWrap w:val="0"/>
            <w:vAlign w:val="center"/>
          </w:tcPr>
          <w:p w14:paraId="4C12D754">
            <w:pPr>
              <w:widowControl/>
              <w:jc w:val="left"/>
              <w:rPr>
                <w:color w:val="auto"/>
                <w:szCs w:val="21"/>
                <w:highlight w:val="none"/>
              </w:rPr>
            </w:pPr>
            <w:r>
              <w:rPr>
                <w:rFonts w:hint="eastAsia"/>
                <w:color w:val="auto"/>
                <w:szCs w:val="21"/>
                <w:highlight w:val="none"/>
              </w:rPr>
              <w:t>100≤Y＜2000</w:t>
            </w:r>
          </w:p>
        </w:tc>
        <w:tc>
          <w:tcPr>
            <w:tcW w:w="1009" w:type="dxa"/>
            <w:tcBorders>
              <w:top w:val="nil"/>
              <w:left w:val="nil"/>
              <w:bottom w:val="single" w:color="auto" w:sz="4" w:space="0"/>
              <w:right w:val="single" w:color="auto" w:sz="4" w:space="0"/>
            </w:tcBorders>
            <w:noWrap w:val="0"/>
            <w:vAlign w:val="center"/>
          </w:tcPr>
          <w:p w14:paraId="2F68DEF2">
            <w:pPr>
              <w:widowControl/>
              <w:jc w:val="left"/>
              <w:rPr>
                <w:color w:val="auto"/>
                <w:szCs w:val="21"/>
                <w:highlight w:val="none"/>
              </w:rPr>
            </w:pPr>
            <w:r>
              <w:rPr>
                <w:rFonts w:hint="eastAsia"/>
                <w:color w:val="auto"/>
                <w:szCs w:val="21"/>
                <w:highlight w:val="none"/>
              </w:rPr>
              <w:t>Y＜100</w:t>
            </w:r>
          </w:p>
        </w:tc>
      </w:tr>
      <w:tr w14:paraId="283B2C41">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1245DD51">
            <w:pPr>
              <w:widowControl/>
              <w:jc w:val="center"/>
              <w:rPr>
                <w:color w:val="auto"/>
                <w:szCs w:val="21"/>
                <w:highlight w:val="none"/>
              </w:rPr>
            </w:pPr>
            <w:r>
              <w:rPr>
                <w:rFonts w:hint="eastAsia"/>
                <w:color w:val="auto"/>
                <w:szCs w:val="21"/>
                <w:highlight w:val="none"/>
              </w:rPr>
              <w:t>餐饮业</w:t>
            </w:r>
          </w:p>
        </w:tc>
        <w:tc>
          <w:tcPr>
            <w:tcW w:w="1701" w:type="dxa"/>
            <w:tcBorders>
              <w:top w:val="nil"/>
              <w:left w:val="nil"/>
              <w:bottom w:val="single" w:color="auto" w:sz="4" w:space="0"/>
              <w:right w:val="single" w:color="auto" w:sz="4" w:space="0"/>
            </w:tcBorders>
            <w:noWrap w:val="0"/>
            <w:vAlign w:val="center"/>
          </w:tcPr>
          <w:p w14:paraId="6F702304">
            <w:pPr>
              <w:widowControl/>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5A01EC1A">
            <w:pPr>
              <w:widowControl/>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47E56D5F">
            <w:pPr>
              <w:widowControl/>
              <w:jc w:val="left"/>
              <w:rPr>
                <w:color w:val="auto"/>
                <w:szCs w:val="21"/>
                <w:highlight w:val="none"/>
              </w:rPr>
            </w:pPr>
            <w:r>
              <w:rPr>
                <w:rFonts w:hint="eastAsia"/>
                <w:color w:val="auto"/>
                <w:szCs w:val="21"/>
                <w:highlight w:val="none"/>
              </w:rPr>
              <w:t>100≤X＜300</w:t>
            </w:r>
          </w:p>
        </w:tc>
        <w:tc>
          <w:tcPr>
            <w:tcW w:w="1570" w:type="dxa"/>
            <w:tcBorders>
              <w:top w:val="nil"/>
              <w:left w:val="nil"/>
              <w:bottom w:val="single" w:color="auto" w:sz="4" w:space="0"/>
              <w:right w:val="single" w:color="auto" w:sz="4" w:space="0"/>
            </w:tcBorders>
            <w:noWrap w:val="0"/>
            <w:vAlign w:val="center"/>
          </w:tcPr>
          <w:p w14:paraId="1B8DD975">
            <w:pPr>
              <w:widowControl/>
              <w:jc w:val="left"/>
              <w:rPr>
                <w:color w:val="auto"/>
                <w:szCs w:val="21"/>
                <w:highlight w:val="none"/>
              </w:rPr>
            </w:pPr>
            <w:r>
              <w:rPr>
                <w:rFonts w:hint="eastAsia"/>
                <w:color w:val="auto"/>
                <w:szCs w:val="21"/>
                <w:highlight w:val="none"/>
              </w:rPr>
              <w:t>10≤X＜100</w:t>
            </w:r>
          </w:p>
        </w:tc>
        <w:tc>
          <w:tcPr>
            <w:tcW w:w="1009" w:type="dxa"/>
            <w:tcBorders>
              <w:top w:val="nil"/>
              <w:left w:val="nil"/>
              <w:bottom w:val="single" w:color="auto" w:sz="4" w:space="0"/>
              <w:right w:val="single" w:color="auto" w:sz="4" w:space="0"/>
            </w:tcBorders>
            <w:noWrap w:val="0"/>
            <w:vAlign w:val="center"/>
          </w:tcPr>
          <w:p w14:paraId="77427DCF">
            <w:pPr>
              <w:widowControl/>
              <w:jc w:val="left"/>
              <w:rPr>
                <w:color w:val="auto"/>
                <w:szCs w:val="21"/>
                <w:highlight w:val="none"/>
              </w:rPr>
            </w:pPr>
            <w:r>
              <w:rPr>
                <w:rFonts w:hint="eastAsia"/>
                <w:color w:val="auto"/>
                <w:szCs w:val="21"/>
                <w:highlight w:val="none"/>
              </w:rPr>
              <w:t>X＜10</w:t>
            </w:r>
          </w:p>
        </w:tc>
      </w:tr>
      <w:tr w14:paraId="1A6D5279">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00175375">
            <w:pPr>
              <w:widowControl/>
              <w:jc w:val="left"/>
              <w:rPr>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63D930E6">
            <w:pPr>
              <w:widowControl/>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0D60FCDB">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1E2A5C57">
            <w:pPr>
              <w:widowControl/>
              <w:jc w:val="left"/>
              <w:rPr>
                <w:color w:val="auto"/>
                <w:szCs w:val="21"/>
                <w:highlight w:val="none"/>
              </w:rPr>
            </w:pPr>
            <w:r>
              <w:rPr>
                <w:rFonts w:hint="eastAsia"/>
                <w:color w:val="auto"/>
                <w:szCs w:val="21"/>
                <w:highlight w:val="none"/>
              </w:rPr>
              <w:t>2000≤Y＜10000</w:t>
            </w:r>
          </w:p>
        </w:tc>
        <w:tc>
          <w:tcPr>
            <w:tcW w:w="1570" w:type="dxa"/>
            <w:tcBorders>
              <w:top w:val="nil"/>
              <w:left w:val="nil"/>
              <w:bottom w:val="single" w:color="auto" w:sz="4" w:space="0"/>
              <w:right w:val="single" w:color="auto" w:sz="4" w:space="0"/>
            </w:tcBorders>
            <w:noWrap w:val="0"/>
            <w:vAlign w:val="center"/>
          </w:tcPr>
          <w:p w14:paraId="61E802EC">
            <w:pPr>
              <w:widowControl/>
              <w:jc w:val="left"/>
              <w:rPr>
                <w:color w:val="auto"/>
                <w:szCs w:val="21"/>
                <w:highlight w:val="none"/>
              </w:rPr>
            </w:pPr>
            <w:r>
              <w:rPr>
                <w:rFonts w:hint="eastAsia"/>
                <w:color w:val="auto"/>
                <w:szCs w:val="21"/>
                <w:highlight w:val="none"/>
              </w:rPr>
              <w:t>100≤Y＜2000</w:t>
            </w:r>
          </w:p>
        </w:tc>
        <w:tc>
          <w:tcPr>
            <w:tcW w:w="1009" w:type="dxa"/>
            <w:tcBorders>
              <w:top w:val="nil"/>
              <w:left w:val="nil"/>
              <w:bottom w:val="single" w:color="auto" w:sz="4" w:space="0"/>
              <w:right w:val="single" w:color="auto" w:sz="4" w:space="0"/>
            </w:tcBorders>
            <w:noWrap w:val="0"/>
            <w:vAlign w:val="center"/>
          </w:tcPr>
          <w:p w14:paraId="3210FBB1">
            <w:pPr>
              <w:widowControl/>
              <w:jc w:val="left"/>
              <w:rPr>
                <w:color w:val="auto"/>
                <w:szCs w:val="21"/>
                <w:highlight w:val="none"/>
              </w:rPr>
            </w:pPr>
            <w:r>
              <w:rPr>
                <w:rFonts w:hint="eastAsia"/>
                <w:color w:val="auto"/>
                <w:szCs w:val="21"/>
                <w:highlight w:val="none"/>
              </w:rPr>
              <w:t>Y＜100</w:t>
            </w:r>
          </w:p>
        </w:tc>
      </w:tr>
      <w:tr w14:paraId="43CE9C3A">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355B1DF3">
            <w:pPr>
              <w:widowControl/>
              <w:jc w:val="center"/>
              <w:rPr>
                <w:color w:val="auto"/>
                <w:szCs w:val="21"/>
                <w:highlight w:val="none"/>
              </w:rPr>
            </w:pPr>
            <w:r>
              <w:rPr>
                <w:rFonts w:hint="eastAsia"/>
                <w:color w:val="auto"/>
                <w:szCs w:val="21"/>
                <w:highlight w:val="none"/>
              </w:rPr>
              <w:t>信息传输业</w:t>
            </w:r>
          </w:p>
        </w:tc>
        <w:tc>
          <w:tcPr>
            <w:tcW w:w="1701" w:type="dxa"/>
            <w:tcBorders>
              <w:top w:val="nil"/>
              <w:left w:val="nil"/>
              <w:bottom w:val="single" w:color="auto" w:sz="4" w:space="0"/>
              <w:right w:val="single" w:color="auto" w:sz="4" w:space="0"/>
            </w:tcBorders>
            <w:noWrap w:val="0"/>
            <w:vAlign w:val="center"/>
          </w:tcPr>
          <w:p w14:paraId="45EA2214">
            <w:pPr>
              <w:widowControl/>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44251904">
            <w:pPr>
              <w:widowControl/>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7E5896F6">
            <w:pPr>
              <w:widowControl/>
              <w:jc w:val="left"/>
              <w:rPr>
                <w:color w:val="auto"/>
                <w:szCs w:val="21"/>
                <w:highlight w:val="none"/>
              </w:rPr>
            </w:pPr>
            <w:r>
              <w:rPr>
                <w:rFonts w:hint="eastAsia"/>
                <w:color w:val="auto"/>
                <w:szCs w:val="21"/>
                <w:highlight w:val="none"/>
              </w:rPr>
              <w:t>100≤X＜2000</w:t>
            </w:r>
          </w:p>
        </w:tc>
        <w:tc>
          <w:tcPr>
            <w:tcW w:w="1570" w:type="dxa"/>
            <w:tcBorders>
              <w:top w:val="nil"/>
              <w:left w:val="nil"/>
              <w:bottom w:val="single" w:color="auto" w:sz="4" w:space="0"/>
              <w:right w:val="single" w:color="auto" w:sz="4" w:space="0"/>
            </w:tcBorders>
            <w:noWrap w:val="0"/>
            <w:vAlign w:val="center"/>
          </w:tcPr>
          <w:p w14:paraId="35B89103">
            <w:pPr>
              <w:widowControl/>
              <w:jc w:val="left"/>
              <w:rPr>
                <w:color w:val="auto"/>
                <w:szCs w:val="21"/>
                <w:highlight w:val="none"/>
              </w:rPr>
            </w:pPr>
            <w:r>
              <w:rPr>
                <w:rFonts w:hint="eastAsia"/>
                <w:color w:val="auto"/>
                <w:szCs w:val="21"/>
                <w:highlight w:val="none"/>
              </w:rPr>
              <w:t>10≤X＜100</w:t>
            </w:r>
          </w:p>
        </w:tc>
        <w:tc>
          <w:tcPr>
            <w:tcW w:w="1009" w:type="dxa"/>
            <w:tcBorders>
              <w:top w:val="nil"/>
              <w:left w:val="nil"/>
              <w:bottom w:val="single" w:color="auto" w:sz="4" w:space="0"/>
              <w:right w:val="single" w:color="auto" w:sz="4" w:space="0"/>
            </w:tcBorders>
            <w:noWrap w:val="0"/>
            <w:vAlign w:val="center"/>
          </w:tcPr>
          <w:p w14:paraId="36A26298">
            <w:pPr>
              <w:widowControl/>
              <w:jc w:val="left"/>
              <w:rPr>
                <w:color w:val="auto"/>
                <w:szCs w:val="21"/>
                <w:highlight w:val="none"/>
              </w:rPr>
            </w:pPr>
            <w:r>
              <w:rPr>
                <w:rFonts w:hint="eastAsia"/>
                <w:color w:val="auto"/>
                <w:szCs w:val="21"/>
                <w:highlight w:val="none"/>
              </w:rPr>
              <w:t>X＜10</w:t>
            </w:r>
          </w:p>
        </w:tc>
      </w:tr>
      <w:tr w14:paraId="705996EC">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7A76A6FF">
            <w:pPr>
              <w:widowControl/>
              <w:jc w:val="left"/>
              <w:rPr>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35EF1935">
            <w:pPr>
              <w:widowControl/>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4957B6D8">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6DECD69A">
            <w:pPr>
              <w:widowControl/>
              <w:jc w:val="left"/>
              <w:rPr>
                <w:color w:val="auto"/>
                <w:szCs w:val="21"/>
                <w:highlight w:val="none"/>
              </w:rPr>
            </w:pPr>
            <w:r>
              <w:rPr>
                <w:rFonts w:hint="eastAsia"/>
                <w:color w:val="auto"/>
                <w:szCs w:val="21"/>
                <w:highlight w:val="none"/>
              </w:rPr>
              <w:t>1000≤Y＜100000</w:t>
            </w:r>
          </w:p>
        </w:tc>
        <w:tc>
          <w:tcPr>
            <w:tcW w:w="1570" w:type="dxa"/>
            <w:tcBorders>
              <w:top w:val="nil"/>
              <w:left w:val="nil"/>
              <w:bottom w:val="single" w:color="auto" w:sz="4" w:space="0"/>
              <w:right w:val="single" w:color="auto" w:sz="4" w:space="0"/>
            </w:tcBorders>
            <w:noWrap w:val="0"/>
            <w:vAlign w:val="center"/>
          </w:tcPr>
          <w:p w14:paraId="4A2B1089">
            <w:pPr>
              <w:widowControl/>
              <w:jc w:val="left"/>
              <w:rPr>
                <w:color w:val="auto"/>
                <w:szCs w:val="21"/>
                <w:highlight w:val="none"/>
              </w:rPr>
            </w:pPr>
            <w:r>
              <w:rPr>
                <w:rFonts w:hint="eastAsia"/>
                <w:color w:val="auto"/>
                <w:szCs w:val="21"/>
                <w:highlight w:val="none"/>
              </w:rPr>
              <w:t>100≤Y＜1000</w:t>
            </w:r>
          </w:p>
        </w:tc>
        <w:tc>
          <w:tcPr>
            <w:tcW w:w="1009" w:type="dxa"/>
            <w:tcBorders>
              <w:top w:val="nil"/>
              <w:left w:val="nil"/>
              <w:bottom w:val="single" w:color="auto" w:sz="4" w:space="0"/>
              <w:right w:val="single" w:color="auto" w:sz="4" w:space="0"/>
            </w:tcBorders>
            <w:noWrap w:val="0"/>
            <w:vAlign w:val="center"/>
          </w:tcPr>
          <w:p w14:paraId="4C8C49EB">
            <w:pPr>
              <w:widowControl/>
              <w:jc w:val="left"/>
              <w:rPr>
                <w:color w:val="auto"/>
                <w:szCs w:val="21"/>
                <w:highlight w:val="none"/>
              </w:rPr>
            </w:pPr>
            <w:r>
              <w:rPr>
                <w:rFonts w:hint="eastAsia"/>
                <w:color w:val="auto"/>
                <w:szCs w:val="21"/>
                <w:highlight w:val="none"/>
              </w:rPr>
              <w:t>Y＜100</w:t>
            </w:r>
          </w:p>
        </w:tc>
      </w:tr>
      <w:tr w14:paraId="05454A3B">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6BA77537">
            <w:pPr>
              <w:widowControl/>
              <w:jc w:val="center"/>
              <w:rPr>
                <w:color w:val="auto"/>
                <w:szCs w:val="21"/>
                <w:highlight w:val="none"/>
              </w:rPr>
            </w:pPr>
            <w:r>
              <w:rPr>
                <w:rFonts w:hint="eastAsia"/>
                <w:color w:val="auto"/>
                <w:szCs w:val="21"/>
                <w:highlight w:val="none"/>
              </w:rPr>
              <w:t>软件和信息技术服务业</w:t>
            </w:r>
          </w:p>
        </w:tc>
        <w:tc>
          <w:tcPr>
            <w:tcW w:w="1701" w:type="dxa"/>
            <w:tcBorders>
              <w:top w:val="nil"/>
              <w:left w:val="nil"/>
              <w:bottom w:val="single" w:color="auto" w:sz="4" w:space="0"/>
              <w:right w:val="single" w:color="auto" w:sz="4" w:space="0"/>
            </w:tcBorders>
            <w:noWrap w:val="0"/>
            <w:vAlign w:val="center"/>
          </w:tcPr>
          <w:p w14:paraId="454550E8">
            <w:pPr>
              <w:widowControl/>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43C66ED0">
            <w:pPr>
              <w:widowControl/>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77AC412B">
            <w:pPr>
              <w:widowControl/>
              <w:jc w:val="left"/>
              <w:rPr>
                <w:color w:val="auto"/>
                <w:szCs w:val="21"/>
                <w:highlight w:val="none"/>
              </w:rPr>
            </w:pPr>
            <w:r>
              <w:rPr>
                <w:rFonts w:hint="eastAsia"/>
                <w:color w:val="auto"/>
                <w:szCs w:val="21"/>
                <w:highlight w:val="none"/>
              </w:rPr>
              <w:t>100≤X＜300</w:t>
            </w:r>
          </w:p>
        </w:tc>
        <w:tc>
          <w:tcPr>
            <w:tcW w:w="1570" w:type="dxa"/>
            <w:tcBorders>
              <w:top w:val="nil"/>
              <w:left w:val="nil"/>
              <w:bottom w:val="single" w:color="auto" w:sz="4" w:space="0"/>
              <w:right w:val="single" w:color="auto" w:sz="4" w:space="0"/>
            </w:tcBorders>
            <w:noWrap w:val="0"/>
            <w:vAlign w:val="center"/>
          </w:tcPr>
          <w:p w14:paraId="06E31483">
            <w:pPr>
              <w:widowControl/>
              <w:jc w:val="left"/>
              <w:rPr>
                <w:color w:val="auto"/>
                <w:szCs w:val="21"/>
                <w:highlight w:val="none"/>
              </w:rPr>
            </w:pPr>
            <w:r>
              <w:rPr>
                <w:rFonts w:hint="eastAsia"/>
                <w:color w:val="auto"/>
                <w:szCs w:val="21"/>
                <w:highlight w:val="none"/>
              </w:rPr>
              <w:t>10≤X＜100</w:t>
            </w:r>
          </w:p>
        </w:tc>
        <w:tc>
          <w:tcPr>
            <w:tcW w:w="1009" w:type="dxa"/>
            <w:tcBorders>
              <w:top w:val="nil"/>
              <w:left w:val="nil"/>
              <w:bottom w:val="single" w:color="auto" w:sz="4" w:space="0"/>
              <w:right w:val="single" w:color="auto" w:sz="4" w:space="0"/>
            </w:tcBorders>
            <w:noWrap w:val="0"/>
            <w:vAlign w:val="center"/>
          </w:tcPr>
          <w:p w14:paraId="1D26011C">
            <w:pPr>
              <w:widowControl/>
              <w:jc w:val="left"/>
              <w:rPr>
                <w:color w:val="auto"/>
                <w:szCs w:val="21"/>
                <w:highlight w:val="none"/>
              </w:rPr>
            </w:pPr>
            <w:r>
              <w:rPr>
                <w:rFonts w:hint="eastAsia"/>
                <w:color w:val="auto"/>
                <w:szCs w:val="21"/>
                <w:highlight w:val="none"/>
              </w:rPr>
              <w:t>X＜10</w:t>
            </w:r>
          </w:p>
        </w:tc>
      </w:tr>
      <w:tr w14:paraId="5BDFD85B">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56A2EE0C">
            <w:pPr>
              <w:widowControl/>
              <w:jc w:val="left"/>
              <w:rPr>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07A3E4BF">
            <w:pPr>
              <w:widowControl/>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34CDA3F4">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636886D7">
            <w:pPr>
              <w:widowControl/>
              <w:jc w:val="left"/>
              <w:rPr>
                <w:color w:val="auto"/>
                <w:szCs w:val="21"/>
                <w:highlight w:val="none"/>
              </w:rPr>
            </w:pPr>
            <w:r>
              <w:rPr>
                <w:rFonts w:hint="eastAsia"/>
                <w:color w:val="auto"/>
                <w:szCs w:val="21"/>
                <w:highlight w:val="none"/>
              </w:rPr>
              <w:t>1000≤Y＜10000</w:t>
            </w:r>
          </w:p>
        </w:tc>
        <w:tc>
          <w:tcPr>
            <w:tcW w:w="1570" w:type="dxa"/>
            <w:tcBorders>
              <w:top w:val="nil"/>
              <w:left w:val="nil"/>
              <w:bottom w:val="single" w:color="auto" w:sz="4" w:space="0"/>
              <w:right w:val="single" w:color="auto" w:sz="4" w:space="0"/>
            </w:tcBorders>
            <w:noWrap w:val="0"/>
            <w:vAlign w:val="center"/>
          </w:tcPr>
          <w:p w14:paraId="25A047D9">
            <w:pPr>
              <w:widowControl/>
              <w:jc w:val="left"/>
              <w:rPr>
                <w:color w:val="auto"/>
                <w:szCs w:val="21"/>
                <w:highlight w:val="none"/>
              </w:rPr>
            </w:pPr>
            <w:r>
              <w:rPr>
                <w:rFonts w:hint="eastAsia"/>
                <w:color w:val="auto"/>
                <w:szCs w:val="21"/>
                <w:highlight w:val="none"/>
              </w:rPr>
              <w:t>50≤Y＜1000</w:t>
            </w:r>
          </w:p>
        </w:tc>
        <w:tc>
          <w:tcPr>
            <w:tcW w:w="1009" w:type="dxa"/>
            <w:tcBorders>
              <w:top w:val="nil"/>
              <w:left w:val="nil"/>
              <w:bottom w:val="single" w:color="auto" w:sz="4" w:space="0"/>
              <w:right w:val="single" w:color="auto" w:sz="4" w:space="0"/>
            </w:tcBorders>
            <w:noWrap w:val="0"/>
            <w:vAlign w:val="center"/>
          </w:tcPr>
          <w:p w14:paraId="79653496">
            <w:pPr>
              <w:widowControl/>
              <w:jc w:val="left"/>
              <w:rPr>
                <w:color w:val="auto"/>
                <w:szCs w:val="21"/>
                <w:highlight w:val="none"/>
              </w:rPr>
            </w:pPr>
            <w:r>
              <w:rPr>
                <w:rFonts w:hint="eastAsia"/>
                <w:color w:val="auto"/>
                <w:szCs w:val="21"/>
                <w:highlight w:val="none"/>
              </w:rPr>
              <w:t>Y＜50</w:t>
            </w:r>
          </w:p>
        </w:tc>
      </w:tr>
      <w:tr w14:paraId="29434811">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203DC83B">
            <w:pPr>
              <w:widowControl/>
              <w:jc w:val="center"/>
              <w:rPr>
                <w:color w:val="auto"/>
                <w:szCs w:val="21"/>
                <w:highlight w:val="none"/>
              </w:rPr>
            </w:pPr>
            <w:r>
              <w:rPr>
                <w:rFonts w:hint="eastAsia"/>
                <w:color w:val="auto"/>
                <w:szCs w:val="21"/>
                <w:highlight w:val="none"/>
              </w:rPr>
              <w:t>房地产开发经营</w:t>
            </w:r>
          </w:p>
        </w:tc>
        <w:tc>
          <w:tcPr>
            <w:tcW w:w="1701" w:type="dxa"/>
            <w:tcBorders>
              <w:top w:val="nil"/>
              <w:left w:val="nil"/>
              <w:bottom w:val="single" w:color="auto" w:sz="4" w:space="0"/>
              <w:right w:val="single" w:color="auto" w:sz="4" w:space="0"/>
            </w:tcBorders>
            <w:noWrap w:val="0"/>
            <w:vAlign w:val="center"/>
          </w:tcPr>
          <w:p w14:paraId="52E18388">
            <w:pPr>
              <w:widowControl/>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32708D75">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2FAEF39E">
            <w:pPr>
              <w:widowControl/>
              <w:jc w:val="left"/>
              <w:rPr>
                <w:color w:val="auto"/>
                <w:szCs w:val="21"/>
                <w:highlight w:val="none"/>
              </w:rPr>
            </w:pPr>
            <w:r>
              <w:rPr>
                <w:rFonts w:hint="eastAsia"/>
                <w:color w:val="auto"/>
                <w:szCs w:val="21"/>
                <w:highlight w:val="none"/>
              </w:rPr>
              <w:t>1000≤Y＜200000</w:t>
            </w:r>
          </w:p>
        </w:tc>
        <w:tc>
          <w:tcPr>
            <w:tcW w:w="1570" w:type="dxa"/>
            <w:tcBorders>
              <w:top w:val="nil"/>
              <w:left w:val="nil"/>
              <w:bottom w:val="single" w:color="auto" w:sz="4" w:space="0"/>
              <w:right w:val="single" w:color="auto" w:sz="4" w:space="0"/>
            </w:tcBorders>
            <w:noWrap w:val="0"/>
            <w:vAlign w:val="center"/>
          </w:tcPr>
          <w:p w14:paraId="6BFD59AE">
            <w:pPr>
              <w:widowControl/>
              <w:jc w:val="left"/>
              <w:rPr>
                <w:color w:val="auto"/>
                <w:szCs w:val="21"/>
                <w:highlight w:val="none"/>
              </w:rPr>
            </w:pPr>
            <w:r>
              <w:rPr>
                <w:rFonts w:hint="eastAsia"/>
                <w:color w:val="auto"/>
                <w:szCs w:val="21"/>
                <w:highlight w:val="none"/>
              </w:rPr>
              <w:t>100≤X＜1000</w:t>
            </w:r>
          </w:p>
        </w:tc>
        <w:tc>
          <w:tcPr>
            <w:tcW w:w="1009" w:type="dxa"/>
            <w:tcBorders>
              <w:top w:val="nil"/>
              <w:left w:val="nil"/>
              <w:bottom w:val="single" w:color="auto" w:sz="4" w:space="0"/>
              <w:right w:val="single" w:color="auto" w:sz="4" w:space="0"/>
            </w:tcBorders>
            <w:noWrap w:val="0"/>
            <w:vAlign w:val="center"/>
          </w:tcPr>
          <w:p w14:paraId="7C051EC8">
            <w:pPr>
              <w:widowControl/>
              <w:jc w:val="left"/>
              <w:rPr>
                <w:color w:val="auto"/>
                <w:szCs w:val="21"/>
                <w:highlight w:val="none"/>
              </w:rPr>
            </w:pPr>
            <w:r>
              <w:rPr>
                <w:rFonts w:hint="eastAsia"/>
                <w:color w:val="auto"/>
                <w:szCs w:val="21"/>
                <w:highlight w:val="none"/>
              </w:rPr>
              <w:t>X＜100</w:t>
            </w:r>
          </w:p>
        </w:tc>
      </w:tr>
      <w:tr w14:paraId="3FDDC8E7">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645F6443">
            <w:pPr>
              <w:widowControl/>
              <w:jc w:val="left"/>
              <w:rPr>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0C008B72">
            <w:pPr>
              <w:widowControl/>
              <w:jc w:val="left"/>
              <w:rPr>
                <w:color w:val="auto"/>
                <w:szCs w:val="21"/>
                <w:highlight w:val="none"/>
              </w:rPr>
            </w:pPr>
            <w:r>
              <w:rPr>
                <w:rFonts w:hint="eastAsia"/>
                <w:color w:val="auto"/>
                <w:szCs w:val="21"/>
                <w:highlight w:val="none"/>
              </w:rPr>
              <w:t>资产总额（Z）</w:t>
            </w:r>
          </w:p>
        </w:tc>
        <w:tc>
          <w:tcPr>
            <w:tcW w:w="1134" w:type="dxa"/>
            <w:tcBorders>
              <w:top w:val="nil"/>
              <w:left w:val="nil"/>
              <w:bottom w:val="single" w:color="auto" w:sz="4" w:space="0"/>
              <w:right w:val="single" w:color="auto" w:sz="4" w:space="0"/>
            </w:tcBorders>
            <w:noWrap w:val="0"/>
            <w:vAlign w:val="center"/>
          </w:tcPr>
          <w:p w14:paraId="6114CF25">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00614874">
            <w:pPr>
              <w:widowControl/>
              <w:jc w:val="left"/>
              <w:rPr>
                <w:color w:val="auto"/>
                <w:szCs w:val="21"/>
                <w:highlight w:val="none"/>
              </w:rPr>
            </w:pPr>
            <w:r>
              <w:rPr>
                <w:rFonts w:hint="eastAsia"/>
                <w:color w:val="auto"/>
                <w:szCs w:val="21"/>
                <w:highlight w:val="none"/>
              </w:rPr>
              <w:t>5000≤Z＜10000</w:t>
            </w:r>
          </w:p>
        </w:tc>
        <w:tc>
          <w:tcPr>
            <w:tcW w:w="1570" w:type="dxa"/>
            <w:tcBorders>
              <w:top w:val="nil"/>
              <w:left w:val="nil"/>
              <w:bottom w:val="single" w:color="auto" w:sz="4" w:space="0"/>
              <w:right w:val="single" w:color="auto" w:sz="4" w:space="0"/>
            </w:tcBorders>
            <w:noWrap w:val="0"/>
            <w:vAlign w:val="center"/>
          </w:tcPr>
          <w:p w14:paraId="7319A883">
            <w:pPr>
              <w:widowControl/>
              <w:jc w:val="left"/>
              <w:rPr>
                <w:color w:val="auto"/>
                <w:szCs w:val="21"/>
                <w:highlight w:val="none"/>
              </w:rPr>
            </w:pPr>
            <w:r>
              <w:rPr>
                <w:rFonts w:hint="eastAsia"/>
                <w:color w:val="auto"/>
                <w:szCs w:val="21"/>
                <w:highlight w:val="none"/>
              </w:rPr>
              <w:t>2000≤Y＜5000</w:t>
            </w:r>
          </w:p>
        </w:tc>
        <w:tc>
          <w:tcPr>
            <w:tcW w:w="1009" w:type="dxa"/>
            <w:tcBorders>
              <w:top w:val="nil"/>
              <w:left w:val="nil"/>
              <w:bottom w:val="single" w:color="auto" w:sz="4" w:space="0"/>
              <w:right w:val="single" w:color="auto" w:sz="4" w:space="0"/>
            </w:tcBorders>
            <w:noWrap w:val="0"/>
            <w:vAlign w:val="center"/>
          </w:tcPr>
          <w:p w14:paraId="6B54CCB2">
            <w:pPr>
              <w:widowControl/>
              <w:jc w:val="left"/>
              <w:rPr>
                <w:color w:val="auto"/>
                <w:szCs w:val="21"/>
                <w:highlight w:val="none"/>
              </w:rPr>
            </w:pPr>
            <w:r>
              <w:rPr>
                <w:rFonts w:hint="eastAsia"/>
                <w:color w:val="auto"/>
                <w:szCs w:val="21"/>
                <w:highlight w:val="none"/>
              </w:rPr>
              <w:t>Y＜2000</w:t>
            </w:r>
          </w:p>
        </w:tc>
      </w:tr>
      <w:tr w14:paraId="3290304B">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5D8D8557">
            <w:pPr>
              <w:widowControl/>
              <w:jc w:val="center"/>
              <w:rPr>
                <w:color w:val="auto"/>
                <w:szCs w:val="21"/>
                <w:highlight w:val="none"/>
              </w:rPr>
            </w:pPr>
            <w:r>
              <w:rPr>
                <w:rFonts w:hint="eastAsia"/>
                <w:color w:val="auto"/>
                <w:szCs w:val="21"/>
                <w:highlight w:val="none"/>
              </w:rPr>
              <w:t>物业管理</w:t>
            </w:r>
          </w:p>
        </w:tc>
        <w:tc>
          <w:tcPr>
            <w:tcW w:w="1701" w:type="dxa"/>
            <w:tcBorders>
              <w:top w:val="nil"/>
              <w:left w:val="nil"/>
              <w:bottom w:val="single" w:color="auto" w:sz="4" w:space="0"/>
              <w:right w:val="single" w:color="auto" w:sz="4" w:space="0"/>
            </w:tcBorders>
            <w:noWrap w:val="0"/>
            <w:vAlign w:val="center"/>
          </w:tcPr>
          <w:p w14:paraId="2C79068F">
            <w:pPr>
              <w:widowControl/>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588BADA8">
            <w:pPr>
              <w:widowControl/>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797F4A14">
            <w:pPr>
              <w:widowControl/>
              <w:jc w:val="left"/>
              <w:rPr>
                <w:color w:val="auto"/>
                <w:szCs w:val="21"/>
                <w:highlight w:val="none"/>
              </w:rPr>
            </w:pPr>
            <w:r>
              <w:rPr>
                <w:rFonts w:hint="eastAsia"/>
                <w:color w:val="auto"/>
                <w:szCs w:val="21"/>
                <w:highlight w:val="none"/>
              </w:rPr>
              <w:t>300≤X＜1000</w:t>
            </w:r>
          </w:p>
        </w:tc>
        <w:tc>
          <w:tcPr>
            <w:tcW w:w="1570" w:type="dxa"/>
            <w:tcBorders>
              <w:top w:val="nil"/>
              <w:left w:val="nil"/>
              <w:bottom w:val="single" w:color="auto" w:sz="4" w:space="0"/>
              <w:right w:val="single" w:color="auto" w:sz="4" w:space="0"/>
            </w:tcBorders>
            <w:noWrap w:val="0"/>
            <w:vAlign w:val="center"/>
          </w:tcPr>
          <w:p w14:paraId="316C8CDA">
            <w:pPr>
              <w:widowControl/>
              <w:jc w:val="left"/>
              <w:rPr>
                <w:color w:val="auto"/>
                <w:szCs w:val="21"/>
                <w:highlight w:val="none"/>
              </w:rPr>
            </w:pPr>
            <w:r>
              <w:rPr>
                <w:rFonts w:hint="eastAsia"/>
                <w:color w:val="auto"/>
                <w:szCs w:val="21"/>
                <w:highlight w:val="none"/>
              </w:rPr>
              <w:t>100≤X＜300</w:t>
            </w:r>
          </w:p>
        </w:tc>
        <w:tc>
          <w:tcPr>
            <w:tcW w:w="1009" w:type="dxa"/>
            <w:tcBorders>
              <w:top w:val="nil"/>
              <w:left w:val="nil"/>
              <w:bottom w:val="single" w:color="auto" w:sz="4" w:space="0"/>
              <w:right w:val="single" w:color="auto" w:sz="4" w:space="0"/>
            </w:tcBorders>
            <w:noWrap w:val="0"/>
            <w:vAlign w:val="center"/>
          </w:tcPr>
          <w:p w14:paraId="00BD39A5">
            <w:pPr>
              <w:widowControl/>
              <w:jc w:val="left"/>
              <w:rPr>
                <w:color w:val="auto"/>
                <w:szCs w:val="21"/>
                <w:highlight w:val="none"/>
              </w:rPr>
            </w:pPr>
            <w:r>
              <w:rPr>
                <w:rFonts w:hint="eastAsia"/>
                <w:color w:val="auto"/>
                <w:szCs w:val="21"/>
                <w:highlight w:val="none"/>
              </w:rPr>
              <w:t>X＜100</w:t>
            </w:r>
          </w:p>
        </w:tc>
      </w:tr>
      <w:tr w14:paraId="15CD194C">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7F300F03">
            <w:pPr>
              <w:widowControl/>
              <w:jc w:val="left"/>
              <w:rPr>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26A1BF1F">
            <w:pPr>
              <w:widowControl/>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1AF7B583">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5B57A67A">
            <w:pPr>
              <w:widowControl/>
              <w:jc w:val="left"/>
              <w:rPr>
                <w:color w:val="auto"/>
                <w:szCs w:val="21"/>
                <w:highlight w:val="none"/>
              </w:rPr>
            </w:pPr>
            <w:r>
              <w:rPr>
                <w:rFonts w:hint="eastAsia"/>
                <w:color w:val="auto"/>
                <w:szCs w:val="21"/>
                <w:highlight w:val="none"/>
              </w:rPr>
              <w:t>1000≤Y＜5000</w:t>
            </w:r>
          </w:p>
        </w:tc>
        <w:tc>
          <w:tcPr>
            <w:tcW w:w="1570" w:type="dxa"/>
            <w:tcBorders>
              <w:top w:val="nil"/>
              <w:left w:val="nil"/>
              <w:bottom w:val="single" w:color="auto" w:sz="4" w:space="0"/>
              <w:right w:val="single" w:color="auto" w:sz="4" w:space="0"/>
            </w:tcBorders>
            <w:noWrap w:val="0"/>
            <w:vAlign w:val="center"/>
          </w:tcPr>
          <w:p w14:paraId="0B46F522">
            <w:pPr>
              <w:widowControl/>
              <w:jc w:val="left"/>
              <w:rPr>
                <w:color w:val="auto"/>
                <w:szCs w:val="21"/>
                <w:highlight w:val="none"/>
              </w:rPr>
            </w:pPr>
            <w:r>
              <w:rPr>
                <w:rFonts w:hint="eastAsia"/>
                <w:color w:val="auto"/>
                <w:szCs w:val="21"/>
                <w:highlight w:val="none"/>
              </w:rPr>
              <w:t>500≤Y＜1000</w:t>
            </w:r>
          </w:p>
        </w:tc>
        <w:tc>
          <w:tcPr>
            <w:tcW w:w="1009" w:type="dxa"/>
            <w:tcBorders>
              <w:top w:val="nil"/>
              <w:left w:val="nil"/>
              <w:bottom w:val="single" w:color="auto" w:sz="4" w:space="0"/>
              <w:right w:val="single" w:color="auto" w:sz="4" w:space="0"/>
            </w:tcBorders>
            <w:noWrap w:val="0"/>
            <w:vAlign w:val="center"/>
          </w:tcPr>
          <w:p w14:paraId="6C083100">
            <w:pPr>
              <w:widowControl/>
              <w:jc w:val="left"/>
              <w:rPr>
                <w:color w:val="auto"/>
                <w:szCs w:val="21"/>
                <w:highlight w:val="none"/>
              </w:rPr>
            </w:pPr>
            <w:r>
              <w:rPr>
                <w:rFonts w:hint="eastAsia"/>
                <w:color w:val="auto"/>
                <w:szCs w:val="21"/>
                <w:highlight w:val="none"/>
              </w:rPr>
              <w:t>Y＜500</w:t>
            </w:r>
          </w:p>
        </w:tc>
      </w:tr>
      <w:tr w14:paraId="76740FA7">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332A730C">
            <w:pPr>
              <w:widowControl/>
              <w:jc w:val="center"/>
              <w:rPr>
                <w:color w:val="auto"/>
                <w:szCs w:val="21"/>
                <w:highlight w:val="none"/>
              </w:rPr>
            </w:pPr>
            <w:r>
              <w:rPr>
                <w:rFonts w:hint="eastAsia"/>
                <w:color w:val="auto"/>
                <w:szCs w:val="21"/>
                <w:highlight w:val="none"/>
              </w:rPr>
              <w:t>租赁和商务服务业</w:t>
            </w:r>
          </w:p>
        </w:tc>
        <w:tc>
          <w:tcPr>
            <w:tcW w:w="1701" w:type="dxa"/>
            <w:tcBorders>
              <w:top w:val="nil"/>
              <w:left w:val="nil"/>
              <w:bottom w:val="single" w:color="auto" w:sz="4" w:space="0"/>
              <w:right w:val="single" w:color="auto" w:sz="4" w:space="0"/>
            </w:tcBorders>
            <w:noWrap w:val="0"/>
            <w:vAlign w:val="center"/>
          </w:tcPr>
          <w:p w14:paraId="1D5499C4">
            <w:pPr>
              <w:widowControl/>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3D2256AD">
            <w:pPr>
              <w:widowControl/>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5C44700F">
            <w:pPr>
              <w:widowControl/>
              <w:jc w:val="left"/>
              <w:rPr>
                <w:color w:val="auto"/>
                <w:szCs w:val="21"/>
                <w:highlight w:val="none"/>
              </w:rPr>
            </w:pPr>
            <w:r>
              <w:rPr>
                <w:rFonts w:hint="eastAsia"/>
                <w:color w:val="auto"/>
                <w:szCs w:val="21"/>
                <w:highlight w:val="none"/>
              </w:rPr>
              <w:t>100≤X＜300</w:t>
            </w:r>
          </w:p>
        </w:tc>
        <w:tc>
          <w:tcPr>
            <w:tcW w:w="1570" w:type="dxa"/>
            <w:tcBorders>
              <w:top w:val="nil"/>
              <w:left w:val="nil"/>
              <w:bottom w:val="single" w:color="auto" w:sz="4" w:space="0"/>
              <w:right w:val="single" w:color="auto" w:sz="4" w:space="0"/>
            </w:tcBorders>
            <w:noWrap w:val="0"/>
            <w:vAlign w:val="center"/>
          </w:tcPr>
          <w:p w14:paraId="746C3797">
            <w:pPr>
              <w:widowControl/>
              <w:jc w:val="left"/>
              <w:rPr>
                <w:color w:val="auto"/>
                <w:szCs w:val="21"/>
                <w:highlight w:val="none"/>
              </w:rPr>
            </w:pPr>
            <w:r>
              <w:rPr>
                <w:rFonts w:hint="eastAsia"/>
                <w:color w:val="auto"/>
                <w:szCs w:val="21"/>
                <w:highlight w:val="none"/>
              </w:rPr>
              <w:t>10≤X＜100</w:t>
            </w:r>
          </w:p>
        </w:tc>
        <w:tc>
          <w:tcPr>
            <w:tcW w:w="1009" w:type="dxa"/>
            <w:tcBorders>
              <w:top w:val="nil"/>
              <w:left w:val="nil"/>
              <w:bottom w:val="single" w:color="auto" w:sz="4" w:space="0"/>
              <w:right w:val="single" w:color="auto" w:sz="4" w:space="0"/>
            </w:tcBorders>
            <w:noWrap w:val="0"/>
            <w:vAlign w:val="center"/>
          </w:tcPr>
          <w:p w14:paraId="55C13F66">
            <w:pPr>
              <w:widowControl/>
              <w:jc w:val="left"/>
              <w:rPr>
                <w:color w:val="auto"/>
                <w:szCs w:val="21"/>
                <w:highlight w:val="none"/>
              </w:rPr>
            </w:pPr>
            <w:r>
              <w:rPr>
                <w:rFonts w:hint="eastAsia"/>
                <w:color w:val="auto"/>
                <w:szCs w:val="21"/>
                <w:highlight w:val="none"/>
              </w:rPr>
              <w:t>X＜10</w:t>
            </w:r>
          </w:p>
        </w:tc>
      </w:tr>
      <w:tr w14:paraId="3ECA4CF5">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34908518">
            <w:pPr>
              <w:widowControl/>
              <w:jc w:val="left"/>
              <w:rPr>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5FDAD794">
            <w:pPr>
              <w:widowControl/>
              <w:jc w:val="left"/>
              <w:rPr>
                <w:color w:val="auto"/>
                <w:szCs w:val="21"/>
                <w:highlight w:val="none"/>
              </w:rPr>
            </w:pPr>
            <w:r>
              <w:rPr>
                <w:rFonts w:hint="eastAsia"/>
                <w:color w:val="auto"/>
                <w:szCs w:val="21"/>
                <w:highlight w:val="none"/>
              </w:rPr>
              <w:t>资产总额（Z）</w:t>
            </w:r>
          </w:p>
        </w:tc>
        <w:tc>
          <w:tcPr>
            <w:tcW w:w="1134" w:type="dxa"/>
            <w:tcBorders>
              <w:top w:val="nil"/>
              <w:left w:val="nil"/>
              <w:bottom w:val="single" w:color="auto" w:sz="4" w:space="0"/>
              <w:right w:val="single" w:color="auto" w:sz="4" w:space="0"/>
            </w:tcBorders>
            <w:noWrap w:val="0"/>
            <w:vAlign w:val="center"/>
          </w:tcPr>
          <w:p w14:paraId="142FE004">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02302B20">
            <w:pPr>
              <w:widowControl/>
              <w:jc w:val="left"/>
              <w:rPr>
                <w:color w:val="auto"/>
                <w:szCs w:val="21"/>
                <w:highlight w:val="none"/>
              </w:rPr>
            </w:pPr>
            <w:r>
              <w:rPr>
                <w:rFonts w:hint="eastAsia"/>
                <w:color w:val="auto"/>
                <w:szCs w:val="21"/>
                <w:highlight w:val="none"/>
              </w:rPr>
              <w:t>8000≤Z＜120000</w:t>
            </w:r>
          </w:p>
        </w:tc>
        <w:tc>
          <w:tcPr>
            <w:tcW w:w="1570" w:type="dxa"/>
            <w:tcBorders>
              <w:top w:val="nil"/>
              <w:left w:val="nil"/>
              <w:bottom w:val="single" w:color="auto" w:sz="4" w:space="0"/>
              <w:right w:val="single" w:color="auto" w:sz="4" w:space="0"/>
            </w:tcBorders>
            <w:noWrap w:val="0"/>
            <w:vAlign w:val="center"/>
          </w:tcPr>
          <w:p w14:paraId="1363477C">
            <w:pPr>
              <w:widowControl/>
              <w:jc w:val="left"/>
              <w:rPr>
                <w:color w:val="auto"/>
                <w:szCs w:val="21"/>
                <w:highlight w:val="none"/>
              </w:rPr>
            </w:pPr>
            <w:r>
              <w:rPr>
                <w:rFonts w:hint="eastAsia"/>
                <w:color w:val="auto"/>
                <w:szCs w:val="21"/>
                <w:highlight w:val="none"/>
              </w:rPr>
              <w:t>100≤Z＜8000</w:t>
            </w:r>
          </w:p>
        </w:tc>
        <w:tc>
          <w:tcPr>
            <w:tcW w:w="1009" w:type="dxa"/>
            <w:tcBorders>
              <w:top w:val="nil"/>
              <w:left w:val="nil"/>
              <w:bottom w:val="single" w:color="auto" w:sz="4" w:space="0"/>
              <w:right w:val="single" w:color="auto" w:sz="4" w:space="0"/>
            </w:tcBorders>
            <w:noWrap w:val="0"/>
            <w:vAlign w:val="center"/>
          </w:tcPr>
          <w:p w14:paraId="69099703">
            <w:pPr>
              <w:widowControl/>
              <w:jc w:val="left"/>
              <w:rPr>
                <w:color w:val="auto"/>
                <w:szCs w:val="21"/>
                <w:highlight w:val="none"/>
              </w:rPr>
            </w:pPr>
            <w:r>
              <w:rPr>
                <w:rFonts w:hint="eastAsia"/>
                <w:color w:val="auto"/>
                <w:szCs w:val="21"/>
                <w:highlight w:val="none"/>
              </w:rPr>
              <w:t>Y＜100</w:t>
            </w:r>
          </w:p>
        </w:tc>
      </w:tr>
      <w:tr w14:paraId="769331FD">
        <w:tblPrEx>
          <w:tblCellMar>
            <w:top w:w="0" w:type="dxa"/>
            <w:left w:w="108" w:type="dxa"/>
            <w:bottom w:w="0" w:type="dxa"/>
            <w:right w:w="108" w:type="dxa"/>
          </w:tblCellMar>
        </w:tblPrEx>
        <w:trPr>
          <w:trHeight w:val="220" w:hRule="atLeast"/>
        </w:trPr>
        <w:tc>
          <w:tcPr>
            <w:tcW w:w="1446" w:type="dxa"/>
            <w:tcBorders>
              <w:top w:val="nil"/>
              <w:left w:val="single" w:color="auto" w:sz="4" w:space="0"/>
              <w:bottom w:val="single" w:color="auto" w:sz="4" w:space="0"/>
              <w:right w:val="single" w:color="auto" w:sz="4" w:space="0"/>
            </w:tcBorders>
            <w:noWrap w:val="0"/>
            <w:vAlign w:val="bottom"/>
          </w:tcPr>
          <w:p w14:paraId="47343BD5">
            <w:pPr>
              <w:widowControl/>
              <w:jc w:val="center"/>
              <w:rPr>
                <w:color w:val="auto"/>
                <w:szCs w:val="21"/>
                <w:highlight w:val="none"/>
              </w:rPr>
            </w:pPr>
            <w:r>
              <w:rPr>
                <w:rFonts w:hint="eastAsia"/>
                <w:color w:val="auto"/>
                <w:szCs w:val="21"/>
                <w:highlight w:val="none"/>
              </w:rPr>
              <w:t>其他未列明行业</w:t>
            </w:r>
          </w:p>
        </w:tc>
        <w:tc>
          <w:tcPr>
            <w:tcW w:w="1701" w:type="dxa"/>
            <w:tcBorders>
              <w:top w:val="nil"/>
              <w:left w:val="nil"/>
              <w:bottom w:val="single" w:color="auto" w:sz="4" w:space="0"/>
              <w:right w:val="single" w:color="auto" w:sz="4" w:space="0"/>
            </w:tcBorders>
            <w:noWrap w:val="0"/>
            <w:vAlign w:val="center"/>
          </w:tcPr>
          <w:p w14:paraId="4AF7BB20">
            <w:pPr>
              <w:widowControl/>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539E8D4A">
            <w:pPr>
              <w:widowControl/>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2D4E3C54">
            <w:pPr>
              <w:widowControl/>
              <w:jc w:val="left"/>
              <w:rPr>
                <w:color w:val="auto"/>
                <w:szCs w:val="21"/>
                <w:highlight w:val="none"/>
              </w:rPr>
            </w:pPr>
            <w:r>
              <w:rPr>
                <w:rFonts w:hint="eastAsia"/>
                <w:color w:val="auto"/>
                <w:szCs w:val="21"/>
                <w:highlight w:val="none"/>
              </w:rPr>
              <w:t>100≤X＜300</w:t>
            </w:r>
          </w:p>
        </w:tc>
        <w:tc>
          <w:tcPr>
            <w:tcW w:w="1570" w:type="dxa"/>
            <w:tcBorders>
              <w:top w:val="nil"/>
              <w:left w:val="nil"/>
              <w:bottom w:val="single" w:color="auto" w:sz="4" w:space="0"/>
              <w:right w:val="single" w:color="auto" w:sz="4" w:space="0"/>
            </w:tcBorders>
            <w:noWrap w:val="0"/>
            <w:vAlign w:val="center"/>
          </w:tcPr>
          <w:p w14:paraId="289E1C19">
            <w:pPr>
              <w:widowControl/>
              <w:jc w:val="left"/>
              <w:rPr>
                <w:color w:val="auto"/>
                <w:szCs w:val="21"/>
                <w:highlight w:val="none"/>
              </w:rPr>
            </w:pPr>
            <w:r>
              <w:rPr>
                <w:rFonts w:hint="eastAsia"/>
                <w:color w:val="auto"/>
                <w:szCs w:val="21"/>
                <w:highlight w:val="none"/>
              </w:rPr>
              <w:t>10≤X＜100</w:t>
            </w:r>
          </w:p>
        </w:tc>
        <w:tc>
          <w:tcPr>
            <w:tcW w:w="1009" w:type="dxa"/>
            <w:tcBorders>
              <w:top w:val="nil"/>
              <w:left w:val="nil"/>
              <w:bottom w:val="single" w:color="auto" w:sz="4" w:space="0"/>
              <w:right w:val="single" w:color="auto" w:sz="4" w:space="0"/>
            </w:tcBorders>
            <w:noWrap w:val="0"/>
            <w:vAlign w:val="center"/>
          </w:tcPr>
          <w:p w14:paraId="0C10CD48">
            <w:pPr>
              <w:widowControl/>
              <w:jc w:val="left"/>
              <w:rPr>
                <w:color w:val="auto"/>
                <w:szCs w:val="21"/>
                <w:highlight w:val="none"/>
              </w:rPr>
            </w:pPr>
            <w:r>
              <w:rPr>
                <w:rFonts w:hint="eastAsia"/>
                <w:color w:val="auto"/>
                <w:szCs w:val="21"/>
                <w:highlight w:val="none"/>
              </w:rPr>
              <w:t>X＜10</w:t>
            </w:r>
          </w:p>
        </w:tc>
      </w:tr>
    </w:tbl>
    <w:p w14:paraId="5F33B856">
      <w:pPr>
        <w:spacing w:line="360" w:lineRule="auto"/>
        <w:ind w:firstLine="525" w:firstLineChars="250"/>
        <w:rPr>
          <w:color w:val="auto"/>
          <w:szCs w:val="21"/>
          <w:highlight w:val="none"/>
        </w:rPr>
      </w:pPr>
      <w:r>
        <w:rPr>
          <w:rFonts w:hint="eastAsia"/>
          <w:color w:val="auto"/>
          <w:szCs w:val="21"/>
          <w:highlight w:val="none"/>
        </w:rPr>
        <w:t>说明：上述标准参照《关于印发中小企业划型标准规定的通知》（工信部联企业[2011]300号），大型、中型和小型企业须同时满足所列指标的下限，否则下划一档；微型企业只须满足所列指标中的一项即可。</w:t>
      </w:r>
    </w:p>
    <w:bookmarkEnd w:id="23"/>
    <w:p w14:paraId="443AF387">
      <w:pPr>
        <w:spacing w:line="312" w:lineRule="auto"/>
        <w:ind w:firstLine="420" w:firstLineChars="200"/>
        <w:jc w:val="left"/>
        <w:rPr>
          <w:rFonts w:hint="eastAsia"/>
          <w:bCs/>
          <w:color w:val="auto"/>
          <w:kern w:val="0"/>
          <w:szCs w:val="21"/>
          <w:highlight w:val="none"/>
        </w:rPr>
        <w:sectPr>
          <w:headerReference r:id="rId11" w:type="first"/>
          <w:headerReference r:id="rId10" w:type="default"/>
          <w:pgSz w:w="11906" w:h="16838"/>
          <w:pgMar w:top="1418" w:right="1133" w:bottom="1246" w:left="1418" w:header="851" w:footer="992" w:gutter="0"/>
          <w:cols w:space="720" w:num="1"/>
          <w:docGrid w:linePitch="312" w:charSpace="0"/>
        </w:sectPr>
      </w:pPr>
    </w:p>
    <w:bookmarkEnd w:id="20"/>
    <w:bookmarkEnd w:id="21"/>
    <w:p w14:paraId="55805FE0">
      <w:pPr>
        <w:pStyle w:val="27"/>
        <w:snapToGrid w:val="0"/>
        <w:spacing w:before="120" w:after="120" w:line="320" w:lineRule="exact"/>
        <w:jc w:val="center"/>
        <w:outlineLvl w:val="0"/>
        <w:rPr>
          <w:rFonts w:ascii="Times New Roman" w:hAnsi="Times New Roman" w:cs="Times New Roman"/>
          <w:color w:val="auto"/>
          <w:sz w:val="32"/>
          <w:szCs w:val="32"/>
          <w:highlight w:val="none"/>
        </w:rPr>
      </w:pPr>
      <w:bookmarkStart w:id="24" w:name="_Toc27730"/>
      <w:r>
        <w:rPr>
          <w:rFonts w:ascii="Times New Roman" w:hAnsi="Times New Roman" w:cs="Times New Roman"/>
          <w:color w:val="auto"/>
          <w:sz w:val="32"/>
          <w:szCs w:val="32"/>
          <w:highlight w:val="none"/>
        </w:rPr>
        <w:t>第三章  供应商须知</w:t>
      </w:r>
      <w:bookmarkEnd w:id="24"/>
      <w:bookmarkStart w:id="25" w:name="_投标人须知前附表"/>
      <w:bookmarkEnd w:id="25"/>
    </w:p>
    <w:p w14:paraId="6119B48B">
      <w:pPr>
        <w:pStyle w:val="27"/>
        <w:snapToGrid w:val="0"/>
        <w:spacing w:before="120" w:after="120" w:line="320" w:lineRule="exact"/>
        <w:jc w:val="center"/>
        <w:outlineLvl w:val="1"/>
        <w:rPr>
          <w:rFonts w:hint="eastAsia" w:ascii="Times New Roman" w:hAnsi="Times New Roman" w:cs="Times New Roman"/>
          <w:b/>
          <w:bCs/>
          <w:color w:val="auto"/>
          <w:sz w:val="24"/>
          <w:szCs w:val="24"/>
          <w:highlight w:val="none"/>
        </w:rPr>
      </w:pPr>
      <w:bookmarkStart w:id="26" w:name="_Hlk89187839"/>
      <w:r>
        <w:rPr>
          <w:rFonts w:hint="eastAsia" w:ascii="Times New Roman" w:hAnsi="Times New Roman" w:cs="Times New Roman"/>
          <w:b/>
          <w:bCs/>
          <w:color w:val="auto"/>
          <w:sz w:val="24"/>
          <w:szCs w:val="24"/>
          <w:highlight w:val="none"/>
        </w:rPr>
        <w:t>供应商须知前附表</w:t>
      </w:r>
    </w:p>
    <w:bookmarkEnd w:id="26"/>
    <w:tbl>
      <w:tblPr>
        <w:tblStyle w:val="54"/>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354"/>
        <w:gridCol w:w="1204"/>
        <w:gridCol w:w="6905"/>
      </w:tblGrid>
      <w:tr w14:paraId="0979AA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9" w:hRule="atLeast"/>
          <w:jc w:val="center"/>
        </w:trPr>
        <w:tc>
          <w:tcPr>
            <w:tcW w:w="1354" w:type="dxa"/>
            <w:tcBorders>
              <w:top w:val="single" w:color="auto" w:sz="4" w:space="0"/>
              <w:left w:val="single" w:color="auto" w:sz="4" w:space="0"/>
              <w:bottom w:val="single" w:color="auto" w:sz="4" w:space="0"/>
              <w:right w:val="single" w:color="auto" w:sz="4" w:space="0"/>
            </w:tcBorders>
            <w:noWrap w:val="0"/>
            <w:vAlign w:val="center"/>
          </w:tcPr>
          <w:p w14:paraId="480847F4">
            <w:pPr>
              <w:jc w:val="center"/>
              <w:rPr>
                <w:b/>
                <w:color w:val="auto"/>
                <w:szCs w:val="21"/>
                <w:highlight w:val="none"/>
              </w:rPr>
            </w:pPr>
            <w:r>
              <w:rPr>
                <w:b/>
                <w:color w:val="auto"/>
                <w:szCs w:val="21"/>
                <w:highlight w:val="none"/>
              </w:rPr>
              <w:t>条款号</w:t>
            </w:r>
          </w:p>
        </w:tc>
        <w:tc>
          <w:tcPr>
            <w:tcW w:w="1204" w:type="dxa"/>
            <w:tcBorders>
              <w:top w:val="single" w:color="auto" w:sz="4" w:space="0"/>
              <w:left w:val="single" w:color="auto" w:sz="4" w:space="0"/>
              <w:bottom w:val="single" w:color="auto" w:sz="4" w:space="0"/>
              <w:right w:val="single" w:color="auto" w:sz="4" w:space="0"/>
            </w:tcBorders>
            <w:noWrap w:val="0"/>
            <w:vAlign w:val="center"/>
          </w:tcPr>
          <w:p w14:paraId="768A8049">
            <w:pPr>
              <w:jc w:val="center"/>
              <w:rPr>
                <w:b/>
                <w:color w:val="auto"/>
                <w:szCs w:val="21"/>
                <w:highlight w:val="none"/>
              </w:rPr>
            </w:pPr>
            <w:r>
              <w:rPr>
                <w:b/>
                <w:color w:val="auto"/>
                <w:szCs w:val="21"/>
                <w:highlight w:val="none"/>
              </w:rPr>
              <w:t>要点</w:t>
            </w:r>
          </w:p>
        </w:tc>
        <w:tc>
          <w:tcPr>
            <w:tcW w:w="6905" w:type="dxa"/>
            <w:tcBorders>
              <w:top w:val="single" w:color="auto" w:sz="4" w:space="0"/>
              <w:left w:val="single" w:color="auto" w:sz="4" w:space="0"/>
              <w:bottom w:val="single" w:color="auto" w:sz="4" w:space="0"/>
              <w:right w:val="single" w:color="auto" w:sz="4" w:space="0"/>
            </w:tcBorders>
            <w:noWrap w:val="0"/>
            <w:vAlign w:val="center"/>
          </w:tcPr>
          <w:p w14:paraId="7DF65D04">
            <w:pPr>
              <w:jc w:val="center"/>
              <w:rPr>
                <w:b/>
                <w:color w:val="auto"/>
                <w:szCs w:val="21"/>
                <w:highlight w:val="none"/>
              </w:rPr>
            </w:pPr>
            <w:r>
              <w:rPr>
                <w:b/>
                <w:color w:val="auto"/>
                <w:szCs w:val="21"/>
                <w:highlight w:val="none"/>
              </w:rPr>
              <w:t>内容、要求</w:t>
            </w:r>
          </w:p>
        </w:tc>
      </w:tr>
      <w:tr w14:paraId="09FDE0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jc w:val="center"/>
        </w:trPr>
        <w:tc>
          <w:tcPr>
            <w:tcW w:w="1354" w:type="dxa"/>
            <w:tcBorders>
              <w:top w:val="single" w:color="auto" w:sz="4" w:space="0"/>
              <w:left w:val="single" w:color="auto" w:sz="4" w:space="0"/>
              <w:bottom w:val="single" w:color="auto" w:sz="4" w:space="0"/>
              <w:right w:val="single" w:color="auto" w:sz="4" w:space="0"/>
            </w:tcBorders>
            <w:noWrap w:val="0"/>
            <w:vAlign w:val="center"/>
          </w:tcPr>
          <w:p w14:paraId="02A69ABD">
            <w:pPr>
              <w:spacing w:line="300" w:lineRule="exact"/>
              <w:jc w:val="center"/>
              <w:rPr>
                <w:color w:val="auto"/>
                <w:szCs w:val="21"/>
                <w:highlight w:val="none"/>
              </w:rPr>
            </w:pPr>
            <w:r>
              <w:rPr>
                <w:b/>
                <w:color w:val="auto"/>
                <w:szCs w:val="21"/>
                <w:highlight w:val="none"/>
              </w:rPr>
              <w:t>1.3.1</w:t>
            </w:r>
          </w:p>
        </w:tc>
        <w:tc>
          <w:tcPr>
            <w:tcW w:w="1204" w:type="dxa"/>
            <w:tcBorders>
              <w:top w:val="single" w:color="auto" w:sz="4" w:space="0"/>
              <w:left w:val="single" w:color="auto" w:sz="4" w:space="0"/>
              <w:bottom w:val="single" w:color="auto" w:sz="4" w:space="0"/>
              <w:right w:val="single" w:color="auto" w:sz="4" w:space="0"/>
            </w:tcBorders>
            <w:noWrap w:val="0"/>
            <w:vAlign w:val="center"/>
          </w:tcPr>
          <w:p w14:paraId="1A5B5E45">
            <w:pPr>
              <w:spacing w:line="300" w:lineRule="exact"/>
              <w:jc w:val="center"/>
              <w:rPr>
                <w:color w:val="auto"/>
                <w:szCs w:val="21"/>
                <w:highlight w:val="none"/>
              </w:rPr>
            </w:pPr>
            <w:r>
              <w:rPr>
                <w:color w:val="auto"/>
                <w:szCs w:val="21"/>
                <w:highlight w:val="none"/>
              </w:rPr>
              <w:t>项目基本信息</w:t>
            </w:r>
          </w:p>
        </w:tc>
        <w:tc>
          <w:tcPr>
            <w:tcW w:w="6905" w:type="dxa"/>
            <w:tcBorders>
              <w:top w:val="single" w:color="auto" w:sz="4" w:space="0"/>
              <w:left w:val="single" w:color="auto" w:sz="4" w:space="0"/>
              <w:bottom w:val="single" w:color="auto" w:sz="4" w:space="0"/>
              <w:right w:val="single" w:color="auto" w:sz="4" w:space="0"/>
            </w:tcBorders>
            <w:noWrap w:val="0"/>
            <w:vAlign w:val="center"/>
          </w:tcPr>
          <w:p w14:paraId="7520F6C9">
            <w:pPr>
              <w:spacing w:line="300" w:lineRule="exact"/>
              <w:jc w:val="left"/>
              <w:rPr>
                <w:color w:val="auto"/>
                <w:szCs w:val="21"/>
                <w:highlight w:val="none"/>
              </w:rPr>
            </w:pPr>
            <w:r>
              <w:rPr>
                <w:color w:val="auto"/>
                <w:szCs w:val="21"/>
                <w:highlight w:val="none"/>
              </w:rPr>
              <w:t>项目名称：</w:t>
            </w:r>
            <w:r>
              <w:rPr>
                <w:rFonts w:hint="eastAsia"/>
                <w:color w:val="auto"/>
                <w:szCs w:val="21"/>
                <w:highlight w:val="none"/>
              </w:rPr>
              <w:t>广西职业师范学院相思湖校区运动场跑道及灯光改造项目</w:t>
            </w:r>
          </w:p>
          <w:p w14:paraId="4AADD4F6">
            <w:pPr>
              <w:spacing w:line="300" w:lineRule="exact"/>
              <w:jc w:val="left"/>
              <w:rPr>
                <w:rFonts w:hint="eastAsia" w:eastAsia="宋体"/>
                <w:color w:val="auto"/>
                <w:szCs w:val="21"/>
                <w:highlight w:val="none"/>
                <w:lang w:val="en-US" w:eastAsia="zh-CN"/>
              </w:rPr>
            </w:pPr>
            <w:r>
              <w:rPr>
                <w:color w:val="auto"/>
                <w:szCs w:val="21"/>
                <w:highlight w:val="none"/>
              </w:rPr>
              <w:t>项目编号：</w:t>
            </w:r>
            <w:r>
              <w:rPr>
                <w:rFonts w:hint="eastAsia"/>
                <w:color w:val="auto"/>
                <w:szCs w:val="21"/>
                <w:highlight w:val="none"/>
                <w:lang w:val="en-US" w:eastAsia="zh-CN"/>
              </w:rPr>
              <w:t xml:space="preserve">GXZC2026-C2-002964-JDZB </w:t>
            </w:r>
          </w:p>
          <w:p w14:paraId="2DE2944A">
            <w:pPr>
              <w:spacing w:line="300" w:lineRule="exact"/>
              <w:jc w:val="left"/>
              <w:rPr>
                <w:rFonts w:hint="eastAsia"/>
                <w:color w:val="auto"/>
                <w:szCs w:val="21"/>
                <w:highlight w:val="none"/>
              </w:rPr>
            </w:pPr>
            <w:r>
              <w:rPr>
                <w:rFonts w:hint="eastAsia"/>
                <w:color w:val="auto"/>
                <w:szCs w:val="21"/>
                <w:highlight w:val="none"/>
              </w:rPr>
              <w:t>采购计划号：广西政采[2026]18513号</w:t>
            </w:r>
          </w:p>
        </w:tc>
      </w:tr>
      <w:tr w14:paraId="50A445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jc w:val="center"/>
        </w:trPr>
        <w:tc>
          <w:tcPr>
            <w:tcW w:w="1354" w:type="dxa"/>
            <w:tcBorders>
              <w:top w:val="single" w:color="auto" w:sz="4" w:space="0"/>
              <w:left w:val="single" w:color="auto" w:sz="4" w:space="0"/>
              <w:bottom w:val="single" w:color="auto" w:sz="4" w:space="0"/>
              <w:right w:val="single" w:color="auto" w:sz="4" w:space="0"/>
            </w:tcBorders>
            <w:noWrap w:val="0"/>
            <w:vAlign w:val="center"/>
          </w:tcPr>
          <w:p w14:paraId="5F85FE85">
            <w:pPr>
              <w:spacing w:line="300" w:lineRule="exact"/>
              <w:jc w:val="center"/>
              <w:rPr>
                <w:color w:val="auto"/>
                <w:szCs w:val="21"/>
                <w:highlight w:val="none"/>
              </w:rPr>
            </w:pPr>
            <w:r>
              <w:rPr>
                <w:b/>
                <w:color w:val="auto"/>
                <w:szCs w:val="21"/>
                <w:highlight w:val="none"/>
              </w:rPr>
              <w:t>1.3.1</w:t>
            </w:r>
          </w:p>
        </w:tc>
        <w:tc>
          <w:tcPr>
            <w:tcW w:w="1204" w:type="dxa"/>
            <w:tcBorders>
              <w:top w:val="single" w:color="auto" w:sz="4" w:space="0"/>
              <w:left w:val="single" w:color="auto" w:sz="4" w:space="0"/>
              <w:bottom w:val="single" w:color="auto" w:sz="4" w:space="0"/>
              <w:right w:val="single" w:color="auto" w:sz="4" w:space="0"/>
            </w:tcBorders>
            <w:noWrap w:val="0"/>
            <w:vAlign w:val="center"/>
          </w:tcPr>
          <w:p w14:paraId="324BDFE0">
            <w:pPr>
              <w:spacing w:line="300" w:lineRule="exact"/>
              <w:jc w:val="center"/>
              <w:rPr>
                <w:color w:val="auto"/>
                <w:szCs w:val="21"/>
                <w:highlight w:val="none"/>
              </w:rPr>
            </w:pPr>
            <w:r>
              <w:rPr>
                <w:rFonts w:hint="eastAsia"/>
                <w:color w:val="auto"/>
                <w:szCs w:val="21"/>
                <w:highlight w:val="none"/>
              </w:rPr>
              <w:t>建设地点、建设范围、工期及质量要求</w:t>
            </w:r>
          </w:p>
        </w:tc>
        <w:tc>
          <w:tcPr>
            <w:tcW w:w="6905" w:type="dxa"/>
            <w:tcBorders>
              <w:top w:val="single" w:color="auto" w:sz="4" w:space="0"/>
              <w:left w:val="single" w:color="auto" w:sz="4" w:space="0"/>
              <w:bottom w:val="single" w:color="auto" w:sz="4" w:space="0"/>
              <w:right w:val="single" w:color="auto" w:sz="4" w:space="0"/>
            </w:tcBorders>
            <w:noWrap w:val="0"/>
            <w:vAlign w:val="center"/>
          </w:tcPr>
          <w:p w14:paraId="1C8A2672">
            <w:pPr>
              <w:spacing w:line="300" w:lineRule="exact"/>
              <w:jc w:val="left"/>
              <w:rPr>
                <w:color w:val="auto"/>
                <w:szCs w:val="21"/>
                <w:highlight w:val="none"/>
              </w:rPr>
            </w:pPr>
            <w:r>
              <w:rPr>
                <w:color w:val="auto"/>
                <w:szCs w:val="21"/>
                <w:highlight w:val="none"/>
              </w:rPr>
              <w:t>建设地点：</w:t>
            </w:r>
            <w:r>
              <w:rPr>
                <w:rFonts w:hint="eastAsia" w:ascii="宋体" w:hAnsi="宋体" w:eastAsia="宋体" w:cs="宋体"/>
                <w:color w:val="auto"/>
                <w:szCs w:val="21"/>
                <w:highlight w:val="none"/>
              </w:rPr>
              <w:t>广西职业师范学院</w:t>
            </w:r>
          </w:p>
          <w:p w14:paraId="4A177E50">
            <w:pPr>
              <w:spacing w:line="300" w:lineRule="exact"/>
              <w:jc w:val="left"/>
              <w:rPr>
                <w:color w:val="auto"/>
                <w:szCs w:val="21"/>
                <w:highlight w:val="none"/>
              </w:rPr>
            </w:pPr>
            <w:r>
              <w:rPr>
                <w:rFonts w:hint="eastAsia"/>
                <w:color w:val="auto"/>
                <w:szCs w:val="21"/>
                <w:highlight w:val="none"/>
              </w:rPr>
              <w:t>建设</w:t>
            </w:r>
            <w:r>
              <w:rPr>
                <w:color w:val="auto"/>
                <w:szCs w:val="21"/>
                <w:highlight w:val="none"/>
              </w:rPr>
              <w:t>范围：</w:t>
            </w:r>
            <w:r>
              <w:rPr>
                <w:rFonts w:hint="eastAsia" w:ascii="宋体" w:hAnsi="宋体" w:eastAsia="宋体" w:cs="宋体"/>
                <w:color w:val="auto"/>
                <w:szCs w:val="21"/>
                <w:highlight w:val="none"/>
              </w:rPr>
              <w:t>广西职业师范学院相思湖校区运动场跑道及灯光改造项目1项，本工程为相思湖校区运动场跑道和灯光改造项目，位于南宁市。工程内容为运动跑道拆除及新建、灯光改造等</w:t>
            </w:r>
            <w:r>
              <w:rPr>
                <w:rFonts w:hint="eastAsia" w:ascii="宋体" w:hAnsi="宋体" w:eastAsia="宋体" w:cs="宋体"/>
                <w:color w:val="auto"/>
                <w:highlight w:val="none"/>
              </w:rPr>
              <w:t>。</w:t>
            </w:r>
            <w:r>
              <w:rPr>
                <w:rFonts w:hint="eastAsia" w:ascii="宋体" w:hAnsi="宋体" w:eastAsia="宋体" w:cs="宋体"/>
                <w:color w:val="auto"/>
                <w:szCs w:val="21"/>
                <w:highlight w:val="none"/>
              </w:rPr>
              <w:t>具体内容详见工程量清单及图纸要求。</w:t>
            </w:r>
          </w:p>
          <w:p w14:paraId="10856066">
            <w:pPr>
              <w:spacing w:line="300" w:lineRule="exact"/>
              <w:jc w:val="left"/>
              <w:rPr>
                <w:rFonts w:hint="eastAsia"/>
                <w:color w:val="auto"/>
                <w:szCs w:val="21"/>
                <w:highlight w:val="none"/>
              </w:rPr>
            </w:pPr>
            <w:r>
              <w:rPr>
                <w:rFonts w:hint="eastAsia"/>
                <w:color w:val="auto"/>
                <w:szCs w:val="21"/>
                <w:highlight w:val="none"/>
              </w:rPr>
              <w:t>资金来源：</w:t>
            </w:r>
            <w:r>
              <w:rPr>
                <w:rFonts w:hint="eastAsia" w:ascii="宋体" w:hAnsi="宋体" w:eastAsia="宋体" w:cs="宋体"/>
                <w:color w:val="auto"/>
                <w:szCs w:val="21"/>
                <w:highlight w:val="none"/>
              </w:rPr>
              <w:t>财政资金</w:t>
            </w:r>
          </w:p>
          <w:p w14:paraId="24543C34">
            <w:pPr>
              <w:spacing w:line="300" w:lineRule="exact"/>
              <w:jc w:val="left"/>
              <w:rPr>
                <w:color w:val="auto"/>
                <w:szCs w:val="21"/>
                <w:highlight w:val="none"/>
              </w:rPr>
            </w:pPr>
            <w:r>
              <w:rPr>
                <w:color w:val="auto"/>
                <w:szCs w:val="21"/>
                <w:highlight w:val="none"/>
              </w:rPr>
              <w:t>工期要求：</w:t>
            </w:r>
            <w:r>
              <w:rPr>
                <w:rFonts w:hint="eastAsia" w:ascii="宋体" w:hAnsi="宋体" w:cs="宋体"/>
                <w:color w:val="auto"/>
                <w:szCs w:val="21"/>
                <w:highlight w:val="none"/>
                <w:lang w:val="en-US" w:eastAsia="zh-CN"/>
              </w:rPr>
              <w:t>30</w:t>
            </w:r>
            <w:r>
              <w:rPr>
                <w:rFonts w:hint="eastAsia" w:ascii="宋体" w:hAnsi="宋体" w:eastAsia="宋体" w:cs="宋体"/>
                <w:color w:val="auto"/>
                <w:szCs w:val="21"/>
                <w:highlight w:val="none"/>
              </w:rPr>
              <w:t>日历天。</w:t>
            </w:r>
          </w:p>
          <w:p w14:paraId="4B4AD282">
            <w:pPr>
              <w:spacing w:line="300" w:lineRule="exact"/>
              <w:jc w:val="left"/>
              <w:rPr>
                <w:color w:val="auto"/>
                <w:szCs w:val="21"/>
                <w:highlight w:val="none"/>
              </w:rPr>
            </w:pPr>
            <w:r>
              <w:rPr>
                <w:rFonts w:hint="eastAsia"/>
                <w:color w:val="auto"/>
                <w:szCs w:val="21"/>
                <w:highlight w:val="none"/>
              </w:rPr>
              <w:t>计划开工日期：</w:t>
            </w:r>
            <w:r>
              <w:rPr>
                <w:rFonts w:hint="eastAsia" w:ascii="宋体" w:hAnsi="宋体" w:eastAsia="宋体" w:cs="宋体"/>
                <w:color w:val="auto"/>
                <w:szCs w:val="21"/>
                <w:highlight w:val="none"/>
                <w:u w:val="single"/>
                <w:lang w:eastAsia="zh-CN"/>
              </w:rPr>
              <w:t>2026</w:t>
            </w:r>
            <w:r>
              <w:rPr>
                <w:rFonts w:hint="eastAsia" w:ascii="宋体" w:hAnsi="宋体" w:eastAsia="宋体" w:cs="宋体"/>
                <w:color w:val="auto"/>
                <w:szCs w:val="21"/>
                <w:highlight w:val="none"/>
                <w:u w:val="single"/>
              </w:rPr>
              <w:t>年</w:t>
            </w:r>
            <w:r>
              <w:rPr>
                <w:rFonts w:hint="eastAsia" w:ascii="宋体" w:hAnsi="宋体" w:cs="宋体"/>
                <w:color w:val="auto"/>
                <w:szCs w:val="21"/>
                <w:highlight w:val="none"/>
                <w:u w:val="single"/>
                <w:lang w:val="en-US" w:eastAsia="zh-CN"/>
              </w:rPr>
              <w:t>9</w:t>
            </w:r>
            <w:r>
              <w:rPr>
                <w:rFonts w:hint="eastAsia" w:ascii="宋体" w:hAnsi="宋体" w:eastAsia="宋体" w:cs="宋体"/>
                <w:color w:val="auto"/>
                <w:szCs w:val="21"/>
                <w:highlight w:val="none"/>
                <w:u w:val="single"/>
              </w:rPr>
              <w:t>月</w:t>
            </w:r>
            <w:r>
              <w:rPr>
                <w:rFonts w:hint="eastAsia" w:ascii="宋体" w:hAnsi="宋体" w:cs="宋体"/>
                <w:color w:val="auto"/>
                <w:szCs w:val="21"/>
                <w:highlight w:val="none"/>
                <w:u w:val="single"/>
                <w:lang w:val="en-US" w:eastAsia="zh-CN"/>
              </w:rPr>
              <w:t>29</w:t>
            </w:r>
            <w:r>
              <w:rPr>
                <w:rFonts w:hint="eastAsia" w:ascii="宋体" w:hAnsi="宋体" w:eastAsia="宋体" w:cs="宋体"/>
                <w:color w:val="auto"/>
                <w:szCs w:val="21"/>
                <w:highlight w:val="none"/>
                <w:u w:val="single"/>
              </w:rPr>
              <w:t>日</w:t>
            </w:r>
            <w:r>
              <w:rPr>
                <w:rFonts w:hint="eastAsia" w:ascii="宋体" w:hAnsi="宋体" w:eastAsia="宋体" w:cs="宋体"/>
                <w:color w:val="auto"/>
                <w:szCs w:val="21"/>
                <w:highlight w:val="none"/>
              </w:rPr>
              <w:t>，计划竣工日期：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eastAsia="zh-CN"/>
              </w:rPr>
              <w:t>2026</w:t>
            </w:r>
            <w:r>
              <w:rPr>
                <w:rFonts w:hint="eastAsia" w:ascii="宋体" w:hAnsi="宋体" w:eastAsia="宋体" w:cs="宋体"/>
                <w:color w:val="auto"/>
                <w:szCs w:val="21"/>
                <w:highlight w:val="none"/>
                <w:u w:val="single"/>
              </w:rPr>
              <w:t>年</w:t>
            </w:r>
            <w:r>
              <w:rPr>
                <w:rFonts w:hint="eastAsia" w:ascii="宋体" w:hAnsi="宋体" w:cs="宋体"/>
                <w:color w:val="auto"/>
                <w:szCs w:val="21"/>
                <w:highlight w:val="none"/>
                <w:u w:val="single"/>
                <w:lang w:val="en-US" w:eastAsia="zh-CN"/>
              </w:rPr>
              <w:t>10</w:t>
            </w:r>
            <w:r>
              <w:rPr>
                <w:rFonts w:hint="eastAsia" w:ascii="宋体" w:hAnsi="宋体" w:eastAsia="宋体" w:cs="宋体"/>
                <w:color w:val="auto"/>
                <w:szCs w:val="21"/>
                <w:highlight w:val="none"/>
                <w:u w:val="single"/>
              </w:rPr>
              <w:t>月</w:t>
            </w:r>
            <w:r>
              <w:rPr>
                <w:rFonts w:hint="eastAsia" w:ascii="宋体" w:hAnsi="宋体" w:cs="宋体"/>
                <w:color w:val="auto"/>
                <w:szCs w:val="21"/>
                <w:highlight w:val="none"/>
                <w:u w:val="single"/>
                <w:lang w:val="en-US" w:eastAsia="zh-CN"/>
              </w:rPr>
              <w:t>29</w:t>
            </w:r>
            <w:r>
              <w:rPr>
                <w:rFonts w:hint="eastAsia" w:ascii="宋体" w:hAnsi="宋体" w:eastAsia="宋体" w:cs="宋体"/>
                <w:color w:val="auto"/>
                <w:szCs w:val="21"/>
                <w:highlight w:val="none"/>
                <w:u w:val="single"/>
              </w:rPr>
              <w:t>日</w:t>
            </w:r>
          </w:p>
          <w:p w14:paraId="60047282">
            <w:pPr>
              <w:spacing w:line="300" w:lineRule="exact"/>
              <w:jc w:val="left"/>
              <w:rPr>
                <w:color w:val="auto"/>
                <w:szCs w:val="21"/>
                <w:highlight w:val="none"/>
              </w:rPr>
            </w:pPr>
            <w:r>
              <w:rPr>
                <w:color w:val="auto"/>
                <w:szCs w:val="21"/>
                <w:highlight w:val="none"/>
              </w:rPr>
              <w:t>质量要求：合格</w:t>
            </w:r>
          </w:p>
          <w:p w14:paraId="4A05F06C">
            <w:pPr>
              <w:spacing w:line="300" w:lineRule="exact"/>
              <w:jc w:val="left"/>
              <w:rPr>
                <w:rFonts w:hint="eastAsia"/>
                <w:color w:val="auto"/>
                <w:szCs w:val="21"/>
                <w:highlight w:val="none"/>
              </w:rPr>
            </w:pPr>
            <w:r>
              <w:rPr>
                <w:color w:val="auto"/>
                <w:szCs w:val="21"/>
                <w:highlight w:val="none"/>
              </w:rPr>
              <w:t>其他要求：</w:t>
            </w:r>
            <w:r>
              <w:rPr>
                <w:rFonts w:hint="eastAsia"/>
                <w:color w:val="auto"/>
                <w:szCs w:val="21"/>
                <w:highlight w:val="none"/>
              </w:rPr>
              <w:t>无</w:t>
            </w:r>
          </w:p>
        </w:tc>
      </w:tr>
      <w:tr w14:paraId="0D6A74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jc w:val="center"/>
        </w:trPr>
        <w:tc>
          <w:tcPr>
            <w:tcW w:w="1354" w:type="dxa"/>
            <w:tcBorders>
              <w:top w:val="single" w:color="auto" w:sz="4" w:space="0"/>
              <w:left w:val="single" w:color="auto" w:sz="4" w:space="0"/>
              <w:bottom w:val="single" w:color="auto" w:sz="4" w:space="0"/>
              <w:right w:val="single" w:color="auto" w:sz="4" w:space="0"/>
            </w:tcBorders>
            <w:noWrap w:val="0"/>
            <w:vAlign w:val="center"/>
          </w:tcPr>
          <w:p w14:paraId="63A9A7AA">
            <w:pPr>
              <w:spacing w:line="300" w:lineRule="exact"/>
              <w:jc w:val="center"/>
              <w:rPr>
                <w:rFonts w:hint="eastAsia"/>
                <w:color w:val="auto"/>
                <w:szCs w:val="21"/>
                <w:highlight w:val="none"/>
              </w:rPr>
            </w:pPr>
            <w:r>
              <w:rPr>
                <w:b/>
                <w:color w:val="auto"/>
                <w:szCs w:val="21"/>
                <w:highlight w:val="none"/>
              </w:rPr>
              <w:t>1.3.2</w:t>
            </w:r>
          </w:p>
        </w:tc>
        <w:tc>
          <w:tcPr>
            <w:tcW w:w="1204" w:type="dxa"/>
            <w:tcBorders>
              <w:top w:val="single" w:color="auto" w:sz="4" w:space="0"/>
              <w:left w:val="single" w:color="auto" w:sz="4" w:space="0"/>
              <w:bottom w:val="single" w:color="auto" w:sz="4" w:space="0"/>
              <w:right w:val="single" w:color="auto" w:sz="4" w:space="0"/>
            </w:tcBorders>
            <w:noWrap w:val="0"/>
            <w:vAlign w:val="center"/>
          </w:tcPr>
          <w:p w14:paraId="4A411DFF">
            <w:pPr>
              <w:spacing w:line="300" w:lineRule="exact"/>
              <w:jc w:val="center"/>
              <w:rPr>
                <w:color w:val="auto"/>
                <w:szCs w:val="21"/>
                <w:highlight w:val="none"/>
              </w:rPr>
            </w:pPr>
            <w:r>
              <w:rPr>
                <w:color w:val="auto"/>
                <w:szCs w:val="21"/>
                <w:highlight w:val="none"/>
              </w:rPr>
              <w:t>采购方式</w:t>
            </w:r>
          </w:p>
        </w:tc>
        <w:tc>
          <w:tcPr>
            <w:tcW w:w="6905" w:type="dxa"/>
            <w:tcBorders>
              <w:top w:val="single" w:color="auto" w:sz="4" w:space="0"/>
              <w:left w:val="single" w:color="auto" w:sz="4" w:space="0"/>
              <w:bottom w:val="single" w:color="auto" w:sz="4" w:space="0"/>
              <w:right w:val="single" w:color="auto" w:sz="4" w:space="0"/>
            </w:tcBorders>
            <w:noWrap w:val="0"/>
            <w:vAlign w:val="center"/>
          </w:tcPr>
          <w:p w14:paraId="247E4B62">
            <w:pPr>
              <w:spacing w:line="300" w:lineRule="exact"/>
              <w:jc w:val="left"/>
              <w:rPr>
                <w:rFonts w:hint="eastAsia"/>
                <w:color w:val="auto"/>
                <w:szCs w:val="21"/>
                <w:highlight w:val="none"/>
              </w:rPr>
            </w:pPr>
            <w:r>
              <w:rPr>
                <w:color w:val="auto"/>
                <w:szCs w:val="21"/>
                <w:highlight w:val="none"/>
              </w:rPr>
              <w:t>竞争性磋商</w:t>
            </w:r>
          </w:p>
        </w:tc>
      </w:tr>
      <w:tr w14:paraId="1B4BC9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jc w:val="center"/>
        </w:trPr>
        <w:tc>
          <w:tcPr>
            <w:tcW w:w="1354" w:type="dxa"/>
            <w:tcBorders>
              <w:top w:val="single" w:color="auto" w:sz="4" w:space="0"/>
              <w:left w:val="single" w:color="auto" w:sz="4" w:space="0"/>
              <w:bottom w:val="single" w:color="auto" w:sz="4" w:space="0"/>
              <w:right w:val="single" w:color="auto" w:sz="4" w:space="0"/>
            </w:tcBorders>
            <w:noWrap w:val="0"/>
            <w:vAlign w:val="center"/>
          </w:tcPr>
          <w:p w14:paraId="5A123646">
            <w:pPr>
              <w:spacing w:line="300" w:lineRule="exact"/>
              <w:jc w:val="center"/>
              <w:rPr>
                <w:b/>
                <w:color w:val="auto"/>
                <w:szCs w:val="21"/>
                <w:highlight w:val="none"/>
              </w:rPr>
            </w:pPr>
            <w:r>
              <w:rPr>
                <w:rFonts w:hint="eastAsia"/>
                <w:b/>
                <w:color w:val="auto"/>
                <w:szCs w:val="21"/>
                <w:highlight w:val="none"/>
              </w:rPr>
              <w:t>1</w:t>
            </w:r>
            <w:r>
              <w:rPr>
                <w:b/>
                <w:color w:val="auto"/>
                <w:szCs w:val="21"/>
                <w:highlight w:val="none"/>
              </w:rPr>
              <w:t>.4</w:t>
            </w:r>
          </w:p>
        </w:tc>
        <w:tc>
          <w:tcPr>
            <w:tcW w:w="1204" w:type="dxa"/>
            <w:tcBorders>
              <w:top w:val="single" w:color="auto" w:sz="4" w:space="0"/>
              <w:left w:val="single" w:color="auto" w:sz="4" w:space="0"/>
              <w:bottom w:val="single" w:color="auto" w:sz="4" w:space="0"/>
              <w:right w:val="single" w:color="auto" w:sz="4" w:space="0"/>
            </w:tcBorders>
            <w:noWrap w:val="0"/>
            <w:vAlign w:val="center"/>
          </w:tcPr>
          <w:p w14:paraId="7E8AF26E">
            <w:pPr>
              <w:spacing w:line="300" w:lineRule="exact"/>
              <w:jc w:val="center"/>
              <w:rPr>
                <w:color w:val="auto"/>
                <w:szCs w:val="21"/>
                <w:highlight w:val="none"/>
                <w:lang w:val="zh-CN"/>
              </w:rPr>
            </w:pPr>
            <w:r>
              <w:rPr>
                <w:rFonts w:hint="eastAsia"/>
                <w:color w:val="auto"/>
                <w:szCs w:val="21"/>
                <w:highlight w:val="none"/>
                <w:lang w:val="zh-CN"/>
              </w:rPr>
              <w:t>促进中小企业发展措施</w:t>
            </w:r>
          </w:p>
        </w:tc>
        <w:tc>
          <w:tcPr>
            <w:tcW w:w="6905" w:type="dxa"/>
            <w:tcBorders>
              <w:top w:val="single" w:color="auto" w:sz="4" w:space="0"/>
              <w:left w:val="single" w:color="auto" w:sz="4" w:space="0"/>
              <w:bottom w:val="single" w:color="auto" w:sz="4" w:space="0"/>
              <w:right w:val="single" w:color="auto" w:sz="4" w:space="0"/>
            </w:tcBorders>
            <w:noWrap w:val="0"/>
            <w:vAlign w:val="center"/>
          </w:tcPr>
          <w:p w14:paraId="5604FBF7">
            <w:pPr>
              <w:spacing w:line="300" w:lineRule="exact"/>
              <w:jc w:val="left"/>
              <w:rPr>
                <w:rFonts w:hint="eastAsia"/>
                <w:color w:val="auto"/>
                <w:szCs w:val="21"/>
                <w:highlight w:val="none"/>
              </w:rPr>
            </w:pPr>
            <w:r>
              <w:rPr>
                <w:rFonts w:hint="eastAsia" w:ascii="宋体" w:hAnsi="宋体" w:eastAsia="宋体" w:cs="宋体"/>
                <w:color w:val="auto"/>
                <w:szCs w:val="21"/>
                <w:highlight w:val="none"/>
                <w:lang w:val="zh-CN"/>
              </w:rPr>
              <w:t>本项目非专门面向中小微企业采购。</w:t>
            </w:r>
          </w:p>
        </w:tc>
      </w:tr>
      <w:tr w14:paraId="39F15E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jc w:val="center"/>
        </w:trPr>
        <w:tc>
          <w:tcPr>
            <w:tcW w:w="1354" w:type="dxa"/>
            <w:tcBorders>
              <w:top w:val="single" w:color="auto" w:sz="4" w:space="0"/>
              <w:left w:val="single" w:color="auto" w:sz="4" w:space="0"/>
              <w:bottom w:val="single" w:color="auto" w:sz="4" w:space="0"/>
              <w:right w:val="single" w:color="auto" w:sz="4" w:space="0"/>
            </w:tcBorders>
            <w:noWrap w:val="0"/>
            <w:vAlign w:val="center"/>
          </w:tcPr>
          <w:p w14:paraId="7EE55256">
            <w:pPr>
              <w:spacing w:line="300" w:lineRule="exact"/>
              <w:jc w:val="center"/>
              <w:rPr>
                <w:color w:val="auto"/>
                <w:szCs w:val="21"/>
                <w:highlight w:val="none"/>
              </w:rPr>
            </w:pPr>
            <w:r>
              <w:rPr>
                <w:b/>
                <w:color w:val="auto"/>
                <w:szCs w:val="21"/>
                <w:highlight w:val="none"/>
              </w:rPr>
              <w:t>1.5.1</w:t>
            </w:r>
          </w:p>
        </w:tc>
        <w:tc>
          <w:tcPr>
            <w:tcW w:w="1204" w:type="dxa"/>
            <w:tcBorders>
              <w:top w:val="single" w:color="auto" w:sz="4" w:space="0"/>
              <w:left w:val="single" w:color="auto" w:sz="4" w:space="0"/>
              <w:bottom w:val="single" w:color="auto" w:sz="4" w:space="0"/>
              <w:right w:val="single" w:color="auto" w:sz="4" w:space="0"/>
            </w:tcBorders>
            <w:noWrap w:val="0"/>
            <w:vAlign w:val="center"/>
          </w:tcPr>
          <w:p w14:paraId="13DA88B3">
            <w:pPr>
              <w:spacing w:line="300" w:lineRule="exact"/>
              <w:jc w:val="center"/>
              <w:rPr>
                <w:color w:val="auto"/>
                <w:szCs w:val="21"/>
                <w:highlight w:val="none"/>
              </w:rPr>
            </w:pPr>
            <w:r>
              <w:rPr>
                <w:color w:val="auto"/>
                <w:szCs w:val="21"/>
                <w:highlight w:val="none"/>
                <w:lang w:val="zh-CN"/>
              </w:rPr>
              <w:t>供应商资格条件</w:t>
            </w:r>
          </w:p>
        </w:tc>
        <w:tc>
          <w:tcPr>
            <w:tcW w:w="6905" w:type="dxa"/>
            <w:tcBorders>
              <w:top w:val="single" w:color="auto" w:sz="4" w:space="0"/>
              <w:left w:val="single" w:color="auto" w:sz="4" w:space="0"/>
              <w:bottom w:val="single" w:color="auto" w:sz="4" w:space="0"/>
              <w:right w:val="single" w:color="auto" w:sz="4" w:space="0"/>
            </w:tcBorders>
            <w:noWrap w:val="0"/>
            <w:vAlign w:val="center"/>
          </w:tcPr>
          <w:p w14:paraId="7E63F625">
            <w:pPr>
              <w:spacing w:line="300" w:lineRule="exact"/>
              <w:jc w:val="left"/>
              <w:rPr>
                <w:color w:val="auto"/>
                <w:szCs w:val="21"/>
                <w:highlight w:val="none"/>
              </w:rPr>
            </w:pPr>
            <w:r>
              <w:rPr>
                <w:rFonts w:hint="eastAsia"/>
                <w:color w:val="auto"/>
                <w:szCs w:val="21"/>
                <w:highlight w:val="none"/>
              </w:rPr>
              <w:t>详</w:t>
            </w:r>
            <w:r>
              <w:rPr>
                <w:color w:val="auto"/>
                <w:szCs w:val="21"/>
                <w:highlight w:val="none"/>
              </w:rPr>
              <w:t>见</w:t>
            </w:r>
            <w:r>
              <w:rPr>
                <w:rFonts w:hint="eastAsia"/>
                <w:color w:val="auto"/>
                <w:szCs w:val="21"/>
                <w:highlight w:val="none"/>
              </w:rPr>
              <w:t>磋商</w:t>
            </w:r>
            <w:r>
              <w:rPr>
                <w:color w:val="auto"/>
                <w:szCs w:val="21"/>
                <w:highlight w:val="none"/>
              </w:rPr>
              <w:t>公告</w:t>
            </w:r>
            <w:r>
              <w:rPr>
                <w:rFonts w:hint="eastAsia"/>
                <w:color w:val="auto"/>
                <w:szCs w:val="21"/>
                <w:highlight w:val="none"/>
              </w:rPr>
              <w:t>。</w:t>
            </w:r>
          </w:p>
        </w:tc>
      </w:tr>
      <w:tr w14:paraId="17C821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jc w:val="center"/>
        </w:trPr>
        <w:tc>
          <w:tcPr>
            <w:tcW w:w="1354" w:type="dxa"/>
            <w:tcBorders>
              <w:top w:val="single" w:color="auto" w:sz="4" w:space="0"/>
              <w:left w:val="single" w:color="auto" w:sz="4" w:space="0"/>
              <w:bottom w:val="single" w:color="auto" w:sz="4" w:space="0"/>
              <w:right w:val="single" w:color="auto" w:sz="4" w:space="0"/>
            </w:tcBorders>
            <w:noWrap w:val="0"/>
            <w:vAlign w:val="center"/>
          </w:tcPr>
          <w:p w14:paraId="6E450AE2">
            <w:pPr>
              <w:spacing w:line="300" w:lineRule="exact"/>
              <w:jc w:val="center"/>
              <w:rPr>
                <w:b/>
                <w:color w:val="auto"/>
                <w:szCs w:val="21"/>
                <w:highlight w:val="none"/>
              </w:rPr>
            </w:pPr>
            <w:r>
              <w:rPr>
                <w:b/>
                <w:color w:val="auto"/>
                <w:szCs w:val="21"/>
                <w:highlight w:val="none"/>
              </w:rPr>
              <w:t>1.5.1</w:t>
            </w:r>
          </w:p>
        </w:tc>
        <w:tc>
          <w:tcPr>
            <w:tcW w:w="1204" w:type="dxa"/>
            <w:tcBorders>
              <w:top w:val="single" w:color="auto" w:sz="4" w:space="0"/>
              <w:left w:val="single" w:color="auto" w:sz="4" w:space="0"/>
              <w:bottom w:val="single" w:color="auto" w:sz="4" w:space="0"/>
              <w:right w:val="single" w:color="auto" w:sz="4" w:space="0"/>
            </w:tcBorders>
            <w:noWrap w:val="0"/>
            <w:vAlign w:val="center"/>
          </w:tcPr>
          <w:p w14:paraId="3A288E9A">
            <w:pPr>
              <w:spacing w:line="300" w:lineRule="exact"/>
              <w:jc w:val="center"/>
              <w:rPr>
                <w:color w:val="auto"/>
                <w:szCs w:val="21"/>
                <w:highlight w:val="none"/>
              </w:rPr>
            </w:pPr>
            <w:r>
              <w:rPr>
                <w:color w:val="auto"/>
                <w:szCs w:val="21"/>
                <w:highlight w:val="none"/>
              </w:rPr>
              <w:t>供应商不得存在</w:t>
            </w:r>
            <w:r>
              <w:rPr>
                <w:rFonts w:hint="eastAsia"/>
                <w:color w:val="auto"/>
                <w:szCs w:val="21"/>
                <w:highlight w:val="none"/>
              </w:rPr>
              <w:t>的</w:t>
            </w:r>
            <w:r>
              <w:rPr>
                <w:color w:val="auto"/>
                <w:szCs w:val="21"/>
                <w:highlight w:val="none"/>
              </w:rPr>
              <w:t>情形</w:t>
            </w:r>
          </w:p>
        </w:tc>
        <w:tc>
          <w:tcPr>
            <w:tcW w:w="6905" w:type="dxa"/>
            <w:tcBorders>
              <w:top w:val="single" w:color="auto" w:sz="4" w:space="0"/>
              <w:left w:val="single" w:color="auto" w:sz="4" w:space="0"/>
              <w:bottom w:val="single" w:color="auto" w:sz="4" w:space="0"/>
              <w:right w:val="single" w:color="auto" w:sz="4" w:space="0"/>
            </w:tcBorders>
            <w:noWrap w:val="0"/>
            <w:vAlign w:val="center"/>
          </w:tcPr>
          <w:p w14:paraId="04A10DC0">
            <w:pPr>
              <w:spacing w:line="300" w:lineRule="exact"/>
              <w:jc w:val="left"/>
              <w:rPr>
                <w:rFonts w:hint="eastAsia"/>
                <w:color w:val="auto"/>
                <w:szCs w:val="21"/>
                <w:highlight w:val="none"/>
              </w:rPr>
            </w:pPr>
            <w:r>
              <w:rPr>
                <w:rFonts w:hint="eastAsia"/>
                <w:color w:val="auto"/>
                <w:szCs w:val="21"/>
                <w:highlight w:val="none"/>
              </w:rPr>
              <w:t>（1）与采购人存在利害关系可能影响采购公正性的法人、其他组织；</w:t>
            </w:r>
          </w:p>
          <w:p w14:paraId="2F1D01E9">
            <w:pPr>
              <w:spacing w:line="300" w:lineRule="exact"/>
              <w:jc w:val="left"/>
              <w:rPr>
                <w:rFonts w:hint="eastAsia"/>
                <w:color w:val="auto"/>
                <w:szCs w:val="21"/>
                <w:highlight w:val="none"/>
              </w:rPr>
            </w:pPr>
            <w:r>
              <w:rPr>
                <w:rFonts w:hint="eastAsia"/>
                <w:color w:val="auto"/>
                <w:szCs w:val="21"/>
                <w:highlight w:val="none"/>
              </w:rPr>
              <w:t>（2）为本标段前期准备提供设计或咨询服务的，但设计施工总承包的除外；</w:t>
            </w:r>
          </w:p>
          <w:p w14:paraId="53286128">
            <w:pPr>
              <w:spacing w:line="300" w:lineRule="exact"/>
              <w:jc w:val="left"/>
              <w:rPr>
                <w:rFonts w:hint="eastAsia"/>
                <w:color w:val="auto"/>
                <w:szCs w:val="21"/>
                <w:highlight w:val="none"/>
              </w:rPr>
            </w:pPr>
            <w:r>
              <w:rPr>
                <w:rFonts w:hint="eastAsia"/>
                <w:color w:val="auto"/>
                <w:szCs w:val="21"/>
                <w:highlight w:val="none"/>
              </w:rPr>
              <w:t>（3）为本标段的监理人；</w:t>
            </w:r>
          </w:p>
          <w:p w14:paraId="64E0B661">
            <w:pPr>
              <w:spacing w:line="300" w:lineRule="exact"/>
              <w:jc w:val="left"/>
              <w:rPr>
                <w:rFonts w:hint="eastAsia"/>
                <w:color w:val="auto"/>
                <w:szCs w:val="21"/>
                <w:highlight w:val="none"/>
              </w:rPr>
            </w:pPr>
            <w:r>
              <w:rPr>
                <w:rFonts w:hint="eastAsia"/>
                <w:color w:val="auto"/>
                <w:szCs w:val="21"/>
                <w:highlight w:val="none"/>
              </w:rPr>
              <w:t>（4）为本标段的代建人；</w:t>
            </w:r>
          </w:p>
          <w:p w14:paraId="3A6F3073">
            <w:pPr>
              <w:spacing w:line="300" w:lineRule="exact"/>
              <w:jc w:val="left"/>
              <w:rPr>
                <w:rFonts w:hint="eastAsia"/>
                <w:color w:val="auto"/>
                <w:szCs w:val="21"/>
                <w:highlight w:val="none"/>
              </w:rPr>
            </w:pPr>
            <w:r>
              <w:rPr>
                <w:rFonts w:hint="eastAsia"/>
                <w:color w:val="auto"/>
                <w:szCs w:val="21"/>
                <w:highlight w:val="none"/>
              </w:rPr>
              <w:t>（5）为本标段提供采购代理服务的；</w:t>
            </w:r>
          </w:p>
          <w:p w14:paraId="53B4EDA8">
            <w:pPr>
              <w:spacing w:line="300" w:lineRule="exact"/>
              <w:jc w:val="left"/>
              <w:rPr>
                <w:rFonts w:hint="eastAsia"/>
                <w:color w:val="auto"/>
                <w:szCs w:val="21"/>
                <w:highlight w:val="none"/>
              </w:rPr>
            </w:pPr>
            <w:r>
              <w:rPr>
                <w:rFonts w:hint="eastAsia"/>
                <w:color w:val="auto"/>
                <w:szCs w:val="21"/>
                <w:highlight w:val="none"/>
              </w:rPr>
              <w:t>（6）与本标段的监理人或代建人或采购代理机构同为一个法定代表人的；</w:t>
            </w:r>
          </w:p>
          <w:p w14:paraId="3A03C69B">
            <w:pPr>
              <w:spacing w:line="300" w:lineRule="exact"/>
              <w:jc w:val="left"/>
              <w:rPr>
                <w:rFonts w:hint="eastAsia"/>
                <w:color w:val="auto"/>
                <w:szCs w:val="21"/>
                <w:highlight w:val="none"/>
              </w:rPr>
            </w:pPr>
            <w:r>
              <w:rPr>
                <w:rFonts w:hint="eastAsia"/>
                <w:color w:val="auto"/>
                <w:szCs w:val="21"/>
                <w:highlight w:val="none"/>
              </w:rPr>
              <w:t>（7）与本标段的监理人或代建人或采购代理机构相互控股或参股的；</w:t>
            </w:r>
          </w:p>
          <w:p w14:paraId="451BC557">
            <w:pPr>
              <w:spacing w:line="300" w:lineRule="exact"/>
              <w:jc w:val="left"/>
              <w:rPr>
                <w:rFonts w:hint="eastAsia"/>
                <w:color w:val="auto"/>
                <w:szCs w:val="21"/>
                <w:highlight w:val="none"/>
              </w:rPr>
            </w:pPr>
            <w:r>
              <w:rPr>
                <w:rFonts w:hint="eastAsia"/>
                <w:color w:val="auto"/>
                <w:szCs w:val="21"/>
                <w:highlight w:val="none"/>
              </w:rPr>
              <w:t>（8）与本标段的监理人或代建人或采购代理机构相互任职或工作的；</w:t>
            </w:r>
          </w:p>
          <w:p w14:paraId="532FF336">
            <w:pPr>
              <w:spacing w:line="300" w:lineRule="exact"/>
              <w:jc w:val="left"/>
              <w:rPr>
                <w:rFonts w:hint="eastAsia"/>
                <w:color w:val="auto"/>
                <w:szCs w:val="21"/>
                <w:highlight w:val="none"/>
              </w:rPr>
            </w:pPr>
            <w:r>
              <w:rPr>
                <w:rFonts w:hint="eastAsia"/>
                <w:color w:val="auto"/>
                <w:szCs w:val="21"/>
                <w:highlight w:val="none"/>
              </w:rPr>
              <w:t>（9）吊销或暂扣营业执照、安全生产许可证期间；</w:t>
            </w:r>
          </w:p>
          <w:p w14:paraId="753FF466">
            <w:pPr>
              <w:spacing w:line="300" w:lineRule="exact"/>
              <w:jc w:val="left"/>
              <w:rPr>
                <w:rFonts w:hint="eastAsia"/>
                <w:color w:val="auto"/>
                <w:szCs w:val="21"/>
                <w:highlight w:val="none"/>
              </w:rPr>
            </w:pPr>
            <w:r>
              <w:rPr>
                <w:rFonts w:hint="eastAsia"/>
                <w:color w:val="auto"/>
                <w:szCs w:val="21"/>
                <w:highlight w:val="none"/>
              </w:rPr>
              <w:t>（10）在本行政区域被暂停或取消投标资格的；</w:t>
            </w:r>
          </w:p>
          <w:p w14:paraId="157A9749">
            <w:pPr>
              <w:spacing w:line="300" w:lineRule="exact"/>
              <w:jc w:val="left"/>
              <w:rPr>
                <w:rFonts w:hint="eastAsia"/>
                <w:color w:val="auto"/>
                <w:szCs w:val="21"/>
                <w:highlight w:val="none"/>
              </w:rPr>
            </w:pPr>
            <w:r>
              <w:rPr>
                <w:rFonts w:hint="eastAsia"/>
                <w:color w:val="auto"/>
                <w:szCs w:val="21"/>
                <w:highlight w:val="none"/>
              </w:rPr>
              <w:t>（11）财产被接管或基本账户被冻结的；</w:t>
            </w:r>
          </w:p>
          <w:p w14:paraId="245FB9CD">
            <w:pPr>
              <w:spacing w:line="300" w:lineRule="exact"/>
              <w:jc w:val="left"/>
              <w:rPr>
                <w:rFonts w:hint="eastAsia"/>
                <w:color w:val="auto"/>
                <w:szCs w:val="21"/>
                <w:highlight w:val="none"/>
              </w:rPr>
            </w:pPr>
            <w:r>
              <w:rPr>
                <w:rFonts w:hint="eastAsia"/>
                <w:color w:val="auto"/>
                <w:szCs w:val="21"/>
                <w:highlight w:val="none"/>
              </w:rPr>
              <w:t>（12）有骗取中标或严重违约或工程质量安全问题，在本行政区域正处在停业整顿或暂停投标期间的；</w:t>
            </w:r>
          </w:p>
          <w:p w14:paraId="709606AA">
            <w:pPr>
              <w:spacing w:line="300" w:lineRule="exact"/>
              <w:jc w:val="left"/>
              <w:rPr>
                <w:rFonts w:hint="eastAsia"/>
                <w:color w:val="auto"/>
                <w:szCs w:val="21"/>
                <w:highlight w:val="none"/>
              </w:rPr>
            </w:pPr>
            <w:r>
              <w:rPr>
                <w:rFonts w:hint="eastAsia"/>
                <w:color w:val="auto"/>
                <w:szCs w:val="21"/>
                <w:highlight w:val="none"/>
              </w:rPr>
              <w:t>（13）被责令停业的。</w:t>
            </w:r>
          </w:p>
        </w:tc>
      </w:tr>
      <w:tr w14:paraId="0D78D4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jc w:val="center"/>
        </w:trPr>
        <w:tc>
          <w:tcPr>
            <w:tcW w:w="1354" w:type="dxa"/>
            <w:tcBorders>
              <w:top w:val="single" w:color="auto" w:sz="4" w:space="0"/>
              <w:left w:val="single" w:color="auto" w:sz="4" w:space="0"/>
              <w:bottom w:val="single" w:color="auto" w:sz="4" w:space="0"/>
              <w:right w:val="single" w:color="auto" w:sz="4" w:space="0"/>
            </w:tcBorders>
            <w:noWrap w:val="0"/>
            <w:vAlign w:val="center"/>
          </w:tcPr>
          <w:p w14:paraId="34D13D4E">
            <w:pPr>
              <w:spacing w:line="300" w:lineRule="exact"/>
              <w:jc w:val="center"/>
              <w:rPr>
                <w:b/>
                <w:color w:val="auto"/>
                <w:szCs w:val="21"/>
                <w:highlight w:val="none"/>
              </w:rPr>
            </w:pPr>
            <w:r>
              <w:rPr>
                <w:b/>
                <w:color w:val="auto"/>
                <w:szCs w:val="21"/>
                <w:highlight w:val="none"/>
              </w:rPr>
              <w:t>1.5.3</w:t>
            </w:r>
          </w:p>
        </w:tc>
        <w:tc>
          <w:tcPr>
            <w:tcW w:w="1204" w:type="dxa"/>
            <w:tcBorders>
              <w:top w:val="single" w:color="auto" w:sz="4" w:space="0"/>
              <w:left w:val="single" w:color="auto" w:sz="4" w:space="0"/>
              <w:bottom w:val="single" w:color="auto" w:sz="4" w:space="0"/>
              <w:right w:val="single" w:color="auto" w:sz="4" w:space="0"/>
            </w:tcBorders>
            <w:noWrap w:val="0"/>
            <w:vAlign w:val="center"/>
          </w:tcPr>
          <w:p w14:paraId="2F3E2E36">
            <w:pPr>
              <w:spacing w:line="300" w:lineRule="exact"/>
              <w:jc w:val="center"/>
              <w:rPr>
                <w:color w:val="auto"/>
                <w:szCs w:val="21"/>
                <w:highlight w:val="none"/>
              </w:rPr>
            </w:pPr>
            <w:r>
              <w:rPr>
                <w:rFonts w:hint="eastAsia"/>
                <w:color w:val="auto"/>
                <w:szCs w:val="21"/>
                <w:highlight w:val="none"/>
              </w:rPr>
              <w:t>联合体</w:t>
            </w:r>
          </w:p>
        </w:tc>
        <w:tc>
          <w:tcPr>
            <w:tcW w:w="6905" w:type="dxa"/>
            <w:tcBorders>
              <w:top w:val="single" w:color="auto" w:sz="4" w:space="0"/>
              <w:left w:val="single" w:color="auto" w:sz="4" w:space="0"/>
              <w:bottom w:val="single" w:color="auto" w:sz="4" w:space="0"/>
              <w:right w:val="single" w:color="auto" w:sz="4" w:space="0"/>
            </w:tcBorders>
            <w:noWrap w:val="0"/>
            <w:vAlign w:val="center"/>
          </w:tcPr>
          <w:p w14:paraId="7070796C">
            <w:pPr>
              <w:spacing w:line="300" w:lineRule="exact"/>
              <w:jc w:val="left"/>
              <w:rPr>
                <w:color w:val="auto"/>
                <w:szCs w:val="21"/>
                <w:highlight w:val="none"/>
              </w:rPr>
            </w:pPr>
            <w:r>
              <w:rPr>
                <w:rFonts w:hint="eastAsia"/>
                <w:color w:val="auto"/>
                <w:szCs w:val="21"/>
                <w:highlight w:val="none"/>
              </w:rPr>
              <w:t>是否接受联合体详见磋商公告</w:t>
            </w:r>
          </w:p>
        </w:tc>
      </w:tr>
      <w:tr w14:paraId="4811D0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354" w:type="dxa"/>
            <w:tcBorders>
              <w:top w:val="single" w:color="auto" w:sz="4" w:space="0"/>
              <w:left w:val="single" w:color="auto" w:sz="4" w:space="0"/>
              <w:bottom w:val="single" w:color="auto" w:sz="4" w:space="0"/>
              <w:right w:val="single" w:color="auto" w:sz="4" w:space="0"/>
            </w:tcBorders>
            <w:noWrap w:val="0"/>
            <w:vAlign w:val="center"/>
          </w:tcPr>
          <w:p w14:paraId="404123AA">
            <w:pPr>
              <w:spacing w:line="300" w:lineRule="exact"/>
              <w:jc w:val="center"/>
              <w:rPr>
                <w:color w:val="auto"/>
                <w:szCs w:val="21"/>
                <w:highlight w:val="none"/>
              </w:rPr>
            </w:pPr>
            <w:r>
              <w:rPr>
                <w:b/>
                <w:color w:val="auto"/>
                <w:szCs w:val="21"/>
                <w:highlight w:val="none"/>
              </w:rPr>
              <w:t>1.6</w:t>
            </w:r>
          </w:p>
        </w:tc>
        <w:tc>
          <w:tcPr>
            <w:tcW w:w="1204" w:type="dxa"/>
            <w:tcBorders>
              <w:top w:val="single" w:color="auto" w:sz="4" w:space="0"/>
              <w:left w:val="single" w:color="auto" w:sz="4" w:space="0"/>
              <w:bottom w:val="single" w:color="auto" w:sz="4" w:space="0"/>
              <w:right w:val="single" w:color="auto" w:sz="4" w:space="0"/>
            </w:tcBorders>
            <w:noWrap w:val="0"/>
            <w:vAlign w:val="center"/>
          </w:tcPr>
          <w:p w14:paraId="43266C20">
            <w:pPr>
              <w:spacing w:line="300" w:lineRule="exact"/>
              <w:jc w:val="center"/>
              <w:rPr>
                <w:color w:val="auto"/>
                <w:szCs w:val="21"/>
                <w:highlight w:val="none"/>
              </w:rPr>
            </w:pPr>
            <w:r>
              <w:rPr>
                <w:rFonts w:hint="eastAsia"/>
                <w:color w:val="auto"/>
                <w:szCs w:val="21"/>
                <w:highlight w:val="none"/>
              </w:rPr>
              <w:t>踏勘</w:t>
            </w:r>
          </w:p>
        </w:tc>
        <w:tc>
          <w:tcPr>
            <w:tcW w:w="6905" w:type="dxa"/>
            <w:tcBorders>
              <w:top w:val="single" w:color="auto" w:sz="4" w:space="0"/>
              <w:left w:val="single" w:color="auto" w:sz="4" w:space="0"/>
              <w:bottom w:val="single" w:color="auto" w:sz="4" w:space="0"/>
              <w:right w:val="single" w:color="auto" w:sz="4" w:space="0"/>
            </w:tcBorders>
            <w:noWrap w:val="0"/>
            <w:vAlign w:val="center"/>
          </w:tcPr>
          <w:p w14:paraId="448C79A7">
            <w:pPr>
              <w:pStyle w:val="18"/>
              <w:rPr>
                <w:rFonts w:hint="eastAsia"/>
                <w:color w:val="auto"/>
                <w:szCs w:val="21"/>
                <w:highlight w:val="none"/>
              </w:rPr>
            </w:pPr>
            <w:r>
              <w:rPr>
                <w:color w:val="auto"/>
                <w:szCs w:val="21"/>
                <w:highlight w:val="none"/>
              </w:rPr>
              <w:sym w:font="Wingdings 2" w:char="0052"/>
            </w:r>
            <w:r>
              <w:rPr>
                <w:rFonts w:hint="eastAsia"/>
                <w:color w:val="auto"/>
                <w:szCs w:val="21"/>
                <w:highlight w:val="none"/>
                <w:lang w:val="en-US" w:eastAsia="zh-CN"/>
              </w:rPr>
              <w:t>不组织</w:t>
            </w:r>
            <w:r>
              <w:rPr>
                <w:rFonts w:hint="eastAsia"/>
                <w:color w:val="auto"/>
                <w:szCs w:val="21"/>
                <w:highlight w:val="none"/>
              </w:rPr>
              <w:t xml:space="preserve"> </w:t>
            </w:r>
          </w:p>
          <w:p w14:paraId="5CD3810B">
            <w:pPr>
              <w:pStyle w:val="18"/>
              <w:rPr>
                <w:rFonts w:hint="eastAsia" w:eastAsia="宋体"/>
                <w:color w:val="auto"/>
                <w:szCs w:val="21"/>
                <w:highlight w:val="none"/>
                <w:lang w:val="en-US" w:eastAsia="zh-CN"/>
              </w:rPr>
            </w:pPr>
            <w:r>
              <w:rPr>
                <w:rFonts w:hint="eastAsia"/>
                <w:color w:val="auto"/>
                <w:szCs w:val="21"/>
                <w:highlight w:val="none"/>
              </w:rPr>
              <w:t>□</w:t>
            </w:r>
            <w:r>
              <w:rPr>
                <w:rFonts w:hint="eastAsia"/>
                <w:color w:val="auto"/>
                <w:szCs w:val="21"/>
                <w:highlight w:val="none"/>
                <w:lang w:val="en-US" w:eastAsia="zh-CN"/>
              </w:rPr>
              <w:t>组织</w:t>
            </w:r>
          </w:p>
          <w:p w14:paraId="189416A1">
            <w:pPr>
              <w:pStyle w:val="18"/>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 xml:space="preserve">踏勘时间：              </w:t>
            </w:r>
          </w:p>
          <w:p w14:paraId="3F847674">
            <w:pPr>
              <w:pStyle w:val="18"/>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踏勘</w:t>
            </w:r>
            <w:r>
              <w:rPr>
                <w:rFonts w:hint="eastAsia" w:cs="Times New Roman"/>
                <w:color w:val="auto"/>
                <w:kern w:val="2"/>
                <w:sz w:val="21"/>
                <w:szCs w:val="21"/>
                <w:highlight w:val="none"/>
                <w:lang w:val="en-US" w:eastAsia="zh-CN" w:bidi="ar-SA"/>
              </w:rPr>
              <w:t>集中</w:t>
            </w:r>
            <w:r>
              <w:rPr>
                <w:rFonts w:hint="eastAsia" w:ascii="Times New Roman" w:hAnsi="Times New Roman" w:eastAsia="宋体" w:cs="Times New Roman"/>
                <w:color w:val="auto"/>
                <w:kern w:val="2"/>
                <w:sz w:val="21"/>
                <w:szCs w:val="21"/>
                <w:highlight w:val="none"/>
                <w:lang w:val="en-US" w:eastAsia="zh-CN" w:bidi="ar-SA"/>
              </w:rPr>
              <w:t xml:space="preserve">地点：           </w:t>
            </w:r>
          </w:p>
          <w:p w14:paraId="0DB34B8C">
            <w:pPr>
              <w:pStyle w:val="18"/>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联系人及电话</w:t>
            </w:r>
            <w:r>
              <w:rPr>
                <w:rFonts w:hint="eastAsia" w:ascii="Times New Roman" w:hAnsi="Times New Roman" w:eastAsia="宋体" w:cs="Times New Roman"/>
                <w:color w:val="auto"/>
                <w:kern w:val="2"/>
                <w:sz w:val="21"/>
                <w:szCs w:val="21"/>
                <w:highlight w:val="none"/>
                <w:lang w:val="en-US" w:eastAsia="zh-CN" w:bidi="ar-SA"/>
              </w:rPr>
              <w:t>：</w:t>
            </w:r>
          </w:p>
          <w:p w14:paraId="7BA4CB60">
            <w:pPr>
              <w:pStyle w:val="18"/>
              <w:rPr>
                <w:color w:val="auto"/>
                <w:szCs w:val="21"/>
                <w:highlight w:val="none"/>
              </w:rPr>
            </w:pPr>
            <w:r>
              <w:rPr>
                <w:rFonts w:hint="eastAsia"/>
                <w:color w:val="auto"/>
                <w:szCs w:val="21"/>
                <w:highlight w:val="none"/>
              </w:rPr>
              <w:t xml:space="preserve">☑自行踏勘    </w:t>
            </w:r>
          </w:p>
        </w:tc>
      </w:tr>
      <w:tr w14:paraId="50D84B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354" w:type="dxa"/>
            <w:tcBorders>
              <w:top w:val="single" w:color="auto" w:sz="4" w:space="0"/>
              <w:left w:val="single" w:color="auto" w:sz="4" w:space="0"/>
              <w:bottom w:val="single" w:color="auto" w:sz="4" w:space="0"/>
              <w:right w:val="single" w:color="auto" w:sz="4" w:space="0"/>
            </w:tcBorders>
            <w:noWrap w:val="0"/>
            <w:vAlign w:val="center"/>
          </w:tcPr>
          <w:p w14:paraId="0F016542">
            <w:pPr>
              <w:spacing w:line="300" w:lineRule="exact"/>
              <w:jc w:val="center"/>
              <w:rPr>
                <w:b/>
                <w:color w:val="auto"/>
                <w:szCs w:val="21"/>
                <w:highlight w:val="none"/>
              </w:rPr>
            </w:pPr>
            <w:r>
              <w:rPr>
                <w:b/>
                <w:color w:val="auto"/>
                <w:szCs w:val="21"/>
                <w:highlight w:val="none"/>
              </w:rPr>
              <w:t>1.7.1</w:t>
            </w:r>
          </w:p>
        </w:tc>
        <w:tc>
          <w:tcPr>
            <w:tcW w:w="1204" w:type="dxa"/>
            <w:tcBorders>
              <w:top w:val="single" w:color="auto" w:sz="4" w:space="0"/>
              <w:left w:val="single" w:color="auto" w:sz="4" w:space="0"/>
              <w:bottom w:val="single" w:color="auto" w:sz="4" w:space="0"/>
              <w:right w:val="single" w:color="auto" w:sz="4" w:space="0"/>
            </w:tcBorders>
            <w:noWrap w:val="0"/>
            <w:vAlign w:val="center"/>
          </w:tcPr>
          <w:p w14:paraId="1B970B89">
            <w:pPr>
              <w:spacing w:line="300" w:lineRule="exact"/>
              <w:jc w:val="center"/>
              <w:rPr>
                <w:color w:val="auto"/>
                <w:szCs w:val="21"/>
                <w:highlight w:val="none"/>
              </w:rPr>
            </w:pPr>
            <w:r>
              <w:rPr>
                <w:color w:val="auto"/>
                <w:szCs w:val="21"/>
                <w:highlight w:val="none"/>
              </w:rPr>
              <w:t>转包</w:t>
            </w:r>
          </w:p>
        </w:tc>
        <w:tc>
          <w:tcPr>
            <w:tcW w:w="6905" w:type="dxa"/>
            <w:tcBorders>
              <w:top w:val="single" w:color="auto" w:sz="4" w:space="0"/>
              <w:left w:val="single" w:color="auto" w:sz="4" w:space="0"/>
              <w:bottom w:val="single" w:color="auto" w:sz="4" w:space="0"/>
              <w:right w:val="single" w:color="auto" w:sz="4" w:space="0"/>
            </w:tcBorders>
            <w:noWrap w:val="0"/>
            <w:vAlign w:val="center"/>
          </w:tcPr>
          <w:p w14:paraId="5198DC63">
            <w:pPr>
              <w:spacing w:line="300" w:lineRule="exact"/>
              <w:jc w:val="left"/>
              <w:rPr>
                <w:color w:val="auto"/>
                <w:szCs w:val="21"/>
                <w:highlight w:val="none"/>
              </w:rPr>
            </w:pPr>
            <w:r>
              <w:rPr>
                <w:color w:val="auto"/>
                <w:szCs w:val="21"/>
                <w:highlight w:val="none"/>
              </w:rPr>
              <w:t>本项目不允许转包</w:t>
            </w:r>
            <w:r>
              <w:rPr>
                <w:rFonts w:hint="eastAsia"/>
                <w:color w:val="auto"/>
                <w:szCs w:val="21"/>
                <w:highlight w:val="none"/>
              </w:rPr>
              <w:t>。</w:t>
            </w:r>
          </w:p>
        </w:tc>
      </w:tr>
      <w:tr w14:paraId="41CCED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354" w:type="dxa"/>
            <w:tcBorders>
              <w:top w:val="single" w:color="auto" w:sz="4" w:space="0"/>
              <w:left w:val="single" w:color="auto" w:sz="4" w:space="0"/>
              <w:bottom w:val="single" w:color="auto" w:sz="4" w:space="0"/>
              <w:right w:val="single" w:color="auto" w:sz="4" w:space="0"/>
            </w:tcBorders>
            <w:noWrap w:val="0"/>
            <w:vAlign w:val="center"/>
          </w:tcPr>
          <w:p w14:paraId="335D9342">
            <w:pPr>
              <w:spacing w:line="300" w:lineRule="exact"/>
              <w:jc w:val="center"/>
              <w:rPr>
                <w:color w:val="auto"/>
                <w:szCs w:val="21"/>
                <w:highlight w:val="none"/>
              </w:rPr>
            </w:pPr>
            <w:r>
              <w:rPr>
                <w:b/>
                <w:color w:val="auto"/>
                <w:szCs w:val="21"/>
                <w:highlight w:val="none"/>
              </w:rPr>
              <w:t>1.7.2</w:t>
            </w:r>
          </w:p>
        </w:tc>
        <w:tc>
          <w:tcPr>
            <w:tcW w:w="1204" w:type="dxa"/>
            <w:tcBorders>
              <w:top w:val="single" w:color="auto" w:sz="4" w:space="0"/>
              <w:left w:val="single" w:color="auto" w:sz="4" w:space="0"/>
              <w:bottom w:val="single" w:color="auto" w:sz="4" w:space="0"/>
              <w:right w:val="single" w:color="auto" w:sz="4" w:space="0"/>
            </w:tcBorders>
            <w:noWrap w:val="0"/>
            <w:vAlign w:val="center"/>
          </w:tcPr>
          <w:p w14:paraId="279BCD02">
            <w:pPr>
              <w:spacing w:line="300" w:lineRule="exact"/>
              <w:jc w:val="center"/>
              <w:rPr>
                <w:color w:val="auto"/>
                <w:szCs w:val="21"/>
                <w:highlight w:val="none"/>
              </w:rPr>
            </w:pPr>
            <w:r>
              <w:rPr>
                <w:color w:val="auto"/>
                <w:szCs w:val="21"/>
                <w:highlight w:val="none"/>
              </w:rPr>
              <w:t>分包</w:t>
            </w:r>
          </w:p>
        </w:tc>
        <w:tc>
          <w:tcPr>
            <w:tcW w:w="6905" w:type="dxa"/>
            <w:tcBorders>
              <w:top w:val="single" w:color="auto" w:sz="4" w:space="0"/>
              <w:left w:val="single" w:color="auto" w:sz="4" w:space="0"/>
              <w:bottom w:val="single" w:color="auto" w:sz="4" w:space="0"/>
              <w:right w:val="single" w:color="auto" w:sz="4" w:space="0"/>
            </w:tcBorders>
            <w:noWrap w:val="0"/>
            <w:vAlign w:val="center"/>
          </w:tcPr>
          <w:p w14:paraId="14CB2EF1">
            <w:pPr>
              <w:spacing w:line="300" w:lineRule="exact"/>
              <w:jc w:val="left"/>
              <w:rPr>
                <w:rFonts w:hint="eastAsia"/>
                <w:color w:val="auto"/>
                <w:szCs w:val="21"/>
                <w:highlight w:val="none"/>
              </w:rPr>
            </w:pPr>
            <w:r>
              <w:rPr>
                <w:rFonts w:hint="eastAsia"/>
                <w:color w:val="auto"/>
                <w:szCs w:val="21"/>
                <w:highlight w:val="none"/>
              </w:rPr>
              <w:t>是否接受分包详见磋商公告</w:t>
            </w:r>
          </w:p>
        </w:tc>
      </w:tr>
      <w:tr w14:paraId="7E649D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354" w:type="dxa"/>
            <w:tcBorders>
              <w:top w:val="single" w:color="auto" w:sz="4" w:space="0"/>
              <w:left w:val="single" w:color="auto" w:sz="4" w:space="0"/>
              <w:bottom w:val="single" w:color="auto" w:sz="4" w:space="0"/>
              <w:right w:val="single" w:color="auto" w:sz="4" w:space="0"/>
            </w:tcBorders>
            <w:noWrap w:val="0"/>
            <w:vAlign w:val="center"/>
          </w:tcPr>
          <w:p w14:paraId="6CFC8966">
            <w:pPr>
              <w:spacing w:line="300" w:lineRule="exact"/>
              <w:jc w:val="center"/>
              <w:rPr>
                <w:color w:val="auto"/>
                <w:szCs w:val="21"/>
                <w:highlight w:val="none"/>
              </w:rPr>
            </w:pPr>
            <w:r>
              <w:rPr>
                <w:b/>
                <w:color w:val="auto"/>
                <w:szCs w:val="21"/>
                <w:highlight w:val="none"/>
              </w:rPr>
              <w:t>2.3</w:t>
            </w:r>
          </w:p>
        </w:tc>
        <w:tc>
          <w:tcPr>
            <w:tcW w:w="1204" w:type="dxa"/>
            <w:tcBorders>
              <w:top w:val="single" w:color="auto" w:sz="4" w:space="0"/>
              <w:left w:val="single" w:color="auto" w:sz="4" w:space="0"/>
              <w:bottom w:val="single" w:color="auto" w:sz="4" w:space="0"/>
              <w:right w:val="single" w:color="auto" w:sz="4" w:space="0"/>
            </w:tcBorders>
            <w:noWrap w:val="0"/>
            <w:vAlign w:val="center"/>
          </w:tcPr>
          <w:p w14:paraId="7DEF40AA">
            <w:pPr>
              <w:spacing w:line="300" w:lineRule="exact"/>
              <w:jc w:val="center"/>
              <w:rPr>
                <w:color w:val="auto"/>
                <w:szCs w:val="21"/>
                <w:highlight w:val="none"/>
              </w:rPr>
            </w:pPr>
            <w:r>
              <w:rPr>
                <w:color w:val="auto"/>
                <w:szCs w:val="21"/>
                <w:highlight w:val="none"/>
              </w:rPr>
              <w:t>采购文件澄清、修改</w:t>
            </w:r>
          </w:p>
        </w:tc>
        <w:tc>
          <w:tcPr>
            <w:tcW w:w="6905" w:type="dxa"/>
            <w:tcBorders>
              <w:top w:val="single" w:color="auto" w:sz="4" w:space="0"/>
              <w:left w:val="single" w:color="auto" w:sz="4" w:space="0"/>
              <w:bottom w:val="single" w:color="auto" w:sz="4" w:space="0"/>
              <w:right w:val="single" w:color="auto" w:sz="4" w:space="0"/>
            </w:tcBorders>
            <w:noWrap w:val="0"/>
            <w:vAlign w:val="center"/>
          </w:tcPr>
          <w:p w14:paraId="203097AB">
            <w:pPr>
              <w:spacing w:line="300" w:lineRule="exact"/>
              <w:jc w:val="left"/>
              <w:rPr>
                <w:color w:val="auto"/>
                <w:szCs w:val="21"/>
                <w:highlight w:val="none"/>
              </w:rPr>
            </w:pPr>
            <w:r>
              <w:rPr>
                <w:color w:val="auto"/>
                <w:szCs w:val="21"/>
                <w:highlight w:val="none"/>
              </w:rPr>
              <w:t>在</w:t>
            </w:r>
            <w:r>
              <w:rPr>
                <w:rFonts w:hint="eastAsia"/>
                <w:color w:val="auto"/>
                <w:szCs w:val="21"/>
                <w:highlight w:val="none"/>
              </w:rPr>
              <w:t>磋商</w:t>
            </w:r>
            <w:r>
              <w:rPr>
                <w:color w:val="auto"/>
                <w:szCs w:val="21"/>
                <w:highlight w:val="none"/>
              </w:rPr>
              <w:t>公告发布媒介发布</w:t>
            </w:r>
            <w:r>
              <w:rPr>
                <w:rFonts w:hint="eastAsia"/>
                <w:color w:val="auto"/>
                <w:szCs w:val="21"/>
                <w:highlight w:val="none"/>
              </w:rPr>
              <w:t>。</w:t>
            </w:r>
          </w:p>
        </w:tc>
      </w:tr>
      <w:tr w14:paraId="38093A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354" w:type="dxa"/>
            <w:tcBorders>
              <w:top w:val="single" w:color="auto" w:sz="4" w:space="0"/>
              <w:left w:val="single" w:color="auto" w:sz="4" w:space="0"/>
              <w:bottom w:val="single" w:color="auto" w:sz="4" w:space="0"/>
              <w:right w:val="single" w:color="auto" w:sz="4" w:space="0"/>
            </w:tcBorders>
            <w:noWrap w:val="0"/>
            <w:vAlign w:val="center"/>
          </w:tcPr>
          <w:p w14:paraId="3BF3E9CD">
            <w:pPr>
              <w:spacing w:line="300" w:lineRule="exact"/>
              <w:jc w:val="center"/>
              <w:rPr>
                <w:b/>
                <w:color w:val="auto"/>
                <w:szCs w:val="21"/>
                <w:highlight w:val="none"/>
              </w:rPr>
            </w:pPr>
            <w:r>
              <w:rPr>
                <w:b/>
                <w:color w:val="auto"/>
                <w:szCs w:val="21"/>
                <w:highlight w:val="none"/>
              </w:rPr>
              <w:t>2.3</w:t>
            </w:r>
          </w:p>
        </w:tc>
        <w:tc>
          <w:tcPr>
            <w:tcW w:w="1204" w:type="dxa"/>
            <w:tcBorders>
              <w:top w:val="single" w:color="auto" w:sz="4" w:space="0"/>
              <w:left w:val="single" w:color="auto" w:sz="4" w:space="0"/>
              <w:bottom w:val="single" w:color="auto" w:sz="4" w:space="0"/>
              <w:right w:val="single" w:color="auto" w:sz="4" w:space="0"/>
            </w:tcBorders>
            <w:noWrap w:val="0"/>
            <w:vAlign w:val="center"/>
          </w:tcPr>
          <w:p w14:paraId="7A0713FC">
            <w:pPr>
              <w:spacing w:line="300" w:lineRule="exact"/>
              <w:jc w:val="center"/>
              <w:rPr>
                <w:color w:val="auto"/>
                <w:szCs w:val="21"/>
                <w:highlight w:val="none"/>
              </w:rPr>
            </w:pPr>
            <w:r>
              <w:rPr>
                <w:color w:val="auto"/>
                <w:szCs w:val="21"/>
                <w:highlight w:val="none"/>
              </w:rPr>
              <w:t>确认收到澄清、修改发布的方式</w:t>
            </w:r>
          </w:p>
        </w:tc>
        <w:tc>
          <w:tcPr>
            <w:tcW w:w="6905" w:type="dxa"/>
            <w:tcBorders>
              <w:top w:val="single" w:color="auto" w:sz="4" w:space="0"/>
              <w:left w:val="single" w:color="auto" w:sz="4" w:space="0"/>
              <w:bottom w:val="single" w:color="auto" w:sz="4" w:space="0"/>
              <w:right w:val="single" w:color="auto" w:sz="4" w:space="0"/>
            </w:tcBorders>
            <w:noWrap w:val="0"/>
            <w:vAlign w:val="center"/>
          </w:tcPr>
          <w:p w14:paraId="2CB70603">
            <w:pPr>
              <w:spacing w:line="300" w:lineRule="exact"/>
              <w:jc w:val="left"/>
              <w:rPr>
                <w:color w:val="auto"/>
                <w:szCs w:val="21"/>
                <w:highlight w:val="none"/>
              </w:rPr>
            </w:pPr>
            <w:r>
              <w:rPr>
                <w:color w:val="auto"/>
                <w:szCs w:val="21"/>
                <w:highlight w:val="none"/>
              </w:rPr>
              <w:t>澄清、修改文件</w:t>
            </w:r>
            <w:r>
              <w:rPr>
                <w:rFonts w:hint="eastAsia"/>
                <w:color w:val="auto"/>
                <w:szCs w:val="21"/>
                <w:highlight w:val="none"/>
              </w:rPr>
              <w:t>自磋商</w:t>
            </w:r>
            <w:r>
              <w:rPr>
                <w:color w:val="auto"/>
                <w:szCs w:val="21"/>
                <w:highlight w:val="none"/>
              </w:rPr>
              <w:t>公告发布媒</w:t>
            </w:r>
            <w:r>
              <w:rPr>
                <w:rFonts w:hint="eastAsia"/>
                <w:color w:val="auto"/>
                <w:szCs w:val="21"/>
                <w:highlight w:val="none"/>
              </w:rPr>
              <w:t>体</w:t>
            </w:r>
            <w:r>
              <w:rPr>
                <w:color w:val="auto"/>
                <w:szCs w:val="21"/>
                <w:highlight w:val="none"/>
              </w:rPr>
              <w:t>发布之日起，视为供应商已收到该澄清、修改。供应商未及时关注</w:t>
            </w:r>
            <w:r>
              <w:rPr>
                <w:rFonts w:hint="eastAsia"/>
                <w:color w:val="auto"/>
                <w:szCs w:val="21"/>
                <w:highlight w:val="none"/>
              </w:rPr>
              <w:t>磋商</w:t>
            </w:r>
            <w:r>
              <w:rPr>
                <w:color w:val="auto"/>
                <w:szCs w:val="21"/>
                <w:highlight w:val="none"/>
              </w:rPr>
              <w:t>公告发布媒</w:t>
            </w:r>
            <w:r>
              <w:rPr>
                <w:rFonts w:hint="eastAsia"/>
                <w:color w:val="auto"/>
                <w:szCs w:val="21"/>
                <w:highlight w:val="none"/>
              </w:rPr>
              <w:t>体</w:t>
            </w:r>
            <w:r>
              <w:rPr>
                <w:color w:val="auto"/>
                <w:szCs w:val="21"/>
                <w:highlight w:val="none"/>
              </w:rPr>
              <w:t>造成的损失，由供应商自行负责。</w:t>
            </w:r>
          </w:p>
        </w:tc>
      </w:tr>
      <w:tr w14:paraId="463DB3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354" w:type="dxa"/>
            <w:tcBorders>
              <w:top w:val="single" w:color="auto" w:sz="4" w:space="0"/>
              <w:left w:val="single" w:color="auto" w:sz="4" w:space="0"/>
              <w:bottom w:val="single" w:color="auto" w:sz="4" w:space="0"/>
              <w:right w:val="single" w:color="auto" w:sz="4" w:space="0"/>
            </w:tcBorders>
            <w:noWrap w:val="0"/>
            <w:vAlign w:val="center"/>
          </w:tcPr>
          <w:p w14:paraId="085F6DCB">
            <w:pPr>
              <w:spacing w:line="300" w:lineRule="exact"/>
              <w:jc w:val="center"/>
              <w:rPr>
                <w:b/>
                <w:color w:val="auto"/>
                <w:szCs w:val="21"/>
                <w:highlight w:val="none"/>
              </w:rPr>
            </w:pPr>
            <w:r>
              <w:rPr>
                <w:b/>
                <w:color w:val="auto"/>
                <w:szCs w:val="21"/>
                <w:highlight w:val="none"/>
              </w:rPr>
              <w:t>3.4.1</w:t>
            </w:r>
          </w:p>
        </w:tc>
        <w:tc>
          <w:tcPr>
            <w:tcW w:w="1204" w:type="dxa"/>
            <w:tcBorders>
              <w:top w:val="single" w:color="auto" w:sz="4" w:space="0"/>
              <w:left w:val="single" w:color="auto" w:sz="4" w:space="0"/>
              <w:bottom w:val="single" w:color="auto" w:sz="4" w:space="0"/>
              <w:right w:val="single" w:color="auto" w:sz="4" w:space="0"/>
            </w:tcBorders>
            <w:noWrap w:val="0"/>
            <w:vAlign w:val="center"/>
          </w:tcPr>
          <w:p w14:paraId="24EA514F">
            <w:pPr>
              <w:spacing w:line="300" w:lineRule="exact"/>
              <w:jc w:val="center"/>
              <w:rPr>
                <w:color w:val="auto"/>
                <w:szCs w:val="21"/>
                <w:highlight w:val="none"/>
              </w:rPr>
            </w:pPr>
            <w:r>
              <w:rPr>
                <w:rFonts w:hint="eastAsia"/>
                <w:color w:val="auto"/>
                <w:szCs w:val="21"/>
                <w:highlight w:val="none"/>
              </w:rPr>
              <w:t>响应</w:t>
            </w:r>
            <w:r>
              <w:rPr>
                <w:color w:val="auto"/>
                <w:szCs w:val="21"/>
                <w:highlight w:val="none"/>
              </w:rPr>
              <w:t>有效期</w:t>
            </w:r>
          </w:p>
        </w:tc>
        <w:tc>
          <w:tcPr>
            <w:tcW w:w="6905" w:type="dxa"/>
            <w:tcBorders>
              <w:top w:val="single" w:color="auto" w:sz="4" w:space="0"/>
              <w:left w:val="single" w:color="auto" w:sz="4" w:space="0"/>
              <w:bottom w:val="single" w:color="auto" w:sz="4" w:space="0"/>
              <w:right w:val="single" w:color="auto" w:sz="4" w:space="0"/>
            </w:tcBorders>
            <w:noWrap w:val="0"/>
            <w:vAlign w:val="center"/>
          </w:tcPr>
          <w:p w14:paraId="62EDB513">
            <w:pPr>
              <w:spacing w:line="300" w:lineRule="exact"/>
              <w:jc w:val="left"/>
              <w:rPr>
                <w:color w:val="auto"/>
                <w:szCs w:val="21"/>
                <w:highlight w:val="none"/>
              </w:rPr>
            </w:pPr>
            <w:r>
              <w:rPr>
                <w:color w:val="auto"/>
                <w:szCs w:val="21"/>
                <w:highlight w:val="none"/>
              </w:rPr>
              <w:t>响应截止之日起90天。</w:t>
            </w:r>
          </w:p>
        </w:tc>
      </w:tr>
      <w:tr w14:paraId="423D7F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354" w:type="dxa"/>
            <w:tcBorders>
              <w:top w:val="single" w:color="auto" w:sz="4" w:space="0"/>
              <w:left w:val="single" w:color="auto" w:sz="4" w:space="0"/>
              <w:bottom w:val="single" w:color="auto" w:sz="4" w:space="0"/>
              <w:right w:val="single" w:color="auto" w:sz="4" w:space="0"/>
            </w:tcBorders>
            <w:noWrap w:val="0"/>
            <w:vAlign w:val="center"/>
          </w:tcPr>
          <w:p w14:paraId="7E1930E0">
            <w:pPr>
              <w:spacing w:line="300" w:lineRule="exact"/>
              <w:jc w:val="center"/>
              <w:rPr>
                <w:b/>
                <w:color w:val="auto"/>
                <w:szCs w:val="21"/>
                <w:highlight w:val="none"/>
              </w:rPr>
            </w:pPr>
            <w:r>
              <w:rPr>
                <w:b/>
                <w:color w:val="auto"/>
                <w:szCs w:val="21"/>
                <w:highlight w:val="none"/>
              </w:rPr>
              <w:t>3.5</w:t>
            </w:r>
          </w:p>
        </w:tc>
        <w:tc>
          <w:tcPr>
            <w:tcW w:w="1204" w:type="dxa"/>
            <w:tcBorders>
              <w:top w:val="single" w:color="auto" w:sz="4" w:space="0"/>
              <w:left w:val="single" w:color="auto" w:sz="4" w:space="0"/>
              <w:bottom w:val="single" w:color="auto" w:sz="4" w:space="0"/>
              <w:right w:val="single" w:color="auto" w:sz="4" w:space="0"/>
            </w:tcBorders>
            <w:noWrap w:val="0"/>
            <w:vAlign w:val="center"/>
          </w:tcPr>
          <w:p w14:paraId="6035E223">
            <w:pPr>
              <w:spacing w:line="300" w:lineRule="exact"/>
              <w:jc w:val="center"/>
              <w:rPr>
                <w:color w:val="auto"/>
                <w:szCs w:val="21"/>
                <w:highlight w:val="none"/>
              </w:rPr>
            </w:pPr>
            <w:r>
              <w:rPr>
                <w:rFonts w:hint="eastAsia"/>
                <w:color w:val="auto"/>
                <w:szCs w:val="21"/>
                <w:highlight w:val="none"/>
              </w:rPr>
              <w:t>磋商</w:t>
            </w:r>
            <w:r>
              <w:rPr>
                <w:color w:val="auto"/>
                <w:szCs w:val="21"/>
                <w:highlight w:val="none"/>
              </w:rPr>
              <w:t>保证金</w:t>
            </w:r>
          </w:p>
        </w:tc>
        <w:tc>
          <w:tcPr>
            <w:tcW w:w="6905" w:type="dxa"/>
            <w:tcBorders>
              <w:top w:val="single" w:color="auto" w:sz="4" w:space="0"/>
              <w:left w:val="single" w:color="auto" w:sz="4" w:space="0"/>
              <w:bottom w:val="single" w:color="auto" w:sz="4" w:space="0"/>
              <w:right w:val="single" w:color="auto" w:sz="4" w:space="0"/>
            </w:tcBorders>
            <w:noWrap w:val="0"/>
            <w:vAlign w:val="center"/>
          </w:tcPr>
          <w:p w14:paraId="4CAB76AE">
            <w:pPr>
              <w:spacing w:line="300" w:lineRule="exact"/>
              <w:jc w:val="left"/>
              <w:rPr>
                <w:rFonts w:hint="eastAsia"/>
                <w:color w:val="auto"/>
                <w:szCs w:val="21"/>
                <w:highlight w:val="none"/>
              </w:rPr>
            </w:pPr>
            <w:r>
              <w:rPr>
                <w:rFonts w:hint="eastAsia"/>
                <w:color w:val="auto"/>
                <w:szCs w:val="21"/>
                <w:highlight w:val="none"/>
              </w:rPr>
              <w:t>磋商保证金金额：</w:t>
            </w:r>
            <w:r>
              <w:rPr>
                <w:rFonts w:hint="eastAsia" w:ascii="宋体" w:hAnsi="宋体" w:eastAsia="宋体" w:cs="宋体"/>
                <w:color w:val="auto"/>
                <w:highlight w:val="none"/>
              </w:rPr>
              <w:t>人民币</w:t>
            </w:r>
            <w:r>
              <w:rPr>
                <w:rFonts w:hint="eastAsia" w:ascii="宋体" w:hAnsi="宋体" w:cs="宋体"/>
                <w:color w:val="auto"/>
                <w:highlight w:val="none"/>
                <w:lang w:eastAsia="zh-CN"/>
              </w:rPr>
              <w:t>壹万元整</w:t>
            </w:r>
            <w:r>
              <w:rPr>
                <w:rFonts w:hint="eastAsia" w:ascii="宋体" w:hAnsi="宋体" w:eastAsia="宋体" w:cs="宋体"/>
                <w:color w:val="auto"/>
                <w:highlight w:val="none"/>
              </w:rPr>
              <w:t>（¥</w:t>
            </w:r>
            <w:r>
              <w:rPr>
                <w:rFonts w:hint="eastAsia" w:ascii="宋体" w:hAnsi="宋体" w:cs="宋体"/>
                <w:color w:val="auto"/>
                <w:highlight w:val="none"/>
                <w:lang w:val="en-US" w:eastAsia="zh-CN"/>
              </w:rPr>
              <w:t>10</w:t>
            </w:r>
            <w:r>
              <w:rPr>
                <w:rFonts w:hint="eastAsia" w:ascii="宋体" w:hAnsi="宋体" w:eastAsia="宋体" w:cs="宋体"/>
                <w:color w:val="auto"/>
                <w:highlight w:val="none"/>
              </w:rPr>
              <w:t>,000.00）。</w:t>
            </w:r>
          </w:p>
          <w:p w14:paraId="2EC65F21">
            <w:pPr>
              <w:spacing w:line="300" w:lineRule="exact"/>
              <w:jc w:val="left"/>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1、缴纳方式一：</w:t>
            </w:r>
          </w:p>
          <w:p w14:paraId="540D600F">
            <w:pPr>
              <w:spacing w:line="300" w:lineRule="exact"/>
              <w:jc w:val="left"/>
              <w:rPr>
                <w:rFonts w:hint="eastAsia"/>
                <w:color w:val="auto"/>
                <w:szCs w:val="21"/>
                <w:highlight w:val="none"/>
              </w:rPr>
            </w:pPr>
            <w:r>
              <w:rPr>
                <w:rFonts w:hint="eastAsia" w:ascii="Times New Roman" w:hAnsi="Times New Roman" w:eastAsia="宋体" w:cs="Times New Roman"/>
                <w:color w:val="auto"/>
                <w:szCs w:val="21"/>
                <w:highlight w:val="none"/>
              </w:rPr>
              <w:t>（1）供</w:t>
            </w:r>
            <w:r>
              <w:rPr>
                <w:rFonts w:hint="eastAsia"/>
                <w:color w:val="auto"/>
                <w:szCs w:val="21"/>
                <w:highlight w:val="none"/>
              </w:rPr>
              <w:t>应商应于响应截止时间前将磋商保证金以电汇、转账形式从供应商账户一次性足额缴纳至本项目（各分标）对应的专用虚拟账号，所交纳的磋商保证金仅限当次项目（分标）有效，不得重复替代使用。本项目磋商保证金缴纳专用虚拟账号信息如下：</w:t>
            </w:r>
          </w:p>
          <w:p w14:paraId="4B79D75B">
            <w:pPr>
              <w:spacing w:line="300" w:lineRule="exact"/>
              <w:jc w:val="left"/>
              <w:rPr>
                <w:rFonts w:hint="eastAsia"/>
                <w:color w:val="auto"/>
                <w:szCs w:val="21"/>
                <w:highlight w:val="none"/>
              </w:rPr>
            </w:pPr>
            <w:r>
              <w:rPr>
                <w:rFonts w:hint="eastAsia"/>
                <w:color w:val="auto"/>
                <w:szCs w:val="21"/>
                <w:highlight w:val="none"/>
              </w:rPr>
              <w:t>开户名称：广西机电设备招标有限公司</w:t>
            </w:r>
          </w:p>
          <w:p w14:paraId="316E53B8">
            <w:pPr>
              <w:spacing w:line="300" w:lineRule="exact"/>
              <w:jc w:val="left"/>
              <w:rPr>
                <w:rFonts w:hint="eastAsia"/>
                <w:color w:val="auto"/>
                <w:szCs w:val="21"/>
                <w:highlight w:val="none"/>
              </w:rPr>
            </w:pPr>
            <w:r>
              <w:rPr>
                <w:rFonts w:hint="eastAsia"/>
                <w:color w:val="auto"/>
                <w:szCs w:val="21"/>
                <w:highlight w:val="none"/>
              </w:rPr>
              <w:t>开户银行：平安银行南宁分行营业部</w:t>
            </w:r>
          </w:p>
          <w:p w14:paraId="5E6ED676">
            <w:pPr>
              <w:spacing w:line="300" w:lineRule="exact"/>
              <w:jc w:val="left"/>
              <w:rPr>
                <w:rFonts w:hint="eastAsia"/>
                <w:color w:val="auto"/>
                <w:szCs w:val="21"/>
                <w:highlight w:val="none"/>
              </w:rPr>
            </w:pPr>
            <w:r>
              <w:rPr>
                <w:rFonts w:hint="eastAsia"/>
                <w:color w:val="auto"/>
                <w:szCs w:val="21"/>
                <w:highlight w:val="none"/>
              </w:rPr>
              <w:t>银行账号：30210485761420</w:t>
            </w:r>
          </w:p>
          <w:p w14:paraId="05106BC5">
            <w:pPr>
              <w:spacing w:line="300" w:lineRule="exact"/>
              <w:jc w:val="left"/>
              <w:rPr>
                <w:rFonts w:hint="eastAsia"/>
                <w:color w:val="auto"/>
                <w:szCs w:val="21"/>
                <w:highlight w:val="none"/>
              </w:rPr>
            </w:pPr>
            <w:r>
              <w:rPr>
                <w:rFonts w:hint="eastAsia"/>
                <w:color w:val="auto"/>
                <w:szCs w:val="21"/>
                <w:highlight w:val="none"/>
              </w:rPr>
              <w:t>特别说明：本项目保证金采用虚拟账号，为保证磋商保证金与项目一一对应，供应商如参加本项目多个分标的响应，应按各分标对应的专用虚拟账号分别缴纳磋商保证金。</w:t>
            </w:r>
          </w:p>
          <w:p w14:paraId="280EFCA0">
            <w:pPr>
              <w:spacing w:line="300" w:lineRule="exact"/>
              <w:jc w:val="left"/>
              <w:rPr>
                <w:rFonts w:hint="eastAsia"/>
                <w:color w:val="auto"/>
                <w:szCs w:val="21"/>
                <w:highlight w:val="none"/>
              </w:rPr>
            </w:pPr>
            <w:r>
              <w:rPr>
                <w:rFonts w:hint="eastAsia"/>
                <w:color w:val="auto"/>
                <w:szCs w:val="21"/>
                <w:highlight w:val="none"/>
              </w:rPr>
              <w:t>（2）磋商保证金币种应与响应报价币种相同。磋商保证金缴纳后无需开具收据，供应商应在响应文件中放入转账底单或电汇凭证的复印件，必须在响应截止时间之前到达指定账号，其到账时间以银行确认的到账时间为准。</w:t>
            </w:r>
          </w:p>
          <w:p w14:paraId="6F2B409E">
            <w:pPr>
              <w:spacing w:line="300" w:lineRule="exact"/>
              <w:jc w:val="left"/>
              <w:rPr>
                <w:rFonts w:hint="eastAsia"/>
                <w:color w:val="auto"/>
                <w:szCs w:val="21"/>
                <w:highlight w:val="none"/>
              </w:rPr>
            </w:pPr>
            <w:r>
              <w:rPr>
                <w:rFonts w:hint="eastAsia"/>
                <w:color w:val="auto"/>
                <w:szCs w:val="21"/>
                <w:highlight w:val="none"/>
              </w:rPr>
              <w:t>（3）除采购文件规定不予退还保证金的情形外，采购代理机构在法定时间内通过银行原路退还保证金至供应商缴纳账户。供应商自行承担交纳保证金后未参加响应活动或磋商保证金缴纳错误而导致磋商保证金无法及时退还的责任。</w:t>
            </w:r>
          </w:p>
          <w:p w14:paraId="734F33F5">
            <w:pPr>
              <w:spacing w:line="300" w:lineRule="exact"/>
              <w:jc w:val="left"/>
              <w:rPr>
                <w:rFonts w:hint="eastAsia"/>
                <w:color w:val="auto"/>
                <w:szCs w:val="21"/>
                <w:highlight w:val="none"/>
              </w:rPr>
            </w:pPr>
            <w:r>
              <w:rPr>
                <w:rFonts w:hint="eastAsia"/>
                <w:color w:val="auto"/>
                <w:szCs w:val="21"/>
                <w:highlight w:val="none"/>
              </w:rPr>
              <w:t>2、缴纳方式二：</w:t>
            </w:r>
          </w:p>
          <w:p w14:paraId="7C5DBB98">
            <w:pPr>
              <w:spacing w:line="300" w:lineRule="exact"/>
              <w:jc w:val="left"/>
              <w:rPr>
                <w:rFonts w:hint="eastAsia"/>
                <w:color w:val="auto"/>
                <w:szCs w:val="21"/>
                <w:highlight w:val="none"/>
              </w:rPr>
            </w:pPr>
            <w:r>
              <w:rPr>
                <w:rFonts w:hint="eastAsia"/>
                <w:color w:val="auto"/>
                <w:szCs w:val="21"/>
                <w:highlight w:val="none"/>
              </w:rPr>
              <w:t>供应商可于响应截止时间前选择支票、汇票、本票或金融机构、担保机构出具的保函等非现金形式缴纳的，供应商应</w:t>
            </w:r>
            <w:r>
              <w:rPr>
                <w:rFonts w:hint="eastAsia" w:ascii="Times New Roman" w:hAnsi="Times New Roman" w:eastAsia="宋体" w:cs="Times New Roman"/>
                <w:color w:val="auto"/>
                <w:szCs w:val="21"/>
                <w:highlight w:val="none"/>
              </w:rPr>
              <w:t>在响应</w:t>
            </w:r>
            <w:r>
              <w:rPr>
                <w:rFonts w:hint="eastAsia"/>
                <w:color w:val="auto"/>
                <w:szCs w:val="21"/>
                <w:highlight w:val="none"/>
              </w:rPr>
              <w:t>文件中放入支票、汇票、本票或金融机构、担保机构出具的保函的复印件，保函出具格式详见第六章响应文件格式，在响应截止时间前，供应商必须以现场提交或邮寄方式向采购代理机构递交支票、汇票、本票或者保函原件，保证金原件放入一个密封袋中，并在封口处加盖供应商公章或被授权人签字，在封套上标记“项目名称（项目编号）响应保证金”字样。具体收件地址、收件人及联系电话详见磋商公告。</w:t>
            </w:r>
          </w:p>
          <w:p w14:paraId="37796884">
            <w:pPr>
              <w:spacing w:line="300" w:lineRule="exact"/>
              <w:jc w:val="left"/>
              <w:rPr>
                <w:rFonts w:hint="eastAsia"/>
                <w:color w:val="auto"/>
                <w:szCs w:val="21"/>
                <w:highlight w:val="none"/>
              </w:rPr>
            </w:pPr>
            <w:r>
              <w:rPr>
                <w:rFonts w:hint="eastAsia"/>
                <w:color w:val="auto"/>
                <w:szCs w:val="21"/>
                <w:highlight w:val="none"/>
              </w:rPr>
              <w:t>3、响应保证金有下列情形之一的，视为保证金无效：</w:t>
            </w:r>
          </w:p>
          <w:p w14:paraId="182F9DB8">
            <w:pPr>
              <w:spacing w:line="300" w:lineRule="exact"/>
              <w:jc w:val="left"/>
              <w:rPr>
                <w:rFonts w:hint="eastAsia"/>
                <w:color w:val="auto"/>
                <w:szCs w:val="21"/>
                <w:highlight w:val="none"/>
              </w:rPr>
            </w:pPr>
            <w:r>
              <w:rPr>
                <w:rFonts w:hint="eastAsia"/>
                <w:color w:val="auto"/>
                <w:szCs w:val="21"/>
                <w:highlight w:val="none"/>
              </w:rPr>
              <w:t>（1）保证金在响应截止时间后提交的，或者不按规定交纳方式交纳的，或者未足额交纳的（包含保函额度不足的）的；</w:t>
            </w:r>
          </w:p>
          <w:p w14:paraId="2FA58EF6">
            <w:pPr>
              <w:spacing w:line="300" w:lineRule="exact"/>
              <w:jc w:val="left"/>
              <w:rPr>
                <w:rFonts w:hint="eastAsia"/>
                <w:color w:val="auto"/>
                <w:szCs w:val="21"/>
                <w:highlight w:val="none"/>
              </w:rPr>
            </w:pPr>
            <w:r>
              <w:rPr>
                <w:rFonts w:hint="eastAsia"/>
                <w:color w:val="auto"/>
                <w:szCs w:val="21"/>
                <w:highlight w:val="none"/>
              </w:rPr>
              <w:t>（2）支票、汇票或者本票出现无效或者背书情形的；</w:t>
            </w:r>
          </w:p>
          <w:p w14:paraId="290EBCD4">
            <w:pPr>
              <w:spacing w:line="300" w:lineRule="exact"/>
              <w:jc w:val="left"/>
              <w:rPr>
                <w:rFonts w:hint="eastAsia"/>
                <w:color w:val="auto"/>
                <w:szCs w:val="21"/>
                <w:highlight w:val="none"/>
              </w:rPr>
            </w:pPr>
            <w:r>
              <w:rPr>
                <w:rFonts w:hint="eastAsia"/>
                <w:color w:val="auto"/>
                <w:szCs w:val="21"/>
                <w:highlight w:val="none"/>
              </w:rPr>
              <w:t>（3）保函有效期低于响应有效期的；</w:t>
            </w:r>
          </w:p>
          <w:p w14:paraId="7534CB8B">
            <w:pPr>
              <w:spacing w:line="300" w:lineRule="exact"/>
              <w:jc w:val="left"/>
              <w:rPr>
                <w:rFonts w:hint="eastAsia"/>
                <w:color w:val="auto"/>
                <w:szCs w:val="21"/>
                <w:highlight w:val="none"/>
              </w:rPr>
            </w:pPr>
            <w:r>
              <w:rPr>
                <w:rFonts w:hint="eastAsia"/>
                <w:color w:val="auto"/>
                <w:szCs w:val="21"/>
                <w:highlight w:val="none"/>
              </w:rPr>
              <w:t>（4）非金融机构、担保机构出具保函的、非无条件保函的。</w:t>
            </w:r>
          </w:p>
          <w:p w14:paraId="244353CB">
            <w:pPr>
              <w:spacing w:line="300" w:lineRule="exact"/>
              <w:jc w:val="left"/>
              <w:rPr>
                <w:rFonts w:hint="eastAsia"/>
                <w:color w:val="auto"/>
                <w:szCs w:val="21"/>
                <w:highlight w:val="none"/>
              </w:rPr>
            </w:pPr>
            <w:r>
              <w:rPr>
                <w:rFonts w:hint="eastAsia"/>
                <w:color w:val="auto"/>
                <w:szCs w:val="21"/>
                <w:highlight w:val="none"/>
              </w:rPr>
              <w:t>4、财务部联系电话：0771-2821398</w:t>
            </w:r>
          </w:p>
          <w:p w14:paraId="1969B1A7">
            <w:pPr>
              <w:spacing w:line="300" w:lineRule="exact"/>
              <w:jc w:val="left"/>
              <w:rPr>
                <w:b/>
                <w:bCs/>
                <w:color w:val="auto"/>
                <w:szCs w:val="21"/>
                <w:highlight w:val="none"/>
              </w:rPr>
            </w:pPr>
            <w:r>
              <w:rPr>
                <w:rFonts w:hint="eastAsia"/>
                <w:b/>
                <w:bCs/>
                <w:color w:val="auto"/>
                <w:szCs w:val="21"/>
                <w:highlight w:val="none"/>
              </w:rPr>
              <w:t>注：为保证磋商保证金退还的及时性与便利性，鼓励优先采用方式一递交磋商保证金。</w:t>
            </w:r>
          </w:p>
        </w:tc>
      </w:tr>
      <w:tr w14:paraId="3C553B1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354" w:type="dxa"/>
            <w:tcBorders>
              <w:top w:val="single" w:color="auto" w:sz="4" w:space="0"/>
              <w:left w:val="single" w:color="auto" w:sz="4" w:space="0"/>
              <w:bottom w:val="single" w:color="auto" w:sz="4" w:space="0"/>
              <w:right w:val="single" w:color="auto" w:sz="4" w:space="0"/>
            </w:tcBorders>
            <w:noWrap w:val="0"/>
            <w:vAlign w:val="center"/>
          </w:tcPr>
          <w:p w14:paraId="2785D242">
            <w:pPr>
              <w:spacing w:line="300" w:lineRule="exact"/>
              <w:jc w:val="center"/>
              <w:rPr>
                <w:b/>
                <w:color w:val="auto"/>
                <w:szCs w:val="21"/>
                <w:highlight w:val="none"/>
              </w:rPr>
            </w:pPr>
            <w:r>
              <w:rPr>
                <w:rFonts w:hint="eastAsia"/>
                <w:b/>
                <w:color w:val="auto"/>
                <w:szCs w:val="21"/>
                <w:highlight w:val="none"/>
              </w:rPr>
              <w:t>3</w:t>
            </w:r>
            <w:r>
              <w:rPr>
                <w:b/>
                <w:color w:val="auto"/>
                <w:szCs w:val="21"/>
                <w:highlight w:val="none"/>
              </w:rPr>
              <w:t>.6</w:t>
            </w:r>
          </w:p>
        </w:tc>
        <w:tc>
          <w:tcPr>
            <w:tcW w:w="1204" w:type="dxa"/>
            <w:tcBorders>
              <w:top w:val="single" w:color="auto" w:sz="4" w:space="0"/>
              <w:left w:val="single" w:color="auto" w:sz="4" w:space="0"/>
              <w:bottom w:val="single" w:color="auto" w:sz="4" w:space="0"/>
              <w:right w:val="single" w:color="auto" w:sz="4" w:space="0"/>
            </w:tcBorders>
            <w:noWrap w:val="0"/>
            <w:vAlign w:val="center"/>
          </w:tcPr>
          <w:p w14:paraId="40DF2F83">
            <w:pPr>
              <w:spacing w:line="300" w:lineRule="exact"/>
              <w:jc w:val="center"/>
              <w:rPr>
                <w:color w:val="auto"/>
                <w:szCs w:val="21"/>
                <w:highlight w:val="none"/>
              </w:rPr>
            </w:pPr>
            <w:r>
              <w:rPr>
                <w:rFonts w:hint="eastAsia"/>
                <w:color w:val="auto"/>
                <w:szCs w:val="21"/>
                <w:highlight w:val="none"/>
              </w:rPr>
              <w:t>响应文件的编制</w:t>
            </w:r>
          </w:p>
        </w:tc>
        <w:tc>
          <w:tcPr>
            <w:tcW w:w="6905" w:type="dxa"/>
            <w:tcBorders>
              <w:top w:val="single" w:color="auto" w:sz="4" w:space="0"/>
              <w:left w:val="single" w:color="auto" w:sz="4" w:space="0"/>
              <w:bottom w:val="single" w:color="auto" w:sz="4" w:space="0"/>
              <w:right w:val="single" w:color="auto" w:sz="4" w:space="0"/>
            </w:tcBorders>
            <w:noWrap w:val="0"/>
            <w:vAlign w:val="center"/>
          </w:tcPr>
          <w:p w14:paraId="27DC389C">
            <w:pPr>
              <w:spacing w:line="300" w:lineRule="exact"/>
              <w:jc w:val="left"/>
              <w:rPr>
                <w:color w:val="auto"/>
                <w:szCs w:val="21"/>
                <w:highlight w:val="none"/>
              </w:rPr>
            </w:pPr>
            <w:r>
              <w:rPr>
                <w:rFonts w:hint="eastAsia" w:hAnsi="宋体"/>
                <w:color w:val="auto"/>
                <w:szCs w:val="21"/>
                <w:highlight w:val="none"/>
              </w:rPr>
              <w:t>响应文件应按第六章响应文件格式分别编制并使用下载的广西政府采购云平台新版客户端制作并上传。</w:t>
            </w:r>
          </w:p>
        </w:tc>
      </w:tr>
      <w:tr w14:paraId="6831E2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354" w:type="dxa"/>
            <w:tcBorders>
              <w:top w:val="single" w:color="auto" w:sz="4" w:space="0"/>
              <w:left w:val="single" w:color="auto" w:sz="4" w:space="0"/>
              <w:bottom w:val="single" w:color="auto" w:sz="4" w:space="0"/>
              <w:right w:val="single" w:color="auto" w:sz="4" w:space="0"/>
            </w:tcBorders>
            <w:noWrap w:val="0"/>
            <w:vAlign w:val="center"/>
          </w:tcPr>
          <w:p w14:paraId="0138266A">
            <w:pPr>
              <w:spacing w:line="300" w:lineRule="exact"/>
              <w:jc w:val="center"/>
              <w:rPr>
                <w:b/>
                <w:color w:val="auto"/>
                <w:szCs w:val="21"/>
                <w:highlight w:val="none"/>
              </w:rPr>
            </w:pPr>
            <w:r>
              <w:rPr>
                <w:b/>
                <w:color w:val="auto"/>
                <w:szCs w:val="21"/>
                <w:highlight w:val="none"/>
              </w:rPr>
              <w:t>3.7</w:t>
            </w:r>
          </w:p>
        </w:tc>
        <w:tc>
          <w:tcPr>
            <w:tcW w:w="1204" w:type="dxa"/>
            <w:tcBorders>
              <w:top w:val="single" w:color="auto" w:sz="4" w:space="0"/>
              <w:left w:val="single" w:color="auto" w:sz="4" w:space="0"/>
              <w:bottom w:val="single" w:color="auto" w:sz="4" w:space="0"/>
              <w:right w:val="single" w:color="auto" w:sz="4" w:space="0"/>
            </w:tcBorders>
            <w:noWrap w:val="0"/>
            <w:vAlign w:val="center"/>
          </w:tcPr>
          <w:p w14:paraId="582D6785">
            <w:pPr>
              <w:spacing w:line="300" w:lineRule="exact"/>
              <w:jc w:val="center"/>
              <w:rPr>
                <w:color w:val="auto"/>
                <w:szCs w:val="21"/>
                <w:highlight w:val="none"/>
              </w:rPr>
            </w:pPr>
            <w:r>
              <w:rPr>
                <w:color w:val="auto"/>
                <w:szCs w:val="21"/>
                <w:highlight w:val="none"/>
              </w:rPr>
              <w:t>响应文件递交</w:t>
            </w:r>
            <w:r>
              <w:rPr>
                <w:rFonts w:hint="eastAsia"/>
                <w:color w:val="auto"/>
                <w:szCs w:val="21"/>
                <w:highlight w:val="none"/>
              </w:rPr>
              <w:t>截止时间及截标时间</w:t>
            </w:r>
          </w:p>
        </w:tc>
        <w:tc>
          <w:tcPr>
            <w:tcW w:w="6905" w:type="dxa"/>
            <w:tcBorders>
              <w:top w:val="single" w:color="auto" w:sz="4" w:space="0"/>
              <w:left w:val="single" w:color="auto" w:sz="4" w:space="0"/>
              <w:bottom w:val="single" w:color="auto" w:sz="4" w:space="0"/>
              <w:right w:val="single" w:color="auto" w:sz="4" w:space="0"/>
            </w:tcBorders>
            <w:noWrap w:val="0"/>
            <w:vAlign w:val="center"/>
          </w:tcPr>
          <w:p w14:paraId="7A58B515">
            <w:pPr>
              <w:spacing w:line="300" w:lineRule="exact"/>
              <w:jc w:val="left"/>
              <w:rPr>
                <w:color w:val="auto"/>
                <w:szCs w:val="21"/>
                <w:highlight w:val="none"/>
              </w:rPr>
            </w:pPr>
            <w:r>
              <w:rPr>
                <w:rFonts w:hint="eastAsia"/>
                <w:color w:val="auto"/>
                <w:kern w:val="0"/>
                <w:szCs w:val="21"/>
                <w:highlight w:val="none"/>
              </w:rPr>
              <w:t>见磋商公告要求</w:t>
            </w:r>
            <w:r>
              <w:rPr>
                <w:rFonts w:hint="eastAsia"/>
                <w:color w:val="auto"/>
                <w:szCs w:val="21"/>
                <w:highlight w:val="none"/>
              </w:rPr>
              <w:t>。</w:t>
            </w:r>
          </w:p>
        </w:tc>
      </w:tr>
      <w:tr w14:paraId="4D535D9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jc w:val="center"/>
        </w:trPr>
        <w:tc>
          <w:tcPr>
            <w:tcW w:w="1354" w:type="dxa"/>
            <w:tcBorders>
              <w:top w:val="single" w:color="auto" w:sz="4" w:space="0"/>
              <w:left w:val="single" w:color="auto" w:sz="4" w:space="0"/>
              <w:bottom w:val="single" w:color="auto" w:sz="4" w:space="0"/>
              <w:right w:val="single" w:color="auto" w:sz="4" w:space="0"/>
            </w:tcBorders>
            <w:noWrap w:val="0"/>
            <w:vAlign w:val="center"/>
          </w:tcPr>
          <w:p w14:paraId="0DE5282A">
            <w:pPr>
              <w:spacing w:line="300" w:lineRule="exact"/>
              <w:jc w:val="center"/>
              <w:rPr>
                <w:b/>
                <w:color w:val="auto"/>
                <w:szCs w:val="21"/>
                <w:highlight w:val="none"/>
              </w:rPr>
            </w:pPr>
            <w:r>
              <w:rPr>
                <w:rFonts w:hint="eastAsia"/>
                <w:b/>
                <w:color w:val="auto"/>
                <w:szCs w:val="21"/>
                <w:highlight w:val="none"/>
              </w:rPr>
              <w:t>4</w:t>
            </w:r>
            <w:r>
              <w:rPr>
                <w:b/>
                <w:color w:val="auto"/>
                <w:szCs w:val="21"/>
                <w:highlight w:val="none"/>
              </w:rPr>
              <w:t>.2</w:t>
            </w:r>
          </w:p>
        </w:tc>
        <w:tc>
          <w:tcPr>
            <w:tcW w:w="1204" w:type="dxa"/>
            <w:tcBorders>
              <w:top w:val="single" w:color="auto" w:sz="4" w:space="0"/>
              <w:left w:val="single" w:color="auto" w:sz="4" w:space="0"/>
              <w:bottom w:val="single" w:color="auto" w:sz="4" w:space="0"/>
              <w:right w:val="single" w:color="auto" w:sz="4" w:space="0"/>
            </w:tcBorders>
            <w:noWrap w:val="0"/>
            <w:vAlign w:val="center"/>
          </w:tcPr>
          <w:p w14:paraId="679D2837">
            <w:pPr>
              <w:spacing w:line="300" w:lineRule="exact"/>
              <w:jc w:val="center"/>
              <w:rPr>
                <w:color w:val="auto"/>
                <w:szCs w:val="20"/>
                <w:highlight w:val="none"/>
              </w:rPr>
            </w:pPr>
            <w:r>
              <w:rPr>
                <w:rFonts w:hint="eastAsia"/>
                <w:color w:val="auto"/>
                <w:szCs w:val="21"/>
                <w:highlight w:val="none"/>
              </w:rPr>
              <w:t>备份响应文件</w:t>
            </w:r>
          </w:p>
        </w:tc>
        <w:tc>
          <w:tcPr>
            <w:tcW w:w="6905" w:type="dxa"/>
            <w:tcBorders>
              <w:top w:val="single" w:color="auto" w:sz="4" w:space="0"/>
              <w:left w:val="single" w:color="auto" w:sz="4" w:space="0"/>
              <w:bottom w:val="single" w:color="auto" w:sz="4" w:space="0"/>
              <w:right w:val="single" w:color="auto" w:sz="4" w:space="0"/>
            </w:tcBorders>
            <w:noWrap w:val="0"/>
            <w:vAlign w:val="center"/>
          </w:tcPr>
          <w:p w14:paraId="5A8D5BAF">
            <w:pPr>
              <w:spacing w:line="276" w:lineRule="auto"/>
              <w:rPr>
                <w:rFonts w:hint="eastAsia" w:ascii="宋体" w:hAnsi="宋体" w:eastAsia="宋体"/>
                <w:color w:val="auto"/>
                <w:szCs w:val="21"/>
                <w:highlight w:val="none"/>
                <w:lang w:eastAsia="zh-CN"/>
              </w:rPr>
            </w:pPr>
            <w:r>
              <w:rPr>
                <w:rFonts w:hint="eastAsia" w:ascii="宋体" w:hAnsi="宋体"/>
                <w:color w:val="auto"/>
                <w:szCs w:val="21"/>
                <w:highlight w:val="none"/>
              </w:rPr>
              <w:t>本项目</w:t>
            </w:r>
            <w:r>
              <w:rPr>
                <w:rFonts w:hint="eastAsia"/>
                <w:color w:val="auto"/>
                <w:szCs w:val="21"/>
                <w:highlight w:val="none"/>
              </w:rPr>
              <w:t>接受</w:t>
            </w:r>
            <w:r>
              <w:rPr>
                <w:rFonts w:hint="eastAsia" w:ascii="宋体" w:hAnsi="宋体"/>
                <w:color w:val="auto"/>
                <w:szCs w:val="21"/>
                <w:highlight w:val="none"/>
              </w:rPr>
              <w:t>备份响应文件</w:t>
            </w:r>
            <w:r>
              <w:rPr>
                <w:rFonts w:hint="eastAsia" w:ascii="宋体" w:hAnsi="宋体"/>
                <w:color w:val="auto"/>
                <w:szCs w:val="21"/>
                <w:highlight w:val="none"/>
                <w:lang w:eastAsia="zh-CN"/>
              </w:rPr>
              <w:t>。</w:t>
            </w:r>
          </w:p>
          <w:p w14:paraId="22236263">
            <w:pPr>
              <w:rPr>
                <w:rFonts w:hint="eastAsia"/>
                <w:color w:val="auto"/>
                <w:szCs w:val="21"/>
                <w:highlight w:val="none"/>
              </w:rPr>
            </w:pPr>
            <w:r>
              <w:rPr>
                <w:rFonts w:hint="eastAsia" w:ascii="宋体" w:hAnsi="宋体"/>
                <w:color w:val="auto"/>
                <w:highlight w:val="none"/>
              </w:rPr>
              <w:t>以</w:t>
            </w:r>
            <w:r>
              <w:rPr>
                <w:rFonts w:hint="eastAsia" w:ascii="宋体" w:hAnsi="宋体" w:cs="宋体"/>
                <w:color w:val="auto"/>
                <w:kern w:val="0"/>
                <w:szCs w:val="21"/>
                <w:highlight w:val="none"/>
              </w:rPr>
              <w:t>广西政府采购云平台</w:t>
            </w:r>
            <w:r>
              <w:rPr>
                <w:rFonts w:hint="eastAsia" w:ascii="宋体" w:hAnsi="宋体"/>
                <w:color w:val="auto"/>
                <w:highlight w:val="none"/>
              </w:rPr>
              <w:t>自动生成的备份文件为依据，当项目允许接受备份响应文件时，供应商才可以按规定上传备份响应文件。</w:t>
            </w:r>
          </w:p>
        </w:tc>
      </w:tr>
      <w:tr w14:paraId="40AA0B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jc w:val="center"/>
        </w:trPr>
        <w:tc>
          <w:tcPr>
            <w:tcW w:w="1354" w:type="dxa"/>
            <w:tcBorders>
              <w:top w:val="single" w:color="auto" w:sz="4" w:space="0"/>
              <w:left w:val="single" w:color="auto" w:sz="4" w:space="0"/>
              <w:bottom w:val="single" w:color="auto" w:sz="4" w:space="0"/>
              <w:right w:val="single" w:color="auto" w:sz="4" w:space="0"/>
            </w:tcBorders>
            <w:noWrap w:val="0"/>
            <w:vAlign w:val="center"/>
          </w:tcPr>
          <w:p w14:paraId="6B982ED4">
            <w:pPr>
              <w:spacing w:line="300" w:lineRule="exact"/>
              <w:jc w:val="center"/>
              <w:rPr>
                <w:b/>
                <w:color w:val="auto"/>
                <w:szCs w:val="21"/>
                <w:highlight w:val="none"/>
              </w:rPr>
            </w:pPr>
            <w:r>
              <w:rPr>
                <w:rFonts w:hint="eastAsia"/>
                <w:b/>
                <w:color w:val="auto"/>
                <w:szCs w:val="21"/>
                <w:highlight w:val="none"/>
              </w:rPr>
              <w:t>4</w:t>
            </w:r>
            <w:r>
              <w:rPr>
                <w:b/>
                <w:color w:val="auto"/>
                <w:szCs w:val="21"/>
                <w:highlight w:val="none"/>
              </w:rPr>
              <w:t>.3</w:t>
            </w:r>
          </w:p>
        </w:tc>
        <w:tc>
          <w:tcPr>
            <w:tcW w:w="1204" w:type="dxa"/>
            <w:tcBorders>
              <w:top w:val="single" w:color="auto" w:sz="4" w:space="0"/>
              <w:left w:val="single" w:color="auto" w:sz="4" w:space="0"/>
              <w:bottom w:val="single" w:color="auto" w:sz="4" w:space="0"/>
              <w:right w:val="single" w:color="auto" w:sz="4" w:space="0"/>
            </w:tcBorders>
            <w:noWrap w:val="0"/>
            <w:vAlign w:val="center"/>
          </w:tcPr>
          <w:p w14:paraId="4181B7C6">
            <w:pPr>
              <w:spacing w:line="300" w:lineRule="exact"/>
              <w:jc w:val="center"/>
              <w:rPr>
                <w:color w:val="auto"/>
                <w:szCs w:val="21"/>
                <w:highlight w:val="none"/>
              </w:rPr>
            </w:pPr>
            <w:r>
              <w:rPr>
                <w:rFonts w:hint="eastAsia"/>
                <w:color w:val="auto"/>
                <w:szCs w:val="20"/>
                <w:highlight w:val="none"/>
              </w:rPr>
              <w:t>演示</w:t>
            </w:r>
          </w:p>
        </w:tc>
        <w:tc>
          <w:tcPr>
            <w:tcW w:w="6905" w:type="dxa"/>
            <w:tcBorders>
              <w:top w:val="single" w:color="auto" w:sz="4" w:space="0"/>
              <w:left w:val="single" w:color="auto" w:sz="4" w:space="0"/>
              <w:bottom w:val="single" w:color="auto" w:sz="4" w:space="0"/>
              <w:right w:val="single" w:color="auto" w:sz="4" w:space="0"/>
            </w:tcBorders>
            <w:noWrap w:val="0"/>
            <w:vAlign w:val="center"/>
          </w:tcPr>
          <w:p w14:paraId="087B90C2">
            <w:pPr>
              <w:spacing w:line="276" w:lineRule="auto"/>
              <w:rPr>
                <w:color w:val="auto"/>
                <w:szCs w:val="21"/>
                <w:highlight w:val="none"/>
              </w:rPr>
            </w:pPr>
            <w:r>
              <w:rPr>
                <w:color w:val="auto"/>
                <w:sz w:val="22"/>
                <w:szCs w:val="22"/>
                <w:highlight w:val="none"/>
              </w:rPr>
              <w:sym w:font="Wingdings 2" w:char="F052"/>
            </w:r>
            <w:r>
              <w:rPr>
                <w:rFonts w:hint="eastAsia"/>
                <w:color w:val="auto"/>
                <w:szCs w:val="21"/>
                <w:highlight w:val="none"/>
              </w:rPr>
              <w:t>否   □是</w:t>
            </w:r>
          </w:p>
          <w:p w14:paraId="06E08A7E">
            <w:pPr>
              <w:spacing w:line="276" w:lineRule="auto"/>
              <w:rPr>
                <w:color w:val="auto"/>
                <w:szCs w:val="21"/>
                <w:highlight w:val="none"/>
                <w:u w:val="single"/>
              </w:rPr>
            </w:pPr>
            <w:r>
              <w:rPr>
                <w:rFonts w:hint="eastAsia"/>
                <w:color w:val="auto"/>
                <w:szCs w:val="21"/>
                <w:highlight w:val="none"/>
              </w:rPr>
              <w:t>演示内容：</w:t>
            </w:r>
            <w:r>
              <w:rPr>
                <w:rFonts w:hint="eastAsia"/>
                <w:color w:val="auto"/>
                <w:szCs w:val="21"/>
                <w:highlight w:val="none"/>
                <w:u w:val="single"/>
              </w:rPr>
              <w:t xml:space="preserve"> </w:t>
            </w:r>
            <w:r>
              <w:rPr>
                <w:color w:val="auto"/>
                <w:szCs w:val="21"/>
                <w:highlight w:val="none"/>
                <w:u w:val="single"/>
              </w:rPr>
              <w:t xml:space="preserve">              </w:t>
            </w:r>
          </w:p>
          <w:p w14:paraId="724F0B3D">
            <w:pPr>
              <w:spacing w:line="276" w:lineRule="auto"/>
              <w:rPr>
                <w:color w:val="auto"/>
                <w:szCs w:val="21"/>
                <w:highlight w:val="none"/>
              </w:rPr>
            </w:pPr>
            <w:r>
              <w:rPr>
                <w:rFonts w:hint="eastAsia"/>
                <w:color w:val="auto"/>
                <w:szCs w:val="21"/>
                <w:highlight w:val="none"/>
              </w:rPr>
              <w:t>演示形式：</w:t>
            </w:r>
            <w:r>
              <w:rPr>
                <w:color w:val="auto"/>
                <w:szCs w:val="21"/>
                <w:highlight w:val="none"/>
              </w:rPr>
              <w:t xml:space="preserve"> </w:t>
            </w:r>
          </w:p>
        </w:tc>
      </w:tr>
      <w:tr w14:paraId="49BE40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jc w:val="center"/>
        </w:trPr>
        <w:tc>
          <w:tcPr>
            <w:tcW w:w="1354" w:type="dxa"/>
            <w:tcBorders>
              <w:top w:val="single" w:color="auto" w:sz="4" w:space="0"/>
              <w:left w:val="single" w:color="auto" w:sz="4" w:space="0"/>
              <w:bottom w:val="single" w:color="auto" w:sz="4" w:space="0"/>
              <w:right w:val="single" w:color="auto" w:sz="4" w:space="0"/>
            </w:tcBorders>
            <w:noWrap w:val="0"/>
            <w:vAlign w:val="center"/>
          </w:tcPr>
          <w:p w14:paraId="26D07934">
            <w:pPr>
              <w:spacing w:line="300" w:lineRule="exact"/>
              <w:jc w:val="center"/>
              <w:rPr>
                <w:b/>
                <w:color w:val="auto"/>
                <w:szCs w:val="21"/>
                <w:highlight w:val="none"/>
              </w:rPr>
            </w:pPr>
            <w:r>
              <w:rPr>
                <w:rFonts w:hint="eastAsia"/>
                <w:b/>
                <w:color w:val="auto"/>
                <w:szCs w:val="21"/>
                <w:highlight w:val="none"/>
              </w:rPr>
              <w:t>4</w:t>
            </w:r>
            <w:r>
              <w:rPr>
                <w:b/>
                <w:color w:val="auto"/>
                <w:szCs w:val="21"/>
                <w:highlight w:val="none"/>
              </w:rPr>
              <w:t>.4</w:t>
            </w:r>
          </w:p>
        </w:tc>
        <w:tc>
          <w:tcPr>
            <w:tcW w:w="1204" w:type="dxa"/>
            <w:tcBorders>
              <w:top w:val="single" w:color="auto" w:sz="4" w:space="0"/>
              <w:left w:val="single" w:color="auto" w:sz="4" w:space="0"/>
              <w:bottom w:val="single" w:color="auto" w:sz="4" w:space="0"/>
              <w:right w:val="single" w:color="auto" w:sz="4" w:space="0"/>
            </w:tcBorders>
            <w:noWrap w:val="0"/>
            <w:vAlign w:val="center"/>
          </w:tcPr>
          <w:p w14:paraId="4E8FBF7A">
            <w:pPr>
              <w:spacing w:line="300" w:lineRule="exact"/>
              <w:jc w:val="center"/>
              <w:rPr>
                <w:color w:val="auto"/>
                <w:szCs w:val="21"/>
                <w:highlight w:val="none"/>
              </w:rPr>
            </w:pPr>
            <w:r>
              <w:rPr>
                <w:rFonts w:hint="eastAsia"/>
                <w:color w:val="auto"/>
                <w:szCs w:val="20"/>
                <w:highlight w:val="none"/>
              </w:rPr>
              <w:t>样品</w:t>
            </w:r>
          </w:p>
        </w:tc>
        <w:tc>
          <w:tcPr>
            <w:tcW w:w="6905" w:type="dxa"/>
            <w:tcBorders>
              <w:top w:val="single" w:color="auto" w:sz="4" w:space="0"/>
              <w:left w:val="single" w:color="auto" w:sz="4" w:space="0"/>
              <w:bottom w:val="single" w:color="auto" w:sz="4" w:space="0"/>
              <w:right w:val="single" w:color="auto" w:sz="4" w:space="0"/>
            </w:tcBorders>
            <w:noWrap w:val="0"/>
            <w:vAlign w:val="center"/>
          </w:tcPr>
          <w:p w14:paraId="624E8D6F">
            <w:pPr>
              <w:spacing w:line="276" w:lineRule="auto"/>
              <w:rPr>
                <w:color w:val="auto"/>
                <w:szCs w:val="21"/>
                <w:highlight w:val="none"/>
              </w:rPr>
            </w:pPr>
            <w:r>
              <w:rPr>
                <w:color w:val="auto"/>
                <w:sz w:val="24"/>
                <w:highlight w:val="none"/>
              </w:rPr>
              <w:sym w:font="Wingdings 2" w:char="F052"/>
            </w:r>
            <w:r>
              <w:rPr>
                <w:rFonts w:hint="eastAsia"/>
                <w:color w:val="auto"/>
                <w:szCs w:val="21"/>
                <w:highlight w:val="none"/>
              </w:rPr>
              <w:t>否   □是</w:t>
            </w:r>
          </w:p>
          <w:p w14:paraId="71ECEF8B">
            <w:pPr>
              <w:spacing w:line="276" w:lineRule="auto"/>
              <w:rPr>
                <w:color w:val="auto"/>
                <w:szCs w:val="21"/>
                <w:highlight w:val="none"/>
                <w:u w:val="single"/>
              </w:rPr>
            </w:pPr>
            <w:r>
              <w:rPr>
                <w:rFonts w:hint="eastAsia"/>
                <w:color w:val="auto"/>
                <w:szCs w:val="21"/>
                <w:highlight w:val="none"/>
              </w:rPr>
              <w:t>样品制作的标准和要求：</w:t>
            </w:r>
            <w:r>
              <w:rPr>
                <w:rFonts w:hint="eastAsia"/>
                <w:color w:val="auto"/>
                <w:szCs w:val="21"/>
                <w:highlight w:val="none"/>
                <w:u w:val="single"/>
              </w:rPr>
              <w:t xml:space="preserve"> </w:t>
            </w:r>
            <w:r>
              <w:rPr>
                <w:color w:val="auto"/>
                <w:szCs w:val="21"/>
                <w:highlight w:val="none"/>
                <w:u w:val="single"/>
              </w:rPr>
              <w:t xml:space="preserve">              </w:t>
            </w:r>
          </w:p>
          <w:p w14:paraId="77ED5B76">
            <w:pPr>
              <w:spacing w:line="276" w:lineRule="auto"/>
              <w:rPr>
                <w:color w:val="auto"/>
                <w:szCs w:val="21"/>
                <w:highlight w:val="none"/>
                <w:u w:val="single"/>
              </w:rPr>
            </w:pPr>
            <w:r>
              <w:rPr>
                <w:rFonts w:hint="eastAsia"/>
                <w:color w:val="auto"/>
                <w:szCs w:val="21"/>
                <w:highlight w:val="none"/>
              </w:rPr>
              <w:t>样品检测机构的要求：</w:t>
            </w:r>
            <w:r>
              <w:rPr>
                <w:rFonts w:hint="eastAsia"/>
                <w:color w:val="auto"/>
                <w:szCs w:val="21"/>
                <w:highlight w:val="none"/>
                <w:u w:val="single"/>
              </w:rPr>
              <w:t xml:space="preserve"> </w:t>
            </w:r>
            <w:r>
              <w:rPr>
                <w:color w:val="auto"/>
                <w:szCs w:val="21"/>
                <w:highlight w:val="none"/>
                <w:u w:val="single"/>
              </w:rPr>
              <w:t xml:space="preserve">               </w:t>
            </w:r>
          </w:p>
          <w:p w14:paraId="40A9E951">
            <w:pPr>
              <w:spacing w:line="276" w:lineRule="auto"/>
              <w:rPr>
                <w:color w:val="auto"/>
                <w:szCs w:val="21"/>
                <w:highlight w:val="none"/>
                <w:u w:val="single"/>
              </w:rPr>
            </w:pPr>
            <w:r>
              <w:rPr>
                <w:rFonts w:hint="eastAsia"/>
                <w:color w:val="auto"/>
                <w:szCs w:val="21"/>
                <w:highlight w:val="none"/>
              </w:rPr>
              <w:t>检测内容：</w:t>
            </w:r>
            <w:r>
              <w:rPr>
                <w:rFonts w:hint="eastAsia"/>
                <w:color w:val="auto"/>
                <w:szCs w:val="21"/>
                <w:highlight w:val="none"/>
                <w:u w:val="single"/>
              </w:rPr>
              <w:t xml:space="preserve"> </w:t>
            </w:r>
            <w:r>
              <w:rPr>
                <w:color w:val="auto"/>
                <w:szCs w:val="21"/>
                <w:highlight w:val="none"/>
                <w:u w:val="single"/>
              </w:rPr>
              <w:t xml:space="preserve">                    </w:t>
            </w:r>
          </w:p>
          <w:p w14:paraId="38CD7A29">
            <w:pPr>
              <w:spacing w:line="276" w:lineRule="auto"/>
              <w:rPr>
                <w:color w:val="auto"/>
                <w:szCs w:val="21"/>
                <w:highlight w:val="none"/>
              </w:rPr>
            </w:pPr>
            <w:r>
              <w:rPr>
                <w:rFonts w:hint="eastAsia"/>
                <w:color w:val="auto"/>
                <w:szCs w:val="21"/>
                <w:highlight w:val="none"/>
              </w:rPr>
              <w:t>样品递交方式：</w:t>
            </w:r>
            <w:r>
              <w:rPr>
                <w:color w:val="auto"/>
                <w:szCs w:val="21"/>
                <w:highlight w:val="none"/>
              </w:rPr>
              <w:t xml:space="preserve"> </w:t>
            </w:r>
          </w:p>
        </w:tc>
      </w:tr>
      <w:tr w14:paraId="697A43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jc w:val="center"/>
        </w:trPr>
        <w:tc>
          <w:tcPr>
            <w:tcW w:w="1354" w:type="dxa"/>
            <w:tcBorders>
              <w:top w:val="single" w:color="auto" w:sz="4" w:space="0"/>
              <w:left w:val="single" w:color="auto" w:sz="4" w:space="0"/>
              <w:bottom w:val="single" w:color="auto" w:sz="4" w:space="0"/>
              <w:right w:val="single" w:color="auto" w:sz="4" w:space="0"/>
            </w:tcBorders>
            <w:noWrap w:val="0"/>
            <w:vAlign w:val="center"/>
          </w:tcPr>
          <w:p w14:paraId="5ADD9439">
            <w:pPr>
              <w:spacing w:line="300" w:lineRule="exact"/>
              <w:jc w:val="center"/>
              <w:rPr>
                <w:rFonts w:hint="eastAsia" w:ascii="Times New Roman" w:hAnsi="Times New Roman" w:eastAsia="宋体" w:cs="Times New Roman"/>
                <w:b/>
                <w:color w:val="auto"/>
                <w:kern w:val="2"/>
                <w:sz w:val="21"/>
                <w:szCs w:val="21"/>
                <w:highlight w:val="none"/>
                <w:lang w:val="en-US" w:eastAsia="zh-CN" w:bidi="ar-SA"/>
              </w:rPr>
            </w:pPr>
            <w:r>
              <w:rPr>
                <w:rFonts w:hint="eastAsia"/>
                <w:b/>
                <w:color w:val="auto"/>
                <w:szCs w:val="21"/>
                <w:highlight w:val="none"/>
                <w:lang w:val="en-US" w:eastAsia="zh-CN"/>
              </w:rPr>
              <w:t>5.3.1</w:t>
            </w:r>
          </w:p>
        </w:tc>
        <w:tc>
          <w:tcPr>
            <w:tcW w:w="1204" w:type="dxa"/>
            <w:tcBorders>
              <w:top w:val="single" w:color="auto" w:sz="4" w:space="0"/>
              <w:left w:val="single" w:color="auto" w:sz="4" w:space="0"/>
              <w:bottom w:val="single" w:color="auto" w:sz="4" w:space="0"/>
              <w:right w:val="single" w:color="auto" w:sz="4" w:space="0"/>
            </w:tcBorders>
            <w:noWrap w:val="0"/>
            <w:vAlign w:val="center"/>
          </w:tcPr>
          <w:p w14:paraId="4A47F9D2">
            <w:pPr>
              <w:spacing w:line="30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信用中国查询</w:t>
            </w:r>
          </w:p>
        </w:tc>
        <w:tc>
          <w:tcPr>
            <w:tcW w:w="6905" w:type="dxa"/>
            <w:tcBorders>
              <w:top w:val="single" w:color="auto" w:sz="4" w:space="0"/>
              <w:left w:val="single" w:color="auto" w:sz="4" w:space="0"/>
              <w:bottom w:val="single" w:color="auto" w:sz="4" w:space="0"/>
              <w:right w:val="single" w:color="auto" w:sz="4" w:space="0"/>
            </w:tcBorders>
            <w:noWrap w:val="0"/>
            <w:vAlign w:val="center"/>
          </w:tcPr>
          <w:p w14:paraId="207ACF15">
            <w:pPr>
              <w:snapToGrid w:val="0"/>
              <w:spacing w:line="380" w:lineRule="exact"/>
              <w:rPr>
                <w:rFonts w:hint="eastAsia" w:ascii="宋体" w:hAnsi="宋体"/>
                <w:color w:val="auto"/>
                <w:szCs w:val="21"/>
                <w:highlight w:val="none"/>
                <w:lang w:eastAsia="zh-CN"/>
              </w:rPr>
            </w:pPr>
            <w:r>
              <w:rPr>
                <w:rFonts w:hint="eastAsia" w:ascii="宋体" w:hAnsi="宋体"/>
                <w:color w:val="auto"/>
                <w:szCs w:val="21"/>
                <w:highlight w:val="none"/>
                <w:lang w:eastAsia="zh-CN"/>
              </w:rPr>
              <w:t>磋商小组在资格审查结束前，对</w:t>
            </w:r>
            <w:r>
              <w:rPr>
                <w:rFonts w:hint="eastAsia" w:ascii="宋体" w:hAnsi="宋体"/>
                <w:color w:val="auto"/>
                <w:szCs w:val="21"/>
                <w:highlight w:val="none"/>
                <w:lang w:val="en-US" w:eastAsia="zh-CN"/>
              </w:rPr>
              <w:t>供应商</w:t>
            </w:r>
            <w:r>
              <w:rPr>
                <w:rFonts w:hint="eastAsia" w:ascii="宋体" w:hAnsi="宋体"/>
                <w:color w:val="auto"/>
                <w:szCs w:val="21"/>
                <w:highlight w:val="none"/>
                <w:lang w:eastAsia="zh-CN"/>
              </w:rPr>
              <w:t>进行信用查询。</w:t>
            </w:r>
          </w:p>
          <w:p w14:paraId="303CB497">
            <w:pPr>
              <w:snapToGrid w:val="0"/>
              <w:spacing w:line="380" w:lineRule="exact"/>
              <w:rPr>
                <w:rFonts w:hint="eastAsia" w:ascii="宋体" w:hAnsi="宋体"/>
                <w:color w:val="auto"/>
                <w:szCs w:val="21"/>
                <w:highlight w:val="none"/>
                <w:lang w:eastAsia="zh-CN"/>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1</w:t>
            </w:r>
            <w:r>
              <w:rPr>
                <w:rFonts w:hint="eastAsia" w:ascii="宋体" w:hAnsi="宋体"/>
                <w:color w:val="auto"/>
                <w:szCs w:val="21"/>
                <w:highlight w:val="none"/>
                <w:lang w:eastAsia="zh-CN"/>
              </w:rPr>
              <w:t>）查询渠道：</w:t>
            </w:r>
            <w:r>
              <w:rPr>
                <w:rFonts w:hint="eastAsia" w:ascii="宋体" w:hAnsi="宋体"/>
                <w:color w:val="auto"/>
                <w:szCs w:val="21"/>
                <w:highlight w:val="none"/>
                <w:lang w:val="en-US" w:eastAsia="zh-CN"/>
              </w:rPr>
              <w:t>广西政府采购云平台</w:t>
            </w:r>
            <w:r>
              <w:rPr>
                <w:rFonts w:hint="eastAsia" w:ascii="宋体" w:hAnsi="宋体"/>
                <w:color w:val="auto"/>
                <w:szCs w:val="21"/>
                <w:highlight w:val="none"/>
                <w:lang w:eastAsia="zh-CN"/>
              </w:rPr>
              <w:t>“信用中国”网站(www.creditchina.gov.cn) 、中国政府采购网(www.ccgp.gov.cn)</w:t>
            </w:r>
            <w:r>
              <w:rPr>
                <w:rFonts w:hint="eastAsia" w:ascii="宋体" w:hAnsi="宋体"/>
                <w:color w:val="auto"/>
                <w:szCs w:val="21"/>
                <w:highlight w:val="none"/>
                <w:lang w:val="en-US" w:eastAsia="zh-CN"/>
              </w:rPr>
              <w:t>链接入口</w:t>
            </w:r>
            <w:r>
              <w:rPr>
                <w:rFonts w:hint="eastAsia" w:ascii="宋体" w:hAnsi="宋体"/>
                <w:color w:val="auto"/>
                <w:szCs w:val="21"/>
                <w:highlight w:val="none"/>
                <w:lang w:eastAsia="zh-CN"/>
              </w:rPr>
              <w:t>。</w:t>
            </w:r>
          </w:p>
          <w:p w14:paraId="7EAA3375">
            <w:pPr>
              <w:snapToGrid w:val="0"/>
              <w:spacing w:line="380" w:lineRule="exact"/>
              <w:rPr>
                <w:rFonts w:hint="eastAsia" w:ascii="宋体" w:hAnsi="宋体"/>
                <w:color w:val="auto"/>
                <w:szCs w:val="21"/>
                <w:highlight w:val="none"/>
                <w:lang w:eastAsia="zh-CN"/>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2</w:t>
            </w:r>
            <w:r>
              <w:rPr>
                <w:rFonts w:hint="eastAsia" w:ascii="宋体" w:hAnsi="宋体"/>
                <w:color w:val="auto"/>
                <w:szCs w:val="21"/>
                <w:highlight w:val="none"/>
                <w:lang w:eastAsia="zh-CN"/>
              </w:rPr>
              <w:t>）信用查询截止时点：</w:t>
            </w:r>
            <w:r>
              <w:rPr>
                <w:rFonts w:hint="eastAsia" w:ascii="宋体" w:hAnsi="宋体"/>
                <w:color w:val="auto"/>
                <w:szCs w:val="21"/>
                <w:highlight w:val="none"/>
                <w:lang w:val="en-US" w:eastAsia="zh-CN"/>
              </w:rPr>
              <w:t>资</w:t>
            </w:r>
            <w:r>
              <w:rPr>
                <w:rFonts w:hint="eastAsia" w:ascii="宋体" w:hAnsi="宋体"/>
                <w:color w:val="auto"/>
                <w:szCs w:val="21"/>
                <w:highlight w:val="none"/>
                <w:lang w:eastAsia="zh-CN"/>
              </w:rPr>
              <w:t>格审查结束前</w:t>
            </w:r>
          </w:p>
          <w:p w14:paraId="4A8D918D">
            <w:pPr>
              <w:snapToGrid w:val="0"/>
              <w:spacing w:line="380" w:lineRule="exact"/>
              <w:rPr>
                <w:rFonts w:hint="eastAsia" w:ascii="宋体" w:hAnsi="宋体"/>
                <w:color w:val="auto"/>
                <w:szCs w:val="21"/>
                <w:highlight w:val="none"/>
                <w:lang w:eastAsia="zh-CN"/>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3</w:t>
            </w:r>
            <w:r>
              <w:rPr>
                <w:rFonts w:hint="eastAsia" w:ascii="宋体" w:hAnsi="宋体"/>
                <w:color w:val="auto"/>
                <w:szCs w:val="21"/>
                <w:highlight w:val="none"/>
                <w:lang w:eastAsia="zh-CN"/>
              </w:rPr>
              <w:t>）查询记录和证据留存方式：在查询网站中直接截图查询记录，截图作为在“广西政府采购云”平台作为附件上传保存。</w:t>
            </w:r>
          </w:p>
          <w:p w14:paraId="6D123AA8">
            <w:pPr>
              <w:snapToGrid w:val="0"/>
              <w:spacing w:line="380" w:lineRule="exact"/>
              <w:rPr>
                <w:rFonts w:hint="eastAsia" w:ascii="宋体" w:hAnsi="宋体" w:eastAsia="宋体" w:cs="Times New Roman"/>
                <w:color w:val="auto"/>
                <w:kern w:val="2"/>
                <w:sz w:val="21"/>
                <w:szCs w:val="21"/>
                <w:highlight w:val="none"/>
                <w:lang w:val="en-US" w:eastAsia="zh-CN" w:bidi="ar-SA"/>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4</w:t>
            </w:r>
            <w:r>
              <w:rPr>
                <w:rFonts w:hint="eastAsia" w:ascii="宋体" w:hAnsi="宋体"/>
                <w:color w:val="auto"/>
                <w:szCs w:val="21"/>
                <w:highlight w:val="none"/>
                <w:lang w:eastAsia="zh-CN"/>
              </w:rPr>
              <w:t>）信用信息使用规则：对在“信用中国”网站(www.creditchina.gov.cn) 、中国政府采购网(www.ccgp.gov.cn)被列入失信被执行人、</w:t>
            </w:r>
            <w:r>
              <w:rPr>
                <w:color w:val="auto"/>
                <w:kern w:val="0"/>
                <w:szCs w:val="21"/>
                <w:highlight w:val="none"/>
              </w:rPr>
              <w:t>重大税收违法失信主体</w:t>
            </w:r>
            <w:r>
              <w:rPr>
                <w:rFonts w:hint="eastAsia" w:ascii="宋体" w:hAnsi="宋体"/>
                <w:color w:val="auto"/>
                <w:szCs w:val="21"/>
                <w:highlight w:val="none"/>
                <w:lang w:eastAsia="zh-CN"/>
              </w:rPr>
              <w:t>、政府采购严重违法失信行为记录名单及其他不符合《中华人民共和国政府采购法》第二十二条规定条件的供应商，采购人或者采购代理机构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tc>
      </w:tr>
      <w:tr w14:paraId="414CBE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jc w:val="center"/>
        </w:trPr>
        <w:tc>
          <w:tcPr>
            <w:tcW w:w="1354" w:type="dxa"/>
            <w:tcBorders>
              <w:top w:val="single" w:color="auto" w:sz="4" w:space="0"/>
              <w:left w:val="single" w:color="auto" w:sz="4" w:space="0"/>
              <w:bottom w:val="single" w:color="auto" w:sz="4" w:space="0"/>
              <w:right w:val="single" w:color="auto" w:sz="4" w:space="0"/>
            </w:tcBorders>
            <w:noWrap w:val="0"/>
            <w:vAlign w:val="center"/>
          </w:tcPr>
          <w:p w14:paraId="744FA399">
            <w:pPr>
              <w:spacing w:line="300" w:lineRule="exact"/>
              <w:jc w:val="center"/>
              <w:rPr>
                <w:rFonts w:hint="eastAsia" w:ascii="Times New Roman" w:hAnsi="Times New Roman" w:eastAsia="宋体" w:cs="Times New Roman"/>
                <w:b/>
                <w:color w:val="auto"/>
                <w:kern w:val="2"/>
                <w:sz w:val="21"/>
                <w:szCs w:val="21"/>
                <w:highlight w:val="none"/>
                <w:lang w:val="en-US" w:eastAsia="zh-CN" w:bidi="ar-SA"/>
              </w:rPr>
            </w:pPr>
            <w:r>
              <w:rPr>
                <w:rFonts w:hint="eastAsia"/>
                <w:b/>
                <w:color w:val="auto"/>
                <w:szCs w:val="21"/>
                <w:highlight w:val="none"/>
              </w:rPr>
              <w:t>6.</w:t>
            </w:r>
            <w:r>
              <w:rPr>
                <w:b/>
                <w:color w:val="auto"/>
                <w:szCs w:val="21"/>
                <w:highlight w:val="none"/>
              </w:rPr>
              <w:t>3</w:t>
            </w:r>
            <w:r>
              <w:rPr>
                <w:rFonts w:hint="eastAsia"/>
                <w:b/>
                <w:color w:val="auto"/>
                <w:szCs w:val="21"/>
                <w:highlight w:val="none"/>
              </w:rPr>
              <w:t>.</w:t>
            </w:r>
            <w:r>
              <w:rPr>
                <w:b/>
                <w:color w:val="auto"/>
                <w:szCs w:val="21"/>
                <w:highlight w:val="none"/>
              </w:rPr>
              <w:t>5</w:t>
            </w:r>
          </w:p>
        </w:tc>
        <w:tc>
          <w:tcPr>
            <w:tcW w:w="1204" w:type="dxa"/>
            <w:tcBorders>
              <w:top w:val="single" w:color="auto" w:sz="4" w:space="0"/>
              <w:left w:val="single" w:color="auto" w:sz="4" w:space="0"/>
              <w:bottom w:val="single" w:color="auto" w:sz="4" w:space="0"/>
              <w:right w:val="single" w:color="auto" w:sz="4" w:space="0"/>
            </w:tcBorders>
            <w:noWrap w:val="0"/>
            <w:vAlign w:val="center"/>
          </w:tcPr>
          <w:p w14:paraId="016A6DA0">
            <w:pPr>
              <w:spacing w:line="30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异常低价审查</w:t>
            </w:r>
          </w:p>
        </w:tc>
        <w:tc>
          <w:tcPr>
            <w:tcW w:w="6905" w:type="dxa"/>
            <w:tcBorders>
              <w:top w:val="single" w:color="auto" w:sz="4" w:space="0"/>
              <w:left w:val="single" w:color="auto" w:sz="4" w:space="0"/>
              <w:bottom w:val="single" w:color="auto" w:sz="4" w:space="0"/>
              <w:right w:val="single" w:color="auto" w:sz="4" w:space="0"/>
            </w:tcBorders>
            <w:noWrap w:val="0"/>
            <w:vAlign w:val="center"/>
          </w:tcPr>
          <w:p w14:paraId="501E1AAC">
            <w:pPr>
              <w:spacing w:line="300" w:lineRule="exact"/>
              <w:jc w:val="left"/>
              <w:rPr>
                <w:rFonts w:hint="eastAsia"/>
                <w:color w:val="auto"/>
                <w:szCs w:val="21"/>
                <w:highlight w:val="none"/>
                <w:lang w:val="en-US" w:eastAsia="zh-CN"/>
              </w:rPr>
            </w:pPr>
            <w:r>
              <w:rPr>
                <w:rFonts w:hint="eastAsia"/>
                <w:color w:val="auto"/>
                <w:szCs w:val="21"/>
                <w:highlight w:val="none"/>
                <w:lang w:eastAsia="zh-CN"/>
              </w:rPr>
              <w:t>☑</w:t>
            </w:r>
            <w:r>
              <w:rPr>
                <w:rFonts w:hint="eastAsia"/>
                <w:color w:val="auto"/>
                <w:szCs w:val="21"/>
                <w:highlight w:val="none"/>
                <w:lang w:val="en-US" w:eastAsia="zh-CN"/>
              </w:rPr>
              <w:t>评审中出现下列情形之一的，评审委员会应当启动异常低价响应审查程序：</w:t>
            </w:r>
          </w:p>
          <w:p w14:paraId="7E55A75C">
            <w:pPr>
              <w:spacing w:line="276" w:lineRule="auto"/>
              <w:rPr>
                <w:rFonts w:hint="default"/>
                <w:color w:val="auto"/>
                <w:szCs w:val="21"/>
                <w:highlight w:val="none"/>
                <w:lang w:val="en-US" w:eastAsia="zh-CN"/>
              </w:rPr>
            </w:pPr>
            <w:r>
              <w:rPr>
                <w:rFonts w:hint="eastAsia"/>
                <w:color w:val="auto"/>
                <w:szCs w:val="21"/>
                <w:highlight w:val="none"/>
                <w:lang w:val="en-US" w:eastAsia="zh-CN"/>
              </w:rPr>
              <w:t>（1）投标（响应）报价低于全部通过符合性审查供应商投标（响应）报价平均值50%的，即投标（响应）报价&lt;全部通过符合性审查供应商投标（响应）报价平均值×50%；</w:t>
            </w:r>
          </w:p>
          <w:p w14:paraId="28F9E01A">
            <w:pPr>
              <w:spacing w:line="276" w:lineRule="auto"/>
              <w:rPr>
                <w:rFonts w:hint="eastAsia"/>
                <w:color w:val="auto"/>
                <w:szCs w:val="21"/>
                <w:highlight w:val="none"/>
                <w:lang w:val="en-US" w:eastAsia="zh-CN"/>
              </w:rPr>
            </w:pPr>
            <w:r>
              <w:rPr>
                <w:rFonts w:hint="eastAsia"/>
                <w:color w:val="auto"/>
                <w:szCs w:val="21"/>
                <w:highlight w:val="none"/>
                <w:lang w:val="en-US" w:eastAsia="zh-CN"/>
              </w:rPr>
              <w:t>（2）投标（响应）报价低于通过符合性审查的次低报价供应商投标（响应）报价50%的，即投标（响应）报价&lt;通过符合性审查的次低报价供应商投标（响应）报价×50%；</w:t>
            </w:r>
          </w:p>
          <w:p w14:paraId="1799E601">
            <w:pPr>
              <w:spacing w:line="276" w:lineRule="auto"/>
              <w:rPr>
                <w:rFonts w:hint="eastAsia"/>
                <w:color w:val="auto"/>
                <w:szCs w:val="21"/>
                <w:highlight w:val="none"/>
                <w:lang w:val="en-US" w:eastAsia="zh-CN"/>
              </w:rPr>
            </w:pPr>
            <w:r>
              <w:rPr>
                <w:rFonts w:hint="eastAsia"/>
                <w:color w:val="auto"/>
                <w:szCs w:val="21"/>
                <w:highlight w:val="none"/>
                <w:lang w:val="en-US" w:eastAsia="zh-CN"/>
              </w:rPr>
              <w:t>（3）投标（响应）报价低于采购项目最高限价45%的，即投标（响应）报价&lt;采购项目最高限价×45%；</w:t>
            </w:r>
          </w:p>
          <w:p w14:paraId="5F6FC933">
            <w:pPr>
              <w:spacing w:line="276" w:lineRule="auto"/>
              <w:rPr>
                <w:rFonts w:hint="eastAsia"/>
                <w:color w:val="auto"/>
                <w:kern w:val="2"/>
                <w:sz w:val="22"/>
                <w:szCs w:val="22"/>
                <w:highlight w:val="none"/>
                <w:lang w:val="en-US" w:eastAsia="zh-CN" w:bidi="ar-SA"/>
              </w:rPr>
            </w:pPr>
            <w:r>
              <w:rPr>
                <w:rFonts w:hint="eastAsia"/>
                <w:color w:val="auto"/>
                <w:szCs w:val="21"/>
                <w:highlight w:val="none"/>
                <w:lang w:val="en-US" w:eastAsia="zh-CN"/>
              </w:rPr>
              <w:t>（4）评审委员会基于专业判断，认为供应商报价过低，有可能影响产品质量或者不能诚信履约的其他情形。</w:t>
            </w:r>
          </w:p>
        </w:tc>
      </w:tr>
      <w:tr w14:paraId="5F929A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jc w:val="center"/>
        </w:trPr>
        <w:tc>
          <w:tcPr>
            <w:tcW w:w="1354" w:type="dxa"/>
            <w:tcBorders>
              <w:top w:val="single" w:color="auto" w:sz="4" w:space="0"/>
              <w:left w:val="single" w:color="auto" w:sz="4" w:space="0"/>
              <w:bottom w:val="single" w:color="auto" w:sz="4" w:space="0"/>
              <w:right w:val="single" w:color="auto" w:sz="4" w:space="0"/>
            </w:tcBorders>
            <w:noWrap w:val="0"/>
            <w:vAlign w:val="center"/>
          </w:tcPr>
          <w:p w14:paraId="241D10BE">
            <w:pPr>
              <w:spacing w:line="300" w:lineRule="exact"/>
              <w:jc w:val="center"/>
              <w:rPr>
                <w:b/>
                <w:color w:val="auto"/>
                <w:szCs w:val="21"/>
                <w:highlight w:val="none"/>
              </w:rPr>
            </w:pPr>
            <w:r>
              <w:rPr>
                <w:b/>
                <w:color w:val="auto"/>
                <w:szCs w:val="21"/>
                <w:highlight w:val="none"/>
              </w:rPr>
              <w:t>6.5.1</w:t>
            </w:r>
          </w:p>
        </w:tc>
        <w:tc>
          <w:tcPr>
            <w:tcW w:w="1204" w:type="dxa"/>
            <w:tcBorders>
              <w:top w:val="single" w:color="auto" w:sz="4" w:space="0"/>
              <w:left w:val="single" w:color="auto" w:sz="4" w:space="0"/>
              <w:bottom w:val="single" w:color="auto" w:sz="4" w:space="0"/>
              <w:right w:val="single" w:color="auto" w:sz="4" w:space="0"/>
            </w:tcBorders>
            <w:noWrap w:val="0"/>
            <w:vAlign w:val="center"/>
          </w:tcPr>
          <w:p w14:paraId="3CDC7898">
            <w:pPr>
              <w:spacing w:line="300" w:lineRule="exact"/>
              <w:jc w:val="center"/>
              <w:rPr>
                <w:color w:val="auto"/>
                <w:szCs w:val="21"/>
                <w:highlight w:val="none"/>
              </w:rPr>
            </w:pPr>
            <w:r>
              <w:rPr>
                <w:rFonts w:hint="eastAsia"/>
                <w:color w:val="auto"/>
                <w:szCs w:val="21"/>
                <w:highlight w:val="none"/>
              </w:rPr>
              <w:t>结果</w:t>
            </w:r>
            <w:r>
              <w:rPr>
                <w:color w:val="auto"/>
                <w:szCs w:val="21"/>
                <w:highlight w:val="none"/>
              </w:rPr>
              <w:t>公告</w:t>
            </w:r>
          </w:p>
        </w:tc>
        <w:tc>
          <w:tcPr>
            <w:tcW w:w="6905" w:type="dxa"/>
            <w:tcBorders>
              <w:top w:val="single" w:color="auto" w:sz="4" w:space="0"/>
              <w:left w:val="single" w:color="auto" w:sz="4" w:space="0"/>
              <w:bottom w:val="single" w:color="auto" w:sz="4" w:space="0"/>
              <w:right w:val="single" w:color="auto" w:sz="4" w:space="0"/>
            </w:tcBorders>
            <w:noWrap w:val="0"/>
            <w:vAlign w:val="center"/>
          </w:tcPr>
          <w:p w14:paraId="075C02D7">
            <w:pPr>
              <w:spacing w:line="300" w:lineRule="exact"/>
              <w:jc w:val="left"/>
              <w:rPr>
                <w:rFonts w:hint="eastAsia"/>
                <w:color w:val="auto"/>
                <w:szCs w:val="21"/>
                <w:highlight w:val="none"/>
              </w:rPr>
            </w:pPr>
            <w:r>
              <w:rPr>
                <w:color w:val="auto"/>
                <w:szCs w:val="21"/>
                <w:highlight w:val="none"/>
              </w:rPr>
              <w:t>采购代理机构在采购人依法确认</w:t>
            </w:r>
            <w:r>
              <w:rPr>
                <w:rFonts w:hint="eastAsia"/>
                <w:color w:val="auto"/>
                <w:szCs w:val="21"/>
                <w:highlight w:val="none"/>
              </w:rPr>
              <w:t>成交供应商</w:t>
            </w:r>
            <w:r>
              <w:rPr>
                <w:color w:val="auto"/>
                <w:szCs w:val="21"/>
                <w:highlight w:val="none"/>
              </w:rPr>
              <w:t>后2个工作日内在</w:t>
            </w:r>
            <w:r>
              <w:rPr>
                <w:rFonts w:hint="eastAsia"/>
                <w:color w:val="auto"/>
                <w:szCs w:val="21"/>
                <w:highlight w:val="none"/>
              </w:rPr>
              <w:t>磋商</w:t>
            </w:r>
            <w:r>
              <w:rPr>
                <w:color w:val="auto"/>
                <w:szCs w:val="21"/>
                <w:highlight w:val="none"/>
              </w:rPr>
              <w:t>公告发布的媒体上发布</w:t>
            </w:r>
            <w:r>
              <w:rPr>
                <w:rFonts w:hint="eastAsia"/>
                <w:color w:val="auto"/>
                <w:szCs w:val="21"/>
                <w:highlight w:val="none"/>
              </w:rPr>
              <w:t>结果</w:t>
            </w:r>
            <w:r>
              <w:rPr>
                <w:color w:val="auto"/>
                <w:szCs w:val="21"/>
                <w:highlight w:val="none"/>
              </w:rPr>
              <w:t>公告</w:t>
            </w:r>
            <w:r>
              <w:rPr>
                <w:rFonts w:hint="eastAsia"/>
                <w:color w:val="auto"/>
                <w:szCs w:val="21"/>
                <w:highlight w:val="none"/>
              </w:rPr>
              <w:t>。</w:t>
            </w:r>
          </w:p>
        </w:tc>
      </w:tr>
      <w:tr w14:paraId="14824E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jc w:val="center"/>
        </w:trPr>
        <w:tc>
          <w:tcPr>
            <w:tcW w:w="1354" w:type="dxa"/>
            <w:tcBorders>
              <w:top w:val="single" w:color="auto" w:sz="4" w:space="0"/>
              <w:left w:val="single" w:color="auto" w:sz="4" w:space="0"/>
              <w:bottom w:val="single" w:color="auto" w:sz="4" w:space="0"/>
              <w:right w:val="single" w:color="auto" w:sz="4" w:space="0"/>
            </w:tcBorders>
            <w:noWrap w:val="0"/>
            <w:vAlign w:val="center"/>
          </w:tcPr>
          <w:p w14:paraId="6A44A2F9">
            <w:pPr>
              <w:spacing w:line="300" w:lineRule="exact"/>
              <w:jc w:val="center"/>
              <w:rPr>
                <w:b/>
                <w:color w:val="auto"/>
                <w:szCs w:val="21"/>
                <w:highlight w:val="none"/>
              </w:rPr>
            </w:pPr>
            <w:r>
              <w:rPr>
                <w:b/>
                <w:color w:val="auto"/>
                <w:szCs w:val="21"/>
                <w:highlight w:val="none"/>
              </w:rPr>
              <w:t>6.5.2</w:t>
            </w:r>
          </w:p>
        </w:tc>
        <w:tc>
          <w:tcPr>
            <w:tcW w:w="1204" w:type="dxa"/>
            <w:tcBorders>
              <w:top w:val="single" w:color="auto" w:sz="4" w:space="0"/>
              <w:left w:val="single" w:color="auto" w:sz="4" w:space="0"/>
              <w:bottom w:val="single" w:color="auto" w:sz="4" w:space="0"/>
              <w:right w:val="single" w:color="auto" w:sz="4" w:space="0"/>
            </w:tcBorders>
            <w:noWrap w:val="0"/>
            <w:vAlign w:val="center"/>
          </w:tcPr>
          <w:p w14:paraId="410BD051">
            <w:pPr>
              <w:spacing w:line="300" w:lineRule="exact"/>
              <w:jc w:val="center"/>
              <w:rPr>
                <w:color w:val="auto"/>
                <w:szCs w:val="21"/>
                <w:highlight w:val="none"/>
              </w:rPr>
            </w:pPr>
            <w:r>
              <w:rPr>
                <w:color w:val="auto"/>
                <w:szCs w:val="21"/>
                <w:highlight w:val="none"/>
              </w:rPr>
              <w:t>成交通知书</w:t>
            </w:r>
          </w:p>
        </w:tc>
        <w:tc>
          <w:tcPr>
            <w:tcW w:w="6905" w:type="dxa"/>
            <w:tcBorders>
              <w:top w:val="single" w:color="auto" w:sz="4" w:space="0"/>
              <w:left w:val="single" w:color="auto" w:sz="4" w:space="0"/>
              <w:bottom w:val="single" w:color="auto" w:sz="4" w:space="0"/>
              <w:right w:val="single" w:color="auto" w:sz="4" w:space="0"/>
            </w:tcBorders>
            <w:noWrap w:val="0"/>
            <w:vAlign w:val="center"/>
          </w:tcPr>
          <w:p w14:paraId="2C210365">
            <w:pPr>
              <w:spacing w:line="300" w:lineRule="exact"/>
              <w:jc w:val="left"/>
              <w:rPr>
                <w:color w:val="auto"/>
                <w:szCs w:val="21"/>
                <w:highlight w:val="none"/>
              </w:rPr>
            </w:pPr>
            <w:r>
              <w:rPr>
                <w:rFonts w:hint="eastAsia"/>
                <w:color w:val="auto"/>
                <w:szCs w:val="21"/>
                <w:highlight w:val="none"/>
              </w:rPr>
              <w:t>采购代理机构通过广西政府采购云平台发出</w:t>
            </w:r>
            <w:r>
              <w:rPr>
                <w:color w:val="auto"/>
                <w:szCs w:val="21"/>
                <w:highlight w:val="none"/>
              </w:rPr>
              <w:t>成交通知书。</w:t>
            </w:r>
          </w:p>
          <w:p w14:paraId="470A6AF3">
            <w:pPr>
              <w:spacing w:line="300" w:lineRule="exact"/>
              <w:jc w:val="left"/>
              <w:rPr>
                <w:rFonts w:hint="eastAsia"/>
                <w:color w:val="auto"/>
                <w:szCs w:val="21"/>
                <w:highlight w:val="none"/>
              </w:rPr>
            </w:pPr>
            <w:r>
              <w:rPr>
                <w:rFonts w:hint="eastAsia"/>
                <w:color w:val="auto"/>
                <w:szCs w:val="21"/>
                <w:highlight w:val="none"/>
              </w:rPr>
              <w:t>成交通知书在广西政府采购云平台推送之日起，视为成交供应商已收到，成交供应商自行承担未及时查收的后果。</w:t>
            </w:r>
          </w:p>
        </w:tc>
      </w:tr>
      <w:tr w14:paraId="7CFC27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jc w:val="center"/>
        </w:trPr>
        <w:tc>
          <w:tcPr>
            <w:tcW w:w="1354" w:type="dxa"/>
            <w:tcBorders>
              <w:top w:val="single" w:color="auto" w:sz="4" w:space="0"/>
              <w:left w:val="single" w:color="auto" w:sz="4" w:space="0"/>
              <w:bottom w:val="single" w:color="auto" w:sz="4" w:space="0"/>
              <w:right w:val="single" w:color="auto" w:sz="4" w:space="0"/>
            </w:tcBorders>
            <w:noWrap w:val="0"/>
            <w:vAlign w:val="center"/>
          </w:tcPr>
          <w:p w14:paraId="38CD2E6A">
            <w:pPr>
              <w:spacing w:line="300" w:lineRule="exact"/>
              <w:jc w:val="center"/>
              <w:rPr>
                <w:b/>
                <w:color w:val="auto"/>
                <w:szCs w:val="21"/>
                <w:highlight w:val="none"/>
              </w:rPr>
            </w:pPr>
            <w:r>
              <w:rPr>
                <w:rFonts w:hint="eastAsia"/>
                <w:b/>
                <w:color w:val="auto"/>
                <w:szCs w:val="21"/>
                <w:highlight w:val="none"/>
              </w:rPr>
              <w:t>7</w:t>
            </w:r>
            <w:r>
              <w:rPr>
                <w:b/>
                <w:color w:val="auto"/>
                <w:szCs w:val="21"/>
                <w:highlight w:val="none"/>
              </w:rPr>
              <w:t>.2</w:t>
            </w:r>
          </w:p>
        </w:tc>
        <w:tc>
          <w:tcPr>
            <w:tcW w:w="1204" w:type="dxa"/>
            <w:tcBorders>
              <w:top w:val="single" w:color="auto" w:sz="4" w:space="0"/>
              <w:left w:val="single" w:color="auto" w:sz="4" w:space="0"/>
              <w:bottom w:val="single" w:color="auto" w:sz="4" w:space="0"/>
              <w:right w:val="single" w:color="auto" w:sz="4" w:space="0"/>
            </w:tcBorders>
            <w:noWrap w:val="0"/>
            <w:vAlign w:val="center"/>
          </w:tcPr>
          <w:p w14:paraId="1EC9ADCD">
            <w:pPr>
              <w:spacing w:line="300" w:lineRule="exact"/>
              <w:jc w:val="center"/>
              <w:rPr>
                <w:color w:val="auto"/>
                <w:szCs w:val="21"/>
                <w:highlight w:val="none"/>
              </w:rPr>
            </w:pPr>
            <w:r>
              <w:rPr>
                <w:rFonts w:hint="eastAsia"/>
                <w:color w:val="auto"/>
                <w:szCs w:val="21"/>
                <w:highlight w:val="none"/>
              </w:rPr>
              <w:t>合同签订</w:t>
            </w:r>
          </w:p>
        </w:tc>
        <w:tc>
          <w:tcPr>
            <w:tcW w:w="6905" w:type="dxa"/>
            <w:tcBorders>
              <w:top w:val="single" w:color="auto" w:sz="4" w:space="0"/>
              <w:left w:val="single" w:color="auto" w:sz="4" w:space="0"/>
              <w:bottom w:val="single" w:color="auto" w:sz="4" w:space="0"/>
              <w:right w:val="single" w:color="auto" w:sz="4" w:space="0"/>
            </w:tcBorders>
            <w:noWrap w:val="0"/>
            <w:vAlign w:val="center"/>
          </w:tcPr>
          <w:p w14:paraId="14538B24">
            <w:pPr>
              <w:rPr>
                <w:color w:val="auto"/>
                <w:szCs w:val="21"/>
                <w:highlight w:val="none"/>
              </w:rPr>
            </w:pPr>
            <w:r>
              <w:rPr>
                <w:rFonts w:hint="eastAsia" w:ascii="宋体" w:hAnsi="宋体" w:eastAsia="宋体" w:cs="宋体"/>
                <w:color w:val="auto"/>
                <w:kern w:val="0"/>
                <w:szCs w:val="21"/>
                <w:highlight w:val="none"/>
              </w:rPr>
              <w:t>自成交通知书发出之日起</w:t>
            </w:r>
            <w:r>
              <w:rPr>
                <w:rFonts w:hint="eastAsia" w:ascii="宋体" w:hAnsi="宋体" w:cs="宋体"/>
                <w:color w:val="auto"/>
                <w:kern w:val="0"/>
                <w:szCs w:val="21"/>
                <w:highlight w:val="none"/>
                <w:lang w:val="en-US" w:eastAsia="zh-CN"/>
              </w:rPr>
              <w:t>10日历日</w:t>
            </w:r>
            <w:r>
              <w:rPr>
                <w:rFonts w:hint="eastAsia" w:ascii="宋体" w:hAnsi="宋体" w:eastAsia="宋体" w:cs="宋体"/>
                <w:color w:val="auto"/>
                <w:kern w:val="0"/>
                <w:szCs w:val="21"/>
                <w:highlight w:val="none"/>
              </w:rPr>
              <w:t>内（注：成交通知书发出之日起</w:t>
            </w:r>
            <w:r>
              <w:rPr>
                <w:rFonts w:hint="eastAsia" w:ascii="宋体" w:hAnsi="宋体" w:cs="宋体"/>
                <w:color w:val="auto"/>
                <w:kern w:val="0"/>
                <w:szCs w:val="21"/>
                <w:highlight w:val="none"/>
                <w:lang w:val="en-US" w:eastAsia="zh-CN"/>
              </w:rPr>
              <w:t>10日历日</w:t>
            </w:r>
            <w:r>
              <w:rPr>
                <w:rFonts w:hint="eastAsia" w:ascii="宋体" w:hAnsi="宋体" w:eastAsia="宋体" w:cs="宋体"/>
                <w:color w:val="auto"/>
                <w:kern w:val="0"/>
                <w:szCs w:val="21"/>
                <w:highlight w:val="none"/>
              </w:rPr>
              <w:t>内必须签订合同。）</w:t>
            </w:r>
          </w:p>
        </w:tc>
      </w:tr>
      <w:tr w14:paraId="024D28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1354" w:type="dxa"/>
            <w:tcBorders>
              <w:top w:val="single" w:color="auto" w:sz="4" w:space="0"/>
              <w:left w:val="single" w:color="auto" w:sz="4" w:space="0"/>
              <w:bottom w:val="single" w:color="auto" w:sz="4" w:space="0"/>
              <w:right w:val="single" w:color="auto" w:sz="4" w:space="0"/>
            </w:tcBorders>
            <w:noWrap w:val="0"/>
            <w:vAlign w:val="center"/>
          </w:tcPr>
          <w:p w14:paraId="60124899">
            <w:pPr>
              <w:spacing w:line="300" w:lineRule="exact"/>
              <w:jc w:val="center"/>
              <w:rPr>
                <w:b/>
                <w:color w:val="auto"/>
                <w:szCs w:val="21"/>
                <w:highlight w:val="none"/>
              </w:rPr>
            </w:pPr>
            <w:r>
              <w:rPr>
                <w:b/>
                <w:color w:val="auto"/>
                <w:szCs w:val="21"/>
                <w:highlight w:val="none"/>
              </w:rPr>
              <w:t>8.1</w:t>
            </w:r>
          </w:p>
        </w:tc>
        <w:tc>
          <w:tcPr>
            <w:tcW w:w="1204" w:type="dxa"/>
            <w:tcBorders>
              <w:top w:val="single" w:color="auto" w:sz="4" w:space="0"/>
              <w:left w:val="single" w:color="auto" w:sz="4" w:space="0"/>
              <w:bottom w:val="single" w:color="auto" w:sz="4" w:space="0"/>
              <w:right w:val="single" w:color="auto" w:sz="4" w:space="0"/>
            </w:tcBorders>
            <w:noWrap w:val="0"/>
            <w:vAlign w:val="center"/>
          </w:tcPr>
          <w:p w14:paraId="73E63B63">
            <w:pPr>
              <w:spacing w:line="300" w:lineRule="exact"/>
              <w:jc w:val="center"/>
              <w:rPr>
                <w:color w:val="auto"/>
                <w:szCs w:val="21"/>
                <w:highlight w:val="none"/>
              </w:rPr>
            </w:pPr>
            <w:r>
              <w:rPr>
                <w:rFonts w:hint="eastAsia"/>
                <w:color w:val="auto"/>
                <w:szCs w:val="21"/>
                <w:highlight w:val="none"/>
              </w:rPr>
              <w:t>质疑</w:t>
            </w:r>
          </w:p>
        </w:tc>
        <w:tc>
          <w:tcPr>
            <w:tcW w:w="6905" w:type="dxa"/>
            <w:tcBorders>
              <w:top w:val="single" w:color="auto" w:sz="4" w:space="0"/>
              <w:left w:val="single" w:color="auto" w:sz="4" w:space="0"/>
              <w:bottom w:val="single" w:color="auto" w:sz="4" w:space="0"/>
              <w:right w:val="single" w:color="auto" w:sz="4" w:space="0"/>
            </w:tcBorders>
            <w:noWrap w:val="0"/>
            <w:vAlign w:val="center"/>
          </w:tcPr>
          <w:p w14:paraId="51DA8438">
            <w:pPr>
              <w:spacing w:line="300" w:lineRule="exact"/>
              <w:jc w:val="left"/>
              <w:rPr>
                <w:color w:val="auto"/>
                <w:szCs w:val="21"/>
                <w:highlight w:val="none"/>
              </w:rPr>
            </w:pPr>
            <w:r>
              <w:rPr>
                <w:rFonts w:hint="eastAsia"/>
                <w:color w:val="auto"/>
                <w:szCs w:val="21"/>
                <w:highlight w:val="none"/>
              </w:rPr>
              <w:t>（1）供应商</w:t>
            </w:r>
            <w:r>
              <w:rPr>
                <w:color w:val="auto"/>
                <w:szCs w:val="21"/>
                <w:highlight w:val="none"/>
              </w:rPr>
              <w:t>认为</w:t>
            </w:r>
            <w:r>
              <w:rPr>
                <w:rFonts w:hint="eastAsia"/>
                <w:color w:val="auto"/>
                <w:szCs w:val="21"/>
                <w:highlight w:val="none"/>
              </w:rPr>
              <w:t>采购文件</w:t>
            </w:r>
            <w:r>
              <w:rPr>
                <w:color w:val="auto"/>
                <w:szCs w:val="21"/>
                <w:highlight w:val="none"/>
              </w:rPr>
              <w:t>、</w:t>
            </w:r>
            <w:r>
              <w:rPr>
                <w:rFonts w:hint="eastAsia"/>
                <w:color w:val="auto"/>
                <w:szCs w:val="21"/>
                <w:highlight w:val="none"/>
              </w:rPr>
              <w:t>采购</w:t>
            </w:r>
            <w:r>
              <w:rPr>
                <w:color w:val="auto"/>
                <w:szCs w:val="21"/>
                <w:highlight w:val="none"/>
              </w:rPr>
              <w:t>过程、中标</w:t>
            </w:r>
            <w:r>
              <w:rPr>
                <w:rFonts w:hint="eastAsia"/>
                <w:color w:val="auto"/>
                <w:szCs w:val="21"/>
                <w:highlight w:val="none"/>
              </w:rPr>
              <w:t>或者成交</w:t>
            </w:r>
            <w:r>
              <w:rPr>
                <w:color w:val="auto"/>
                <w:szCs w:val="21"/>
                <w:highlight w:val="none"/>
              </w:rPr>
              <w:t>结果使自己的权益受到损害的，可以在知道或者应知其权益受到损害之日起7个工作日内，</w:t>
            </w:r>
            <w:r>
              <w:rPr>
                <w:rFonts w:hint="eastAsia"/>
                <w:color w:val="auto"/>
                <w:szCs w:val="21"/>
                <w:highlight w:val="none"/>
              </w:rPr>
              <w:t>通过以下方式</w:t>
            </w:r>
            <w:r>
              <w:rPr>
                <w:color w:val="auto"/>
                <w:szCs w:val="21"/>
                <w:highlight w:val="none"/>
              </w:rPr>
              <w:t>向采购人、采购代理机构提出质疑。提出质疑的</w:t>
            </w:r>
            <w:r>
              <w:rPr>
                <w:rFonts w:hint="eastAsia"/>
                <w:color w:val="auto"/>
                <w:szCs w:val="21"/>
                <w:highlight w:val="none"/>
              </w:rPr>
              <w:t>供应商</w:t>
            </w:r>
            <w:r>
              <w:rPr>
                <w:color w:val="auto"/>
                <w:szCs w:val="21"/>
                <w:highlight w:val="none"/>
              </w:rPr>
              <w:t>必须是参与本项目采购活动的供应商</w:t>
            </w:r>
            <w:r>
              <w:rPr>
                <w:rFonts w:hint="eastAsia"/>
                <w:color w:val="auto"/>
                <w:szCs w:val="21"/>
                <w:highlight w:val="none"/>
              </w:rPr>
              <w:t>，并须在</w:t>
            </w:r>
            <w:r>
              <w:rPr>
                <w:color w:val="auto"/>
                <w:szCs w:val="21"/>
                <w:highlight w:val="none"/>
              </w:rPr>
              <w:t>法定质疑期内一次性提出针对同一采购程序环节的质疑。质疑函应使用财政部发布的</w:t>
            </w:r>
            <w:r>
              <w:rPr>
                <w:rFonts w:hint="eastAsia"/>
                <w:color w:val="auto"/>
                <w:szCs w:val="21"/>
                <w:highlight w:val="none"/>
              </w:rPr>
              <w:t>政府采购供应商质疑函范本，并应按照“质疑函制作说明”进行制作。</w:t>
            </w:r>
          </w:p>
          <w:p w14:paraId="3A8B3ECD">
            <w:pPr>
              <w:spacing w:line="300" w:lineRule="exact"/>
              <w:jc w:val="left"/>
              <w:rPr>
                <w:color w:val="auto"/>
                <w:szCs w:val="21"/>
                <w:highlight w:val="none"/>
              </w:rPr>
            </w:pPr>
            <w:r>
              <w:rPr>
                <w:rFonts w:hint="eastAsia"/>
                <w:color w:val="auto"/>
                <w:szCs w:val="21"/>
                <w:highlight w:val="none"/>
              </w:rPr>
              <w:t>（2）本项目不接受传真、移动通信、广西政府采购云平台等方式送达的质疑材料，供应商可通过现场或邮寄方式递交书面质疑材料。供应商应于质疑有效期内将质疑函原件递交或邮寄至磋商公告中采购代理机构信息中的联系人。</w:t>
            </w:r>
          </w:p>
        </w:tc>
      </w:tr>
      <w:tr w14:paraId="00D9F25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354" w:type="dxa"/>
            <w:tcBorders>
              <w:top w:val="single" w:color="auto" w:sz="4" w:space="0"/>
              <w:left w:val="single" w:color="auto" w:sz="4" w:space="0"/>
              <w:bottom w:val="single" w:color="auto" w:sz="4" w:space="0"/>
              <w:right w:val="single" w:color="auto" w:sz="4" w:space="0"/>
            </w:tcBorders>
            <w:noWrap w:val="0"/>
            <w:vAlign w:val="center"/>
          </w:tcPr>
          <w:p w14:paraId="0A461813">
            <w:pPr>
              <w:spacing w:line="300" w:lineRule="exact"/>
              <w:jc w:val="center"/>
              <w:rPr>
                <w:color w:val="auto"/>
                <w:szCs w:val="21"/>
                <w:highlight w:val="none"/>
              </w:rPr>
            </w:pPr>
            <w:r>
              <w:rPr>
                <w:b/>
                <w:color w:val="auto"/>
                <w:szCs w:val="21"/>
                <w:highlight w:val="none"/>
              </w:rPr>
              <w:t>9.1</w:t>
            </w:r>
          </w:p>
        </w:tc>
        <w:tc>
          <w:tcPr>
            <w:tcW w:w="1204" w:type="dxa"/>
            <w:tcBorders>
              <w:top w:val="single" w:color="auto" w:sz="4" w:space="0"/>
              <w:left w:val="single" w:color="auto" w:sz="4" w:space="0"/>
              <w:bottom w:val="single" w:color="auto" w:sz="4" w:space="0"/>
              <w:right w:val="single" w:color="auto" w:sz="4" w:space="0"/>
            </w:tcBorders>
            <w:noWrap w:val="0"/>
            <w:vAlign w:val="center"/>
          </w:tcPr>
          <w:p w14:paraId="4753DB55">
            <w:pPr>
              <w:spacing w:line="300" w:lineRule="exact"/>
              <w:jc w:val="center"/>
              <w:rPr>
                <w:rFonts w:hint="eastAsia"/>
                <w:color w:val="auto"/>
                <w:szCs w:val="21"/>
                <w:highlight w:val="none"/>
              </w:rPr>
            </w:pPr>
            <w:r>
              <w:rPr>
                <w:color w:val="auto"/>
                <w:szCs w:val="20"/>
                <w:highlight w:val="none"/>
              </w:rPr>
              <w:t>代理服务费</w:t>
            </w:r>
          </w:p>
        </w:tc>
        <w:tc>
          <w:tcPr>
            <w:tcW w:w="6905" w:type="dxa"/>
            <w:tcBorders>
              <w:top w:val="single" w:color="auto" w:sz="4" w:space="0"/>
              <w:left w:val="single" w:color="auto" w:sz="4" w:space="0"/>
              <w:bottom w:val="single" w:color="auto" w:sz="4" w:space="0"/>
              <w:right w:val="single" w:color="auto" w:sz="4" w:space="0"/>
            </w:tcBorders>
            <w:noWrap w:val="0"/>
            <w:vAlign w:val="center"/>
          </w:tcPr>
          <w:p w14:paraId="06C8E652">
            <w:pPr>
              <w:rPr>
                <w:rFonts w:hint="eastAsia"/>
                <w:color w:val="auto"/>
                <w:szCs w:val="21"/>
                <w:highlight w:val="none"/>
              </w:rPr>
            </w:pPr>
            <w:r>
              <w:rPr>
                <w:color w:val="auto"/>
                <w:szCs w:val="21"/>
                <w:highlight w:val="none"/>
              </w:rPr>
              <w:t>（1）</w:t>
            </w:r>
            <w:r>
              <w:rPr>
                <w:rFonts w:hint="eastAsia"/>
                <w:color w:val="auto"/>
                <w:szCs w:val="21"/>
                <w:highlight w:val="none"/>
              </w:rPr>
              <w:t>代理服务费</w:t>
            </w:r>
          </w:p>
          <w:p w14:paraId="428B0A0E">
            <w:pPr>
              <w:spacing w:line="340" w:lineRule="atLeast"/>
              <w:jc w:val="left"/>
              <w:rPr>
                <w:rFonts w:ascii="宋体" w:hAnsi="宋体" w:eastAsia="宋体" w:cs="宋体"/>
                <w:color w:val="auto"/>
                <w:szCs w:val="21"/>
                <w:highlight w:val="none"/>
              </w:rPr>
            </w:pPr>
            <w:r>
              <w:rPr>
                <w:rFonts w:hint="eastAsia" w:ascii="宋体" w:hAnsi="宋体" w:eastAsia="宋体" w:cs="宋体"/>
                <w:color w:val="auto"/>
                <w:szCs w:val="21"/>
                <w:highlight w:val="none"/>
              </w:rPr>
              <w:sym w:font="Wingdings 2" w:char="F052"/>
            </w:r>
            <w:r>
              <w:rPr>
                <w:rFonts w:hint="eastAsia" w:ascii="宋体" w:hAnsi="宋体" w:eastAsia="宋体" w:cs="宋体"/>
                <w:color w:val="auto"/>
                <w:szCs w:val="21"/>
                <w:highlight w:val="none"/>
              </w:rPr>
              <w:t>采购代理机构向成交供应商收取代理服务费。本项目代理服务费按照《招标代理服务费管理暂行办法》 (计价格﹝2002﹞1980号)、《国家发展改革委关于降低部分建设项目收费标准规范收费行为等有关问题的通知》(发改价格﹝2011﹞534号)的规定采用差额定率累进法</w:t>
            </w:r>
            <w:r>
              <w:rPr>
                <w:rFonts w:hint="eastAsia" w:ascii="宋体" w:hAnsi="宋体" w:eastAsia="宋体" w:cs="宋体"/>
                <w:b/>
                <w:bCs/>
                <w:color w:val="auto"/>
                <w:szCs w:val="21"/>
                <w:highlight w:val="none"/>
              </w:rPr>
              <w:t>下浮20%</w:t>
            </w:r>
            <w:r>
              <w:rPr>
                <w:rFonts w:hint="eastAsia" w:ascii="宋体" w:hAnsi="宋体" w:eastAsia="宋体" w:cs="宋体"/>
                <w:color w:val="auto"/>
                <w:szCs w:val="21"/>
                <w:highlight w:val="none"/>
              </w:rPr>
              <w:t>计算。具体费率如下：</w:t>
            </w:r>
          </w:p>
          <w:p w14:paraId="3D02CD02">
            <w:pPr>
              <w:spacing w:line="340" w:lineRule="atLeast"/>
              <w:jc w:val="left"/>
              <w:rPr>
                <w:rFonts w:ascii="宋体" w:hAnsi="宋体" w:eastAsia="宋体" w:cs="宋体"/>
                <w:color w:val="auto"/>
                <w:szCs w:val="21"/>
                <w:highlight w:val="none"/>
              </w:rPr>
            </w:pPr>
            <w:r>
              <w:rPr>
                <w:rFonts w:hint="eastAsia" w:ascii="宋体" w:hAnsi="宋体" w:eastAsia="宋体" w:cs="宋体"/>
                <w:color w:val="auto"/>
                <w:szCs w:val="21"/>
                <w:highlight w:val="none"/>
              </w:rPr>
              <w:t>①成交金额在100万元以下的：</w:t>
            </w:r>
          </w:p>
          <w:p w14:paraId="1E639F43">
            <w:pPr>
              <w:spacing w:line="340" w:lineRule="atLeast"/>
              <w:jc w:val="left"/>
              <w:rPr>
                <w:rFonts w:ascii="宋体" w:hAnsi="宋体" w:eastAsia="宋体" w:cs="宋体"/>
                <w:color w:val="auto"/>
                <w:szCs w:val="21"/>
                <w:highlight w:val="none"/>
              </w:rPr>
            </w:pPr>
            <w:r>
              <w:rPr>
                <w:rFonts w:hint="eastAsia" w:ascii="宋体" w:hAnsi="宋体" w:eastAsia="宋体" w:cs="宋体"/>
                <w:color w:val="auto"/>
                <w:szCs w:val="21"/>
                <w:highlight w:val="none"/>
              </w:rPr>
              <w:t>货物1.5％；服务招标1.5％；工程招标1.0％；</w:t>
            </w:r>
          </w:p>
          <w:p w14:paraId="3C090023">
            <w:pPr>
              <w:spacing w:line="340" w:lineRule="atLeast"/>
              <w:jc w:val="left"/>
              <w:rPr>
                <w:rFonts w:ascii="宋体" w:hAnsi="宋体" w:eastAsia="宋体" w:cs="宋体"/>
                <w:color w:val="auto"/>
                <w:szCs w:val="21"/>
                <w:highlight w:val="none"/>
              </w:rPr>
            </w:pPr>
            <w:r>
              <w:rPr>
                <w:rFonts w:hint="eastAsia" w:ascii="宋体" w:hAnsi="宋体" w:eastAsia="宋体" w:cs="宋体"/>
                <w:color w:val="auto"/>
                <w:szCs w:val="21"/>
                <w:highlight w:val="none"/>
              </w:rPr>
              <w:t>②成交金额在100-500万元之间：</w:t>
            </w:r>
          </w:p>
          <w:p w14:paraId="2B27E98C">
            <w:pPr>
              <w:spacing w:line="340" w:lineRule="atLeast"/>
              <w:jc w:val="left"/>
              <w:rPr>
                <w:rFonts w:ascii="宋体" w:hAnsi="宋体" w:eastAsia="宋体" w:cs="宋体"/>
                <w:color w:val="auto"/>
                <w:szCs w:val="21"/>
                <w:highlight w:val="none"/>
              </w:rPr>
            </w:pPr>
            <w:r>
              <w:rPr>
                <w:rFonts w:hint="eastAsia" w:ascii="宋体" w:hAnsi="宋体" w:eastAsia="宋体" w:cs="宋体"/>
                <w:color w:val="auto"/>
                <w:szCs w:val="21"/>
                <w:highlight w:val="none"/>
              </w:rPr>
              <w:t>货物1.1％；服务招标0.8％；工程招标0.7％；</w:t>
            </w:r>
          </w:p>
          <w:p w14:paraId="3E1B171B">
            <w:pPr>
              <w:spacing w:line="340" w:lineRule="atLeast"/>
              <w:jc w:val="left"/>
              <w:rPr>
                <w:rFonts w:ascii="宋体" w:hAnsi="宋体" w:eastAsia="宋体" w:cs="宋体"/>
                <w:color w:val="auto"/>
                <w:szCs w:val="21"/>
                <w:highlight w:val="none"/>
              </w:rPr>
            </w:pPr>
            <w:r>
              <w:rPr>
                <w:rFonts w:hint="eastAsia" w:ascii="宋体" w:hAnsi="宋体" w:eastAsia="宋体" w:cs="宋体"/>
                <w:color w:val="auto"/>
                <w:szCs w:val="21"/>
                <w:highlight w:val="none"/>
              </w:rPr>
              <w:t>③成交金额在500-1000万元之间：</w:t>
            </w:r>
          </w:p>
          <w:p w14:paraId="1A418CEE">
            <w:pPr>
              <w:spacing w:line="340" w:lineRule="atLeast"/>
              <w:jc w:val="left"/>
              <w:rPr>
                <w:rFonts w:ascii="宋体" w:hAnsi="宋体" w:eastAsia="宋体" w:cs="宋体"/>
                <w:color w:val="auto"/>
                <w:szCs w:val="21"/>
                <w:highlight w:val="none"/>
              </w:rPr>
            </w:pPr>
            <w:r>
              <w:rPr>
                <w:rFonts w:hint="eastAsia" w:ascii="宋体" w:hAnsi="宋体" w:eastAsia="宋体" w:cs="宋体"/>
                <w:color w:val="auto"/>
                <w:szCs w:val="21"/>
                <w:highlight w:val="none"/>
              </w:rPr>
              <w:t>货物0.8％；服务招标0.45％；工程招标0.55％；</w:t>
            </w:r>
          </w:p>
          <w:p w14:paraId="7C5F0489">
            <w:pPr>
              <w:spacing w:line="340" w:lineRule="atLeast"/>
              <w:jc w:val="left"/>
              <w:rPr>
                <w:rFonts w:ascii="宋体" w:hAnsi="宋体" w:eastAsia="宋体" w:cs="宋体"/>
                <w:color w:val="auto"/>
                <w:szCs w:val="21"/>
                <w:highlight w:val="none"/>
              </w:rPr>
            </w:pPr>
            <w:r>
              <w:rPr>
                <w:rFonts w:hint="eastAsia" w:ascii="宋体" w:hAnsi="宋体" w:eastAsia="宋体" w:cs="宋体"/>
                <w:color w:val="auto"/>
                <w:szCs w:val="21"/>
                <w:highlight w:val="none"/>
              </w:rPr>
              <w:t>④成交金额在1000-5000万元之间：</w:t>
            </w:r>
          </w:p>
          <w:p w14:paraId="32BE8EFB">
            <w:pPr>
              <w:spacing w:line="340" w:lineRule="atLeast"/>
              <w:jc w:val="left"/>
              <w:rPr>
                <w:rFonts w:ascii="宋体" w:hAnsi="宋体" w:eastAsia="宋体" w:cs="宋体"/>
                <w:color w:val="auto"/>
                <w:szCs w:val="21"/>
                <w:highlight w:val="none"/>
              </w:rPr>
            </w:pPr>
            <w:r>
              <w:rPr>
                <w:rFonts w:hint="eastAsia" w:ascii="宋体" w:hAnsi="宋体" w:eastAsia="宋体" w:cs="宋体"/>
                <w:color w:val="auto"/>
                <w:szCs w:val="21"/>
                <w:highlight w:val="none"/>
              </w:rPr>
              <w:t>货物0.5％；服务招标0.25％；工程招标0.35％；</w:t>
            </w:r>
          </w:p>
          <w:p w14:paraId="08BD6E41">
            <w:pPr>
              <w:spacing w:line="340" w:lineRule="atLeast"/>
              <w:jc w:val="left"/>
              <w:rPr>
                <w:rFonts w:ascii="宋体" w:hAnsi="宋体" w:eastAsia="宋体" w:cs="宋体"/>
                <w:color w:val="auto"/>
                <w:szCs w:val="21"/>
                <w:highlight w:val="none"/>
              </w:rPr>
            </w:pPr>
            <w:r>
              <w:rPr>
                <w:rFonts w:hint="eastAsia" w:ascii="宋体" w:hAnsi="宋体" w:eastAsia="宋体" w:cs="宋体"/>
                <w:color w:val="auto"/>
                <w:szCs w:val="21"/>
                <w:highlight w:val="none"/>
              </w:rPr>
              <w:t>……</w:t>
            </w:r>
          </w:p>
          <w:p w14:paraId="61E3C8BE">
            <w:pPr>
              <w:spacing w:line="340" w:lineRule="atLeast"/>
              <w:jc w:val="left"/>
              <w:rPr>
                <w:rFonts w:ascii="宋体" w:hAnsi="宋体" w:eastAsia="宋体" w:cs="宋体"/>
                <w:color w:val="auto"/>
                <w:szCs w:val="21"/>
                <w:highlight w:val="none"/>
              </w:rPr>
            </w:pPr>
            <w:r>
              <w:rPr>
                <w:rFonts w:hint="eastAsia" w:ascii="宋体" w:hAnsi="宋体" w:eastAsia="宋体" w:cs="宋体"/>
                <w:color w:val="auto"/>
                <w:szCs w:val="21"/>
                <w:highlight w:val="none"/>
              </w:rPr>
              <w:t>差额定率累进法计算过程示例：</w:t>
            </w:r>
          </w:p>
          <w:p w14:paraId="38C41DFC">
            <w:pPr>
              <w:spacing w:line="340" w:lineRule="atLeas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例如：某工程代理业务成交金额为300万元，代理服务费金额按如下计算：</w:t>
            </w:r>
          </w:p>
          <w:p w14:paraId="4F24D360">
            <w:pPr>
              <w:spacing w:line="340" w:lineRule="atLeast"/>
              <w:jc w:val="left"/>
              <w:rPr>
                <w:rFonts w:ascii="宋体" w:hAnsi="宋体" w:eastAsia="宋体" w:cs="宋体"/>
                <w:color w:val="auto"/>
                <w:szCs w:val="21"/>
                <w:highlight w:val="none"/>
              </w:rPr>
            </w:pPr>
            <w:r>
              <w:rPr>
                <w:rFonts w:hint="eastAsia" w:ascii="宋体" w:hAnsi="宋体" w:eastAsia="宋体" w:cs="宋体"/>
                <w:color w:val="auto"/>
                <w:szCs w:val="21"/>
                <w:highlight w:val="none"/>
              </w:rPr>
              <w:t>100万元×1.0%＝1万元</w:t>
            </w:r>
          </w:p>
          <w:p w14:paraId="7B305727">
            <w:pPr>
              <w:spacing w:line="340" w:lineRule="atLeast"/>
              <w:jc w:val="left"/>
              <w:rPr>
                <w:rFonts w:ascii="宋体" w:hAnsi="宋体" w:eastAsia="宋体" w:cs="宋体"/>
                <w:color w:val="auto"/>
                <w:szCs w:val="21"/>
                <w:highlight w:val="none"/>
              </w:rPr>
            </w:pPr>
            <w:r>
              <w:rPr>
                <w:rFonts w:hint="eastAsia" w:ascii="宋体" w:hAnsi="宋体" w:eastAsia="宋体" w:cs="宋体"/>
                <w:color w:val="auto"/>
                <w:szCs w:val="21"/>
                <w:highlight w:val="none"/>
              </w:rPr>
              <w:t>（300－100）万元×0.7%＝1.4万元</w:t>
            </w:r>
          </w:p>
          <w:p w14:paraId="29D3E46E">
            <w:pPr>
              <w:spacing w:line="340" w:lineRule="atLeast"/>
              <w:jc w:val="left"/>
              <w:rPr>
                <w:rFonts w:ascii="宋体" w:hAnsi="宋体" w:eastAsia="宋体" w:cs="宋体"/>
                <w:color w:val="auto"/>
                <w:szCs w:val="21"/>
                <w:highlight w:val="none"/>
              </w:rPr>
            </w:pPr>
            <w:r>
              <w:rPr>
                <w:rFonts w:hint="eastAsia" w:ascii="宋体" w:hAnsi="宋体" w:eastAsia="宋体" w:cs="宋体"/>
                <w:color w:val="auto"/>
                <w:szCs w:val="21"/>
                <w:highlight w:val="none"/>
              </w:rPr>
              <w:t>合计收费＝1.0＋1.4=2.4万元</w:t>
            </w:r>
          </w:p>
          <w:p w14:paraId="4019810F">
            <w:pPr>
              <w:spacing w:line="340" w:lineRule="atLeast"/>
              <w:jc w:val="left"/>
              <w:rPr>
                <w:rFonts w:ascii="宋体" w:hAnsi="宋体" w:eastAsia="宋体" w:cs="宋体"/>
                <w:color w:val="auto"/>
                <w:szCs w:val="21"/>
                <w:highlight w:val="none"/>
              </w:rPr>
            </w:pPr>
            <w:r>
              <w:rPr>
                <w:rFonts w:hint="eastAsia" w:ascii="宋体" w:hAnsi="宋体" w:eastAsia="宋体" w:cs="宋体"/>
                <w:color w:val="auto"/>
                <w:szCs w:val="21"/>
                <w:highlight w:val="none"/>
              </w:rPr>
              <w:t>（2）成交供应商在成交通知书发出前以银行转账或现金形式支付代理服务费；采购代理机构也可以从成交供应商的</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保证金中扣除上述金额的代理服务费，余款按供应商所汇入</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保证金的账户原路退回，如无法原路返回，则按《代理服务费承诺书》列明的账户退回。</w:t>
            </w:r>
          </w:p>
          <w:p w14:paraId="6D7CB232">
            <w:pPr>
              <w:spacing w:line="340" w:lineRule="atLeast"/>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开户银行：广西北部湾银行南宁市金湖支行</w:t>
            </w:r>
          </w:p>
          <w:p w14:paraId="103399B2">
            <w:pPr>
              <w:spacing w:line="340" w:lineRule="atLeast"/>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（银行地址：南宁市金湖路57号文德大厦1楼）</w:t>
            </w:r>
          </w:p>
          <w:p w14:paraId="7D433031">
            <w:pPr>
              <w:spacing w:line="340" w:lineRule="atLeast"/>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开户名称：广西机电设备招标有限公司</w:t>
            </w:r>
          </w:p>
          <w:p w14:paraId="4EB195AA">
            <w:pPr>
              <w:spacing w:line="340" w:lineRule="atLeast"/>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银行账号：1705012090027723 (联行号 313611017053)</w:t>
            </w:r>
          </w:p>
          <w:p w14:paraId="776101CC">
            <w:pPr>
              <w:rPr>
                <w:rFonts w:hint="eastAsia"/>
                <w:color w:val="auto"/>
                <w:szCs w:val="21"/>
                <w:highlight w:val="none"/>
              </w:rPr>
            </w:pPr>
            <w:r>
              <w:rPr>
                <w:rFonts w:hint="eastAsia" w:ascii="宋体" w:hAnsi="宋体" w:eastAsia="宋体" w:cs="宋体"/>
                <w:color w:val="auto"/>
                <w:kern w:val="0"/>
                <w:szCs w:val="21"/>
                <w:highlight w:val="none"/>
              </w:rPr>
              <w:t>财务联系人：吴茜（电话：0771-2821398）</w:t>
            </w:r>
          </w:p>
        </w:tc>
      </w:tr>
      <w:tr w14:paraId="6051EA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354" w:type="dxa"/>
            <w:tcBorders>
              <w:top w:val="single" w:color="auto" w:sz="4" w:space="0"/>
              <w:left w:val="single" w:color="auto" w:sz="4" w:space="0"/>
              <w:bottom w:val="single" w:color="auto" w:sz="4" w:space="0"/>
              <w:right w:val="single" w:color="auto" w:sz="4" w:space="0"/>
            </w:tcBorders>
            <w:noWrap w:val="0"/>
            <w:vAlign w:val="center"/>
          </w:tcPr>
          <w:p w14:paraId="7F40B891">
            <w:pPr>
              <w:spacing w:line="300" w:lineRule="exact"/>
              <w:jc w:val="center"/>
              <w:rPr>
                <w:color w:val="auto"/>
                <w:szCs w:val="21"/>
                <w:highlight w:val="none"/>
              </w:rPr>
            </w:pPr>
            <w:r>
              <w:rPr>
                <w:b/>
                <w:color w:val="auto"/>
                <w:szCs w:val="21"/>
                <w:highlight w:val="none"/>
              </w:rPr>
              <w:t>9.3</w:t>
            </w:r>
          </w:p>
        </w:tc>
        <w:tc>
          <w:tcPr>
            <w:tcW w:w="1204" w:type="dxa"/>
            <w:tcBorders>
              <w:top w:val="single" w:color="auto" w:sz="4" w:space="0"/>
              <w:left w:val="single" w:color="auto" w:sz="4" w:space="0"/>
              <w:bottom w:val="single" w:color="auto" w:sz="4" w:space="0"/>
              <w:right w:val="single" w:color="auto" w:sz="4" w:space="0"/>
            </w:tcBorders>
            <w:noWrap w:val="0"/>
            <w:vAlign w:val="center"/>
          </w:tcPr>
          <w:p w14:paraId="2390403A">
            <w:pPr>
              <w:spacing w:line="300" w:lineRule="exact"/>
              <w:jc w:val="center"/>
              <w:rPr>
                <w:color w:val="auto"/>
                <w:szCs w:val="21"/>
                <w:highlight w:val="none"/>
              </w:rPr>
            </w:pPr>
            <w:r>
              <w:rPr>
                <w:rFonts w:hint="eastAsia"/>
                <w:color w:val="auto"/>
                <w:szCs w:val="21"/>
                <w:highlight w:val="none"/>
              </w:rPr>
              <w:t>履约保证金</w:t>
            </w:r>
          </w:p>
        </w:tc>
        <w:tc>
          <w:tcPr>
            <w:tcW w:w="6905" w:type="dxa"/>
            <w:tcBorders>
              <w:top w:val="single" w:color="auto" w:sz="4" w:space="0"/>
              <w:left w:val="single" w:color="auto" w:sz="4" w:space="0"/>
              <w:bottom w:val="single" w:color="auto" w:sz="4" w:space="0"/>
              <w:right w:val="single" w:color="auto" w:sz="4" w:space="0"/>
            </w:tcBorders>
            <w:noWrap w:val="0"/>
            <w:vAlign w:val="center"/>
          </w:tcPr>
          <w:p w14:paraId="192EEC70">
            <w:pPr>
              <w:spacing w:line="340" w:lineRule="atLeast"/>
              <w:jc w:val="left"/>
              <w:rPr>
                <w:rFonts w:ascii="宋体" w:hAnsi="宋体" w:eastAsia="宋体" w:cs="宋体"/>
                <w:color w:val="auto"/>
                <w:szCs w:val="21"/>
                <w:highlight w:val="none"/>
              </w:rPr>
            </w:pPr>
            <w:r>
              <w:rPr>
                <w:rFonts w:hint="eastAsia" w:ascii="宋体" w:hAnsi="宋体" w:eastAsia="宋体" w:cs="宋体"/>
                <w:color w:val="auto"/>
                <w:szCs w:val="21"/>
                <w:highlight w:val="none"/>
              </w:rPr>
              <w:t>履约保证金的形式：供应商可以选择电汇、转账、支票、汇票、本票、保函等形式缴纳或提交；采用保函形式缴纳的，采购人在保证期限届满后及时对收取的保证金进行核实和结算。</w:t>
            </w:r>
          </w:p>
          <w:p w14:paraId="370CB78A">
            <w:pPr>
              <w:spacing w:line="340" w:lineRule="atLeast"/>
              <w:jc w:val="left"/>
              <w:rPr>
                <w:rFonts w:ascii="宋体" w:hAnsi="宋体" w:eastAsia="宋体" w:cs="宋体"/>
                <w:color w:val="auto"/>
                <w:szCs w:val="21"/>
                <w:highlight w:val="none"/>
              </w:rPr>
            </w:pPr>
            <w:r>
              <w:rPr>
                <w:rFonts w:hint="eastAsia" w:ascii="宋体" w:hAnsi="宋体" w:eastAsia="宋体" w:cs="宋体"/>
                <w:color w:val="auto"/>
                <w:szCs w:val="21"/>
                <w:highlight w:val="none"/>
              </w:rPr>
              <w:t>履约保证金的金额：合同总价的</w:t>
            </w:r>
            <w:r>
              <w:rPr>
                <w:rFonts w:hint="eastAsia" w:ascii="宋体" w:hAnsi="宋体" w:cs="宋体"/>
                <w:color w:val="auto"/>
                <w:szCs w:val="21"/>
                <w:highlight w:val="none"/>
                <w:lang w:val="en-US" w:eastAsia="zh-CN"/>
              </w:rPr>
              <w:t>5</w:t>
            </w:r>
            <w:r>
              <w:rPr>
                <w:rFonts w:hint="eastAsia" w:ascii="宋体" w:hAnsi="宋体" w:eastAsia="宋体" w:cs="宋体"/>
                <w:color w:val="auto"/>
                <w:szCs w:val="21"/>
                <w:highlight w:val="none"/>
              </w:rPr>
              <w:t>%</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中小微企业</w:t>
            </w:r>
            <w:r>
              <w:rPr>
                <w:rFonts w:hint="eastAsia" w:ascii="宋体" w:hAnsi="宋体" w:cs="宋体"/>
                <w:color w:val="auto"/>
                <w:szCs w:val="21"/>
                <w:highlight w:val="none"/>
                <w:lang w:val="en-US" w:eastAsia="zh-CN"/>
              </w:rPr>
              <w:t>按</w:t>
            </w:r>
            <w:r>
              <w:rPr>
                <w:rFonts w:hint="eastAsia" w:ascii="宋体" w:hAnsi="宋体" w:eastAsia="宋体" w:cs="宋体"/>
                <w:color w:val="auto"/>
                <w:szCs w:val="21"/>
                <w:highlight w:val="none"/>
              </w:rPr>
              <w:t>合同总价的</w:t>
            </w:r>
            <w:r>
              <w:rPr>
                <w:rFonts w:hint="eastAsia" w:ascii="宋体" w:hAnsi="宋体" w:cs="宋体"/>
                <w:color w:val="auto"/>
                <w:szCs w:val="21"/>
                <w:highlight w:val="none"/>
                <w:lang w:val="en-US" w:eastAsia="zh-CN"/>
              </w:rPr>
              <w:t>2</w:t>
            </w:r>
            <w:r>
              <w:rPr>
                <w:rFonts w:ascii="宋体" w:hAnsi="宋体" w:eastAsia="宋体" w:cs="宋体"/>
                <w:color w:val="auto"/>
                <w:szCs w:val="21"/>
                <w:highlight w:val="none"/>
              </w:rPr>
              <w:t>%</w:t>
            </w:r>
            <w:r>
              <w:rPr>
                <w:rFonts w:hint="eastAsia" w:ascii="宋体" w:hAnsi="宋体" w:cs="宋体"/>
                <w:color w:val="auto"/>
                <w:szCs w:val="21"/>
                <w:highlight w:val="none"/>
                <w:lang w:val="en-US" w:eastAsia="zh-CN"/>
              </w:rPr>
              <w:t>收取）</w:t>
            </w:r>
            <w:r>
              <w:rPr>
                <w:rFonts w:ascii="宋体" w:hAnsi="宋体" w:eastAsia="宋体" w:cs="宋体"/>
                <w:color w:val="auto"/>
                <w:szCs w:val="21"/>
                <w:highlight w:val="none"/>
              </w:rPr>
              <w:t>。</w:t>
            </w:r>
          </w:p>
          <w:p w14:paraId="6F530545">
            <w:pPr>
              <w:spacing w:line="340" w:lineRule="atLeast"/>
              <w:jc w:val="left"/>
              <w:rPr>
                <w:rFonts w:ascii="宋体" w:hAnsi="宋体" w:eastAsia="宋体" w:cs="宋体"/>
                <w:color w:val="auto"/>
                <w:szCs w:val="21"/>
                <w:highlight w:val="none"/>
              </w:rPr>
            </w:pPr>
            <w:r>
              <w:rPr>
                <w:rFonts w:hint="eastAsia" w:ascii="宋体" w:hAnsi="宋体" w:eastAsia="宋体" w:cs="宋体"/>
                <w:color w:val="auto"/>
                <w:szCs w:val="21"/>
                <w:highlight w:val="none"/>
              </w:rPr>
              <w:t>成交供应商在收到成交通知书后，须在7日内将履约保证金足额提交至采购人以下账户，否则采购人可以取消其成交资格。</w:t>
            </w:r>
          </w:p>
          <w:p w14:paraId="3989BE2A">
            <w:pPr>
              <w:spacing w:line="340" w:lineRule="atLeast"/>
              <w:jc w:val="left"/>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开户名称：广西职业师范学院                   </w:t>
            </w:r>
          </w:p>
          <w:p w14:paraId="1D931E08">
            <w:pPr>
              <w:spacing w:line="340" w:lineRule="atLeast"/>
              <w:jc w:val="left"/>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开户银行：工行南宁市西乡塘支行                   </w:t>
            </w:r>
          </w:p>
          <w:p w14:paraId="4E954CF5">
            <w:pPr>
              <w:spacing w:line="340" w:lineRule="atLeast"/>
              <w:jc w:val="left"/>
              <w:rPr>
                <w:rFonts w:ascii="宋体" w:hAnsi="宋体" w:eastAsia="宋体" w:cs="宋体"/>
                <w:color w:val="auto"/>
                <w:szCs w:val="21"/>
                <w:highlight w:val="none"/>
              </w:rPr>
            </w:pPr>
            <w:r>
              <w:rPr>
                <w:rFonts w:hint="eastAsia" w:ascii="宋体" w:hAnsi="宋体" w:eastAsia="宋体" w:cs="宋体"/>
                <w:color w:val="auto"/>
                <w:szCs w:val="21"/>
                <w:highlight w:val="none"/>
              </w:rPr>
              <w:t>银行账号：2102111309264000331</w:t>
            </w:r>
          </w:p>
          <w:p w14:paraId="51C1F674">
            <w:pPr>
              <w:spacing w:line="340" w:lineRule="atLeast"/>
              <w:jc w:val="left"/>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纳税人识别号：124500004985047071 </w:t>
            </w:r>
          </w:p>
          <w:p w14:paraId="0CB197F9">
            <w:pPr>
              <w:spacing w:line="300" w:lineRule="exact"/>
              <w:jc w:val="left"/>
              <w:rPr>
                <w:color w:val="auto"/>
                <w:szCs w:val="21"/>
                <w:highlight w:val="none"/>
              </w:rPr>
            </w:pPr>
            <w:r>
              <w:rPr>
                <w:rFonts w:hint="eastAsia" w:ascii="宋体" w:hAnsi="宋体" w:eastAsia="宋体" w:cs="宋体"/>
                <w:color w:val="auto"/>
                <w:szCs w:val="21"/>
                <w:highlight w:val="none"/>
              </w:rPr>
              <w:t>履约保证金退还方式及时间、条件、不予退还的情形：详见专用合同条款。</w:t>
            </w:r>
          </w:p>
        </w:tc>
      </w:tr>
      <w:tr w14:paraId="706229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354" w:type="dxa"/>
            <w:tcBorders>
              <w:top w:val="single" w:color="auto" w:sz="4" w:space="0"/>
              <w:left w:val="single" w:color="auto" w:sz="4" w:space="0"/>
              <w:bottom w:val="single" w:color="auto" w:sz="4" w:space="0"/>
              <w:right w:val="single" w:color="auto" w:sz="4" w:space="0"/>
            </w:tcBorders>
            <w:noWrap w:val="0"/>
            <w:vAlign w:val="center"/>
          </w:tcPr>
          <w:p w14:paraId="760B4517">
            <w:pPr>
              <w:spacing w:line="300" w:lineRule="exact"/>
              <w:jc w:val="center"/>
              <w:rPr>
                <w:color w:val="auto"/>
                <w:szCs w:val="21"/>
                <w:highlight w:val="none"/>
              </w:rPr>
            </w:pPr>
            <w:r>
              <w:rPr>
                <w:b/>
                <w:color w:val="auto"/>
                <w:szCs w:val="21"/>
                <w:highlight w:val="none"/>
              </w:rPr>
              <w:t>9.3</w:t>
            </w:r>
          </w:p>
        </w:tc>
        <w:tc>
          <w:tcPr>
            <w:tcW w:w="1204" w:type="dxa"/>
            <w:tcBorders>
              <w:top w:val="single" w:color="auto" w:sz="4" w:space="0"/>
              <w:left w:val="single" w:color="auto" w:sz="4" w:space="0"/>
              <w:bottom w:val="single" w:color="auto" w:sz="4" w:space="0"/>
              <w:right w:val="single" w:color="auto" w:sz="4" w:space="0"/>
            </w:tcBorders>
            <w:noWrap w:val="0"/>
            <w:vAlign w:val="center"/>
          </w:tcPr>
          <w:p w14:paraId="21C3480A">
            <w:pPr>
              <w:jc w:val="center"/>
              <w:rPr>
                <w:color w:val="auto"/>
                <w:szCs w:val="21"/>
                <w:highlight w:val="none"/>
              </w:rPr>
            </w:pPr>
            <w:r>
              <w:rPr>
                <w:color w:val="auto"/>
                <w:szCs w:val="21"/>
                <w:highlight w:val="none"/>
              </w:rPr>
              <w:t>农民工工资保障金</w:t>
            </w:r>
          </w:p>
        </w:tc>
        <w:tc>
          <w:tcPr>
            <w:tcW w:w="6905" w:type="dxa"/>
            <w:tcBorders>
              <w:top w:val="single" w:color="auto" w:sz="4" w:space="0"/>
              <w:left w:val="single" w:color="auto" w:sz="4" w:space="0"/>
              <w:bottom w:val="single" w:color="auto" w:sz="4" w:space="0"/>
              <w:right w:val="single" w:color="auto" w:sz="4" w:space="0"/>
            </w:tcBorders>
            <w:noWrap w:val="0"/>
            <w:vAlign w:val="center"/>
          </w:tcPr>
          <w:p w14:paraId="3A654ED7">
            <w:pPr>
              <w:spacing w:line="340" w:lineRule="atLeast"/>
              <w:jc w:val="left"/>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highlight w:val="none"/>
              </w:rPr>
              <w:t>按广西壮族自治区人力资源和社会保障厅等8部门《关于印发广西壮族自治区工程建设领域农民工工资专用账户管理暂行办法实施细则的通知》（桂人社规[2022]5号）执行，承包人在合同签订之日起30日内，自主选择在自治区行政区域内依法设立或设有分支机构的银行开立专用账户。办理得施工许可证后，按照《关于印发广西壮族自治区工程建设领域农民工工资保证金规定实施办法的通知》桂人社规[2021]16号）缴存保证金，也可以使用银行保函。工程竣工验收结算经审定后，按照规定程序，将农民工工资保证金没有使用或剩余的金额退还给承包人。</w:t>
            </w:r>
          </w:p>
        </w:tc>
      </w:tr>
      <w:tr w14:paraId="554FE29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354" w:type="dxa"/>
            <w:tcBorders>
              <w:top w:val="single" w:color="auto" w:sz="4" w:space="0"/>
              <w:left w:val="single" w:color="auto" w:sz="4" w:space="0"/>
              <w:bottom w:val="single" w:color="auto" w:sz="4" w:space="0"/>
              <w:right w:val="single" w:color="auto" w:sz="4" w:space="0"/>
            </w:tcBorders>
            <w:noWrap w:val="0"/>
            <w:vAlign w:val="center"/>
          </w:tcPr>
          <w:p w14:paraId="35A117F4">
            <w:pPr>
              <w:spacing w:line="300" w:lineRule="exact"/>
              <w:jc w:val="center"/>
              <w:rPr>
                <w:b/>
                <w:color w:val="auto"/>
                <w:szCs w:val="21"/>
                <w:highlight w:val="none"/>
              </w:rPr>
            </w:pPr>
            <w:r>
              <w:rPr>
                <w:b/>
                <w:color w:val="auto"/>
                <w:szCs w:val="21"/>
                <w:highlight w:val="none"/>
              </w:rPr>
              <w:t>9.3</w:t>
            </w:r>
          </w:p>
        </w:tc>
        <w:tc>
          <w:tcPr>
            <w:tcW w:w="1204" w:type="dxa"/>
            <w:tcBorders>
              <w:top w:val="single" w:color="auto" w:sz="4" w:space="0"/>
              <w:left w:val="single" w:color="auto" w:sz="4" w:space="0"/>
              <w:bottom w:val="single" w:color="auto" w:sz="4" w:space="0"/>
              <w:right w:val="single" w:color="auto" w:sz="4" w:space="0"/>
            </w:tcBorders>
            <w:noWrap w:val="0"/>
            <w:vAlign w:val="center"/>
          </w:tcPr>
          <w:p w14:paraId="7EA5BDFD">
            <w:pPr>
              <w:jc w:val="center"/>
              <w:rPr>
                <w:color w:val="auto"/>
                <w:szCs w:val="21"/>
                <w:highlight w:val="none"/>
              </w:rPr>
            </w:pPr>
            <w:r>
              <w:rPr>
                <w:rFonts w:hint="eastAsia"/>
                <w:color w:val="auto"/>
                <w:szCs w:val="20"/>
                <w:highlight w:val="none"/>
              </w:rPr>
              <w:t>其他事项</w:t>
            </w:r>
          </w:p>
        </w:tc>
        <w:tc>
          <w:tcPr>
            <w:tcW w:w="6905" w:type="dxa"/>
            <w:tcBorders>
              <w:top w:val="single" w:color="auto" w:sz="4" w:space="0"/>
              <w:left w:val="single" w:color="auto" w:sz="4" w:space="0"/>
              <w:bottom w:val="single" w:color="auto" w:sz="4" w:space="0"/>
              <w:right w:val="single" w:color="auto" w:sz="4" w:space="0"/>
            </w:tcBorders>
            <w:noWrap w:val="0"/>
            <w:vAlign w:val="center"/>
          </w:tcPr>
          <w:p w14:paraId="6FF74552">
            <w:pPr>
              <w:spacing w:line="300" w:lineRule="exact"/>
              <w:jc w:val="left"/>
              <w:rPr>
                <w:rFonts w:hint="eastAsia"/>
                <w:color w:val="auto"/>
                <w:szCs w:val="21"/>
                <w:highlight w:val="none"/>
              </w:rPr>
            </w:pPr>
            <w:r>
              <w:rPr>
                <w:rFonts w:hint="eastAsia"/>
                <w:color w:val="auto"/>
                <w:szCs w:val="21"/>
                <w:highlight w:val="none"/>
              </w:rPr>
              <w:t>构成本采购文件的各个组成文件应互为解释，互为说明：</w:t>
            </w:r>
          </w:p>
          <w:p w14:paraId="4AF9628E">
            <w:pPr>
              <w:spacing w:line="300" w:lineRule="exact"/>
              <w:jc w:val="left"/>
              <w:rPr>
                <w:rFonts w:hint="eastAsia"/>
                <w:color w:val="auto"/>
                <w:szCs w:val="21"/>
                <w:highlight w:val="none"/>
              </w:rPr>
            </w:pPr>
            <w:r>
              <w:rPr>
                <w:rFonts w:hint="eastAsia"/>
                <w:color w:val="auto"/>
                <w:szCs w:val="21"/>
                <w:highlight w:val="none"/>
              </w:rPr>
              <w:t>除采购文件中有特别规定外，仅适用于</w:t>
            </w:r>
            <w:r>
              <w:rPr>
                <w:rFonts w:hint="eastAsia"/>
                <w:color w:val="auto"/>
                <w:szCs w:val="21"/>
                <w:highlight w:val="none"/>
                <w:lang w:val="en-US" w:eastAsia="zh-CN"/>
              </w:rPr>
              <w:t>磋商响应</w:t>
            </w:r>
            <w:r>
              <w:rPr>
                <w:rFonts w:hint="eastAsia"/>
                <w:color w:val="auto"/>
                <w:szCs w:val="21"/>
                <w:highlight w:val="none"/>
              </w:rPr>
              <w:t>阶段的规定，按更正公告（澄清公告）、磋商公告、采购需求、供应商须知、评审方法及标准、合同条款格式、响应文件格式的先后顺序解释；同一组成文件中就同一事项的规定或者约定不一致的，以编排顺序在后者为准；同一组成文件不同版本之间有不一致的，以形成时间在后者为准；更正公告（澄清公告）与同步更新的采购文件不一致时以更正公告（澄清公告）为准。按本款前述规定仍不能形成结论的，由采购人或者采购代理机构负责解释。</w:t>
            </w:r>
          </w:p>
        </w:tc>
      </w:tr>
    </w:tbl>
    <w:p w14:paraId="50529EA8">
      <w:pPr>
        <w:tabs>
          <w:tab w:val="left" w:pos="611"/>
        </w:tabs>
        <w:rPr>
          <w:color w:val="auto"/>
          <w:szCs w:val="21"/>
          <w:highlight w:val="none"/>
        </w:rPr>
      </w:pPr>
    </w:p>
    <w:p w14:paraId="25776C34">
      <w:pPr>
        <w:spacing w:before="120" w:line="320" w:lineRule="atLeast"/>
        <w:outlineLvl w:val="1"/>
        <w:rPr>
          <w:b/>
          <w:bCs/>
          <w:color w:val="auto"/>
          <w:kern w:val="0"/>
          <w:szCs w:val="21"/>
          <w:highlight w:val="none"/>
        </w:rPr>
      </w:pPr>
      <w:r>
        <w:rPr>
          <w:color w:val="auto"/>
          <w:szCs w:val="21"/>
          <w:highlight w:val="none"/>
        </w:rPr>
        <w:br w:type="page"/>
      </w:r>
      <w:bookmarkStart w:id="27" w:name="_Hlk89188603"/>
      <w:r>
        <w:rPr>
          <w:b/>
          <w:bCs/>
          <w:color w:val="auto"/>
          <w:kern w:val="0"/>
          <w:szCs w:val="21"/>
          <w:highlight w:val="none"/>
        </w:rPr>
        <w:t>1．总则</w:t>
      </w:r>
    </w:p>
    <w:p w14:paraId="4FD2D58D">
      <w:pPr>
        <w:spacing w:before="120" w:line="320" w:lineRule="atLeast"/>
        <w:ind w:firstLine="422" w:firstLineChars="200"/>
        <w:outlineLvl w:val="2"/>
        <w:rPr>
          <w:b/>
          <w:bCs/>
          <w:color w:val="auto"/>
          <w:kern w:val="0"/>
          <w:szCs w:val="21"/>
          <w:highlight w:val="none"/>
        </w:rPr>
      </w:pPr>
      <w:bookmarkStart w:id="28" w:name="_Toc254970527"/>
      <w:bookmarkStart w:id="29" w:name="_Toc254970668"/>
      <w:r>
        <w:rPr>
          <w:b/>
          <w:bCs/>
          <w:color w:val="auto"/>
          <w:kern w:val="0"/>
          <w:szCs w:val="21"/>
          <w:highlight w:val="none"/>
        </w:rPr>
        <w:t>1.1适用范围</w:t>
      </w:r>
      <w:bookmarkEnd w:id="28"/>
      <w:bookmarkEnd w:id="29"/>
    </w:p>
    <w:p w14:paraId="471F5656">
      <w:pPr>
        <w:spacing w:before="120" w:line="320" w:lineRule="atLeast"/>
        <w:ind w:firstLine="420" w:firstLineChars="200"/>
        <w:rPr>
          <w:color w:val="auto"/>
          <w:szCs w:val="21"/>
          <w:highlight w:val="none"/>
        </w:rPr>
      </w:pPr>
      <w:r>
        <w:rPr>
          <w:color w:val="auto"/>
          <w:szCs w:val="21"/>
          <w:highlight w:val="none"/>
        </w:rPr>
        <w:t>本采购文件适用于供应商须知前附表所述项目的</w:t>
      </w:r>
      <w:r>
        <w:rPr>
          <w:rFonts w:hint="eastAsia"/>
          <w:color w:val="auto"/>
          <w:szCs w:val="21"/>
          <w:highlight w:val="none"/>
        </w:rPr>
        <w:t>政府采购活动。</w:t>
      </w:r>
    </w:p>
    <w:p w14:paraId="48010C65">
      <w:pPr>
        <w:spacing w:before="120" w:line="320" w:lineRule="atLeast"/>
        <w:ind w:firstLine="422" w:firstLineChars="200"/>
        <w:outlineLvl w:val="2"/>
        <w:rPr>
          <w:b/>
          <w:bCs/>
          <w:color w:val="auto"/>
          <w:kern w:val="0"/>
          <w:szCs w:val="21"/>
          <w:highlight w:val="none"/>
        </w:rPr>
      </w:pPr>
      <w:bookmarkStart w:id="30" w:name="_Toc254970528"/>
      <w:bookmarkStart w:id="31" w:name="_Toc254970669"/>
      <w:r>
        <w:rPr>
          <w:b/>
          <w:bCs/>
          <w:color w:val="auto"/>
          <w:kern w:val="0"/>
          <w:szCs w:val="21"/>
          <w:highlight w:val="none"/>
        </w:rPr>
        <w:t>1.2定义</w:t>
      </w:r>
      <w:bookmarkEnd w:id="30"/>
      <w:bookmarkEnd w:id="31"/>
    </w:p>
    <w:p w14:paraId="33BCC4A7">
      <w:pPr>
        <w:spacing w:before="120" w:line="320" w:lineRule="atLeast"/>
        <w:ind w:firstLine="420" w:firstLineChars="200"/>
        <w:rPr>
          <w:color w:val="auto"/>
          <w:szCs w:val="21"/>
          <w:highlight w:val="none"/>
        </w:rPr>
      </w:pPr>
      <w:r>
        <w:rPr>
          <w:color w:val="auto"/>
          <w:szCs w:val="21"/>
          <w:highlight w:val="none"/>
        </w:rPr>
        <w:t>1.2.1“采购人”系指依法进行政府采购的国家机关、事业单位、团体组织。</w:t>
      </w:r>
    </w:p>
    <w:p w14:paraId="53E544CC">
      <w:pPr>
        <w:spacing w:before="120" w:line="320" w:lineRule="atLeast"/>
        <w:ind w:firstLine="420" w:firstLineChars="200"/>
        <w:rPr>
          <w:color w:val="auto"/>
          <w:szCs w:val="21"/>
          <w:highlight w:val="none"/>
        </w:rPr>
      </w:pPr>
      <w:r>
        <w:rPr>
          <w:color w:val="auto"/>
          <w:szCs w:val="21"/>
          <w:highlight w:val="none"/>
        </w:rPr>
        <w:t>1.2.2“供应商”系</w:t>
      </w:r>
      <w:r>
        <w:rPr>
          <w:color w:val="auto"/>
          <w:highlight w:val="none"/>
        </w:rPr>
        <w:t>指响应招标、参加</w:t>
      </w:r>
      <w:r>
        <w:rPr>
          <w:rFonts w:hint="eastAsia"/>
          <w:color w:val="auto"/>
          <w:highlight w:val="none"/>
        </w:rPr>
        <w:t>响应</w:t>
      </w:r>
      <w:r>
        <w:rPr>
          <w:color w:val="auto"/>
          <w:highlight w:val="none"/>
        </w:rPr>
        <w:t>竞争的法人、其他组织或者自然人</w:t>
      </w:r>
      <w:r>
        <w:rPr>
          <w:color w:val="auto"/>
          <w:szCs w:val="21"/>
          <w:highlight w:val="none"/>
        </w:rPr>
        <w:t>。</w:t>
      </w:r>
    </w:p>
    <w:p w14:paraId="1E4881D7">
      <w:pPr>
        <w:spacing w:before="120" w:line="360" w:lineRule="auto"/>
        <w:ind w:firstLine="420" w:firstLineChars="200"/>
        <w:rPr>
          <w:rFonts w:hint="eastAsia"/>
          <w:color w:val="auto"/>
          <w:highlight w:val="none"/>
        </w:rPr>
      </w:pPr>
      <w:r>
        <w:rPr>
          <w:rFonts w:hint="eastAsia"/>
          <w:color w:val="auto"/>
          <w:highlight w:val="none"/>
        </w:rPr>
        <w:t>1.2.3</w:t>
      </w:r>
      <w:r>
        <w:rPr>
          <w:color w:val="auto"/>
          <w:highlight w:val="none"/>
        </w:rPr>
        <w:t>本</w:t>
      </w:r>
      <w:r>
        <w:rPr>
          <w:rFonts w:hint="eastAsia"/>
          <w:color w:val="auto"/>
          <w:highlight w:val="none"/>
        </w:rPr>
        <w:t>文件</w:t>
      </w:r>
      <w:r>
        <w:rPr>
          <w:color w:val="auto"/>
          <w:highlight w:val="none"/>
        </w:rPr>
        <w:t>中的</w:t>
      </w:r>
      <w:r>
        <w:rPr>
          <w:rFonts w:hint="eastAsia"/>
          <w:color w:val="auto"/>
          <w:highlight w:val="none"/>
        </w:rPr>
        <w:t>“法定代表人”若无特别说明，当</w:t>
      </w:r>
      <w:r>
        <w:rPr>
          <w:color w:val="auto"/>
          <w:highlight w:val="none"/>
        </w:rPr>
        <w:t>供应商是</w:t>
      </w:r>
      <w:r>
        <w:rPr>
          <w:rFonts w:hint="eastAsia"/>
          <w:color w:val="auto"/>
          <w:highlight w:val="none"/>
        </w:rPr>
        <w:t>企业的，是指企业法人营业执照上的法定代表人；当</w:t>
      </w:r>
      <w:r>
        <w:rPr>
          <w:color w:val="auto"/>
          <w:highlight w:val="none"/>
        </w:rPr>
        <w:t>供应商是</w:t>
      </w:r>
      <w:r>
        <w:rPr>
          <w:rFonts w:hint="eastAsia"/>
          <w:color w:val="auto"/>
          <w:highlight w:val="none"/>
        </w:rPr>
        <w:t>事业单位的，是指事业单位法人证书上的法定代表人；当</w:t>
      </w:r>
      <w:r>
        <w:rPr>
          <w:color w:val="auto"/>
          <w:highlight w:val="none"/>
        </w:rPr>
        <w:t>供应商是</w:t>
      </w:r>
      <w:r>
        <w:rPr>
          <w:rFonts w:hint="eastAsia"/>
          <w:color w:val="auto"/>
          <w:highlight w:val="none"/>
        </w:rPr>
        <w:t>社会团体、民办非企业的，是指法人登记证书中的法定代表人；当</w:t>
      </w:r>
      <w:r>
        <w:rPr>
          <w:color w:val="auto"/>
          <w:highlight w:val="none"/>
        </w:rPr>
        <w:t>供应商是</w:t>
      </w:r>
      <w:r>
        <w:rPr>
          <w:rFonts w:hint="eastAsia"/>
          <w:color w:val="auto"/>
          <w:highlight w:val="none"/>
        </w:rPr>
        <w:t>个体工商户的，是指个体工商户营业执照上的经营者；</w:t>
      </w:r>
      <w:r>
        <w:rPr>
          <w:color w:val="auto"/>
          <w:highlight w:val="none"/>
        </w:rPr>
        <w:t>当供应商是自然人</w:t>
      </w:r>
      <w:r>
        <w:rPr>
          <w:rFonts w:hint="eastAsia"/>
          <w:color w:val="auto"/>
          <w:highlight w:val="none"/>
        </w:rPr>
        <w:t>的，是指参与本项目响应的自然人本人。</w:t>
      </w:r>
      <w:r>
        <w:rPr>
          <w:color w:val="auto"/>
          <w:highlight w:val="none"/>
        </w:rPr>
        <w:br w:type="textWrapping"/>
      </w:r>
      <w:r>
        <w:rPr>
          <w:color w:val="auto"/>
          <w:highlight w:val="none"/>
        </w:rPr>
        <w:t xml:space="preserve">    </w:t>
      </w:r>
      <w:r>
        <w:rPr>
          <w:rFonts w:hint="eastAsia"/>
          <w:color w:val="auto"/>
          <w:highlight w:val="none"/>
        </w:rPr>
        <w:t>1.2.4本文件中的“公章”是指根据我国对公章的管理规定，用供应商法定主体行为名称制作的印章，除本文件有特殊规定外，供应商的财务章、部门章、分公司章、工会章、合同章、投标专用章、业务专用章及银行的转账章、现金收讫章、现金付讫章等其他形式印章均不能代替公章。本文件中的“签章”是指电子签名的一种表现形式，利用图像处理技术将电子签名操作转化为与纸质文件盖章操作相同的可视效果，同时利用电子签名技术保障电子信息的真实性和完整性以及签名人的不可否认性。</w:t>
      </w:r>
    </w:p>
    <w:p w14:paraId="00515682">
      <w:pPr>
        <w:widowControl/>
        <w:spacing w:line="360" w:lineRule="auto"/>
        <w:ind w:firstLine="420" w:firstLineChars="200"/>
        <w:jc w:val="left"/>
        <w:rPr>
          <w:color w:val="auto"/>
          <w:szCs w:val="21"/>
          <w:highlight w:val="none"/>
        </w:rPr>
      </w:pPr>
      <w:r>
        <w:rPr>
          <w:color w:val="auto"/>
          <w:szCs w:val="21"/>
          <w:highlight w:val="none"/>
        </w:rPr>
        <w:t>1.2.</w:t>
      </w:r>
      <w:r>
        <w:rPr>
          <w:rFonts w:hint="eastAsia"/>
          <w:color w:val="auto"/>
          <w:szCs w:val="21"/>
          <w:highlight w:val="none"/>
        </w:rPr>
        <w:t>5</w:t>
      </w:r>
      <w:r>
        <w:rPr>
          <w:color w:val="auto"/>
          <w:szCs w:val="21"/>
          <w:highlight w:val="none"/>
        </w:rPr>
        <w:t>“书面形式”如无特殊规定，</w:t>
      </w:r>
      <w:r>
        <w:rPr>
          <w:rFonts w:hint="eastAsia"/>
          <w:color w:val="auto"/>
          <w:szCs w:val="21"/>
          <w:highlight w:val="none"/>
        </w:rPr>
        <w:t>书面形式是合同书、信件、电报、电传等可以有形地表现所载内容的形式。以电子数据交换、电子邮件等方式能够有形地表现所载内容，并可以随时调取查用的数据电文，视为书面形式。</w:t>
      </w:r>
      <w:r>
        <w:rPr>
          <w:color w:val="auto"/>
          <w:szCs w:val="21"/>
          <w:highlight w:val="none"/>
        </w:rPr>
        <w:t xml:space="preserve">采购文件如有特殊规定，以采购文件规定为准。 </w:t>
      </w:r>
    </w:p>
    <w:p w14:paraId="31E352BB">
      <w:pPr>
        <w:spacing w:before="120" w:line="320" w:lineRule="atLeast"/>
        <w:ind w:firstLine="420" w:firstLineChars="200"/>
        <w:rPr>
          <w:color w:val="auto"/>
          <w:szCs w:val="21"/>
          <w:highlight w:val="none"/>
        </w:rPr>
      </w:pPr>
      <w:r>
        <w:rPr>
          <w:color w:val="auto"/>
          <w:szCs w:val="21"/>
          <w:highlight w:val="none"/>
        </w:rPr>
        <w:t>1.2.</w:t>
      </w:r>
      <w:r>
        <w:rPr>
          <w:rFonts w:hint="eastAsia"/>
          <w:color w:val="auto"/>
          <w:szCs w:val="21"/>
          <w:highlight w:val="none"/>
        </w:rPr>
        <w:t>6本项目的技术商务要求重要性分为“▲”（如有）、“#”（如有）和一般无标识指标。▲代表实质性要求指标，</w:t>
      </w:r>
      <w:r>
        <w:rPr>
          <w:rFonts w:hint="eastAsia"/>
          <w:b/>
          <w:bCs/>
          <w:color w:val="auto"/>
          <w:szCs w:val="21"/>
          <w:highlight w:val="none"/>
        </w:rPr>
        <w:t>不满足该指标项将导致响应被否决</w:t>
      </w:r>
      <w:r>
        <w:rPr>
          <w:rFonts w:hint="eastAsia"/>
          <w:color w:val="auto"/>
          <w:szCs w:val="21"/>
          <w:highlight w:val="none"/>
        </w:rPr>
        <w:t>，#代表重要指标，无标识则表示一般指标项。</w:t>
      </w:r>
    </w:p>
    <w:p w14:paraId="1E7F204F">
      <w:pPr>
        <w:spacing w:before="120" w:line="320" w:lineRule="atLeast"/>
        <w:ind w:firstLine="420" w:firstLineChars="200"/>
        <w:rPr>
          <w:color w:val="auto"/>
          <w:szCs w:val="21"/>
          <w:highlight w:val="none"/>
        </w:rPr>
      </w:pPr>
      <w:r>
        <w:rPr>
          <w:color w:val="auto"/>
          <w:szCs w:val="21"/>
          <w:highlight w:val="none"/>
        </w:rPr>
        <w:t>1.2.</w:t>
      </w:r>
      <w:r>
        <w:rPr>
          <w:rFonts w:hint="eastAsia"/>
          <w:color w:val="auto"/>
          <w:szCs w:val="21"/>
          <w:highlight w:val="none"/>
        </w:rPr>
        <w:t>7 本</w:t>
      </w:r>
      <w:r>
        <w:rPr>
          <w:color w:val="auto"/>
          <w:szCs w:val="21"/>
          <w:highlight w:val="none"/>
        </w:rPr>
        <w:t>采购文件</w:t>
      </w:r>
      <w:r>
        <w:rPr>
          <w:rFonts w:hint="eastAsia"/>
          <w:color w:val="auto"/>
          <w:szCs w:val="21"/>
          <w:highlight w:val="none"/>
        </w:rPr>
        <w:t>出现多种选项的条款，以“</w:t>
      </w:r>
      <w:r>
        <w:rPr>
          <w:color w:val="auto"/>
          <w:highlight w:val="none"/>
        </w:rPr>
        <w:sym w:font="Wingdings 2" w:char="F052"/>
      </w:r>
      <w:r>
        <w:rPr>
          <w:rFonts w:hint="eastAsia"/>
          <w:color w:val="auto"/>
          <w:szCs w:val="21"/>
          <w:highlight w:val="none"/>
        </w:rPr>
        <w:t>”表示本条款所选择的方式。</w:t>
      </w:r>
    </w:p>
    <w:p w14:paraId="6CFE98B4">
      <w:pPr>
        <w:spacing w:before="120" w:line="320" w:lineRule="atLeast"/>
        <w:ind w:firstLine="420" w:firstLineChars="200"/>
        <w:rPr>
          <w:color w:val="auto"/>
          <w:szCs w:val="21"/>
          <w:highlight w:val="none"/>
        </w:rPr>
      </w:pPr>
      <w:r>
        <w:rPr>
          <w:rFonts w:hint="eastAsia"/>
          <w:color w:val="auto"/>
          <w:szCs w:val="21"/>
          <w:highlight w:val="none"/>
        </w:rPr>
        <w:t>1.</w:t>
      </w:r>
      <w:r>
        <w:rPr>
          <w:color w:val="auto"/>
          <w:szCs w:val="21"/>
          <w:highlight w:val="none"/>
        </w:rPr>
        <w:t>2</w:t>
      </w:r>
      <w:r>
        <w:rPr>
          <w:rFonts w:hint="eastAsia"/>
          <w:color w:val="auto"/>
          <w:szCs w:val="21"/>
          <w:highlight w:val="none"/>
        </w:rPr>
        <w:t>.</w:t>
      </w:r>
      <w:r>
        <w:rPr>
          <w:color w:val="auto"/>
          <w:szCs w:val="21"/>
          <w:highlight w:val="none"/>
        </w:rPr>
        <w:t>8 “</w:t>
      </w:r>
      <w:r>
        <w:rPr>
          <w:rFonts w:hint="eastAsia"/>
          <w:color w:val="auto"/>
          <w:szCs w:val="21"/>
          <w:highlight w:val="none"/>
        </w:rPr>
        <w:t>电子交易平台</w:t>
      </w:r>
      <w:r>
        <w:rPr>
          <w:color w:val="auto"/>
          <w:szCs w:val="21"/>
          <w:highlight w:val="none"/>
        </w:rPr>
        <w:t>”</w:t>
      </w:r>
      <w:r>
        <w:rPr>
          <w:rFonts w:hint="eastAsia"/>
          <w:color w:val="auto"/>
          <w:szCs w:val="21"/>
          <w:highlight w:val="none"/>
        </w:rPr>
        <w:t>是指以数据电文形式在线完成采购活动的信息平台，本采购文件中也称</w:t>
      </w:r>
      <w:r>
        <w:rPr>
          <w:color w:val="auto"/>
          <w:szCs w:val="21"/>
          <w:highlight w:val="none"/>
        </w:rPr>
        <w:t>“</w:t>
      </w:r>
      <w:r>
        <w:rPr>
          <w:rFonts w:hint="eastAsia"/>
          <w:color w:val="auto"/>
          <w:szCs w:val="21"/>
          <w:highlight w:val="none"/>
        </w:rPr>
        <w:t>广西政府采购云平台</w:t>
      </w:r>
      <w:r>
        <w:rPr>
          <w:color w:val="auto"/>
          <w:szCs w:val="21"/>
          <w:highlight w:val="none"/>
        </w:rPr>
        <w:t>”</w:t>
      </w:r>
      <w:r>
        <w:rPr>
          <w:rFonts w:hint="eastAsia"/>
          <w:color w:val="auto"/>
          <w:szCs w:val="21"/>
          <w:highlight w:val="none"/>
        </w:rPr>
        <w:t>。</w:t>
      </w:r>
    </w:p>
    <w:p w14:paraId="5734E56D">
      <w:pPr>
        <w:spacing w:before="120" w:line="320" w:lineRule="atLeast"/>
        <w:ind w:firstLine="422" w:firstLineChars="200"/>
        <w:outlineLvl w:val="2"/>
        <w:rPr>
          <w:b/>
          <w:bCs/>
          <w:color w:val="auto"/>
          <w:kern w:val="0"/>
          <w:szCs w:val="21"/>
          <w:highlight w:val="none"/>
        </w:rPr>
      </w:pPr>
      <w:r>
        <w:rPr>
          <w:rFonts w:hint="eastAsia"/>
          <w:b/>
          <w:bCs/>
          <w:color w:val="auto"/>
          <w:kern w:val="0"/>
          <w:szCs w:val="21"/>
          <w:highlight w:val="none"/>
        </w:rPr>
        <w:t>1</w:t>
      </w:r>
      <w:r>
        <w:rPr>
          <w:b/>
          <w:bCs/>
          <w:color w:val="auto"/>
          <w:kern w:val="0"/>
          <w:szCs w:val="21"/>
          <w:highlight w:val="none"/>
        </w:rPr>
        <w:t>.3</w:t>
      </w:r>
      <w:r>
        <w:rPr>
          <w:rFonts w:hint="eastAsia"/>
          <w:b/>
          <w:bCs/>
          <w:color w:val="auto"/>
          <w:kern w:val="0"/>
          <w:szCs w:val="21"/>
          <w:highlight w:val="none"/>
        </w:rPr>
        <w:t>项目信息</w:t>
      </w:r>
    </w:p>
    <w:p w14:paraId="4C512224">
      <w:pPr>
        <w:spacing w:before="120" w:line="320" w:lineRule="atLeast"/>
        <w:ind w:firstLine="420" w:firstLineChars="200"/>
        <w:rPr>
          <w:color w:val="auto"/>
          <w:szCs w:val="21"/>
          <w:highlight w:val="none"/>
        </w:rPr>
      </w:pPr>
      <w:r>
        <w:rPr>
          <w:rFonts w:hint="eastAsia"/>
          <w:color w:val="auto"/>
          <w:szCs w:val="21"/>
          <w:highlight w:val="none"/>
        </w:rPr>
        <w:t>1</w:t>
      </w:r>
      <w:r>
        <w:rPr>
          <w:color w:val="auto"/>
          <w:szCs w:val="21"/>
          <w:highlight w:val="none"/>
        </w:rPr>
        <w:t>.3.1</w:t>
      </w:r>
      <w:r>
        <w:rPr>
          <w:rFonts w:hint="eastAsia"/>
          <w:color w:val="auto"/>
          <w:szCs w:val="21"/>
          <w:highlight w:val="none"/>
        </w:rPr>
        <w:t>项目名称及编号：详见</w:t>
      </w:r>
      <w:bookmarkStart w:id="32" w:name="_Hlk89176704"/>
      <w:r>
        <w:rPr>
          <w:rFonts w:hint="eastAsia"/>
          <w:color w:val="auto"/>
          <w:szCs w:val="21"/>
          <w:highlight w:val="none"/>
        </w:rPr>
        <w:t>供应商须知前附表</w:t>
      </w:r>
      <w:bookmarkEnd w:id="32"/>
    </w:p>
    <w:p w14:paraId="7426ECE9">
      <w:pPr>
        <w:spacing w:before="120" w:line="320" w:lineRule="atLeast"/>
        <w:ind w:firstLine="420" w:firstLineChars="200"/>
        <w:rPr>
          <w:color w:val="auto"/>
          <w:szCs w:val="21"/>
          <w:highlight w:val="none"/>
        </w:rPr>
      </w:pPr>
      <w:r>
        <w:rPr>
          <w:rFonts w:hint="eastAsia"/>
          <w:color w:val="auto"/>
          <w:szCs w:val="21"/>
          <w:highlight w:val="none"/>
        </w:rPr>
        <w:t>1</w:t>
      </w:r>
      <w:r>
        <w:rPr>
          <w:color w:val="auto"/>
          <w:szCs w:val="21"/>
          <w:highlight w:val="none"/>
        </w:rPr>
        <w:t>.3.2</w:t>
      </w:r>
      <w:r>
        <w:rPr>
          <w:rFonts w:hint="eastAsia"/>
          <w:color w:val="auto"/>
          <w:szCs w:val="21"/>
          <w:highlight w:val="none"/>
        </w:rPr>
        <w:t>采购方式：详见供应商须知前附表</w:t>
      </w:r>
    </w:p>
    <w:p w14:paraId="10719590">
      <w:pPr>
        <w:spacing w:before="120" w:line="320" w:lineRule="atLeast"/>
        <w:ind w:firstLine="422" w:firstLineChars="200"/>
        <w:outlineLvl w:val="2"/>
        <w:rPr>
          <w:b/>
          <w:bCs/>
          <w:color w:val="auto"/>
          <w:kern w:val="0"/>
          <w:szCs w:val="21"/>
          <w:highlight w:val="none"/>
        </w:rPr>
      </w:pPr>
      <w:bookmarkStart w:id="33" w:name="_Hlk132812137"/>
      <w:r>
        <w:rPr>
          <w:rFonts w:hint="eastAsia"/>
          <w:b/>
          <w:bCs/>
          <w:color w:val="auto"/>
          <w:kern w:val="0"/>
          <w:szCs w:val="21"/>
          <w:highlight w:val="none"/>
        </w:rPr>
        <w:t>1</w:t>
      </w:r>
      <w:r>
        <w:rPr>
          <w:b/>
          <w:bCs/>
          <w:color w:val="auto"/>
          <w:kern w:val="0"/>
          <w:szCs w:val="21"/>
          <w:highlight w:val="none"/>
        </w:rPr>
        <w:t>.4</w:t>
      </w:r>
      <w:r>
        <w:rPr>
          <w:rFonts w:hint="eastAsia"/>
          <w:b/>
          <w:bCs/>
          <w:color w:val="auto"/>
          <w:kern w:val="0"/>
          <w:szCs w:val="21"/>
          <w:highlight w:val="none"/>
        </w:rPr>
        <w:t>促进中小企业发展政策</w:t>
      </w:r>
    </w:p>
    <w:p w14:paraId="51A60488">
      <w:pPr>
        <w:spacing w:before="120" w:line="320" w:lineRule="atLeast"/>
        <w:ind w:left="2" w:leftChars="1" w:firstLine="420" w:firstLineChars="200"/>
        <w:rPr>
          <w:color w:val="auto"/>
          <w:szCs w:val="21"/>
          <w:highlight w:val="none"/>
        </w:rPr>
      </w:pPr>
      <w:r>
        <w:rPr>
          <w:color w:val="auto"/>
          <w:szCs w:val="21"/>
          <w:highlight w:val="none"/>
        </w:rPr>
        <w:t>1.4.1</w:t>
      </w:r>
      <w:r>
        <w:rPr>
          <w:rFonts w:hint="eastAsia"/>
          <w:color w:val="auto"/>
          <w:szCs w:val="21"/>
          <w:highlight w:val="none"/>
        </w:rPr>
        <w:t>本项目落实促进中小企业发展政策措施在前附表规定。依据促进中小企业发展政策获得政府采购合同的，小微企业不得将合同分包给大中型企业，中型企业不得将合同分包给大型企业。</w:t>
      </w:r>
    </w:p>
    <w:p w14:paraId="0F8E8EBB">
      <w:pPr>
        <w:spacing w:before="120" w:line="320" w:lineRule="atLeast"/>
        <w:ind w:left="2" w:leftChars="1" w:firstLine="420" w:firstLineChars="200"/>
        <w:rPr>
          <w:rFonts w:hint="eastAsia"/>
          <w:color w:val="auto"/>
          <w:szCs w:val="21"/>
          <w:highlight w:val="none"/>
        </w:rPr>
      </w:pPr>
      <w:bookmarkStart w:id="34" w:name="_Hlk92205820"/>
      <w:r>
        <w:rPr>
          <w:rFonts w:hint="eastAsia"/>
          <w:color w:val="auto"/>
          <w:szCs w:val="21"/>
          <w:highlight w:val="none"/>
        </w:rPr>
        <w:t>根据《政府采购促进中小企业发展管理办法》（财库</w:t>
      </w:r>
      <w:r>
        <w:rPr>
          <w:rFonts w:hint="eastAsia"/>
          <w:color w:val="auto"/>
          <w:szCs w:val="21"/>
          <w:highlight w:val="none"/>
          <w:lang w:eastAsia="zh-CN"/>
        </w:rPr>
        <w:t>〔2020〕46</w:t>
      </w:r>
      <w:r>
        <w:rPr>
          <w:rFonts w:hint="eastAsia"/>
          <w:color w:val="auto"/>
          <w:szCs w:val="21"/>
          <w:highlight w:val="none"/>
        </w:rPr>
        <w:t>号）第九条以及《广西壮族自治区财政厅 广西壮族自治区工业和信息化厅转发财政部 工业和信息化部政府采购促进中小企业发展管理办法的通知》（桂财采</w:t>
      </w:r>
      <w:r>
        <w:rPr>
          <w:rFonts w:hint="eastAsia"/>
          <w:color w:val="auto"/>
          <w:szCs w:val="21"/>
          <w:highlight w:val="none"/>
          <w:lang w:eastAsia="zh-CN"/>
        </w:rPr>
        <w:t>〔2021〕70</w:t>
      </w:r>
      <w:r>
        <w:rPr>
          <w:rFonts w:hint="eastAsia"/>
          <w:color w:val="auto"/>
          <w:szCs w:val="21"/>
          <w:highlight w:val="none"/>
        </w:rPr>
        <w:t>号）规定，价格扣除比例在第四章评审方法及标准中规定，对小型企业和微型企业同等对待，不作区分。</w:t>
      </w:r>
    </w:p>
    <w:p w14:paraId="1A239CE9">
      <w:pPr>
        <w:spacing w:before="120" w:line="320" w:lineRule="atLeast"/>
        <w:ind w:left="2" w:leftChars="1" w:firstLine="420" w:firstLineChars="200"/>
        <w:rPr>
          <w:color w:val="auto"/>
          <w:szCs w:val="21"/>
          <w:highlight w:val="none"/>
        </w:rPr>
      </w:pPr>
      <w:r>
        <w:rPr>
          <w:color w:val="auto"/>
          <w:szCs w:val="21"/>
          <w:highlight w:val="none"/>
        </w:rPr>
        <w:t>1.4.2</w:t>
      </w:r>
      <w:r>
        <w:rPr>
          <w:rFonts w:hint="eastAsia"/>
          <w:color w:val="auto"/>
          <w:szCs w:val="21"/>
          <w:highlight w:val="none"/>
        </w:rPr>
        <w:t>中小企业定义</w:t>
      </w:r>
    </w:p>
    <w:p w14:paraId="61CDC0EC">
      <w:pPr>
        <w:spacing w:before="120" w:line="320" w:lineRule="atLeast"/>
        <w:ind w:firstLine="420" w:firstLineChars="200"/>
        <w:rPr>
          <w:color w:val="auto"/>
          <w:szCs w:val="21"/>
          <w:highlight w:val="none"/>
        </w:rPr>
      </w:pPr>
      <w:r>
        <w:rPr>
          <w:color w:val="auto"/>
          <w:szCs w:val="21"/>
          <w:highlight w:val="none"/>
        </w:rPr>
        <w:t>1.4.2.1</w:t>
      </w:r>
      <w:r>
        <w:rPr>
          <w:rFonts w:hint="eastAsia"/>
          <w:color w:val="auto"/>
          <w:szCs w:val="21"/>
          <w:highlight w:val="none"/>
        </w:rPr>
        <w:t>中小企业是指在中华人民共和国境内依法设立，依据国务院批准的中小企业划分标准确定的中型企业、小型企业和微型企业，但与大企业的负责人为同一人，或者与大企业存在直接控股、管理关系的除外。</w:t>
      </w:r>
    </w:p>
    <w:p w14:paraId="55F748E5">
      <w:pPr>
        <w:spacing w:before="120" w:line="320" w:lineRule="atLeast"/>
        <w:ind w:left="2" w:leftChars="1" w:firstLine="420" w:firstLineChars="200"/>
        <w:rPr>
          <w:color w:val="auto"/>
          <w:szCs w:val="21"/>
          <w:highlight w:val="none"/>
        </w:rPr>
      </w:pPr>
      <w:r>
        <w:rPr>
          <w:color w:val="auto"/>
          <w:szCs w:val="21"/>
          <w:highlight w:val="none"/>
        </w:rPr>
        <w:t>1.4.2.2</w:t>
      </w:r>
      <w:r>
        <w:rPr>
          <w:rFonts w:hint="eastAsia"/>
          <w:color w:val="auto"/>
          <w:szCs w:val="21"/>
          <w:highlight w:val="none"/>
        </w:rPr>
        <w:t>供应商提供的货物、工程或者服务符合下列情形的，享受本款规定的促进中小企业发展政策：</w:t>
      </w:r>
    </w:p>
    <w:p w14:paraId="62714A49">
      <w:pPr>
        <w:spacing w:before="120" w:line="320" w:lineRule="atLeast"/>
        <w:ind w:left="2" w:leftChars="1" w:firstLine="420" w:firstLineChars="200"/>
        <w:rPr>
          <w:color w:val="auto"/>
          <w:szCs w:val="21"/>
          <w:highlight w:val="none"/>
        </w:rPr>
      </w:pPr>
      <w:r>
        <w:rPr>
          <w:rFonts w:hint="eastAsia"/>
          <w:color w:val="auto"/>
          <w:szCs w:val="21"/>
          <w:highlight w:val="none"/>
        </w:rPr>
        <w:t>在货物采购项目中，货物由中小企业制造，即货物由中小企业生产且使用该中小企业商号或者注册商标；</w:t>
      </w:r>
    </w:p>
    <w:p w14:paraId="77483C11">
      <w:pPr>
        <w:spacing w:before="120" w:line="320" w:lineRule="atLeast"/>
        <w:ind w:left="2" w:leftChars="1" w:firstLine="420" w:firstLineChars="200"/>
        <w:rPr>
          <w:color w:val="auto"/>
          <w:szCs w:val="21"/>
          <w:highlight w:val="none"/>
        </w:rPr>
      </w:pPr>
      <w:r>
        <w:rPr>
          <w:rFonts w:hint="eastAsia"/>
          <w:color w:val="auto"/>
          <w:szCs w:val="21"/>
          <w:highlight w:val="none"/>
        </w:rPr>
        <w:t>在工程采购项目中，工程由中小企业承建，即工程施工单位为中小企业；</w:t>
      </w:r>
    </w:p>
    <w:p w14:paraId="2502C788">
      <w:pPr>
        <w:spacing w:before="120" w:line="320" w:lineRule="atLeast"/>
        <w:ind w:left="2" w:leftChars="1" w:firstLine="420" w:firstLineChars="200"/>
        <w:rPr>
          <w:color w:val="auto"/>
          <w:szCs w:val="21"/>
          <w:highlight w:val="none"/>
        </w:rPr>
      </w:pPr>
      <w:r>
        <w:rPr>
          <w:rFonts w:hint="eastAsia"/>
          <w:color w:val="auto"/>
          <w:szCs w:val="21"/>
          <w:highlight w:val="none"/>
        </w:rPr>
        <w:t>在服务采购项目中，服务由中小企业承接，即提供服务的人员为中小企业依照《中华人民共和国劳动合同法》订立劳动合同的从业人员。</w:t>
      </w:r>
    </w:p>
    <w:p w14:paraId="235CF5E1">
      <w:pPr>
        <w:spacing w:before="120" w:line="320" w:lineRule="atLeast"/>
        <w:ind w:left="2" w:leftChars="1" w:firstLine="420" w:firstLineChars="200"/>
        <w:rPr>
          <w:color w:val="auto"/>
          <w:szCs w:val="21"/>
          <w:highlight w:val="none"/>
        </w:rPr>
      </w:pPr>
      <w:r>
        <w:rPr>
          <w:rFonts w:hint="eastAsia"/>
          <w:color w:val="auto"/>
          <w:szCs w:val="21"/>
          <w:highlight w:val="none"/>
        </w:rPr>
        <w:t>在货物采购项目中，供应商提供的货物既有中小企业制造货物，也有大型企业制造货物的，不享受本款规定的促进中小企业发展政策。</w:t>
      </w:r>
    </w:p>
    <w:p w14:paraId="48354E2E">
      <w:pPr>
        <w:spacing w:before="120" w:line="320" w:lineRule="atLeast"/>
        <w:ind w:firstLine="420" w:firstLineChars="200"/>
        <w:rPr>
          <w:color w:val="auto"/>
          <w:szCs w:val="21"/>
          <w:highlight w:val="none"/>
        </w:rPr>
      </w:pPr>
      <w:r>
        <w:rPr>
          <w:color w:val="auto"/>
          <w:szCs w:val="21"/>
          <w:highlight w:val="none"/>
        </w:rPr>
        <w:t>1.4.2</w:t>
      </w:r>
      <w:r>
        <w:rPr>
          <w:rFonts w:hint="eastAsia"/>
          <w:color w:val="auto"/>
          <w:szCs w:val="21"/>
          <w:highlight w:val="none"/>
        </w:rPr>
        <w:t>.</w:t>
      </w:r>
      <w:r>
        <w:rPr>
          <w:color w:val="auto"/>
          <w:szCs w:val="21"/>
          <w:highlight w:val="none"/>
        </w:rPr>
        <w:t>3</w:t>
      </w:r>
      <w:r>
        <w:rPr>
          <w:rFonts w:hint="eastAsia"/>
          <w:color w:val="auto"/>
          <w:szCs w:val="21"/>
          <w:highlight w:val="none"/>
        </w:rPr>
        <w:t>本项目标的所属行业在第二章采购需求中规定。供应商根据中小企业划分标准（《关于印发中小企业划型标准规定的通知》（工信部联企业〔2011〕300号）判断是否为中小企业。（见附件）</w:t>
      </w:r>
    </w:p>
    <w:p w14:paraId="7170AF41">
      <w:pPr>
        <w:spacing w:before="120" w:line="320" w:lineRule="atLeast"/>
        <w:ind w:firstLine="420" w:firstLineChars="200"/>
        <w:rPr>
          <w:color w:val="auto"/>
          <w:szCs w:val="21"/>
          <w:highlight w:val="none"/>
        </w:rPr>
      </w:pPr>
      <w:r>
        <w:rPr>
          <w:rFonts w:hint="eastAsia"/>
          <w:color w:val="auto"/>
          <w:szCs w:val="21"/>
          <w:highlight w:val="none"/>
        </w:rPr>
        <w:t>符合条件的货物制造商、工程施工单位、服务承接单位为中小企业的，应按采购文件规定在响应文件中提供声明函。</w:t>
      </w:r>
    </w:p>
    <w:p w14:paraId="782702F9">
      <w:pPr>
        <w:spacing w:before="120" w:line="320" w:lineRule="atLeast"/>
        <w:ind w:firstLine="420" w:firstLineChars="200"/>
        <w:rPr>
          <w:color w:val="auto"/>
          <w:szCs w:val="21"/>
          <w:highlight w:val="none"/>
        </w:rPr>
      </w:pPr>
      <w:r>
        <w:rPr>
          <w:color w:val="auto"/>
          <w:szCs w:val="21"/>
          <w:highlight w:val="none"/>
        </w:rPr>
        <w:t>1.4</w:t>
      </w:r>
      <w:r>
        <w:rPr>
          <w:rFonts w:hint="eastAsia"/>
          <w:color w:val="auto"/>
          <w:szCs w:val="21"/>
          <w:highlight w:val="none"/>
        </w:rPr>
        <w:t>.</w:t>
      </w:r>
      <w:r>
        <w:rPr>
          <w:color w:val="auto"/>
          <w:szCs w:val="21"/>
          <w:highlight w:val="none"/>
        </w:rPr>
        <w:t>2</w:t>
      </w:r>
      <w:r>
        <w:rPr>
          <w:rFonts w:hint="eastAsia"/>
          <w:color w:val="auto"/>
          <w:szCs w:val="21"/>
          <w:highlight w:val="none"/>
        </w:rPr>
        <w:t>.</w:t>
      </w:r>
      <w:r>
        <w:rPr>
          <w:color w:val="auto"/>
          <w:szCs w:val="21"/>
          <w:highlight w:val="none"/>
        </w:rPr>
        <w:t>4</w:t>
      </w:r>
      <w:r>
        <w:rPr>
          <w:rFonts w:hint="eastAsia"/>
          <w:color w:val="auto"/>
          <w:szCs w:val="21"/>
          <w:highlight w:val="none"/>
        </w:rPr>
        <w:t>视同中小企业情形</w:t>
      </w:r>
    </w:p>
    <w:p w14:paraId="762E28BB">
      <w:pPr>
        <w:spacing w:before="120" w:line="320" w:lineRule="atLeast"/>
        <w:ind w:firstLine="420" w:firstLineChars="200"/>
        <w:rPr>
          <w:color w:val="auto"/>
          <w:szCs w:val="21"/>
          <w:highlight w:val="none"/>
        </w:rPr>
      </w:pPr>
      <w:r>
        <w:rPr>
          <w:rFonts w:hint="eastAsia"/>
          <w:color w:val="auto"/>
          <w:szCs w:val="21"/>
          <w:highlight w:val="none"/>
        </w:rPr>
        <w:t>（1）符合中小企业划分标准的个体工商户，视同中小企业。</w:t>
      </w:r>
    </w:p>
    <w:p w14:paraId="75A23323">
      <w:pPr>
        <w:spacing w:before="120" w:line="320" w:lineRule="atLeast"/>
        <w:ind w:firstLine="420" w:firstLineChars="200"/>
        <w:rPr>
          <w:color w:val="auto"/>
          <w:szCs w:val="21"/>
          <w:highlight w:val="none"/>
        </w:rPr>
      </w:pPr>
      <w:r>
        <w:rPr>
          <w:rFonts w:hint="eastAsia"/>
          <w:color w:val="auto"/>
          <w:szCs w:val="21"/>
          <w:highlight w:val="none"/>
        </w:rPr>
        <w:t>（2）以联合体形式参加政府采购活动，联合体各方均为中小企业的，联合体视同中小企业。其中，联合体各方均为小微企业的，联合体视同小微企业。</w:t>
      </w:r>
    </w:p>
    <w:p w14:paraId="2C930B54">
      <w:pPr>
        <w:spacing w:before="120" w:line="320" w:lineRule="atLeast"/>
        <w:ind w:firstLine="420" w:firstLineChars="200"/>
        <w:rPr>
          <w:color w:val="auto"/>
          <w:szCs w:val="21"/>
          <w:highlight w:val="none"/>
        </w:rPr>
      </w:pPr>
      <w:r>
        <w:rPr>
          <w:rFonts w:hint="eastAsia"/>
          <w:color w:val="auto"/>
          <w:szCs w:val="21"/>
          <w:highlight w:val="none"/>
        </w:rPr>
        <w:t>（3）符合《财政部、司法部关于政府采购支持监狱企业发展有关问题的通知》（财库〔2014〕68号）规定的监狱企业，或符合《关于促进残疾人就业政府采购政策的通知》（财库〔2017〕141号）规定的残疾人福利性单位，视同小型、微型企业。</w:t>
      </w:r>
    </w:p>
    <w:p w14:paraId="40656F6E">
      <w:pPr>
        <w:spacing w:before="120" w:line="320" w:lineRule="atLeast"/>
        <w:ind w:left="2" w:leftChars="1" w:firstLine="420" w:firstLineChars="200"/>
        <w:rPr>
          <w:rFonts w:hint="eastAsia"/>
          <w:color w:val="auto"/>
          <w:szCs w:val="21"/>
          <w:highlight w:val="none"/>
        </w:rPr>
      </w:pPr>
      <w:r>
        <w:rPr>
          <w:rFonts w:hint="eastAsia"/>
          <w:color w:val="auto"/>
          <w:szCs w:val="21"/>
          <w:highlight w:val="none"/>
        </w:rPr>
        <w:t>符合条件的货物制造商、工程施工单位、服务承接单位为监狱企业或残疾人福利性单位的，应按采购文件规定在响应文件中提供相关证明文件。</w:t>
      </w:r>
      <w:bookmarkEnd w:id="33"/>
      <w:bookmarkEnd w:id="34"/>
    </w:p>
    <w:p w14:paraId="7E7567CC">
      <w:pPr>
        <w:spacing w:before="120" w:line="320" w:lineRule="atLeast"/>
        <w:ind w:firstLine="422" w:firstLineChars="200"/>
        <w:outlineLvl w:val="2"/>
        <w:rPr>
          <w:b/>
          <w:bCs/>
          <w:color w:val="auto"/>
          <w:kern w:val="0"/>
          <w:szCs w:val="21"/>
          <w:highlight w:val="none"/>
        </w:rPr>
      </w:pPr>
      <w:r>
        <w:rPr>
          <w:b/>
          <w:bCs/>
          <w:color w:val="auto"/>
          <w:kern w:val="0"/>
          <w:szCs w:val="21"/>
          <w:highlight w:val="none"/>
        </w:rPr>
        <w:t>1.5供应商资格</w:t>
      </w:r>
      <w:r>
        <w:rPr>
          <w:rFonts w:hint="eastAsia"/>
          <w:b/>
          <w:bCs/>
          <w:color w:val="auto"/>
          <w:kern w:val="0"/>
          <w:szCs w:val="21"/>
          <w:highlight w:val="none"/>
        </w:rPr>
        <w:t>要求</w:t>
      </w:r>
    </w:p>
    <w:p w14:paraId="3C3B3EAD">
      <w:pPr>
        <w:spacing w:before="120" w:line="320" w:lineRule="atLeast"/>
        <w:ind w:firstLine="420" w:firstLineChars="200"/>
        <w:rPr>
          <w:color w:val="auto"/>
          <w:szCs w:val="21"/>
          <w:highlight w:val="none"/>
        </w:rPr>
      </w:pPr>
      <w:r>
        <w:rPr>
          <w:color w:val="auto"/>
          <w:szCs w:val="21"/>
          <w:highlight w:val="none"/>
        </w:rPr>
        <w:t>1.5.1</w:t>
      </w:r>
      <w:r>
        <w:rPr>
          <w:rFonts w:hint="eastAsia"/>
          <w:color w:val="auto"/>
          <w:szCs w:val="21"/>
          <w:highlight w:val="none"/>
        </w:rPr>
        <w:t>供应商资格要求：详见供应商须知前附表</w:t>
      </w:r>
    </w:p>
    <w:p w14:paraId="028BBE3B">
      <w:pPr>
        <w:spacing w:before="120" w:line="320" w:lineRule="atLeast"/>
        <w:ind w:firstLine="420" w:firstLineChars="200"/>
        <w:rPr>
          <w:color w:val="auto"/>
          <w:szCs w:val="21"/>
          <w:highlight w:val="none"/>
        </w:rPr>
      </w:pPr>
      <w:r>
        <w:rPr>
          <w:color w:val="auto"/>
          <w:szCs w:val="21"/>
          <w:highlight w:val="none"/>
        </w:rPr>
        <w:t>1.5.2按照磋商公告的规定获得采购文件。</w:t>
      </w:r>
    </w:p>
    <w:p w14:paraId="0E48D0A3">
      <w:pPr>
        <w:spacing w:before="120" w:line="320" w:lineRule="atLeast"/>
        <w:ind w:firstLine="420" w:firstLineChars="200"/>
        <w:rPr>
          <w:color w:val="auto"/>
          <w:szCs w:val="21"/>
          <w:highlight w:val="none"/>
        </w:rPr>
      </w:pPr>
      <w:r>
        <w:rPr>
          <w:color w:val="auto"/>
          <w:szCs w:val="21"/>
          <w:highlight w:val="none"/>
        </w:rPr>
        <w:t>1.5.3本项目是否接受联合体响应，见“供应商须知前附表”规定。</w:t>
      </w:r>
    </w:p>
    <w:p w14:paraId="0BF99D6E">
      <w:pPr>
        <w:spacing w:before="120" w:line="320" w:lineRule="atLeast"/>
        <w:ind w:firstLine="420" w:firstLineChars="200"/>
        <w:rPr>
          <w:color w:val="auto"/>
          <w:szCs w:val="21"/>
          <w:highlight w:val="none"/>
        </w:rPr>
      </w:pPr>
      <w:r>
        <w:rPr>
          <w:rFonts w:hint="eastAsia"/>
          <w:color w:val="auto"/>
          <w:szCs w:val="21"/>
          <w:highlight w:val="none"/>
        </w:rPr>
        <w:t xml:space="preserve">如接受联合体响应，联合体响应要求如下： </w:t>
      </w:r>
    </w:p>
    <w:p w14:paraId="01137383">
      <w:pPr>
        <w:spacing w:before="120" w:line="320" w:lineRule="atLeast"/>
        <w:ind w:firstLine="420" w:firstLineChars="200"/>
        <w:rPr>
          <w:color w:val="auto"/>
          <w:szCs w:val="21"/>
          <w:highlight w:val="none"/>
        </w:rPr>
      </w:pPr>
      <w:r>
        <w:rPr>
          <w:rFonts w:hint="eastAsia"/>
          <w:color w:val="auto"/>
          <w:szCs w:val="21"/>
          <w:highlight w:val="none"/>
        </w:rPr>
        <w:t>（1）供应商可以组成一个响应联合体，以一个供应商的身份共同参加响应。联合体响应的，须提供《联合体协议书》（格式后附）</w:t>
      </w:r>
    </w:p>
    <w:p w14:paraId="658A4D45">
      <w:pPr>
        <w:spacing w:before="120" w:line="320" w:lineRule="atLeast"/>
        <w:ind w:firstLine="420" w:firstLineChars="200"/>
        <w:rPr>
          <w:color w:val="auto"/>
          <w:szCs w:val="21"/>
          <w:highlight w:val="none"/>
        </w:rPr>
      </w:pPr>
      <w:r>
        <w:rPr>
          <w:rFonts w:hint="eastAsia"/>
          <w:color w:val="auto"/>
          <w:szCs w:val="21"/>
          <w:highlight w:val="none"/>
        </w:rPr>
        <w:t>（2）以联合体形式参加响应的，联合体各方均必须具备《中华人民共和国政府采购法》第二十二条第一款规定的基本条件。本项目有特殊要求规定供应商特定条件的，联合体各方中至少有一方必须符合采购文件规定的特定条件。</w:t>
      </w:r>
    </w:p>
    <w:p w14:paraId="1B1336FC">
      <w:pPr>
        <w:spacing w:before="120" w:line="320" w:lineRule="atLeast"/>
        <w:ind w:firstLine="420" w:firstLineChars="200"/>
        <w:rPr>
          <w:color w:val="auto"/>
          <w:szCs w:val="21"/>
          <w:highlight w:val="none"/>
        </w:rPr>
      </w:pPr>
      <w:r>
        <w:rPr>
          <w:rFonts w:hint="eastAsia"/>
          <w:color w:val="auto"/>
          <w:szCs w:val="21"/>
          <w:highlight w:val="none"/>
        </w:rPr>
        <w:t>（3）联合体各方之间必须签订联合体协议，协议书必须明确主体方（或者牵头方）并明确约定联合体各方承担的工作和相应的责任，并将联合响应协议放入响应文件。联合体各方必须共同与采购人签订采购合同，就采购合同约定的事项对采购人承担连带责任。</w:t>
      </w:r>
    </w:p>
    <w:p w14:paraId="73FD8448">
      <w:pPr>
        <w:spacing w:before="120" w:line="320" w:lineRule="atLeast"/>
        <w:ind w:firstLine="420" w:firstLineChars="200"/>
        <w:rPr>
          <w:color w:val="auto"/>
          <w:szCs w:val="21"/>
          <w:highlight w:val="none"/>
        </w:rPr>
      </w:pPr>
      <w:r>
        <w:rPr>
          <w:rFonts w:hint="eastAsia"/>
          <w:color w:val="auto"/>
          <w:szCs w:val="21"/>
          <w:highlight w:val="none"/>
        </w:rPr>
        <w:t>（4）以联合体形式参加政府采购活动的，联合体各方不得再单独参加或者与其他供应商另外组成联合体参加同一合同项下的政府采购活动。</w:t>
      </w:r>
    </w:p>
    <w:p w14:paraId="688A4D91">
      <w:pPr>
        <w:spacing w:before="120" w:line="320" w:lineRule="atLeast"/>
        <w:ind w:firstLine="420" w:firstLineChars="200"/>
        <w:rPr>
          <w:color w:val="auto"/>
          <w:szCs w:val="21"/>
          <w:highlight w:val="none"/>
        </w:rPr>
      </w:pPr>
      <w:r>
        <w:rPr>
          <w:rFonts w:hint="eastAsia"/>
          <w:color w:val="auto"/>
          <w:szCs w:val="21"/>
          <w:highlight w:val="none"/>
        </w:rPr>
        <w:t>（5）联合体中有同类资质的供应商按照联合体分工承担相同工作的，应当按照资质等级较低的供应商确定资质等级。</w:t>
      </w:r>
    </w:p>
    <w:p w14:paraId="3F530288">
      <w:pPr>
        <w:spacing w:before="120" w:line="320" w:lineRule="atLeast"/>
        <w:ind w:firstLine="420" w:firstLineChars="200"/>
        <w:rPr>
          <w:color w:val="auto"/>
          <w:szCs w:val="21"/>
          <w:highlight w:val="none"/>
        </w:rPr>
      </w:pPr>
      <w:r>
        <w:rPr>
          <w:rFonts w:hint="eastAsia"/>
          <w:color w:val="auto"/>
          <w:szCs w:val="21"/>
          <w:highlight w:val="none"/>
        </w:rPr>
        <w:t>（6）联合体响应业绩、履约能力按照联合体各方其中较高的一方认定并计算（采购文件其他章节另有规定的除外）。</w:t>
      </w:r>
    </w:p>
    <w:p w14:paraId="501C29ED">
      <w:pPr>
        <w:spacing w:before="120" w:line="320" w:lineRule="atLeast"/>
        <w:ind w:firstLine="420" w:firstLineChars="200"/>
        <w:rPr>
          <w:color w:val="auto"/>
          <w:szCs w:val="21"/>
          <w:highlight w:val="none"/>
        </w:rPr>
      </w:pPr>
      <w:r>
        <w:rPr>
          <w:rFonts w:hint="eastAsia"/>
          <w:color w:val="auto"/>
          <w:szCs w:val="21"/>
          <w:highlight w:val="none"/>
        </w:rPr>
        <w:t>（7）供应商为联合体的，可以由联合体中的一方或者多方共同交纳磋商保证金，其交纳的保证金对联合体各方均具有约束力。</w:t>
      </w:r>
    </w:p>
    <w:p w14:paraId="574D4E38">
      <w:pPr>
        <w:spacing w:before="120" w:line="320" w:lineRule="atLeast"/>
        <w:ind w:firstLine="420" w:firstLineChars="200"/>
        <w:rPr>
          <w:color w:val="auto"/>
          <w:szCs w:val="21"/>
          <w:highlight w:val="none"/>
        </w:rPr>
      </w:pPr>
      <w:r>
        <w:rPr>
          <w:rFonts w:hint="eastAsia"/>
          <w:color w:val="auto"/>
          <w:szCs w:val="21"/>
          <w:highlight w:val="none"/>
        </w:rPr>
        <w:t>（8）联合体各方均应按照采购文件的规定提交资格证明文件。</w:t>
      </w:r>
    </w:p>
    <w:p w14:paraId="0B8FB25D">
      <w:pPr>
        <w:spacing w:before="120" w:line="320" w:lineRule="atLeast"/>
        <w:ind w:firstLine="422" w:firstLineChars="200"/>
        <w:outlineLvl w:val="2"/>
        <w:rPr>
          <w:b/>
          <w:bCs/>
          <w:color w:val="auto"/>
          <w:kern w:val="0"/>
          <w:szCs w:val="21"/>
          <w:highlight w:val="none"/>
        </w:rPr>
      </w:pPr>
      <w:bookmarkStart w:id="35" w:name="_Toc254970531"/>
      <w:bookmarkStart w:id="36" w:name="_Toc254970672"/>
      <w:r>
        <w:rPr>
          <w:b/>
          <w:bCs/>
          <w:color w:val="auto"/>
          <w:kern w:val="0"/>
          <w:szCs w:val="21"/>
          <w:highlight w:val="none"/>
        </w:rPr>
        <w:t>1.6现场踏勘及响应费用</w:t>
      </w:r>
      <w:bookmarkEnd w:id="35"/>
      <w:bookmarkEnd w:id="36"/>
    </w:p>
    <w:p w14:paraId="3C052D87">
      <w:pPr>
        <w:spacing w:before="120" w:line="320" w:lineRule="atLeast"/>
        <w:ind w:firstLine="420" w:firstLineChars="200"/>
        <w:rPr>
          <w:color w:val="auto"/>
          <w:szCs w:val="21"/>
          <w:highlight w:val="none"/>
        </w:rPr>
      </w:pPr>
      <w:r>
        <w:rPr>
          <w:color w:val="auto"/>
          <w:szCs w:val="21"/>
          <w:highlight w:val="none"/>
        </w:rPr>
        <w:t>1.6.1前附表如规定现场踏勘的，供应商应按规定时间地点参加踏勘。</w:t>
      </w:r>
    </w:p>
    <w:p w14:paraId="021B755A">
      <w:pPr>
        <w:spacing w:before="120" w:line="320" w:lineRule="atLeast"/>
        <w:ind w:firstLine="420" w:firstLineChars="200"/>
        <w:rPr>
          <w:color w:val="auto"/>
          <w:szCs w:val="21"/>
          <w:highlight w:val="none"/>
        </w:rPr>
      </w:pPr>
      <w:r>
        <w:rPr>
          <w:color w:val="auto"/>
          <w:szCs w:val="21"/>
          <w:highlight w:val="none"/>
        </w:rPr>
        <w:t>1.6.2供应商均应自行承担所有与响应有关的全部费用（采购文件有相关的规定除外）。</w:t>
      </w:r>
    </w:p>
    <w:p w14:paraId="19991689">
      <w:pPr>
        <w:spacing w:before="120" w:line="320" w:lineRule="atLeast"/>
        <w:ind w:firstLine="422" w:firstLineChars="200"/>
        <w:outlineLvl w:val="2"/>
        <w:rPr>
          <w:b/>
          <w:bCs/>
          <w:color w:val="auto"/>
          <w:kern w:val="0"/>
          <w:szCs w:val="21"/>
          <w:highlight w:val="none"/>
        </w:rPr>
      </w:pPr>
      <w:r>
        <w:rPr>
          <w:b/>
          <w:bCs/>
          <w:color w:val="auto"/>
          <w:kern w:val="0"/>
          <w:szCs w:val="21"/>
          <w:highlight w:val="none"/>
        </w:rPr>
        <w:t>1.7转包与分包</w:t>
      </w:r>
    </w:p>
    <w:p w14:paraId="08992B41">
      <w:pPr>
        <w:spacing w:before="120" w:line="320" w:lineRule="atLeast"/>
        <w:ind w:firstLine="420" w:firstLineChars="200"/>
        <w:rPr>
          <w:color w:val="auto"/>
          <w:szCs w:val="21"/>
          <w:highlight w:val="none"/>
        </w:rPr>
      </w:pPr>
      <w:r>
        <w:rPr>
          <w:color w:val="auto"/>
          <w:szCs w:val="21"/>
          <w:highlight w:val="none"/>
        </w:rPr>
        <w:t>1.7.1如</w:t>
      </w:r>
      <w:r>
        <w:rPr>
          <w:rFonts w:hint="eastAsia"/>
          <w:color w:val="auto"/>
          <w:szCs w:val="21"/>
          <w:highlight w:val="none"/>
        </w:rPr>
        <w:t>采购文件</w:t>
      </w:r>
      <w:r>
        <w:rPr>
          <w:color w:val="auto"/>
          <w:szCs w:val="21"/>
          <w:highlight w:val="none"/>
        </w:rPr>
        <w:t>其他地方无特别规定</w:t>
      </w:r>
      <w:r>
        <w:rPr>
          <w:rFonts w:hint="eastAsia"/>
          <w:color w:val="auto"/>
          <w:szCs w:val="21"/>
          <w:highlight w:val="none"/>
        </w:rPr>
        <w:t>，</w:t>
      </w:r>
      <w:r>
        <w:rPr>
          <w:color w:val="auto"/>
          <w:szCs w:val="21"/>
          <w:highlight w:val="none"/>
        </w:rPr>
        <w:t>本项目不允许转包。</w:t>
      </w:r>
    </w:p>
    <w:p w14:paraId="3A098D75">
      <w:pPr>
        <w:spacing w:before="120" w:line="320" w:lineRule="atLeast"/>
        <w:ind w:firstLine="420" w:firstLineChars="200"/>
        <w:rPr>
          <w:color w:val="auto"/>
          <w:szCs w:val="21"/>
          <w:highlight w:val="none"/>
        </w:rPr>
      </w:pPr>
      <w:r>
        <w:rPr>
          <w:color w:val="auto"/>
          <w:szCs w:val="21"/>
          <w:highlight w:val="none"/>
        </w:rPr>
        <w:t>1.7.2</w:t>
      </w:r>
      <w:r>
        <w:rPr>
          <w:rFonts w:hint="eastAsia"/>
          <w:color w:val="auto"/>
          <w:szCs w:val="21"/>
          <w:highlight w:val="none"/>
        </w:rPr>
        <w:t>本项目是否允许分包详见“供应商须知前附表”，本项目不允许违法分包。供应商根据采购文件的规定和采购项目的实际情况，拟在成交后将成交项目的非主体、非关键性工作分包的，应当在响应文件中载明分包承担主体，分包承担主体应当具备相应资质条件且不得再次分包。</w:t>
      </w:r>
    </w:p>
    <w:p w14:paraId="0EFAFDF0">
      <w:pPr>
        <w:spacing w:before="120" w:line="276" w:lineRule="auto"/>
        <w:ind w:firstLine="422" w:firstLineChars="200"/>
        <w:outlineLvl w:val="2"/>
        <w:rPr>
          <w:b/>
          <w:bCs/>
          <w:color w:val="auto"/>
          <w:kern w:val="0"/>
          <w:szCs w:val="21"/>
          <w:highlight w:val="none"/>
        </w:rPr>
      </w:pPr>
      <w:bookmarkStart w:id="37" w:name="_Toc254970532"/>
      <w:bookmarkStart w:id="38" w:name="_Toc254970673"/>
      <w:r>
        <w:rPr>
          <w:b/>
          <w:bCs/>
          <w:color w:val="auto"/>
          <w:kern w:val="0"/>
          <w:szCs w:val="21"/>
          <w:highlight w:val="none"/>
        </w:rPr>
        <w:t>1.8特别说明</w:t>
      </w:r>
      <w:bookmarkEnd w:id="37"/>
      <w:bookmarkEnd w:id="38"/>
    </w:p>
    <w:p w14:paraId="3EF14CD0">
      <w:pPr>
        <w:spacing w:line="276" w:lineRule="auto"/>
        <w:ind w:firstLine="420" w:firstLineChars="200"/>
        <w:rPr>
          <w:color w:val="auto"/>
          <w:szCs w:val="21"/>
          <w:highlight w:val="none"/>
        </w:rPr>
      </w:pPr>
      <w:r>
        <w:rPr>
          <w:color w:val="auto"/>
          <w:szCs w:val="21"/>
          <w:highlight w:val="none"/>
        </w:rPr>
        <w:t>1.8.1 供应商应保证其提供的联系方式（电话、传真、电子邮件）有效，以保证往来函件（澄清、修改等）能及时通知供应商，并能及时反馈，否则采购人</w:t>
      </w:r>
      <w:r>
        <w:rPr>
          <w:rFonts w:hint="eastAsia"/>
          <w:color w:val="auto"/>
          <w:szCs w:val="21"/>
          <w:highlight w:val="none"/>
        </w:rPr>
        <w:t>及代理机构</w:t>
      </w:r>
      <w:r>
        <w:rPr>
          <w:color w:val="auto"/>
          <w:szCs w:val="21"/>
          <w:highlight w:val="none"/>
        </w:rPr>
        <w:t>不承担由此引起的一切后果。</w:t>
      </w:r>
    </w:p>
    <w:p w14:paraId="22C3EED5">
      <w:pPr>
        <w:spacing w:before="120" w:line="320" w:lineRule="atLeast"/>
        <w:ind w:firstLine="420" w:firstLineChars="200"/>
        <w:rPr>
          <w:color w:val="auto"/>
          <w:szCs w:val="21"/>
          <w:highlight w:val="none"/>
        </w:rPr>
      </w:pPr>
      <w:r>
        <w:rPr>
          <w:color w:val="auto"/>
          <w:szCs w:val="21"/>
          <w:highlight w:val="none"/>
        </w:rPr>
        <w:t>1.8.2供应商应仔细阅读采购文件的所有内容，按照采购文件的要求提交响应文件，并对所提供的全部资料的真实性承担法律责任。</w:t>
      </w:r>
    </w:p>
    <w:p w14:paraId="0F33D928">
      <w:pPr>
        <w:spacing w:before="120" w:line="360" w:lineRule="auto"/>
        <w:ind w:firstLine="420" w:firstLineChars="200"/>
        <w:rPr>
          <w:color w:val="auto"/>
          <w:szCs w:val="21"/>
          <w:highlight w:val="none"/>
        </w:rPr>
      </w:pPr>
      <w:r>
        <w:rPr>
          <w:color w:val="auto"/>
          <w:szCs w:val="21"/>
          <w:highlight w:val="none"/>
        </w:rPr>
        <w:t>1.8.3供应商在响应活动中提供任何虚假材料，</w:t>
      </w:r>
      <w:r>
        <w:rPr>
          <w:rFonts w:hint="eastAsia"/>
          <w:color w:val="auto"/>
          <w:szCs w:val="21"/>
          <w:highlight w:val="none"/>
        </w:rPr>
        <w:t>将</w:t>
      </w:r>
      <w:r>
        <w:rPr>
          <w:color w:val="auto"/>
          <w:szCs w:val="21"/>
          <w:highlight w:val="none"/>
        </w:rPr>
        <w:t xml:space="preserve">报监管部门查处； </w:t>
      </w:r>
    </w:p>
    <w:p w14:paraId="007D8396">
      <w:pPr>
        <w:spacing w:before="120" w:line="320" w:lineRule="atLeast"/>
        <w:ind w:left="2" w:leftChars="1" w:firstLine="422" w:firstLineChars="200"/>
        <w:outlineLvl w:val="1"/>
        <w:rPr>
          <w:b/>
          <w:bCs/>
          <w:color w:val="auto"/>
          <w:kern w:val="0"/>
          <w:szCs w:val="21"/>
          <w:highlight w:val="none"/>
        </w:rPr>
      </w:pPr>
      <w:bookmarkStart w:id="39" w:name="_Toc254970534"/>
      <w:bookmarkStart w:id="40" w:name="_Toc254970675"/>
      <w:r>
        <w:rPr>
          <w:b/>
          <w:bCs/>
          <w:color w:val="auto"/>
          <w:kern w:val="0"/>
          <w:szCs w:val="21"/>
          <w:highlight w:val="none"/>
        </w:rPr>
        <w:t>2．采购文件</w:t>
      </w:r>
      <w:bookmarkEnd w:id="39"/>
      <w:bookmarkEnd w:id="40"/>
    </w:p>
    <w:p w14:paraId="26994217">
      <w:pPr>
        <w:spacing w:before="120" w:line="320" w:lineRule="atLeast"/>
        <w:ind w:firstLine="422" w:firstLineChars="200"/>
        <w:outlineLvl w:val="2"/>
        <w:rPr>
          <w:b/>
          <w:bCs/>
          <w:color w:val="auto"/>
          <w:kern w:val="0"/>
          <w:szCs w:val="21"/>
          <w:highlight w:val="none"/>
        </w:rPr>
      </w:pPr>
      <w:r>
        <w:rPr>
          <w:b/>
          <w:bCs/>
          <w:color w:val="auto"/>
          <w:kern w:val="0"/>
          <w:szCs w:val="21"/>
          <w:highlight w:val="none"/>
        </w:rPr>
        <w:t>2.1采购文件的构成</w:t>
      </w:r>
    </w:p>
    <w:p w14:paraId="23572579">
      <w:pPr>
        <w:spacing w:before="120" w:line="320" w:lineRule="atLeast"/>
        <w:ind w:firstLine="420" w:firstLineChars="200"/>
        <w:rPr>
          <w:color w:val="auto"/>
          <w:szCs w:val="21"/>
          <w:highlight w:val="none"/>
        </w:rPr>
      </w:pPr>
      <w:r>
        <w:rPr>
          <w:color w:val="auto"/>
          <w:szCs w:val="21"/>
          <w:highlight w:val="none"/>
        </w:rPr>
        <w:t>第一章 磋商公告</w:t>
      </w:r>
    </w:p>
    <w:p w14:paraId="050B1EBF">
      <w:pPr>
        <w:spacing w:before="120" w:line="320" w:lineRule="atLeast"/>
        <w:ind w:firstLine="420" w:firstLineChars="200"/>
        <w:rPr>
          <w:color w:val="auto"/>
          <w:szCs w:val="21"/>
          <w:highlight w:val="none"/>
        </w:rPr>
      </w:pPr>
      <w:r>
        <w:rPr>
          <w:color w:val="auto"/>
          <w:szCs w:val="21"/>
          <w:highlight w:val="none"/>
        </w:rPr>
        <w:t>第二章 采购需求</w:t>
      </w:r>
    </w:p>
    <w:p w14:paraId="7DFE663E">
      <w:pPr>
        <w:spacing w:before="120" w:line="320" w:lineRule="atLeast"/>
        <w:ind w:firstLine="420" w:firstLineChars="200"/>
        <w:rPr>
          <w:color w:val="auto"/>
          <w:szCs w:val="21"/>
          <w:highlight w:val="none"/>
        </w:rPr>
      </w:pPr>
      <w:r>
        <w:rPr>
          <w:color w:val="auto"/>
          <w:szCs w:val="21"/>
          <w:highlight w:val="none"/>
        </w:rPr>
        <w:t>第三章 供应商须知</w:t>
      </w:r>
    </w:p>
    <w:p w14:paraId="21D4C97C">
      <w:pPr>
        <w:spacing w:before="120" w:line="320" w:lineRule="atLeast"/>
        <w:ind w:firstLine="420" w:firstLineChars="200"/>
        <w:rPr>
          <w:color w:val="auto"/>
          <w:szCs w:val="21"/>
          <w:highlight w:val="none"/>
        </w:rPr>
      </w:pPr>
      <w:r>
        <w:rPr>
          <w:color w:val="auto"/>
          <w:szCs w:val="21"/>
          <w:highlight w:val="none"/>
        </w:rPr>
        <w:t>第四章 评审方法及标准</w:t>
      </w:r>
    </w:p>
    <w:p w14:paraId="2553EA1D">
      <w:pPr>
        <w:spacing w:before="120" w:line="320" w:lineRule="atLeast"/>
        <w:ind w:firstLine="420" w:firstLineChars="200"/>
        <w:rPr>
          <w:color w:val="auto"/>
          <w:szCs w:val="21"/>
          <w:highlight w:val="none"/>
        </w:rPr>
      </w:pPr>
      <w:r>
        <w:rPr>
          <w:color w:val="auto"/>
          <w:szCs w:val="21"/>
          <w:highlight w:val="none"/>
        </w:rPr>
        <w:t>第五章 合同主要条款格式</w:t>
      </w:r>
    </w:p>
    <w:p w14:paraId="10B3EB27">
      <w:pPr>
        <w:spacing w:before="120" w:line="320" w:lineRule="atLeast"/>
        <w:ind w:firstLine="420" w:firstLineChars="200"/>
        <w:rPr>
          <w:color w:val="auto"/>
          <w:szCs w:val="21"/>
          <w:highlight w:val="none"/>
        </w:rPr>
      </w:pPr>
      <w:r>
        <w:rPr>
          <w:color w:val="auto"/>
          <w:szCs w:val="21"/>
          <w:highlight w:val="none"/>
        </w:rPr>
        <w:t>第六章 响应文件格式</w:t>
      </w:r>
    </w:p>
    <w:p w14:paraId="03E52424">
      <w:pPr>
        <w:spacing w:before="120" w:line="320" w:lineRule="atLeast"/>
        <w:ind w:firstLine="422" w:firstLineChars="200"/>
        <w:outlineLvl w:val="2"/>
        <w:rPr>
          <w:b/>
          <w:bCs/>
          <w:color w:val="auto"/>
          <w:kern w:val="0"/>
          <w:szCs w:val="21"/>
          <w:highlight w:val="none"/>
        </w:rPr>
      </w:pPr>
      <w:r>
        <w:rPr>
          <w:b/>
          <w:bCs/>
          <w:color w:val="auto"/>
          <w:kern w:val="0"/>
          <w:szCs w:val="21"/>
          <w:highlight w:val="none"/>
        </w:rPr>
        <w:t>2.2供应商的风险</w:t>
      </w:r>
    </w:p>
    <w:p w14:paraId="3BFC2F60">
      <w:pPr>
        <w:spacing w:before="120" w:line="320" w:lineRule="atLeast"/>
        <w:ind w:firstLine="420" w:firstLineChars="200"/>
        <w:rPr>
          <w:color w:val="auto"/>
          <w:szCs w:val="21"/>
          <w:highlight w:val="none"/>
        </w:rPr>
      </w:pPr>
      <w:r>
        <w:rPr>
          <w:color w:val="auto"/>
          <w:szCs w:val="21"/>
          <w:highlight w:val="none"/>
        </w:rPr>
        <w:t>供应商没有按照采购文件要求提供全部资料，或者供应商没有对采购文件在各方面作出实质性响应是供应商的风险，并可能导致其响应被否决。</w:t>
      </w:r>
    </w:p>
    <w:p w14:paraId="0232C367">
      <w:pPr>
        <w:spacing w:before="120" w:line="320" w:lineRule="atLeast"/>
        <w:ind w:firstLine="422" w:firstLineChars="200"/>
        <w:outlineLvl w:val="2"/>
        <w:rPr>
          <w:b/>
          <w:color w:val="auto"/>
          <w:szCs w:val="21"/>
          <w:highlight w:val="none"/>
        </w:rPr>
      </w:pPr>
      <w:r>
        <w:rPr>
          <w:b/>
          <w:bCs/>
          <w:color w:val="auto"/>
          <w:kern w:val="0"/>
          <w:szCs w:val="21"/>
          <w:highlight w:val="none"/>
        </w:rPr>
        <w:t>2.3采购文件的澄清与修改</w:t>
      </w:r>
    </w:p>
    <w:p w14:paraId="6A1E23AB">
      <w:pPr>
        <w:spacing w:before="120" w:line="320" w:lineRule="atLeast"/>
        <w:ind w:firstLine="420" w:firstLineChars="200"/>
        <w:rPr>
          <w:color w:val="auto"/>
          <w:szCs w:val="21"/>
          <w:highlight w:val="none"/>
        </w:rPr>
      </w:pPr>
      <w:r>
        <w:rPr>
          <w:color w:val="auto"/>
          <w:szCs w:val="21"/>
          <w:highlight w:val="none"/>
        </w:rPr>
        <w:t>2.3.1</w:t>
      </w:r>
      <w:r>
        <w:rPr>
          <w:rFonts w:hint="eastAsia"/>
          <w:color w:val="auto"/>
          <w:szCs w:val="21"/>
          <w:highlight w:val="none"/>
        </w:rPr>
        <w:t>任何已获得采购文件的潜在供应商，均可</w:t>
      </w:r>
      <w:r>
        <w:rPr>
          <w:color w:val="auto"/>
          <w:szCs w:val="21"/>
          <w:highlight w:val="none"/>
        </w:rPr>
        <w:t>以书面形式要求采购代理机构作出书面解释、澄清</w:t>
      </w:r>
      <w:r>
        <w:rPr>
          <w:rFonts w:hint="eastAsia"/>
          <w:color w:val="auto"/>
          <w:szCs w:val="21"/>
          <w:highlight w:val="none"/>
        </w:rPr>
        <w:t>。</w:t>
      </w:r>
    </w:p>
    <w:p w14:paraId="1287574E">
      <w:pPr>
        <w:spacing w:before="120" w:line="320" w:lineRule="atLeast"/>
        <w:ind w:firstLine="420" w:firstLineChars="200"/>
        <w:rPr>
          <w:color w:val="auto"/>
          <w:szCs w:val="21"/>
          <w:highlight w:val="none"/>
        </w:rPr>
      </w:pPr>
      <w:r>
        <w:rPr>
          <w:color w:val="auto"/>
          <w:szCs w:val="21"/>
          <w:highlight w:val="none"/>
        </w:rPr>
        <w:t>2.3.2</w:t>
      </w:r>
      <w:r>
        <w:rPr>
          <w:rFonts w:hint="eastAsia"/>
          <w:color w:val="auto"/>
          <w:szCs w:val="21"/>
          <w:highlight w:val="none"/>
        </w:rPr>
        <w:t>采购人、采购代理机构可以对已发出的采购文件进行必要的澄清或者修改，澄清或者修改的内容可能影响响应文件编制的，采购人、采购代理机构应当在提交首次响应文件截止之日3个工作日前，</w:t>
      </w:r>
      <w:bookmarkStart w:id="41" w:name="_Hlk133590520"/>
      <w:r>
        <w:rPr>
          <w:rFonts w:hint="eastAsia"/>
          <w:color w:val="auto"/>
          <w:szCs w:val="21"/>
          <w:highlight w:val="none"/>
        </w:rPr>
        <w:t>在供应商须知前附表规定的方式</w:t>
      </w:r>
      <w:bookmarkEnd w:id="41"/>
      <w:r>
        <w:rPr>
          <w:rFonts w:hint="eastAsia"/>
          <w:color w:val="auto"/>
          <w:szCs w:val="21"/>
          <w:highlight w:val="none"/>
        </w:rPr>
        <w:t>通知所有获取采购文件的潜在供应商；不足3个工作日的，采购人、采购代理机构应当顺延提交首次响应文件截止时间。</w:t>
      </w:r>
    </w:p>
    <w:p w14:paraId="32B2187E">
      <w:pPr>
        <w:spacing w:before="120" w:line="320" w:lineRule="atLeast"/>
        <w:ind w:firstLine="420" w:firstLineChars="200"/>
        <w:rPr>
          <w:color w:val="auto"/>
          <w:szCs w:val="21"/>
          <w:highlight w:val="none"/>
        </w:rPr>
      </w:pPr>
      <w:r>
        <w:rPr>
          <w:color w:val="auto"/>
          <w:szCs w:val="21"/>
          <w:highlight w:val="none"/>
        </w:rPr>
        <w:t>2.3.3采购文件澄清、答复、修改、补充的内容为采购文件的组成部分。当采购文件与采购文件的答复、澄清、修改、补充通知就同一内容的表述不一致时，以最后发出的公告或书面文件为准。</w:t>
      </w:r>
    </w:p>
    <w:p w14:paraId="702133ED">
      <w:pPr>
        <w:spacing w:before="120" w:line="320" w:lineRule="atLeast"/>
        <w:ind w:left="2" w:leftChars="1" w:firstLine="422" w:firstLineChars="200"/>
        <w:outlineLvl w:val="1"/>
        <w:rPr>
          <w:b/>
          <w:bCs/>
          <w:color w:val="auto"/>
          <w:kern w:val="0"/>
          <w:szCs w:val="21"/>
          <w:highlight w:val="none"/>
        </w:rPr>
      </w:pPr>
      <w:bookmarkStart w:id="42" w:name="_Toc254970535"/>
      <w:bookmarkStart w:id="43" w:name="_Toc254970676"/>
      <w:r>
        <w:rPr>
          <w:b/>
          <w:bCs/>
          <w:color w:val="auto"/>
          <w:kern w:val="0"/>
          <w:szCs w:val="21"/>
          <w:highlight w:val="none"/>
        </w:rPr>
        <w:t>3．响应文件</w:t>
      </w:r>
      <w:bookmarkEnd w:id="42"/>
      <w:bookmarkEnd w:id="43"/>
    </w:p>
    <w:p w14:paraId="0E4114E4">
      <w:pPr>
        <w:spacing w:before="120" w:line="320" w:lineRule="atLeast"/>
        <w:ind w:firstLine="422" w:firstLineChars="200"/>
        <w:outlineLvl w:val="2"/>
        <w:rPr>
          <w:b/>
          <w:bCs/>
          <w:color w:val="auto"/>
          <w:kern w:val="0"/>
          <w:szCs w:val="21"/>
          <w:highlight w:val="none"/>
        </w:rPr>
      </w:pPr>
      <w:bookmarkStart w:id="44" w:name="_Toc254970677"/>
      <w:bookmarkStart w:id="45" w:name="_Toc254970536"/>
      <w:r>
        <w:rPr>
          <w:b/>
          <w:bCs/>
          <w:color w:val="auto"/>
          <w:kern w:val="0"/>
          <w:szCs w:val="21"/>
          <w:highlight w:val="none"/>
        </w:rPr>
        <w:t>3.1响应文件的组成</w:t>
      </w:r>
      <w:bookmarkEnd w:id="44"/>
      <w:bookmarkEnd w:id="45"/>
    </w:p>
    <w:p w14:paraId="0D99BA29">
      <w:pPr>
        <w:spacing w:before="120" w:line="320" w:lineRule="atLeast"/>
        <w:ind w:firstLine="420" w:firstLineChars="200"/>
        <w:rPr>
          <w:color w:val="auto"/>
          <w:szCs w:val="21"/>
          <w:highlight w:val="none"/>
        </w:rPr>
      </w:pPr>
      <w:r>
        <w:rPr>
          <w:color w:val="auto"/>
          <w:szCs w:val="21"/>
          <w:highlight w:val="none"/>
        </w:rPr>
        <w:t>响应文件由第六章“响应文件格式”规定的</w:t>
      </w:r>
      <w:r>
        <w:rPr>
          <w:rFonts w:hint="eastAsia"/>
          <w:color w:val="auto"/>
          <w:szCs w:val="21"/>
          <w:highlight w:val="none"/>
        </w:rPr>
        <w:t>内容</w:t>
      </w:r>
      <w:r>
        <w:rPr>
          <w:color w:val="auto"/>
          <w:szCs w:val="21"/>
          <w:highlight w:val="none"/>
        </w:rPr>
        <w:t>和供应商所作的一切有效补充、修改和承诺等文件组成</w:t>
      </w:r>
      <w:r>
        <w:rPr>
          <w:rFonts w:hint="eastAsia"/>
          <w:color w:val="auto"/>
          <w:szCs w:val="21"/>
          <w:highlight w:val="none"/>
        </w:rPr>
        <w:t>。</w:t>
      </w:r>
    </w:p>
    <w:p w14:paraId="4E506A8F">
      <w:pPr>
        <w:spacing w:before="120" w:line="320" w:lineRule="atLeast"/>
        <w:ind w:firstLine="422" w:firstLineChars="200"/>
        <w:outlineLvl w:val="2"/>
        <w:rPr>
          <w:b/>
          <w:bCs/>
          <w:color w:val="auto"/>
          <w:kern w:val="0"/>
          <w:szCs w:val="21"/>
          <w:highlight w:val="none"/>
        </w:rPr>
      </w:pPr>
      <w:bookmarkStart w:id="46" w:name="_Toc254970678"/>
      <w:bookmarkStart w:id="47" w:name="_Toc254970537"/>
      <w:r>
        <w:rPr>
          <w:b/>
          <w:color w:val="auto"/>
          <w:szCs w:val="21"/>
          <w:highlight w:val="none"/>
        </w:rPr>
        <w:t>3.2</w:t>
      </w:r>
      <w:r>
        <w:rPr>
          <w:b/>
          <w:bCs/>
          <w:color w:val="auto"/>
          <w:kern w:val="0"/>
          <w:szCs w:val="21"/>
          <w:highlight w:val="none"/>
        </w:rPr>
        <w:t>响应文件的语言及计量</w:t>
      </w:r>
      <w:bookmarkEnd w:id="46"/>
      <w:bookmarkEnd w:id="47"/>
    </w:p>
    <w:p w14:paraId="71F2B335">
      <w:pPr>
        <w:spacing w:before="120" w:line="320" w:lineRule="atLeast"/>
        <w:ind w:firstLine="420" w:firstLineChars="200"/>
        <w:rPr>
          <w:color w:val="auto"/>
          <w:szCs w:val="21"/>
          <w:highlight w:val="none"/>
        </w:rPr>
      </w:pPr>
      <w:r>
        <w:rPr>
          <w:color w:val="auto"/>
          <w:szCs w:val="21"/>
          <w:highlight w:val="none"/>
        </w:rPr>
        <w:t>3.2.1</w:t>
      </w:r>
      <w:r>
        <w:rPr>
          <w:rFonts w:hint="eastAsia"/>
          <w:color w:val="auto"/>
          <w:szCs w:val="21"/>
          <w:highlight w:val="none"/>
        </w:rPr>
        <w:t>响应文件以及供应商与采购人就有关响应事宜的所有来往函电，均应以中文书写（除专用术语外，与招标响应有关的语言均使用中文。必要时专用术语应附有中文注释）。供应商提交的支持文件和印刷的文献可以使用别的语言，但其相应内容应同时附中文翻译文本，在解释响应文件时以中文翻译文本为主。对不同文字文本响应文件的解释发生异议的，以中文文本为准。</w:t>
      </w:r>
    </w:p>
    <w:p w14:paraId="6E86295A">
      <w:pPr>
        <w:spacing w:before="120" w:line="320" w:lineRule="atLeast"/>
        <w:ind w:firstLine="420" w:firstLineChars="200"/>
        <w:rPr>
          <w:color w:val="auto"/>
          <w:szCs w:val="21"/>
          <w:highlight w:val="none"/>
        </w:rPr>
      </w:pPr>
      <w:r>
        <w:rPr>
          <w:color w:val="auto"/>
          <w:szCs w:val="21"/>
          <w:highlight w:val="none"/>
        </w:rPr>
        <w:t>3.2.2计量单位采购文件已有明确规定的，响应使用采购文件规定的计量单位；采购文件没有规定的，应采用中华人民共和国法定计量单位。</w:t>
      </w:r>
    </w:p>
    <w:p w14:paraId="21329571">
      <w:pPr>
        <w:spacing w:before="120" w:line="320" w:lineRule="atLeast"/>
        <w:ind w:firstLine="422" w:firstLineChars="200"/>
        <w:outlineLvl w:val="2"/>
        <w:rPr>
          <w:b/>
          <w:bCs/>
          <w:color w:val="auto"/>
          <w:kern w:val="0"/>
          <w:szCs w:val="21"/>
          <w:highlight w:val="none"/>
        </w:rPr>
      </w:pPr>
      <w:bookmarkStart w:id="48" w:name="_Toc254970538"/>
      <w:bookmarkStart w:id="49" w:name="_Toc254970679"/>
      <w:r>
        <w:rPr>
          <w:b/>
          <w:bCs/>
          <w:color w:val="auto"/>
          <w:kern w:val="0"/>
          <w:szCs w:val="21"/>
          <w:highlight w:val="none"/>
        </w:rPr>
        <w:t>3.3响应报价</w:t>
      </w:r>
      <w:bookmarkEnd w:id="48"/>
      <w:bookmarkEnd w:id="49"/>
    </w:p>
    <w:p w14:paraId="5CF7F370">
      <w:pPr>
        <w:spacing w:before="120" w:line="320" w:lineRule="atLeast"/>
        <w:ind w:firstLine="420" w:firstLineChars="200"/>
        <w:rPr>
          <w:color w:val="auto"/>
          <w:szCs w:val="21"/>
          <w:highlight w:val="none"/>
        </w:rPr>
      </w:pPr>
      <w:r>
        <w:rPr>
          <w:color w:val="auto"/>
          <w:szCs w:val="21"/>
          <w:highlight w:val="none"/>
        </w:rPr>
        <w:t>3.3.1响应报价应按采购文件中相关附表格式填写。</w:t>
      </w:r>
    </w:p>
    <w:p w14:paraId="687AFC4E">
      <w:pPr>
        <w:spacing w:before="120" w:line="320" w:lineRule="atLeast"/>
        <w:ind w:firstLine="420" w:firstLineChars="200"/>
        <w:rPr>
          <w:color w:val="auto"/>
          <w:szCs w:val="21"/>
          <w:highlight w:val="none"/>
        </w:rPr>
      </w:pPr>
      <w:r>
        <w:rPr>
          <w:color w:val="auto"/>
          <w:szCs w:val="21"/>
          <w:highlight w:val="none"/>
        </w:rPr>
        <w:t>3.3.2响应文件只允许有一个报价，有选择的或有条件的报价将不予接受。</w:t>
      </w:r>
    </w:p>
    <w:p w14:paraId="12570D46">
      <w:pPr>
        <w:suppressAutoHyphens/>
        <w:spacing w:before="120" w:line="320" w:lineRule="atLeast"/>
        <w:ind w:firstLine="420" w:firstLineChars="200"/>
        <w:rPr>
          <w:color w:val="auto"/>
          <w:kern w:val="1"/>
          <w:szCs w:val="21"/>
          <w:highlight w:val="none"/>
        </w:rPr>
      </w:pPr>
      <w:r>
        <w:rPr>
          <w:color w:val="auto"/>
          <w:kern w:val="1"/>
          <w:szCs w:val="21"/>
          <w:highlight w:val="none"/>
        </w:rPr>
        <w:t>3.3.3对于本文件中未列明，而供应商认为必需的费用也需列入</w:t>
      </w:r>
      <w:r>
        <w:rPr>
          <w:rFonts w:hint="eastAsia"/>
          <w:color w:val="auto"/>
          <w:kern w:val="1"/>
          <w:szCs w:val="21"/>
          <w:highlight w:val="none"/>
        </w:rPr>
        <w:t>响应报价</w:t>
      </w:r>
      <w:r>
        <w:rPr>
          <w:color w:val="auto"/>
          <w:kern w:val="1"/>
          <w:szCs w:val="21"/>
          <w:highlight w:val="none"/>
        </w:rPr>
        <w:t>。在合同实施时，采购人将不予支付成交供应商没有列入的项目费用，并认为此项目的费用已包括在</w:t>
      </w:r>
      <w:r>
        <w:rPr>
          <w:rFonts w:hint="eastAsia"/>
          <w:color w:val="auto"/>
          <w:kern w:val="1"/>
          <w:szCs w:val="21"/>
          <w:highlight w:val="none"/>
        </w:rPr>
        <w:t>响应报价</w:t>
      </w:r>
      <w:r>
        <w:rPr>
          <w:color w:val="auto"/>
          <w:kern w:val="1"/>
          <w:szCs w:val="21"/>
          <w:highlight w:val="none"/>
        </w:rPr>
        <w:t>中。</w:t>
      </w:r>
    </w:p>
    <w:p w14:paraId="7CB32B68">
      <w:pPr>
        <w:suppressAutoHyphens/>
        <w:spacing w:before="120" w:line="320" w:lineRule="atLeast"/>
        <w:ind w:firstLine="420" w:firstLineChars="200"/>
        <w:rPr>
          <w:b/>
          <w:bCs/>
          <w:color w:val="auto"/>
          <w:kern w:val="1"/>
          <w:szCs w:val="21"/>
          <w:highlight w:val="none"/>
        </w:rPr>
      </w:pPr>
      <w:r>
        <w:rPr>
          <w:rFonts w:hint="eastAsia"/>
          <w:color w:val="auto"/>
          <w:kern w:val="1"/>
          <w:szCs w:val="21"/>
          <w:highlight w:val="none"/>
        </w:rPr>
        <w:t>3</w:t>
      </w:r>
      <w:r>
        <w:rPr>
          <w:color w:val="auto"/>
          <w:kern w:val="1"/>
          <w:szCs w:val="21"/>
          <w:highlight w:val="none"/>
        </w:rPr>
        <w:t>.3.4</w:t>
      </w:r>
      <w:r>
        <w:rPr>
          <w:rFonts w:hint="eastAsia"/>
          <w:color w:val="auto"/>
          <w:kern w:val="1"/>
          <w:szCs w:val="21"/>
          <w:highlight w:val="none"/>
        </w:rPr>
        <w:t>采购人不接受供应商给予的赠品、回扣或者与采购无关的其他商品、服务。</w:t>
      </w:r>
    </w:p>
    <w:p w14:paraId="568C97DA">
      <w:pPr>
        <w:spacing w:before="120" w:line="320" w:lineRule="atLeast"/>
        <w:ind w:firstLine="422" w:firstLineChars="200"/>
        <w:outlineLvl w:val="2"/>
        <w:rPr>
          <w:b/>
          <w:bCs/>
          <w:color w:val="auto"/>
          <w:kern w:val="0"/>
          <w:szCs w:val="21"/>
          <w:highlight w:val="none"/>
        </w:rPr>
      </w:pPr>
      <w:r>
        <w:rPr>
          <w:b/>
          <w:bCs/>
          <w:color w:val="auto"/>
          <w:kern w:val="0"/>
          <w:szCs w:val="21"/>
          <w:highlight w:val="none"/>
        </w:rPr>
        <w:t>3.4响应有效期</w:t>
      </w:r>
    </w:p>
    <w:p w14:paraId="4D295C26">
      <w:pPr>
        <w:spacing w:before="120" w:line="320" w:lineRule="atLeast"/>
        <w:ind w:firstLine="420" w:firstLineChars="200"/>
        <w:rPr>
          <w:color w:val="auto"/>
          <w:szCs w:val="21"/>
          <w:highlight w:val="none"/>
        </w:rPr>
      </w:pPr>
      <w:r>
        <w:rPr>
          <w:color w:val="auto"/>
          <w:szCs w:val="21"/>
          <w:highlight w:val="none"/>
        </w:rPr>
        <w:t>3.4.1如采购文件其他地方无特别规定</w:t>
      </w:r>
      <w:r>
        <w:rPr>
          <w:rFonts w:hint="eastAsia"/>
          <w:color w:val="auto"/>
          <w:szCs w:val="21"/>
          <w:highlight w:val="none"/>
        </w:rPr>
        <w:t>，</w:t>
      </w:r>
      <w:r>
        <w:rPr>
          <w:color w:val="auto"/>
          <w:szCs w:val="21"/>
          <w:highlight w:val="none"/>
        </w:rPr>
        <w:t>响应有效期则为响应截止之日起90天</w:t>
      </w:r>
      <w:r>
        <w:rPr>
          <w:rFonts w:hint="eastAsia"/>
          <w:color w:val="auto"/>
          <w:szCs w:val="21"/>
          <w:highlight w:val="none"/>
        </w:rPr>
        <w:t>。</w:t>
      </w:r>
      <w:r>
        <w:rPr>
          <w:color w:val="auto"/>
          <w:szCs w:val="21"/>
          <w:highlight w:val="none"/>
        </w:rPr>
        <w:t>在响应有效期内响应文件应保持有效。</w:t>
      </w:r>
      <w:r>
        <w:rPr>
          <w:b/>
          <w:bCs/>
          <w:color w:val="auto"/>
          <w:szCs w:val="21"/>
          <w:highlight w:val="none"/>
        </w:rPr>
        <w:t>有效期不足的响应文件将被否决</w:t>
      </w:r>
      <w:r>
        <w:rPr>
          <w:color w:val="auto"/>
          <w:szCs w:val="21"/>
          <w:highlight w:val="none"/>
        </w:rPr>
        <w:t>。</w:t>
      </w:r>
    </w:p>
    <w:p w14:paraId="31EFF3EB">
      <w:pPr>
        <w:spacing w:before="120" w:line="320" w:lineRule="atLeast"/>
        <w:ind w:firstLine="420" w:firstLineChars="200"/>
        <w:rPr>
          <w:color w:val="auto"/>
          <w:szCs w:val="21"/>
          <w:highlight w:val="none"/>
        </w:rPr>
      </w:pPr>
      <w:r>
        <w:rPr>
          <w:color w:val="auto"/>
          <w:szCs w:val="21"/>
          <w:highlight w:val="none"/>
        </w:rPr>
        <w:t>3.4.2在特殊情况下，采购人可与供应商协商延长响应文件的有效期，这种要求和答复均以书面形式进行。</w:t>
      </w:r>
    </w:p>
    <w:p w14:paraId="2C1D7447">
      <w:pPr>
        <w:spacing w:before="120" w:line="320" w:lineRule="atLeast"/>
        <w:ind w:firstLine="420" w:firstLineChars="200"/>
        <w:rPr>
          <w:color w:val="auto"/>
          <w:szCs w:val="21"/>
          <w:highlight w:val="none"/>
        </w:rPr>
      </w:pPr>
      <w:r>
        <w:rPr>
          <w:color w:val="auto"/>
          <w:szCs w:val="21"/>
          <w:highlight w:val="none"/>
        </w:rPr>
        <w:t>3.4.3</w:t>
      </w:r>
      <w:r>
        <w:rPr>
          <w:rFonts w:hint="eastAsia"/>
          <w:color w:val="auto"/>
          <w:szCs w:val="21"/>
          <w:highlight w:val="none"/>
        </w:rPr>
        <w:t>供应商同意延长的响应有效期的，如本项目要求提交保证金则应相应延长其磋商保证金的有效期，但不得要求或被允许修改或撤销其响应文件；供应商拒绝延长的，其响应无效，但供应商有权收回其磋商保证金。</w:t>
      </w:r>
    </w:p>
    <w:p w14:paraId="40808141">
      <w:pPr>
        <w:spacing w:before="120" w:line="320" w:lineRule="atLeast"/>
        <w:ind w:firstLine="422" w:firstLineChars="200"/>
        <w:outlineLvl w:val="2"/>
        <w:rPr>
          <w:b/>
          <w:bCs/>
          <w:color w:val="auto"/>
          <w:kern w:val="0"/>
          <w:szCs w:val="21"/>
          <w:highlight w:val="none"/>
        </w:rPr>
      </w:pPr>
      <w:bookmarkStart w:id="50" w:name="_Toc254970541"/>
      <w:bookmarkStart w:id="51" w:name="_Toc254970682"/>
      <w:r>
        <w:rPr>
          <w:b/>
          <w:bCs/>
          <w:color w:val="auto"/>
          <w:kern w:val="0"/>
          <w:szCs w:val="21"/>
          <w:highlight w:val="none"/>
        </w:rPr>
        <w:t>3.5磋商保证金</w:t>
      </w:r>
      <w:bookmarkEnd w:id="50"/>
      <w:bookmarkEnd w:id="51"/>
    </w:p>
    <w:p w14:paraId="2D3E4CDB">
      <w:pPr>
        <w:spacing w:before="120" w:line="320" w:lineRule="atLeast"/>
        <w:ind w:firstLine="420" w:firstLineChars="200"/>
        <w:rPr>
          <w:color w:val="auto"/>
          <w:szCs w:val="21"/>
          <w:highlight w:val="none"/>
        </w:rPr>
      </w:pPr>
      <w:r>
        <w:rPr>
          <w:color w:val="auto"/>
          <w:szCs w:val="21"/>
          <w:highlight w:val="none"/>
        </w:rPr>
        <w:t>3.5.1供应商须按须知前附表规定提交磋商保证金，</w:t>
      </w:r>
      <w:r>
        <w:rPr>
          <w:b/>
          <w:bCs/>
          <w:color w:val="auto"/>
          <w:szCs w:val="21"/>
          <w:highlight w:val="none"/>
        </w:rPr>
        <w:t>否则其响应将被否决</w:t>
      </w:r>
      <w:r>
        <w:rPr>
          <w:color w:val="auto"/>
          <w:szCs w:val="21"/>
          <w:highlight w:val="none"/>
        </w:rPr>
        <w:t>。除采购文件规定不予退还保证金的情形外，代理机构在规定时间内退回供应商的磋商保证金（供应商自行承担因未按供应商须知前附表要求交纳导致磋商保证金无法及时退还的责任）。</w:t>
      </w:r>
    </w:p>
    <w:p w14:paraId="16CCA97A">
      <w:pPr>
        <w:spacing w:before="120" w:line="320" w:lineRule="atLeast"/>
        <w:ind w:firstLine="420" w:firstLineChars="200"/>
        <w:rPr>
          <w:color w:val="auto"/>
          <w:szCs w:val="21"/>
          <w:highlight w:val="none"/>
        </w:rPr>
      </w:pPr>
      <w:r>
        <w:rPr>
          <w:color w:val="auto"/>
          <w:szCs w:val="21"/>
          <w:highlight w:val="none"/>
        </w:rPr>
        <w:t>3.5.2磋商保证金币种应与响应报价币种相同。</w:t>
      </w:r>
    </w:p>
    <w:p w14:paraId="0D276443">
      <w:pPr>
        <w:spacing w:before="120" w:line="320" w:lineRule="atLeast"/>
        <w:ind w:firstLine="420" w:firstLineChars="200"/>
        <w:rPr>
          <w:color w:val="auto"/>
          <w:szCs w:val="21"/>
          <w:highlight w:val="none"/>
        </w:rPr>
      </w:pPr>
      <w:r>
        <w:rPr>
          <w:color w:val="auto"/>
          <w:szCs w:val="21"/>
          <w:highlight w:val="none"/>
        </w:rPr>
        <w:t>3.5.3未成交供应商的磋商保证金在成交通知书发出后5个工作日内退还。成交供应商的磋商保证金在合同签订后5个工作日内退还（办理退还手续时需要向采购代理机构提供两份合同复印件）。</w:t>
      </w:r>
    </w:p>
    <w:p w14:paraId="74EBC355">
      <w:pPr>
        <w:spacing w:before="120" w:line="320" w:lineRule="atLeast"/>
        <w:ind w:firstLine="420" w:firstLineChars="200"/>
        <w:rPr>
          <w:color w:val="auto"/>
          <w:szCs w:val="21"/>
          <w:highlight w:val="none"/>
        </w:rPr>
      </w:pPr>
      <w:r>
        <w:rPr>
          <w:color w:val="auto"/>
          <w:szCs w:val="21"/>
          <w:highlight w:val="none"/>
        </w:rPr>
        <w:t>3.5.4供应商有下列情形之一的，磋商保证金将不予退还：</w:t>
      </w:r>
    </w:p>
    <w:p w14:paraId="4089E47F">
      <w:pPr>
        <w:numPr>
          <w:ilvl w:val="0"/>
          <w:numId w:val="1"/>
        </w:numPr>
        <w:spacing w:before="120" w:line="320" w:lineRule="atLeast"/>
        <w:rPr>
          <w:color w:val="auto"/>
          <w:szCs w:val="21"/>
          <w:highlight w:val="none"/>
        </w:rPr>
      </w:pPr>
      <w:r>
        <w:rPr>
          <w:color w:val="auto"/>
          <w:szCs w:val="21"/>
          <w:highlight w:val="none"/>
        </w:rPr>
        <w:t>供应商在响应有效期内撤销响应文件的；</w:t>
      </w:r>
    </w:p>
    <w:p w14:paraId="024B9CE0">
      <w:pPr>
        <w:numPr>
          <w:ilvl w:val="0"/>
          <w:numId w:val="1"/>
        </w:numPr>
        <w:spacing w:before="120" w:line="320" w:lineRule="atLeast"/>
        <w:rPr>
          <w:color w:val="auto"/>
          <w:szCs w:val="21"/>
          <w:highlight w:val="none"/>
        </w:rPr>
      </w:pPr>
      <w:r>
        <w:rPr>
          <w:color w:val="auto"/>
          <w:szCs w:val="21"/>
          <w:highlight w:val="none"/>
        </w:rPr>
        <w:t>供应商在响应过程中弄虚作假，提供虚假材料的；</w:t>
      </w:r>
    </w:p>
    <w:p w14:paraId="298CA18E">
      <w:pPr>
        <w:numPr>
          <w:ilvl w:val="0"/>
          <w:numId w:val="1"/>
        </w:numPr>
        <w:spacing w:before="120" w:line="320" w:lineRule="atLeast"/>
        <w:rPr>
          <w:color w:val="auto"/>
          <w:szCs w:val="21"/>
          <w:highlight w:val="none"/>
        </w:rPr>
      </w:pPr>
      <w:r>
        <w:rPr>
          <w:color w:val="auto"/>
          <w:szCs w:val="21"/>
          <w:highlight w:val="none"/>
        </w:rPr>
        <w:t>成交供应商无正当理由不与采购人签订合同的；</w:t>
      </w:r>
    </w:p>
    <w:p w14:paraId="54982673">
      <w:pPr>
        <w:numPr>
          <w:ilvl w:val="0"/>
          <w:numId w:val="1"/>
        </w:numPr>
        <w:spacing w:before="120" w:line="320" w:lineRule="atLeast"/>
        <w:rPr>
          <w:color w:val="auto"/>
          <w:szCs w:val="21"/>
          <w:highlight w:val="none"/>
        </w:rPr>
      </w:pPr>
      <w:r>
        <w:rPr>
          <w:color w:val="auto"/>
          <w:szCs w:val="21"/>
          <w:highlight w:val="none"/>
        </w:rPr>
        <w:t>将</w:t>
      </w:r>
      <w:r>
        <w:rPr>
          <w:rFonts w:hint="eastAsia"/>
          <w:color w:val="auto"/>
          <w:szCs w:val="21"/>
          <w:highlight w:val="none"/>
        </w:rPr>
        <w:t>成交</w:t>
      </w:r>
      <w:r>
        <w:rPr>
          <w:color w:val="auto"/>
          <w:szCs w:val="21"/>
          <w:highlight w:val="none"/>
        </w:rPr>
        <w:t>项目转让给他人或者在响应文件中未说明且未经采购人同意，将</w:t>
      </w:r>
      <w:r>
        <w:rPr>
          <w:rFonts w:hint="eastAsia"/>
          <w:color w:val="auto"/>
          <w:szCs w:val="21"/>
          <w:highlight w:val="none"/>
        </w:rPr>
        <w:t>成交</w:t>
      </w:r>
      <w:r>
        <w:rPr>
          <w:color w:val="auto"/>
          <w:szCs w:val="21"/>
          <w:highlight w:val="none"/>
        </w:rPr>
        <w:t>项目分包给他人的；</w:t>
      </w:r>
    </w:p>
    <w:p w14:paraId="7812AD85">
      <w:pPr>
        <w:numPr>
          <w:ilvl w:val="0"/>
          <w:numId w:val="1"/>
        </w:numPr>
        <w:spacing w:before="120" w:line="320" w:lineRule="atLeast"/>
        <w:rPr>
          <w:color w:val="auto"/>
          <w:szCs w:val="21"/>
          <w:highlight w:val="none"/>
        </w:rPr>
      </w:pPr>
      <w:r>
        <w:rPr>
          <w:rFonts w:hint="eastAsia"/>
          <w:color w:val="auto"/>
          <w:szCs w:val="21"/>
          <w:highlight w:val="none"/>
        </w:rPr>
        <w:t>供应商与采购人、其他供应商或者采购代理机构恶意串通的；</w:t>
      </w:r>
    </w:p>
    <w:p w14:paraId="3B07EA7A">
      <w:pPr>
        <w:numPr>
          <w:ilvl w:val="0"/>
          <w:numId w:val="1"/>
        </w:numPr>
        <w:spacing w:before="120" w:line="320" w:lineRule="atLeast"/>
        <w:rPr>
          <w:color w:val="auto"/>
          <w:szCs w:val="21"/>
          <w:highlight w:val="none"/>
        </w:rPr>
      </w:pPr>
      <w:r>
        <w:rPr>
          <w:color w:val="auto"/>
          <w:szCs w:val="21"/>
          <w:highlight w:val="none"/>
        </w:rPr>
        <w:t>拒绝履行合同义务的；</w:t>
      </w:r>
    </w:p>
    <w:p w14:paraId="57DD5FC1">
      <w:pPr>
        <w:numPr>
          <w:ilvl w:val="0"/>
          <w:numId w:val="1"/>
        </w:numPr>
        <w:spacing w:before="120" w:line="320" w:lineRule="atLeast"/>
        <w:rPr>
          <w:color w:val="auto"/>
          <w:szCs w:val="21"/>
          <w:highlight w:val="none"/>
        </w:rPr>
      </w:pPr>
      <w:r>
        <w:rPr>
          <w:color w:val="auto"/>
          <w:szCs w:val="21"/>
          <w:highlight w:val="none"/>
        </w:rPr>
        <w:t>其他严重扰乱招</w:t>
      </w:r>
      <w:r>
        <w:rPr>
          <w:rFonts w:hint="eastAsia"/>
          <w:color w:val="auto"/>
          <w:szCs w:val="21"/>
          <w:highlight w:val="none"/>
        </w:rPr>
        <w:t>投标</w:t>
      </w:r>
      <w:r>
        <w:rPr>
          <w:color w:val="auto"/>
          <w:szCs w:val="21"/>
          <w:highlight w:val="none"/>
        </w:rPr>
        <w:t>程序的</w:t>
      </w:r>
      <w:r>
        <w:rPr>
          <w:rFonts w:hint="eastAsia"/>
          <w:color w:val="auto"/>
          <w:szCs w:val="21"/>
          <w:highlight w:val="none"/>
        </w:rPr>
        <w:t>。</w:t>
      </w:r>
    </w:p>
    <w:p w14:paraId="3666F9CF">
      <w:pPr>
        <w:spacing w:before="120" w:line="320" w:lineRule="atLeast"/>
        <w:ind w:firstLine="422" w:firstLineChars="200"/>
        <w:outlineLvl w:val="2"/>
        <w:rPr>
          <w:b/>
          <w:bCs/>
          <w:color w:val="auto"/>
          <w:kern w:val="0"/>
          <w:szCs w:val="21"/>
          <w:highlight w:val="none"/>
        </w:rPr>
      </w:pPr>
      <w:bookmarkStart w:id="52" w:name="_Toc254970542"/>
      <w:bookmarkStart w:id="53" w:name="_Toc254970683"/>
      <w:r>
        <w:rPr>
          <w:b/>
          <w:bCs/>
          <w:color w:val="auto"/>
          <w:kern w:val="0"/>
          <w:szCs w:val="21"/>
          <w:highlight w:val="none"/>
        </w:rPr>
        <w:t>3.6响应文件的</w:t>
      </w:r>
      <w:bookmarkEnd w:id="52"/>
      <w:bookmarkEnd w:id="53"/>
      <w:r>
        <w:rPr>
          <w:b/>
          <w:bCs/>
          <w:color w:val="auto"/>
          <w:kern w:val="0"/>
          <w:szCs w:val="21"/>
          <w:highlight w:val="none"/>
        </w:rPr>
        <w:t>编制要求</w:t>
      </w:r>
    </w:p>
    <w:p w14:paraId="58C565F6">
      <w:pPr>
        <w:spacing w:before="120" w:line="320" w:lineRule="atLeast"/>
        <w:ind w:firstLine="420" w:firstLineChars="200"/>
        <w:rPr>
          <w:b/>
          <w:bCs/>
          <w:color w:val="auto"/>
          <w:kern w:val="0"/>
          <w:szCs w:val="21"/>
          <w:highlight w:val="none"/>
        </w:rPr>
      </w:pPr>
      <w:r>
        <w:rPr>
          <w:rFonts w:hint="eastAsia"/>
          <w:color w:val="auto"/>
          <w:kern w:val="0"/>
          <w:szCs w:val="21"/>
          <w:highlight w:val="none"/>
        </w:rPr>
        <w:t>3</w:t>
      </w:r>
      <w:r>
        <w:rPr>
          <w:color w:val="auto"/>
          <w:kern w:val="0"/>
          <w:szCs w:val="21"/>
          <w:highlight w:val="none"/>
        </w:rPr>
        <w:t>.6.1</w:t>
      </w:r>
      <w:r>
        <w:rPr>
          <w:rFonts w:hint="eastAsia"/>
          <w:color w:val="auto"/>
          <w:szCs w:val="21"/>
          <w:highlight w:val="none"/>
        </w:rPr>
        <w:t>供应商应先安装广西政府采购云平台新版客户端，通过账号密码或C</w:t>
      </w:r>
      <w:r>
        <w:rPr>
          <w:color w:val="auto"/>
          <w:szCs w:val="21"/>
          <w:highlight w:val="none"/>
        </w:rPr>
        <w:t>A</w:t>
      </w:r>
      <w:r>
        <w:rPr>
          <w:rFonts w:hint="eastAsia"/>
          <w:color w:val="auto"/>
          <w:szCs w:val="21"/>
          <w:highlight w:val="none"/>
        </w:rPr>
        <w:t>登录客户端制作响应文件。</w:t>
      </w:r>
    </w:p>
    <w:p w14:paraId="763CEF39">
      <w:pPr>
        <w:spacing w:before="120" w:line="320" w:lineRule="atLeast"/>
        <w:ind w:firstLine="420" w:firstLineChars="200"/>
        <w:rPr>
          <w:rFonts w:hint="eastAsia"/>
          <w:color w:val="auto"/>
          <w:szCs w:val="21"/>
          <w:highlight w:val="none"/>
        </w:rPr>
      </w:pPr>
      <w:r>
        <w:rPr>
          <w:rFonts w:hint="eastAsia"/>
          <w:color w:val="auto"/>
          <w:szCs w:val="21"/>
          <w:highlight w:val="none"/>
        </w:rPr>
        <w:t>3.6.2供应商应按本采购文件规定的格式和顺序编制响应文件并进行关联定位，以便磋商小组在评审时，点击评分项可直接定位到该评分项内容。如对采购文件的某项要求，供应商的响应文件未能关联定位提供相应的内容与其对应，则磋商小组在评审时如做出对供应商不利的评审由供应商自行承担。响应文件如内容不完整、编排混乱导致响应文件被误读、漏读，或者在按采购文件规定的部位查找不到相关内容的，由供应商自行承担。</w:t>
      </w:r>
    </w:p>
    <w:p w14:paraId="74C1FC7D">
      <w:pPr>
        <w:spacing w:before="120" w:line="320" w:lineRule="atLeast"/>
        <w:ind w:firstLine="420" w:firstLineChars="200"/>
        <w:rPr>
          <w:color w:val="auto"/>
          <w:szCs w:val="21"/>
          <w:highlight w:val="none"/>
        </w:rPr>
      </w:pPr>
      <w:r>
        <w:rPr>
          <w:rFonts w:hint="eastAsia"/>
          <w:color w:val="auto"/>
          <w:szCs w:val="21"/>
          <w:highlight w:val="none"/>
        </w:rPr>
        <w:t>3.6.3 供应商的响应文件未按照采购文件要求签署、盖章的，</w:t>
      </w:r>
      <w:r>
        <w:rPr>
          <w:rFonts w:hint="eastAsia"/>
          <w:b/>
          <w:bCs/>
          <w:color w:val="auto"/>
          <w:szCs w:val="21"/>
          <w:highlight w:val="none"/>
        </w:rPr>
        <w:t>其响应无效</w:t>
      </w:r>
      <w:r>
        <w:rPr>
          <w:rFonts w:hint="eastAsia"/>
          <w:color w:val="auto"/>
          <w:szCs w:val="21"/>
          <w:highlight w:val="none"/>
        </w:rPr>
        <w:t>。</w:t>
      </w:r>
    </w:p>
    <w:p w14:paraId="43563CE1">
      <w:pPr>
        <w:spacing w:before="120" w:line="320" w:lineRule="atLeast"/>
        <w:ind w:firstLine="420" w:firstLineChars="200"/>
        <w:rPr>
          <w:color w:val="auto"/>
          <w:szCs w:val="21"/>
          <w:highlight w:val="none"/>
        </w:rPr>
      </w:pPr>
      <w:r>
        <w:rPr>
          <w:color w:val="auto"/>
          <w:szCs w:val="21"/>
          <w:highlight w:val="none"/>
        </w:rPr>
        <w:t>3.6.4</w:t>
      </w:r>
      <w:r>
        <w:rPr>
          <w:rFonts w:hint="eastAsia"/>
          <w:color w:val="auto"/>
          <w:szCs w:val="21"/>
          <w:highlight w:val="none"/>
        </w:rPr>
        <w:t>为确保网上操作合法、有效和安全，供应商应当在响应截止时间前完成在广西政府采购云平台的身份认证，确保在电子投标过程中能够对相关数据电文进行加密和使用电子签名。</w:t>
      </w:r>
    </w:p>
    <w:p w14:paraId="7CFBEC4D">
      <w:pPr>
        <w:spacing w:before="120" w:line="320" w:lineRule="atLeast"/>
        <w:ind w:firstLine="420" w:firstLineChars="200"/>
        <w:rPr>
          <w:color w:val="auto"/>
          <w:szCs w:val="21"/>
          <w:highlight w:val="none"/>
        </w:rPr>
      </w:pPr>
      <w:r>
        <w:rPr>
          <w:rFonts w:hint="eastAsia"/>
          <w:color w:val="auto"/>
          <w:szCs w:val="21"/>
          <w:highlight w:val="none"/>
        </w:rPr>
        <w:t>3</w:t>
      </w:r>
      <w:r>
        <w:rPr>
          <w:color w:val="auto"/>
          <w:szCs w:val="21"/>
          <w:highlight w:val="none"/>
        </w:rPr>
        <w:t>.6.5</w:t>
      </w:r>
      <w:r>
        <w:rPr>
          <w:rFonts w:hint="eastAsia"/>
          <w:color w:val="auto"/>
          <w:szCs w:val="21"/>
          <w:highlight w:val="none"/>
        </w:rPr>
        <w:t>响应文件中标注的供应商名称应与主体资格证明（如营业执照、事业单位法人证书、执业许可证、个体工商户营业执照、自然人身份证等）和公章/电子签章一致，</w:t>
      </w:r>
      <w:r>
        <w:rPr>
          <w:rFonts w:hint="eastAsia"/>
          <w:b/>
          <w:bCs/>
          <w:color w:val="auto"/>
          <w:szCs w:val="21"/>
          <w:highlight w:val="none"/>
        </w:rPr>
        <w:t>否则作无效响应处理。</w:t>
      </w:r>
    </w:p>
    <w:p w14:paraId="14A6315E">
      <w:pPr>
        <w:spacing w:before="120" w:line="320" w:lineRule="atLeast"/>
        <w:ind w:firstLine="422" w:firstLineChars="200"/>
        <w:outlineLvl w:val="2"/>
        <w:rPr>
          <w:b/>
          <w:bCs/>
          <w:color w:val="auto"/>
          <w:kern w:val="0"/>
          <w:szCs w:val="21"/>
          <w:highlight w:val="none"/>
        </w:rPr>
      </w:pPr>
      <w:r>
        <w:rPr>
          <w:b/>
          <w:bCs/>
          <w:color w:val="auto"/>
          <w:kern w:val="0"/>
          <w:szCs w:val="21"/>
          <w:highlight w:val="none"/>
        </w:rPr>
        <w:t>3.7响应文件的递交、修改和撤回</w:t>
      </w:r>
    </w:p>
    <w:p w14:paraId="1CBF63C0">
      <w:pPr>
        <w:spacing w:before="120" w:line="320" w:lineRule="atLeast"/>
        <w:ind w:firstLine="420" w:firstLineChars="200"/>
        <w:rPr>
          <w:color w:val="auto"/>
          <w:szCs w:val="21"/>
          <w:highlight w:val="none"/>
        </w:rPr>
      </w:pPr>
      <w:r>
        <w:rPr>
          <w:color w:val="auto"/>
          <w:szCs w:val="21"/>
          <w:highlight w:val="none"/>
        </w:rPr>
        <w:t>3.7.1</w:t>
      </w:r>
      <w:r>
        <w:rPr>
          <w:rFonts w:hint="eastAsia"/>
          <w:color w:val="auto"/>
          <w:szCs w:val="21"/>
          <w:highlight w:val="none"/>
        </w:rPr>
        <w:t xml:space="preserve">供应商必须在“供应商须知前附表”规定的响应文件截标时间和响应地点提交电子版响应文件。电子响应文件应在制作完成后，在响应截止时间前通过有效数字证书（CA认证锁）进行电子签章、加密，然后通过网络将加密的电子响应文件递交至广西政府采购云平台。 </w:t>
      </w:r>
    </w:p>
    <w:p w14:paraId="6C4CD6B2">
      <w:pPr>
        <w:spacing w:before="120" w:line="320" w:lineRule="atLeast"/>
        <w:ind w:firstLine="420" w:firstLineChars="200"/>
        <w:rPr>
          <w:color w:val="auto"/>
          <w:szCs w:val="21"/>
          <w:highlight w:val="none"/>
        </w:rPr>
      </w:pPr>
      <w:r>
        <w:rPr>
          <w:rFonts w:hint="eastAsia"/>
          <w:color w:val="auto"/>
          <w:szCs w:val="21"/>
          <w:highlight w:val="none"/>
        </w:rPr>
        <w:t>3</w:t>
      </w:r>
      <w:r>
        <w:rPr>
          <w:color w:val="auto"/>
          <w:szCs w:val="21"/>
          <w:highlight w:val="none"/>
        </w:rPr>
        <w:t>.7.2</w:t>
      </w:r>
      <w:r>
        <w:rPr>
          <w:rFonts w:hint="eastAsia"/>
          <w:color w:val="auto"/>
          <w:szCs w:val="21"/>
          <w:highlight w:val="none"/>
        </w:rPr>
        <w:t xml:space="preserve">未在规定时间内提交或者未按照采购文件要求签章、加密的电子响应文件，广西政府采购云平台将拒收。 </w:t>
      </w:r>
    </w:p>
    <w:p w14:paraId="7332C58A">
      <w:pPr>
        <w:spacing w:before="120" w:line="320" w:lineRule="atLeast"/>
        <w:ind w:left="2" w:leftChars="1" w:firstLine="420" w:firstLineChars="200"/>
        <w:rPr>
          <w:color w:val="auto"/>
          <w:szCs w:val="21"/>
          <w:highlight w:val="none"/>
        </w:rPr>
      </w:pPr>
      <w:r>
        <w:rPr>
          <w:rFonts w:hint="eastAsia"/>
          <w:color w:val="auto"/>
          <w:szCs w:val="21"/>
          <w:highlight w:val="none"/>
        </w:rPr>
        <w:t>3</w:t>
      </w:r>
      <w:r>
        <w:rPr>
          <w:color w:val="auto"/>
          <w:szCs w:val="21"/>
          <w:highlight w:val="none"/>
        </w:rPr>
        <w:t>.7.3</w:t>
      </w:r>
      <w:r>
        <w:rPr>
          <w:rFonts w:hint="eastAsia"/>
          <w:color w:val="auto"/>
          <w:szCs w:val="21"/>
          <w:highlight w:val="none"/>
        </w:rPr>
        <w:t>供应商应当在响应截止时间前完成响应文件的传输递交，并可以补充、修改或者撤回响应文件。补充或者修改响应文件的，应当先行撤回原文件，补充、修改后重新传输递交。响应截止时间前未完成传输的，视为撤回响应文件。响应截止时间后递交的响应文件，广西政府采购云平台将拒收。</w:t>
      </w:r>
    </w:p>
    <w:p w14:paraId="30EF790E">
      <w:pPr>
        <w:spacing w:before="120" w:line="320" w:lineRule="atLeast"/>
        <w:ind w:left="2" w:leftChars="1" w:firstLine="420" w:firstLineChars="200"/>
        <w:rPr>
          <w:color w:val="auto"/>
          <w:szCs w:val="21"/>
          <w:highlight w:val="none"/>
        </w:rPr>
      </w:pPr>
      <w:r>
        <w:rPr>
          <w:color w:val="auto"/>
          <w:szCs w:val="21"/>
          <w:highlight w:val="none"/>
        </w:rPr>
        <w:t>3.7.4</w:t>
      </w:r>
      <w:r>
        <w:rPr>
          <w:rFonts w:hint="eastAsia"/>
          <w:color w:val="auto"/>
          <w:szCs w:val="21"/>
          <w:highlight w:val="none"/>
        </w:rPr>
        <w:t>在响应截止时间前，除供应商补充、修改或者撤回响应文件外，任何单位和个人不得解密或提取响应文件。</w:t>
      </w:r>
    </w:p>
    <w:p w14:paraId="672B7049">
      <w:pPr>
        <w:spacing w:before="120" w:line="320" w:lineRule="atLeast"/>
        <w:ind w:left="2" w:leftChars="1" w:firstLine="420" w:firstLineChars="200"/>
        <w:rPr>
          <w:color w:val="auto"/>
          <w:szCs w:val="21"/>
          <w:highlight w:val="none"/>
        </w:rPr>
      </w:pPr>
      <w:r>
        <w:rPr>
          <w:color w:val="auto"/>
          <w:szCs w:val="21"/>
          <w:highlight w:val="none"/>
        </w:rPr>
        <w:t>3.7.5</w:t>
      </w:r>
      <w:r>
        <w:rPr>
          <w:rFonts w:hint="eastAsia"/>
          <w:color w:val="auto"/>
          <w:szCs w:val="21"/>
          <w:highlight w:val="none"/>
        </w:rPr>
        <w:t>在响应截止时间止提交电子版响应文件的供应商不足3家时，电子版响应文件由代理机构在广西政府采购云平台操作退回，除此之外采购人和采购代理机构对已提交的响应文件概不退回。</w:t>
      </w:r>
    </w:p>
    <w:p w14:paraId="45FCBC18">
      <w:pPr>
        <w:spacing w:before="120" w:line="320" w:lineRule="atLeast"/>
        <w:ind w:left="2" w:leftChars="1" w:firstLine="420" w:firstLineChars="200"/>
        <w:rPr>
          <w:rFonts w:hint="eastAsia"/>
          <w:color w:val="auto"/>
          <w:szCs w:val="21"/>
          <w:highlight w:val="none"/>
        </w:rPr>
      </w:pPr>
      <w:bookmarkStart w:id="54" w:name="_Hlk93046827"/>
      <w:r>
        <w:rPr>
          <w:rFonts w:hint="eastAsia"/>
          <w:color w:val="auto"/>
          <w:szCs w:val="21"/>
          <w:highlight w:val="none"/>
        </w:rPr>
        <w:t>3</w:t>
      </w:r>
      <w:r>
        <w:rPr>
          <w:color w:val="auto"/>
          <w:szCs w:val="21"/>
          <w:highlight w:val="none"/>
        </w:rPr>
        <w:t>.7.6</w:t>
      </w:r>
      <w:bookmarkEnd w:id="54"/>
      <w:r>
        <w:rPr>
          <w:rFonts w:hint="eastAsia"/>
          <w:color w:val="auto"/>
          <w:szCs w:val="21"/>
          <w:highlight w:val="none"/>
        </w:rPr>
        <w:t>采购文件未允许同一供应商提交两个或以上不同的响应文件，但存在同一供应商提交两个或以上不同的响应文件的，其响应无效。供应商在同一响应文件中对某项技术、商务要求提供有选择性的响应参数或方案等同于提交两个或以上不同的响应文件。</w:t>
      </w:r>
    </w:p>
    <w:p w14:paraId="2B1BFD6E">
      <w:pPr>
        <w:spacing w:before="120" w:line="320" w:lineRule="atLeast"/>
        <w:ind w:left="2" w:leftChars="1" w:firstLine="422" w:firstLineChars="200"/>
        <w:outlineLvl w:val="1"/>
        <w:rPr>
          <w:b/>
          <w:bCs/>
          <w:color w:val="auto"/>
          <w:kern w:val="0"/>
          <w:szCs w:val="21"/>
          <w:highlight w:val="none"/>
        </w:rPr>
      </w:pPr>
      <w:r>
        <w:rPr>
          <w:b/>
          <w:bCs/>
          <w:color w:val="auto"/>
          <w:kern w:val="0"/>
          <w:szCs w:val="21"/>
          <w:highlight w:val="none"/>
        </w:rPr>
        <w:t>4．截标</w:t>
      </w:r>
    </w:p>
    <w:p w14:paraId="484B3CFE">
      <w:pPr>
        <w:spacing w:before="120" w:line="320" w:lineRule="atLeast"/>
        <w:ind w:firstLine="422" w:firstLineChars="200"/>
        <w:outlineLvl w:val="2"/>
        <w:rPr>
          <w:b/>
          <w:bCs/>
          <w:color w:val="auto"/>
          <w:kern w:val="0"/>
          <w:szCs w:val="21"/>
          <w:highlight w:val="none"/>
        </w:rPr>
      </w:pPr>
      <w:r>
        <w:rPr>
          <w:b/>
          <w:bCs/>
          <w:color w:val="auto"/>
          <w:kern w:val="0"/>
          <w:szCs w:val="21"/>
          <w:highlight w:val="none"/>
        </w:rPr>
        <w:t>4.1截标准备</w:t>
      </w:r>
    </w:p>
    <w:p w14:paraId="1749966A">
      <w:pPr>
        <w:spacing w:before="120" w:line="276" w:lineRule="auto"/>
        <w:ind w:firstLine="420" w:firstLineChars="200"/>
        <w:rPr>
          <w:color w:val="auto"/>
          <w:szCs w:val="21"/>
          <w:highlight w:val="none"/>
        </w:rPr>
      </w:pPr>
      <w:r>
        <w:rPr>
          <w:color w:val="auto"/>
          <w:szCs w:val="21"/>
          <w:highlight w:val="none"/>
        </w:rPr>
        <w:t>本项目响应截止时间及地点见“供应商须知前附表”规定。</w:t>
      </w:r>
    </w:p>
    <w:p w14:paraId="39B57D8A">
      <w:pPr>
        <w:autoSpaceDE w:val="0"/>
        <w:autoSpaceDN w:val="0"/>
        <w:adjustRightInd w:val="0"/>
        <w:spacing w:line="276" w:lineRule="auto"/>
        <w:ind w:firstLine="420" w:firstLineChars="200"/>
        <w:rPr>
          <w:color w:val="auto"/>
          <w:szCs w:val="21"/>
          <w:highlight w:val="none"/>
        </w:rPr>
      </w:pPr>
      <w:r>
        <w:rPr>
          <w:rFonts w:hint="eastAsia"/>
          <w:color w:val="auto"/>
          <w:szCs w:val="21"/>
          <w:highlight w:val="none"/>
        </w:rPr>
        <w:t>全流程电子化项目没有现场递交响应文件及现场截标环节。采购代理机构将按照采购文件规定的时间通过广西政府采购云平台组织线上截标活动、开启响应文件，所有供应商均应当准时在线参加。供应商</w:t>
      </w:r>
      <w:r>
        <w:rPr>
          <w:color w:val="auto"/>
          <w:szCs w:val="21"/>
          <w:highlight w:val="none"/>
        </w:rPr>
        <w:t>如不</w:t>
      </w:r>
      <w:r>
        <w:rPr>
          <w:rFonts w:hint="eastAsia"/>
          <w:color w:val="auto"/>
          <w:szCs w:val="21"/>
          <w:highlight w:val="none"/>
        </w:rPr>
        <w:t>参加</w:t>
      </w:r>
      <w:r>
        <w:rPr>
          <w:color w:val="auto"/>
          <w:szCs w:val="21"/>
          <w:highlight w:val="none"/>
        </w:rPr>
        <w:t>截标大会的，</w:t>
      </w:r>
      <w:r>
        <w:rPr>
          <w:rFonts w:hint="eastAsia"/>
          <w:color w:val="auto"/>
          <w:szCs w:val="21"/>
          <w:highlight w:val="none"/>
        </w:rPr>
        <w:t>视同认可截标结果，</w:t>
      </w:r>
      <w:r>
        <w:rPr>
          <w:color w:val="auto"/>
          <w:szCs w:val="21"/>
          <w:highlight w:val="none"/>
        </w:rPr>
        <w:t>事后不得对采购相关人员、截标过程和截标结果提出异议</w:t>
      </w:r>
      <w:r>
        <w:rPr>
          <w:rFonts w:hint="eastAsia"/>
          <w:color w:val="auto"/>
          <w:szCs w:val="21"/>
          <w:highlight w:val="none"/>
        </w:rPr>
        <w:t>，同时供应商因未在线参加截标而导致响应文件无法按时解密等一切后果由供应商自己承担。</w:t>
      </w:r>
    </w:p>
    <w:p w14:paraId="7CBA0DBE">
      <w:pPr>
        <w:spacing w:before="120" w:line="276" w:lineRule="auto"/>
        <w:ind w:firstLine="420" w:firstLineChars="200"/>
        <w:rPr>
          <w:color w:val="auto"/>
          <w:szCs w:val="21"/>
          <w:highlight w:val="none"/>
        </w:rPr>
      </w:pPr>
      <w:r>
        <w:rPr>
          <w:rFonts w:hint="eastAsia"/>
          <w:color w:val="auto"/>
          <w:szCs w:val="21"/>
          <w:highlight w:val="none"/>
        </w:rPr>
        <w:t xml:space="preserve">如供应商成功解密响应文件，但未在广西政府采购云平台电子开标大厅参加截标的，视同认可截标过程和结果，由此产生的后果由供应商自行负责。 </w:t>
      </w:r>
    </w:p>
    <w:p w14:paraId="7C4EEB18">
      <w:pPr>
        <w:spacing w:before="120" w:line="320" w:lineRule="atLeast"/>
        <w:ind w:firstLine="422" w:firstLineChars="200"/>
        <w:outlineLvl w:val="2"/>
        <w:rPr>
          <w:b/>
          <w:bCs/>
          <w:color w:val="auto"/>
          <w:kern w:val="0"/>
          <w:szCs w:val="21"/>
          <w:highlight w:val="none"/>
        </w:rPr>
      </w:pPr>
      <w:r>
        <w:rPr>
          <w:b/>
          <w:bCs/>
          <w:color w:val="auto"/>
          <w:kern w:val="0"/>
          <w:szCs w:val="21"/>
          <w:highlight w:val="none"/>
        </w:rPr>
        <w:t>4.2截标程序</w:t>
      </w:r>
    </w:p>
    <w:p w14:paraId="3D1FD722">
      <w:pPr>
        <w:spacing w:before="120" w:line="320" w:lineRule="atLeast"/>
        <w:ind w:firstLine="420" w:firstLineChars="200"/>
        <w:rPr>
          <w:color w:val="auto"/>
          <w:szCs w:val="21"/>
          <w:highlight w:val="none"/>
        </w:rPr>
      </w:pPr>
      <w:r>
        <w:rPr>
          <w:color w:val="auto"/>
          <w:szCs w:val="21"/>
          <w:highlight w:val="none"/>
        </w:rPr>
        <w:t>4.2.1</w:t>
      </w:r>
      <w:r>
        <w:rPr>
          <w:rFonts w:hint="eastAsia"/>
          <w:color w:val="auto"/>
          <w:szCs w:val="21"/>
          <w:highlight w:val="none"/>
        </w:rPr>
        <w:t>供应商登录广西政府采购云平台进入开标大厅签到。</w:t>
      </w:r>
    </w:p>
    <w:p w14:paraId="6A5D9815">
      <w:pPr>
        <w:spacing w:before="120" w:line="320" w:lineRule="atLeast"/>
        <w:ind w:firstLine="420" w:firstLineChars="200"/>
        <w:rPr>
          <w:color w:val="auto"/>
          <w:szCs w:val="21"/>
          <w:highlight w:val="none"/>
        </w:rPr>
      </w:pPr>
      <w:r>
        <w:rPr>
          <w:rFonts w:hint="eastAsia"/>
          <w:color w:val="auto"/>
          <w:szCs w:val="21"/>
          <w:highlight w:val="none"/>
        </w:rPr>
        <w:t>4</w:t>
      </w:r>
      <w:r>
        <w:rPr>
          <w:color w:val="auto"/>
          <w:szCs w:val="21"/>
          <w:highlight w:val="none"/>
        </w:rPr>
        <w:t>.2.2</w:t>
      </w:r>
      <w:r>
        <w:rPr>
          <w:rFonts w:hint="eastAsia"/>
          <w:color w:val="auto"/>
          <w:szCs w:val="21"/>
          <w:highlight w:val="none"/>
        </w:rPr>
        <w:t>解密电子响应文件。广西政府采购云平台按截标时间自动提取所有响应文件。采购代理机构在广西政府采购云平台向各供应商发出电子加密响应文件开始解密通知，由供应商平台设置时间内自行进行响应文件解密。供应商须使用加密时所用的CA锁准时登录到广西政府采购云平台电子开标大厅签到并对电子响应文件解密。截标后供应商未及时进行解密的，代理机构可通知供应商。</w:t>
      </w:r>
      <w:bookmarkStart w:id="55" w:name="_Hlk106639817"/>
      <w:r>
        <w:rPr>
          <w:rFonts w:hint="eastAsia"/>
          <w:color w:val="auto"/>
          <w:highlight w:val="none"/>
        </w:rPr>
        <w:t>通知后供应商仍未在上述规定时间内解密响应文件</w:t>
      </w:r>
      <w:bookmarkEnd w:id="55"/>
      <w:r>
        <w:rPr>
          <w:rFonts w:hint="eastAsia"/>
          <w:color w:val="auto"/>
          <w:szCs w:val="21"/>
          <w:highlight w:val="none"/>
        </w:rPr>
        <w:t>，或者供应商没预留联系方式或预留联系方式无效导致代理机构无法联系到供应商进行解密的，均视为无效响应。</w:t>
      </w:r>
    </w:p>
    <w:p w14:paraId="13B135D9">
      <w:pPr>
        <w:spacing w:before="120" w:line="320" w:lineRule="atLeast"/>
        <w:ind w:firstLine="420" w:firstLineChars="200"/>
        <w:rPr>
          <w:rFonts w:hint="eastAsia"/>
          <w:color w:val="auto"/>
          <w:szCs w:val="21"/>
          <w:highlight w:val="none"/>
        </w:rPr>
      </w:pPr>
      <w:r>
        <w:rPr>
          <w:rFonts w:hint="eastAsia"/>
          <w:color w:val="auto"/>
          <w:szCs w:val="21"/>
          <w:highlight w:val="none"/>
        </w:rPr>
        <w:t>4</w:t>
      </w:r>
      <w:r>
        <w:rPr>
          <w:color w:val="auto"/>
          <w:szCs w:val="21"/>
          <w:highlight w:val="none"/>
        </w:rPr>
        <w:t>.2.3</w:t>
      </w:r>
      <w:bookmarkStart w:id="56" w:name="_Hlk106637968"/>
      <w:r>
        <w:rPr>
          <w:rFonts w:hint="eastAsia"/>
          <w:color w:val="auto"/>
          <w:szCs w:val="21"/>
          <w:highlight w:val="none"/>
        </w:rPr>
        <w:t>广西政府采购云平台设置有备份响应文件功能。备份响应文件是指平台设置为接受备份响应文件时，如出现供应商上传的响应文件存在问题或其他供应商原因引起解密异常时，供应商可以在规定时间内将备份响应文件通过邮箱发送至采购代理机构，由代理机构上传备份响应文件后自动解密从而避免被视为无效响应。是否接受备份响应文件详见供应商须知前附表，如接受备份文件，供应商未在规定时间内发送备份响应文件的将视为无效响应。</w:t>
      </w:r>
    </w:p>
    <w:bookmarkEnd w:id="56"/>
    <w:p w14:paraId="1E3FC0C1">
      <w:pPr>
        <w:spacing w:before="120" w:line="320" w:lineRule="atLeast"/>
        <w:ind w:firstLine="420" w:firstLineChars="200"/>
        <w:rPr>
          <w:color w:val="auto"/>
          <w:szCs w:val="21"/>
          <w:highlight w:val="none"/>
        </w:rPr>
      </w:pPr>
      <w:r>
        <w:rPr>
          <w:rFonts w:hint="eastAsia"/>
          <w:color w:val="auto"/>
          <w:szCs w:val="21"/>
          <w:highlight w:val="none"/>
        </w:rPr>
        <w:t>4</w:t>
      </w:r>
      <w:r>
        <w:rPr>
          <w:color w:val="auto"/>
          <w:szCs w:val="21"/>
          <w:highlight w:val="none"/>
        </w:rPr>
        <w:t>.2.4</w:t>
      </w:r>
      <w:r>
        <w:rPr>
          <w:rFonts w:hint="eastAsia"/>
          <w:color w:val="auto"/>
          <w:szCs w:val="21"/>
          <w:highlight w:val="none"/>
        </w:rPr>
        <w:t>解密异常情况处理：详见本章</w:t>
      </w:r>
      <w:r>
        <w:rPr>
          <w:color w:val="auto"/>
          <w:szCs w:val="21"/>
          <w:highlight w:val="none"/>
        </w:rPr>
        <w:t>9.2</w:t>
      </w:r>
      <w:r>
        <w:rPr>
          <w:rFonts w:hint="eastAsia"/>
          <w:color w:val="auto"/>
          <w:szCs w:val="21"/>
          <w:highlight w:val="none"/>
        </w:rPr>
        <w:t>电子交易活动的中止。</w:t>
      </w:r>
    </w:p>
    <w:p w14:paraId="01AC09CF">
      <w:pPr>
        <w:spacing w:before="120" w:line="320" w:lineRule="atLeast"/>
        <w:ind w:firstLine="420" w:firstLineChars="200"/>
        <w:rPr>
          <w:color w:val="auto"/>
          <w:szCs w:val="21"/>
          <w:highlight w:val="none"/>
        </w:rPr>
      </w:pPr>
      <w:r>
        <w:rPr>
          <w:color w:val="auto"/>
          <w:szCs w:val="21"/>
          <w:highlight w:val="none"/>
        </w:rPr>
        <w:t>4.2.5截标结束。</w:t>
      </w:r>
    </w:p>
    <w:p w14:paraId="694069A9">
      <w:pPr>
        <w:spacing w:before="120" w:line="320" w:lineRule="atLeast"/>
        <w:ind w:firstLine="422" w:firstLineChars="200"/>
        <w:rPr>
          <w:color w:val="auto"/>
          <w:szCs w:val="21"/>
          <w:highlight w:val="none"/>
        </w:rPr>
      </w:pPr>
      <w:r>
        <w:rPr>
          <w:rFonts w:hint="eastAsia"/>
          <w:b/>
          <w:bCs/>
          <w:color w:val="auto"/>
          <w:szCs w:val="21"/>
          <w:highlight w:val="none"/>
        </w:rPr>
        <w:t>特别说明</w:t>
      </w:r>
      <w:r>
        <w:rPr>
          <w:rFonts w:hint="eastAsia"/>
          <w:color w:val="auto"/>
          <w:szCs w:val="21"/>
          <w:highlight w:val="none"/>
        </w:rPr>
        <w:t>：如遇广西政府采购云平台电子化截标或评审程序调整的，按调整后的程序执行。</w:t>
      </w:r>
    </w:p>
    <w:p w14:paraId="2AF3D99D">
      <w:pPr>
        <w:spacing w:before="120" w:line="320" w:lineRule="atLeast"/>
        <w:ind w:firstLine="422" w:firstLineChars="200"/>
        <w:outlineLvl w:val="2"/>
        <w:rPr>
          <w:b/>
          <w:bCs/>
          <w:color w:val="auto"/>
          <w:kern w:val="0"/>
          <w:szCs w:val="21"/>
          <w:highlight w:val="none"/>
        </w:rPr>
      </w:pPr>
      <w:r>
        <w:rPr>
          <w:b/>
          <w:bCs/>
          <w:color w:val="auto"/>
          <w:kern w:val="0"/>
          <w:szCs w:val="21"/>
          <w:highlight w:val="none"/>
        </w:rPr>
        <w:t>4.3演示</w:t>
      </w:r>
    </w:p>
    <w:p w14:paraId="3D8B53B7">
      <w:pPr>
        <w:spacing w:before="120" w:line="320" w:lineRule="atLeast"/>
        <w:ind w:firstLine="420" w:firstLineChars="200"/>
        <w:rPr>
          <w:color w:val="auto"/>
          <w:szCs w:val="21"/>
          <w:highlight w:val="none"/>
        </w:rPr>
      </w:pPr>
      <w:r>
        <w:rPr>
          <w:color w:val="auto"/>
          <w:szCs w:val="21"/>
          <w:highlight w:val="none"/>
        </w:rPr>
        <w:t>4.3.1“供应商须知前附表”规定在截标会议结束后进行演示的，供应商应按规定进行演示。</w:t>
      </w:r>
    </w:p>
    <w:p w14:paraId="001C2B6F">
      <w:pPr>
        <w:spacing w:before="120" w:line="320" w:lineRule="atLeast"/>
        <w:ind w:firstLine="420" w:firstLineChars="200"/>
        <w:rPr>
          <w:color w:val="auto"/>
          <w:szCs w:val="21"/>
          <w:highlight w:val="none"/>
        </w:rPr>
      </w:pPr>
      <w:r>
        <w:rPr>
          <w:color w:val="auto"/>
          <w:szCs w:val="21"/>
          <w:highlight w:val="none"/>
        </w:rPr>
        <w:t>4.3.2未按规定时间进行演示可能引起的演示分数被计为0分或响应无效等后果由供应商自行承担。</w:t>
      </w:r>
    </w:p>
    <w:p w14:paraId="21122B84">
      <w:pPr>
        <w:spacing w:before="120" w:line="320" w:lineRule="atLeast"/>
        <w:ind w:firstLine="422" w:firstLineChars="200"/>
        <w:outlineLvl w:val="2"/>
        <w:rPr>
          <w:color w:val="auto"/>
          <w:szCs w:val="21"/>
          <w:highlight w:val="none"/>
        </w:rPr>
      </w:pPr>
      <w:r>
        <w:rPr>
          <w:b/>
          <w:bCs/>
          <w:color w:val="auto"/>
          <w:kern w:val="0"/>
          <w:szCs w:val="21"/>
          <w:highlight w:val="none"/>
        </w:rPr>
        <w:t>4.4样品</w:t>
      </w:r>
    </w:p>
    <w:p w14:paraId="060D8C39">
      <w:pPr>
        <w:spacing w:before="120" w:line="320" w:lineRule="atLeast"/>
        <w:ind w:firstLine="420" w:firstLineChars="200"/>
        <w:rPr>
          <w:color w:val="auto"/>
          <w:szCs w:val="21"/>
          <w:highlight w:val="none"/>
        </w:rPr>
      </w:pPr>
      <w:r>
        <w:rPr>
          <w:color w:val="auto"/>
          <w:szCs w:val="21"/>
          <w:highlight w:val="none"/>
        </w:rPr>
        <w:t>4.4.1“供应商须知前附表”规定递交样品的，供应商应按前附表规定递交样品，递交样品时应附样品递交表（格式见第六章）。</w:t>
      </w:r>
    </w:p>
    <w:p w14:paraId="68780881">
      <w:pPr>
        <w:spacing w:before="120" w:line="320" w:lineRule="atLeast"/>
        <w:ind w:firstLine="420" w:firstLineChars="200"/>
        <w:rPr>
          <w:color w:val="auto"/>
          <w:szCs w:val="21"/>
          <w:highlight w:val="none"/>
        </w:rPr>
      </w:pPr>
      <w:r>
        <w:rPr>
          <w:color w:val="auto"/>
          <w:szCs w:val="21"/>
          <w:highlight w:val="none"/>
        </w:rPr>
        <w:t>4.4.2未按规定时间递交样品可能引起的样品分数被计为0分或响应无效等后果由供应商自行承担。</w:t>
      </w:r>
    </w:p>
    <w:p w14:paraId="28C630F4">
      <w:pPr>
        <w:spacing w:before="120" w:line="320" w:lineRule="atLeast"/>
        <w:ind w:firstLine="420" w:firstLineChars="200"/>
        <w:rPr>
          <w:color w:val="auto"/>
          <w:szCs w:val="21"/>
          <w:highlight w:val="none"/>
        </w:rPr>
      </w:pPr>
      <w:r>
        <w:rPr>
          <w:color w:val="auto"/>
          <w:szCs w:val="21"/>
          <w:highlight w:val="none"/>
        </w:rPr>
        <w:t>4.4.3样品封存或退还的说明请见第六章响应文件格式所附样品递交表。</w:t>
      </w:r>
    </w:p>
    <w:p w14:paraId="15C85152">
      <w:pPr>
        <w:spacing w:before="120" w:line="320" w:lineRule="atLeast"/>
        <w:ind w:left="2" w:leftChars="1" w:firstLine="422" w:firstLineChars="200"/>
        <w:outlineLvl w:val="1"/>
        <w:rPr>
          <w:b/>
          <w:bCs/>
          <w:color w:val="auto"/>
          <w:kern w:val="0"/>
          <w:szCs w:val="21"/>
          <w:highlight w:val="none"/>
        </w:rPr>
      </w:pPr>
      <w:r>
        <w:rPr>
          <w:b/>
          <w:bCs/>
          <w:color w:val="auto"/>
          <w:kern w:val="0"/>
          <w:szCs w:val="21"/>
          <w:highlight w:val="none"/>
        </w:rPr>
        <w:t>5．</w:t>
      </w:r>
      <w:r>
        <w:rPr>
          <w:rFonts w:hint="eastAsia"/>
          <w:b/>
          <w:bCs/>
          <w:color w:val="auto"/>
          <w:kern w:val="0"/>
          <w:szCs w:val="21"/>
          <w:highlight w:val="none"/>
        </w:rPr>
        <w:t>资格审查</w:t>
      </w:r>
    </w:p>
    <w:p w14:paraId="6F355217">
      <w:pPr>
        <w:spacing w:before="120" w:line="320" w:lineRule="atLeast"/>
        <w:ind w:left="2" w:leftChars="1" w:firstLine="420" w:firstLineChars="200"/>
        <w:outlineLvl w:val="2"/>
        <w:rPr>
          <w:bCs/>
          <w:color w:val="auto"/>
          <w:kern w:val="0"/>
          <w:szCs w:val="21"/>
          <w:highlight w:val="none"/>
        </w:rPr>
      </w:pPr>
      <w:r>
        <w:rPr>
          <w:rFonts w:hint="eastAsia"/>
          <w:bCs/>
          <w:color w:val="auto"/>
          <w:kern w:val="0"/>
          <w:szCs w:val="21"/>
          <w:highlight w:val="none"/>
        </w:rPr>
        <w:t>5</w:t>
      </w:r>
      <w:r>
        <w:rPr>
          <w:bCs/>
          <w:color w:val="auto"/>
          <w:kern w:val="0"/>
          <w:szCs w:val="21"/>
          <w:highlight w:val="none"/>
        </w:rPr>
        <w:t>.1</w:t>
      </w:r>
      <w:r>
        <w:rPr>
          <w:rFonts w:hint="eastAsia"/>
          <w:bCs/>
          <w:color w:val="auto"/>
          <w:kern w:val="0"/>
          <w:szCs w:val="21"/>
          <w:highlight w:val="none"/>
        </w:rPr>
        <w:t>截标</w:t>
      </w:r>
      <w:r>
        <w:rPr>
          <w:rFonts w:ascii="宋体" w:hAnsi="宋体"/>
          <w:bCs/>
          <w:color w:val="auto"/>
          <w:szCs w:val="21"/>
          <w:highlight w:val="none"/>
        </w:rPr>
        <w:t>后，</w:t>
      </w:r>
      <w:r>
        <w:rPr>
          <w:rFonts w:hint="eastAsia" w:ascii="宋体" w:hAnsi="宋体"/>
          <w:bCs/>
          <w:color w:val="auto"/>
          <w:szCs w:val="21"/>
          <w:highlight w:val="none"/>
        </w:rPr>
        <w:t>磋商小组通过电子交易平台</w:t>
      </w:r>
      <w:r>
        <w:rPr>
          <w:rFonts w:ascii="宋体" w:hAnsi="宋体"/>
          <w:bCs/>
          <w:color w:val="auto"/>
          <w:szCs w:val="21"/>
          <w:highlight w:val="none"/>
        </w:rPr>
        <w:t>对供应商的资格进行审查。</w:t>
      </w:r>
      <w:r>
        <w:rPr>
          <w:rFonts w:hint="eastAsia" w:ascii="宋体" w:hAnsi="宋体"/>
          <w:bCs/>
          <w:color w:val="auto"/>
          <w:szCs w:val="21"/>
          <w:highlight w:val="none"/>
        </w:rPr>
        <w:t>资格审查</w:t>
      </w:r>
      <w:r>
        <w:rPr>
          <w:rFonts w:hint="eastAsia"/>
          <w:bCs/>
          <w:color w:val="auto"/>
          <w:kern w:val="0"/>
          <w:szCs w:val="21"/>
          <w:highlight w:val="none"/>
        </w:rPr>
        <w:t>是根据法律法规和采购文件的规定，对供应商的基本资格条件、特定资格条件进行审查。</w:t>
      </w:r>
    </w:p>
    <w:p w14:paraId="56F9C4BA">
      <w:pPr>
        <w:spacing w:before="120" w:line="320" w:lineRule="atLeast"/>
        <w:ind w:left="2" w:leftChars="1" w:firstLine="420" w:firstLineChars="200"/>
        <w:outlineLvl w:val="2"/>
        <w:rPr>
          <w:bCs/>
          <w:color w:val="auto"/>
          <w:kern w:val="0"/>
          <w:szCs w:val="21"/>
          <w:highlight w:val="none"/>
        </w:rPr>
      </w:pPr>
      <w:r>
        <w:rPr>
          <w:rFonts w:hint="eastAsia"/>
          <w:bCs/>
          <w:color w:val="auto"/>
          <w:kern w:val="0"/>
          <w:szCs w:val="21"/>
          <w:highlight w:val="none"/>
        </w:rPr>
        <w:t>5.</w:t>
      </w:r>
      <w:r>
        <w:rPr>
          <w:bCs/>
          <w:color w:val="auto"/>
          <w:kern w:val="0"/>
          <w:szCs w:val="21"/>
          <w:highlight w:val="none"/>
        </w:rPr>
        <w:t>2</w:t>
      </w:r>
      <w:r>
        <w:rPr>
          <w:rFonts w:hint="eastAsia"/>
          <w:bCs/>
          <w:color w:val="auto"/>
          <w:kern w:val="0"/>
          <w:szCs w:val="21"/>
          <w:highlight w:val="none"/>
        </w:rPr>
        <w:t>资格审查标准在第四章评审方法及标准中规定，符合资格审查标准要求的供应商即为资格审查合格。</w:t>
      </w:r>
    </w:p>
    <w:p w14:paraId="0655ADAE">
      <w:pPr>
        <w:spacing w:before="120" w:line="276" w:lineRule="auto"/>
        <w:ind w:left="2" w:leftChars="1" w:firstLine="420" w:firstLineChars="200"/>
        <w:outlineLvl w:val="2"/>
        <w:rPr>
          <w:bCs/>
          <w:color w:val="auto"/>
          <w:kern w:val="0"/>
          <w:szCs w:val="21"/>
          <w:highlight w:val="none"/>
        </w:rPr>
      </w:pPr>
      <w:r>
        <w:rPr>
          <w:bCs/>
          <w:color w:val="auto"/>
          <w:kern w:val="0"/>
          <w:szCs w:val="21"/>
          <w:highlight w:val="none"/>
        </w:rPr>
        <w:t>5.3</w:t>
      </w:r>
      <w:r>
        <w:rPr>
          <w:rFonts w:hint="eastAsia"/>
          <w:bCs/>
          <w:color w:val="auto"/>
          <w:kern w:val="0"/>
          <w:szCs w:val="21"/>
          <w:highlight w:val="none"/>
        </w:rPr>
        <w:t>供应商有下列情形之一的，资格审查不合格，作无效响应处理：</w:t>
      </w:r>
    </w:p>
    <w:p w14:paraId="472754F4">
      <w:pPr>
        <w:spacing w:line="276" w:lineRule="auto"/>
        <w:ind w:firstLine="420" w:firstLineChars="200"/>
        <w:rPr>
          <w:rFonts w:hAnsi="宋体"/>
          <w:color w:val="auto"/>
          <w:highlight w:val="none"/>
        </w:rPr>
      </w:pPr>
      <w:r>
        <w:rPr>
          <w:rFonts w:hint="eastAsia"/>
          <w:color w:val="auto"/>
          <w:szCs w:val="21"/>
          <w:highlight w:val="none"/>
        </w:rPr>
        <w:t>5</w:t>
      </w:r>
      <w:r>
        <w:rPr>
          <w:color w:val="auto"/>
          <w:szCs w:val="21"/>
          <w:highlight w:val="none"/>
        </w:rPr>
        <w:t>.3.1</w:t>
      </w:r>
      <w:r>
        <w:rPr>
          <w:rFonts w:hint="eastAsia"/>
          <w:color w:val="auto"/>
          <w:szCs w:val="21"/>
          <w:highlight w:val="none"/>
        </w:rPr>
        <w:t>不具备采购文件中规定的资格要求或资格条件的；</w:t>
      </w:r>
      <w:r>
        <w:rPr>
          <w:color w:val="auto"/>
          <w:szCs w:val="21"/>
          <w:highlight w:val="none"/>
        </w:rPr>
        <w:t xml:space="preserve"> </w:t>
      </w:r>
      <w:r>
        <w:rPr>
          <w:rFonts w:hint="eastAsia" w:hAnsi="宋体"/>
          <w:color w:val="auto"/>
          <w:highlight w:val="none"/>
        </w:rPr>
        <w:t>（注：其中信用查询规则见“供应商须知前附表”，</w:t>
      </w:r>
      <w:r>
        <w:rPr>
          <w:rFonts w:hint="eastAsia"/>
          <w:color w:val="auto"/>
          <w:szCs w:val="21"/>
          <w:highlight w:val="none"/>
        </w:rPr>
        <w:t>广西政府采购云平台</w:t>
      </w:r>
      <w:r>
        <w:rPr>
          <w:rFonts w:hint="eastAsia" w:hAnsi="宋体"/>
          <w:color w:val="auto"/>
          <w:highlight w:val="none"/>
        </w:rPr>
        <w:t>已与“信用中国”平台做接口，可直接在线查询）</w:t>
      </w:r>
    </w:p>
    <w:p w14:paraId="73F78658">
      <w:pPr>
        <w:spacing w:before="120" w:line="276" w:lineRule="auto"/>
        <w:ind w:firstLine="420" w:firstLineChars="200"/>
        <w:rPr>
          <w:rFonts w:hint="eastAsia"/>
          <w:color w:val="auto"/>
          <w:szCs w:val="21"/>
          <w:highlight w:val="none"/>
        </w:rPr>
      </w:pPr>
      <w:r>
        <w:rPr>
          <w:rFonts w:hint="eastAsia"/>
          <w:color w:val="auto"/>
          <w:szCs w:val="21"/>
          <w:highlight w:val="none"/>
        </w:rPr>
        <w:t>5</w:t>
      </w:r>
      <w:r>
        <w:rPr>
          <w:color w:val="auto"/>
          <w:szCs w:val="21"/>
          <w:highlight w:val="none"/>
        </w:rPr>
        <w:t>.3.2</w:t>
      </w:r>
      <w:r>
        <w:rPr>
          <w:rFonts w:hint="eastAsia"/>
          <w:color w:val="auto"/>
          <w:szCs w:val="21"/>
          <w:highlight w:val="none"/>
        </w:rPr>
        <w:t>响应文件缺少任何一项资格证明文件或不符合第四章评审方法及标准中资格审查标准规定的评审内容的。</w:t>
      </w:r>
    </w:p>
    <w:p w14:paraId="7C00D5F2">
      <w:pPr>
        <w:spacing w:before="120" w:line="320" w:lineRule="atLeast"/>
        <w:ind w:left="2" w:leftChars="1" w:firstLine="422" w:firstLineChars="200"/>
        <w:outlineLvl w:val="1"/>
        <w:rPr>
          <w:rFonts w:hint="eastAsia"/>
          <w:b/>
          <w:bCs/>
          <w:color w:val="auto"/>
          <w:kern w:val="0"/>
          <w:szCs w:val="21"/>
          <w:highlight w:val="none"/>
        </w:rPr>
      </w:pPr>
      <w:r>
        <w:rPr>
          <w:b/>
          <w:bCs/>
          <w:color w:val="auto"/>
          <w:kern w:val="0"/>
          <w:szCs w:val="21"/>
          <w:highlight w:val="none"/>
        </w:rPr>
        <w:t>6．评审</w:t>
      </w:r>
    </w:p>
    <w:p w14:paraId="769F0E9A">
      <w:pPr>
        <w:spacing w:before="120" w:line="320" w:lineRule="atLeast"/>
        <w:ind w:firstLine="422" w:firstLineChars="200"/>
        <w:outlineLvl w:val="2"/>
        <w:rPr>
          <w:b/>
          <w:bCs/>
          <w:color w:val="auto"/>
          <w:kern w:val="0"/>
          <w:szCs w:val="21"/>
          <w:highlight w:val="none"/>
        </w:rPr>
      </w:pPr>
      <w:r>
        <w:rPr>
          <w:b/>
          <w:bCs/>
          <w:color w:val="auto"/>
          <w:kern w:val="0"/>
          <w:szCs w:val="21"/>
          <w:highlight w:val="none"/>
        </w:rPr>
        <w:t>6.1组建磋商小组</w:t>
      </w:r>
    </w:p>
    <w:p w14:paraId="218D2AB9">
      <w:pPr>
        <w:spacing w:before="120" w:line="320" w:lineRule="atLeast"/>
        <w:ind w:firstLine="420" w:firstLineChars="200"/>
        <w:rPr>
          <w:color w:val="auto"/>
          <w:szCs w:val="21"/>
          <w:highlight w:val="none"/>
        </w:rPr>
      </w:pPr>
      <w:r>
        <w:rPr>
          <w:rFonts w:hint="eastAsia"/>
          <w:color w:val="auto"/>
          <w:szCs w:val="21"/>
          <w:highlight w:val="none"/>
        </w:rPr>
        <w:t>6.1.1</w:t>
      </w:r>
      <w:r>
        <w:rPr>
          <w:color w:val="auto"/>
          <w:szCs w:val="21"/>
          <w:highlight w:val="none"/>
        </w:rPr>
        <w:t>本项目</w:t>
      </w:r>
      <w:r>
        <w:rPr>
          <w:rFonts w:hint="eastAsia"/>
          <w:color w:val="auto"/>
          <w:szCs w:val="21"/>
          <w:highlight w:val="none"/>
        </w:rPr>
        <w:t>评审工作由</w:t>
      </w:r>
      <w:r>
        <w:rPr>
          <w:color w:val="auto"/>
          <w:szCs w:val="21"/>
          <w:highlight w:val="none"/>
        </w:rPr>
        <w:t>磋商小组</w:t>
      </w:r>
      <w:r>
        <w:rPr>
          <w:rFonts w:hint="eastAsia"/>
          <w:color w:val="auto"/>
          <w:szCs w:val="21"/>
          <w:highlight w:val="none"/>
        </w:rPr>
        <w:t>负责，磋商小组</w:t>
      </w:r>
      <w:r>
        <w:rPr>
          <w:color w:val="auto"/>
          <w:szCs w:val="21"/>
          <w:highlight w:val="none"/>
        </w:rPr>
        <w:t>由</w:t>
      </w:r>
      <w:r>
        <w:rPr>
          <w:rFonts w:hint="eastAsia"/>
          <w:color w:val="auto"/>
          <w:szCs w:val="21"/>
          <w:highlight w:val="none"/>
        </w:rPr>
        <w:t>评审专家</w:t>
      </w:r>
      <w:r>
        <w:rPr>
          <w:color w:val="auto"/>
          <w:szCs w:val="21"/>
          <w:highlight w:val="none"/>
        </w:rPr>
        <w:t>和采购人代表</w:t>
      </w:r>
      <w:r>
        <w:rPr>
          <w:rFonts w:hint="eastAsia"/>
          <w:color w:val="auto"/>
          <w:szCs w:val="21"/>
          <w:highlight w:val="none"/>
        </w:rPr>
        <w:t>（如有）</w:t>
      </w:r>
      <w:r>
        <w:rPr>
          <w:color w:val="auto"/>
          <w:szCs w:val="21"/>
          <w:highlight w:val="none"/>
        </w:rPr>
        <w:t>组成。</w:t>
      </w:r>
      <w:r>
        <w:rPr>
          <w:rFonts w:hint="eastAsia"/>
          <w:color w:val="auto"/>
          <w:szCs w:val="21"/>
          <w:highlight w:val="none"/>
        </w:rPr>
        <w:t>磋商小组评审时必须公平、公正、客观，不带任何倾向性和启发性；不得向外界透露任何与评审有关的内容；任何单位和个人不得干扰、影响评标的正常进行；磋商小组及有关工作人员不得私下与供应商接触，不得收受利害关系人的财物或者其他好处；</w:t>
      </w:r>
      <w:r>
        <w:rPr>
          <w:color w:val="auto"/>
          <w:szCs w:val="21"/>
          <w:highlight w:val="none"/>
        </w:rPr>
        <w:t>评审专家发现本人与参加采购活动的供应商有利害关系的，应当主动提出回避</w:t>
      </w:r>
      <w:r>
        <w:rPr>
          <w:rFonts w:hint="eastAsia"/>
          <w:color w:val="auto"/>
          <w:szCs w:val="21"/>
          <w:highlight w:val="none"/>
        </w:rPr>
        <w:t>。</w:t>
      </w:r>
    </w:p>
    <w:p w14:paraId="62E6D619">
      <w:pPr>
        <w:spacing w:before="120" w:line="320" w:lineRule="atLeast"/>
        <w:ind w:firstLine="420" w:firstLineChars="200"/>
        <w:rPr>
          <w:color w:val="auto"/>
          <w:szCs w:val="21"/>
          <w:highlight w:val="none"/>
        </w:rPr>
      </w:pPr>
      <w:r>
        <w:rPr>
          <w:rFonts w:hint="eastAsia"/>
          <w:color w:val="auto"/>
          <w:szCs w:val="21"/>
          <w:highlight w:val="none"/>
        </w:rPr>
        <w:t>6.1.2磋商小组成员应当通过电子交易平台进行独立评审，磋商小组成员对需要共同认定的事项存在争议的，应当按照少数服从多数的原则作出结论。持不同意见的磋商小组成员应当在评审报告上签署不同意见及理由，否则视为同意评审报告。如果在评审过程中出现法律法规和采购文件均没有明确规定的情形时，由磋商小组现场协商确定，协商不一致的，由全体磋商小组成员投票表决，应当按照少数服从多数的原则作出结论并记录在评审报告中。</w:t>
      </w:r>
    </w:p>
    <w:p w14:paraId="27F75330">
      <w:pPr>
        <w:spacing w:before="120" w:line="320" w:lineRule="atLeast"/>
        <w:ind w:firstLine="420" w:firstLineChars="200"/>
        <w:rPr>
          <w:color w:val="auto"/>
          <w:szCs w:val="21"/>
          <w:highlight w:val="none"/>
        </w:rPr>
      </w:pPr>
      <w:r>
        <w:rPr>
          <w:rFonts w:hint="eastAsia"/>
          <w:color w:val="auto"/>
          <w:szCs w:val="21"/>
          <w:highlight w:val="none"/>
        </w:rPr>
        <w:t>6.1.3采购人、采购代理机构应当采取必要措施，保证评审在严格保密（封闭式评审）的情况下进行。除采购人代表、评审现场组织人员外，采购人的其他工作人员以及与评审工作无关的人员不得进入评审现场。有关人员对评审情况以及在评审过程中获悉的国家秘密、商业秘密负有保密责任。</w:t>
      </w:r>
    </w:p>
    <w:p w14:paraId="7B13B3AA">
      <w:pPr>
        <w:spacing w:before="120" w:line="320" w:lineRule="atLeast"/>
        <w:ind w:firstLine="420" w:firstLineChars="200"/>
        <w:rPr>
          <w:color w:val="auto"/>
          <w:szCs w:val="21"/>
          <w:highlight w:val="none"/>
        </w:rPr>
      </w:pPr>
      <w:r>
        <w:rPr>
          <w:rFonts w:hint="eastAsia"/>
          <w:color w:val="auto"/>
          <w:szCs w:val="21"/>
          <w:highlight w:val="none"/>
        </w:rPr>
        <w:t>6.1.4本项目评审过程实行全程网上留痕及录音、录像监控，供应商在评审过程中所进行的试图影响评审结果的不公正活动，可能导致其响应按无效处理。</w:t>
      </w:r>
    </w:p>
    <w:p w14:paraId="2537C8DC">
      <w:pPr>
        <w:spacing w:before="120" w:line="320" w:lineRule="atLeast"/>
        <w:ind w:firstLine="422" w:firstLineChars="200"/>
        <w:outlineLvl w:val="2"/>
        <w:rPr>
          <w:b/>
          <w:bCs/>
          <w:color w:val="auto"/>
          <w:kern w:val="0"/>
          <w:szCs w:val="21"/>
          <w:highlight w:val="none"/>
        </w:rPr>
      </w:pPr>
      <w:r>
        <w:rPr>
          <w:b/>
          <w:bCs/>
          <w:color w:val="auto"/>
          <w:kern w:val="0"/>
          <w:szCs w:val="21"/>
          <w:highlight w:val="none"/>
        </w:rPr>
        <w:t>6.2</w:t>
      </w:r>
      <w:r>
        <w:rPr>
          <w:rFonts w:hint="eastAsia"/>
          <w:b/>
          <w:bCs/>
          <w:color w:val="auto"/>
          <w:kern w:val="0"/>
          <w:szCs w:val="21"/>
          <w:highlight w:val="none"/>
        </w:rPr>
        <w:t>评审方法及依据</w:t>
      </w:r>
    </w:p>
    <w:p w14:paraId="58EBB050">
      <w:pPr>
        <w:spacing w:before="120" w:line="320" w:lineRule="atLeast"/>
        <w:ind w:firstLine="420" w:firstLineChars="200"/>
        <w:rPr>
          <w:bCs/>
          <w:color w:val="auto"/>
          <w:kern w:val="0"/>
          <w:szCs w:val="21"/>
          <w:highlight w:val="none"/>
        </w:rPr>
      </w:pPr>
      <w:r>
        <w:rPr>
          <w:bCs/>
          <w:color w:val="auto"/>
          <w:kern w:val="0"/>
          <w:szCs w:val="21"/>
          <w:highlight w:val="none"/>
        </w:rPr>
        <w:t>6.2.1</w:t>
      </w:r>
      <w:r>
        <w:rPr>
          <w:rFonts w:hint="eastAsia"/>
          <w:bCs/>
          <w:color w:val="auto"/>
          <w:kern w:val="0"/>
          <w:szCs w:val="21"/>
          <w:highlight w:val="none"/>
        </w:rPr>
        <w:t>本项目采用第四章评审方法及标准规定的方法进行评审。</w:t>
      </w:r>
    </w:p>
    <w:p w14:paraId="518486E4">
      <w:pPr>
        <w:suppressAutoHyphens/>
        <w:spacing w:before="120" w:line="320" w:lineRule="atLeast"/>
        <w:ind w:firstLine="420" w:firstLineChars="200"/>
        <w:rPr>
          <w:bCs/>
          <w:color w:val="auto"/>
          <w:kern w:val="0"/>
          <w:szCs w:val="21"/>
          <w:highlight w:val="none"/>
        </w:rPr>
      </w:pPr>
      <w:r>
        <w:rPr>
          <w:bCs/>
          <w:color w:val="auto"/>
          <w:kern w:val="0"/>
          <w:szCs w:val="21"/>
          <w:highlight w:val="none"/>
        </w:rPr>
        <w:t>6.2.2</w:t>
      </w:r>
      <w:r>
        <w:rPr>
          <w:rFonts w:hint="eastAsia"/>
          <w:bCs/>
          <w:color w:val="auto"/>
          <w:kern w:val="0"/>
          <w:szCs w:val="21"/>
          <w:highlight w:val="none"/>
        </w:rPr>
        <w:t>磋商小组</w:t>
      </w:r>
      <w:r>
        <w:rPr>
          <w:color w:val="auto"/>
          <w:highlight w:val="none"/>
        </w:rPr>
        <w:t>以</w:t>
      </w:r>
      <w:r>
        <w:rPr>
          <w:rFonts w:hint="eastAsia"/>
          <w:color w:val="auto"/>
          <w:highlight w:val="none"/>
        </w:rPr>
        <w:t>采购</w:t>
      </w:r>
      <w:r>
        <w:rPr>
          <w:color w:val="auto"/>
          <w:highlight w:val="none"/>
        </w:rPr>
        <w:t>文件、补充文件、</w:t>
      </w:r>
      <w:r>
        <w:rPr>
          <w:rFonts w:hint="eastAsia"/>
          <w:color w:val="auto"/>
          <w:highlight w:val="none"/>
        </w:rPr>
        <w:t>响应</w:t>
      </w:r>
      <w:r>
        <w:rPr>
          <w:color w:val="auto"/>
          <w:highlight w:val="none"/>
        </w:rPr>
        <w:t>文件、澄清及答复为评审依据</w:t>
      </w:r>
      <w:r>
        <w:rPr>
          <w:rFonts w:hint="eastAsia"/>
          <w:color w:val="auto"/>
          <w:highlight w:val="none"/>
        </w:rPr>
        <w:t>，</w:t>
      </w:r>
      <w:r>
        <w:rPr>
          <w:rFonts w:hint="eastAsia"/>
          <w:bCs/>
          <w:color w:val="auto"/>
          <w:kern w:val="0"/>
          <w:szCs w:val="21"/>
          <w:highlight w:val="none"/>
        </w:rPr>
        <w:t>第四章评审方法及标准没有规定的评审方法、标准及因素，不得作为评审依据。</w:t>
      </w:r>
    </w:p>
    <w:p w14:paraId="2E339606">
      <w:pPr>
        <w:spacing w:before="120" w:line="320" w:lineRule="atLeast"/>
        <w:ind w:firstLine="422" w:firstLineChars="200"/>
        <w:outlineLvl w:val="2"/>
        <w:rPr>
          <w:b/>
          <w:bCs/>
          <w:color w:val="auto"/>
          <w:kern w:val="0"/>
          <w:szCs w:val="21"/>
          <w:highlight w:val="none"/>
        </w:rPr>
      </w:pPr>
      <w:bookmarkStart w:id="57" w:name="_Toc254970687"/>
      <w:bookmarkStart w:id="58" w:name="_Toc254970546"/>
      <w:r>
        <w:rPr>
          <w:b/>
          <w:bCs/>
          <w:color w:val="auto"/>
          <w:kern w:val="0"/>
          <w:szCs w:val="21"/>
          <w:highlight w:val="none"/>
        </w:rPr>
        <w:t>6.3评审</w:t>
      </w:r>
      <w:r>
        <w:rPr>
          <w:rFonts w:hint="eastAsia"/>
          <w:b/>
          <w:bCs/>
          <w:color w:val="auto"/>
          <w:kern w:val="0"/>
          <w:szCs w:val="21"/>
          <w:highlight w:val="none"/>
        </w:rPr>
        <w:t>程序</w:t>
      </w:r>
    </w:p>
    <w:p w14:paraId="39FC9FF6">
      <w:pPr>
        <w:spacing w:before="120" w:line="320" w:lineRule="atLeast"/>
        <w:ind w:firstLine="420" w:firstLineChars="200"/>
        <w:rPr>
          <w:color w:val="auto"/>
          <w:highlight w:val="none"/>
        </w:rPr>
      </w:pPr>
      <w:r>
        <w:rPr>
          <w:color w:val="auto"/>
          <w:highlight w:val="none"/>
        </w:rPr>
        <w:t>6.</w:t>
      </w:r>
      <w:bookmarkStart w:id="59" w:name="_Hlk80956880"/>
      <w:bookmarkStart w:id="60" w:name="_Hlk19175507"/>
      <w:r>
        <w:rPr>
          <w:color w:val="auto"/>
          <w:highlight w:val="none"/>
        </w:rPr>
        <w:t>3.1</w:t>
      </w:r>
      <w:r>
        <w:rPr>
          <w:rFonts w:hint="eastAsia"/>
          <w:color w:val="auto"/>
          <w:highlight w:val="none"/>
        </w:rPr>
        <w:t>符合性审查</w:t>
      </w:r>
    </w:p>
    <w:p w14:paraId="0CE0B977">
      <w:pPr>
        <w:spacing w:before="120" w:line="320" w:lineRule="atLeast"/>
        <w:ind w:firstLine="420" w:firstLineChars="200"/>
        <w:rPr>
          <w:color w:val="auto"/>
          <w:szCs w:val="21"/>
          <w:highlight w:val="none"/>
        </w:rPr>
      </w:pPr>
      <w:r>
        <w:rPr>
          <w:bCs/>
          <w:color w:val="auto"/>
          <w:kern w:val="1"/>
          <w:szCs w:val="21"/>
          <w:highlight w:val="none"/>
        </w:rPr>
        <w:t>资格审查结束后，</w:t>
      </w:r>
      <w:r>
        <w:rPr>
          <w:rFonts w:hint="eastAsia" w:hAnsi="宋体"/>
          <w:color w:val="auto"/>
          <w:highlight w:val="none"/>
        </w:rPr>
        <w:t>磋商小组对</w:t>
      </w:r>
      <w:r>
        <w:rPr>
          <w:color w:val="auto"/>
          <w:highlight w:val="none"/>
        </w:rPr>
        <w:t>通过资格审查的供应商</w:t>
      </w:r>
      <w:r>
        <w:rPr>
          <w:rFonts w:hint="eastAsia" w:hAnsi="宋体"/>
          <w:color w:val="auto"/>
          <w:highlight w:val="none"/>
        </w:rPr>
        <w:t>的响应文件报价、商务资信、技术等方面实质性内容进行符合性审查，</w:t>
      </w:r>
      <w:r>
        <w:rPr>
          <w:rFonts w:hint="eastAsia"/>
          <w:color w:val="auto"/>
          <w:szCs w:val="21"/>
          <w:highlight w:val="none"/>
        </w:rPr>
        <w:t>符合性审查标准</w:t>
      </w:r>
      <w:r>
        <w:rPr>
          <w:color w:val="auto"/>
          <w:szCs w:val="21"/>
          <w:highlight w:val="none"/>
        </w:rPr>
        <w:t>详见第四章评审方法及标准。</w:t>
      </w:r>
    </w:p>
    <w:bookmarkEnd w:id="59"/>
    <w:bookmarkEnd w:id="60"/>
    <w:p w14:paraId="6AA44A2D">
      <w:pPr>
        <w:spacing w:before="120" w:line="320" w:lineRule="atLeast"/>
        <w:ind w:firstLine="420" w:firstLineChars="200"/>
        <w:rPr>
          <w:color w:val="auto"/>
          <w:szCs w:val="21"/>
          <w:highlight w:val="none"/>
        </w:rPr>
      </w:pPr>
      <w:r>
        <w:rPr>
          <w:rFonts w:hint="eastAsia"/>
          <w:color w:val="auto"/>
          <w:szCs w:val="21"/>
          <w:highlight w:val="none"/>
        </w:rPr>
        <w:t>6</w:t>
      </w:r>
      <w:r>
        <w:rPr>
          <w:color w:val="auto"/>
          <w:szCs w:val="21"/>
          <w:highlight w:val="none"/>
        </w:rPr>
        <w:t>.3.2</w:t>
      </w:r>
      <w:r>
        <w:rPr>
          <w:rFonts w:hAnsi="宋体"/>
          <w:color w:val="auto"/>
          <w:highlight w:val="none"/>
        </w:rPr>
        <w:t>强制性</w:t>
      </w:r>
      <w:r>
        <w:rPr>
          <w:color w:val="auto"/>
          <w:szCs w:val="21"/>
          <w:highlight w:val="none"/>
        </w:rPr>
        <w:t>采购要求</w:t>
      </w:r>
    </w:p>
    <w:p w14:paraId="788D2E0F">
      <w:pPr>
        <w:suppressAutoHyphens/>
        <w:spacing w:before="120" w:line="320" w:lineRule="atLeast"/>
        <w:ind w:firstLine="422" w:firstLineChars="201"/>
        <w:rPr>
          <w:color w:val="auto"/>
          <w:szCs w:val="21"/>
          <w:highlight w:val="none"/>
        </w:rPr>
      </w:pPr>
      <w:bookmarkStart w:id="61" w:name="_Hlk47714684"/>
      <w:r>
        <w:rPr>
          <w:rFonts w:hint="eastAsia"/>
          <w:color w:val="auto"/>
          <w:szCs w:val="21"/>
          <w:highlight w:val="none"/>
        </w:rPr>
        <w:t>（1）</w:t>
      </w:r>
      <w:bookmarkEnd w:id="61"/>
      <w:r>
        <w:rPr>
          <w:rFonts w:hint="eastAsia"/>
          <w:color w:val="auto"/>
          <w:szCs w:val="21"/>
          <w:highlight w:val="none"/>
        </w:rPr>
        <w:t>根据《财政部 发展改革委 生态环境部 市场监管总局关于调整优化节能产品、环境标志产品政府采购执行机制的通知》（财库〔2019〕9号）和《关于印发节能产品政府采购品目清单的通知》（财库〔2019〕19号）规定，本项目采购需求中的产品属于节能产品政府采购品目清单内标注“★”的，供应商的响应货物必须使用政府强制采购的节能产品，否则响应文件作无效处理；属于品目清单内非标注“★”的产品时，应优先采购。</w:t>
      </w:r>
    </w:p>
    <w:p w14:paraId="7C0D243B">
      <w:pPr>
        <w:spacing w:before="120" w:line="276" w:lineRule="auto"/>
        <w:ind w:firstLine="420" w:firstLineChars="200"/>
        <w:rPr>
          <w:color w:val="auto"/>
          <w:szCs w:val="21"/>
          <w:highlight w:val="none"/>
        </w:rPr>
      </w:pPr>
      <w:bookmarkStart w:id="62" w:name="_Hlk19176155"/>
      <w:r>
        <w:rPr>
          <w:rFonts w:hint="eastAsia"/>
          <w:color w:val="auto"/>
          <w:szCs w:val="21"/>
          <w:highlight w:val="none"/>
        </w:rPr>
        <w:t>（2）根据《关于调整网络安全专用产品安全管理有关事项的公告》（2023年1号）及关于调整《网络关键设备和网络安全专用产品目录》（2023年2号）的公告规定，本项目采购需求中的产品如果包括《网络关键设备和网络安全专用产品目录》的网络安全专用产品，</w:t>
      </w:r>
      <w:r>
        <w:rPr>
          <w:rFonts w:hint="eastAsia"/>
          <w:color w:val="auto"/>
          <w:szCs w:val="21"/>
          <w:highlight w:val="none"/>
          <w:lang w:val="en-US" w:eastAsia="zh-CN"/>
        </w:rPr>
        <w:t>供应商</w:t>
      </w:r>
      <w:r>
        <w:rPr>
          <w:rFonts w:hint="eastAsia"/>
          <w:color w:val="auto"/>
          <w:szCs w:val="21"/>
          <w:highlight w:val="none"/>
        </w:rPr>
        <w:t>在</w:t>
      </w:r>
      <w:r>
        <w:rPr>
          <w:rFonts w:hint="eastAsia"/>
          <w:color w:val="auto"/>
          <w:szCs w:val="21"/>
          <w:highlight w:val="none"/>
          <w:lang w:val="en-US" w:eastAsia="zh-CN"/>
        </w:rPr>
        <w:t>响应</w:t>
      </w:r>
      <w:r>
        <w:rPr>
          <w:rFonts w:hint="eastAsia"/>
          <w:color w:val="auto"/>
          <w:szCs w:val="21"/>
          <w:highlight w:val="none"/>
        </w:rPr>
        <w:t>文件中应主动列明供货范围中属于网络安全专用产品的</w:t>
      </w:r>
      <w:r>
        <w:rPr>
          <w:rFonts w:hint="eastAsia"/>
          <w:color w:val="auto"/>
          <w:szCs w:val="21"/>
          <w:highlight w:val="none"/>
          <w:lang w:val="en-US" w:eastAsia="zh-CN"/>
        </w:rPr>
        <w:t>响应</w:t>
      </w:r>
      <w:r>
        <w:rPr>
          <w:rFonts w:hint="eastAsia"/>
          <w:color w:val="auto"/>
          <w:szCs w:val="21"/>
          <w:highlight w:val="none"/>
        </w:rPr>
        <w:t>产品，并提供由中共中央网络安全和信息化委员会办公室网站最新发布的《网络关键设备和网络安全专用产品安全认证和安全检测结果》截图证明材料，不在《网络关键设备和网络安全专用产品安全认证和安全检测结果》中或不在有效期内或未提供有效的《计算机信息系统安全专用产品销售许可证》的，</w:t>
      </w:r>
      <w:r>
        <w:rPr>
          <w:rFonts w:hint="eastAsia"/>
          <w:color w:val="auto"/>
          <w:szCs w:val="21"/>
          <w:highlight w:val="none"/>
          <w:lang w:val="en-US" w:eastAsia="zh-CN"/>
        </w:rPr>
        <w:t>响应</w:t>
      </w:r>
      <w:r>
        <w:rPr>
          <w:rFonts w:hint="eastAsia"/>
          <w:color w:val="auto"/>
          <w:szCs w:val="21"/>
          <w:highlight w:val="none"/>
        </w:rPr>
        <w:t>无效。</w:t>
      </w:r>
    </w:p>
    <w:p w14:paraId="0BABE81B">
      <w:pPr>
        <w:spacing w:before="120" w:line="276" w:lineRule="auto"/>
        <w:ind w:firstLine="420" w:firstLineChars="200"/>
        <w:rPr>
          <w:color w:val="auto"/>
          <w:szCs w:val="21"/>
          <w:highlight w:val="none"/>
        </w:rPr>
      </w:pPr>
      <w:r>
        <w:rPr>
          <w:rFonts w:hint="eastAsia"/>
          <w:color w:val="auto"/>
          <w:szCs w:val="21"/>
          <w:highlight w:val="none"/>
        </w:rPr>
        <w:t>注：网络安全专用产品在中共中央网络安全和信息化委员会办公室网站上发布的《网络关键设备和网络安全专用产品目录》中查询。</w:t>
      </w:r>
      <w:r>
        <w:rPr>
          <w:color w:val="auto"/>
          <w:szCs w:val="21"/>
          <w:highlight w:val="none"/>
        </w:rPr>
        <w:t xml:space="preserve"> </w:t>
      </w:r>
      <w:r>
        <w:rPr>
          <w:rFonts w:hint="eastAsia"/>
          <w:color w:val="auto"/>
          <w:szCs w:val="21"/>
          <w:highlight w:val="none"/>
          <w:lang w:eastAsia="zh-CN"/>
        </w:rPr>
        <w:t>“</w:t>
      </w:r>
      <w:r>
        <w:rPr>
          <w:rFonts w:hint="eastAsia"/>
          <w:color w:val="auto"/>
          <w:szCs w:val="21"/>
          <w:highlight w:val="none"/>
          <w:lang w:val="en-US" w:eastAsia="zh-CN"/>
        </w:rPr>
        <w:t>网络安全专用产品”内“产品类别”</w:t>
      </w:r>
      <w:r>
        <w:rPr>
          <w:rFonts w:hint="eastAsia"/>
          <w:color w:val="auto"/>
          <w:szCs w:val="21"/>
          <w:highlight w:val="none"/>
        </w:rPr>
        <w:t>共</w:t>
      </w:r>
      <w:r>
        <w:rPr>
          <w:rFonts w:hint="eastAsia"/>
          <w:color w:val="auto"/>
          <w:szCs w:val="21"/>
          <w:highlight w:val="none"/>
          <w:lang w:val="en-US" w:eastAsia="zh-CN"/>
        </w:rPr>
        <w:t>34</w:t>
      </w:r>
      <w:r>
        <w:rPr>
          <w:rFonts w:hint="eastAsia"/>
          <w:color w:val="auto"/>
          <w:szCs w:val="21"/>
          <w:highlight w:val="none"/>
        </w:rPr>
        <w:t>类：数据备份与恢复产品、防火墙、入侵检测系统（I</w:t>
      </w:r>
      <w:r>
        <w:rPr>
          <w:color w:val="auto"/>
          <w:szCs w:val="21"/>
          <w:highlight w:val="none"/>
        </w:rPr>
        <w:t>DS</w:t>
      </w:r>
      <w:r>
        <w:rPr>
          <w:rFonts w:hint="eastAsia"/>
          <w:color w:val="auto"/>
          <w:szCs w:val="21"/>
          <w:highlight w:val="none"/>
        </w:rPr>
        <w:t>）、入侵防御系统（</w:t>
      </w:r>
      <w:r>
        <w:rPr>
          <w:color w:val="auto"/>
          <w:szCs w:val="21"/>
          <w:highlight w:val="none"/>
        </w:rPr>
        <w:t>IPS</w:t>
      </w:r>
      <w:r>
        <w:rPr>
          <w:rFonts w:hint="eastAsia"/>
          <w:color w:val="auto"/>
          <w:szCs w:val="21"/>
          <w:highlight w:val="none"/>
        </w:rPr>
        <w:t>）、</w:t>
      </w:r>
      <w:r>
        <w:rPr>
          <w:rFonts w:hint="eastAsia"/>
          <w:color w:val="auto"/>
          <w:szCs w:val="21"/>
          <w:highlight w:val="none"/>
          <w:lang w:val="en-US" w:eastAsia="zh-CN"/>
        </w:rPr>
        <w:t>网络和终端隔离产品</w:t>
      </w:r>
      <w:r>
        <w:rPr>
          <w:rFonts w:hint="eastAsia"/>
          <w:color w:val="auto"/>
          <w:szCs w:val="21"/>
          <w:highlight w:val="none"/>
        </w:rPr>
        <w:t>、反垃圾邮件产品、网络综合审计</w:t>
      </w:r>
      <w:r>
        <w:rPr>
          <w:rFonts w:hint="eastAsia"/>
          <w:color w:val="auto"/>
          <w:szCs w:val="21"/>
          <w:highlight w:val="none"/>
          <w:lang w:val="en-US" w:eastAsia="zh-CN"/>
        </w:rPr>
        <w:t>产品</w:t>
      </w:r>
      <w:r>
        <w:rPr>
          <w:rFonts w:hint="eastAsia"/>
          <w:color w:val="auto"/>
          <w:szCs w:val="21"/>
          <w:highlight w:val="none"/>
        </w:rPr>
        <w:t>、网络脆弱性扫描产品、安全数据库系统、网站恢复产品</w:t>
      </w:r>
      <w:r>
        <w:rPr>
          <w:rFonts w:hint="eastAsia"/>
          <w:color w:val="auto"/>
          <w:szCs w:val="21"/>
          <w:highlight w:val="none"/>
          <w:lang w:eastAsia="zh-CN"/>
        </w:rPr>
        <w:t>、</w:t>
      </w:r>
      <w:r>
        <w:rPr>
          <w:rFonts w:hint="eastAsia"/>
          <w:color w:val="auto"/>
          <w:szCs w:val="21"/>
          <w:highlight w:val="none"/>
          <w:lang w:val="en-US" w:eastAsia="zh-CN"/>
        </w:rPr>
        <w:t>虚拟专用网产品、防病毒网关、统一威胁管理产品（UTM）、病毒防治产品、安全操作系统、安全网络存储、公钥基础设施、网络安全态势感知产品、信息系统安全管理平台、网络型流量控制产品、负载均衡产品、信息过滤产品、抗拒绝服务攻击产品、终端接入控制产品、USB移动存储介质管理系统、文件加密产品、数据泄露防护产品、数据销毁软件产品、安全配置检查产品、运维安全管理产品、日志分析产品、身份鉴别产品、终端安全监护产品、电子文档安全管理产品。</w:t>
      </w:r>
    </w:p>
    <w:p w14:paraId="2E3CD9C3">
      <w:pPr>
        <w:spacing w:before="120" w:line="320" w:lineRule="atLeast"/>
        <w:ind w:firstLine="420" w:firstLineChars="200"/>
        <w:rPr>
          <w:color w:val="auto"/>
          <w:highlight w:val="none"/>
        </w:rPr>
      </w:pPr>
      <w:r>
        <w:rPr>
          <w:color w:val="auto"/>
          <w:highlight w:val="none"/>
        </w:rPr>
        <w:t>6.3.3澄清、说明或补正</w:t>
      </w:r>
    </w:p>
    <w:p w14:paraId="357C9E46">
      <w:pPr>
        <w:spacing w:before="120" w:line="320" w:lineRule="atLeast"/>
        <w:ind w:firstLine="420" w:firstLineChars="200"/>
        <w:rPr>
          <w:color w:val="auto"/>
          <w:highlight w:val="none"/>
        </w:rPr>
      </w:pPr>
      <w:r>
        <w:rPr>
          <w:rFonts w:hint="eastAsia"/>
          <w:color w:val="auto"/>
          <w:highlight w:val="none"/>
        </w:rPr>
        <w:t>（1）对响应文件中含义不明确、同类问题表述不一致或者有明显文字和计算错误的内容，磋商小组应在</w:t>
      </w:r>
      <w:r>
        <w:rPr>
          <w:rFonts w:hint="eastAsia"/>
          <w:color w:val="auto"/>
          <w:szCs w:val="21"/>
          <w:highlight w:val="none"/>
        </w:rPr>
        <w:t>广西政府采购云平台</w:t>
      </w:r>
      <w:r>
        <w:rPr>
          <w:rFonts w:hint="eastAsia"/>
          <w:color w:val="auto"/>
          <w:highlight w:val="none"/>
        </w:rPr>
        <w:t>发布电子澄清函，要求供应商在平台设置的时间内作出必要的澄清、说明或者补正。供应商在</w:t>
      </w:r>
      <w:r>
        <w:rPr>
          <w:rFonts w:hint="eastAsia"/>
          <w:color w:val="auto"/>
          <w:szCs w:val="21"/>
          <w:highlight w:val="none"/>
        </w:rPr>
        <w:t>广西政府采购云平台</w:t>
      </w:r>
      <w:r>
        <w:rPr>
          <w:rFonts w:hint="eastAsia"/>
          <w:color w:val="auto"/>
          <w:highlight w:val="none"/>
        </w:rPr>
        <w:t>接收到电子澄清函后根据澄清函内容直接在线编辑或上传PDF格式回函，电子澄清答复函使用CA证书加盖单位电子签章后提交至磋商小组。供应商的澄清、说明或者补正不得超出响应文件的范围或者改变响应文件的实质性内容。供应商未在规定时间内进行澄清、说明或者补正的，按无效响应处理。</w:t>
      </w:r>
    </w:p>
    <w:p w14:paraId="2AA401F0">
      <w:pPr>
        <w:spacing w:before="120" w:line="320" w:lineRule="atLeast"/>
        <w:ind w:firstLine="420" w:firstLineChars="200"/>
        <w:rPr>
          <w:color w:val="auto"/>
          <w:highlight w:val="none"/>
        </w:rPr>
      </w:pPr>
      <w:r>
        <w:rPr>
          <w:rFonts w:hint="eastAsia"/>
          <w:color w:val="auto"/>
          <w:highlight w:val="none"/>
        </w:rPr>
        <w:t>（2）异常情况处理：如遇无法正常使用线上发送澄清函的情况，将以书面形式执行。磋商小组以书面形式要求供应商在规定时间内作出必要的澄清、说明或者补正。供应商的澄清、说明或者补正必须采用书面形式，并加盖公章或者由法定代表人或者其授权的代表签字。</w:t>
      </w:r>
    </w:p>
    <w:p w14:paraId="2D59217D">
      <w:pPr>
        <w:spacing w:before="120" w:line="320" w:lineRule="atLeast"/>
        <w:ind w:firstLine="420" w:firstLineChars="200"/>
        <w:rPr>
          <w:color w:val="auto"/>
          <w:highlight w:val="none"/>
        </w:rPr>
      </w:pPr>
      <w:r>
        <w:rPr>
          <w:color w:val="auto"/>
          <w:highlight w:val="none"/>
        </w:rPr>
        <w:t>6.3.4</w:t>
      </w:r>
      <w:r>
        <w:rPr>
          <w:rFonts w:hint="eastAsia"/>
          <w:color w:val="auto"/>
          <w:highlight w:val="none"/>
        </w:rPr>
        <w:t>报价</w:t>
      </w:r>
      <w:r>
        <w:rPr>
          <w:color w:val="auto"/>
          <w:highlight w:val="none"/>
        </w:rPr>
        <w:t>修正</w:t>
      </w:r>
    </w:p>
    <w:p w14:paraId="23296C28">
      <w:pPr>
        <w:spacing w:before="120" w:line="320" w:lineRule="atLeast"/>
        <w:ind w:firstLine="420" w:firstLineChars="200"/>
        <w:rPr>
          <w:color w:val="auto"/>
          <w:highlight w:val="none"/>
        </w:rPr>
      </w:pPr>
      <w:r>
        <w:rPr>
          <w:rFonts w:hint="eastAsia"/>
          <w:color w:val="auto"/>
          <w:highlight w:val="none"/>
        </w:rPr>
        <w:t>（1）报价出现前后不一致的，按照下列规定修正：</w:t>
      </w:r>
    </w:p>
    <w:p w14:paraId="3E72BE2B">
      <w:pPr>
        <w:spacing w:before="120" w:line="320" w:lineRule="atLeast"/>
        <w:ind w:firstLine="420" w:firstLineChars="200"/>
        <w:rPr>
          <w:color w:val="auto"/>
          <w:szCs w:val="21"/>
          <w:highlight w:val="none"/>
        </w:rPr>
      </w:pPr>
      <w:r>
        <w:rPr>
          <w:rFonts w:hint="eastAsia" w:ascii="宋体" w:hAnsi="宋体"/>
          <w:color w:val="auto"/>
          <w:szCs w:val="21"/>
          <w:highlight w:val="none"/>
        </w:rPr>
        <w:t>①</w:t>
      </w:r>
      <w:r>
        <w:rPr>
          <w:color w:val="auto"/>
          <w:szCs w:val="21"/>
          <w:highlight w:val="none"/>
        </w:rPr>
        <w:t>响应文件中开标一览表（报价表）内容与响应文件中相应内容不一致的，以开标一览表（报价表）为准；</w:t>
      </w:r>
    </w:p>
    <w:p w14:paraId="534C82A2">
      <w:pPr>
        <w:spacing w:before="120" w:line="320" w:lineRule="atLeast"/>
        <w:ind w:firstLine="420" w:firstLineChars="200"/>
        <w:rPr>
          <w:color w:val="auto"/>
          <w:szCs w:val="21"/>
          <w:highlight w:val="none"/>
        </w:rPr>
      </w:pPr>
      <w:r>
        <w:rPr>
          <w:rFonts w:ascii="宋体" w:hAnsi="宋体"/>
          <w:color w:val="auto"/>
          <w:szCs w:val="21"/>
          <w:highlight w:val="none"/>
        </w:rPr>
        <w:t>②</w:t>
      </w:r>
      <w:r>
        <w:rPr>
          <w:color w:val="auto"/>
          <w:szCs w:val="21"/>
          <w:highlight w:val="none"/>
        </w:rPr>
        <w:t>大写金额和小写金额不一致的，以大写金额为准；</w:t>
      </w:r>
    </w:p>
    <w:p w14:paraId="4D2C1C75">
      <w:pPr>
        <w:spacing w:before="120" w:line="320" w:lineRule="atLeast"/>
        <w:ind w:firstLine="420" w:firstLineChars="200"/>
        <w:rPr>
          <w:color w:val="auto"/>
          <w:szCs w:val="21"/>
          <w:highlight w:val="none"/>
        </w:rPr>
      </w:pPr>
      <w:r>
        <w:rPr>
          <w:rFonts w:hint="eastAsia"/>
          <w:color w:val="auto"/>
          <w:szCs w:val="21"/>
          <w:highlight w:val="none"/>
        </w:rPr>
        <w:t>③</w:t>
      </w:r>
      <w:r>
        <w:rPr>
          <w:color w:val="auto"/>
          <w:szCs w:val="21"/>
          <w:highlight w:val="none"/>
        </w:rPr>
        <w:t>单价金额小数点或者百分比有明显错位的，以开标一览表的总价为准，并修改单价；</w:t>
      </w:r>
    </w:p>
    <w:p w14:paraId="29F15A72">
      <w:pPr>
        <w:spacing w:before="120" w:line="320" w:lineRule="atLeast"/>
        <w:ind w:firstLine="420" w:firstLineChars="200"/>
        <w:rPr>
          <w:color w:val="auto"/>
          <w:szCs w:val="21"/>
          <w:highlight w:val="none"/>
        </w:rPr>
      </w:pPr>
      <w:r>
        <w:rPr>
          <w:rFonts w:hint="eastAsia"/>
          <w:color w:val="auto"/>
          <w:szCs w:val="21"/>
          <w:highlight w:val="none"/>
        </w:rPr>
        <w:t>④</w:t>
      </w:r>
      <w:r>
        <w:rPr>
          <w:color w:val="auto"/>
          <w:szCs w:val="21"/>
          <w:highlight w:val="none"/>
        </w:rPr>
        <w:t>总价金额与按单价汇总金额不一致的，以单价金额计算结果为准</w:t>
      </w:r>
      <w:r>
        <w:rPr>
          <w:rFonts w:hint="eastAsia"/>
          <w:color w:val="auto"/>
          <w:szCs w:val="21"/>
          <w:highlight w:val="none"/>
        </w:rPr>
        <w:t>。</w:t>
      </w:r>
    </w:p>
    <w:p w14:paraId="52F731F6">
      <w:pPr>
        <w:spacing w:before="120" w:line="320" w:lineRule="atLeast"/>
        <w:ind w:firstLine="420" w:firstLineChars="200"/>
        <w:rPr>
          <w:color w:val="auto"/>
          <w:szCs w:val="21"/>
          <w:highlight w:val="none"/>
        </w:rPr>
      </w:pPr>
      <w:r>
        <w:rPr>
          <w:rFonts w:hint="eastAsia"/>
          <w:color w:val="auto"/>
          <w:szCs w:val="21"/>
          <w:highlight w:val="none"/>
        </w:rPr>
        <w:t>同时出现两种以上不一致的，按照上述</w:t>
      </w:r>
      <w:r>
        <w:rPr>
          <w:rFonts w:hint="eastAsia" w:ascii="宋体" w:hAnsi="宋体"/>
          <w:color w:val="auto"/>
          <w:szCs w:val="21"/>
          <w:highlight w:val="none"/>
        </w:rPr>
        <w:t>①-</w:t>
      </w:r>
      <w:r>
        <w:rPr>
          <w:rFonts w:hint="eastAsia"/>
          <w:color w:val="auto"/>
          <w:szCs w:val="21"/>
          <w:highlight w:val="none"/>
        </w:rPr>
        <w:t>④顺序修正。修正后的报价按照上述“</w:t>
      </w:r>
      <w:r>
        <w:rPr>
          <w:color w:val="auto"/>
          <w:szCs w:val="21"/>
          <w:highlight w:val="none"/>
        </w:rPr>
        <w:t>6.3.3</w:t>
      </w:r>
      <w:r>
        <w:rPr>
          <w:rFonts w:hint="eastAsia"/>
          <w:color w:val="auto"/>
          <w:szCs w:val="21"/>
          <w:highlight w:val="none"/>
        </w:rPr>
        <w:t>澄清、说明或补正”的规定经供应商确认后产生约束力，供应商不确认的，其响应无效。</w:t>
      </w:r>
    </w:p>
    <w:p w14:paraId="20922071">
      <w:pPr>
        <w:spacing w:before="120" w:line="320" w:lineRule="atLeast"/>
        <w:ind w:firstLine="420" w:firstLineChars="200"/>
        <w:rPr>
          <w:color w:val="auto"/>
          <w:szCs w:val="21"/>
          <w:highlight w:val="none"/>
        </w:rPr>
      </w:pPr>
      <w:r>
        <w:rPr>
          <w:rFonts w:hint="eastAsia"/>
          <w:color w:val="auto"/>
          <w:szCs w:val="21"/>
          <w:highlight w:val="none"/>
        </w:rPr>
        <w:t>（</w:t>
      </w:r>
      <w:r>
        <w:rPr>
          <w:color w:val="auto"/>
          <w:szCs w:val="21"/>
          <w:highlight w:val="none"/>
        </w:rPr>
        <w:t>2</w:t>
      </w:r>
      <w:r>
        <w:rPr>
          <w:rFonts w:hint="eastAsia"/>
          <w:color w:val="auto"/>
          <w:szCs w:val="21"/>
          <w:highlight w:val="none"/>
        </w:rPr>
        <w:t>）经供应商确认修正后的报价若超过采购预算金额或者最高限价，其响应文件作无效响应处理。</w:t>
      </w:r>
    </w:p>
    <w:p w14:paraId="7BF448BC">
      <w:pPr>
        <w:spacing w:before="120" w:line="320" w:lineRule="atLeast"/>
        <w:ind w:firstLine="420" w:firstLineChars="200"/>
        <w:rPr>
          <w:color w:val="auto"/>
          <w:szCs w:val="21"/>
          <w:highlight w:val="none"/>
        </w:rPr>
      </w:pPr>
      <w:r>
        <w:rPr>
          <w:rFonts w:hint="eastAsia"/>
          <w:color w:val="auto"/>
          <w:szCs w:val="21"/>
          <w:highlight w:val="none"/>
        </w:rPr>
        <w:t>（</w:t>
      </w:r>
      <w:r>
        <w:rPr>
          <w:color w:val="auto"/>
          <w:szCs w:val="21"/>
          <w:highlight w:val="none"/>
        </w:rPr>
        <w:t>3</w:t>
      </w:r>
      <w:r>
        <w:rPr>
          <w:rFonts w:hint="eastAsia"/>
          <w:color w:val="auto"/>
          <w:szCs w:val="21"/>
          <w:highlight w:val="none"/>
        </w:rPr>
        <w:t>）经供应商确认修正后的报价作为签订合同的依据，并以此报价计算价格分。</w:t>
      </w:r>
    </w:p>
    <w:p w14:paraId="09F0DFF5">
      <w:pPr>
        <w:spacing w:before="120" w:line="320" w:lineRule="atLeast"/>
        <w:ind w:firstLine="420" w:firstLineChars="200"/>
        <w:rPr>
          <w:rFonts w:hint="eastAsia"/>
          <w:color w:val="auto"/>
          <w:szCs w:val="21"/>
          <w:highlight w:val="none"/>
        </w:rPr>
      </w:pPr>
      <w:r>
        <w:rPr>
          <w:rFonts w:hint="eastAsia"/>
          <w:color w:val="auto"/>
          <w:szCs w:val="21"/>
          <w:highlight w:val="none"/>
        </w:rPr>
        <w:t>（</w:t>
      </w:r>
      <w:r>
        <w:rPr>
          <w:color w:val="auto"/>
          <w:szCs w:val="21"/>
          <w:highlight w:val="none"/>
        </w:rPr>
        <w:t>4</w:t>
      </w:r>
      <w:r>
        <w:rPr>
          <w:rFonts w:hint="eastAsia"/>
          <w:color w:val="auto"/>
          <w:szCs w:val="21"/>
          <w:highlight w:val="none"/>
        </w:rPr>
        <w:t>）如磋商过程中有多轮报价的，磋商小组在每一轮报价均应按上述规则修正报价。</w:t>
      </w:r>
    </w:p>
    <w:p w14:paraId="26F64C0A">
      <w:pPr>
        <w:spacing w:before="120" w:line="320" w:lineRule="atLeast"/>
        <w:ind w:firstLine="420" w:firstLineChars="200"/>
        <w:rPr>
          <w:rFonts w:hint="eastAsia"/>
          <w:color w:val="auto"/>
          <w:szCs w:val="21"/>
          <w:highlight w:val="none"/>
          <w:lang w:val="en-US" w:eastAsia="zh-CN"/>
        </w:rPr>
      </w:pPr>
      <w:r>
        <w:rPr>
          <w:rFonts w:hint="eastAsia"/>
          <w:color w:val="auto"/>
          <w:szCs w:val="21"/>
          <w:highlight w:val="none"/>
          <w:lang w:val="en-US" w:eastAsia="zh-CN"/>
        </w:rPr>
        <w:t>6.3.5异常低价审查</w:t>
      </w:r>
    </w:p>
    <w:p w14:paraId="5A2F2B7F">
      <w:pPr>
        <w:spacing w:before="120" w:line="320" w:lineRule="atLeast"/>
        <w:ind w:firstLine="420" w:firstLineChars="200"/>
        <w:rPr>
          <w:color w:val="auto"/>
          <w:szCs w:val="21"/>
          <w:highlight w:val="none"/>
        </w:rPr>
      </w:pPr>
      <w:r>
        <w:rPr>
          <w:color w:val="auto"/>
          <w:szCs w:val="21"/>
          <w:highlight w:val="none"/>
        </w:rPr>
        <w:t>本项目</w:t>
      </w:r>
      <w:r>
        <w:rPr>
          <w:rFonts w:hint="eastAsia"/>
          <w:color w:val="auto"/>
          <w:szCs w:val="21"/>
          <w:highlight w:val="none"/>
          <w:lang w:val="en-US" w:eastAsia="zh-CN"/>
        </w:rPr>
        <w:t>异常低价审查情形见</w:t>
      </w:r>
      <w:r>
        <w:rPr>
          <w:color w:val="auto"/>
          <w:szCs w:val="21"/>
          <w:highlight w:val="none"/>
        </w:rPr>
        <w:t>“</w:t>
      </w:r>
      <w:r>
        <w:rPr>
          <w:rFonts w:hint="eastAsia"/>
          <w:color w:val="auto"/>
          <w:szCs w:val="21"/>
          <w:highlight w:val="none"/>
          <w:lang w:val="en-US" w:eastAsia="zh-CN"/>
        </w:rPr>
        <w:t>供应商</w:t>
      </w:r>
      <w:r>
        <w:rPr>
          <w:rFonts w:hint="eastAsia"/>
          <w:color w:val="auto"/>
          <w:szCs w:val="21"/>
          <w:highlight w:val="none"/>
          <w:lang w:eastAsia="zh-CN"/>
        </w:rPr>
        <w:t>须知</w:t>
      </w:r>
      <w:r>
        <w:rPr>
          <w:color w:val="auto"/>
          <w:szCs w:val="21"/>
          <w:highlight w:val="none"/>
        </w:rPr>
        <w:t>前附表”规定。</w:t>
      </w:r>
    </w:p>
    <w:p w14:paraId="690AA36B">
      <w:pPr>
        <w:numPr>
          <w:ilvl w:val="0"/>
          <w:numId w:val="0"/>
        </w:numPr>
        <w:spacing w:before="120" w:line="320" w:lineRule="atLeast"/>
        <w:ind w:firstLine="420" w:firstLineChars="200"/>
        <w:rPr>
          <w:rFonts w:hint="eastAsia"/>
          <w:color w:val="auto"/>
          <w:szCs w:val="21"/>
          <w:highlight w:val="none"/>
          <w:lang w:val="en-US" w:eastAsia="zh-CN"/>
        </w:rPr>
      </w:pPr>
      <w:r>
        <w:rPr>
          <w:rFonts w:hint="eastAsia"/>
          <w:color w:val="auto"/>
          <w:szCs w:val="21"/>
          <w:highlight w:val="none"/>
          <w:lang w:val="en-US" w:eastAsia="zh-CN"/>
        </w:rPr>
        <w:t>评审委员会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441E0319">
      <w:pPr>
        <w:numPr>
          <w:ilvl w:val="0"/>
          <w:numId w:val="0"/>
        </w:numPr>
        <w:spacing w:before="120" w:line="320" w:lineRule="atLeast"/>
        <w:ind w:firstLine="420" w:firstLineChars="200"/>
        <w:rPr>
          <w:rFonts w:hint="eastAsia"/>
          <w:strike/>
          <w:dstrike w:val="0"/>
          <w:color w:val="auto"/>
          <w:szCs w:val="21"/>
          <w:highlight w:val="none"/>
          <w:lang w:val="en-US" w:eastAsia="zh-CN"/>
        </w:rPr>
      </w:pPr>
      <w:r>
        <w:rPr>
          <w:rFonts w:hint="eastAsia"/>
          <w:color w:val="auto"/>
          <w:szCs w:val="21"/>
          <w:highlight w:val="none"/>
          <w:lang w:val="en-US" w:eastAsia="zh-CN"/>
        </w:rPr>
        <w:t>评审委员会依据专业经验，参考同类项目中标（成交）价格、类似产品市场价格水平、行业人工费用标准、国家有关部门指导行业协会发布的行业平均成本等情况，对报价合理性进行判断。</w:t>
      </w:r>
      <w:r>
        <w:rPr>
          <w:rFonts w:hint="eastAsia"/>
          <w:strike w:val="0"/>
          <w:dstrike w:val="0"/>
          <w:color w:val="auto"/>
          <w:szCs w:val="21"/>
          <w:highlight w:val="none"/>
          <w:lang w:val="en-US" w:eastAsia="zh-CN"/>
        </w:rPr>
        <w:t>投标（响应）供应商不能提供书面说明、证明材料，或者提供的书面说明、证明材料不能证明其报价合理性的，评审委员会应当将其作为无效投标（响应）处理。</w:t>
      </w:r>
    </w:p>
    <w:p w14:paraId="3F9A5F37">
      <w:pPr>
        <w:numPr>
          <w:ilvl w:val="0"/>
          <w:numId w:val="0"/>
        </w:numPr>
        <w:spacing w:before="120" w:line="320" w:lineRule="atLeast"/>
        <w:ind w:firstLine="420" w:firstLineChars="200"/>
        <w:rPr>
          <w:rFonts w:hint="eastAsia"/>
          <w:color w:val="auto"/>
          <w:szCs w:val="21"/>
          <w:highlight w:val="none"/>
          <w:lang w:val="en-US" w:eastAsia="zh-CN"/>
        </w:rPr>
      </w:pPr>
      <w:r>
        <w:rPr>
          <w:rFonts w:hint="eastAsia"/>
          <w:color w:val="auto"/>
          <w:szCs w:val="21"/>
          <w:highlight w:val="none"/>
          <w:lang w:val="en-US" w:eastAsia="zh-CN"/>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5D143F0C">
      <w:pPr>
        <w:numPr>
          <w:ilvl w:val="0"/>
          <w:numId w:val="0"/>
        </w:numPr>
        <w:spacing w:before="120" w:line="320" w:lineRule="atLeast"/>
        <w:ind w:firstLine="420" w:firstLineChars="200"/>
        <w:rPr>
          <w:rFonts w:hint="eastAsia"/>
          <w:color w:val="auto"/>
          <w:szCs w:val="21"/>
          <w:highlight w:val="none"/>
          <w:lang w:val="en-US" w:eastAsia="zh-CN"/>
        </w:rPr>
      </w:pPr>
      <w:r>
        <w:rPr>
          <w:rFonts w:hint="eastAsia"/>
          <w:color w:val="auto"/>
          <w:szCs w:val="21"/>
          <w:highlight w:val="none"/>
          <w:lang w:val="en-US" w:eastAsia="zh-CN"/>
        </w:rPr>
        <w:t>异常低价响应审查的启动原因、审查意见和审查结果应当在评审报告中记录，并随供应商提供的相关书面说明及证明材料，以及评审委员会有关互联网浏览、查询历史一并归档。</w:t>
      </w:r>
    </w:p>
    <w:p w14:paraId="26DDD840">
      <w:pPr>
        <w:numPr>
          <w:ilvl w:val="0"/>
          <w:numId w:val="0"/>
        </w:numPr>
        <w:spacing w:before="120" w:line="320" w:lineRule="atLeast"/>
        <w:ind w:firstLine="420" w:firstLineChars="200"/>
        <w:rPr>
          <w:rFonts w:hint="eastAsia"/>
          <w:color w:val="auto"/>
          <w:szCs w:val="21"/>
          <w:highlight w:val="none"/>
        </w:rPr>
      </w:pPr>
      <w:r>
        <w:rPr>
          <w:rFonts w:hint="eastAsia"/>
          <w:color w:val="auto"/>
          <w:szCs w:val="21"/>
          <w:highlight w:val="none"/>
        </w:rPr>
        <w:t>书面证明应当按照上述“</w:t>
      </w:r>
      <w:r>
        <w:rPr>
          <w:color w:val="auto"/>
          <w:szCs w:val="21"/>
          <w:highlight w:val="none"/>
        </w:rPr>
        <w:t>6.3.3</w:t>
      </w:r>
      <w:r>
        <w:rPr>
          <w:rFonts w:hint="eastAsia"/>
          <w:color w:val="auto"/>
          <w:szCs w:val="21"/>
          <w:highlight w:val="none"/>
        </w:rPr>
        <w:t>澄清、说明或补正”的规定提交</w:t>
      </w:r>
      <w:r>
        <w:rPr>
          <w:rFonts w:hint="eastAsia"/>
          <w:color w:val="auto"/>
          <w:szCs w:val="21"/>
          <w:highlight w:val="none"/>
          <w:lang w:val="en-US" w:eastAsia="zh-CN"/>
        </w:rPr>
        <w:t>。</w:t>
      </w:r>
    </w:p>
    <w:p w14:paraId="37E91FE1">
      <w:pPr>
        <w:spacing w:before="120" w:line="320" w:lineRule="atLeast"/>
        <w:ind w:firstLine="420" w:firstLineChars="200"/>
        <w:rPr>
          <w:color w:val="auto"/>
          <w:szCs w:val="21"/>
          <w:highlight w:val="none"/>
        </w:rPr>
      </w:pPr>
      <w:r>
        <w:rPr>
          <w:rFonts w:hint="eastAsia"/>
          <w:color w:val="auto"/>
          <w:szCs w:val="21"/>
          <w:highlight w:val="none"/>
        </w:rPr>
        <w:t>6</w:t>
      </w:r>
      <w:r>
        <w:rPr>
          <w:color w:val="auto"/>
          <w:szCs w:val="21"/>
          <w:highlight w:val="none"/>
        </w:rPr>
        <w:t>.3.</w:t>
      </w:r>
      <w:r>
        <w:rPr>
          <w:rFonts w:hint="eastAsia"/>
          <w:color w:val="auto"/>
          <w:szCs w:val="21"/>
          <w:highlight w:val="none"/>
          <w:lang w:val="en-US" w:eastAsia="zh-CN"/>
        </w:rPr>
        <w:t>6</w:t>
      </w:r>
      <w:r>
        <w:rPr>
          <w:rFonts w:hint="eastAsia"/>
          <w:color w:val="auto"/>
          <w:szCs w:val="21"/>
          <w:highlight w:val="none"/>
        </w:rPr>
        <w:t>相同品牌认定（仅适用于货物采购项目）</w:t>
      </w:r>
    </w:p>
    <w:p w14:paraId="652DBE1C">
      <w:pPr>
        <w:spacing w:before="120" w:line="320" w:lineRule="atLeast"/>
        <w:ind w:firstLine="420" w:firstLineChars="200"/>
        <w:rPr>
          <w:color w:val="auto"/>
          <w:szCs w:val="21"/>
          <w:highlight w:val="none"/>
        </w:rPr>
      </w:pPr>
      <w:r>
        <w:rPr>
          <w:rFonts w:hint="eastAsia"/>
          <w:color w:val="auto"/>
          <w:szCs w:val="21"/>
          <w:highlight w:val="none"/>
        </w:rPr>
        <w:t>（1）单一产品采购项目，</w:t>
      </w:r>
      <w:r>
        <w:rPr>
          <w:color w:val="auto"/>
          <w:highlight w:val="none"/>
        </w:rPr>
        <w:t>不同供应商提供的产品品牌相同时，</w:t>
      </w:r>
      <w:r>
        <w:rPr>
          <w:rFonts w:hint="eastAsia"/>
          <w:color w:val="auto"/>
          <w:highlight w:val="none"/>
        </w:rPr>
        <w:t>按以下</w:t>
      </w:r>
      <w:r>
        <w:rPr>
          <w:color w:val="auto"/>
          <w:highlight w:val="none"/>
        </w:rPr>
        <w:t>规定</w:t>
      </w:r>
      <w:r>
        <w:rPr>
          <w:rFonts w:hint="eastAsia"/>
          <w:color w:val="auto"/>
          <w:highlight w:val="none"/>
        </w:rPr>
        <w:t>确定</w:t>
      </w:r>
      <w:r>
        <w:rPr>
          <w:bCs/>
          <w:color w:val="auto"/>
          <w:kern w:val="0"/>
          <w:szCs w:val="21"/>
          <w:highlight w:val="none"/>
        </w:rPr>
        <w:t>相同品牌的响应有效性</w:t>
      </w:r>
      <w:r>
        <w:rPr>
          <w:color w:val="auto"/>
          <w:highlight w:val="none"/>
        </w:rPr>
        <w:t>。</w:t>
      </w:r>
    </w:p>
    <w:bookmarkEnd w:id="62"/>
    <w:p w14:paraId="5B578B95">
      <w:pPr>
        <w:spacing w:before="120" w:line="320" w:lineRule="atLeast"/>
        <w:ind w:firstLine="420" w:firstLineChars="200"/>
        <w:rPr>
          <w:color w:val="auto"/>
          <w:szCs w:val="21"/>
          <w:highlight w:val="none"/>
        </w:rPr>
      </w:pPr>
      <w:r>
        <w:rPr>
          <w:rFonts w:hint="eastAsia"/>
          <w:color w:val="auto"/>
          <w:szCs w:val="21"/>
          <w:highlight w:val="none"/>
        </w:rPr>
        <w:t>提供相同品牌产品且通过资格审查、符合性审查的不同供应商参加同一合同项下响应的，按一家供应商计算，评审后得分最高的同品牌供应商获得中标人推荐资格；评审得分相同的，由采购人或者采购人委托磋商小组按照采购文件规定的方式确定一个供应商获得成交供应商推荐资格，采购文件未规定的采取随机抽取方式确定，其他同品牌供应商不作为成交候选人。</w:t>
      </w:r>
    </w:p>
    <w:p w14:paraId="3B6404DF">
      <w:pPr>
        <w:spacing w:before="120" w:line="320" w:lineRule="atLeast"/>
        <w:ind w:firstLine="420" w:firstLineChars="200"/>
        <w:rPr>
          <w:color w:val="auto"/>
          <w:szCs w:val="21"/>
          <w:highlight w:val="none"/>
        </w:rPr>
      </w:pPr>
      <w:r>
        <w:rPr>
          <w:rFonts w:hint="eastAsia"/>
          <w:color w:val="auto"/>
          <w:szCs w:val="21"/>
          <w:highlight w:val="none"/>
        </w:rPr>
        <w:t>（2）非单一产品采购项目，</w:t>
      </w:r>
      <w:r>
        <w:rPr>
          <w:color w:val="auto"/>
          <w:szCs w:val="21"/>
          <w:highlight w:val="none"/>
        </w:rPr>
        <w:t>采购人应当确定核心产品，并在采购文件中载明。</w:t>
      </w:r>
      <w:r>
        <w:rPr>
          <w:rFonts w:hint="eastAsia"/>
          <w:color w:val="auto"/>
          <w:szCs w:val="21"/>
          <w:highlight w:val="none"/>
        </w:rPr>
        <w:t>不同</w:t>
      </w:r>
      <w:r>
        <w:rPr>
          <w:color w:val="auto"/>
          <w:szCs w:val="21"/>
          <w:highlight w:val="none"/>
        </w:rPr>
        <w:t>供应商提供的核心产品品牌相同的，按上述规定处理。核心产品</w:t>
      </w:r>
      <w:r>
        <w:rPr>
          <w:rFonts w:hint="eastAsia"/>
          <w:color w:val="auto"/>
          <w:szCs w:val="21"/>
          <w:highlight w:val="none"/>
        </w:rPr>
        <w:t>在第二章</w:t>
      </w:r>
      <w:r>
        <w:rPr>
          <w:color w:val="auto"/>
          <w:szCs w:val="21"/>
          <w:highlight w:val="none"/>
        </w:rPr>
        <w:t>采购需求规定。</w:t>
      </w:r>
    </w:p>
    <w:bookmarkEnd w:id="57"/>
    <w:bookmarkEnd w:id="58"/>
    <w:p w14:paraId="7B2E145B">
      <w:pPr>
        <w:spacing w:before="120" w:line="320" w:lineRule="atLeast"/>
        <w:ind w:firstLine="420" w:firstLineChars="200"/>
        <w:rPr>
          <w:rFonts w:hint="eastAsia"/>
          <w:color w:val="auto"/>
          <w:highlight w:val="none"/>
        </w:rPr>
      </w:pPr>
      <w:r>
        <w:rPr>
          <w:color w:val="auto"/>
          <w:highlight w:val="none"/>
        </w:rPr>
        <w:t>6.3.</w:t>
      </w:r>
      <w:r>
        <w:rPr>
          <w:rFonts w:hint="eastAsia"/>
          <w:color w:val="auto"/>
          <w:highlight w:val="none"/>
          <w:lang w:val="en-US" w:eastAsia="zh-CN"/>
        </w:rPr>
        <w:t>7</w:t>
      </w:r>
      <w:r>
        <w:rPr>
          <w:rFonts w:hint="eastAsia"/>
          <w:color w:val="auto"/>
          <w:highlight w:val="none"/>
        </w:rPr>
        <w:t>磋商</w:t>
      </w:r>
    </w:p>
    <w:p w14:paraId="09067B83">
      <w:pPr>
        <w:spacing w:before="120" w:line="320" w:lineRule="atLeast"/>
        <w:ind w:firstLine="420" w:firstLineChars="200"/>
        <w:rPr>
          <w:rFonts w:hint="eastAsia"/>
          <w:color w:val="auto"/>
          <w:highlight w:val="none"/>
        </w:rPr>
      </w:pPr>
      <w:r>
        <w:rPr>
          <w:rFonts w:hint="eastAsia"/>
          <w:color w:val="auto"/>
          <w:highlight w:val="none"/>
        </w:rPr>
        <w:t>（1）磋商小组按照“供应商须知前附表” 确定的顺序，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56F657F2">
      <w:pPr>
        <w:spacing w:before="120" w:line="320" w:lineRule="atLeast"/>
        <w:ind w:firstLine="420" w:firstLineChars="200"/>
        <w:rPr>
          <w:color w:val="auto"/>
          <w:highlight w:val="none"/>
        </w:rPr>
      </w:pPr>
      <w:r>
        <w:rPr>
          <w:rFonts w:hint="eastAsia"/>
          <w:color w:val="auto"/>
          <w:highlight w:val="none"/>
        </w:rPr>
        <w:t>（2）在磋商过程中，磋商小组可以根据采购文件和磋商情况实质性变动采购需求中的技术、服务要求以及合同草案条款，但不得变动采购文件中的其他内容。实质性变动的内容，须经采购人代表确认。</w:t>
      </w:r>
    </w:p>
    <w:p w14:paraId="4CB56435">
      <w:pPr>
        <w:spacing w:before="120" w:line="320" w:lineRule="atLeast"/>
        <w:ind w:firstLine="420" w:firstLineChars="200"/>
        <w:rPr>
          <w:color w:val="auto"/>
          <w:highlight w:val="none"/>
        </w:rPr>
      </w:pPr>
      <w:r>
        <w:rPr>
          <w:rFonts w:hint="eastAsia"/>
          <w:color w:val="auto"/>
          <w:highlight w:val="none"/>
        </w:rPr>
        <w:t>对采购文件作出的实质性变动是采购文件的有效组成部分，由磋商小组通过</w:t>
      </w:r>
      <w:r>
        <w:rPr>
          <w:rFonts w:hint="eastAsia"/>
          <w:color w:val="auto"/>
          <w:szCs w:val="21"/>
          <w:highlight w:val="none"/>
        </w:rPr>
        <w:t>广西政府采购云平台</w:t>
      </w:r>
      <w:r>
        <w:rPr>
          <w:rFonts w:hint="eastAsia"/>
          <w:color w:val="auto"/>
          <w:highlight w:val="none"/>
        </w:rPr>
        <w:t>以书面形式同时通知所有参加磋商的供应商。</w:t>
      </w:r>
    </w:p>
    <w:p w14:paraId="390BAC99">
      <w:pPr>
        <w:spacing w:before="120" w:line="320" w:lineRule="atLeast"/>
        <w:ind w:firstLine="420" w:firstLineChars="200"/>
        <w:rPr>
          <w:rFonts w:hint="eastAsia"/>
          <w:color w:val="auto"/>
          <w:highlight w:val="none"/>
        </w:rPr>
      </w:pPr>
      <w:r>
        <w:rPr>
          <w:rFonts w:hint="eastAsia"/>
          <w:color w:val="auto"/>
          <w:highlight w:val="none"/>
        </w:rPr>
        <w:t>（3）供应商必须按照采购文件的变动情况和磋商小组的要求重新提交响应文件，并在</w:t>
      </w:r>
      <w:r>
        <w:rPr>
          <w:rFonts w:hint="eastAsia"/>
          <w:color w:val="auto"/>
          <w:szCs w:val="21"/>
          <w:highlight w:val="none"/>
        </w:rPr>
        <w:t>广西政府采购云平台</w:t>
      </w:r>
      <w:r>
        <w:rPr>
          <w:rFonts w:hint="eastAsia"/>
          <w:color w:val="auto"/>
          <w:highlight w:val="none"/>
        </w:rPr>
        <w:t>在线编辑或上传PDF格式，使用电子签章后提交至磋商小组。参加磋商的供应商未在规定时间内重新提交响应文件的，视同退出磋商。</w:t>
      </w:r>
    </w:p>
    <w:p w14:paraId="3B8485EA">
      <w:pPr>
        <w:spacing w:before="120" w:line="320" w:lineRule="atLeast"/>
        <w:ind w:firstLine="420" w:firstLineChars="200"/>
        <w:rPr>
          <w:color w:val="auto"/>
          <w:highlight w:val="none"/>
        </w:rPr>
      </w:pPr>
      <w:r>
        <w:rPr>
          <w:rFonts w:hint="eastAsia"/>
          <w:color w:val="auto"/>
          <w:highlight w:val="none"/>
        </w:rPr>
        <w:t>（4）供应商的法定代表人或其授权代表无须到现场参加磋商，提问及回答/响应均通过</w:t>
      </w:r>
      <w:r>
        <w:rPr>
          <w:rFonts w:hint="eastAsia"/>
          <w:color w:val="auto"/>
          <w:szCs w:val="21"/>
          <w:highlight w:val="none"/>
        </w:rPr>
        <w:t>广西政府采购云平台</w:t>
      </w:r>
      <w:r>
        <w:rPr>
          <w:rFonts w:hint="eastAsia"/>
          <w:color w:val="auto"/>
          <w:highlight w:val="none"/>
        </w:rPr>
        <w:t>进行。磋商过程中使用的电子签章应为供应商上传响应文件的同一签章。</w:t>
      </w:r>
    </w:p>
    <w:p w14:paraId="6B43EF6B">
      <w:pPr>
        <w:spacing w:before="120" w:line="320" w:lineRule="atLeast"/>
        <w:ind w:firstLine="420" w:firstLineChars="200"/>
        <w:rPr>
          <w:color w:val="auto"/>
          <w:highlight w:val="none"/>
        </w:rPr>
      </w:pPr>
      <w:r>
        <w:rPr>
          <w:rFonts w:hint="eastAsia"/>
          <w:color w:val="auto"/>
          <w:highlight w:val="none"/>
        </w:rPr>
        <w:t>6</w:t>
      </w:r>
      <w:r>
        <w:rPr>
          <w:color w:val="auto"/>
          <w:highlight w:val="none"/>
        </w:rPr>
        <w:t>.3.</w:t>
      </w:r>
      <w:r>
        <w:rPr>
          <w:rFonts w:hint="eastAsia"/>
          <w:color w:val="auto"/>
          <w:highlight w:val="none"/>
          <w:lang w:val="en-US" w:eastAsia="zh-CN"/>
        </w:rPr>
        <w:t>8</w:t>
      </w:r>
      <w:r>
        <w:rPr>
          <w:rFonts w:hint="eastAsia"/>
          <w:color w:val="auto"/>
          <w:highlight w:val="none"/>
        </w:rPr>
        <w:t>最后报价</w:t>
      </w:r>
    </w:p>
    <w:p w14:paraId="63D0064C">
      <w:pPr>
        <w:spacing w:before="120" w:line="320" w:lineRule="atLeast"/>
        <w:ind w:firstLine="420" w:firstLineChars="200"/>
        <w:rPr>
          <w:rFonts w:hint="eastAsia"/>
          <w:color w:val="auto"/>
          <w:highlight w:val="none"/>
        </w:rPr>
      </w:pPr>
      <w:r>
        <w:rPr>
          <w:rFonts w:hint="eastAsia"/>
          <w:color w:val="auto"/>
          <w:highlight w:val="none"/>
        </w:rPr>
        <w:t xml:space="preserve">（1）采购文件能够详细列明采购标的的技术、服务要求的，磋商结束后，磋商小组应当要求所有实质性响应的供应商在规定时间内提交最后报价，提交最后报价的供应商不得少于3家。 </w:t>
      </w:r>
    </w:p>
    <w:p w14:paraId="5A147374">
      <w:pPr>
        <w:spacing w:before="120" w:line="320" w:lineRule="atLeast"/>
        <w:ind w:firstLine="420" w:firstLineChars="200"/>
        <w:rPr>
          <w:rFonts w:hint="eastAsia"/>
          <w:color w:val="auto"/>
          <w:highlight w:val="none"/>
        </w:rPr>
      </w:pPr>
      <w:r>
        <w:rPr>
          <w:rFonts w:hint="eastAsia"/>
          <w:color w:val="auto"/>
          <w:highlight w:val="none"/>
        </w:rPr>
        <w:t>采购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0CA7EA4F">
      <w:pPr>
        <w:spacing w:before="120" w:line="320" w:lineRule="atLeast"/>
        <w:ind w:firstLine="420" w:firstLineChars="200"/>
        <w:rPr>
          <w:rFonts w:hint="eastAsia"/>
          <w:color w:val="auto"/>
          <w:highlight w:val="none"/>
        </w:rPr>
      </w:pPr>
      <w:r>
        <w:rPr>
          <w:rFonts w:hint="eastAsia"/>
          <w:color w:val="auto"/>
          <w:highlight w:val="none"/>
        </w:rPr>
        <w:t>最后报价是供应商响应文件的有效组成部分。</w:t>
      </w:r>
    </w:p>
    <w:p w14:paraId="012E490E">
      <w:pPr>
        <w:spacing w:before="120" w:line="320" w:lineRule="atLeast"/>
        <w:ind w:firstLine="420" w:firstLineChars="200"/>
        <w:rPr>
          <w:rFonts w:hint="eastAsia"/>
          <w:color w:val="auto"/>
          <w:highlight w:val="none"/>
        </w:rPr>
      </w:pPr>
      <w:r>
        <w:rPr>
          <w:rFonts w:hint="eastAsia"/>
          <w:color w:val="auto"/>
          <w:highlight w:val="none"/>
        </w:rPr>
        <w:t>（2）如符合“市场竞争不充分的科研项目、需要扶持的科技成果转化项目、政府购买服务项目（含政府和社会资本合作项目）的，提交最后报价的供应商可以为2家。</w:t>
      </w:r>
    </w:p>
    <w:p w14:paraId="0802EF7C">
      <w:pPr>
        <w:spacing w:before="120" w:line="320" w:lineRule="atLeast"/>
        <w:ind w:firstLine="420" w:firstLineChars="200"/>
        <w:rPr>
          <w:color w:val="auto"/>
          <w:highlight w:val="none"/>
        </w:rPr>
      </w:pPr>
      <w:r>
        <w:rPr>
          <w:rFonts w:hint="eastAsia"/>
          <w:color w:val="auto"/>
          <w:highlight w:val="none"/>
        </w:rPr>
        <w:t>（</w:t>
      </w:r>
      <w:r>
        <w:rPr>
          <w:rFonts w:hint="eastAsia"/>
          <w:color w:val="auto"/>
          <w:highlight w:val="none"/>
          <w:lang w:val="en-US" w:eastAsia="zh-CN"/>
        </w:rPr>
        <w:t>3</w:t>
      </w:r>
      <w:r>
        <w:rPr>
          <w:rFonts w:hint="eastAsia"/>
          <w:color w:val="auto"/>
          <w:highlight w:val="none"/>
        </w:rPr>
        <w:t>）最后报价要求通过</w:t>
      </w:r>
      <w:r>
        <w:rPr>
          <w:rFonts w:hint="eastAsia"/>
          <w:color w:val="auto"/>
          <w:szCs w:val="21"/>
          <w:highlight w:val="none"/>
        </w:rPr>
        <w:t>广西政府采购云平台</w:t>
      </w:r>
      <w:r>
        <w:rPr>
          <w:rFonts w:hint="eastAsia"/>
          <w:color w:val="auto"/>
          <w:highlight w:val="none"/>
        </w:rPr>
        <w:t>发出，供应商需在</w:t>
      </w:r>
      <w:r>
        <w:rPr>
          <w:rFonts w:hint="eastAsia"/>
          <w:color w:val="auto"/>
          <w:szCs w:val="21"/>
          <w:highlight w:val="none"/>
        </w:rPr>
        <w:t>广西政府采购云平台</w:t>
      </w:r>
      <w:r>
        <w:rPr>
          <w:rFonts w:hint="eastAsia"/>
          <w:color w:val="auto"/>
          <w:highlight w:val="none"/>
        </w:rPr>
        <w:t>设置的时间内报价，最后报价不得超过采购预算金额且具有唯一性，否则否决其响应。</w:t>
      </w:r>
    </w:p>
    <w:p w14:paraId="52660CE0">
      <w:pPr>
        <w:spacing w:before="120" w:line="320" w:lineRule="atLeast"/>
        <w:ind w:firstLine="420" w:firstLineChars="200"/>
        <w:rPr>
          <w:rFonts w:hint="eastAsia"/>
          <w:color w:val="auto"/>
          <w:szCs w:val="21"/>
          <w:highlight w:val="none"/>
        </w:rPr>
      </w:pPr>
      <w:r>
        <w:rPr>
          <w:rFonts w:hint="eastAsia"/>
          <w:color w:val="auto"/>
          <w:szCs w:val="21"/>
          <w:highlight w:val="none"/>
        </w:rPr>
        <w:t>最后报价与首次报价相比有调整的：供应商提交的最后报价必须包含已标价的工程量清单，即最后报价是工程量清单全部工作内容的价格体现，具体包括供应商部分（分部分项工程量清单费用、措施项目清单费用、规费、税金、其它项目）和采购人部分（暂列金、材料购置费）（如有）等完成本工程并经验收合格至达到质量保修期限所需的费用、合理利润及风险。如采购文件或磋商过程中明确供应商应提供技术服务及其它服务的（如检测费、验收发生的费用），相应费用也应包括在最后报价中。最后报价不允许采用汇总后优惠、打折的形式，否则其报价无效并作无效响应处理。</w:t>
      </w:r>
    </w:p>
    <w:p w14:paraId="09461568">
      <w:pPr>
        <w:spacing w:before="120" w:line="320" w:lineRule="atLeast"/>
        <w:ind w:firstLine="420" w:firstLineChars="200"/>
        <w:rPr>
          <w:rFonts w:hint="eastAsia"/>
          <w:color w:val="auto"/>
          <w:highlight w:val="none"/>
        </w:rPr>
      </w:pPr>
      <w:r>
        <w:rPr>
          <w:rFonts w:hint="eastAsia"/>
          <w:color w:val="auto"/>
          <w:highlight w:val="none"/>
        </w:rPr>
        <w:t>（</w:t>
      </w:r>
      <w:r>
        <w:rPr>
          <w:rFonts w:hint="eastAsia"/>
          <w:color w:val="auto"/>
          <w:highlight w:val="none"/>
          <w:lang w:val="en-US" w:eastAsia="zh-CN"/>
        </w:rPr>
        <w:t>4</w:t>
      </w:r>
      <w:r>
        <w:rPr>
          <w:rFonts w:hint="eastAsia"/>
          <w:color w:val="auto"/>
          <w:highlight w:val="none"/>
        </w:rPr>
        <w:t>）已提交响应文件的供应商，在提交最后报价之前，可以根据磋商情况退出磋商</w:t>
      </w:r>
      <w:r>
        <w:rPr>
          <w:rFonts w:hint="eastAsia"/>
          <w:color w:val="auto"/>
          <w:highlight w:val="none"/>
          <w:lang w:eastAsia="zh-CN"/>
        </w:rPr>
        <w:t>，</w:t>
      </w:r>
      <w:r>
        <w:rPr>
          <w:rFonts w:hint="eastAsia"/>
          <w:color w:val="auto"/>
          <w:highlight w:val="none"/>
        </w:rPr>
        <w:t>退出磋商的供应商的响应文件无效。退出磋商的说明须经签字扫描后以电子邮件方式发送至采购代理机构，并及时通知项目负责人。磋商小组在评审报告中注明退出磋商的供应商名单。采购人、采购代理机构应当退还退出磋商的供应商的磋商保证金。</w:t>
      </w:r>
    </w:p>
    <w:p w14:paraId="2FC9CD41">
      <w:pPr>
        <w:spacing w:before="120" w:line="320" w:lineRule="atLeas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）供应商未在规定时间内提交最后报价的，视同退出磋商。</w:t>
      </w:r>
    </w:p>
    <w:p w14:paraId="7A6CB16B">
      <w:pPr>
        <w:spacing w:before="120" w:line="320" w:lineRule="atLeast"/>
        <w:ind w:firstLine="420" w:firstLineChars="200"/>
        <w:rPr>
          <w:rFonts w:hint="eastAsia"/>
          <w:color w:val="auto"/>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）最后报价结束后，磋商小组不得再与供应商进行任何形式的商谈。</w:t>
      </w:r>
    </w:p>
    <w:p w14:paraId="68457C62">
      <w:pPr>
        <w:spacing w:before="120" w:line="320" w:lineRule="atLeast"/>
        <w:ind w:firstLine="420" w:firstLineChars="200"/>
        <w:rPr>
          <w:color w:val="auto"/>
          <w:szCs w:val="21"/>
          <w:highlight w:val="none"/>
        </w:rPr>
      </w:pPr>
      <w:r>
        <w:rPr>
          <w:color w:val="auto"/>
          <w:szCs w:val="21"/>
          <w:highlight w:val="none"/>
        </w:rPr>
        <w:t>6.3.</w:t>
      </w:r>
      <w:r>
        <w:rPr>
          <w:rFonts w:hint="eastAsia"/>
          <w:color w:val="auto"/>
          <w:szCs w:val="21"/>
          <w:highlight w:val="none"/>
          <w:lang w:val="en-US" w:eastAsia="zh-CN"/>
        </w:rPr>
        <w:t>9</w:t>
      </w:r>
      <w:r>
        <w:rPr>
          <w:color w:val="auto"/>
          <w:szCs w:val="21"/>
          <w:highlight w:val="none"/>
        </w:rPr>
        <w:t>串通投标认定</w:t>
      </w:r>
    </w:p>
    <w:p w14:paraId="02CFBCE4">
      <w:pPr>
        <w:spacing w:before="120" w:line="320" w:lineRule="atLeast"/>
        <w:ind w:firstLine="420" w:firstLineChars="200"/>
        <w:rPr>
          <w:color w:val="auto"/>
          <w:highlight w:val="none"/>
        </w:rPr>
      </w:pPr>
      <w:r>
        <w:rPr>
          <w:color w:val="auto"/>
          <w:szCs w:val="21"/>
          <w:highlight w:val="none"/>
        </w:rPr>
        <w:t>磋商小组须根据</w:t>
      </w:r>
      <w:r>
        <w:rPr>
          <w:rFonts w:hint="eastAsia"/>
          <w:color w:val="auto"/>
          <w:szCs w:val="21"/>
          <w:highlight w:val="none"/>
        </w:rPr>
        <w:t>以下</w:t>
      </w:r>
      <w:r>
        <w:rPr>
          <w:color w:val="auto"/>
          <w:szCs w:val="21"/>
          <w:highlight w:val="none"/>
        </w:rPr>
        <w:t>规定</w:t>
      </w:r>
      <w:r>
        <w:rPr>
          <w:rFonts w:hint="eastAsia"/>
          <w:color w:val="auto"/>
          <w:szCs w:val="21"/>
          <w:highlight w:val="none"/>
        </w:rPr>
        <w:t>认定</w:t>
      </w:r>
      <w:r>
        <w:rPr>
          <w:color w:val="auto"/>
          <w:szCs w:val="21"/>
          <w:highlight w:val="none"/>
        </w:rPr>
        <w:t>供应商是否有</w:t>
      </w:r>
      <w:r>
        <w:rPr>
          <w:bCs/>
          <w:color w:val="auto"/>
          <w:kern w:val="0"/>
          <w:szCs w:val="21"/>
          <w:highlight w:val="none"/>
        </w:rPr>
        <w:t>串通投标的行为</w:t>
      </w:r>
      <w:r>
        <w:rPr>
          <w:color w:val="auto"/>
          <w:highlight w:val="none"/>
        </w:rPr>
        <w:t>。</w:t>
      </w:r>
    </w:p>
    <w:p w14:paraId="7B8FDA9B">
      <w:pPr>
        <w:spacing w:before="120" w:line="320" w:lineRule="atLeast"/>
        <w:ind w:firstLine="420" w:firstLineChars="200"/>
        <w:rPr>
          <w:color w:val="auto"/>
          <w:szCs w:val="21"/>
          <w:highlight w:val="none"/>
        </w:rPr>
      </w:pPr>
      <w:bookmarkStart w:id="63" w:name="_Hlk19122026"/>
      <w:r>
        <w:rPr>
          <w:rFonts w:hint="eastAsia"/>
          <w:color w:val="auto"/>
          <w:szCs w:val="21"/>
          <w:highlight w:val="none"/>
        </w:rPr>
        <w:t>（1）</w:t>
      </w:r>
      <w:bookmarkEnd w:id="63"/>
      <w:r>
        <w:rPr>
          <w:color w:val="auto"/>
          <w:szCs w:val="21"/>
          <w:highlight w:val="none"/>
        </w:rPr>
        <w:t>根据《关于防治政府采购招标中串通投标行为的通知》</w:t>
      </w:r>
      <w:r>
        <w:rPr>
          <w:rFonts w:hint="eastAsia"/>
          <w:color w:val="auto"/>
          <w:szCs w:val="21"/>
          <w:highlight w:val="none"/>
        </w:rPr>
        <w:t>（</w:t>
      </w:r>
      <w:r>
        <w:rPr>
          <w:color w:val="auto"/>
          <w:szCs w:val="21"/>
          <w:highlight w:val="none"/>
        </w:rPr>
        <w:t>桂财采</w:t>
      </w:r>
      <w:r>
        <w:rPr>
          <w:rFonts w:hint="eastAsia"/>
          <w:color w:val="auto"/>
          <w:szCs w:val="21"/>
          <w:highlight w:val="none"/>
          <w:lang w:eastAsia="zh-CN"/>
        </w:rPr>
        <w:t>〔2016〕</w:t>
      </w:r>
      <w:r>
        <w:rPr>
          <w:color w:val="auto"/>
          <w:szCs w:val="21"/>
          <w:highlight w:val="none"/>
        </w:rPr>
        <w:t>42号</w:t>
      </w:r>
      <w:r>
        <w:rPr>
          <w:rFonts w:hint="eastAsia"/>
          <w:color w:val="auto"/>
          <w:szCs w:val="21"/>
          <w:highlight w:val="none"/>
        </w:rPr>
        <w:t>）</w:t>
      </w:r>
      <w:r>
        <w:rPr>
          <w:color w:val="auto"/>
          <w:szCs w:val="21"/>
          <w:highlight w:val="none"/>
        </w:rPr>
        <w:t>规定，出现下述情况的，相关供应商的投标作无效投标处理。</w:t>
      </w:r>
    </w:p>
    <w:p w14:paraId="68B30FBD">
      <w:pPr>
        <w:spacing w:before="120" w:line="320" w:lineRule="atLeast"/>
        <w:ind w:firstLine="420" w:firstLineChars="200"/>
        <w:rPr>
          <w:color w:val="auto"/>
          <w:szCs w:val="21"/>
          <w:highlight w:val="none"/>
        </w:rPr>
      </w:pPr>
      <w:bookmarkStart w:id="64" w:name="_Hlk19122039"/>
      <w:r>
        <w:rPr>
          <w:rFonts w:hint="eastAsia" w:ascii="宋体" w:hAnsi="宋体" w:cs="宋体"/>
          <w:color w:val="auto"/>
          <w:szCs w:val="21"/>
          <w:highlight w:val="none"/>
        </w:rPr>
        <w:t>①</w:t>
      </w:r>
      <w:r>
        <w:rPr>
          <w:color w:val="auto"/>
          <w:szCs w:val="21"/>
          <w:highlight w:val="none"/>
        </w:rPr>
        <w:t>单位负责人为同一人或者存在直接控股、管理关系，参加同一合同项下政府采购活动的不同供应商。</w:t>
      </w:r>
    </w:p>
    <w:p w14:paraId="54344663">
      <w:pPr>
        <w:spacing w:before="120" w:line="320" w:lineRule="atLeast"/>
        <w:ind w:firstLine="420" w:firstLineChars="200"/>
        <w:rPr>
          <w:color w:val="auto"/>
          <w:szCs w:val="21"/>
          <w:highlight w:val="none"/>
        </w:rPr>
      </w:pPr>
      <w:r>
        <w:rPr>
          <w:rFonts w:hint="eastAsia"/>
          <w:color w:val="auto"/>
          <w:szCs w:val="21"/>
          <w:highlight w:val="none"/>
        </w:rPr>
        <w:t>②</w:t>
      </w:r>
      <w:r>
        <w:rPr>
          <w:color w:val="auto"/>
          <w:szCs w:val="21"/>
          <w:highlight w:val="none"/>
        </w:rPr>
        <w:t>授权给供应商后参加同一合同项（分标、分包）投标的生产厂商。</w:t>
      </w:r>
    </w:p>
    <w:p w14:paraId="701D2817">
      <w:pPr>
        <w:spacing w:before="120" w:line="320" w:lineRule="atLeast"/>
        <w:ind w:firstLine="420" w:firstLineChars="200"/>
        <w:rPr>
          <w:color w:val="auto"/>
          <w:szCs w:val="21"/>
          <w:highlight w:val="none"/>
        </w:rPr>
      </w:pPr>
      <w:r>
        <w:rPr>
          <w:rFonts w:hint="eastAsia"/>
          <w:color w:val="auto"/>
          <w:szCs w:val="21"/>
          <w:highlight w:val="none"/>
        </w:rPr>
        <w:t>③</w:t>
      </w:r>
      <w:r>
        <w:rPr>
          <w:color w:val="auto"/>
          <w:szCs w:val="21"/>
          <w:highlight w:val="none"/>
        </w:rPr>
        <w:t>视为或被认定为串通投标的相关供应商。</w:t>
      </w:r>
    </w:p>
    <w:bookmarkEnd w:id="64"/>
    <w:p w14:paraId="226E7BEB">
      <w:pPr>
        <w:spacing w:before="120" w:line="320" w:lineRule="atLeast"/>
        <w:ind w:firstLine="420" w:firstLineChars="200"/>
        <w:rPr>
          <w:color w:val="auto"/>
          <w:szCs w:val="21"/>
          <w:highlight w:val="none"/>
        </w:rPr>
      </w:pPr>
      <w:bookmarkStart w:id="65" w:name="_Hlk19122058"/>
      <w:r>
        <w:rPr>
          <w:rFonts w:hint="eastAsia"/>
          <w:color w:val="auto"/>
          <w:szCs w:val="21"/>
          <w:highlight w:val="none"/>
        </w:rPr>
        <w:t>（2）</w:t>
      </w:r>
      <w:bookmarkEnd w:id="65"/>
      <w:r>
        <w:rPr>
          <w:color w:val="auto"/>
          <w:szCs w:val="21"/>
          <w:highlight w:val="none"/>
        </w:rPr>
        <w:t>根据《关于防治政府采购招标中串通投标行为的通知》</w:t>
      </w:r>
      <w:r>
        <w:rPr>
          <w:rFonts w:hint="eastAsia"/>
          <w:color w:val="auto"/>
          <w:szCs w:val="21"/>
          <w:highlight w:val="none"/>
        </w:rPr>
        <w:t>（</w:t>
      </w:r>
      <w:r>
        <w:rPr>
          <w:color w:val="auto"/>
          <w:szCs w:val="21"/>
          <w:highlight w:val="none"/>
        </w:rPr>
        <w:t>桂财采</w:t>
      </w:r>
      <w:r>
        <w:rPr>
          <w:rFonts w:hint="eastAsia"/>
          <w:color w:val="auto"/>
          <w:szCs w:val="21"/>
          <w:highlight w:val="none"/>
          <w:lang w:eastAsia="zh-CN"/>
        </w:rPr>
        <w:t>〔2016〕</w:t>
      </w:r>
      <w:r>
        <w:rPr>
          <w:color w:val="auto"/>
          <w:szCs w:val="21"/>
          <w:highlight w:val="none"/>
        </w:rPr>
        <w:t>42号</w:t>
      </w:r>
      <w:r>
        <w:rPr>
          <w:rFonts w:hint="eastAsia"/>
          <w:color w:val="auto"/>
          <w:szCs w:val="21"/>
          <w:highlight w:val="none"/>
        </w:rPr>
        <w:t>）</w:t>
      </w:r>
      <w:r>
        <w:rPr>
          <w:color w:val="auto"/>
          <w:szCs w:val="21"/>
          <w:highlight w:val="none"/>
        </w:rPr>
        <w:t>规定，有下列情形之一的视为供应商相互串通投标，响应文件将被视为无效。</w:t>
      </w:r>
    </w:p>
    <w:p w14:paraId="6E59D8F1">
      <w:pPr>
        <w:spacing w:before="120" w:line="320" w:lineRule="atLeast"/>
        <w:ind w:firstLine="420" w:firstLineChars="200"/>
        <w:rPr>
          <w:color w:val="auto"/>
          <w:szCs w:val="21"/>
          <w:highlight w:val="none"/>
        </w:rPr>
      </w:pPr>
      <w:bookmarkStart w:id="66" w:name="_Hlk19122048"/>
      <w:r>
        <w:rPr>
          <w:rFonts w:hint="eastAsia" w:ascii="宋体" w:hAnsi="宋体" w:cs="宋体"/>
          <w:color w:val="auto"/>
          <w:szCs w:val="21"/>
          <w:highlight w:val="none"/>
        </w:rPr>
        <w:t>①</w:t>
      </w:r>
      <w:r>
        <w:rPr>
          <w:color w:val="auto"/>
          <w:szCs w:val="21"/>
          <w:highlight w:val="none"/>
        </w:rPr>
        <w:t>不同供应商的响应文件由同一单位或者个人编制；或不同供应商报名的IP地址一致的；</w:t>
      </w:r>
    </w:p>
    <w:p w14:paraId="47355E25">
      <w:pPr>
        <w:spacing w:before="120" w:line="320" w:lineRule="atLeast"/>
        <w:ind w:firstLine="420" w:firstLineChars="200"/>
        <w:rPr>
          <w:color w:val="auto"/>
          <w:szCs w:val="21"/>
          <w:highlight w:val="none"/>
        </w:rPr>
      </w:pPr>
      <w:r>
        <w:rPr>
          <w:rFonts w:hint="eastAsia"/>
          <w:color w:val="auto"/>
          <w:szCs w:val="21"/>
          <w:highlight w:val="none"/>
        </w:rPr>
        <w:t>②</w:t>
      </w:r>
      <w:r>
        <w:rPr>
          <w:color w:val="auto"/>
          <w:szCs w:val="21"/>
          <w:highlight w:val="none"/>
        </w:rPr>
        <w:t>不同供应商委托同一单位或者个人办理投标事宜；</w:t>
      </w:r>
    </w:p>
    <w:p w14:paraId="3AC5B55A">
      <w:pPr>
        <w:spacing w:before="120" w:line="320" w:lineRule="atLeast"/>
        <w:ind w:firstLine="420" w:firstLineChars="200"/>
        <w:rPr>
          <w:color w:val="auto"/>
          <w:szCs w:val="21"/>
          <w:highlight w:val="none"/>
        </w:rPr>
      </w:pPr>
      <w:r>
        <w:rPr>
          <w:rFonts w:hint="eastAsia"/>
          <w:color w:val="auto"/>
          <w:szCs w:val="21"/>
          <w:highlight w:val="none"/>
        </w:rPr>
        <w:t>③</w:t>
      </w:r>
      <w:r>
        <w:rPr>
          <w:color w:val="auto"/>
          <w:szCs w:val="21"/>
          <w:highlight w:val="none"/>
        </w:rPr>
        <w:t>不同的供应商的响应文件载明的项目管理员为同一个人；</w:t>
      </w:r>
    </w:p>
    <w:p w14:paraId="4C347E03">
      <w:pPr>
        <w:spacing w:before="120" w:line="320" w:lineRule="atLeast"/>
        <w:ind w:firstLine="420" w:firstLineChars="200"/>
        <w:rPr>
          <w:color w:val="auto"/>
          <w:szCs w:val="21"/>
          <w:highlight w:val="none"/>
        </w:rPr>
      </w:pPr>
      <w:r>
        <w:rPr>
          <w:rFonts w:hint="eastAsia"/>
          <w:color w:val="auto"/>
          <w:szCs w:val="21"/>
          <w:highlight w:val="none"/>
        </w:rPr>
        <w:t>④</w:t>
      </w:r>
      <w:r>
        <w:rPr>
          <w:color w:val="auto"/>
          <w:szCs w:val="21"/>
          <w:highlight w:val="none"/>
        </w:rPr>
        <w:t>不同供应商的响应文件异常一致或投标报价呈规律性差异；</w:t>
      </w:r>
    </w:p>
    <w:p w14:paraId="70113205">
      <w:pPr>
        <w:spacing w:before="120" w:line="320" w:lineRule="atLeast"/>
        <w:ind w:firstLine="420" w:firstLineChars="200"/>
        <w:rPr>
          <w:color w:val="auto"/>
          <w:szCs w:val="21"/>
          <w:highlight w:val="none"/>
        </w:rPr>
      </w:pPr>
      <w:r>
        <w:rPr>
          <w:rFonts w:hint="eastAsia"/>
          <w:color w:val="auto"/>
          <w:szCs w:val="21"/>
          <w:highlight w:val="none"/>
        </w:rPr>
        <w:t>⑤</w:t>
      </w:r>
      <w:r>
        <w:rPr>
          <w:color w:val="auto"/>
          <w:szCs w:val="21"/>
          <w:highlight w:val="none"/>
        </w:rPr>
        <w:t>不同供应商的响应文件相互混装；</w:t>
      </w:r>
    </w:p>
    <w:p w14:paraId="48309C11">
      <w:pPr>
        <w:spacing w:before="120" w:line="320" w:lineRule="atLeast"/>
        <w:ind w:firstLine="420" w:firstLineChars="200"/>
        <w:rPr>
          <w:color w:val="auto"/>
          <w:szCs w:val="21"/>
          <w:highlight w:val="none"/>
        </w:rPr>
      </w:pPr>
      <w:r>
        <w:rPr>
          <w:rFonts w:hint="eastAsia"/>
          <w:color w:val="auto"/>
          <w:szCs w:val="21"/>
          <w:highlight w:val="none"/>
        </w:rPr>
        <w:t>⑥</w:t>
      </w:r>
      <w:r>
        <w:rPr>
          <w:color w:val="auto"/>
          <w:szCs w:val="21"/>
          <w:highlight w:val="none"/>
        </w:rPr>
        <w:t>不同供应商的保证金从同一单位或者个人账户转出。</w:t>
      </w:r>
    </w:p>
    <w:bookmarkEnd w:id="66"/>
    <w:p w14:paraId="6C79A9C7">
      <w:pPr>
        <w:spacing w:before="120" w:line="320" w:lineRule="atLeast"/>
        <w:ind w:firstLine="420" w:firstLineChars="200"/>
        <w:rPr>
          <w:color w:val="auto"/>
          <w:szCs w:val="21"/>
          <w:highlight w:val="none"/>
        </w:rPr>
      </w:pPr>
      <w:bookmarkStart w:id="67" w:name="_Hlk19122102"/>
      <w:r>
        <w:rPr>
          <w:rFonts w:hint="eastAsia"/>
          <w:color w:val="auto"/>
          <w:szCs w:val="21"/>
          <w:highlight w:val="none"/>
        </w:rPr>
        <w:t>（3）</w:t>
      </w:r>
      <w:bookmarkEnd w:id="67"/>
      <w:r>
        <w:rPr>
          <w:color w:val="auto"/>
          <w:szCs w:val="21"/>
          <w:highlight w:val="none"/>
        </w:rPr>
        <w:t>根据《关于防治政府采购招标中串通投标行为的通知》</w:t>
      </w:r>
      <w:r>
        <w:rPr>
          <w:rFonts w:hint="eastAsia"/>
          <w:color w:val="auto"/>
          <w:szCs w:val="21"/>
          <w:highlight w:val="none"/>
        </w:rPr>
        <w:t>（</w:t>
      </w:r>
      <w:r>
        <w:rPr>
          <w:color w:val="auto"/>
          <w:szCs w:val="21"/>
          <w:highlight w:val="none"/>
        </w:rPr>
        <w:t>桂财采[2016]42号</w:t>
      </w:r>
      <w:r>
        <w:rPr>
          <w:rFonts w:hint="eastAsia"/>
          <w:color w:val="auto"/>
          <w:szCs w:val="21"/>
          <w:highlight w:val="none"/>
        </w:rPr>
        <w:t>）</w:t>
      </w:r>
      <w:r>
        <w:rPr>
          <w:color w:val="auto"/>
          <w:szCs w:val="21"/>
          <w:highlight w:val="none"/>
        </w:rPr>
        <w:t>规定，供应商有下列情形之一的，属于恶意串通行为，响应文件将被视为无效。</w:t>
      </w:r>
    </w:p>
    <w:p w14:paraId="568F3CBD">
      <w:pPr>
        <w:spacing w:before="120" w:line="320" w:lineRule="atLeast"/>
        <w:ind w:firstLine="420" w:firstLineChars="200"/>
        <w:rPr>
          <w:color w:val="auto"/>
          <w:szCs w:val="21"/>
          <w:highlight w:val="none"/>
        </w:rPr>
      </w:pPr>
      <w:bookmarkStart w:id="68" w:name="_Hlk19122095"/>
      <w:r>
        <w:rPr>
          <w:rFonts w:hint="eastAsia"/>
          <w:color w:val="auto"/>
          <w:szCs w:val="21"/>
          <w:highlight w:val="none"/>
        </w:rPr>
        <w:t>①</w:t>
      </w:r>
      <w:r>
        <w:rPr>
          <w:color w:val="auto"/>
          <w:szCs w:val="21"/>
          <w:highlight w:val="none"/>
        </w:rPr>
        <w:t>供应商直接或者间接从采购人或者采购代理机构处获得其他供应商的相关信息并修改其响应文件或者响应文件；</w:t>
      </w:r>
    </w:p>
    <w:p w14:paraId="0ECA8A96">
      <w:pPr>
        <w:spacing w:before="120" w:line="320" w:lineRule="atLeast"/>
        <w:ind w:firstLine="420" w:firstLineChars="200"/>
        <w:rPr>
          <w:color w:val="auto"/>
          <w:szCs w:val="21"/>
          <w:highlight w:val="none"/>
        </w:rPr>
      </w:pPr>
      <w:r>
        <w:rPr>
          <w:rFonts w:hint="eastAsia"/>
          <w:color w:val="auto"/>
          <w:szCs w:val="21"/>
          <w:highlight w:val="none"/>
        </w:rPr>
        <w:t>②</w:t>
      </w:r>
      <w:r>
        <w:rPr>
          <w:color w:val="auto"/>
          <w:szCs w:val="21"/>
          <w:highlight w:val="none"/>
        </w:rPr>
        <w:t>供应商按照采购人或者采购代理机构的授意撤换、修改响应文件或者响应文件;；</w:t>
      </w:r>
    </w:p>
    <w:p w14:paraId="088EEF3B">
      <w:pPr>
        <w:spacing w:before="120" w:line="320" w:lineRule="atLeast"/>
        <w:ind w:firstLine="420" w:firstLineChars="200"/>
        <w:rPr>
          <w:color w:val="auto"/>
          <w:szCs w:val="21"/>
          <w:highlight w:val="none"/>
        </w:rPr>
      </w:pPr>
      <w:r>
        <w:rPr>
          <w:rFonts w:hint="eastAsia"/>
          <w:color w:val="auto"/>
          <w:szCs w:val="21"/>
          <w:highlight w:val="none"/>
        </w:rPr>
        <w:t>③</w:t>
      </w:r>
      <w:r>
        <w:rPr>
          <w:color w:val="auto"/>
          <w:szCs w:val="21"/>
          <w:highlight w:val="none"/>
        </w:rPr>
        <w:t>供应商之间协商报价、技术方案等响应文件或者响应文件的实质性内容；</w:t>
      </w:r>
    </w:p>
    <w:p w14:paraId="7A60D6E9">
      <w:pPr>
        <w:spacing w:before="120" w:line="320" w:lineRule="atLeast"/>
        <w:ind w:firstLine="420" w:firstLineChars="200"/>
        <w:rPr>
          <w:color w:val="auto"/>
          <w:szCs w:val="21"/>
          <w:highlight w:val="none"/>
        </w:rPr>
      </w:pPr>
      <w:r>
        <w:rPr>
          <w:rFonts w:hint="eastAsia"/>
          <w:color w:val="auto"/>
          <w:szCs w:val="21"/>
          <w:highlight w:val="none"/>
        </w:rPr>
        <w:t>④</w:t>
      </w:r>
      <w:r>
        <w:rPr>
          <w:color w:val="auto"/>
          <w:szCs w:val="21"/>
          <w:highlight w:val="none"/>
        </w:rPr>
        <w:t>属于同一集团、协会、商会等组织成员的供应商按照该组织要求协同参加政府采购活动；</w:t>
      </w:r>
    </w:p>
    <w:p w14:paraId="0CD384DF">
      <w:pPr>
        <w:spacing w:before="120" w:line="320" w:lineRule="atLeast"/>
        <w:ind w:firstLine="420" w:firstLineChars="200"/>
        <w:rPr>
          <w:color w:val="auto"/>
          <w:szCs w:val="21"/>
          <w:highlight w:val="none"/>
        </w:rPr>
      </w:pPr>
      <w:r>
        <w:rPr>
          <w:rFonts w:hint="eastAsia"/>
          <w:color w:val="auto"/>
          <w:szCs w:val="21"/>
          <w:highlight w:val="none"/>
        </w:rPr>
        <w:t>⑤</w:t>
      </w:r>
      <w:r>
        <w:rPr>
          <w:color w:val="auto"/>
          <w:szCs w:val="21"/>
          <w:highlight w:val="none"/>
        </w:rPr>
        <w:t>供应商之间事先约定一致抬高或者压低投标报价，或者在招标项目中事先约定轮流以高价位或者低价位中标，或者事先约定由某一特定供应商中标，然后再参加投标；</w:t>
      </w:r>
    </w:p>
    <w:p w14:paraId="14FD4511">
      <w:pPr>
        <w:spacing w:before="120" w:line="320" w:lineRule="atLeast"/>
        <w:ind w:firstLine="420" w:firstLineChars="200"/>
        <w:rPr>
          <w:color w:val="auto"/>
          <w:szCs w:val="21"/>
          <w:highlight w:val="none"/>
        </w:rPr>
      </w:pPr>
      <w:r>
        <w:rPr>
          <w:rFonts w:hint="eastAsia"/>
          <w:color w:val="auto"/>
          <w:szCs w:val="21"/>
          <w:highlight w:val="none"/>
        </w:rPr>
        <w:t>⑥</w:t>
      </w:r>
      <w:r>
        <w:rPr>
          <w:color w:val="auto"/>
          <w:szCs w:val="21"/>
          <w:highlight w:val="none"/>
        </w:rPr>
        <w:t>供应商之间商定部分供应商放弃参加政府采购活动或者放弃中标；</w:t>
      </w:r>
    </w:p>
    <w:p w14:paraId="295BF87E">
      <w:pPr>
        <w:spacing w:before="120" w:line="320" w:lineRule="atLeast"/>
        <w:ind w:firstLine="420" w:firstLineChars="200"/>
        <w:rPr>
          <w:color w:val="auto"/>
          <w:szCs w:val="21"/>
          <w:highlight w:val="none"/>
        </w:rPr>
      </w:pPr>
      <w:r>
        <w:rPr>
          <w:rFonts w:hint="eastAsia"/>
          <w:color w:val="auto"/>
          <w:szCs w:val="21"/>
          <w:highlight w:val="none"/>
        </w:rPr>
        <w:t>⑦</w:t>
      </w:r>
      <w:r>
        <w:rPr>
          <w:color w:val="auto"/>
          <w:szCs w:val="21"/>
          <w:highlight w:val="none"/>
        </w:rPr>
        <w:t>供应商与采购人或者采购代理机构之间、供应商相互之间，为谋求特定供应商中标或者排斥其他供应商的其他串通行为。</w:t>
      </w:r>
    </w:p>
    <w:bookmarkEnd w:id="68"/>
    <w:p w14:paraId="1C288E2A">
      <w:pPr>
        <w:spacing w:before="120" w:line="320" w:lineRule="atLeast"/>
        <w:ind w:firstLine="420" w:firstLineChars="200"/>
        <w:rPr>
          <w:color w:val="auto"/>
          <w:szCs w:val="21"/>
          <w:highlight w:val="none"/>
        </w:rPr>
      </w:pPr>
      <w:r>
        <w:rPr>
          <w:color w:val="auto"/>
          <w:szCs w:val="21"/>
          <w:highlight w:val="none"/>
        </w:rPr>
        <w:t>6.3.</w:t>
      </w:r>
      <w:r>
        <w:rPr>
          <w:rFonts w:hint="eastAsia"/>
          <w:color w:val="auto"/>
          <w:szCs w:val="21"/>
          <w:highlight w:val="none"/>
          <w:lang w:val="en-US" w:eastAsia="zh-CN"/>
        </w:rPr>
        <w:t>10</w:t>
      </w:r>
      <w:r>
        <w:rPr>
          <w:color w:val="auto"/>
          <w:szCs w:val="21"/>
          <w:highlight w:val="none"/>
        </w:rPr>
        <w:t>响应</w:t>
      </w:r>
      <w:r>
        <w:rPr>
          <w:rFonts w:hint="eastAsia"/>
          <w:color w:val="auto"/>
          <w:szCs w:val="21"/>
          <w:highlight w:val="none"/>
        </w:rPr>
        <w:t>无效</w:t>
      </w:r>
      <w:r>
        <w:rPr>
          <w:color w:val="auto"/>
          <w:szCs w:val="21"/>
          <w:highlight w:val="none"/>
        </w:rPr>
        <w:t>认定</w:t>
      </w:r>
    </w:p>
    <w:p w14:paraId="776EBC3E">
      <w:pPr>
        <w:spacing w:before="120" w:line="320" w:lineRule="atLeast"/>
        <w:ind w:firstLine="420" w:firstLineChars="200"/>
        <w:rPr>
          <w:color w:val="auto"/>
          <w:szCs w:val="21"/>
          <w:highlight w:val="none"/>
        </w:rPr>
      </w:pPr>
      <w:r>
        <w:rPr>
          <w:rFonts w:hint="eastAsia"/>
          <w:color w:val="auto"/>
          <w:szCs w:val="21"/>
          <w:highlight w:val="none"/>
        </w:rPr>
        <w:t>（</w:t>
      </w:r>
      <w:r>
        <w:rPr>
          <w:color w:val="auto"/>
          <w:szCs w:val="21"/>
          <w:highlight w:val="none"/>
        </w:rPr>
        <w:t>1）在</w:t>
      </w:r>
      <w:r>
        <w:rPr>
          <w:rFonts w:hint="eastAsia"/>
          <w:color w:val="auto"/>
          <w:szCs w:val="21"/>
          <w:highlight w:val="none"/>
        </w:rPr>
        <w:t>评审过程中</w:t>
      </w:r>
      <w:r>
        <w:rPr>
          <w:color w:val="auto"/>
          <w:szCs w:val="21"/>
          <w:highlight w:val="none"/>
        </w:rPr>
        <w:t>如发现下列情形之一的，响应文件将被视为无效：</w:t>
      </w:r>
    </w:p>
    <w:p w14:paraId="70B8682B">
      <w:pPr>
        <w:spacing w:before="120" w:line="320" w:lineRule="atLeast"/>
        <w:ind w:firstLine="420" w:firstLineChars="200"/>
        <w:rPr>
          <w:color w:val="auto"/>
          <w:highlight w:val="none"/>
        </w:rPr>
      </w:pPr>
      <w:r>
        <w:rPr>
          <w:rFonts w:hint="eastAsia"/>
          <w:color w:val="auto"/>
          <w:szCs w:val="21"/>
          <w:highlight w:val="none"/>
        </w:rPr>
        <w:t>①</w:t>
      </w:r>
      <w:r>
        <w:rPr>
          <w:color w:val="auto"/>
          <w:szCs w:val="21"/>
          <w:highlight w:val="none"/>
        </w:rPr>
        <w:t>响应文件</w:t>
      </w:r>
      <w:r>
        <w:rPr>
          <w:rFonts w:hint="eastAsia"/>
          <w:color w:val="auto"/>
          <w:szCs w:val="21"/>
          <w:highlight w:val="none"/>
        </w:rPr>
        <w:t>存在法律、法规及监督部门有关文件规定的无效情形</w:t>
      </w:r>
      <w:r>
        <w:rPr>
          <w:color w:val="auto"/>
          <w:szCs w:val="21"/>
          <w:highlight w:val="none"/>
        </w:rPr>
        <w:t>。</w:t>
      </w:r>
    </w:p>
    <w:p w14:paraId="616D308A">
      <w:pPr>
        <w:spacing w:before="120" w:line="320" w:lineRule="atLeast"/>
        <w:ind w:firstLine="420" w:firstLineChars="200"/>
        <w:rPr>
          <w:color w:val="auto"/>
          <w:szCs w:val="21"/>
          <w:highlight w:val="none"/>
        </w:rPr>
      </w:pPr>
      <w:r>
        <w:rPr>
          <w:rFonts w:hint="eastAsia"/>
          <w:color w:val="auto"/>
          <w:szCs w:val="21"/>
          <w:highlight w:val="none"/>
        </w:rPr>
        <w:t>②</w:t>
      </w:r>
      <w:r>
        <w:rPr>
          <w:color w:val="auto"/>
          <w:szCs w:val="21"/>
          <w:highlight w:val="none"/>
        </w:rPr>
        <w:t>响应文件</w:t>
      </w:r>
      <w:r>
        <w:rPr>
          <w:rFonts w:hint="eastAsia"/>
          <w:color w:val="auto"/>
          <w:szCs w:val="21"/>
          <w:highlight w:val="none"/>
        </w:rPr>
        <w:t>存在采购文件规定的无效情形。</w:t>
      </w:r>
    </w:p>
    <w:p w14:paraId="6FAF1549">
      <w:pPr>
        <w:spacing w:before="120" w:line="320" w:lineRule="atLeast"/>
        <w:ind w:firstLine="420" w:firstLineChars="200"/>
        <w:rPr>
          <w:color w:val="auto"/>
          <w:szCs w:val="21"/>
          <w:highlight w:val="none"/>
        </w:rPr>
      </w:pPr>
      <w:bookmarkStart w:id="69" w:name="_Hlk19113313"/>
      <w:r>
        <w:rPr>
          <w:rFonts w:hint="eastAsia"/>
          <w:color w:val="auto"/>
          <w:szCs w:val="21"/>
          <w:highlight w:val="none"/>
        </w:rPr>
        <w:t>（2）根据</w:t>
      </w:r>
      <w:r>
        <w:rPr>
          <w:color w:val="auto"/>
          <w:szCs w:val="21"/>
          <w:highlight w:val="none"/>
        </w:rPr>
        <w:t>财库</w:t>
      </w:r>
      <w:r>
        <w:rPr>
          <w:rFonts w:hint="eastAsia"/>
          <w:color w:val="auto"/>
          <w:szCs w:val="21"/>
          <w:highlight w:val="none"/>
        </w:rPr>
        <w:t>《</w:t>
      </w:r>
      <w:r>
        <w:rPr>
          <w:color w:val="auto"/>
          <w:szCs w:val="21"/>
          <w:highlight w:val="none"/>
        </w:rPr>
        <w:t>关于促进政府采购公平竞争优化营商环境的通知</w:t>
      </w:r>
      <w:r>
        <w:rPr>
          <w:rFonts w:hint="eastAsia"/>
          <w:color w:val="auto"/>
          <w:szCs w:val="21"/>
          <w:highlight w:val="none"/>
        </w:rPr>
        <w:t>》（</w:t>
      </w:r>
      <w:r>
        <w:rPr>
          <w:color w:val="auto"/>
          <w:szCs w:val="21"/>
          <w:highlight w:val="none"/>
        </w:rPr>
        <w:t>〔2019〕38号</w:t>
      </w:r>
      <w:r>
        <w:rPr>
          <w:rFonts w:hint="eastAsia"/>
          <w:color w:val="auto"/>
          <w:szCs w:val="21"/>
          <w:highlight w:val="none"/>
        </w:rPr>
        <w:t>）以及《广西壮族自治区财政厅转发财政部关于促进政府采购公平竞争优化营商环境的通知》（桂财采〔2019〕41号）规定，磋商小组不得因装订、纸张、文件排序等非实质性的格式、形式问题认定投标无效或否决投标，从而限制和影响供应商投标（响应）。</w:t>
      </w:r>
    </w:p>
    <w:bookmarkEnd w:id="69"/>
    <w:p w14:paraId="16865BE2">
      <w:pPr>
        <w:spacing w:before="120" w:line="320" w:lineRule="atLeast"/>
        <w:ind w:firstLine="420" w:firstLineChars="200"/>
        <w:rPr>
          <w:color w:val="auto"/>
          <w:szCs w:val="21"/>
          <w:highlight w:val="none"/>
        </w:rPr>
      </w:pPr>
      <w:bookmarkStart w:id="70" w:name="_Hlk19113363"/>
      <w:r>
        <w:rPr>
          <w:color w:val="auto"/>
          <w:szCs w:val="21"/>
          <w:highlight w:val="none"/>
        </w:rPr>
        <w:t>6.3.1</w:t>
      </w:r>
      <w:r>
        <w:rPr>
          <w:rFonts w:hint="eastAsia"/>
          <w:color w:val="auto"/>
          <w:szCs w:val="21"/>
          <w:highlight w:val="none"/>
          <w:lang w:val="en-US" w:eastAsia="zh-CN"/>
        </w:rPr>
        <w:t>1</w:t>
      </w:r>
      <w:r>
        <w:rPr>
          <w:color w:val="auto"/>
          <w:szCs w:val="21"/>
          <w:highlight w:val="none"/>
        </w:rPr>
        <w:t>比较与评价</w:t>
      </w:r>
    </w:p>
    <w:p w14:paraId="44BB9A19">
      <w:pPr>
        <w:spacing w:before="120" w:line="320" w:lineRule="atLeast"/>
        <w:ind w:firstLine="420" w:firstLineChars="200"/>
        <w:rPr>
          <w:color w:val="auto"/>
          <w:szCs w:val="21"/>
          <w:highlight w:val="none"/>
        </w:rPr>
      </w:pPr>
      <w:r>
        <w:rPr>
          <w:rFonts w:hint="eastAsia"/>
          <w:color w:val="auto"/>
          <w:szCs w:val="21"/>
          <w:highlight w:val="none"/>
        </w:rPr>
        <w:t>（1）磋商小组</w:t>
      </w:r>
      <w:r>
        <w:rPr>
          <w:color w:val="auto"/>
          <w:szCs w:val="21"/>
          <w:highlight w:val="none"/>
        </w:rPr>
        <w:t>按采购文件中规定的评审方法和标准，</w:t>
      </w:r>
      <w:r>
        <w:rPr>
          <w:rFonts w:hint="eastAsia"/>
          <w:color w:val="auto"/>
          <w:szCs w:val="21"/>
          <w:highlight w:val="none"/>
        </w:rPr>
        <w:t>对提交最后报价的供应商的响应文件和最后报价进行综合评分。</w:t>
      </w:r>
    </w:p>
    <w:p w14:paraId="125FFD60">
      <w:pPr>
        <w:spacing w:before="120" w:line="320" w:lineRule="atLeast"/>
        <w:ind w:firstLine="420" w:firstLineChars="200"/>
        <w:rPr>
          <w:color w:val="auto"/>
          <w:szCs w:val="21"/>
          <w:highlight w:val="none"/>
        </w:rPr>
      </w:pPr>
      <w:r>
        <w:rPr>
          <w:rFonts w:hint="eastAsia"/>
          <w:color w:val="auto"/>
          <w:szCs w:val="21"/>
          <w:highlight w:val="none"/>
        </w:rPr>
        <w:t>（2）</w:t>
      </w:r>
      <w:r>
        <w:rPr>
          <w:color w:val="auto"/>
          <w:szCs w:val="21"/>
          <w:highlight w:val="none"/>
        </w:rPr>
        <w:t>磋商小组各成员独立对每个有效供应商的响应文件进行评价</w:t>
      </w:r>
      <w:r>
        <w:rPr>
          <w:rFonts w:hint="eastAsia"/>
          <w:color w:val="auto"/>
          <w:szCs w:val="21"/>
          <w:highlight w:val="none"/>
        </w:rPr>
        <w:t>、打分。评价打分</w:t>
      </w:r>
      <w:r>
        <w:rPr>
          <w:color w:val="auto"/>
          <w:szCs w:val="21"/>
          <w:highlight w:val="none"/>
        </w:rPr>
        <w:t>有误的应及时进行修正。</w:t>
      </w:r>
      <w:r>
        <w:rPr>
          <w:rFonts w:hint="eastAsia"/>
          <w:color w:val="auto"/>
          <w:szCs w:val="21"/>
          <w:highlight w:val="none"/>
        </w:rPr>
        <w:t>评分</w:t>
      </w:r>
      <w:r>
        <w:rPr>
          <w:color w:val="auto"/>
          <w:szCs w:val="21"/>
          <w:highlight w:val="none"/>
        </w:rPr>
        <w:t>标准如有客观分定义，磋商小组所有成员的客观分</w:t>
      </w:r>
      <w:r>
        <w:rPr>
          <w:rFonts w:hint="eastAsia"/>
          <w:color w:val="auto"/>
          <w:szCs w:val="21"/>
          <w:highlight w:val="none"/>
        </w:rPr>
        <w:t>评分分值</w:t>
      </w:r>
      <w:r>
        <w:rPr>
          <w:color w:val="auto"/>
          <w:szCs w:val="21"/>
          <w:highlight w:val="none"/>
        </w:rPr>
        <w:t>应当一致。</w:t>
      </w:r>
    </w:p>
    <w:p w14:paraId="51AD5C45">
      <w:pPr>
        <w:spacing w:before="120" w:line="320" w:lineRule="atLeast"/>
        <w:ind w:firstLine="420" w:firstLineChars="200"/>
        <w:rPr>
          <w:rFonts w:hint="eastAsia"/>
          <w:color w:val="auto"/>
          <w:szCs w:val="21"/>
          <w:highlight w:val="none"/>
        </w:rPr>
      </w:pPr>
      <w:r>
        <w:rPr>
          <w:rFonts w:hint="eastAsia"/>
          <w:color w:val="auto"/>
          <w:szCs w:val="21"/>
          <w:highlight w:val="none"/>
        </w:rPr>
        <w:t>（3）磋商小组</w:t>
      </w:r>
      <w:r>
        <w:rPr>
          <w:color w:val="auto"/>
          <w:szCs w:val="21"/>
          <w:highlight w:val="none"/>
        </w:rPr>
        <w:t>按</w:t>
      </w:r>
      <w:r>
        <w:rPr>
          <w:rFonts w:hint="eastAsia"/>
          <w:color w:val="auto"/>
          <w:szCs w:val="21"/>
          <w:highlight w:val="none"/>
        </w:rPr>
        <w:t>综合评</w:t>
      </w:r>
      <w:r>
        <w:rPr>
          <w:color w:val="auto"/>
          <w:szCs w:val="21"/>
          <w:highlight w:val="none"/>
        </w:rPr>
        <w:t>分由高到低的排列顺序</w:t>
      </w:r>
      <w:r>
        <w:rPr>
          <w:rFonts w:hint="eastAsia"/>
          <w:color w:val="auto"/>
          <w:szCs w:val="21"/>
          <w:highlight w:val="none"/>
        </w:rPr>
        <w:t>推荐</w:t>
      </w:r>
      <w:r>
        <w:rPr>
          <w:color w:val="auto"/>
          <w:szCs w:val="21"/>
          <w:highlight w:val="none"/>
        </w:rPr>
        <w:t>3</w:t>
      </w:r>
      <w:r>
        <w:rPr>
          <w:rFonts w:hint="eastAsia"/>
          <w:color w:val="auto"/>
          <w:szCs w:val="21"/>
          <w:highlight w:val="none"/>
        </w:rPr>
        <w:t>名以上成交候选供应商，</w:t>
      </w:r>
      <w:r>
        <w:rPr>
          <w:color w:val="auto"/>
          <w:szCs w:val="21"/>
          <w:highlight w:val="none"/>
        </w:rPr>
        <w:t>综合</w:t>
      </w:r>
      <w:r>
        <w:rPr>
          <w:rFonts w:hint="eastAsia"/>
          <w:color w:val="auto"/>
          <w:szCs w:val="21"/>
          <w:highlight w:val="none"/>
        </w:rPr>
        <w:t>评</w:t>
      </w:r>
      <w:r>
        <w:rPr>
          <w:color w:val="auto"/>
          <w:szCs w:val="21"/>
          <w:highlight w:val="none"/>
        </w:rPr>
        <w:t>分排名第一的为第一</w:t>
      </w:r>
      <w:r>
        <w:rPr>
          <w:rFonts w:hint="eastAsia"/>
          <w:color w:val="auto"/>
          <w:szCs w:val="21"/>
          <w:highlight w:val="none"/>
        </w:rPr>
        <w:t>成交</w:t>
      </w:r>
      <w:r>
        <w:rPr>
          <w:color w:val="auto"/>
          <w:szCs w:val="21"/>
          <w:highlight w:val="none"/>
        </w:rPr>
        <w:t>候选</w:t>
      </w:r>
      <w:r>
        <w:rPr>
          <w:rFonts w:hint="eastAsia"/>
          <w:color w:val="auto"/>
          <w:szCs w:val="21"/>
          <w:highlight w:val="none"/>
        </w:rPr>
        <w:t>供应商</w:t>
      </w:r>
      <w:r>
        <w:rPr>
          <w:color w:val="auto"/>
          <w:szCs w:val="21"/>
          <w:highlight w:val="none"/>
        </w:rPr>
        <w:t>。若</w:t>
      </w:r>
      <w:r>
        <w:rPr>
          <w:rFonts w:hint="eastAsia"/>
          <w:color w:val="auto"/>
          <w:szCs w:val="21"/>
          <w:highlight w:val="none"/>
        </w:rPr>
        <w:t>成交</w:t>
      </w:r>
      <w:r>
        <w:rPr>
          <w:color w:val="auto"/>
          <w:szCs w:val="21"/>
          <w:highlight w:val="none"/>
        </w:rPr>
        <w:t>候选人综合</w:t>
      </w:r>
      <w:r>
        <w:rPr>
          <w:rFonts w:hint="eastAsia"/>
          <w:color w:val="auto"/>
          <w:szCs w:val="21"/>
          <w:highlight w:val="none"/>
        </w:rPr>
        <w:t>评</w:t>
      </w:r>
      <w:r>
        <w:rPr>
          <w:color w:val="auto"/>
          <w:szCs w:val="21"/>
          <w:highlight w:val="none"/>
        </w:rPr>
        <w:t>分相同的，按</w:t>
      </w:r>
      <w:r>
        <w:rPr>
          <w:rFonts w:hint="eastAsia"/>
          <w:color w:val="auto"/>
          <w:szCs w:val="21"/>
          <w:highlight w:val="none"/>
        </w:rPr>
        <w:t>最后</w:t>
      </w:r>
      <w:r>
        <w:rPr>
          <w:color w:val="auto"/>
          <w:szCs w:val="21"/>
          <w:highlight w:val="none"/>
        </w:rPr>
        <w:t>报价由低到高顺序排列；综合</w:t>
      </w:r>
      <w:r>
        <w:rPr>
          <w:rFonts w:hint="eastAsia"/>
          <w:color w:val="auto"/>
          <w:szCs w:val="21"/>
          <w:highlight w:val="none"/>
        </w:rPr>
        <w:t>评</w:t>
      </w:r>
      <w:r>
        <w:rPr>
          <w:color w:val="auto"/>
          <w:szCs w:val="21"/>
          <w:highlight w:val="none"/>
        </w:rPr>
        <w:t>分且</w:t>
      </w:r>
      <w:r>
        <w:rPr>
          <w:rFonts w:hint="eastAsia"/>
          <w:color w:val="auto"/>
          <w:szCs w:val="21"/>
          <w:highlight w:val="none"/>
        </w:rPr>
        <w:t>最后</w:t>
      </w:r>
      <w:r>
        <w:rPr>
          <w:color w:val="auto"/>
          <w:szCs w:val="21"/>
          <w:highlight w:val="none"/>
        </w:rPr>
        <w:t>报价相同的</w:t>
      </w:r>
      <w:r>
        <w:rPr>
          <w:color w:val="auto"/>
          <w:highlight w:val="none"/>
        </w:rPr>
        <w:t>并列</w:t>
      </w:r>
      <w:r>
        <w:rPr>
          <w:color w:val="auto"/>
          <w:szCs w:val="21"/>
          <w:highlight w:val="none"/>
        </w:rPr>
        <w:t>；</w:t>
      </w:r>
      <w:r>
        <w:rPr>
          <w:rFonts w:hint="eastAsia"/>
          <w:color w:val="auto"/>
          <w:szCs w:val="21"/>
          <w:highlight w:val="none"/>
        </w:rPr>
        <w:t>成交</w:t>
      </w:r>
      <w:r>
        <w:rPr>
          <w:color w:val="auto"/>
          <w:szCs w:val="21"/>
          <w:highlight w:val="none"/>
        </w:rPr>
        <w:t>候选人并列的，按技术部分</w:t>
      </w:r>
      <w:r>
        <w:rPr>
          <w:rFonts w:hint="eastAsia"/>
          <w:color w:val="auto"/>
          <w:szCs w:val="21"/>
          <w:highlight w:val="none"/>
        </w:rPr>
        <w:t>评</w:t>
      </w:r>
      <w:r>
        <w:rPr>
          <w:color w:val="auto"/>
          <w:szCs w:val="21"/>
          <w:highlight w:val="none"/>
        </w:rPr>
        <w:t>分由高到低顺序排列，若综合评分、</w:t>
      </w:r>
      <w:r>
        <w:rPr>
          <w:rFonts w:hint="eastAsia"/>
          <w:color w:val="auto"/>
          <w:szCs w:val="21"/>
          <w:highlight w:val="none"/>
        </w:rPr>
        <w:t>最后</w:t>
      </w:r>
      <w:r>
        <w:rPr>
          <w:color w:val="auto"/>
          <w:szCs w:val="21"/>
          <w:highlight w:val="none"/>
        </w:rPr>
        <w:t>报价、技术部分</w:t>
      </w:r>
      <w:r>
        <w:rPr>
          <w:rFonts w:hint="eastAsia"/>
          <w:color w:val="auto"/>
          <w:szCs w:val="21"/>
          <w:highlight w:val="none"/>
        </w:rPr>
        <w:t>评分</w:t>
      </w:r>
      <w:r>
        <w:rPr>
          <w:color w:val="auto"/>
          <w:szCs w:val="21"/>
          <w:highlight w:val="none"/>
        </w:rPr>
        <w:t>均相同的，按商务</w:t>
      </w:r>
      <w:r>
        <w:rPr>
          <w:rFonts w:hint="eastAsia"/>
          <w:color w:val="auto"/>
          <w:szCs w:val="21"/>
          <w:highlight w:val="none"/>
        </w:rPr>
        <w:t>资信</w:t>
      </w:r>
      <w:r>
        <w:rPr>
          <w:color w:val="auto"/>
          <w:szCs w:val="21"/>
          <w:highlight w:val="none"/>
        </w:rPr>
        <w:t>部分</w:t>
      </w:r>
      <w:r>
        <w:rPr>
          <w:rFonts w:hint="eastAsia"/>
          <w:color w:val="auto"/>
          <w:szCs w:val="21"/>
          <w:highlight w:val="none"/>
        </w:rPr>
        <w:t>评</w:t>
      </w:r>
      <w:r>
        <w:rPr>
          <w:color w:val="auto"/>
          <w:szCs w:val="21"/>
          <w:highlight w:val="none"/>
        </w:rPr>
        <w:t>分由高到低顺序排列。</w:t>
      </w:r>
      <w:r>
        <w:rPr>
          <w:rFonts w:hint="eastAsia"/>
          <w:color w:val="auto"/>
          <w:szCs w:val="21"/>
          <w:highlight w:val="none"/>
        </w:rPr>
        <w:t>若综合评分、最后报价、技术部分评分、商务资信部分评分均相同的，由采购人自行决定。</w:t>
      </w:r>
    </w:p>
    <w:p w14:paraId="6FC10C91">
      <w:pPr>
        <w:spacing w:before="120" w:line="320" w:lineRule="atLeast"/>
        <w:ind w:firstLine="420" w:firstLineChars="200"/>
        <w:rPr>
          <w:color w:val="auto"/>
          <w:highlight w:val="none"/>
        </w:rPr>
      </w:pPr>
      <w:r>
        <w:rPr>
          <w:rFonts w:hint="eastAsia"/>
          <w:color w:val="auto"/>
          <w:szCs w:val="21"/>
          <w:highlight w:val="none"/>
        </w:rPr>
        <w:t>（</w:t>
      </w:r>
      <w:r>
        <w:rPr>
          <w:color w:val="auto"/>
          <w:szCs w:val="21"/>
          <w:highlight w:val="none"/>
        </w:rPr>
        <w:t>4</w:t>
      </w:r>
      <w:r>
        <w:rPr>
          <w:rFonts w:hint="eastAsia"/>
          <w:color w:val="auto"/>
          <w:szCs w:val="21"/>
          <w:highlight w:val="none"/>
        </w:rPr>
        <w:t>）磋商小组根据评审记录及评审结果编写评审报告，磋商小组成员均应当在评审报告上签字，对自己的评审意见承担法律责任。</w:t>
      </w:r>
      <w:r>
        <w:rPr>
          <w:color w:val="auto"/>
          <w:highlight w:val="none"/>
        </w:rPr>
        <w:t>评审报告签署前，经复核发现存在以</w:t>
      </w:r>
      <w:r>
        <w:rPr>
          <w:rFonts w:hint="eastAsia"/>
          <w:color w:val="auto"/>
          <w:highlight w:val="none"/>
        </w:rPr>
        <w:t>下</w:t>
      </w:r>
      <w:r>
        <w:rPr>
          <w:color w:val="auto"/>
          <w:highlight w:val="none"/>
        </w:rPr>
        <w:t>情形之一的，磋商小组应当当场修改评审结果，并在评审报告中记载；评审报告签署后，采购人或者采购代理机构发现存在以</w:t>
      </w:r>
      <w:r>
        <w:rPr>
          <w:rFonts w:hint="eastAsia"/>
          <w:color w:val="auto"/>
          <w:highlight w:val="none"/>
        </w:rPr>
        <w:t>下</w:t>
      </w:r>
      <w:r>
        <w:rPr>
          <w:color w:val="auto"/>
          <w:highlight w:val="none"/>
        </w:rPr>
        <w:t>情形之一的，应当组织原磋商小组进行重新评审。</w:t>
      </w:r>
    </w:p>
    <w:p w14:paraId="2F240051">
      <w:pPr>
        <w:spacing w:before="120" w:line="320" w:lineRule="atLeast"/>
        <w:ind w:firstLine="420" w:firstLineChars="200"/>
        <w:rPr>
          <w:color w:val="auto"/>
          <w:highlight w:val="none"/>
        </w:rPr>
      </w:pPr>
      <w:r>
        <w:rPr>
          <w:rFonts w:hint="eastAsia"/>
          <w:color w:val="auto"/>
          <w:highlight w:val="none"/>
        </w:rPr>
        <w:t>资格性检查认定错误、分值汇总计算错误、分项评分超出评分标准范围、客观分评分不一致、经磋商小组一致认定评分畸高、畸低。</w:t>
      </w:r>
    </w:p>
    <w:bookmarkEnd w:id="70"/>
    <w:p w14:paraId="45EFAE39">
      <w:pPr>
        <w:spacing w:before="120" w:line="320" w:lineRule="atLeast"/>
        <w:ind w:firstLine="422" w:firstLineChars="200"/>
        <w:outlineLvl w:val="2"/>
        <w:rPr>
          <w:b/>
          <w:bCs/>
          <w:color w:val="auto"/>
          <w:kern w:val="0"/>
          <w:szCs w:val="21"/>
          <w:highlight w:val="none"/>
        </w:rPr>
      </w:pPr>
      <w:r>
        <w:rPr>
          <w:b/>
          <w:bCs/>
          <w:color w:val="auto"/>
          <w:kern w:val="0"/>
          <w:szCs w:val="21"/>
          <w:highlight w:val="none"/>
        </w:rPr>
        <w:t>6.4确定成交供应商</w:t>
      </w:r>
    </w:p>
    <w:p w14:paraId="2D0D0F5D">
      <w:pPr>
        <w:spacing w:before="120" w:line="276" w:lineRule="auto"/>
        <w:ind w:firstLine="420" w:firstLineChars="200"/>
        <w:rPr>
          <w:color w:val="auto"/>
          <w:szCs w:val="21"/>
          <w:highlight w:val="none"/>
        </w:rPr>
      </w:pPr>
      <w:r>
        <w:rPr>
          <w:rFonts w:hint="eastAsia"/>
          <w:color w:val="auto"/>
          <w:szCs w:val="21"/>
          <w:highlight w:val="none"/>
        </w:rPr>
        <w:t>6.4</w:t>
      </w:r>
      <w:r>
        <w:rPr>
          <w:color w:val="auto"/>
          <w:szCs w:val="21"/>
          <w:highlight w:val="none"/>
        </w:rPr>
        <w:t>.1采购代理机构在评审结束后2个工作日内将评审报告送采购人，采购人在5个工作日内按照评审报告中推荐的成交候选供应商顺序确定成交供应商。</w:t>
      </w:r>
    </w:p>
    <w:p w14:paraId="44B4EAD2">
      <w:pPr>
        <w:spacing w:before="120" w:line="276" w:lineRule="auto"/>
        <w:ind w:firstLine="420" w:firstLineChars="200"/>
        <w:rPr>
          <w:color w:val="auto"/>
          <w:szCs w:val="21"/>
          <w:highlight w:val="none"/>
        </w:rPr>
      </w:pPr>
      <w:r>
        <w:rPr>
          <w:color w:val="auto"/>
          <w:szCs w:val="21"/>
          <w:highlight w:val="none"/>
        </w:rPr>
        <w:t>6.4.2</w:t>
      </w:r>
      <w:r>
        <w:rPr>
          <w:rFonts w:hint="eastAsia"/>
          <w:color w:val="auto"/>
          <w:szCs w:val="21"/>
          <w:highlight w:val="none"/>
        </w:rPr>
        <w:t>采购人、采购代理机构认为供应商对采购过程、成交结果提出的质疑成立且影响或者可能影响成交结果的，合格供应商符合法定数量时，可以从合格的成交候选供应商中另行确定成交供应商的，应当依法另行确定成交供应商；否则应当重新开展采购活动。</w:t>
      </w:r>
    </w:p>
    <w:p w14:paraId="2650A6F6">
      <w:pPr>
        <w:spacing w:before="120" w:line="320" w:lineRule="atLeast"/>
        <w:ind w:firstLine="422" w:firstLineChars="200"/>
        <w:outlineLvl w:val="2"/>
        <w:rPr>
          <w:b/>
          <w:bCs/>
          <w:color w:val="auto"/>
          <w:kern w:val="0"/>
          <w:szCs w:val="21"/>
          <w:highlight w:val="none"/>
        </w:rPr>
      </w:pPr>
      <w:r>
        <w:rPr>
          <w:b/>
          <w:bCs/>
          <w:color w:val="auto"/>
          <w:kern w:val="0"/>
          <w:szCs w:val="21"/>
          <w:highlight w:val="none"/>
        </w:rPr>
        <w:t>6.5</w:t>
      </w:r>
      <w:r>
        <w:rPr>
          <w:rFonts w:hint="eastAsia"/>
          <w:b/>
          <w:bCs/>
          <w:color w:val="auto"/>
          <w:kern w:val="0"/>
          <w:szCs w:val="21"/>
          <w:highlight w:val="none"/>
        </w:rPr>
        <w:t>结果公告</w:t>
      </w:r>
    </w:p>
    <w:p w14:paraId="7A018229">
      <w:pPr>
        <w:spacing w:before="120" w:line="320" w:lineRule="atLeast"/>
        <w:ind w:firstLine="420" w:firstLineChars="200"/>
        <w:rPr>
          <w:color w:val="auto"/>
          <w:szCs w:val="21"/>
          <w:highlight w:val="none"/>
        </w:rPr>
      </w:pPr>
      <w:r>
        <w:rPr>
          <w:rFonts w:hint="eastAsia"/>
          <w:color w:val="auto"/>
          <w:szCs w:val="21"/>
          <w:highlight w:val="none"/>
        </w:rPr>
        <w:t>6</w:t>
      </w:r>
      <w:r>
        <w:rPr>
          <w:color w:val="auto"/>
          <w:szCs w:val="21"/>
          <w:highlight w:val="none"/>
        </w:rPr>
        <w:t>.5.1自成交供应商确定后2个工作日内，采购代理机构</w:t>
      </w:r>
      <w:r>
        <w:rPr>
          <w:rFonts w:hint="eastAsia"/>
          <w:color w:val="auto"/>
          <w:szCs w:val="21"/>
          <w:highlight w:val="none"/>
        </w:rPr>
        <w:t>按照供应商须知</w:t>
      </w:r>
      <w:r>
        <w:rPr>
          <w:rFonts w:hint="eastAsia"/>
          <w:color w:val="auto"/>
          <w:kern w:val="0"/>
          <w:szCs w:val="21"/>
          <w:highlight w:val="none"/>
        </w:rPr>
        <w:t>前附表的规定</w:t>
      </w:r>
      <w:r>
        <w:rPr>
          <w:color w:val="auto"/>
          <w:kern w:val="0"/>
          <w:szCs w:val="21"/>
          <w:highlight w:val="none"/>
        </w:rPr>
        <w:t>公告</w:t>
      </w:r>
      <w:r>
        <w:rPr>
          <w:color w:val="auto"/>
          <w:szCs w:val="21"/>
          <w:highlight w:val="none"/>
        </w:rPr>
        <w:t>成交结果</w:t>
      </w:r>
      <w:r>
        <w:rPr>
          <w:rFonts w:hint="eastAsia"/>
          <w:color w:val="auto"/>
          <w:szCs w:val="21"/>
          <w:highlight w:val="none"/>
          <w:lang w:eastAsia="zh-CN"/>
        </w:rPr>
        <w:t>，成交</w:t>
      </w:r>
      <w:r>
        <w:rPr>
          <w:rFonts w:hint="eastAsia"/>
          <w:color w:val="auto"/>
          <w:szCs w:val="21"/>
          <w:highlight w:val="none"/>
        </w:rPr>
        <w:t>结果公告期限为1个工作日</w:t>
      </w:r>
      <w:r>
        <w:rPr>
          <w:rFonts w:hint="eastAsia"/>
          <w:color w:val="auto"/>
          <w:szCs w:val="21"/>
          <w:highlight w:val="none"/>
          <w:lang w:eastAsia="zh-CN"/>
        </w:rPr>
        <w:t>，</w:t>
      </w:r>
      <w:r>
        <w:rPr>
          <w:rFonts w:hint="eastAsia"/>
          <w:color w:val="auto"/>
          <w:szCs w:val="21"/>
          <w:highlight w:val="none"/>
        </w:rPr>
        <w:t>发布</w:t>
      </w:r>
      <w:r>
        <w:rPr>
          <w:rFonts w:hint="eastAsia"/>
          <w:color w:val="auto"/>
          <w:szCs w:val="21"/>
          <w:highlight w:val="none"/>
          <w:lang w:eastAsia="zh-CN"/>
        </w:rPr>
        <w:t>成交</w:t>
      </w:r>
      <w:r>
        <w:rPr>
          <w:rFonts w:hint="eastAsia"/>
          <w:color w:val="auto"/>
          <w:szCs w:val="21"/>
          <w:highlight w:val="none"/>
        </w:rPr>
        <w:t>结果公告的同时向</w:t>
      </w:r>
      <w:r>
        <w:rPr>
          <w:rFonts w:hint="eastAsia"/>
          <w:color w:val="auto"/>
          <w:szCs w:val="21"/>
          <w:highlight w:val="none"/>
          <w:lang w:eastAsia="zh-CN"/>
        </w:rPr>
        <w:t>成交</w:t>
      </w:r>
      <w:r>
        <w:rPr>
          <w:rFonts w:hint="eastAsia"/>
          <w:color w:val="auto"/>
          <w:szCs w:val="21"/>
          <w:highlight w:val="none"/>
        </w:rPr>
        <w:t>供应商发出</w:t>
      </w:r>
      <w:r>
        <w:rPr>
          <w:rFonts w:hint="eastAsia"/>
          <w:color w:val="auto"/>
          <w:szCs w:val="21"/>
          <w:highlight w:val="none"/>
          <w:lang w:eastAsia="zh-CN"/>
        </w:rPr>
        <w:t>成交</w:t>
      </w:r>
      <w:r>
        <w:rPr>
          <w:rFonts w:hint="eastAsia"/>
          <w:color w:val="auto"/>
          <w:szCs w:val="21"/>
          <w:highlight w:val="none"/>
        </w:rPr>
        <w:t>通知书。采购代理机构发出</w:t>
      </w:r>
      <w:r>
        <w:rPr>
          <w:rFonts w:hint="eastAsia"/>
          <w:color w:val="auto"/>
          <w:szCs w:val="21"/>
          <w:highlight w:val="none"/>
          <w:lang w:eastAsia="zh-CN"/>
        </w:rPr>
        <w:t>成交</w:t>
      </w:r>
      <w:r>
        <w:rPr>
          <w:rFonts w:hint="eastAsia"/>
          <w:color w:val="auto"/>
          <w:szCs w:val="21"/>
          <w:highlight w:val="none"/>
        </w:rPr>
        <w:t>通知书前，应当对</w:t>
      </w:r>
      <w:r>
        <w:rPr>
          <w:rFonts w:hint="eastAsia"/>
          <w:color w:val="auto"/>
          <w:szCs w:val="21"/>
          <w:highlight w:val="none"/>
          <w:lang w:eastAsia="zh-CN"/>
        </w:rPr>
        <w:t>成交</w:t>
      </w:r>
      <w:r>
        <w:rPr>
          <w:rFonts w:hint="eastAsia"/>
          <w:color w:val="auto"/>
          <w:szCs w:val="21"/>
          <w:highlight w:val="none"/>
          <w:lang w:val="en-US" w:eastAsia="zh-CN"/>
        </w:rPr>
        <w:t>供应商</w:t>
      </w:r>
      <w:r>
        <w:rPr>
          <w:rFonts w:hint="eastAsia"/>
          <w:color w:val="auto"/>
          <w:szCs w:val="21"/>
          <w:highlight w:val="none"/>
        </w:rPr>
        <w:t>信用进行核实，对列入失信被执行人、</w:t>
      </w:r>
      <w:r>
        <w:rPr>
          <w:color w:val="auto"/>
          <w:kern w:val="0"/>
          <w:szCs w:val="21"/>
          <w:highlight w:val="none"/>
        </w:rPr>
        <w:t>重大税收违法失信主体</w:t>
      </w:r>
      <w:r>
        <w:rPr>
          <w:rFonts w:hint="eastAsia"/>
          <w:color w:val="auto"/>
          <w:szCs w:val="21"/>
          <w:highlight w:val="none"/>
        </w:rPr>
        <w:t>、政府采购严重违法失信行为记录名单及其他不符合《中华人民共和国政府采购法》第二十二条规定条件的</w:t>
      </w:r>
      <w:r>
        <w:rPr>
          <w:rFonts w:hint="eastAsia"/>
          <w:color w:val="auto"/>
          <w:szCs w:val="21"/>
          <w:highlight w:val="none"/>
          <w:lang w:val="en-US" w:eastAsia="zh-CN"/>
        </w:rPr>
        <w:t>供应商</w:t>
      </w:r>
      <w:r>
        <w:rPr>
          <w:rFonts w:hint="eastAsia"/>
          <w:color w:val="auto"/>
          <w:szCs w:val="21"/>
          <w:highlight w:val="none"/>
        </w:rPr>
        <w:t>，取消其</w:t>
      </w:r>
      <w:r>
        <w:rPr>
          <w:rFonts w:hint="eastAsia"/>
          <w:color w:val="auto"/>
          <w:szCs w:val="21"/>
          <w:highlight w:val="none"/>
          <w:lang w:eastAsia="zh-CN"/>
        </w:rPr>
        <w:t>成交</w:t>
      </w:r>
      <w:r>
        <w:rPr>
          <w:rFonts w:hint="eastAsia"/>
          <w:color w:val="auto"/>
          <w:szCs w:val="21"/>
          <w:highlight w:val="none"/>
        </w:rPr>
        <w:t>资格，并确定排名第二的</w:t>
      </w:r>
      <w:r>
        <w:rPr>
          <w:rFonts w:hint="eastAsia"/>
          <w:color w:val="auto"/>
          <w:szCs w:val="21"/>
          <w:highlight w:val="none"/>
          <w:lang w:eastAsia="zh-CN"/>
        </w:rPr>
        <w:t>成交</w:t>
      </w:r>
      <w:r>
        <w:rPr>
          <w:rFonts w:hint="eastAsia"/>
          <w:color w:val="auto"/>
          <w:szCs w:val="21"/>
          <w:highlight w:val="none"/>
        </w:rPr>
        <w:t>候选人为</w:t>
      </w:r>
      <w:r>
        <w:rPr>
          <w:rFonts w:hint="eastAsia"/>
          <w:color w:val="auto"/>
          <w:szCs w:val="21"/>
          <w:highlight w:val="none"/>
          <w:lang w:eastAsia="zh-CN"/>
        </w:rPr>
        <w:t>成交</w:t>
      </w:r>
      <w:r>
        <w:rPr>
          <w:rFonts w:hint="eastAsia"/>
          <w:color w:val="auto"/>
          <w:szCs w:val="21"/>
          <w:highlight w:val="none"/>
          <w:lang w:val="en-US" w:eastAsia="zh-CN"/>
        </w:rPr>
        <w:t>供应商</w:t>
      </w:r>
      <w:r>
        <w:rPr>
          <w:rFonts w:hint="eastAsia"/>
          <w:color w:val="auto"/>
          <w:szCs w:val="21"/>
          <w:highlight w:val="none"/>
        </w:rPr>
        <w:t>。排名第二的</w:t>
      </w:r>
      <w:r>
        <w:rPr>
          <w:rFonts w:hint="eastAsia"/>
          <w:color w:val="auto"/>
          <w:szCs w:val="21"/>
          <w:highlight w:val="none"/>
          <w:lang w:eastAsia="zh-CN"/>
        </w:rPr>
        <w:t>成交</w:t>
      </w:r>
      <w:r>
        <w:rPr>
          <w:rFonts w:hint="eastAsia"/>
          <w:color w:val="auto"/>
          <w:szCs w:val="21"/>
          <w:highlight w:val="none"/>
        </w:rPr>
        <w:t>候选人因前款规定的同样原因被取消</w:t>
      </w:r>
      <w:r>
        <w:rPr>
          <w:rFonts w:hint="eastAsia"/>
          <w:color w:val="auto"/>
          <w:szCs w:val="21"/>
          <w:highlight w:val="none"/>
          <w:lang w:eastAsia="zh-CN"/>
        </w:rPr>
        <w:t>成交</w:t>
      </w:r>
      <w:r>
        <w:rPr>
          <w:rFonts w:hint="eastAsia"/>
          <w:color w:val="auto"/>
          <w:szCs w:val="21"/>
          <w:highlight w:val="none"/>
        </w:rPr>
        <w:t>资格的，</w:t>
      </w:r>
      <w:r>
        <w:rPr>
          <w:rFonts w:hint="eastAsia"/>
          <w:color w:val="auto"/>
          <w:szCs w:val="21"/>
          <w:highlight w:val="none"/>
          <w:lang w:val="en-US" w:eastAsia="zh-CN"/>
        </w:rPr>
        <w:t>采购人</w:t>
      </w:r>
      <w:r>
        <w:rPr>
          <w:rFonts w:hint="eastAsia"/>
          <w:color w:val="auto"/>
          <w:szCs w:val="21"/>
          <w:highlight w:val="none"/>
        </w:rPr>
        <w:t>可以确定排名第三的</w:t>
      </w:r>
      <w:r>
        <w:rPr>
          <w:rFonts w:hint="eastAsia"/>
          <w:color w:val="auto"/>
          <w:szCs w:val="21"/>
          <w:highlight w:val="none"/>
          <w:lang w:eastAsia="zh-CN"/>
        </w:rPr>
        <w:t>成交</w:t>
      </w:r>
      <w:r>
        <w:rPr>
          <w:rFonts w:hint="eastAsia"/>
          <w:color w:val="auto"/>
          <w:szCs w:val="21"/>
          <w:highlight w:val="none"/>
        </w:rPr>
        <w:t>候选人为</w:t>
      </w:r>
      <w:r>
        <w:rPr>
          <w:rFonts w:hint="eastAsia"/>
          <w:color w:val="auto"/>
          <w:szCs w:val="21"/>
          <w:highlight w:val="none"/>
          <w:lang w:eastAsia="zh-CN"/>
        </w:rPr>
        <w:t>成交</w:t>
      </w:r>
      <w:r>
        <w:rPr>
          <w:rFonts w:hint="eastAsia"/>
          <w:color w:val="auto"/>
          <w:szCs w:val="21"/>
          <w:highlight w:val="none"/>
          <w:lang w:val="en-US" w:eastAsia="zh-CN"/>
        </w:rPr>
        <w:t>供应商</w:t>
      </w:r>
      <w:r>
        <w:rPr>
          <w:rFonts w:hint="eastAsia"/>
          <w:color w:val="auto"/>
          <w:szCs w:val="21"/>
          <w:highlight w:val="none"/>
        </w:rPr>
        <w:t>，以此类推。以上信息查询记录及相关证据与采购文件一并保存。</w:t>
      </w:r>
    </w:p>
    <w:p w14:paraId="15A332C3">
      <w:pPr>
        <w:spacing w:before="120" w:line="320" w:lineRule="atLeast"/>
        <w:ind w:firstLine="420" w:firstLineChars="200"/>
        <w:rPr>
          <w:color w:val="auto"/>
          <w:szCs w:val="21"/>
          <w:highlight w:val="none"/>
        </w:rPr>
      </w:pPr>
      <w:r>
        <w:rPr>
          <w:rFonts w:hint="eastAsia"/>
          <w:color w:val="auto"/>
          <w:szCs w:val="21"/>
          <w:highlight w:val="none"/>
        </w:rPr>
        <w:t>6</w:t>
      </w:r>
      <w:r>
        <w:rPr>
          <w:color w:val="auto"/>
          <w:szCs w:val="21"/>
          <w:highlight w:val="none"/>
        </w:rPr>
        <w:t>.5.2在发布</w:t>
      </w:r>
      <w:r>
        <w:rPr>
          <w:rFonts w:hint="eastAsia"/>
          <w:color w:val="auto"/>
          <w:szCs w:val="21"/>
          <w:highlight w:val="none"/>
        </w:rPr>
        <w:t>结果</w:t>
      </w:r>
      <w:r>
        <w:rPr>
          <w:color w:val="auto"/>
          <w:szCs w:val="21"/>
          <w:highlight w:val="none"/>
        </w:rPr>
        <w:t>公告的同时，采购代理机构以供应商须知前附表规定的形式向成交供应商发出成交通知书。成交通知书发出后，采购人改变成交结果，或者成交供应商放弃成交，应当承担相应的法律责任。</w:t>
      </w:r>
    </w:p>
    <w:p w14:paraId="5DFC9100">
      <w:pPr>
        <w:suppressAutoHyphens/>
        <w:spacing w:before="120" w:line="320" w:lineRule="atLeast"/>
        <w:ind w:firstLine="422" w:firstLineChars="200"/>
        <w:outlineLvl w:val="2"/>
        <w:rPr>
          <w:b/>
          <w:bCs/>
          <w:color w:val="auto"/>
          <w:kern w:val="0"/>
          <w:szCs w:val="21"/>
          <w:highlight w:val="none"/>
        </w:rPr>
      </w:pPr>
      <w:r>
        <w:rPr>
          <w:b/>
          <w:bCs/>
          <w:color w:val="auto"/>
          <w:kern w:val="0"/>
          <w:szCs w:val="21"/>
          <w:highlight w:val="none"/>
        </w:rPr>
        <w:t>6.6</w:t>
      </w:r>
      <w:r>
        <w:rPr>
          <w:rFonts w:hint="eastAsia"/>
          <w:b/>
          <w:bCs/>
          <w:color w:val="auto"/>
          <w:kern w:val="0"/>
          <w:szCs w:val="21"/>
          <w:highlight w:val="none"/>
        </w:rPr>
        <w:t>废标</w:t>
      </w:r>
    </w:p>
    <w:p w14:paraId="17B52002">
      <w:pPr>
        <w:spacing w:before="120" w:line="320" w:lineRule="atLeast"/>
        <w:ind w:firstLine="420" w:firstLineChars="200"/>
        <w:rPr>
          <w:color w:val="auto"/>
          <w:kern w:val="1"/>
          <w:szCs w:val="21"/>
          <w:highlight w:val="none"/>
        </w:rPr>
      </w:pPr>
      <w:r>
        <w:rPr>
          <w:color w:val="auto"/>
          <w:kern w:val="1"/>
          <w:szCs w:val="21"/>
          <w:highlight w:val="none"/>
        </w:rPr>
        <w:t>6.6.1</w:t>
      </w:r>
      <w:r>
        <w:rPr>
          <w:rFonts w:hint="eastAsia"/>
          <w:color w:val="auto"/>
          <w:kern w:val="1"/>
          <w:szCs w:val="21"/>
          <w:highlight w:val="none"/>
        </w:rPr>
        <w:t xml:space="preserve">出现下列情形之一，将导致项目废标： </w:t>
      </w:r>
    </w:p>
    <w:p w14:paraId="45F92726">
      <w:pPr>
        <w:spacing w:before="120" w:line="320" w:lineRule="atLeast"/>
        <w:ind w:firstLine="420" w:firstLineChars="200"/>
        <w:rPr>
          <w:color w:val="auto"/>
          <w:szCs w:val="21"/>
          <w:highlight w:val="none"/>
        </w:rPr>
      </w:pPr>
      <w:r>
        <w:rPr>
          <w:rFonts w:hint="eastAsia"/>
          <w:color w:val="auto"/>
          <w:kern w:val="1"/>
          <w:szCs w:val="21"/>
          <w:highlight w:val="none"/>
        </w:rPr>
        <w:t>（1</w:t>
      </w:r>
      <w:r>
        <w:rPr>
          <w:rFonts w:hint="eastAsia"/>
          <w:color w:val="auto"/>
          <w:szCs w:val="21"/>
          <w:highlight w:val="none"/>
        </w:rPr>
        <w:t>）符合专业条件的供应商或者对采购文件做实质性响应的供应商不足三家；</w:t>
      </w:r>
    </w:p>
    <w:p w14:paraId="62794806">
      <w:pPr>
        <w:spacing w:before="120" w:line="320" w:lineRule="atLeast"/>
        <w:ind w:firstLine="420" w:firstLineChars="200"/>
        <w:rPr>
          <w:color w:val="auto"/>
          <w:szCs w:val="21"/>
          <w:highlight w:val="none"/>
        </w:rPr>
      </w:pPr>
      <w:r>
        <w:rPr>
          <w:rFonts w:hint="eastAsia"/>
          <w:color w:val="auto"/>
          <w:szCs w:val="21"/>
          <w:highlight w:val="none"/>
        </w:rPr>
        <w:t>（2）出现影响采购公正的违法、违规行为的；</w:t>
      </w:r>
    </w:p>
    <w:p w14:paraId="72063A0D">
      <w:pPr>
        <w:spacing w:before="120" w:line="320" w:lineRule="atLeast"/>
        <w:ind w:firstLine="420" w:firstLineChars="200"/>
        <w:rPr>
          <w:color w:val="auto"/>
          <w:szCs w:val="21"/>
          <w:highlight w:val="none"/>
        </w:rPr>
      </w:pPr>
      <w:r>
        <w:rPr>
          <w:rFonts w:hint="eastAsia"/>
          <w:color w:val="auto"/>
          <w:szCs w:val="21"/>
          <w:highlight w:val="none"/>
        </w:rPr>
        <w:t>（3）供应商的报价均超过了采购预算，采购人不能支付的；</w:t>
      </w:r>
    </w:p>
    <w:p w14:paraId="5DEED5EA">
      <w:pPr>
        <w:spacing w:before="120" w:line="320" w:lineRule="atLeast"/>
        <w:ind w:firstLine="420" w:firstLineChars="200"/>
        <w:rPr>
          <w:color w:val="auto"/>
          <w:highlight w:val="none"/>
        </w:rPr>
      </w:pPr>
      <w:r>
        <w:rPr>
          <w:rFonts w:hint="eastAsia"/>
          <w:color w:val="auto"/>
          <w:szCs w:val="21"/>
          <w:highlight w:val="none"/>
        </w:rPr>
        <w:t>（4）</w:t>
      </w:r>
      <w:r>
        <w:rPr>
          <w:rFonts w:hint="eastAsia"/>
          <w:color w:val="auto"/>
          <w:highlight w:val="none"/>
        </w:rPr>
        <w:t>因发生重大变故或采购任务取消的。</w:t>
      </w:r>
    </w:p>
    <w:p w14:paraId="7ED5AD73">
      <w:pPr>
        <w:spacing w:before="120" w:line="320" w:lineRule="atLeast"/>
        <w:ind w:firstLine="420" w:firstLineChars="200"/>
        <w:rPr>
          <w:rFonts w:hint="eastAsia"/>
          <w:color w:val="auto"/>
          <w:szCs w:val="21"/>
          <w:highlight w:val="none"/>
        </w:rPr>
      </w:pPr>
      <w:r>
        <w:rPr>
          <w:color w:val="auto"/>
          <w:kern w:val="1"/>
          <w:szCs w:val="21"/>
          <w:highlight w:val="none"/>
        </w:rPr>
        <w:t>6.6.2</w:t>
      </w:r>
      <w:r>
        <w:rPr>
          <w:rFonts w:hint="eastAsia"/>
          <w:color w:val="auto"/>
          <w:kern w:val="1"/>
          <w:szCs w:val="21"/>
          <w:highlight w:val="none"/>
        </w:rPr>
        <w:t>废标后</w:t>
      </w:r>
      <w:r>
        <w:rPr>
          <w:rFonts w:hint="eastAsia"/>
          <w:color w:val="auto"/>
          <w:szCs w:val="21"/>
          <w:highlight w:val="none"/>
        </w:rPr>
        <w:t>采购</w:t>
      </w:r>
      <w:r>
        <w:rPr>
          <w:rFonts w:hint="eastAsia"/>
          <w:color w:val="auto"/>
          <w:kern w:val="1"/>
          <w:szCs w:val="21"/>
          <w:highlight w:val="none"/>
        </w:rPr>
        <w:t>代理机构将发布废标公告通知供应商。</w:t>
      </w:r>
    </w:p>
    <w:p w14:paraId="5DCAB395">
      <w:pPr>
        <w:spacing w:before="120" w:line="320" w:lineRule="atLeast"/>
        <w:ind w:left="2" w:leftChars="1" w:firstLine="422" w:firstLineChars="200"/>
        <w:outlineLvl w:val="1"/>
        <w:rPr>
          <w:b/>
          <w:bCs/>
          <w:color w:val="auto"/>
          <w:kern w:val="0"/>
          <w:szCs w:val="21"/>
          <w:highlight w:val="none"/>
        </w:rPr>
      </w:pPr>
      <w:r>
        <w:rPr>
          <w:b/>
          <w:bCs/>
          <w:color w:val="auto"/>
          <w:kern w:val="0"/>
          <w:szCs w:val="21"/>
          <w:highlight w:val="none"/>
        </w:rPr>
        <w:t>7．合同</w:t>
      </w:r>
    </w:p>
    <w:p w14:paraId="57CBD64C">
      <w:pPr>
        <w:spacing w:before="120" w:line="320" w:lineRule="atLeast"/>
        <w:ind w:firstLine="422" w:firstLineChars="200"/>
        <w:outlineLvl w:val="2"/>
        <w:rPr>
          <w:b/>
          <w:bCs/>
          <w:color w:val="auto"/>
          <w:kern w:val="0"/>
          <w:szCs w:val="21"/>
          <w:highlight w:val="none"/>
        </w:rPr>
      </w:pPr>
      <w:r>
        <w:rPr>
          <w:b/>
          <w:bCs/>
          <w:color w:val="auto"/>
          <w:kern w:val="0"/>
          <w:szCs w:val="21"/>
          <w:highlight w:val="none"/>
        </w:rPr>
        <w:t>7.1合同授予标准</w:t>
      </w:r>
    </w:p>
    <w:p w14:paraId="5A24B888">
      <w:pPr>
        <w:spacing w:before="120" w:line="320" w:lineRule="atLeast"/>
        <w:ind w:firstLine="420" w:firstLineChars="200"/>
        <w:rPr>
          <w:color w:val="auto"/>
          <w:szCs w:val="21"/>
          <w:highlight w:val="none"/>
        </w:rPr>
      </w:pPr>
      <w:r>
        <w:rPr>
          <w:color w:val="auto"/>
          <w:szCs w:val="21"/>
          <w:highlight w:val="none"/>
        </w:rPr>
        <w:t>合同将授予被确定实质上响应采购文件要求，具备履行合同能力，综合评分排名第一的供应商。在</w:t>
      </w:r>
      <w:r>
        <w:rPr>
          <w:rFonts w:hint="eastAsia"/>
          <w:color w:val="auto"/>
          <w:szCs w:val="21"/>
          <w:highlight w:val="none"/>
        </w:rPr>
        <w:t>成交通知书</w:t>
      </w:r>
      <w:r>
        <w:rPr>
          <w:color w:val="auto"/>
          <w:szCs w:val="21"/>
          <w:highlight w:val="none"/>
        </w:rPr>
        <w:t>发出前或签订合同前，如果</w:t>
      </w:r>
      <w:r>
        <w:rPr>
          <w:rFonts w:hint="eastAsia"/>
          <w:color w:val="auto"/>
          <w:szCs w:val="21"/>
          <w:highlight w:val="none"/>
        </w:rPr>
        <w:t>成交供应商</w:t>
      </w:r>
      <w:r>
        <w:rPr>
          <w:color w:val="auto"/>
          <w:szCs w:val="21"/>
          <w:highlight w:val="none"/>
        </w:rPr>
        <w:t>的组织机构</w:t>
      </w:r>
      <w:r>
        <w:rPr>
          <w:rFonts w:hint="eastAsia"/>
          <w:color w:val="auto"/>
          <w:szCs w:val="21"/>
          <w:highlight w:val="none"/>
        </w:rPr>
        <w:t>、</w:t>
      </w:r>
      <w:r>
        <w:rPr>
          <w:color w:val="auto"/>
          <w:szCs w:val="21"/>
          <w:highlight w:val="none"/>
        </w:rPr>
        <w:t>经营、财务状况发生较大变化，可能造成不能履行合同、无法按照</w:t>
      </w:r>
      <w:r>
        <w:rPr>
          <w:rFonts w:hint="eastAsia"/>
          <w:color w:val="auto"/>
          <w:szCs w:val="21"/>
          <w:highlight w:val="none"/>
        </w:rPr>
        <w:t>采购文件</w:t>
      </w:r>
      <w:r>
        <w:rPr>
          <w:color w:val="auto"/>
          <w:szCs w:val="21"/>
          <w:highlight w:val="none"/>
        </w:rPr>
        <w:t>要求提交履约保证金等情形，不符合</w:t>
      </w:r>
      <w:r>
        <w:rPr>
          <w:rFonts w:hint="eastAsia"/>
          <w:color w:val="auto"/>
          <w:szCs w:val="21"/>
          <w:highlight w:val="none"/>
        </w:rPr>
        <w:t>成交</w:t>
      </w:r>
      <w:r>
        <w:rPr>
          <w:color w:val="auto"/>
          <w:szCs w:val="21"/>
          <w:highlight w:val="none"/>
        </w:rPr>
        <w:t>条件或不满足供应商资格条件要求 ，应在</w:t>
      </w:r>
      <w:r>
        <w:rPr>
          <w:rFonts w:hint="eastAsia"/>
          <w:color w:val="auto"/>
          <w:szCs w:val="21"/>
          <w:highlight w:val="none"/>
        </w:rPr>
        <w:t>成交通知书</w:t>
      </w:r>
      <w:r>
        <w:rPr>
          <w:color w:val="auto"/>
          <w:szCs w:val="21"/>
          <w:highlight w:val="none"/>
        </w:rPr>
        <w:t>发出前或签订合同前及时书面告知采购人</w:t>
      </w:r>
      <w:r>
        <w:rPr>
          <w:rFonts w:hint="eastAsia"/>
          <w:color w:val="auto"/>
          <w:szCs w:val="21"/>
          <w:highlight w:val="none"/>
        </w:rPr>
        <w:t>，</w:t>
      </w:r>
      <w:r>
        <w:rPr>
          <w:color w:val="auto"/>
          <w:szCs w:val="21"/>
          <w:highlight w:val="none"/>
        </w:rPr>
        <w:t>未主动告知</w:t>
      </w:r>
      <w:r>
        <w:rPr>
          <w:rFonts w:hint="eastAsia"/>
          <w:color w:val="auto"/>
          <w:szCs w:val="21"/>
          <w:highlight w:val="none"/>
        </w:rPr>
        <w:t>，</w:t>
      </w:r>
      <w:r>
        <w:rPr>
          <w:color w:val="auto"/>
          <w:szCs w:val="21"/>
          <w:highlight w:val="none"/>
        </w:rPr>
        <w:t>给采购人造成损失的</w:t>
      </w:r>
      <w:r>
        <w:rPr>
          <w:rFonts w:hint="eastAsia"/>
          <w:color w:val="auto"/>
          <w:szCs w:val="21"/>
          <w:highlight w:val="none"/>
        </w:rPr>
        <w:t>，</w:t>
      </w:r>
      <w:r>
        <w:rPr>
          <w:color w:val="auto"/>
          <w:szCs w:val="21"/>
          <w:highlight w:val="none"/>
        </w:rPr>
        <w:t>采购人有权</w:t>
      </w:r>
      <w:r>
        <w:rPr>
          <w:rFonts w:hint="eastAsia"/>
          <w:color w:val="auto"/>
          <w:szCs w:val="21"/>
          <w:highlight w:val="none"/>
        </w:rPr>
        <w:t>取消其成交资格并</w:t>
      </w:r>
      <w:r>
        <w:rPr>
          <w:color w:val="auto"/>
          <w:szCs w:val="21"/>
          <w:highlight w:val="none"/>
        </w:rPr>
        <w:t>没收磋商保证金</w:t>
      </w:r>
      <w:r>
        <w:rPr>
          <w:rFonts w:hint="eastAsia"/>
          <w:color w:val="auto"/>
          <w:szCs w:val="21"/>
          <w:highlight w:val="none"/>
        </w:rPr>
        <w:t>。</w:t>
      </w:r>
    </w:p>
    <w:p w14:paraId="68801F17">
      <w:pPr>
        <w:spacing w:before="120" w:line="320" w:lineRule="atLeast"/>
        <w:ind w:firstLine="422" w:firstLineChars="200"/>
        <w:outlineLvl w:val="2"/>
        <w:rPr>
          <w:b/>
          <w:bCs/>
          <w:color w:val="auto"/>
          <w:kern w:val="0"/>
          <w:szCs w:val="21"/>
          <w:highlight w:val="none"/>
        </w:rPr>
      </w:pPr>
      <w:r>
        <w:rPr>
          <w:b/>
          <w:bCs/>
          <w:color w:val="auto"/>
          <w:kern w:val="0"/>
          <w:szCs w:val="21"/>
          <w:highlight w:val="none"/>
        </w:rPr>
        <w:t>7.2签订合同</w:t>
      </w:r>
    </w:p>
    <w:p w14:paraId="653D5BB9">
      <w:pPr>
        <w:spacing w:before="120" w:line="320" w:lineRule="atLeast"/>
        <w:ind w:firstLine="420" w:firstLineChars="200"/>
        <w:rPr>
          <w:color w:val="auto"/>
          <w:szCs w:val="21"/>
          <w:highlight w:val="none"/>
        </w:rPr>
      </w:pPr>
      <w:r>
        <w:rPr>
          <w:color w:val="auto"/>
          <w:szCs w:val="21"/>
          <w:highlight w:val="none"/>
        </w:rPr>
        <w:t>7.2.1如</w:t>
      </w:r>
      <w:r>
        <w:rPr>
          <w:rFonts w:hint="eastAsia"/>
          <w:color w:val="auto"/>
          <w:szCs w:val="21"/>
          <w:highlight w:val="none"/>
        </w:rPr>
        <w:t>采购文件</w:t>
      </w:r>
      <w:r>
        <w:rPr>
          <w:color w:val="auto"/>
          <w:szCs w:val="21"/>
          <w:highlight w:val="none"/>
        </w:rPr>
        <w:t>无</w:t>
      </w:r>
      <w:r>
        <w:rPr>
          <w:rFonts w:hint="eastAsia"/>
          <w:color w:val="auto"/>
          <w:szCs w:val="21"/>
          <w:highlight w:val="none"/>
        </w:rPr>
        <w:t>特别</w:t>
      </w:r>
      <w:r>
        <w:rPr>
          <w:color w:val="auto"/>
          <w:szCs w:val="21"/>
          <w:highlight w:val="none"/>
        </w:rPr>
        <w:t>规定，</w:t>
      </w:r>
      <w:r>
        <w:rPr>
          <w:rFonts w:hint="eastAsia"/>
          <w:color w:val="auto"/>
          <w:szCs w:val="21"/>
          <w:highlight w:val="none"/>
        </w:rPr>
        <w:t>成交供应商按采购文件确定的事项签订政府采购合同。</w:t>
      </w:r>
    </w:p>
    <w:p w14:paraId="024DAE9A">
      <w:pPr>
        <w:spacing w:before="120" w:line="320" w:lineRule="atLeast"/>
        <w:ind w:firstLine="420" w:firstLineChars="200"/>
        <w:rPr>
          <w:color w:val="auto"/>
          <w:szCs w:val="21"/>
          <w:highlight w:val="none"/>
        </w:rPr>
      </w:pPr>
      <w:r>
        <w:rPr>
          <w:color w:val="auto"/>
          <w:szCs w:val="21"/>
          <w:highlight w:val="none"/>
        </w:rPr>
        <w:t>7.2.2</w:t>
      </w:r>
      <w:r>
        <w:rPr>
          <w:rFonts w:hint="eastAsia"/>
          <w:color w:val="auto"/>
          <w:szCs w:val="21"/>
          <w:highlight w:val="none"/>
        </w:rPr>
        <w:t>政府采购合同应当包括采购人与成交供应商的名称和住所、标的、数量、质量、价款或者报酬、履行期限及地点和方式、验收要求、违约责任、解决争议的方法等内容。</w:t>
      </w:r>
      <w:r>
        <w:rPr>
          <w:color w:val="auto"/>
          <w:szCs w:val="21"/>
          <w:highlight w:val="none"/>
        </w:rPr>
        <w:t>采购文件、成交供应商的响应文件及澄清文件等，均为签订政府采购合同的依据。</w:t>
      </w:r>
    </w:p>
    <w:p w14:paraId="261F1338">
      <w:pPr>
        <w:spacing w:before="120" w:line="320" w:lineRule="atLeast"/>
        <w:ind w:firstLine="420" w:firstLineChars="200"/>
        <w:rPr>
          <w:color w:val="auto"/>
          <w:szCs w:val="21"/>
          <w:highlight w:val="none"/>
        </w:rPr>
      </w:pPr>
      <w:r>
        <w:rPr>
          <w:color w:val="auto"/>
          <w:szCs w:val="21"/>
          <w:highlight w:val="none"/>
        </w:rPr>
        <w:t>7.2.3如成交供应商不按成交通知书的规定签订合同，</w:t>
      </w:r>
      <w:r>
        <w:rPr>
          <w:rFonts w:hint="eastAsia"/>
          <w:color w:val="auto"/>
          <w:szCs w:val="21"/>
          <w:highlight w:val="none"/>
        </w:rPr>
        <w:t>其磋商保证金将不予退还，并报由同级政府采购监督管理部门处理。</w:t>
      </w:r>
    </w:p>
    <w:p w14:paraId="7F800B05">
      <w:pPr>
        <w:spacing w:before="120" w:line="320" w:lineRule="atLeast"/>
        <w:ind w:firstLine="420" w:firstLineChars="200"/>
        <w:rPr>
          <w:color w:val="auto"/>
          <w:szCs w:val="21"/>
          <w:highlight w:val="none"/>
        </w:rPr>
      </w:pPr>
      <w:r>
        <w:rPr>
          <w:rFonts w:hint="eastAsia"/>
          <w:color w:val="auto"/>
          <w:szCs w:val="21"/>
          <w:highlight w:val="none"/>
        </w:rPr>
        <w:t>7</w:t>
      </w:r>
      <w:r>
        <w:rPr>
          <w:color w:val="auto"/>
          <w:szCs w:val="21"/>
          <w:highlight w:val="none"/>
        </w:rPr>
        <w:t>.2.4</w:t>
      </w:r>
      <w:r>
        <w:rPr>
          <w:rFonts w:hint="eastAsia"/>
          <w:color w:val="auto"/>
          <w:szCs w:val="21"/>
          <w:highlight w:val="none"/>
        </w:rPr>
        <w:t xml:space="preserve">成交供应商拒绝与采购人签订合同的，采购人可以按照评审报告推荐的成交候选人名单排序，确定下一候选人为成交供应商，也可以重新开展政府采购活动。 </w:t>
      </w:r>
    </w:p>
    <w:p w14:paraId="49F7B102">
      <w:pPr>
        <w:spacing w:before="120" w:beforeLines="0" w:afterLines="0" w:line="320" w:lineRule="atLeast"/>
        <w:ind w:firstLine="420" w:firstLineChars="200"/>
        <w:rPr>
          <w:rFonts w:hint="default"/>
          <w:color w:val="auto"/>
          <w:sz w:val="21"/>
          <w:szCs w:val="21"/>
          <w:highlight w:val="none"/>
        </w:rPr>
      </w:pPr>
      <w:bookmarkStart w:id="71" w:name="_Hlk155170999"/>
      <w:r>
        <w:rPr>
          <w:rFonts w:hint="eastAsia"/>
          <w:color w:val="auto"/>
          <w:szCs w:val="21"/>
          <w:highlight w:val="none"/>
        </w:rPr>
        <w:t>7</w:t>
      </w:r>
      <w:r>
        <w:rPr>
          <w:color w:val="auto"/>
          <w:szCs w:val="21"/>
          <w:highlight w:val="none"/>
        </w:rPr>
        <w:t>.2.5</w:t>
      </w:r>
      <w:r>
        <w:rPr>
          <w:rFonts w:hint="eastAsia"/>
          <w:color w:val="auto"/>
          <w:szCs w:val="21"/>
          <w:highlight w:val="none"/>
        </w:rPr>
        <w:t>采购人因不可抗力原因迟延签订合同的，</w:t>
      </w:r>
      <w:bookmarkEnd w:id="71"/>
      <w:r>
        <w:rPr>
          <w:rFonts w:hint="eastAsia"/>
          <w:color w:val="auto"/>
          <w:sz w:val="21"/>
          <w:szCs w:val="21"/>
          <w:highlight w:val="none"/>
        </w:rPr>
        <w:t>应当自不可抗力事由消除之日起5个工作日内完成合同签订事宜。</w:t>
      </w:r>
    </w:p>
    <w:p w14:paraId="1C007F82">
      <w:pPr>
        <w:spacing w:before="120" w:line="320" w:lineRule="atLeast"/>
        <w:ind w:firstLine="420" w:firstLineChars="200"/>
        <w:rPr>
          <w:color w:val="auto"/>
          <w:szCs w:val="21"/>
          <w:highlight w:val="none"/>
        </w:rPr>
      </w:pPr>
    </w:p>
    <w:p w14:paraId="3F979476">
      <w:pPr>
        <w:spacing w:before="120" w:line="320" w:lineRule="atLeast"/>
        <w:ind w:firstLine="422" w:firstLineChars="200"/>
        <w:outlineLvl w:val="2"/>
        <w:rPr>
          <w:b/>
          <w:bCs/>
          <w:color w:val="auto"/>
          <w:kern w:val="0"/>
          <w:szCs w:val="21"/>
          <w:highlight w:val="none"/>
        </w:rPr>
      </w:pPr>
      <w:r>
        <w:rPr>
          <w:b/>
          <w:bCs/>
          <w:color w:val="auto"/>
          <w:kern w:val="0"/>
          <w:szCs w:val="21"/>
          <w:highlight w:val="none"/>
        </w:rPr>
        <w:t>7.3合同公告</w:t>
      </w:r>
    </w:p>
    <w:p w14:paraId="7B459F42">
      <w:pPr>
        <w:spacing w:before="120" w:line="320" w:lineRule="atLeast"/>
        <w:ind w:firstLine="420" w:firstLineChars="200"/>
        <w:rPr>
          <w:color w:val="auto"/>
          <w:szCs w:val="21"/>
          <w:highlight w:val="none"/>
        </w:rPr>
      </w:pPr>
      <w:r>
        <w:rPr>
          <w:color w:val="auto"/>
          <w:szCs w:val="21"/>
          <w:highlight w:val="none"/>
        </w:rPr>
        <w:t>7.3.1如</w:t>
      </w:r>
      <w:r>
        <w:rPr>
          <w:rFonts w:hint="eastAsia"/>
          <w:color w:val="auto"/>
          <w:szCs w:val="21"/>
          <w:highlight w:val="none"/>
        </w:rPr>
        <w:t>采购文件</w:t>
      </w:r>
      <w:r>
        <w:rPr>
          <w:color w:val="auto"/>
          <w:szCs w:val="21"/>
          <w:highlight w:val="none"/>
        </w:rPr>
        <w:t>无特殊规定</w:t>
      </w:r>
      <w:r>
        <w:rPr>
          <w:rFonts w:hint="eastAsia"/>
          <w:color w:val="auto"/>
          <w:szCs w:val="21"/>
          <w:highlight w:val="none"/>
        </w:rPr>
        <w:t>，</w:t>
      </w:r>
      <w:r>
        <w:rPr>
          <w:color w:val="auto"/>
          <w:szCs w:val="21"/>
          <w:highlight w:val="none"/>
        </w:rPr>
        <w:t>成交供应商应在签订合同后1个工作日内，将政府采购合同副本送采购代理机构</w:t>
      </w:r>
      <w:r>
        <w:rPr>
          <w:rFonts w:hint="eastAsia"/>
          <w:color w:val="auto"/>
          <w:szCs w:val="21"/>
          <w:highlight w:val="none"/>
        </w:rPr>
        <w:t>存档</w:t>
      </w:r>
      <w:r>
        <w:rPr>
          <w:color w:val="auto"/>
          <w:szCs w:val="21"/>
          <w:highlight w:val="none"/>
        </w:rPr>
        <w:t>。</w:t>
      </w:r>
    </w:p>
    <w:p w14:paraId="14BD5C68">
      <w:pPr>
        <w:spacing w:before="120" w:line="320" w:lineRule="atLeast"/>
        <w:ind w:firstLine="420" w:firstLineChars="200"/>
        <w:rPr>
          <w:color w:val="auto"/>
          <w:szCs w:val="21"/>
          <w:highlight w:val="none"/>
        </w:rPr>
      </w:pPr>
      <w:r>
        <w:rPr>
          <w:color w:val="auto"/>
          <w:szCs w:val="21"/>
          <w:highlight w:val="none"/>
        </w:rPr>
        <w:t>7.3.2采购人应当自政府采购合同签订之日起2个工作日内，将政府采购合同在省级以上人民政府财政部门指定的媒体上公告，但政府采购合同中涉及国家秘密、商业秘密的内容除外。</w:t>
      </w:r>
    </w:p>
    <w:p w14:paraId="529FCBBA">
      <w:pPr>
        <w:spacing w:before="120" w:line="320" w:lineRule="atLeast"/>
        <w:ind w:firstLine="420" w:firstLineChars="200"/>
        <w:rPr>
          <w:rFonts w:hint="eastAsia"/>
          <w:color w:val="auto"/>
          <w:szCs w:val="21"/>
          <w:highlight w:val="none"/>
        </w:rPr>
      </w:pPr>
      <w:bookmarkStart w:id="72" w:name="_Hlk155171014"/>
      <w:r>
        <w:rPr>
          <w:rFonts w:hint="eastAsia"/>
          <w:color w:val="auto"/>
          <w:szCs w:val="21"/>
          <w:highlight w:val="none"/>
        </w:rPr>
        <w:t>7</w:t>
      </w:r>
      <w:r>
        <w:rPr>
          <w:color w:val="auto"/>
          <w:szCs w:val="21"/>
          <w:highlight w:val="none"/>
        </w:rPr>
        <w:t xml:space="preserve">.3.3 </w:t>
      </w:r>
      <w:r>
        <w:rPr>
          <w:rFonts w:hint="eastAsia"/>
          <w:color w:val="auto"/>
          <w:szCs w:val="21"/>
          <w:highlight w:val="none"/>
        </w:rPr>
        <w:t>政府采购合同双方不得擅自变更合同，依照政府采购法确需变更政府采购合同内容的，采购人应当自合同变更之日起2个工作日内在省级以上财政部门指定的媒体上发布政府采购合同变更公告，但涉及国家秘密、商业秘密的信息和其他依法不得公开的信息除外。</w:t>
      </w:r>
      <w:bookmarkEnd w:id="72"/>
    </w:p>
    <w:p w14:paraId="73B7FFA7">
      <w:pPr>
        <w:spacing w:before="120" w:line="320" w:lineRule="atLeast"/>
        <w:ind w:firstLine="422" w:firstLineChars="200"/>
        <w:outlineLvl w:val="2"/>
        <w:rPr>
          <w:b/>
          <w:bCs/>
          <w:color w:val="auto"/>
          <w:kern w:val="0"/>
          <w:szCs w:val="21"/>
          <w:highlight w:val="none"/>
        </w:rPr>
      </w:pPr>
      <w:r>
        <w:rPr>
          <w:b/>
          <w:bCs/>
          <w:color w:val="auto"/>
          <w:kern w:val="0"/>
          <w:szCs w:val="21"/>
          <w:highlight w:val="none"/>
        </w:rPr>
        <w:t>7.4 履行合同</w:t>
      </w:r>
    </w:p>
    <w:p w14:paraId="01CD4641">
      <w:pPr>
        <w:spacing w:before="120" w:line="320" w:lineRule="atLeast"/>
        <w:ind w:firstLine="420" w:firstLineChars="200"/>
        <w:rPr>
          <w:color w:val="auto"/>
          <w:szCs w:val="21"/>
          <w:highlight w:val="none"/>
        </w:rPr>
      </w:pPr>
      <w:bookmarkStart w:id="73" w:name="_Toc308164814"/>
      <w:bookmarkStart w:id="74" w:name="_Toc217446070"/>
      <w:r>
        <w:rPr>
          <w:color w:val="auto"/>
          <w:szCs w:val="21"/>
          <w:highlight w:val="none"/>
        </w:rPr>
        <w:t>7.4.1</w:t>
      </w:r>
      <w:r>
        <w:rPr>
          <w:rFonts w:hint="eastAsia"/>
          <w:color w:val="auto"/>
          <w:szCs w:val="21"/>
          <w:highlight w:val="none"/>
        </w:rPr>
        <w:t>采购人与成交供应商签订合同后，政府采购合同的履行、违约责任和解决争议的方法等适用《中华人民共和国民法典》。合同双方应严格执行合同条款，履行合同规定的义务，保证合同的顺利完成。双方均不得擅自变更、中止或者终止政府采购合同。</w:t>
      </w:r>
    </w:p>
    <w:p w14:paraId="6A517640">
      <w:pPr>
        <w:spacing w:before="120" w:line="320" w:lineRule="atLeast"/>
        <w:ind w:firstLine="422" w:firstLineChars="200"/>
        <w:rPr>
          <w:b/>
          <w:bCs/>
          <w:color w:val="auto"/>
          <w:kern w:val="0"/>
          <w:szCs w:val="21"/>
          <w:highlight w:val="none"/>
        </w:rPr>
      </w:pPr>
      <w:r>
        <w:rPr>
          <w:b/>
          <w:bCs/>
          <w:color w:val="auto"/>
          <w:kern w:val="0"/>
          <w:szCs w:val="21"/>
          <w:highlight w:val="none"/>
        </w:rPr>
        <w:t>7.5履约验收</w:t>
      </w:r>
      <w:bookmarkEnd w:id="73"/>
      <w:bookmarkEnd w:id="74"/>
    </w:p>
    <w:p w14:paraId="43F720D5">
      <w:pPr>
        <w:spacing w:before="120" w:line="320" w:lineRule="atLeast"/>
        <w:ind w:firstLine="420" w:firstLineChars="200"/>
        <w:rPr>
          <w:color w:val="auto"/>
          <w:szCs w:val="21"/>
          <w:highlight w:val="none"/>
        </w:rPr>
      </w:pPr>
      <w:r>
        <w:rPr>
          <w:color w:val="auto"/>
          <w:szCs w:val="21"/>
          <w:highlight w:val="none"/>
        </w:rPr>
        <w:t>7.5.1采购人可以根据政府采购项目具体情况自行组织验收，或者委托政府采购代理机构、国家认可的质量检测机构开展采购项目履约验收工作。</w:t>
      </w:r>
    </w:p>
    <w:p w14:paraId="26DE2F4E">
      <w:pPr>
        <w:spacing w:before="120" w:line="320" w:lineRule="atLeast"/>
        <w:ind w:firstLine="420" w:firstLineChars="200"/>
        <w:rPr>
          <w:color w:val="auto"/>
          <w:szCs w:val="21"/>
          <w:highlight w:val="none"/>
        </w:rPr>
      </w:pPr>
      <w:r>
        <w:rPr>
          <w:color w:val="auto"/>
          <w:szCs w:val="21"/>
          <w:highlight w:val="none"/>
        </w:rPr>
        <w:t>7.5.2验收结果合格的，成交供应商可向采购人申请办理履约保证金（如有）的退付手续；验收结果不合格的，履约保证金（如有）将不予退还，并按合同约定处理，还可能会报告本项目同级财政部门并按照政府采购法律法规及有关规定给予行政处罚或者以失信行为记入诚信档案。</w:t>
      </w:r>
    </w:p>
    <w:p w14:paraId="18110424">
      <w:pPr>
        <w:spacing w:before="120" w:line="320" w:lineRule="atLeast"/>
        <w:ind w:firstLine="420" w:firstLineChars="200"/>
        <w:rPr>
          <w:color w:val="auto"/>
          <w:szCs w:val="21"/>
          <w:highlight w:val="none"/>
        </w:rPr>
      </w:pPr>
      <w:r>
        <w:rPr>
          <w:color w:val="auto"/>
          <w:szCs w:val="21"/>
          <w:highlight w:val="none"/>
        </w:rPr>
        <w:t>7.5.3采购合同项目完成验收后，采购人应当将验收原始记录、验收书等资料作为该采购项目档案妥善保管，不得伪造、变造、隐匿或者销毁，验收资料保存期为采购结束之日起至少保存15年。</w:t>
      </w:r>
    </w:p>
    <w:p w14:paraId="1A628C53">
      <w:pPr>
        <w:spacing w:before="120" w:line="320" w:lineRule="atLeast"/>
        <w:ind w:firstLine="420" w:firstLineChars="200"/>
        <w:rPr>
          <w:color w:val="auto"/>
          <w:szCs w:val="21"/>
          <w:highlight w:val="none"/>
        </w:rPr>
      </w:pPr>
      <w:r>
        <w:rPr>
          <w:color w:val="auto"/>
          <w:szCs w:val="21"/>
          <w:highlight w:val="none"/>
        </w:rPr>
        <w:t>7.5.4本项目将严格按照本采购文件及合同有关规定进行合同履约验收。采购文件或合同未规定的按财政部关于进一步加强政府采购需求和履约验收管理的指导意见（财库〔2016〕205号）以及《广西壮族自治区政府采购项目履约验收管理办法》（桂财采〔2015〕22号）的规定执行。</w:t>
      </w:r>
    </w:p>
    <w:p w14:paraId="470245FF">
      <w:pPr>
        <w:spacing w:before="120" w:line="320" w:lineRule="atLeast"/>
        <w:ind w:left="2" w:leftChars="1" w:firstLine="422" w:firstLineChars="200"/>
        <w:outlineLvl w:val="1"/>
        <w:rPr>
          <w:b/>
          <w:bCs/>
          <w:color w:val="auto"/>
          <w:kern w:val="0"/>
          <w:szCs w:val="21"/>
          <w:highlight w:val="none"/>
        </w:rPr>
      </w:pPr>
      <w:bookmarkStart w:id="75" w:name="_Toc254970674"/>
      <w:bookmarkStart w:id="76" w:name="_Toc254970533"/>
      <w:r>
        <w:rPr>
          <w:b/>
          <w:bCs/>
          <w:color w:val="auto"/>
          <w:kern w:val="0"/>
          <w:szCs w:val="21"/>
          <w:highlight w:val="none"/>
        </w:rPr>
        <w:t>8．质疑和投诉</w:t>
      </w:r>
      <w:bookmarkEnd w:id="75"/>
      <w:bookmarkEnd w:id="76"/>
    </w:p>
    <w:p w14:paraId="6A5C22FA">
      <w:pPr>
        <w:spacing w:before="120" w:line="320" w:lineRule="atLeast"/>
        <w:ind w:firstLine="422" w:firstLineChars="200"/>
        <w:outlineLvl w:val="2"/>
        <w:rPr>
          <w:b/>
          <w:bCs/>
          <w:color w:val="auto"/>
          <w:kern w:val="0"/>
          <w:szCs w:val="21"/>
          <w:highlight w:val="none"/>
        </w:rPr>
      </w:pPr>
      <w:r>
        <w:rPr>
          <w:b/>
          <w:bCs/>
          <w:color w:val="auto"/>
          <w:kern w:val="0"/>
          <w:szCs w:val="21"/>
          <w:highlight w:val="none"/>
        </w:rPr>
        <w:t>8.1质疑</w:t>
      </w:r>
    </w:p>
    <w:p w14:paraId="372031F8">
      <w:pPr>
        <w:spacing w:before="120" w:line="320" w:lineRule="atLeast"/>
        <w:ind w:firstLine="420" w:firstLineChars="200"/>
        <w:rPr>
          <w:color w:val="auto"/>
          <w:szCs w:val="21"/>
          <w:highlight w:val="none"/>
        </w:rPr>
      </w:pPr>
      <w:r>
        <w:rPr>
          <w:color w:val="auto"/>
          <w:szCs w:val="21"/>
          <w:highlight w:val="none"/>
        </w:rPr>
        <w:t>8.1.1质疑内容、时限</w:t>
      </w:r>
    </w:p>
    <w:p w14:paraId="7680B484">
      <w:pPr>
        <w:spacing w:before="120" w:line="320" w:lineRule="atLeast"/>
        <w:ind w:firstLine="420" w:firstLineChars="200"/>
        <w:rPr>
          <w:color w:val="auto"/>
          <w:szCs w:val="21"/>
          <w:highlight w:val="none"/>
        </w:rPr>
      </w:pPr>
      <w:r>
        <w:rPr>
          <w:rFonts w:hint="eastAsia"/>
          <w:color w:val="auto"/>
          <w:szCs w:val="21"/>
          <w:highlight w:val="none"/>
        </w:rPr>
        <w:t>（1）供应商对政府采购活动有疑问的，可以向采购人或采购代理机构提出询问。采购人或者采购代理机构应当在3个工作日内对供应商依法提出的询问作出答复。</w:t>
      </w:r>
    </w:p>
    <w:p w14:paraId="070E4210">
      <w:pPr>
        <w:spacing w:before="120" w:line="320" w:lineRule="atLeast"/>
        <w:ind w:firstLine="420" w:firstLineChars="200"/>
        <w:rPr>
          <w:color w:val="auto"/>
          <w:szCs w:val="21"/>
          <w:highlight w:val="none"/>
        </w:rPr>
      </w:pPr>
      <w:r>
        <w:rPr>
          <w:rFonts w:hint="eastAsia"/>
          <w:color w:val="auto"/>
          <w:szCs w:val="21"/>
          <w:highlight w:val="none"/>
        </w:rPr>
        <w:t>（2）供应商认为采购文件、采购过程、中标或者成交结果使自己的权益受到损害的，可以在知道或者应知其权益受到损害之日起7个工作日内向采购人或采购代理机构提出质疑。采购人或</w:t>
      </w:r>
      <w:r>
        <w:rPr>
          <w:color w:val="auto"/>
          <w:szCs w:val="21"/>
          <w:highlight w:val="none"/>
        </w:rPr>
        <w:t>采购代理机构在收到供应商书面质疑后7个工作日内，对质疑内容作出答复。</w:t>
      </w:r>
    </w:p>
    <w:p w14:paraId="488EA65F">
      <w:pPr>
        <w:spacing w:before="120" w:line="320" w:lineRule="atLeast"/>
        <w:ind w:firstLine="420" w:firstLineChars="200"/>
        <w:rPr>
          <w:color w:val="auto"/>
          <w:szCs w:val="21"/>
          <w:highlight w:val="none"/>
        </w:rPr>
      </w:pPr>
      <w:r>
        <w:rPr>
          <w:color w:val="auto"/>
          <w:szCs w:val="21"/>
          <w:highlight w:val="none"/>
        </w:rPr>
        <w:t>8.1.2质疑形式</w:t>
      </w:r>
    </w:p>
    <w:p w14:paraId="3375DC51">
      <w:pPr>
        <w:spacing w:before="120" w:line="320" w:lineRule="atLeast"/>
        <w:ind w:firstLine="420" w:firstLineChars="200"/>
        <w:rPr>
          <w:color w:val="auto"/>
          <w:szCs w:val="21"/>
          <w:highlight w:val="none"/>
        </w:rPr>
      </w:pPr>
      <w:r>
        <w:rPr>
          <w:color w:val="auto"/>
          <w:szCs w:val="21"/>
          <w:highlight w:val="none"/>
        </w:rPr>
        <w:t>质疑应当采用</w:t>
      </w:r>
      <w:r>
        <w:rPr>
          <w:rFonts w:hint="eastAsia"/>
          <w:color w:val="auto"/>
          <w:szCs w:val="21"/>
          <w:highlight w:val="none"/>
        </w:rPr>
        <w:t>供应商</w:t>
      </w:r>
      <w:r>
        <w:rPr>
          <w:color w:val="auto"/>
          <w:szCs w:val="21"/>
          <w:highlight w:val="none"/>
        </w:rPr>
        <w:t>须知前附表所规定的形式，质疑书应明确阐述</w:t>
      </w:r>
      <w:r>
        <w:rPr>
          <w:rFonts w:hint="eastAsia"/>
          <w:color w:val="auto"/>
          <w:szCs w:val="21"/>
          <w:highlight w:val="none"/>
        </w:rPr>
        <w:t>采购文件</w:t>
      </w:r>
      <w:r>
        <w:rPr>
          <w:color w:val="auto"/>
          <w:szCs w:val="21"/>
          <w:highlight w:val="none"/>
        </w:rPr>
        <w:t>、</w:t>
      </w:r>
      <w:r>
        <w:rPr>
          <w:rFonts w:hint="eastAsia"/>
          <w:color w:val="auto"/>
          <w:szCs w:val="21"/>
          <w:highlight w:val="none"/>
        </w:rPr>
        <w:t>采购</w:t>
      </w:r>
      <w:r>
        <w:rPr>
          <w:color w:val="auto"/>
          <w:szCs w:val="21"/>
          <w:highlight w:val="none"/>
        </w:rPr>
        <w:t>过程或</w:t>
      </w:r>
      <w:r>
        <w:rPr>
          <w:rFonts w:hint="eastAsia"/>
          <w:color w:val="auto"/>
          <w:szCs w:val="21"/>
          <w:highlight w:val="none"/>
        </w:rPr>
        <w:t>成交</w:t>
      </w:r>
      <w:r>
        <w:rPr>
          <w:color w:val="auto"/>
          <w:szCs w:val="21"/>
          <w:highlight w:val="none"/>
        </w:rPr>
        <w:t>结果中使自己合法权益受到损害的实质性内容，提供相关事实、依据和证据及其来源或线索，便于有关单位调查、答复和处理。</w:t>
      </w:r>
    </w:p>
    <w:p w14:paraId="7141D6C3">
      <w:pPr>
        <w:spacing w:before="120" w:line="320" w:lineRule="atLeast"/>
        <w:ind w:firstLine="420" w:firstLineChars="200"/>
        <w:rPr>
          <w:color w:val="auto"/>
          <w:szCs w:val="21"/>
          <w:highlight w:val="none"/>
        </w:rPr>
      </w:pPr>
      <w:r>
        <w:rPr>
          <w:rFonts w:hint="eastAsia"/>
          <w:color w:val="auto"/>
          <w:szCs w:val="21"/>
          <w:highlight w:val="none"/>
        </w:rPr>
        <w:t>8</w:t>
      </w:r>
      <w:r>
        <w:rPr>
          <w:color w:val="auto"/>
          <w:szCs w:val="21"/>
          <w:highlight w:val="none"/>
        </w:rPr>
        <w:t>.1.3</w:t>
      </w:r>
      <w:r>
        <w:rPr>
          <w:rFonts w:hint="eastAsia"/>
          <w:color w:val="auto"/>
          <w:highlight w:val="none"/>
        </w:rPr>
        <w:t xml:space="preserve"> </w:t>
      </w:r>
      <w:r>
        <w:rPr>
          <w:rFonts w:hint="eastAsia"/>
          <w:color w:val="auto"/>
          <w:szCs w:val="21"/>
          <w:highlight w:val="none"/>
        </w:rPr>
        <w:t>供应商提出质疑应当提交质疑函和必要的证明材料。质疑函应当包括下列内容：</w:t>
      </w:r>
    </w:p>
    <w:p w14:paraId="280E93A3">
      <w:pPr>
        <w:spacing w:before="120" w:line="320" w:lineRule="atLeast"/>
        <w:ind w:firstLine="420" w:firstLineChars="200"/>
        <w:rPr>
          <w:color w:val="auto"/>
          <w:szCs w:val="21"/>
          <w:highlight w:val="none"/>
        </w:rPr>
      </w:pPr>
      <w:r>
        <w:rPr>
          <w:rFonts w:hint="eastAsia"/>
          <w:color w:val="auto"/>
          <w:szCs w:val="21"/>
          <w:highlight w:val="none"/>
        </w:rPr>
        <w:t>（1）供应商的姓名或者名称、地址、邮编、联系人及联系电话；</w:t>
      </w:r>
    </w:p>
    <w:p w14:paraId="1EC428FD">
      <w:pPr>
        <w:spacing w:before="120" w:line="320" w:lineRule="atLeast"/>
        <w:ind w:firstLine="420" w:firstLineChars="200"/>
        <w:rPr>
          <w:color w:val="auto"/>
          <w:szCs w:val="21"/>
          <w:highlight w:val="none"/>
        </w:rPr>
      </w:pPr>
      <w:r>
        <w:rPr>
          <w:rFonts w:hint="eastAsia"/>
          <w:color w:val="auto"/>
          <w:szCs w:val="21"/>
          <w:highlight w:val="none"/>
        </w:rPr>
        <w:t>（2）质疑项目的名称、编号；</w:t>
      </w:r>
    </w:p>
    <w:p w14:paraId="5A721699">
      <w:pPr>
        <w:spacing w:before="120" w:line="320" w:lineRule="atLeast"/>
        <w:ind w:firstLine="420" w:firstLineChars="200"/>
        <w:rPr>
          <w:color w:val="auto"/>
          <w:szCs w:val="21"/>
          <w:highlight w:val="none"/>
        </w:rPr>
      </w:pPr>
      <w:r>
        <w:rPr>
          <w:rFonts w:hint="eastAsia"/>
          <w:color w:val="auto"/>
          <w:szCs w:val="21"/>
          <w:highlight w:val="none"/>
        </w:rPr>
        <w:t>（3）具体、明确的质疑事项和与质疑事项相关的请求；</w:t>
      </w:r>
    </w:p>
    <w:p w14:paraId="0F8FBB32">
      <w:pPr>
        <w:spacing w:before="120" w:line="320" w:lineRule="atLeast"/>
        <w:ind w:firstLine="420" w:firstLineChars="200"/>
        <w:rPr>
          <w:color w:val="auto"/>
          <w:szCs w:val="21"/>
          <w:highlight w:val="none"/>
        </w:rPr>
      </w:pPr>
      <w:r>
        <w:rPr>
          <w:rFonts w:hint="eastAsia"/>
          <w:color w:val="auto"/>
          <w:szCs w:val="21"/>
          <w:highlight w:val="none"/>
        </w:rPr>
        <w:t>（4）事实依据；</w:t>
      </w:r>
    </w:p>
    <w:p w14:paraId="0E1FC40B">
      <w:pPr>
        <w:spacing w:before="120" w:line="320" w:lineRule="atLeast"/>
        <w:ind w:firstLine="420" w:firstLineChars="200"/>
        <w:rPr>
          <w:color w:val="auto"/>
          <w:szCs w:val="21"/>
          <w:highlight w:val="none"/>
        </w:rPr>
      </w:pPr>
      <w:r>
        <w:rPr>
          <w:rFonts w:hint="eastAsia"/>
          <w:color w:val="auto"/>
          <w:szCs w:val="21"/>
          <w:highlight w:val="none"/>
        </w:rPr>
        <w:t>（5）必要的法律依据；</w:t>
      </w:r>
    </w:p>
    <w:p w14:paraId="59B4E7CD">
      <w:pPr>
        <w:spacing w:before="120" w:line="320" w:lineRule="atLeast"/>
        <w:ind w:firstLine="420" w:firstLineChars="200"/>
        <w:rPr>
          <w:color w:val="auto"/>
          <w:szCs w:val="21"/>
          <w:highlight w:val="none"/>
        </w:rPr>
      </w:pPr>
      <w:r>
        <w:rPr>
          <w:rFonts w:hint="eastAsia"/>
          <w:color w:val="auto"/>
          <w:szCs w:val="21"/>
          <w:highlight w:val="none"/>
        </w:rPr>
        <w:t>（6）提出质疑的日期。</w:t>
      </w:r>
    </w:p>
    <w:p w14:paraId="7E45DCE6">
      <w:pPr>
        <w:spacing w:before="120" w:line="320" w:lineRule="atLeast"/>
        <w:ind w:firstLine="420" w:firstLineChars="200"/>
        <w:rPr>
          <w:color w:val="auto"/>
          <w:szCs w:val="21"/>
          <w:highlight w:val="none"/>
        </w:rPr>
      </w:pPr>
      <w:r>
        <w:rPr>
          <w:rFonts w:hint="eastAsia"/>
          <w:color w:val="auto"/>
          <w:szCs w:val="21"/>
          <w:highlight w:val="none"/>
        </w:rPr>
        <w:t>供应商为自然人的，应当由本人签字；供应商为法人或者其他组织的，应当由法定代表人、主要负责人，或者其授权代表签字或者盖章，并加盖公章。</w:t>
      </w:r>
      <w:r>
        <w:rPr>
          <w:color w:val="auto"/>
          <w:szCs w:val="21"/>
          <w:highlight w:val="none"/>
        </w:rPr>
        <w:t xml:space="preserve"> </w:t>
      </w:r>
    </w:p>
    <w:p w14:paraId="0EB09B94">
      <w:pPr>
        <w:spacing w:before="120" w:line="320" w:lineRule="atLeast"/>
        <w:ind w:firstLine="422" w:firstLineChars="200"/>
        <w:outlineLvl w:val="2"/>
        <w:rPr>
          <w:b/>
          <w:bCs/>
          <w:color w:val="auto"/>
          <w:kern w:val="0"/>
          <w:szCs w:val="21"/>
          <w:highlight w:val="none"/>
        </w:rPr>
      </w:pPr>
      <w:r>
        <w:rPr>
          <w:b/>
          <w:bCs/>
          <w:color w:val="auto"/>
          <w:kern w:val="0"/>
          <w:szCs w:val="21"/>
          <w:highlight w:val="none"/>
        </w:rPr>
        <w:t>8.2投诉</w:t>
      </w:r>
    </w:p>
    <w:p w14:paraId="516D9755">
      <w:pPr>
        <w:spacing w:before="120" w:line="320" w:lineRule="atLeast"/>
        <w:ind w:firstLine="420" w:firstLineChars="200"/>
        <w:rPr>
          <w:color w:val="auto"/>
          <w:szCs w:val="21"/>
          <w:highlight w:val="none"/>
        </w:rPr>
      </w:pPr>
      <w:r>
        <w:rPr>
          <w:color w:val="auto"/>
          <w:szCs w:val="21"/>
          <w:highlight w:val="none"/>
        </w:rPr>
        <w:t>8.2.1供应商对采购人、采购代理机构的答复不满意，或者采购人、采购代理机构未在规定时间内答复的，可在答复期满后15个工作日内按有关规定，向同级财政部门投诉。</w:t>
      </w:r>
    </w:p>
    <w:p w14:paraId="516E794A">
      <w:pPr>
        <w:spacing w:before="120" w:line="320" w:lineRule="atLeast"/>
        <w:ind w:firstLine="420" w:firstLineChars="200"/>
        <w:rPr>
          <w:color w:val="auto"/>
          <w:szCs w:val="21"/>
          <w:highlight w:val="none"/>
        </w:rPr>
      </w:pPr>
      <w:r>
        <w:rPr>
          <w:color w:val="auto"/>
          <w:szCs w:val="21"/>
          <w:highlight w:val="none"/>
        </w:rPr>
        <w:t>8.2.</w:t>
      </w:r>
      <w:r>
        <w:rPr>
          <w:rFonts w:hint="eastAsia"/>
          <w:color w:val="auto"/>
          <w:szCs w:val="21"/>
          <w:highlight w:val="none"/>
        </w:rPr>
        <w:t>2投诉</w:t>
      </w:r>
      <w:r>
        <w:rPr>
          <w:color w:val="auto"/>
          <w:szCs w:val="21"/>
          <w:highlight w:val="none"/>
        </w:rPr>
        <w:t>书应使用财政部发布的</w:t>
      </w:r>
      <w:r>
        <w:rPr>
          <w:rFonts w:hint="eastAsia"/>
          <w:color w:val="auto"/>
          <w:szCs w:val="21"/>
          <w:highlight w:val="none"/>
        </w:rPr>
        <w:t>政府采购供应投诉书范本，并应按照“投诉书制作说明”进行编写。</w:t>
      </w:r>
    </w:p>
    <w:p w14:paraId="36C77B05">
      <w:pPr>
        <w:spacing w:before="120" w:line="320" w:lineRule="atLeast"/>
        <w:ind w:left="2" w:leftChars="1" w:firstLine="422" w:firstLineChars="200"/>
        <w:outlineLvl w:val="1"/>
        <w:rPr>
          <w:b/>
          <w:bCs/>
          <w:color w:val="auto"/>
          <w:kern w:val="0"/>
          <w:szCs w:val="21"/>
          <w:highlight w:val="none"/>
        </w:rPr>
      </w:pPr>
      <w:r>
        <w:rPr>
          <w:b/>
          <w:bCs/>
          <w:color w:val="auto"/>
          <w:kern w:val="0"/>
          <w:szCs w:val="21"/>
          <w:highlight w:val="none"/>
        </w:rPr>
        <w:t>9．其他事项</w:t>
      </w:r>
    </w:p>
    <w:p w14:paraId="58474F77">
      <w:pPr>
        <w:spacing w:before="120" w:line="320" w:lineRule="atLeast"/>
        <w:ind w:firstLine="420" w:firstLineChars="200"/>
        <w:rPr>
          <w:color w:val="auto"/>
          <w:szCs w:val="21"/>
          <w:highlight w:val="none"/>
        </w:rPr>
      </w:pPr>
      <w:r>
        <w:rPr>
          <w:color w:val="auto"/>
          <w:szCs w:val="21"/>
          <w:highlight w:val="none"/>
        </w:rPr>
        <w:t>9.1代理服务收费由采购代理机构向成交供应商收取。签订合同前，成交供应商应向采购代理机构一次付清代理服务费。</w:t>
      </w:r>
    </w:p>
    <w:p w14:paraId="7AEF7D10">
      <w:pPr>
        <w:spacing w:before="120" w:line="276" w:lineRule="auto"/>
        <w:ind w:firstLine="420" w:firstLineChars="200"/>
        <w:rPr>
          <w:color w:val="auto"/>
          <w:szCs w:val="21"/>
          <w:highlight w:val="none"/>
        </w:rPr>
      </w:pPr>
      <w:r>
        <w:rPr>
          <w:color w:val="auto"/>
          <w:szCs w:val="21"/>
          <w:highlight w:val="none"/>
        </w:rPr>
        <w:t>9.2</w:t>
      </w:r>
      <w:r>
        <w:rPr>
          <w:rFonts w:hint="eastAsia"/>
          <w:color w:val="auto"/>
          <w:szCs w:val="21"/>
          <w:highlight w:val="none"/>
        </w:rPr>
        <w:t>电子交易活动的中止。采购过程中出现以下情形，导致电子交易平台无法正常运行，或者无法保证电子交易的公平、公正和安全时，采购机构可中止电子交易活动：</w:t>
      </w:r>
    </w:p>
    <w:p w14:paraId="24EDFCBF">
      <w:pPr>
        <w:spacing w:before="120" w:line="276" w:lineRule="auto"/>
        <w:ind w:firstLine="420" w:firstLineChars="200"/>
        <w:rPr>
          <w:color w:val="auto"/>
          <w:szCs w:val="21"/>
          <w:highlight w:val="none"/>
        </w:rPr>
      </w:pPr>
      <w:r>
        <w:rPr>
          <w:rFonts w:hint="eastAsia"/>
          <w:color w:val="auto"/>
          <w:szCs w:val="21"/>
          <w:highlight w:val="none"/>
        </w:rPr>
        <w:t xml:space="preserve">（1）电子交易平台发生故障而无法登录访问的； </w:t>
      </w:r>
    </w:p>
    <w:p w14:paraId="000FE03D">
      <w:pPr>
        <w:spacing w:before="120" w:line="276" w:lineRule="auto"/>
        <w:ind w:firstLine="420" w:firstLineChars="200"/>
        <w:rPr>
          <w:color w:val="auto"/>
          <w:szCs w:val="21"/>
          <w:highlight w:val="none"/>
        </w:rPr>
      </w:pPr>
      <w:r>
        <w:rPr>
          <w:rFonts w:hint="eastAsia"/>
          <w:color w:val="auto"/>
          <w:szCs w:val="21"/>
          <w:highlight w:val="none"/>
        </w:rPr>
        <w:t>（2）电子交易平台应用或数据库出现错误，不能进行正常操作的；</w:t>
      </w:r>
    </w:p>
    <w:p w14:paraId="08D8E394">
      <w:pPr>
        <w:spacing w:before="120" w:line="276" w:lineRule="auto"/>
        <w:ind w:firstLine="420" w:firstLineChars="200"/>
        <w:rPr>
          <w:color w:val="auto"/>
          <w:szCs w:val="21"/>
          <w:highlight w:val="none"/>
        </w:rPr>
      </w:pPr>
      <w:r>
        <w:rPr>
          <w:rFonts w:hint="eastAsia"/>
          <w:color w:val="auto"/>
          <w:szCs w:val="21"/>
          <w:highlight w:val="none"/>
        </w:rPr>
        <w:t>（3）电子交易平台发现严重安全漏洞，有潜在泄密危险的；</w:t>
      </w:r>
    </w:p>
    <w:p w14:paraId="2CB3F54E">
      <w:pPr>
        <w:spacing w:before="120" w:line="276" w:lineRule="auto"/>
        <w:ind w:firstLine="420" w:firstLineChars="200"/>
        <w:rPr>
          <w:color w:val="auto"/>
          <w:szCs w:val="21"/>
          <w:highlight w:val="none"/>
        </w:rPr>
      </w:pPr>
      <w:r>
        <w:rPr>
          <w:rFonts w:hint="eastAsia"/>
          <w:color w:val="auto"/>
          <w:szCs w:val="21"/>
          <w:highlight w:val="none"/>
        </w:rPr>
        <w:t xml:space="preserve">（4）病毒发作导致不能进行正常操作的； </w:t>
      </w:r>
    </w:p>
    <w:p w14:paraId="437CA64E">
      <w:pPr>
        <w:spacing w:before="120" w:line="276" w:lineRule="auto"/>
        <w:ind w:firstLine="420" w:firstLineChars="200"/>
        <w:rPr>
          <w:color w:val="auto"/>
          <w:szCs w:val="21"/>
          <w:highlight w:val="none"/>
        </w:rPr>
      </w:pPr>
      <w:r>
        <w:rPr>
          <w:rFonts w:hint="eastAsia"/>
          <w:color w:val="auto"/>
          <w:szCs w:val="21"/>
          <w:highlight w:val="none"/>
        </w:rPr>
        <w:t>（</w:t>
      </w:r>
      <w:r>
        <w:rPr>
          <w:color w:val="auto"/>
          <w:szCs w:val="21"/>
          <w:highlight w:val="none"/>
        </w:rPr>
        <w:t>5</w:t>
      </w:r>
      <w:r>
        <w:rPr>
          <w:rFonts w:hint="eastAsia"/>
          <w:color w:val="auto"/>
          <w:szCs w:val="21"/>
          <w:highlight w:val="none"/>
        </w:rPr>
        <w:t>）其他无法保证电子交易的公平、公正和安全的情况。</w:t>
      </w:r>
    </w:p>
    <w:p w14:paraId="5DF1112D">
      <w:pPr>
        <w:tabs>
          <w:tab w:val="left" w:pos="4820"/>
        </w:tabs>
        <w:spacing w:before="120" w:line="360" w:lineRule="auto"/>
        <w:ind w:firstLine="420" w:firstLineChars="200"/>
        <w:rPr>
          <w:color w:val="auto"/>
          <w:szCs w:val="21"/>
          <w:highlight w:val="none"/>
        </w:rPr>
      </w:pPr>
      <w:r>
        <w:rPr>
          <w:rFonts w:hint="eastAsia"/>
          <w:color w:val="auto"/>
          <w:szCs w:val="21"/>
          <w:highlight w:val="none"/>
        </w:rPr>
        <w:t>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r>
        <w:rPr>
          <w:color w:val="auto"/>
          <w:szCs w:val="21"/>
          <w:highlight w:val="none"/>
        </w:rPr>
        <w:t xml:space="preserve"> </w:t>
      </w:r>
    </w:p>
    <w:p w14:paraId="3BB15EAB">
      <w:pPr>
        <w:spacing w:line="360" w:lineRule="auto"/>
        <w:ind w:firstLine="420"/>
        <w:rPr>
          <w:color w:val="auto"/>
          <w:szCs w:val="21"/>
          <w:highlight w:val="none"/>
        </w:rPr>
      </w:pPr>
      <w:r>
        <w:rPr>
          <w:color w:val="auto"/>
          <w:szCs w:val="21"/>
          <w:highlight w:val="none"/>
        </w:rPr>
        <w:t>9.3</w:t>
      </w:r>
      <w:r>
        <w:rPr>
          <w:rFonts w:hint="eastAsia"/>
          <w:color w:val="auto"/>
          <w:szCs w:val="21"/>
          <w:highlight w:val="none"/>
        </w:rPr>
        <w:t>本项目的其他事项</w:t>
      </w:r>
      <w:r>
        <w:rPr>
          <w:color w:val="auto"/>
          <w:szCs w:val="21"/>
          <w:highlight w:val="none"/>
        </w:rPr>
        <w:t>详见供应商须知前附表</w:t>
      </w:r>
      <w:r>
        <w:rPr>
          <w:rFonts w:hint="eastAsia"/>
          <w:color w:val="auto"/>
          <w:szCs w:val="21"/>
          <w:highlight w:val="none"/>
        </w:rPr>
        <w:t>。</w:t>
      </w:r>
    </w:p>
    <w:p w14:paraId="365E9496">
      <w:pPr>
        <w:spacing w:before="120" w:line="320" w:lineRule="atLeast"/>
        <w:ind w:left="2" w:leftChars="1" w:firstLine="422" w:firstLineChars="200"/>
        <w:outlineLvl w:val="1"/>
        <w:rPr>
          <w:b/>
          <w:bCs/>
          <w:color w:val="auto"/>
          <w:kern w:val="0"/>
          <w:szCs w:val="21"/>
          <w:highlight w:val="none"/>
        </w:rPr>
      </w:pPr>
      <w:r>
        <w:rPr>
          <w:b/>
          <w:bCs/>
          <w:color w:val="auto"/>
          <w:kern w:val="0"/>
          <w:szCs w:val="21"/>
          <w:highlight w:val="none"/>
        </w:rPr>
        <w:t>10．</w:t>
      </w:r>
      <w:r>
        <w:rPr>
          <w:rFonts w:hint="eastAsia"/>
          <w:b/>
          <w:bCs/>
          <w:color w:val="auto"/>
          <w:kern w:val="0"/>
          <w:szCs w:val="21"/>
          <w:highlight w:val="none"/>
        </w:rPr>
        <w:t>其他说明</w:t>
      </w:r>
    </w:p>
    <w:p w14:paraId="43E3CA01">
      <w:pPr>
        <w:spacing w:before="120" w:line="320" w:lineRule="atLeast"/>
        <w:ind w:left="2" w:leftChars="1" w:firstLine="420" w:firstLineChars="200"/>
        <w:rPr>
          <w:color w:val="auto"/>
          <w:kern w:val="0"/>
          <w:szCs w:val="21"/>
          <w:highlight w:val="none"/>
        </w:rPr>
      </w:pPr>
      <w:r>
        <w:rPr>
          <w:rFonts w:hint="eastAsia"/>
          <w:color w:val="auto"/>
          <w:szCs w:val="21"/>
          <w:highlight w:val="none"/>
        </w:rPr>
        <w:t>1</w:t>
      </w:r>
      <w:r>
        <w:rPr>
          <w:color w:val="auto"/>
          <w:szCs w:val="21"/>
          <w:highlight w:val="none"/>
        </w:rPr>
        <w:t>0.1</w:t>
      </w:r>
      <w:r>
        <w:rPr>
          <w:rFonts w:hint="eastAsia"/>
          <w:color w:val="auto"/>
          <w:szCs w:val="21"/>
          <w:highlight w:val="none"/>
        </w:rPr>
        <w:t>其余</w:t>
      </w:r>
      <w:r>
        <w:rPr>
          <w:rFonts w:hint="eastAsia"/>
          <w:color w:val="auto"/>
          <w:kern w:val="0"/>
          <w:szCs w:val="21"/>
          <w:highlight w:val="none"/>
        </w:rPr>
        <w:t>未尽事宜按</w:t>
      </w:r>
      <w:r>
        <w:rPr>
          <w:color w:val="auto"/>
          <w:kern w:val="0"/>
          <w:szCs w:val="21"/>
          <w:highlight w:val="none"/>
        </w:rPr>
        <w:t>《中华人民共和国政府采购法》、《中华人民共和国政府采购法实施条例》</w:t>
      </w:r>
      <w:r>
        <w:rPr>
          <w:rFonts w:hint="eastAsia"/>
          <w:color w:val="auto"/>
          <w:kern w:val="0"/>
          <w:szCs w:val="21"/>
          <w:highlight w:val="none"/>
        </w:rPr>
        <w:t>的相关规定执行。</w:t>
      </w:r>
    </w:p>
    <w:p w14:paraId="4AE50B35">
      <w:pPr>
        <w:spacing w:before="120" w:line="320" w:lineRule="atLeast"/>
        <w:ind w:left="2" w:leftChars="1" w:firstLine="420" w:firstLineChars="200"/>
        <w:rPr>
          <w:rFonts w:hint="eastAsia"/>
          <w:color w:val="auto"/>
          <w:sz w:val="32"/>
          <w:szCs w:val="32"/>
          <w:highlight w:val="none"/>
        </w:rPr>
        <w:sectPr>
          <w:headerReference r:id="rId13" w:type="first"/>
          <w:headerReference r:id="rId12" w:type="default"/>
          <w:pgSz w:w="11906" w:h="16838"/>
          <w:pgMar w:top="1417" w:right="1133" w:bottom="1246" w:left="1418" w:header="851" w:footer="992" w:gutter="0"/>
          <w:cols w:space="720" w:num="1"/>
          <w:titlePg/>
          <w:docGrid w:linePitch="312" w:charSpace="0"/>
        </w:sectPr>
      </w:pPr>
      <w:r>
        <w:rPr>
          <w:color w:val="auto"/>
          <w:szCs w:val="21"/>
          <w:highlight w:val="none"/>
        </w:rPr>
        <w:t>10.2</w:t>
      </w:r>
      <w:r>
        <w:rPr>
          <w:rFonts w:hint="eastAsia"/>
          <w:color w:val="auto"/>
          <w:szCs w:val="21"/>
          <w:highlight w:val="none"/>
        </w:rPr>
        <w:t>本</w:t>
      </w:r>
      <w:r>
        <w:rPr>
          <w:color w:val="auto"/>
          <w:szCs w:val="21"/>
          <w:highlight w:val="none"/>
        </w:rPr>
        <w:t>采购文件</w:t>
      </w:r>
      <w:r>
        <w:rPr>
          <w:color w:val="auto"/>
          <w:highlight w:val="none"/>
        </w:rPr>
        <w:t>是根据国家有关法律及有关政策、法规和参照国际惯例编制，解释权属采购代理机构。</w:t>
      </w:r>
      <w:bookmarkEnd w:id="27"/>
    </w:p>
    <w:p w14:paraId="56B27668">
      <w:pPr>
        <w:pStyle w:val="27"/>
        <w:snapToGrid w:val="0"/>
        <w:spacing w:before="120" w:after="120" w:line="320" w:lineRule="exact"/>
        <w:jc w:val="center"/>
        <w:outlineLvl w:val="0"/>
        <w:rPr>
          <w:rFonts w:ascii="Times New Roman" w:hAnsi="Times New Roman" w:cs="Times New Roman"/>
          <w:color w:val="auto"/>
          <w:sz w:val="32"/>
          <w:szCs w:val="32"/>
          <w:highlight w:val="none"/>
        </w:rPr>
      </w:pPr>
      <w:bookmarkStart w:id="77" w:name="_Toc24860"/>
      <w:bookmarkStart w:id="78" w:name="_Toc254970549"/>
      <w:bookmarkStart w:id="79" w:name="_Toc254970690"/>
      <w:r>
        <w:rPr>
          <w:rFonts w:ascii="Times New Roman" w:hAnsi="Times New Roman" w:cs="Times New Roman"/>
          <w:color w:val="auto"/>
          <w:sz w:val="32"/>
          <w:szCs w:val="32"/>
          <w:highlight w:val="none"/>
        </w:rPr>
        <w:t>第</w:t>
      </w:r>
      <w:r>
        <w:rPr>
          <w:rFonts w:hint="eastAsia" w:ascii="Times New Roman" w:hAnsi="Times New Roman" w:cs="Times New Roman"/>
          <w:color w:val="auto"/>
          <w:sz w:val="32"/>
          <w:szCs w:val="32"/>
          <w:highlight w:val="none"/>
        </w:rPr>
        <w:t>四</w:t>
      </w:r>
      <w:r>
        <w:rPr>
          <w:rFonts w:ascii="Times New Roman" w:hAnsi="Times New Roman" w:cs="Times New Roman"/>
          <w:color w:val="auto"/>
          <w:sz w:val="32"/>
          <w:szCs w:val="32"/>
          <w:highlight w:val="none"/>
        </w:rPr>
        <w:t>章  评审方法及标准</w:t>
      </w:r>
      <w:bookmarkEnd w:id="77"/>
    </w:p>
    <w:p w14:paraId="473F4654">
      <w:pPr>
        <w:spacing w:before="120" w:line="320" w:lineRule="atLeast"/>
        <w:ind w:firstLine="413" w:firstLineChars="196"/>
        <w:outlineLvl w:val="1"/>
        <w:rPr>
          <w:b/>
          <w:bCs/>
          <w:color w:val="auto"/>
          <w:kern w:val="0"/>
          <w:szCs w:val="21"/>
          <w:highlight w:val="none"/>
        </w:rPr>
      </w:pPr>
      <w:r>
        <w:rPr>
          <w:rFonts w:hint="eastAsia"/>
          <w:b/>
          <w:bCs/>
          <w:color w:val="auto"/>
          <w:kern w:val="0"/>
          <w:szCs w:val="21"/>
          <w:highlight w:val="none"/>
        </w:rPr>
        <w:t>1.</w:t>
      </w:r>
      <w:r>
        <w:rPr>
          <w:b/>
          <w:bCs/>
          <w:color w:val="auto"/>
          <w:kern w:val="0"/>
          <w:szCs w:val="21"/>
          <w:highlight w:val="none"/>
        </w:rPr>
        <w:t>评审</w:t>
      </w:r>
      <w:r>
        <w:rPr>
          <w:rFonts w:hint="eastAsia"/>
          <w:b/>
          <w:bCs/>
          <w:color w:val="auto"/>
          <w:kern w:val="0"/>
          <w:szCs w:val="21"/>
          <w:highlight w:val="none"/>
        </w:rPr>
        <w:t>方法</w:t>
      </w:r>
    </w:p>
    <w:p w14:paraId="22B6FA33">
      <w:pPr>
        <w:suppressAutoHyphens/>
        <w:spacing w:before="120" w:line="320" w:lineRule="atLeast"/>
        <w:ind w:firstLine="420" w:firstLineChars="200"/>
        <w:rPr>
          <w:color w:val="auto"/>
          <w:kern w:val="1"/>
          <w:szCs w:val="21"/>
          <w:highlight w:val="none"/>
        </w:rPr>
      </w:pPr>
      <w:r>
        <w:rPr>
          <w:color w:val="auto"/>
          <w:szCs w:val="21"/>
          <w:highlight w:val="none"/>
        </w:rPr>
        <w:t>本项目采用</w:t>
      </w:r>
      <w:r>
        <w:rPr>
          <w:bCs/>
          <w:color w:val="auto"/>
          <w:kern w:val="1"/>
          <w:szCs w:val="21"/>
          <w:highlight w:val="none"/>
        </w:rPr>
        <w:t>综合评分法</w:t>
      </w:r>
      <w:r>
        <w:rPr>
          <w:color w:val="auto"/>
          <w:szCs w:val="21"/>
          <w:highlight w:val="none"/>
        </w:rPr>
        <w:t>进行评审</w:t>
      </w:r>
      <w:r>
        <w:rPr>
          <w:bCs/>
          <w:color w:val="auto"/>
          <w:kern w:val="1"/>
          <w:szCs w:val="21"/>
          <w:highlight w:val="none"/>
        </w:rPr>
        <w:t>。</w:t>
      </w:r>
      <w:r>
        <w:rPr>
          <w:color w:val="auto"/>
          <w:szCs w:val="21"/>
          <w:highlight w:val="none"/>
        </w:rPr>
        <w:t>综合评分法，是指响应文件满足采购文件全部实质性要求且按照评审因素的量化指标评审得分最高的</w:t>
      </w:r>
      <w:r>
        <w:rPr>
          <w:rFonts w:hint="eastAsia"/>
          <w:color w:val="auto"/>
          <w:szCs w:val="21"/>
          <w:highlight w:val="none"/>
        </w:rPr>
        <w:t>供应商</w:t>
      </w:r>
      <w:r>
        <w:rPr>
          <w:color w:val="auto"/>
          <w:szCs w:val="21"/>
          <w:highlight w:val="none"/>
        </w:rPr>
        <w:t>为</w:t>
      </w:r>
      <w:r>
        <w:rPr>
          <w:rFonts w:hint="eastAsia"/>
          <w:color w:val="auto"/>
          <w:szCs w:val="21"/>
          <w:highlight w:val="none"/>
        </w:rPr>
        <w:t>成交</w:t>
      </w:r>
      <w:r>
        <w:rPr>
          <w:color w:val="auto"/>
          <w:szCs w:val="21"/>
          <w:highlight w:val="none"/>
        </w:rPr>
        <w:t>候选人的评审方法。</w:t>
      </w:r>
    </w:p>
    <w:p w14:paraId="2BB4627E">
      <w:pPr>
        <w:suppressAutoHyphens/>
        <w:spacing w:before="120" w:line="320" w:lineRule="atLeast"/>
        <w:ind w:firstLine="420" w:firstLineChars="200"/>
        <w:rPr>
          <w:color w:val="auto"/>
          <w:kern w:val="1"/>
          <w:szCs w:val="21"/>
          <w:highlight w:val="none"/>
        </w:rPr>
      </w:pPr>
      <w:r>
        <w:rPr>
          <w:rFonts w:hint="eastAsia"/>
          <w:color w:val="auto"/>
          <w:kern w:val="1"/>
          <w:szCs w:val="21"/>
          <w:highlight w:val="none"/>
        </w:rPr>
        <w:t>本项目评审的其他详细规定在第三章供应商须知中规定。</w:t>
      </w:r>
    </w:p>
    <w:p w14:paraId="740F6FF9">
      <w:pPr>
        <w:spacing w:before="120" w:line="320" w:lineRule="atLeast"/>
        <w:ind w:firstLine="413" w:firstLineChars="196"/>
        <w:outlineLvl w:val="1"/>
        <w:rPr>
          <w:rFonts w:hint="eastAsia"/>
          <w:b/>
          <w:bCs/>
          <w:color w:val="auto"/>
          <w:kern w:val="0"/>
          <w:szCs w:val="21"/>
          <w:highlight w:val="none"/>
        </w:rPr>
      </w:pPr>
      <w:r>
        <w:rPr>
          <w:b/>
          <w:color w:val="auto"/>
          <w:kern w:val="0"/>
          <w:szCs w:val="21"/>
          <w:highlight w:val="none"/>
        </w:rPr>
        <w:t>2</w:t>
      </w:r>
      <w:r>
        <w:rPr>
          <w:rFonts w:hint="eastAsia"/>
          <w:b/>
          <w:color w:val="auto"/>
          <w:kern w:val="0"/>
          <w:szCs w:val="21"/>
          <w:highlight w:val="none"/>
        </w:rPr>
        <w:t>.资格审查标准</w:t>
      </w:r>
      <w:r>
        <w:rPr>
          <w:rFonts w:hint="eastAsia"/>
          <w:b/>
          <w:bCs/>
          <w:color w:val="auto"/>
          <w:kern w:val="0"/>
          <w:szCs w:val="21"/>
          <w:highlight w:val="none"/>
        </w:rPr>
        <w:t>（不满足任何一项审查内容要求，资格审查即为不合格</w:t>
      </w:r>
      <w:bookmarkStart w:id="80" w:name="_Hlk160731834"/>
      <w:r>
        <w:rPr>
          <w:rFonts w:hint="eastAsia"/>
          <w:b/>
          <w:bCs/>
          <w:color w:val="auto"/>
          <w:kern w:val="0"/>
          <w:szCs w:val="21"/>
          <w:highlight w:val="none"/>
        </w:rPr>
        <w:t>；联合体响应的，联合体各方均应</w:t>
      </w:r>
      <w:r>
        <w:rPr>
          <w:rFonts w:hint="eastAsia"/>
          <w:b/>
          <w:bCs/>
          <w:color w:val="auto"/>
          <w:kern w:val="0"/>
          <w:szCs w:val="21"/>
          <w:highlight w:val="none"/>
          <w:lang w:val="en-US" w:eastAsia="zh-CN"/>
        </w:rPr>
        <w:t>提交</w:t>
      </w:r>
      <w:r>
        <w:rPr>
          <w:rFonts w:hint="eastAsia"/>
          <w:b/>
          <w:bCs/>
          <w:color w:val="auto"/>
          <w:kern w:val="0"/>
          <w:szCs w:val="21"/>
          <w:highlight w:val="none"/>
          <w:shd w:val="clear" w:color="auto" w:fill="auto"/>
        </w:rPr>
        <w:t>第一项基本资格要求</w:t>
      </w:r>
      <w:r>
        <w:rPr>
          <w:rFonts w:hint="eastAsia" w:ascii="Times New Roman" w:hAnsi="Times New Roman" w:eastAsia="宋体" w:cs="Times New Roman"/>
          <w:b/>
          <w:bCs/>
          <w:color w:val="auto"/>
          <w:kern w:val="0"/>
          <w:szCs w:val="21"/>
          <w:highlight w:val="none"/>
          <w:lang w:val="en-US" w:eastAsia="zh-CN"/>
        </w:rPr>
        <w:t>的资格</w:t>
      </w:r>
      <w:r>
        <w:rPr>
          <w:rFonts w:hint="eastAsia" w:ascii="Times New Roman" w:hAnsi="Times New Roman" w:eastAsia="宋体" w:cs="Times New Roman"/>
          <w:b/>
          <w:bCs/>
          <w:color w:val="auto"/>
          <w:kern w:val="0"/>
          <w:szCs w:val="21"/>
          <w:highlight w:val="none"/>
        </w:rPr>
        <w:t>证</w:t>
      </w:r>
      <w:r>
        <w:rPr>
          <w:rFonts w:hint="eastAsia"/>
          <w:b/>
          <w:bCs/>
          <w:color w:val="auto"/>
          <w:kern w:val="0"/>
          <w:szCs w:val="21"/>
          <w:highlight w:val="none"/>
        </w:rPr>
        <w:t>明文件</w:t>
      </w:r>
      <w:bookmarkEnd w:id="80"/>
      <w:r>
        <w:rPr>
          <w:rFonts w:hint="eastAsia"/>
          <w:b/>
          <w:bCs/>
          <w:color w:val="auto"/>
          <w:kern w:val="0"/>
          <w:szCs w:val="21"/>
          <w:highlight w:val="none"/>
        </w:rPr>
        <w:t>）</w:t>
      </w:r>
    </w:p>
    <w:tbl>
      <w:tblPr>
        <w:tblStyle w:val="5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1"/>
        <w:gridCol w:w="1461"/>
        <w:gridCol w:w="1266"/>
        <w:gridCol w:w="5743"/>
      </w:tblGrid>
      <w:tr w14:paraId="64B96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1101" w:type="dxa"/>
            <w:noWrap w:val="0"/>
            <w:vAlign w:val="center"/>
          </w:tcPr>
          <w:p w14:paraId="548DC423">
            <w:pPr>
              <w:spacing w:line="240" w:lineRule="exact"/>
              <w:jc w:val="center"/>
              <w:rPr>
                <w:b/>
                <w:color w:val="auto"/>
                <w:kern w:val="0"/>
                <w:szCs w:val="21"/>
                <w:highlight w:val="none"/>
              </w:rPr>
            </w:pPr>
            <w:r>
              <w:rPr>
                <w:rFonts w:hint="eastAsia"/>
                <w:b/>
                <w:color w:val="auto"/>
                <w:kern w:val="0"/>
                <w:szCs w:val="21"/>
                <w:highlight w:val="none"/>
              </w:rPr>
              <w:t>审查</w:t>
            </w:r>
            <w:r>
              <w:rPr>
                <w:b/>
                <w:color w:val="auto"/>
                <w:kern w:val="0"/>
                <w:szCs w:val="21"/>
                <w:highlight w:val="none"/>
              </w:rPr>
              <w:t>因素</w:t>
            </w:r>
          </w:p>
        </w:tc>
        <w:tc>
          <w:tcPr>
            <w:tcW w:w="2727" w:type="dxa"/>
            <w:gridSpan w:val="2"/>
            <w:noWrap w:val="0"/>
            <w:vAlign w:val="center"/>
          </w:tcPr>
          <w:p w14:paraId="0BC5BC16">
            <w:pPr>
              <w:spacing w:line="240" w:lineRule="exact"/>
              <w:jc w:val="center"/>
              <w:rPr>
                <w:b/>
                <w:color w:val="auto"/>
                <w:kern w:val="0"/>
                <w:szCs w:val="21"/>
                <w:highlight w:val="none"/>
              </w:rPr>
            </w:pPr>
            <w:r>
              <w:rPr>
                <w:rFonts w:hint="eastAsia"/>
                <w:b/>
                <w:color w:val="auto"/>
                <w:kern w:val="0"/>
                <w:szCs w:val="21"/>
                <w:highlight w:val="none"/>
              </w:rPr>
              <w:t>审查</w:t>
            </w:r>
            <w:r>
              <w:rPr>
                <w:b/>
                <w:color w:val="auto"/>
                <w:kern w:val="0"/>
                <w:szCs w:val="21"/>
                <w:highlight w:val="none"/>
              </w:rPr>
              <w:t>内容</w:t>
            </w:r>
          </w:p>
        </w:tc>
        <w:tc>
          <w:tcPr>
            <w:tcW w:w="0" w:type="auto"/>
            <w:noWrap w:val="0"/>
            <w:vAlign w:val="center"/>
          </w:tcPr>
          <w:p w14:paraId="6686912C">
            <w:pPr>
              <w:spacing w:line="240" w:lineRule="exact"/>
              <w:jc w:val="center"/>
              <w:rPr>
                <w:b/>
                <w:color w:val="auto"/>
                <w:kern w:val="0"/>
                <w:szCs w:val="21"/>
                <w:highlight w:val="none"/>
              </w:rPr>
            </w:pPr>
            <w:r>
              <w:rPr>
                <w:rFonts w:hint="eastAsia"/>
                <w:b/>
                <w:color w:val="auto"/>
                <w:kern w:val="0"/>
                <w:szCs w:val="21"/>
                <w:highlight w:val="none"/>
              </w:rPr>
              <w:t>说明</w:t>
            </w:r>
          </w:p>
        </w:tc>
      </w:tr>
      <w:tr w14:paraId="0BC33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1101" w:type="dxa"/>
            <w:vMerge w:val="restart"/>
            <w:noWrap w:val="0"/>
            <w:vAlign w:val="center"/>
          </w:tcPr>
          <w:p w14:paraId="023154C3">
            <w:pPr>
              <w:spacing w:line="240" w:lineRule="exact"/>
              <w:jc w:val="center"/>
              <w:rPr>
                <w:color w:val="auto"/>
                <w:szCs w:val="21"/>
                <w:highlight w:val="none"/>
              </w:rPr>
            </w:pPr>
            <w:r>
              <w:rPr>
                <w:rFonts w:hint="eastAsia"/>
                <w:color w:val="auto"/>
                <w:szCs w:val="21"/>
                <w:highlight w:val="none"/>
              </w:rPr>
              <w:t>供应商应符合的基本资格要求</w:t>
            </w:r>
          </w:p>
        </w:tc>
        <w:tc>
          <w:tcPr>
            <w:tcW w:w="2727" w:type="dxa"/>
            <w:gridSpan w:val="2"/>
            <w:noWrap w:val="0"/>
            <w:vAlign w:val="center"/>
          </w:tcPr>
          <w:p w14:paraId="5EF4260B">
            <w:pPr>
              <w:spacing w:line="240" w:lineRule="exact"/>
              <w:rPr>
                <w:color w:val="auto"/>
                <w:szCs w:val="21"/>
                <w:highlight w:val="none"/>
              </w:rPr>
            </w:pPr>
            <w:r>
              <w:rPr>
                <w:color w:val="auto"/>
                <w:szCs w:val="21"/>
                <w:highlight w:val="none"/>
              </w:rPr>
              <w:t>（1）具有独立承担民事责任的能力</w:t>
            </w:r>
          </w:p>
        </w:tc>
        <w:tc>
          <w:tcPr>
            <w:tcW w:w="0" w:type="auto"/>
            <w:noWrap w:val="0"/>
            <w:vAlign w:val="center"/>
          </w:tcPr>
          <w:p w14:paraId="29386A7E">
            <w:pPr>
              <w:spacing w:line="240" w:lineRule="exact"/>
              <w:rPr>
                <w:color w:val="auto"/>
                <w:szCs w:val="21"/>
                <w:highlight w:val="none"/>
              </w:rPr>
            </w:pPr>
            <w:r>
              <w:rPr>
                <w:rFonts w:hint="eastAsia"/>
                <w:color w:val="auto"/>
                <w:szCs w:val="21"/>
                <w:highlight w:val="none"/>
              </w:rPr>
              <w:t>审查供应商为法人或者其他组织的，提供营业执照等证明文件（如营业执照或者事业单位法人证书或者执业许可证等），供应商为自然人的，提供身份证扫描件。</w:t>
            </w:r>
          </w:p>
        </w:tc>
      </w:tr>
      <w:tr w14:paraId="6C426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1" w:hRule="atLeast"/>
        </w:trPr>
        <w:tc>
          <w:tcPr>
            <w:tcW w:w="1101" w:type="dxa"/>
            <w:vMerge w:val="continue"/>
            <w:noWrap w:val="0"/>
            <w:vAlign w:val="center"/>
          </w:tcPr>
          <w:p w14:paraId="4B356E59">
            <w:pPr>
              <w:spacing w:line="240" w:lineRule="exact"/>
              <w:jc w:val="center"/>
              <w:rPr>
                <w:color w:val="auto"/>
                <w:szCs w:val="21"/>
                <w:highlight w:val="none"/>
              </w:rPr>
            </w:pPr>
          </w:p>
        </w:tc>
        <w:tc>
          <w:tcPr>
            <w:tcW w:w="2727" w:type="dxa"/>
            <w:gridSpan w:val="2"/>
            <w:noWrap w:val="0"/>
            <w:vAlign w:val="center"/>
          </w:tcPr>
          <w:p w14:paraId="527289F6">
            <w:pPr>
              <w:spacing w:line="240" w:lineRule="exact"/>
              <w:rPr>
                <w:color w:val="auto"/>
                <w:szCs w:val="21"/>
                <w:highlight w:val="none"/>
              </w:rPr>
            </w:pPr>
            <w:r>
              <w:rPr>
                <w:color w:val="auto"/>
                <w:szCs w:val="21"/>
                <w:highlight w:val="none"/>
                <w:lang w:val="zh-CN"/>
              </w:rPr>
              <w:t>（2）</w:t>
            </w:r>
            <w:r>
              <w:rPr>
                <w:color w:val="auto"/>
                <w:szCs w:val="21"/>
                <w:highlight w:val="none"/>
              </w:rPr>
              <w:t>具有良好的商业信誉和健全的财务会计制度</w:t>
            </w:r>
          </w:p>
        </w:tc>
        <w:tc>
          <w:tcPr>
            <w:tcW w:w="0" w:type="auto"/>
            <w:noWrap w:val="0"/>
            <w:vAlign w:val="center"/>
          </w:tcPr>
          <w:p w14:paraId="5E1D62BB">
            <w:pPr>
              <w:spacing w:line="240" w:lineRule="exact"/>
              <w:rPr>
                <w:color w:val="auto"/>
                <w:szCs w:val="21"/>
                <w:highlight w:val="none"/>
              </w:rPr>
            </w:pPr>
            <w:r>
              <w:rPr>
                <w:rFonts w:hint="eastAsia" w:ascii="宋体" w:hAnsi="宋体" w:cs="宋体"/>
                <w:color w:val="auto"/>
                <w:szCs w:val="21"/>
                <w:highlight w:val="none"/>
              </w:rPr>
              <w:t>①</w:t>
            </w:r>
            <w:r>
              <w:rPr>
                <w:color w:val="auto"/>
                <w:szCs w:val="21"/>
                <w:highlight w:val="none"/>
              </w:rPr>
              <w:t>审查商业信誉声明。须提供，格式见第</w:t>
            </w:r>
            <w:r>
              <w:rPr>
                <w:rFonts w:hint="eastAsia"/>
                <w:color w:val="auto"/>
                <w:szCs w:val="21"/>
                <w:highlight w:val="none"/>
              </w:rPr>
              <w:t>六章</w:t>
            </w:r>
            <w:r>
              <w:rPr>
                <w:color w:val="auto"/>
                <w:szCs w:val="21"/>
                <w:highlight w:val="none"/>
              </w:rPr>
              <w:t>响应文件格式“响应声明书”。</w:t>
            </w:r>
          </w:p>
          <w:p w14:paraId="3506DED2">
            <w:pPr>
              <w:spacing w:line="240" w:lineRule="exact"/>
              <w:rPr>
                <w:color w:val="auto"/>
                <w:szCs w:val="21"/>
                <w:highlight w:val="none"/>
              </w:rPr>
            </w:pPr>
            <w:r>
              <w:rPr>
                <w:rFonts w:hint="eastAsia" w:ascii="宋体" w:hAnsi="宋体" w:cs="宋体"/>
                <w:color w:val="auto"/>
                <w:szCs w:val="21"/>
                <w:highlight w:val="none"/>
              </w:rPr>
              <w:t>②</w:t>
            </w:r>
            <w:r>
              <w:rPr>
                <w:color w:val="auto"/>
                <w:szCs w:val="21"/>
                <w:highlight w:val="none"/>
              </w:rPr>
              <w:t>审查</w:t>
            </w:r>
            <w:r>
              <w:rPr>
                <w:rFonts w:hint="eastAsia"/>
                <w:color w:val="auto"/>
                <w:szCs w:val="21"/>
                <w:highlight w:val="none"/>
                <w:lang w:val="en-US" w:eastAsia="zh-CN"/>
              </w:rPr>
              <w:t>2025</w:t>
            </w:r>
            <w:r>
              <w:rPr>
                <w:rFonts w:hint="eastAsia"/>
                <w:color w:val="auto"/>
                <w:szCs w:val="21"/>
                <w:highlight w:val="none"/>
              </w:rPr>
              <w:t>年度</w:t>
            </w:r>
            <w:r>
              <w:rPr>
                <w:color w:val="auto"/>
                <w:szCs w:val="21"/>
                <w:highlight w:val="none"/>
              </w:rPr>
              <w:t>财务状况报告（表）</w:t>
            </w:r>
            <w:r>
              <w:rPr>
                <w:rFonts w:hint="eastAsia"/>
                <w:color w:val="auto"/>
                <w:szCs w:val="21"/>
                <w:highlight w:val="none"/>
              </w:rPr>
              <w:t>扫描件</w:t>
            </w:r>
            <w:r>
              <w:rPr>
                <w:color w:val="auto"/>
                <w:szCs w:val="21"/>
                <w:highlight w:val="none"/>
              </w:rPr>
              <w:t>或银行出具的资信证明</w:t>
            </w:r>
            <w:r>
              <w:rPr>
                <w:rFonts w:hint="eastAsia"/>
                <w:color w:val="auto"/>
                <w:szCs w:val="21"/>
                <w:highlight w:val="none"/>
              </w:rPr>
              <w:t>扫描件</w:t>
            </w:r>
            <w:r>
              <w:rPr>
                <w:color w:val="auto"/>
                <w:szCs w:val="21"/>
                <w:highlight w:val="none"/>
              </w:rPr>
              <w:t>。</w:t>
            </w:r>
            <w:r>
              <w:rPr>
                <w:color w:val="auto"/>
                <w:highlight w:val="none"/>
              </w:rPr>
              <w:t>对于从取得营业执照时间起到响应文件递交截止时间为止不足1年的供应商，只需提交</w:t>
            </w:r>
            <w:r>
              <w:rPr>
                <w:color w:val="auto"/>
                <w:szCs w:val="21"/>
                <w:highlight w:val="none"/>
              </w:rPr>
              <w:t>响应文件递交截止时间前一个月的财务状况报告（表）</w:t>
            </w:r>
            <w:r>
              <w:rPr>
                <w:rFonts w:hint="eastAsia"/>
                <w:color w:val="auto"/>
                <w:szCs w:val="21"/>
                <w:highlight w:val="none"/>
              </w:rPr>
              <w:t>扫描件</w:t>
            </w:r>
            <w:r>
              <w:rPr>
                <w:color w:val="auto"/>
                <w:szCs w:val="21"/>
                <w:highlight w:val="none"/>
              </w:rPr>
              <w:t>。</w:t>
            </w:r>
          </w:p>
        </w:tc>
      </w:tr>
      <w:tr w14:paraId="53C97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trPr>
        <w:tc>
          <w:tcPr>
            <w:tcW w:w="1101" w:type="dxa"/>
            <w:vMerge w:val="continue"/>
            <w:noWrap w:val="0"/>
            <w:vAlign w:val="center"/>
          </w:tcPr>
          <w:p w14:paraId="58A00BFC">
            <w:pPr>
              <w:spacing w:line="240" w:lineRule="exact"/>
              <w:jc w:val="center"/>
              <w:rPr>
                <w:color w:val="auto"/>
                <w:szCs w:val="21"/>
                <w:highlight w:val="none"/>
              </w:rPr>
            </w:pPr>
          </w:p>
        </w:tc>
        <w:tc>
          <w:tcPr>
            <w:tcW w:w="2727" w:type="dxa"/>
            <w:gridSpan w:val="2"/>
            <w:noWrap w:val="0"/>
            <w:vAlign w:val="center"/>
          </w:tcPr>
          <w:p w14:paraId="76D402AB">
            <w:pPr>
              <w:spacing w:line="240" w:lineRule="exact"/>
              <w:rPr>
                <w:color w:val="auto"/>
                <w:szCs w:val="21"/>
                <w:highlight w:val="none"/>
                <w:lang w:val="zh-CN"/>
              </w:rPr>
            </w:pPr>
            <w:r>
              <w:rPr>
                <w:color w:val="auto"/>
                <w:szCs w:val="21"/>
                <w:highlight w:val="none"/>
                <w:lang w:val="zh-CN"/>
              </w:rPr>
              <w:t>（3）具有履行合同所必需的设备和专业技术能力</w:t>
            </w:r>
          </w:p>
        </w:tc>
        <w:tc>
          <w:tcPr>
            <w:tcW w:w="0" w:type="auto"/>
            <w:noWrap w:val="0"/>
            <w:vAlign w:val="center"/>
          </w:tcPr>
          <w:p w14:paraId="5E10C046">
            <w:pPr>
              <w:spacing w:line="300" w:lineRule="exact"/>
              <w:rPr>
                <w:color w:val="auto"/>
                <w:szCs w:val="21"/>
                <w:highlight w:val="none"/>
              </w:rPr>
            </w:pPr>
            <w:r>
              <w:rPr>
                <w:rFonts w:hint="eastAsia" w:ascii="宋体" w:hAnsi="宋体" w:cs="宋体"/>
                <w:color w:val="auto"/>
                <w:szCs w:val="21"/>
                <w:highlight w:val="none"/>
              </w:rPr>
              <w:t>①</w:t>
            </w:r>
            <w:r>
              <w:rPr>
                <w:color w:val="auto"/>
                <w:szCs w:val="21"/>
                <w:highlight w:val="none"/>
              </w:rPr>
              <w:t>提供拟投入施工机械设备证明材料、</w:t>
            </w:r>
            <w:r>
              <w:rPr>
                <w:color w:val="auto"/>
                <w:highlight w:val="none"/>
              </w:rPr>
              <w:t>项目管理机构人员资格证件及在供应商单位依法缴纳社会保险的凭证等相关证明材料的</w:t>
            </w:r>
            <w:r>
              <w:rPr>
                <w:rFonts w:hint="eastAsia"/>
                <w:color w:val="auto"/>
                <w:szCs w:val="21"/>
                <w:highlight w:val="none"/>
              </w:rPr>
              <w:t>扫描件</w:t>
            </w:r>
            <w:r>
              <w:rPr>
                <w:color w:val="auto"/>
                <w:highlight w:val="none"/>
              </w:rPr>
              <w:t>。</w:t>
            </w:r>
          </w:p>
          <w:p w14:paraId="428C9BDC">
            <w:pPr>
              <w:spacing w:line="240" w:lineRule="exact"/>
              <w:rPr>
                <w:color w:val="auto"/>
                <w:szCs w:val="21"/>
                <w:highlight w:val="none"/>
              </w:rPr>
            </w:pPr>
            <w:r>
              <w:rPr>
                <w:rFonts w:hint="eastAsia" w:ascii="宋体" w:hAnsi="宋体" w:cs="宋体"/>
                <w:color w:val="auto"/>
                <w:szCs w:val="21"/>
                <w:highlight w:val="none"/>
              </w:rPr>
              <w:t>②</w:t>
            </w:r>
            <w:r>
              <w:rPr>
                <w:color w:val="auto"/>
                <w:szCs w:val="21"/>
                <w:highlight w:val="none"/>
              </w:rPr>
              <w:t>审查书面声明。须提供，格式见第</w:t>
            </w:r>
            <w:r>
              <w:rPr>
                <w:rFonts w:hint="eastAsia"/>
                <w:color w:val="auto"/>
                <w:szCs w:val="21"/>
                <w:highlight w:val="none"/>
              </w:rPr>
              <w:t>六章</w:t>
            </w:r>
            <w:r>
              <w:rPr>
                <w:color w:val="auto"/>
                <w:szCs w:val="21"/>
                <w:highlight w:val="none"/>
              </w:rPr>
              <w:t>响应文件格式“</w:t>
            </w:r>
            <w:r>
              <w:rPr>
                <w:rFonts w:hint="eastAsia"/>
                <w:color w:val="auto"/>
                <w:szCs w:val="21"/>
                <w:highlight w:val="none"/>
              </w:rPr>
              <w:t>响应</w:t>
            </w:r>
            <w:r>
              <w:rPr>
                <w:color w:val="auto"/>
                <w:szCs w:val="21"/>
                <w:highlight w:val="none"/>
              </w:rPr>
              <w:t>声明书”。</w:t>
            </w:r>
          </w:p>
          <w:p w14:paraId="5CF23502">
            <w:pPr>
              <w:spacing w:line="240" w:lineRule="exact"/>
              <w:rPr>
                <w:rFonts w:hint="eastAsia"/>
                <w:color w:val="auto"/>
                <w:szCs w:val="21"/>
                <w:highlight w:val="none"/>
              </w:rPr>
            </w:pPr>
            <w:r>
              <w:rPr>
                <w:color w:val="auto"/>
                <w:szCs w:val="21"/>
                <w:highlight w:val="none"/>
              </w:rPr>
              <w:t>审查</w:t>
            </w:r>
            <w:r>
              <w:rPr>
                <w:rFonts w:hint="eastAsia" w:ascii="宋体" w:hAnsi="宋体" w:cs="宋体"/>
                <w:color w:val="auto"/>
                <w:szCs w:val="21"/>
                <w:highlight w:val="none"/>
              </w:rPr>
              <w:t>①</w:t>
            </w:r>
            <w:r>
              <w:rPr>
                <w:color w:val="auto"/>
                <w:szCs w:val="21"/>
                <w:highlight w:val="none"/>
              </w:rPr>
              <w:t>或</w:t>
            </w:r>
            <w:r>
              <w:rPr>
                <w:rFonts w:hint="eastAsia" w:ascii="宋体" w:hAnsi="宋体" w:cs="宋体"/>
                <w:color w:val="auto"/>
                <w:szCs w:val="21"/>
                <w:highlight w:val="none"/>
              </w:rPr>
              <w:t>②</w:t>
            </w:r>
            <w:r>
              <w:rPr>
                <w:color w:val="auto"/>
                <w:szCs w:val="21"/>
                <w:highlight w:val="none"/>
              </w:rPr>
              <w:t>，满足其一，即为符合要求。</w:t>
            </w:r>
          </w:p>
        </w:tc>
      </w:tr>
      <w:tr w14:paraId="24D4D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6" w:hRule="atLeast"/>
        </w:trPr>
        <w:tc>
          <w:tcPr>
            <w:tcW w:w="1101" w:type="dxa"/>
            <w:vMerge w:val="continue"/>
            <w:noWrap w:val="0"/>
            <w:vAlign w:val="center"/>
          </w:tcPr>
          <w:p w14:paraId="6861394C">
            <w:pPr>
              <w:spacing w:line="240" w:lineRule="exact"/>
              <w:jc w:val="center"/>
              <w:rPr>
                <w:color w:val="auto"/>
                <w:szCs w:val="21"/>
                <w:highlight w:val="none"/>
              </w:rPr>
            </w:pPr>
          </w:p>
        </w:tc>
        <w:tc>
          <w:tcPr>
            <w:tcW w:w="2727" w:type="dxa"/>
            <w:gridSpan w:val="2"/>
            <w:noWrap w:val="0"/>
            <w:vAlign w:val="center"/>
          </w:tcPr>
          <w:p w14:paraId="7A3A546A">
            <w:pPr>
              <w:spacing w:line="240" w:lineRule="exact"/>
              <w:rPr>
                <w:color w:val="auto"/>
                <w:szCs w:val="21"/>
                <w:highlight w:val="none"/>
                <w:lang w:val="zh-CN"/>
              </w:rPr>
            </w:pPr>
            <w:r>
              <w:rPr>
                <w:color w:val="auto"/>
                <w:szCs w:val="21"/>
                <w:highlight w:val="none"/>
                <w:lang w:val="zh-CN"/>
              </w:rPr>
              <w:t>（4）有依法缴纳税收和社会保障金的良好记录</w:t>
            </w:r>
          </w:p>
        </w:tc>
        <w:tc>
          <w:tcPr>
            <w:tcW w:w="0" w:type="auto"/>
            <w:noWrap w:val="0"/>
            <w:vAlign w:val="center"/>
          </w:tcPr>
          <w:p w14:paraId="38FCCF47">
            <w:pPr>
              <w:spacing w:line="240" w:lineRule="exact"/>
              <w:jc w:val="left"/>
              <w:rPr>
                <w:color w:val="auto"/>
                <w:szCs w:val="21"/>
                <w:highlight w:val="none"/>
              </w:rPr>
            </w:pPr>
            <w:r>
              <w:rPr>
                <w:rFonts w:hint="eastAsia" w:ascii="宋体" w:hAnsi="宋体" w:cs="宋体"/>
                <w:color w:val="auto"/>
                <w:szCs w:val="21"/>
                <w:highlight w:val="none"/>
              </w:rPr>
              <w:t>①</w:t>
            </w:r>
            <w:r>
              <w:rPr>
                <w:color w:val="auto"/>
                <w:szCs w:val="21"/>
                <w:highlight w:val="none"/>
              </w:rPr>
              <w:t>审查</w:t>
            </w:r>
            <w:r>
              <w:rPr>
                <w:rFonts w:hint="eastAsia"/>
                <w:color w:val="auto"/>
                <w:szCs w:val="21"/>
                <w:highlight w:val="none"/>
              </w:rPr>
              <w:t>响应</w:t>
            </w:r>
            <w:r>
              <w:rPr>
                <w:color w:val="auto"/>
                <w:szCs w:val="21"/>
                <w:highlight w:val="none"/>
              </w:rPr>
              <w:t>截止时间前6个月内，</w:t>
            </w:r>
            <w:r>
              <w:rPr>
                <w:rFonts w:hint="eastAsia"/>
                <w:color w:val="auto"/>
                <w:highlight w:val="none"/>
              </w:rPr>
              <w:t>供应商</w:t>
            </w:r>
            <w:r>
              <w:rPr>
                <w:color w:val="auto"/>
                <w:highlight w:val="none"/>
              </w:rPr>
              <w:t>任意</w:t>
            </w:r>
            <w:r>
              <w:rPr>
                <w:rFonts w:hint="eastAsia"/>
                <w:color w:val="auto"/>
                <w:highlight w:val="none"/>
              </w:rPr>
              <w:t>1个月</w:t>
            </w:r>
            <w:r>
              <w:rPr>
                <w:color w:val="auto"/>
                <w:szCs w:val="21"/>
                <w:highlight w:val="none"/>
              </w:rPr>
              <w:t>依法缴纳税费证明</w:t>
            </w:r>
            <w:r>
              <w:rPr>
                <w:rFonts w:hint="eastAsia"/>
                <w:color w:val="auto"/>
                <w:szCs w:val="21"/>
                <w:highlight w:val="none"/>
              </w:rPr>
              <w:t>扫描件</w:t>
            </w:r>
            <w:r>
              <w:rPr>
                <w:color w:val="auto"/>
                <w:szCs w:val="21"/>
                <w:highlight w:val="none"/>
              </w:rPr>
              <w:t>加盖供应商</w:t>
            </w:r>
            <w:r>
              <w:rPr>
                <w:rFonts w:hint="eastAsia"/>
                <w:color w:val="auto"/>
                <w:szCs w:val="21"/>
                <w:highlight w:val="none"/>
              </w:rPr>
              <w:t>电子签章</w:t>
            </w:r>
            <w:r>
              <w:rPr>
                <w:color w:val="auto"/>
                <w:szCs w:val="21"/>
                <w:highlight w:val="none"/>
              </w:rPr>
              <w:t>。</w:t>
            </w:r>
          </w:p>
          <w:p w14:paraId="525536CA">
            <w:pPr>
              <w:spacing w:line="240" w:lineRule="exact"/>
              <w:jc w:val="left"/>
              <w:rPr>
                <w:color w:val="auto"/>
                <w:szCs w:val="21"/>
                <w:highlight w:val="none"/>
              </w:rPr>
            </w:pPr>
            <w:r>
              <w:rPr>
                <w:rFonts w:hint="eastAsia" w:ascii="宋体" w:hAnsi="宋体" w:cs="宋体"/>
                <w:color w:val="auto"/>
                <w:szCs w:val="21"/>
                <w:highlight w:val="none"/>
              </w:rPr>
              <w:t>②</w:t>
            </w:r>
            <w:r>
              <w:rPr>
                <w:color w:val="auto"/>
                <w:szCs w:val="21"/>
                <w:highlight w:val="none"/>
              </w:rPr>
              <w:t>审查</w:t>
            </w:r>
            <w:r>
              <w:rPr>
                <w:rFonts w:hint="eastAsia"/>
                <w:color w:val="auto"/>
                <w:szCs w:val="21"/>
                <w:highlight w:val="none"/>
              </w:rPr>
              <w:t>响应</w:t>
            </w:r>
            <w:r>
              <w:rPr>
                <w:color w:val="auto"/>
                <w:szCs w:val="21"/>
                <w:highlight w:val="none"/>
              </w:rPr>
              <w:t>截止时间前6个月内，</w:t>
            </w:r>
            <w:r>
              <w:rPr>
                <w:rFonts w:hint="eastAsia"/>
                <w:color w:val="auto"/>
                <w:highlight w:val="none"/>
              </w:rPr>
              <w:t>供应商</w:t>
            </w:r>
            <w:r>
              <w:rPr>
                <w:color w:val="auto"/>
                <w:highlight w:val="none"/>
              </w:rPr>
              <w:t>任意</w:t>
            </w:r>
            <w:r>
              <w:rPr>
                <w:rFonts w:hint="eastAsia"/>
                <w:color w:val="auto"/>
                <w:highlight w:val="none"/>
              </w:rPr>
              <w:t>1个月</w:t>
            </w:r>
            <w:r>
              <w:rPr>
                <w:color w:val="auto"/>
                <w:szCs w:val="21"/>
                <w:highlight w:val="none"/>
              </w:rPr>
              <w:t>的社保缴费证明记录</w:t>
            </w:r>
            <w:r>
              <w:rPr>
                <w:rFonts w:hint="eastAsia"/>
                <w:color w:val="auto"/>
                <w:szCs w:val="21"/>
                <w:highlight w:val="none"/>
              </w:rPr>
              <w:t>扫描件</w:t>
            </w:r>
            <w:r>
              <w:rPr>
                <w:color w:val="auto"/>
                <w:szCs w:val="21"/>
                <w:highlight w:val="none"/>
              </w:rPr>
              <w:t>加盖供应商</w:t>
            </w:r>
            <w:r>
              <w:rPr>
                <w:rFonts w:hint="eastAsia"/>
                <w:color w:val="auto"/>
                <w:szCs w:val="21"/>
                <w:highlight w:val="none"/>
              </w:rPr>
              <w:t>电子签章</w:t>
            </w:r>
            <w:r>
              <w:rPr>
                <w:color w:val="auto"/>
                <w:szCs w:val="21"/>
                <w:highlight w:val="none"/>
              </w:rPr>
              <w:t>。</w:t>
            </w:r>
          </w:p>
          <w:p w14:paraId="13E183EE">
            <w:pPr>
              <w:spacing w:line="240" w:lineRule="exact"/>
              <w:jc w:val="left"/>
              <w:rPr>
                <w:color w:val="auto"/>
                <w:szCs w:val="21"/>
                <w:highlight w:val="none"/>
              </w:rPr>
            </w:pPr>
            <w:r>
              <w:rPr>
                <w:color w:val="auto"/>
                <w:szCs w:val="21"/>
                <w:highlight w:val="none"/>
              </w:rPr>
              <w:t>供应商成立不足</w:t>
            </w:r>
            <w:r>
              <w:rPr>
                <w:rFonts w:hint="eastAsia"/>
                <w:color w:val="auto"/>
                <w:szCs w:val="21"/>
                <w:highlight w:val="none"/>
              </w:rPr>
              <w:t>1个月的，无须提供</w:t>
            </w:r>
            <w:r>
              <w:rPr>
                <w:color w:val="auto"/>
                <w:szCs w:val="21"/>
                <w:highlight w:val="none"/>
              </w:rPr>
              <w:t>缴纳税费证明及社保缴费证明加盖供应商电子签章</w:t>
            </w:r>
            <w:r>
              <w:rPr>
                <w:rFonts w:hint="eastAsia"/>
                <w:color w:val="auto"/>
                <w:szCs w:val="21"/>
                <w:highlight w:val="none"/>
              </w:rPr>
              <w:t>。</w:t>
            </w:r>
          </w:p>
          <w:p w14:paraId="2712E55D">
            <w:pPr>
              <w:spacing w:line="240" w:lineRule="exact"/>
              <w:rPr>
                <w:color w:val="auto"/>
                <w:szCs w:val="21"/>
                <w:highlight w:val="none"/>
              </w:rPr>
            </w:pPr>
            <w:r>
              <w:rPr>
                <w:color w:val="auto"/>
                <w:szCs w:val="21"/>
                <w:highlight w:val="none"/>
              </w:rPr>
              <w:t>依法免税或不需要缴纳社会保障资金的供应商，须提供相应文件证明其依法免税或不需要缴纳社会保障资金。</w:t>
            </w:r>
          </w:p>
        </w:tc>
      </w:tr>
      <w:tr w14:paraId="229AC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7" w:hRule="atLeast"/>
        </w:trPr>
        <w:tc>
          <w:tcPr>
            <w:tcW w:w="1101" w:type="dxa"/>
            <w:vMerge w:val="continue"/>
            <w:noWrap w:val="0"/>
            <w:vAlign w:val="center"/>
          </w:tcPr>
          <w:p w14:paraId="74F4FC54">
            <w:pPr>
              <w:spacing w:line="240" w:lineRule="exact"/>
              <w:jc w:val="center"/>
              <w:rPr>
                <w:color w:val="auto"/>
                <w:szCs w:val="21"/>
                <w:highlight w:val="none"/>
              </w:rPr>
            </w:pPr>
          </w:p>
        </w:tc>
        <w:tc>
          <w:tcPr>
            <w:tcW w:w="2727" w:type="dxa"/>
            <w:gridSpan w:val="2"/>
            <w:noWrap w:val="0"/>
            <w:vAlign w:val="center"/>
          </w:tcPr>
          <w:p w14:paraId="52FBA959">
            <w:pPr>
              <w:spacing w:line="240" w:lineRule="exact"/>
              <w:rPr>
                <w:color w:val="auto"/>
                <w:szCs w:val="21"/>
                <w:highlight w:val="none"/>
                <w:lang w:val="zh-CN"/>
              </w:rPr>
            </w:pPr>
            <w:r>
              <w:rPr>
                <w:color w:val="auto"/>
                <w:szCs w:val="21"/>
                <w:highlight w:val="none"/>
              </w:rPr>
              <w:t>（5）参加政府采购活动前三年内，在经营活动中没有重大违法记录</w:t>
            </w:r>
          </w:p>
        </w:tc>
        <w:tc>
          <w:tcPr>
            <w:tcW w:w="0" w:type="auto"/>
            <w:noWrap w:val="0"/>
            <w:vAlign w:val="center"/>
          </w:tcPr>
          <w:p w14:paraId="0E155306">
            <w:pPr>
              <w:spacing w:line="240" w:lineRule="exact"/>
              <w:jc w:val="left"/>
              <w:rPr>
                <w:color w:val="auto"/>
                <w:szCs w:val="21"/>
                <w:highlight w:val="none"/>
              </w:rPr>
            </w:pPr>
            <w:r>
              <w:rPr>
                <w:color w:val="auto"/>
                <w:szCs w:val="21"/>
                <w:highlight w:val="none"/>
              </w:rPr>
              <w:t>审查无重大违法记录声明。须提供，格式见第</w:t>
            </w:r>
            <w:r>
              <w:rPr>
                <w:rFonts w:hint="eastAsia"/>
                <w:color w:val="auto"/>
                <w:szCs w:val="21"/>
                <w:highlight w:val="none"/>
              </w:rPr>
              <w:t>六章</w:t>
            </w:r>
            <w:r>
              <w:rPr>
                <w:color w:val="auto"/>
                <w:szCs w:val="21"/>
                <w:highlight w:val="none"/>
              </w:rPr>
              <w:t xml:space="preserve">响应文件格式“响应声明书”。 </w:t>
            </w:r>
          </w:p>
        </w:tc>
      </w:tr>
      <w:tr w14:paraId="7BB77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1101" w:type="dxa"/>
            <w:vMerge w:val="continue"/>
            <w:noWrap w:val="0"/>
            <w:vAlign w:val="center"/>
          </w:tcPr>
          <w:p w14:paraId="0B6CA17B">
            <w:pPr>
              <w:spacing w:line="240" w:lineRule="exact"/>
              <w:jc w:val="center"/>
              <w:rPr>
                <w:color w:val="auto"/>
                <w:szCs w:val="21"/>
                <w:highlight w:val="none"/>
              </w:rPr>
            </w:pPr>
          </w:p>
        </w:tc>
        <w:tc>
          <w:tcPr>
            <w:tcW w:w="2727" w:type="dxa"/>
            <w:gridSpan w:val="2"/>
            <w:noWrap w:val="0"/>
            <w:vAlign w:val="center"/>
          </w:tcPr>
          <w:p w14:paraId="18E31D96">
            <w:pPr>
              <w:spacing w:line="240" w:lineRule="exact"/>
              <w:rPr>
                <w:color w:val="auto"/>
                <w:szCs w:val="21"/>
                <w:highlight w:val="none"/>
              </w:rPr>
            </w:pPr>
            <w:r>
              <w:rPr>
                <w:color w:val="auto"/>
                <w:szCs w:val="21"/>
                <w:highlight w:val="none"/>
              </w:rPr>
              <w:t>（6）具备法律、行政法规规定的其他要求</w:t>
            </w:r>
          </w:p>
        </w:tc>
        <w:tc>
          <w:tcPr>
            <w:tcW w:w="0" w:type="auto"/>
            <w:noWrap w:val="0"/>
            <w:vAlign w:val="center"/>
          </w:tcPr>
          <w:p w14:paraId="18327737">
            <w:pPr>
              <w:spacing w:line="240" w:lineRule="exact"/>
              <w:rPr>
                <w:color w:val="auto"/>
                <w:szCs w:val="21"/>
                <w:highlight w:val="none"/>
              </w:rPr>
            </w:pPr>
            <w:r>
              <w:rPr>
                <w:rFonts w:hint="eastAsia"/>
                <w:color w:val="auto"/>
                <w:szCs w:val="21"/>
                <w:highlight w:val="none"/>
              </w:rPr>
              <w:t>无。</w:t>
            </w:r>
          </w:p>
        </w:tc>
      </w:tr>
      <w:tr w14:paraId="4187A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1101" w:type="dxa"/>
            <w:noWrap w:val="0"/>
            <w:vAlign w:val="center"/>
          </w:tcPr>
          <w:p w14:paraId="274202D3">
            <w:pPr>
              <w:spacing w:line="240" w:lineRule="exact"/>
              <w:rPr>
                <w:color w:val="auto"/>
                <w:szCs w:val="21"/>
                <w:highlight w:val="none"/>
                <w:lang w:val="zh-CN"/>
              </w:rPr>
            </w:pPr>
            <w:r>
              <w:rPr>
                <w:rFonts w:hint="eastAsia"/>
                <w:color w:val="auto"/>
                <w:kern w:val="0"/>
                <w:szCs w:val="21"/>
                <w:highlight w:val="none"/>
              </w:rPr>
              <w:t>采购政策</w:t>
            </w:r>
          </w:p>
        </w:tc>
        <w:tc>
          <w:tcPr>
            <w:tcW w:w="2727" w:type="dxa"/>
            <w:gridSpan w:val="2"/>
            <w:noWrap w:val="0"/>
            <w:vAlign w:val="center"/>
          </w:tcPr>
          <w:p w14:paraId="0F2F8178">
            <w:pPr>
              <w:spacing w:line="240" w:lineRule="exact"/>
              <w:jc w:val="left"/>
              <w:rPr>
                <w:color w:val="auto"/>
                <w:szCs w:val="21"/>
                <w:highlight w:val="none"/>
              </w:rPr>
            </w:pPr>
            <w:r>
              <w:rPr>
                <w:rFonts w:hint="eastAsia"/>
                <w:color w:val="auto"/>
                <w:szCs w:val="21"/>
                <w:highlight w:val="none"/>
              </w:rPr>
              <w:t>落实政府采购政策需满足的资格要求</w:t>
            </w:r>
          </w:p>
        </w:tc>
        <w:tc>
          <w:tcPr>
            <w:tcW w:w="0" w:type="auto"/>
            <w:noWrap w:val="0"/>
            <w:vAlign w:val="center"/>
          </w:tcPr>
          <w:p w14:paraId="28A59C58">
            <w:pPr>
              <w:spacing w:line="240" w:lineRule="exact"/>
              <w:rPr>
                <w:color w:val="auto"/>
                <w:szCs w:val="21"/>
                <w:highlight w:val="none"/>
              </w:rPr>
            </w:pPr>
            <w:r>
              <w:rPr>
                <w:rFonts w:hint="eastAsia"/>
                <w:color w:val="auto"/>
                <w:szCs w:val="21"/>
                <w:highlight w:val="none"/>
              </w:rPr>
              <w:t>无</w:t>
            </w:r>
          </w:p>
        </w:tc>
      </w:tr>
      <w:tr w14:paraId="3AD96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restart"/>
            <w:noWrap w:val="0"/>
            <w:vAlign w:val="center"/>
          </w:tcPr>
          <w:p w14:paraId="1B8A69C8">
            <w:pPr>
              <w:spacing w:line="240" w:lineRule="exact"/>
              <w:jc w:val="center"/>
              <w:rPr>
                <w:color w:val="auto"/>
                <w:szCs w:val="21"/>
                <w:highlight w:val="none"/>
              </w:rPr>
            </w:pPr>
            <w:r>
              <w:rPr>
                <w:color w:val="auto"/>
                <w:szCs w:val="21"/>
                <w:highlight w:val="none"/>
                <w:lang w:val="zh-CN"/>
              </w:rPr>
              <w:t>供应商应符合的</w:t>
            </w:r>
            <w:r>
              <w:rPr>
                <w:color w:val="auto"/>
                <w:szCs w:val="21"/>
                <w:highlight w:val="none"/>
              </w:rPr>
              <w:t>特定资格条件</w:t>
            </w:r>
          </w:p>
        </w:tc>
        <w:tc>
          <w:tcPr>
            <w:tcW w:w="2727" w:type="dxa"/>
            <w:gridSpan w:val="2"/>
            <w:noWrap w:val="0"/>
            <w:vAlign w:val="center"/>
          </w:tcPr>
          <w:p w14:paraId="2115E160">
            <w:pPr>
              <w:spacing w:line="240" w:lineRule="exact"/>
              <w:jc w:val="left"/>
              <w:rPr>
                <w:color w:val="auto"/>
                <w:szCs w:val="21"/>
                <w:highlight w:val="none"/>
              </w:rPr>
            </w:pPr>
            <w:r>
              <w:rPr>
                <w:color w:val="auto"/>
                <w:szCs w:val="21"/>
                <w:highlight w:val="none"/>
              </w:rPr>
              <w:t>（1）资质</w:t>
            </w:r>
            <w:r>
              <w:rPr>
                <w:rFonts w:hint="eastAsia"/>
                <w:color w:val="auto"/>
                <w:szCs w:val="21"/>
                <w:highlight w:val="none"/>
              </w:rPr>
              <w:t>要求</w:t>
            </w:r>
          </w:p>
        </w:tc>
        <w:tc>
          <w:tcPr>
            <w:tcW w:w="0" w:type="auto"/>
            <w:noWrap w:val="0"/>
            <w:vAlign w:val="center"/>
          </w:tcPr>
          <w:p w14:paraId="76EEAA7F">
            <w:pPr>
              <w:spacing w:line="240" w:lineRule="exact"/>
              <w:rPr>
                <w:color w:val="auto"/>
                <w:szCs w:val="21"/>
                <w:highlight w:val="none"/>
              </w:rPr>
            </w:pPr>
            <w:r>
              <w:rPr>
                <w:color w:val="auto"/>
                <w:szCs w:val="21"/>
                <w:highlight w:val="none"/>
              </w:rPr>
              <w:t>须符合</w:t>
            </w:r>
            <w:r>
              <w:rPr>
                <w:rFonts w:hint="eastAsia"/>
                <w:color w:val="auto"/>
                <w:szCs w:val="21"/>
                <w:highlight w:val="none"/>
              </w:rPr>
              <w:t>“磋商公告”</w:t>
            </w:r>
            <w:r>
              <w:rPr>
                <w:color w:val="auto"/>
                <w:szCs w:val="21"/>
                <w:highlight w:val="none"/>
              </w:rPr>
              <w:t>要求</w:t>
            </w:r>
            <w:r>
              <w:rPr>
                <w:rFonts w:hint="eastAsia"/>
                <w:color w:val="auto"/>
                <w:szCs w:val="21"/>
                <w:highlight w:val="none"/>
              </w:rPr>
              <w:t>。</w:t>
            </w:r>
          </w:p>
        </w:tc>
      </w:tr>
      <w:tr w14:paraId="402F6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trPr>
        <w:tc>
          <w:tcPr>
            <w:tcW w:w="1101" w:type="dxa"/>
            <w:vMerge w:val="continue"/>
            <w:noWrap w:val="0"/>
            <w:vAlign w:val="center"/>
          </w:tcPr>
          <w:p w14:paraId="4346726A">
            <w:pPr>
              <w:spacing w:line="240" w:lineRule="exact"/>
              <w:jc w:val="center"/>
              <w:rPr>
                <w:color w:val="auto"/>
                <w:szCs w:val="21"/>
                <w:highlight w:val="none"/>
              </w:rPr>
            </w:pPr>
          </w:p>
        </w:tc>
        <w:tc>
          <w:tcPr>
            <w:tcW w:w="1461" w:type="dxa"/>
            <w:vMerge w:val="restart"/>
            <w:noWrap w:val="0"/>
            <w:vAlign w:val="center"/>
          </w:tcPr>
          <w:p w14:paraId="104ABCCC">
            <w:pPr>
              <w:spacing w:line="240" w:lineRule="exact"/>
              <w:rPr>
                <w:color w:val="auto"/>
                <w:szCs w:val="21"/>
                <w:highlight w:val="none"/>
              </w:rPr>
            </w:pPr>
            <w:r>
              <w:rPr>
                <w:rFonts w:hint="eastAsia"/>
                <w:color w:val="auto"/>
                <w:szCs w:val="21"/>
                <w:highlight w:val="none"/>
              </w:rPr>
              <w:t>（2）人员要求</w:t>
            </w:r>
          </w:p>
        </w:tc>
        <w:tc>
          <w:tcPr>
            <w:tcW w:w="0" w:type="auto"/>
            <w:noWrap w:val="0"/>
            <w:vAlign w:val="center"/>
          </w:tcPr>
          <w:p w14:paraId="6290EFA1">
            <w:pPr>
              <w:spacing w:line="240" w:lineRule="exact"/>
              <w:jc w:val="left"/>
              <w:rPr>
                <w:color w:val="auto"/>
                <w:szCs w:val="21"/>
                <w:highlight w:val="none"/>
              </w:rPr>
            </w:pPr>
            <w:r>
              <w:rPr>
                <w:rFonts w:hint="eastAsia"/>
                <w:color w:val="auto"/>
                <w:szCs w:val="21"/>
                <w:highlight w:val="none"/>
              </w:rPr>
              <w:t>项目经理</w:t>
            </w:r>
          </w:p>
        </w:tc>
        <w:tc>
          <w:tcPr>
            <w:tcW w:w="0" w:type="auto"/>
            <w:noWrap w:val="0"/>
            <w:vAlign w:val="center"/>
          </w:tcPr>
          <w:p w14:paraId="52AEB17E">
            <w:pPr>
              <w:spacing w:line="240" w:lineRule="exact"/>
              <w:rPr>
                <w:color w:val="auto"/>
                <w:szCs w:val="21"/>
                <w:highlight w:val="none"/>
              </w:rPr>
            </w:pPr>
            <w:r>
              <w:rPr>
                <w:color w:val="auto"/>
                <w:szCs w:val="21"/>
                <w:highlight w:val="none"/>
              </w:rPr>
              <w:t>须符合</w:t>
            </w:r>
            <w:r>
              <w:rPr>
                <w:rFonts w:hint="eastAsia"/>
                <w:color w:val="auto"/>
                <w:szCs w:val="21"/>
                <w:highlight w:val="none"/>
              </w:rPr>
              <w:t>“磋商公告”</w:t>
            </w:r>
            <w:r>
              <w:rPr>
                <w:color w:val="auto"/>
                <w:szCs w:val="21"/>
                <w:highlight w:val="none"/>
              </w:rPr>
              <w:t>要求</w:t>
            </w:r>
            <w:r>
              <w:rPr>
                <w:rFonts w:hint="eastAsia"/>
                <w:color w:val="auto"/>
                <w:szCs w:val="21"/>
                <w:highlight w:val="none"/>
              </w:rPr>
              <w:t>。须提供在响应文件递交</w:t>
            </w:r>
            <w:r>
              <w:rPr>
                <w:color w:val="auto"/>
                <w:szCs w:val="21"/>
                <w:highlight w:val="none"/>
              </w:rPr>
              <w:t>截止时间前6个月内</w:t>
            </w:r>
            <w:r>
              <w:rPr>
                <w:rFonts w:hint="eastAsia"/>
                <w:color w:val="auto"/>
                <w:szCs w:val="21"/>
                <w:highlight w:val="none"/>
              </w:rPr>
              <w:t>任意1</w:t>
            </w:r>
            <w:r>
              <w:rPr>
                <w:color w:val="auto"/>
                <w:szCs w:val="21"/>
                <w:highlight w:val="none"/>
              </w:rPr>
              <w:t>个月在现任职单位依法缴纳社会保险的</w:t>
            </w:r>
            <w:r>
              <w:rPr>
                <w:rFonts w:hint="eastAsia"/>
                <w:color w:val="auto"/>
                <w:szCs w:val="21"/>
                <w:highlight w:val="none"/>
              </w:rPr>
              <w:t>证明材料扫描件。</w:t>
            </w:r>
          </w:p>
        </w:tc>
      </w:tr>
      <w:tr w14:paraId="1FA50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1101" w:type="dxa"/>
            <w:vMerge w:val="continue"/>
            <w:noWrap w:val="0"/>
            <w:vAlign w:val="center"/>
          </w:tcPr>
          <w:p w14:paraId="7BFC9E58">
            <w:pPr>
              <w:spacing w:line="240" w:lineRule="exact"/>
              <w:jc w:val="center"/>
              <w:rPr>
                <w:color w:val="auto"/>
                <w:szCs w:val="21"/>
                <w:highlight w:val="none"/>
              </w:rPr>
            </w:pPr>
          </w:p>
        </w:tc>
        <w:tc>
          <w:tcPr>
            <w:tcW w:w="1461" w:type="dxa"/>
            <w:vMerge w:val="continue"/>
            <w:noWrap w:val="0"/>
            <w:vAlign w:val="top"/>
          </w:tcPr>
          <w:p w14:paraId="07FD9CB9">
            <w:pPr>
              <w:spacing w:line="240" w:lineRule="exact"/>
              <w:jc w:val="left"/>
              <w:rPr>
                <w:color w:val="auto"/>
                <w:szCs w:val="21"/>
                <w:highlight w:val="none"/>
              </w:rPr>
            </w:pPr>
          </w:p>
        </w:tc>
        <w:tc>
          <w:tcPr>
            <w:tcW w:w="0" w:type="auto"/>
            <w:noWrap w:val="0"/>
            <w:vAlign w:val="center"/>
          </w:tcPr>
          <w:p w14:paraId="467E27B2">
            <w:pPr>
              <w:spacing w:line="240" w:lineRule="exact"/>
              <w:jc w:val="left"/>
              <w:rPr>
                <w:color w:val="auto"/>
                <w:szCs w:val="21"/>
                <w:highlight w:val="none"/>
              </w:rPr>
            </w:pPr>
            <w:r>
              <w:rPr>
                <w:rFonts w:hint="eastAsia"/>
                <w:color w:val="auto"/>
                <w:szCs w:val="21"/>
                <w:highlight w:val="none"/>
              </w:rPr>
              <w:t>专职安全员</w:t>
            </w:r>
          </w:p>
        </w:tc>
        <w:tc>
          <w:tcPr>
            <w:tcW w:w="0" w:type="auto"/>
            <w:noWrap w:val="0"/>
            <w:vAlign w:val="center"/>
          </w:tcPr>
          <w:p w14:paraId="34CDDB8E">
            <w:pPr>
              <w:spacing w:line="240" w:lineRule="exact"/>
              <w:rPr>
                <w:color w:val="auto"/>
                <w:szCs w:val="21"/>
                <w:highlight w:val="none"/>
              </w:rPr>
            </w:pPr>
            <w:r>
              <w:rPr>
                <w:color w:val="auto"/>
                <w:szCs w:val="21"/>
                <w:highlight w:val="none"/>
              </w:rPr>
              <w:t>须符合</w:t>
            </w:r>
            <w:r>
              <w:rPr>
                <w:rFonts w:hint="eastAsia"/>
                <w:color w:val="auto"/>
                <w:szCs w:val="21"/>
                <w:highlight w:val="none"/>
              </w:rPr>
              <w:t>“磋商公告”</w:t>
            </w:r>
            <w:r>
              <w:rPr>
                <w:color w:val="auto"/>
                <w:szCs w:val="21"/>
                <w:highlight w:val="none"/>
              </w:rPr>
              <w:t>要求</w:t>
            </w:r>
            <w:r>
              <w:rPr>
                <w:rFonts w:hint="eastAsia"/>
                <w:color w:val="auto"/>
                <w:szCs w:val="21"/>
                <w:highlight w:val="none"/>
              </w:rPr>
              <w:t>。须提供在响应文件递交</w:t>
            </w:r>
            <w:r>
              <w:rPr>
                <w:color w:val="auto"/>
                <w:szCs w:val="21"/>
                <w:highlight w:val="none"/>
              </w:rPr>
              <w:t>截止时间前6个月内</w:t>
            </w:r>
            <w:r>
              <w:rPr>
                <w:rFonts w:hint="eastAsia"/>
                <w:color w:val="auto"/>
                <w:szCs w:val="21"/>
                <w:highlight w:val="none"/>
              </w:rPr>
              <w:t>任意1</w:t>
            </w:r>
            <w:r>
              <w:rPr>
                <w:color w:val="auto"/>
                <w:szCs w:val="21"/>
                <w:highlight w:val="none"/>
              </w:rPr>
              <w:t>个月在现任职单位依法缴纳社会保险的</w:t>
            </w:r>
            <w:r>
              <w:rPr>
                <w:rFonts w:hint="eastAsia"/>
                <w:color w:val="auto"/>
                <w:szCs w:val="21"/>
                <w:highlight w:val="none"/>
              </w:rPr>
              <w:t>证明材料扫描件。</w:t>
            </w:r>
          </w:p>
        </w:tc>
      </w:tr>
      <w:tr w14:paraId="22481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noWrap w:val="0"/>
            <w:vAlign w:val="center"/>
          </w:tcPr>
          <w:p w14:paraId="52284E0F">
            <w:pPr>
              <w:spacing w:line="240" w:lineRule="exact"/>
              <w:jc w:val="center"/>
              <w:rPr>
                <w:color w:val="auto"/>
                <w:szCs w:val="21"/>
                <w:highlight w:val="none"/>
              </w:rPr>
            </w:pPr>
          </w:p>
        </w:tc>
        <w:tc>
          <w:tcPr>
            <w:tcW w:w="2727" w:type="dxa"/>
            <w:gridSpan w:val="2"/>
            <w:noWrap w:val="0"/>
            <w:vAlign w:val="center"/>
          </w:tcPr>
          <w:p w14:paraId="0E2A9786">
            <w:pPr>
              <w:spacing w:line="240" w:lineRule="exact"/>
              <w:jc w:val="left"/>
              <w:rPr>
                <w:color w:val="auto"/>
                <w:szCs w:val="21"/>
                <w:highlight w:val="none"/>
              </w:rPr>
            </w:pPr>
            <w:r>
              <w:rPr>
                <w:color w:val="auto"/>
                <w:szCs w:val="21"/>
                <w:highlight w:val="none"/>
              </w:rPr>
              <w:t>（3）业绩要求</w:t>
            </w:r>
          </w:p>
        </w:tc>
        <w:tc>
          <w:tcPr>
            <w:tcW w:w="0" w:type="auto"/>
            <w:noWrap w:val="0"/>
            <w:vAlign w:val="center"/>
          </w:tcPr>
          <w:p w14:paraId="5376D682">
            <w:pPr>
              <w:spacing w:line="240" w:lineRule="exact"/>
              <w:jc w:val="left"/>
              <w:rPr>
                <w:color w:val="auto"/>
                <w:szCs w:val="21"/>
                <w:highlight w:val="none"/>
              </w:rPr>
            </w:pPr>
            <w:r>
              <w:rPr>
                <w:color w:val="auto"/>
                <w:szCs w:val="21"/>
                <w:highlight w:val="none"/>
              </w:rPr>
              <w:t>须符合</w:t>
            </w:r>
            <w:r>
              <w:rPr>
                <w:rFonts w:hint="eastAsia"/>
                <w:color w:val="auto"/>
                <w:szCs w:val="21"/>
                <w:highlight w:val="none"/>
              </w:rPr>
              <w:t>“磋商公告”</w:t>
            </w:r>
            <w:r>
              <w:rPr>
                <w:color w:val="auto"/>
                <w:szCs w:val="21"/>
                <w:highlight w:val="none"/>
              </w:rPr>
              <w:t>要求</w:t>
            </w:r>
            <w:r>
              <w:rPr>
                <w:rFonts w:hint="eastAsia"/>
                <w:color w:val="auto"/>
                <w:szCs w:val="21"/>
                <w:highlight w:val="none"/>
              </w:rPr>
              <w:t>。</w:t>
            </w:r>
          </w:p>
        </w:tc>
      </w:tr>
      <w:tr w14:paraId="12D55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4" w:hRule="atLeast"/>
        </w:trPr>
        <w:tc>
          <w:tcPr>
            <w:tcW w:w="1101" w:type="dxa"/>
            <w:vMerge w:val="continue"/>
            <w:noWrap w:val="0"/>
            <w:vAlign w:val="center"/>
          </w:tcPr>
          <w:p w14:paraId="5D0D2544">
            <w:pPr>
              <w:spacing w:line="240" w:lineRule="exact"/>
              <w:jc w:val="center"/>
              <w:rPr>
                <w:color w:val="auto"/>
                <w:szCs w:val="21"/>
                <w:highlight w:val="none"/>
              </w:rPr>
            </w:pPr>
          </w:p>
        </w:tc>
        <w:tc>
          <w:tcPr>
            <w:tcW w:w="2727" w:type="dxa"/>
            <w:gridSpan w:val="2"/>
            <w:noWrap w:val="0"/>
            <w:vAlign w:val="center"/>
          </w:tcPr>
          <w:p w14:paraId="44FB5B46">
            <w:pPr>
              <w:spacing w:line="240" w:lineRule="exact"/>
              <w:rPr>
                <w:color w:val="auto"/>
                <w:szCs w:val="21"/>
                <w:highlight w:val="none"/>
              </w:rPr>
            </w:pPr>
            <w:r>
              <w:rPr>
                <w:color w:val="auto"/>
                <w:kern w:val="0"/>
                <w:szCs w:val="21"/>
                <w:highlight w:val="none"/>
              </w:rPr>
              <w:t>（4）</w:t>
            </w:r>
            <w:r>
              <w:rPr>
                <w:rFonts w:hint="eastAsia"/>
                <w:color w:val="auto"/>
                <w:kern w:val="0"/>
                <w:szCs w:val="21"/>
                <w:highlight w:val="none"/>
              </w:rPr>
              <w:t>供应商不得参加响应的情形</w:t>
            </w:r>
          </w:p>
        </w:tc>
        <w:tc>
          <w:tcPr>
            <w:tcW w:w="0" w:type="auto"/>
            <w:noWrap w:val="0"/>
            <w:vAlign w:val="center"/>
          </w:tcPr>
          <w:p w14:paraId="471384AD">
            <w:pPr>
              <w:spacing w:line="240" w:lineRule="exact"/>
              <w:jc w:val="left"/>
              <w:rPr>
                <w:color w:val="auto"/>
                <w:kern w:val="0"/>
                <w:szCs w:val="21"/>
                <w:highlight w:val="none"/>
              </w:rPr>
            </w:pPr>
            <w:r>
              <w:rPr>
                <w:color w:val="auto"/>
                <w:kern w:val="0"/>
                <w:szCs w:val="21"/>
                <w:highlight w:val="none"/>
              </w:rPr>
              <w:t>单位负责人为同一人或者存在直接控股、管理关系的不同供应商，不得参加本项目同一合同项下的政府采购活动。为本项目提供整体设计、规范编制或者项目管理、监理、检测等服务的供应商，不得再参加</w:t>
            </w:r>
            <w:r>
              <w:rPr>
                <w:rFonts w:hint="eastAsia"/>
                <w:color w:val="auto"/>
                <w:kern w:val="0"/>
                <w:szCs w:val="21"/>
                <w:highlight w:val="none"/>
              </w:rPr>
              <w:t>本</w:t>
            </w:r>
            <w:r>
              <w:rPr>
                <w:color w:val="auto"/>
                <w:kern w:val="0"/>
                <w:szCs w:val="21"/>
                <w:highlight w:val="none"/>
              </w:rPr>
              <w:t>项目的采购活动。</w:t>
            </w:r>
          </w:p>
          <w:p w14:paraId="2A865723">
            <w:pPr>
              <w:spacing w:line="240" w:lineRule="exact"/>
              <w:jc w:val="left"/>
              <w:rPr>
                <w:rFonts w:hint="eastAsia"/>
                <w:color w:val="auto"/>
                <w:szCs w:val="21"/>
                <w:highlight w:val="none"/>
              </w:rPr>
            </w:pPr>
            <w:r>
              <w:rPr>
                <w:color w:val="auto"/>
                <w:szCs w:val="21"/>
                <w:highlight w:val="none"/>
              </w:rPr>
              <w:t>须提供，格式见第六章</w:t>
            </w:r>
            <w:r>
              <w:rPr>
                <w:rFonts w:hint="eastAsia"/>
                <w:color w:val="auto"/>
                <w:szCs w:val="21"/>
                <w:highlight w:val="none"/>
              </w:rPr>
              <w:t>响应</w:t>
            </w:r>
            <w:r>
              <w:rPr>
                <w:color w:val="auto"/>
                <w:szCs w:val="21"/>
                <w:highlight w:val="none"/>
              </w:rPr>
              <w:t>文件格式“</w:t>
            </w:r>
            <w:r>
              <w:rPr>
                <w:rFonts w:hint="eastAsia"/>
                <w:color w:val="auto"/>
                <w:szCs w:val="21"/>
                <w:highlight w:val="none"/>
              </w:rPr>
              <w:t>供应商直接控股股东、管理关系信息表</w:t>
            </w:r>
            <w:r>
              <w:rPr>
                <w:color w:val="auto"/>
                <w:szCs w:val="21"/>
                <w:highlight w:val="none"/>
              </w:rPr>
              <w:t>”。</w:t>
            </w:r>
          </w:p>
        </w:tc>
      </w:tr>
      <w:tr w14:paraId="1C068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101" w:type="dxa"/>
            <w:vMerge w:val="continue"/>
            <w:noWrap w:val="0"/>
            <w:vAlign w:val="center"/>
          </w:tcPr>
          <w:p w14:paraId="3328305F">
            <w:pPr>
              <w:spacing w:line="240" w:lineRule="exact"/>
              <w:jc w:val="center"/>
              <w:rPr>
                <w:color w:val="auto"/>
                <w:szCs w:val="21"/>
                <w:highlight w:val="none"/>
              </w:rPr>
            </w:pPr>
          </w:p>
        </w:tc>
        <w:tc>
          <w:tcPr>
            <w:tcW w:w="2727" w:type="dxa"/>
            <w:gridSpan w:val="2"/>
            <w:noWrap w:val="0"/>
            <w:vAlign w:val="center"/>
          </w:tcPr>
          <w:p w14:paraId="3331194F">
            <w:pPr>
              <w:spacing w:line="240" w:lineRule="exact"/>
              <w:rPr>
                <w:color w:val="auto"/>
                <w:szCs w:val="21"/>
                <w:highlight w:val="none"/>
              </w:rPr>
            </w:pPr>
            <w:r>
              <w:rPr>
                <w:color w:val="auto"/>
                <w:szCs w:val="21"/>
                <w:highlight w:val="none"/>
              </w:rPr>
              <w:t>（5）诚信要求</w:t>
            </w:r>
          </w:p>
        </w:tc>
        <w:tc>
          <w:tcPr>
            <w:tcW w:w="0" w:type="auto"/>
            <w:noWrap w:val="0"/>
            <w:vAlign w:val="top"/>
          </w:tcPr>
          <w:p w14:paraId="0BF58319">
            <w:pPr>
              <w:spacing w:line="240" w:lineRule="exact"/>
              <w:jc w:val="left"/>
              <w:rPr>
                <w:color w:val="auto"/>
                <w:szCs w:val="21"/>
                <w:highlight w:val="none"/>
              </w:rPr>
            </w:pPr>
            <w:r>
              <w:rPr>
                <w:rFonts w:hint="eastAsia"/>
                <w:color w:val="auto"/>
                <w:szCs w:val="21"/>
                <w:highlight w:val="none"/>
              </w:rPr>
              <w:t>未被列入失信被执行人、</w:t>
            </w:r>
            <w:r>
              <w:rPr>
                <w:color w:val="auto"/>
                <w:kern w:val="0"/>
                <w:szCs w:val="21"/>
                <w:highlight w:val="none"/>
              </w:rPr>
              <w:t>重大税收违法失信主体</w:t>
            </w:r>
            <w:r>
              <w:rPr>
                <w:color w:val="auto"/>
                <w:szCs w:val="21"/>
                <w:highlight w:val="none"/>
              </w:rPr>
              <w:t>、政府采购严重违法失信行为记录名单</w:t>
            </w:r>
            <w:r>
              <w:rPr>
                <w:rFonts w:hint="eastAsia"/>
                <w:color w:val="auto"/>
                <w:szCs w:val="21"/>
                <w:highlight w:val="none"/>
              </w:rPr>
              <w:t>。</w:t>
            </w:r>
          </w:p>
        </w:tc>
      </w:tr>
      <w:tr w14:paraId="32BFE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101" w:type="dxa"/>
            <w:vMerge w:val="continue"/>
            <w:noWrap w:val="0"/>
            <w:vAlign w:val="center"/>
          </w:tcPr>
          <w:p w14:paraId="6C8A614F">
            <w:pPr>
              <w:spacing w:line="240" w:lineRule="exact"/>
              <w:jc w:val="center"/>
              <w:rPr>
                <w:color w:val="auto"/>
                <w:szCs w:val="21"/>
                <w:highlight w:val="none"/>
              </w:rPr>
            </w:pPr>
          </w:p>
        </w:tc>
        <w:tc>
          <w:tcPr>
            <w:tcW w:w="2727" w:type="dxa"/>
            <w:gridSpan w:val="2"/>
            <w:noWrap w:val="0"/>
            <w:vAlign w:val="center"/>
          </w:tcPr>
          <w:p w14:paraId="28522313">
            <w:pPr>
              <w:rPr>
                <w:rFonts w:hint="eastAsia"/>
                <w:color w:val="auto"/>
                <w:highlight w:val="none"/>
              </w:rPr>
            </w:pPr>
            <w:r>
              <w:rPr>
                <w:rFonts w:hint="eastAsia"/>
                <w:color w:val="auto"/>
                <w:highlight w:val="none"/>
              </w:rPr>
              <w:t>（</w:t>
            </w:r>
            <w:r>
              <w:rPr>
                <w:color w:val="auto"/>
                <w:highlight w:val="none"/>
              </w:rPr>
              <w:t>6</w:t>
            </w:r>
            <w:r>
              <w:rPr>
                <w:rFonts w:hint="eastAsia"/>
                <w:color w:val="auto"/>
                <w:highlight w:val="none"/>
              </w:rPr>
              <w:t>）分包</w:t>
            </w:r>
          </w:p>
        </w:tc>
        <w:tc>
          <w:tcPr>
            <w:tcW w:w="0" w:type="auto"/>
            <w:noWrap w:val="0"/>
            <w:vAlign w:val="center"/>
          </w:tcPr>
          <w:p w14:paraId="1270E799">
            <w:pPr>
              <w:rPr>
                <w:rFonts w:hint="eastAsia"/>
                <w:color w:val="auto"/>
                <w:highlight w:val="none"/>
              </w:rPr>
            </w:pPr>
            <w:r>
              <w:rPr>
                <w:rFonts w:hint="eastAsia"/>
                <w:color w:val="auto"/>
                <w:highlight w:val="none"/>
              </w:rPr>
              <w:t>须符合“</w:t>
            </w:r>
            <w:r>
              <w:rPr>
                <w:rFonts w:hint="eastAsia"/>
                <w:color w:val="auto"/>
                <w:szCs w:val="21"/>
                <w:highlight w:val="none"/>
              </w:rPr>
              <w:t>磋商公告</w:t>
            </w:r>
            <w:r>
              <w:rPr>
                <w:rFonts w:hint="eastAsia"/>
                <w:color w:val="auto"/>
                <w:highlight w:val="none"/>
              </w:rPr>
              <w:t>”的要求</w:t>
            </w:r>
          </w:p>
        </w:tc>
      </w:tr>
      <w:tr w14:paraId="61E9C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101" w:type="dxa"/>
            <w:vMerge w:val="continue"/>
            <w:noWrap w:val="0"/>
            <w:vAlign w:val="center"/>
          </w:tcPr>
          <w:p w14:paraId="0048FF6D">
            <w:pPr>
              <w:spacing w:line="240" w:lineRule="exact"/>
              <w:jc w:val="center"/>
              <w:rPr>
                <w:color w:val="auto"/>
                <w:szCs w:val="21"/>
                <w:highlight w:val="none"/>
              </w:rPr>
            </w:pPr>
          </w:p>
        </w:tc>
        <w:tc>
          <w:tcPr>
            <w:tcW w:w="2727" w:type="dxa"/>
            <w:gridSpan w:val="2"/>
            <w:noWrap w:val="0"/>
            <w:vAlign w:val="center"/>
          </w:tcPr>
          <w:p w14:paraId="5AC90C13">
            <w:pPr>
              <w:rPr>
                <w:rFonts w:hint="eastAsia"/>
                <w:color w:val="auto"/>
                <w:highlight w:val="none"/>
              </w:rPr>
            </w:pPr>
            <w:r>
              <w:rPr>
                <w:rFonts w:hint="eastAsia"/>
                <w:color w:val="auto"/>
                <w:highlight w:val="none"/>
              </w:rPr>
              <w:t>（</w:t>
            </w:r>
            <w:r>
              <w:rPr>
                <w:color w:val="auto"/>
                <w:highlight w:val="none"/>
              </w:rPr>
              <w:t>7</w:t>
            </w:r>
            <w:r>
              <w:rPr>
                <w:rFonts w:hint="eastAsia"/>
                <w:color w:val="auto"/>
                <w:highlight w:val="none"/>
              </w:rPr>
              <w:t>）联合体</w:t>
            </w:r>
          </w:p>
        </w:tc>
        <w:tc>
          <w:tcPr>
            <w:tcW w:w="0" w:type="auto"/>
            <w:noWrap w:val="0"/>
            <w:vAlign w:val="center"/>
          </w:tcPr>
          <w:p w14:paraId="76D13BCD">
            <w:pPr>
              <w:rPr>
                <w:color w:val="auto"/>
                <w:highlight w:val="none"/>
              </w:rPr>
            </w:pPr>
            <w:r>
              <w:rPr>
                <w:rFonts w:hint="eastAsia"/>
                <w:color w:val="auto"/>
                <w:highlight w:val="none"/>
              </w:rPr>
              <w:t>须符合“</w:t>
            </w:r>
            <w:r>
              <w:rPr>
                <w:rFonts w:hint="eastAsia"/>
                <w:color w:val="auto"/>
                <w:szCs w:val="21"/>
                <w:highlight w:val="none"/>
              </w:rPr>
              <w:t>磋商公告</w:t>
            </w:r>
            <w:r>
              <w:rPr>
                <w:rFonts w:hint="eastAsia"/>
                <w:color w:val="auto"/>
                <w:highlight w:val="none"/>
              </w:rPr>
              <w:t>”的要求</w:t>
            </w:r>
          </w:p>
        </w:tc>
      </w:tr>
      <w:tr w14:paraId="6270C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1101" w:type="dxa"/>
            <w:vMerge w:val="continue"/>
            <w:noWrap w:val="0"/>
            <w:vAlign w:val="center"/>
          </w:tcPr>
          <w:p w14:paraId="060F6930">
            <w:pPr>
              <w:spacing w:line="240" w:lineRule="exact"/>
              <w:jc w:val="center"/>
              <w:rPr>
                <w:color w:val="auto"/>
                <w:szCs w:val="21"/>
                <w:highlight w:val="none"/>
              </w:rPr>
            </w:pPr>
          </w:p>
        </w:tc>
        <w:tc>
          <w:tcPr>
            <w:tcW w:w="2727" w:type="dxa"/>
            <w:gridSpan w:val="2"/>
            <w:noWrap w:val="0"/>
            <w:vAlign w:val="center"/>
          </w:tcPr>
          <w:p w14:paraId="4369BE76">
            <w:pPr>
              <w:spacing w:line="240" w:lineRule="exact"/>
              <w:jc w:val="left"/>
              <w:rPr>
                <w:color w:val="auto"/>
                <w:szCs w:val="21"/>
                <w:highlight w:val="none"/>
              </w:rPr>
            </w:pPr>
            <w:r>
              <w:rPr>
                <w:rFonts w:hint="eastAsia"/>
                <w:color w:val="auto"/>
                <w:szCs w:val="21"/>
                <w:highlight w:val="none"/>
              </w:rPr>
              <w:t>（</w:t>
            </w:r>
            <w:r>
              <w:rPr>
                <w:color w:val="auto"/>
                <w:szCs w:val="21"/>
                <w:highlight w:val="none"/>
              </w:rPr>
              <w:t>8</w:t>
            </w:r>
            <w:r>
              <w:rPr>
                <w:rFonts w:hint="eastAsia"/>
                <w:color w:val="auto"/>
                <w:szCs w:val="21"/>
                <w:highlight w:val="none"/>
              </w:rPr>
              <w:t>）其他要求</w:t>
            </w:r>
          </w:p>
        </w:tc>
        <w:tc>
          <w:tcPr>
            <w:tcW w:w="0" w:type="auto"/>
            <w:noWrap w:val="0"/>
            <w:vAlign w:val="center"/>
          </w:tcPr>
          <w:p w14:paraId="7BEA5BEE">
            <w:pPr>
              <w:spacing w:line="312" w:lineRule="auto"/>
              <w:rPr>
                <w:color w:val="auto"/>
                <w:kern w:val="0"/>
                <w:szCs w:val="21"/>
                <w:highlight w:val="none"/>
              </w:rPr>
            </w:pPr>
            <w:r>
              <w:rPr>
                <w:rFonts w:hint="eastAsia"/>
                <w:color w:val="auto"/>
                <w:kern w:val="0"/>
                <w:szCs w:val="21"/>
                <w:highlight w:val="none"/>
              </w:rPr>
              <w:t>按</w:t>
            </w:r>
            <w:r>
              <w:rPr>
                <w:color w:val="auto"/>
                <w:kern w:val="0"/>
                <w:szCs w:val="21"/>
                <w:highlight w:val="none"/>
              </w:rPr>
              <w:t>照</w:t>
            </w:r>
            <w:r>
              <w:rPr>
                <w:rFonts w:hint="eastAsia"/>
                <w:color w:val="auto"/>
                <w:kern w:val="0"/>
                <w:szCs w:val="21"/>
                <w:highlight w:val="none"/>
              </w:rPr>
              <w:t>磋商</w:t>
            </w:r>
            <w:r>
              <w:rPr>
                <w:color w:val="auto"/>
                <w:kern w:val="0"/>
                <w:szCs w:val="21"/>
                <w:highlight w:val="none"/>
              </w:rPr>
              <w:t>公告规定获得</w:t>
            </w:r>
            <w:r>
              <w:rPr>
                <w:rFonts w:hint="eastAsia"/>
                <w:color w:val="auto"/>
                <w:kern w:val="0"/>
                <w:szCs w:val="21"/>
                <w:highlight w:val="none"/>
              </w:rPr>
              <w:t>采购</w:t>
            </w:r>
            <w:r>
              <w:rPr>
                <w:color w:val="auto"/>
                <w:kern w:val="0"/>
                <w:szCs w:val="21"/>
                <w:highlight w:val="none"/>
              </w:rPr>
              <w:t>文件。</w:t>
            </w:r>
            <w:r>
              <w:rPr>
                <w:rFonts w:hint="eastAsia"/>
                <w:color w:val="auto"/>
                <w:kern w:val="0"/>
                <w:szCs w:val="21"/>
                <w:highlight w:val="none"/>
              </w:rPr>
              <w:t>足额、及时缴纳磋商保证金。</w:t>
            </w:r>
          </w:p>
        </w:tc>
      </w:tr>
    </w:tbl>
    <w:p w14:paraId="23FD5FD6">
      <w:pPr>
        <w:spacing w:before="120" w:line="320" w:lineRule="atLeast"/>
        <w:ind w:firstLine="413" w:firstLineChars="196"/>
        <w:outlineLvl w:val="1"/>
        <w:rPr>
          <w:color w:val="auto"/>
          <w:szCs w:val="21"/>
          <w:highlight w:val="none"/>
        </w:rPr>
      </w:pPr>
      <w:r>
        <w:rPr>
          <w:b/>
          <w:bCs/>
          <w:color w:val="auto"/>
          <w:kern w:val="0"/>
          <w:szCs w:val="21"/>
          <w:highlight w:val="none"/>
        </w:rPr>
        <w:t>3</w:t>
      </w:r>
      <w:r>
        <w:rPr>
          <w:rFonts w:hint="eastAsia"/>
          <w:b/>
          <w:bCs/>
          <w:color w:val="auto"/>
          <w:kern w:val="0"/>
          <w:szCs w:val="21"/>
          <w:highlight w:val="none"/>
        </w:rPr>
        <w:t>.</w:t>
      </w:r>
      <w:r>
        <w:rPr>
          <w:b/>
          <w:bCs/>
          <w:color w:val="auto"/>
          <w:kern w:val="0"/>
          <w:szCs w:val="21"/>
          <w:highlight w:val="none"/>
        </w:rPr>
        <w:t>符合性审查</w:t>
      </w:r>
      <w:r>
        <w:rPr>
          <w:rFonts w:hint="eastAsia"/>
          <w:b/>
          <w:bCs/>
          <w:color w:val="auto"/>
          <w:kern w:val="0"/>
          <w:szCs w:val="21"/>
          <w:highlight w:val="none"/>
        </w:rPr>
        <w:t>标准（不满足任何一项审查内容要求，符合性审查即为不合格）</w:t>
      </w:r>
    </w:p>
    <w:bookmarkEnd w:id="78"/>
    <w:bookmarkEnd w:id="79"/>
    <w:tbl>
      <w:tblPr>
        <w:tblStyle w:val="5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1"/>
        <w:gridCol w:w="2693"/>
        <w:gridCol w:w="5777"/>
      </w:tblGrid>
      <w:tr w14:paraId="65FF9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101" w:type="dxa"/>
            <w:noWrap w:val="0"/>
            <w:vAlign w:val="center"/>
          </w:tcPr>
          <w:p w14:paraId="5C121F13">
            <w:pPr>
              <w:spacing w:line="240" w:lineRule="exact"/>
              <w:jc w:val="center"/>
              <w:rPr>
                <w:b/>
                <w:color w:val="auto"/>
                <w:kern w:val="0"/>
                <w:szCs w:val="21"/>
                <w:highlight w:val="none"/>
              </w:rPr>
            </w:pPr>
            <w:r>
              <w:rPr>
                <w:rFonts w:hint="eastAsia"/>
                <w:b/>
                <w:color w:val="auto"/>
                <w:kern w:val="0"/>
                <w:szCs w:val="21"/>
                <w:highlight w:val="none"/>
              </w:rPr>
              <w:t>审查</w:t>
            </w:r>
            <w:r>
              <w:rPr>
                <w:b/>
                <w:color w:val="auto"/>
                <w:kern w:val="0"/>
                <w:szCs w:val="21"/>
                <w:highlight w:val="none"/>
              </w:rPr>
              <w:t>因素</w:t>
            </w:r>
          </w:p>
        </w:tc>
        <w:tc>
          <w:tcPr>
            <w:tcW w:w="2693" w:type="dxa"/>
            <w:noWrap w:val="0"/>
            <w:vAlign w:val="center"/>
          </w:tcPr>
          <w:p w14:paraId="61EE3AD8">
            <w:pPr>
              <w:spacing w:line="240" w:lineRule="exact"/>
              <w:jc w:val="center"/>
              <w:rPr>
                <w:b/>
                <w:color w:val="auto"/>
                <w:kern w:val="0"/>
                <w:szCs w:val="21"/>
                <w:highlight w:val="none"/>
              </w:rPr>
            </w:pPr>
            <w:r>
              <w:rPr>
                <w:rFonts w:hint="eastAsia"/>
                <w:b/>
                <w:color w:val="auto"/>
                <w:kern w:val="0"/>
                <w:szCs w:val="21"/>
                <w:highlight w:val="none"/>
              </w:rPr>
              <w:t>审查内容</w:t>
            </w:r>
          </w:p>
        </w:tc>
        <w:tc>
          <w:tcPr>
            <w:tcW w:w="5777" w:type="dxa"/>
            <w:noWrap w:val="0"/>
            <w:vAlign w:val="center"/>
          </w:tcPr>
          <w:p w14:paraId="1D0EF317">
            <w:pPr>
              <w:spacing w:line="240" w:lineRule="exact"/>
              <w:jc w:val="center"/>
              <w:rPr>
                <w:b/>
                <w:color w:val="auto"/>
                <w:kern w:val="0"/>
                <w:szCs w:val="21"/>
                <w:highlight w:val="none"/>
              </w:rPr>
            </w:pPr>
            <w:r>
              <w:rPr>
                <w:rFonts w:hint="eastAsia"/>
                <w:b/>
                <w:color w:val="auto"/>
                <w:kern w:val="0"/>
                <w:szCs w:val="21"/>
                <w:highlight w:val="none"/>
              </w:rPr>
              <w:t>说明</w:t>
            </w:r>
          </w:p>
        </w:tc>
      </w:tr>
      <w:tr w14:paraId="12BDA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6" w:hRule="atLeast"/>
        </w:trPr>
        <w:tc>
          <w:tcPr>
            <w:tcW w:w="1101" w:type="dxa"/>
            <w:vMerge w:val="restart"/>
            <w:noWrap w:val="0"/>
            <w:vAlign w:val="center"/>
          </w:tcPr>
          <w:p w14:paraId="045D4B55">
            <w:pPr>
              <w:spacing w:line="240" w:lineRule="exact"/>
              <w:jc w:val="center"/>
              <w:rPr>
                <w:color w:val="auto"/>
                <w:szCs w:val="21"/>
                <w:highlight w:val="none"/>
              </w:rPr>
            </w:pPr>
            <w:r>
              <w:rPr>
                <w:rFonts w:hint="eastAsia"/>
                <w:color w:val="auto"/>
                <w:kern w:val="0"/>
                <w:szCs w:val="21"/>
                <w:highlight w:val="none"/>
              </w:rPr>
              <w:t>商务资信</w:t>
            </w:r>
          </w:p>
        </w:tc>
        <w:tc>
          <w:tcPr>
            <w:tcW w:w="2693" w:type="dxa"/>
            <w:noWrap w:val="0"/>
            <w:vAlign w:val="center"/>
          </w:tcPr>
          <w:p w14:paraId="0CF23F55">
            <w:pPr>
              <w:spacing w:line="240" w:lineRule="exact"/>
              <w:rPr>
                <w:color w:val="auto"/>
                <w:highlight w:val="none"/>
              </w:rPr>
            </w:pPr>
            <w:r>
              <w:rPr>
                <w:rFonts w:hint="eastAsia"/>
                <w:color w:val="auto"/>
                <w:highlight w:val="none"/>
              </w:rPr>
              <w:t>法定代表人身份证明及授权委托书</w:t>
            </w:r>
          </w:p>
        </w:tc>
        <w:tc>
          <w:tcPr>
            <w:tcW w:w="5777" w:type="dxa"/>
            <w:noWrap w:val="0"/>
            <w:vAlign w:val="center"/>
          </w:tcPr>
          <w:p w14:paraId="45827502">
            <w:pPr>
              <w:spacing w:line="240" w:lineRule="exact"/>
              <w:rPr>
                <w:color w:val="auto"/>
                <w:szCs w:val="21"/>
                <w:highlight w:val="none"/>
              </w:rPr>
            </w:pPr>
            <w:r>
              <w:rPr>
                <w:rFonts w:hint="eastAsia"/>
                <w:color w:val="auto"/>
                <w:szCs w:val="21"/>
                <w:highlight w:val="none"/>
              </w:rPr>
              <w:t>授权</w:t>
            </w:r>
            <w:r>
              <w:rPr>
                <w:color w:val="auto"/>
                <w:szCs w:val="21"/>
                <w:highlight w:val="none"/>
              </w:rPr>
              <w:t>代表</w:t>
            </w:r>
            <w:r>
              <w:rPr>
                <w:rFonts w:hint="eastAsia"/>
                <w:color w:val="auto"/>
                <w:szCs w:val="21"/>
                <w:highlight w:val="none"/>
              </w:rPr>
              <w:t>参加响应</w:t>
            </w:r>
            <w:r>
              <w:rPr>
                <w:color w:val="auto"/>
                <w:szCs w:val="21"/>
                <w:highlight w:val="none"/>
              </w:rPr>
              <w:t>时审查</w:t>
            </w:r>
            <w:r>
              <w:rPr>
                <w:color w:val="auto"/>
                <w:highlight w:val="none"/>
              </w:rPr>
              <w:t>：</w:t>
            </w:r>
            <w:r>
              <w:rPr>
                <w:rFonts w:ascii="宋体" w:hAnsi="宋体"/>
                <w:color w:val="auto"/>
                <w:szCs w:val="21"/>
                <w:highlight w:val="none"/>
              </w:rPr>
              <w:t>法定代表人授权委托书及附件</w:t>
            </w:r>
            <w:r>
              <w:rPr>
                <w:color w:val="auto"/>
                <w:szCs w:val="21"/>
                <w:highlight w:val="none"/>
              </w:rPr>
              <w:t xml:space="preserve"> </w:t>
            </w:r>
          </w:p>
          <w:p w14:paraId="3749596F">
            <w:pPr>
              <w:spacing w:line="240" w:lineRule="exact"/>
              <w:rPr>
                <w:rFonts w:ascii="宋体" w:hAnsi="宋体"/>
                <w:color w:val="auto"/>
                <w:szCs w:val="21"/>
                <w:highlight w:val="none"/>
              </w:rPr>
            </w:pPr>
            <w:r>
              <w:rPr>
                <w:rFonts w:hint="eastAsia"/>
                <w:color w:val="auto"/>
                <w:szCs w:val="21"/>
                <w:highlight w:val="none"/>
              </w:rPr>
              <w:t>法定代表人直接参加响应</w:t>
            </w:r>
            <w:r>
              <w:rPr>
                <w:color w:val="auto"/>
                <w:szCs w:val="21"/>
                <w:highlight w:val="none"/>
              </w:rPr>
              <w:t>时审查</w:t>
            </w:r>
            <w:r>
              <w:rPr>
                <w:color w:val="auto"/>
                <w:highlight w:val="none"/>
              </w:rPr>
              <w:t>：</w:t>
            </w:r>
            <w:r>
              <w:rPr>
                <w:rFonts w:ascii="宋体" w:hAnsi="宋体"/>
                <w:color w:val="auto"/>
                <w:szCs w:val="21"/>
                <w:highlight w:val="none"/>
              </w:rPr>
              <w:t>法定代表人身份证明</w:t>
            </w:r>
            <w:r>
              <w:rPr>
                <w:rFonts w:hint="eastAsia" w:ascii="宋体" w:hAnsi="宋体"/>
                <w:color w:val="auto"/>
                <w:szCs w:val="21"/>
                <w:highlight w:val="none"/>
              </w:rPr>
              <w:t>及</w:t>
            </w:r>
            <w:r>
              <w:rPr>
                <w:rFonts w:ascii="宋体" w:hAnsi="宋体"/>
                <w:color w:val="auto"/>
                <w:szCs w:val="21"/>
                <w:highlight w:val="none"/>
              </w:rPr>
              <w:t>附件</w:t>
            </w:r>
          </w:p>
          <w:p w14:paraId="4371E6EA">
            <w:pPr>
              <w:spacing w:line="240" w:lineRule="exact"/>
              <w:rPr>
                <w:color w:val="auto"/>
                <w:highlight w:val="none"/>
              </w:rPr>
            </w:pPr>
            <w:r>
              <w:rPr>
                <w:rFonts w:ascii="宋体" w:hAnsi="宋体"/>
                <w:color w:val="auto"/>
                <w:szCs w:val="21"/>
                <w:highlight w:val="none"/>
              </w:rPr>
              <w:t>格式及附件见第六章响应文件格式要求</w:t>
            </w:r>
          </w:p>
        </w:tc>
      </w:tr>
      <w:tr w14:paraId="46B7A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1101" w:type="dxa"/>
            <w:vMerge w:val="continue"/>
            <w:noWrap w:val="0"/>
            <w:vAlign w:val="center"/>
          </w:tcPr>
          <w:p w14:paraId="5CDF82F7">
            <w:pPr>
              <w:spacing w:line="240" w:lineRule="exact"/>
              <w:jc w:val="center"/>
              <w:rPr>
                <w:color w:val="auto"/>
                <w:kern w:val="0"/>
                <w:szCs w:val="21"/>
                <w:highlight w:val="none"/>
              </w:rPr>
            </w:pPr>
          </w:p>
        </w:tc>
        <w:tc>
          <w:tcPr>
            <w:tcW w:w="2693" w:type="dxa"/>
            <w:noWrap w:val="0"/>
            <w:vAlign w:val="center"/>
          </w:tcPr>
          <w:p w14:paraId="4384594C">
            <w:pPr>
              <w:spacing w:line="240" w:lineRule="exact"/>
              <w:rPr>
                <w:color w:val="auto"/>
                <w:szCs w:val="21"/>
                <w:highlight w:val="none"/>
              </w:rPr>
            </w:pPr>
            <w:r>
              <w:rPr>
                <w:rFonts w:hint="eastAsia"/>
                <w:color w:val="auto"/>
                <w:szCs w:val="21"/>
                <w:highlight w:val="none"/>
              </w:rPr>
              <w:t>实质性条款响应</w:t>
            </w:r>
          </w:p>
        </w:tc>
        <w:tc>
          <w:tcPr>
            <w:tcW w:w="5777" w:type="dxa"/>
            <w:noWrap w:val="0"/>
            <w:vAlign w:val="center"/>
          </w:tcPr>
          <w:p w14:paraId="0EE189B7">
            <w:pPr>
              <w:spacing w:line="240" w:lineRule="exact"/>
              <w:rPr>
                <w:color w:val="auto"/>
                <w:szCs w:val="21"/>
                <w:highlight w:val="none"/>
              </w:rPr>
            </w:pPr>
            <w:r>
              <w:rPr>
                <w:rFonts w:hint="eastAsia" w:ascii="宋体" w:hAnsi="宋体"/>
                <w:color w:val="auto"/>
                <w:szCs w:val="21"/>
                <w:highlight w:val="none"/>
              </w:rPr>
              <w:t>采购文件实质性要求响应均无负偏离</w:t>
            </w:r>
          </w:p>
        </w:tc>
      </w:tr>
      <w:tr w14:paraId="1AC0A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101" w:type="dxa"/>
            <w:vMerge w:val="continue"/>
            <w:noWrap w:val="0"/>
            <w:vAlign w:val="center"/>
          </w:tcPr>
          <w:p w14:paraId="39F683ED">
            <w:pPr>
              <w:spacing w:line="240" w:lineRule="exact"/>
              <w:jc w:val="center"/>
              <w:rPr>
                <w:color w:val="auto"/>
                <w:kern w:val="0"/>
                <w:szCs w:val="21"/>
                <w:highlight w:val="none"/>
              </w:rPr>
            </w:pPr>
          </w:p>
        </w:tc>
        <w:tc>
          <w:tcPr>
            <w:tcW w:w="2693" w:type="dxa"/>
            <w:noWrap w:val="0"/>
            <w:vAlign w:val="center"/>
          </w:tcPr>
          <w:p w14:paraId="479BAC33">
            <w:pPr>
              <w:spacing w:line="240" w:lineRule="exact"/>
              <w:rPr>
                <w:color w:val="auto"/>
                <w:szCs w:val="21"/>
                <w:highlight w:val="none"/>
              </w:rPr>
            </w:pPr>
            <w:r>
              <w:rPr>
                <w:rFonts w:hint="eastAsia"/>
                <w:color w:val="auto"/>
                <w:szCs w:val="21"/>
                <w:highlight w:val="none"/>
              </w:rPr>
              <w:t>串通投标</w:t>
            </w:r>
          </w:p>
        </w:tc>
        <w:tc>
          <w:tcPr>
            <w:tcW w:w="5777" w:type="dxa"/>
            <w:noWrap w:val="0"/>
            <w:vAlign w:val="center"/>
          </w:tcPr>
          <w:p w14:paraId="3BA7C907">
            <w:pPr>
              <w:spacing w:line="240" w:lineRule="exact"/>
              <w:rPr>
                <w:color w:val="auto"/>
                <w:szCs w:val="21"/>
                <w:highlight w:val="none"/>
              </w:rPr>
            </w:pPr>
            <w:r>
              <w:rPr>
                <w:rFonts w:hint="eastAsia" w:ascii="宋体" w:hAnsi="宋体"/>
                <w:color w:val="auto"/>
                <w:szCs w:val="21"/>
                <w:highlight w:val="none"/>
              </w:rPr>
              <w:t>不属于供应商须知正文第</w:t>
            </w:r>
            <w:r>
              <w:rPr>
                <w:rFonts w:ascii="宋体" w:hAnsi="宋体"/>
                <w:color w:val="auto"/>
                <w:szCs w:val="21"/>
                <w:highlight w:val="none"/>
              </w:rPr>
              <w:t>6</w:t>
            </w:r>
            <w:r>
              <w:rPr>
                <w:rFonts w:hint="eastAsia" w:ascii="宋体" w:hAnsi="宋体"/>
                <w:color w:val="auto"/>
                <w:szCs w:val="21"/>
                <w:highlight w:val="none"/>
              </w:rPr>
              <w:t>.</w:t>
            </w:r>
            <w:r>
              <w:rPr>
                <w:rFonts w:ascii="宋体" w:hAnsi="宋体"/>
                <w:color w:val="auto"/>
                <w:szCs w:val="21"/>
                <w:highlight w:val="none"/>
              </w:rPr>
              <w:t>3</w:t>
            </w:r>
            <w:r>
              <w:rPr>
                <w:rFonts w:hint="eastAsia" w:ascii="宋体" w:hAnsi="宋体"/>
                <w:color w:val="auto"/>
                <w:szCs w:val="21"/>
                <w:highlight w:val="none"/>
              </w:rPr>
              <w:t>.</w:t>
            </w:r>
            <w:r>
              <w:rPr>
                <w:rFonts w:ascii="宋体" w:hAnsi="宋体"/>
                <w:color w:val="auto"/>
                <w:szCs w:val="21"/>
                <w:highlight w:val="none"/>
              </w:rPr>
              <w:t>8</w:t>
            </w:r>
            <w:r>
              <w:rPr>
                <w:rFonts w:hint="eastAsia" w:ascii="宋体" w:hAnsi="宋体"/>
                <w:color w:val="auto"/>
                <w:szCs w:val="21"/>
                <w:highlight w:val="none"/>
              </w:rPr>
              <w:t>规定的串通投标情形，见</w:t>
            </w:r>
            <w:r>
              <w:rPr>
                <w:rFonts w:ascii="宋体" w:hAnsi="宋体"/>
                <w:color w:val="auto"/>
                <w:szCs w:val="21"/>
                <w:highlight w:val="none"/>
              </w:rPr>
              <w:t>第六章响应文件格式要求</w:t>
            </w:r>
          </w:p>
        </w:tc>
      </w:tr>
      <w:tr w14:paraId="0D3C3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1101" w:type="dxa"/>
            <w:vMerge w:val="restart"/>
            <w:noWrap w:val="0"/>
            <w:vAlign w:val="center"/>
          </w:tcPr>
          <w:p w14:paraId="483D4EA1">
            <w:pPr>
              <w:spacing w:line="240" w:lineRule="exact"/>
              <w:jc w:val="center"/>
              <w:rPr>
                <w:color w:val="auto"/>
                <w:kern w:val="0"/>
                <w:szCs w:val="21"/>
                <w:highlight w:val="none"/>
              </w:rPr>
            </w:pPr>
            <w:r>
              <w:rPr>
                <w:rFonts w:hint="eastAsia"/>
                <w:color w:val="auto"/>
                <w:kern w:val="0"/>
                <w:szCs w:val="21"/>
                <w:highlight w:val="none"/>
              </w:rPr>
              <w:t>技术</w:t>
            </w:r>
          </w:p>
        </w:tc>
        <w:tc>
          <w:tcPr>
            <w:tcW w:w="2693" w:type="dxa"/>
            <w:noWrap w:val="0"/>
            <w:vAlign w:val="center"/>
          </w:tcPr>
          <w:p w14:paraId="28987D0E">
            <w:pPr>
              <w:spacing w:line="240" w:lineRule="exact"/>
              <w:rPr>
                <w:color w:val="auto"/>
                <w:szCs w:val="21"/>
                <w:highlight w:val="none"/>
                <w:lang w:val="zh-CN"/>
              </w:rPr>
            </w:pPr>
            <w:r>
              <w:rPr>
                <w:color w:val="auto"/>
                <w:szCs w:val="21"/>
                <w:highlight w:val="none"/>
                <w:lang w:val="zh-CN"/>
              </w:rPr>
              <w:t>工期</w:t>
            </w:r>
          </w:p>
        </w:tc>
        <w:tc>
          <w:tcPr>
            <w:tcW w:w="5777" w:type="dxa"/>
            <w:noWrap w:val="0"/>
            <w:vAlign w:val="center"/>
          </w:tcPr>
          <w:p w14:paraId="6F84C21D">
            <w:pPr>
              <w:spacing w:line="240" w:lineRule="exact"/>
              <w:rPr>
                <w:color w:val="auto"/>
                <w:szCs w:val="21"/>
                <w:highlight w:val="none"/>
                <w:lang w:val="zh-CN"/>
              </w:rPr>
            </w:pPr>
            <w:r>
              <w:rPr>
                <w:color w:val="auto"/>
                <w:szCs w:val="21"/>
                <w:highlight w:val="none"/>
              </w:rPr>
              <w:t>满足</w:t>
            </w:r>
            <w:r>
              <w:rPr>
                <w:rFonts w:hint="eastAsia" w:ascii="宋体" w:hAnsi="宋体"/>
                <w:color w:val="auto"/>
                <w:szCs w:val="21"/>
                <w:highlight w:val="none"/>
              </w:rPr>
              <w:t>采购</w:t>
            </w:r>
            <w:r>
              <w:rPr>
                <w:rFonts w:hint="eastAsia"/>
                <w:color w:val="auto"/>
                <w:szCs w:val="21"/>
                <w:highlight w:val="none"/>
              </w:rPr>
              <w:t>文件</w:t>
            </w:r>
            <w:r>
              <w:rPr>
                <w:color w:val="auto"/>
                <w:szCs w:val="21"/>
                <w:highlight w:val="none"/>
              </w:rPr>
              <w:t>规定</w:t>
            </w:r>
          </w:p>
        </w:tc>
      </w:tr>
      <w:tr w14:paraId="2E320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1101" w:type="dxa"/>
            <w:vMerge w:val="continue"/>
            <w:noWrap w:val="0"/>
            <w:vAlign w:val="center"/>
          </w:tcPr>
          <w:p w14:paraId="0C6FF498">
            <w:pPr>
              <w:spacing w:line="240" w:lineRule="exact"/>
              <w:jc w:val="center"/>
              <w:rPr>
                <w:color w:val="auto"/>
                <w:kern w:val="0"/>
                <w:szCs w:val="21"/>
                <w:highlight w:val="none"/>
              </w:rPr>
            </w:pPr>
          </w:p>
        </w:tc>
        <w:tc>
          <w:tcPr>
            <w:tcW w:w="2693" w:type="dxa"/>
            <w:noWrap w:val="0"/>
            <w:vAlign w:val="center"/>
          </w:tcPr>
          <w:p w14:paraId="5AF13E60">
            <w:pPr>
              <w:spacing w:line="240" w:lineRule="exact"/>
              <w:rPr>
                <w:color w:val="auto"/>
                <w:szCs w:val="21"/>
                <w:highlight w:val="none"/>
                <w:lang w:val="zh-CN"/>
              </w:rPr>
            </w:pPr>
            <w:r>
              <w:rPr>
                <w:color w:val="auto"/>
                <w:szCs w:val="21"/>
                <w:highlight w:val="none"/>
                <w:lang w:val="zh-CN"/>
              </w:rPr>
              <w:t>工程质量</w:t>
            </w:r>
          </w:p>
        </w:tc>
        <w:tc>
          <w:tcPr>
            <w:tcW w:w="5777" w:type="dxa"/>
            <w:noWrap w:val="0"/>
            <w:vAlign w:val="center"/>
          </w:tcPr>
          <w:p w14:paraId="2E6D2C67">
            <w:pPr>
              <w:spacing w:line="240" w:lineRule="exact"/>
              <w:rPr>
                <w:color w:val="auto"/>
                <w:szCs w:val="21"/>
                <w:highlight w:val="none"/>
                <w:lang w:val="zh-CN"/>
              </w:rPr>
            </w:pPr>
            <w:r>
              <w:rPr>
                <w:color w:val="auto"/>
                <w:szCs w:val="21"/>
                <w:highlight w:val="none"/>
              </w:rPr>
              <w:t>满足</w:t>
            </w:r>
            <w:r>
              <w:rPr>
                <w:rFonts w:hint="eastAsia" w:ascii="宋体" w:hAnsi="宋体"/>
                <w:color w:val="auto"/>
                <w:szCs w:val="21"/>
                <w:highlight w:val="none"/>
              </w:rPr>
              <w:t>采购</w:t>
            </w:r>
            <w:r>
              <w:rPr>
                <w:rFonts w:hint="eastAsia"/>
                <w:color w:val="auto"/>
                <w:szCs w:val="21"/>
                <w:highlight w:val="none"/>
              </w:rPr>
              <w:t>文件</w:t>
            </w:r>
            <w:r>
              <w:rPr>
                <w:color w:val="auto"/>
                <w:szCs w:val="21"/>
                <w:highlight w:val="none"/>
              </w:rPr>
              <w:t>规定</w:t>
            </w:r>
          </w:p>
        </w:tc>
      </w:tr>
      <w:tr w14:paraId="5C5A0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1101" w:type="dxa"/>
            <w:vMerge w:val="continue"/>
            <w:noWrap w:val="0"/>
            <w:vAlign w:val="center"/>
          </w:tcPr>
          <w:p w14:paraId="0F04980F">
            <w:pPr>
              <w:spacing w:line="240" w:lineRule="exact"/>
              <w:jc w:val="center"/>
              <w:rPr>
                <w:color w:val="auto"/>
                <w:kern w:val="0"/>
                <w:szCs w:val="21"/>
                <w:highlight w:val="none"/>
              </w:rPr>
            </w:pPr>
          </w:p>
        </w:tc>
        <w:tc>
          <w:tcPr>
            <w:tcW w:w="2693" w:type="dxa"/>
            <w:noWrap w:val="0"/>
            <w:vAlign w:val="center"/>
          </w:tcPr>
          <w:p w14:paraId="5B4660C5">
            <w:pPr>
              <w:rPr>
                <w:color w:val="auto"/>
                <w:szCs w:val="21"/>
                <w:highlight w:val="none"/>
              </w:rPr>
            </w:pPr>
            <w:r>
              <w:rPr>
                <w:rFonts w:hint="eastAsia"/>
                <w:color w:val="auto"/>
                <w:szCs w:val="21"/>
                <w:highlight w:val="none"/>
              </w:rPr>
              <w:t>响应</w:t>
            </w:r>
            <w:r>
              <w:rPr>
                <w:color w:val="auto"/>
                <w:szCs w:val="21"/>
                <w:highlight w:val="none"/>
              </w:rPr>
              <w:t>有效期</w:t>
            </w:r>
          </w:p>
        </w:tc>
        <w:tc>
          <w:tcPr>
            <w:tcW w:w="5777" w:type="dxa"/>
            <w:noWrap w:val="0"/>
            <w:vAlign w:val="center"/>
          </w:tcPr>
          <w:p w14:paraId="6C9F9367">
            <w:pPr>
              <w:rPr>
                <w:rFonts w:hint="eastAsia"/>
                <w:color w:val="auto"/>
                <w:szCs w:val="21"/>
                <w:highlight w:val="none"/>
              </w:rPr>
            </w:pPr>
            <w:r>
              <w:rPr>
                <w:color w:val="auto"/>
                <w:szCs w:val="21"/>
                <w:highlight w:val="none"/>
              </w:rPr>
              <w:t>满足</w:t>
            </w:r>
            <w:r>
              <w:rPr>
                <w:rFonts w:hint="eastAsia" w:ascii="宋体" w:hAnsi="宋体"/>
                <w:color w:val="auto"/>
                <w:szCs w:val="21"/>
                <w:highlight w:val="none"/>
              </w:rPr>
              <w:t>采购</w:t>
            </w:r>
            <w:r>
              <w:rPr>
                <w:color w:val="auto"/>
                <w:szCs w:val="21"/>
                <w:highlight w:val="none"/>
              </w:rPr>
              <w:t>文件规定</w:t>
            </w:r>
          </w:p>
        </w:tc>
      </w:tr>
      <w:tr w14:paraId="70E81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1101" w:type="dxa"/>
            <w:vMerge w:val="continue"/>
            <w:noWrap w:val="0"/>
            <w:vAlign w:val="center"/>
          </w:tcPr>
          <w:p w14:paraId="5F21AECE">
            <w:pPr>
              <w:spacing w:line="240" w:lineRule="exact"/>
              <w:jc w:val="center"/>
              <w:rPr>
                <w:color w:val="auto"/>
                <w:kern w:val="0"/>
                <w:szCs w:val="21"/>
                <w:highlight w:val="none"/>
              </w:rPr>
            </w:pPr>
          </w:p>
        </w:tc>
        <w:tc>
          <w:tcPr>
            <w:tcW w:w="2693" w:type="dxa"/>
            <w:noWrap w:val="0"/>
            <w:vAlign w:val="center"/>
          </w:tcPr>
          <w:p w14:paraId="6CD61E46">
            <w:pPr>
              <w:rPr>
                <w:rFonts w:hint="eastAsia"/>
                <w:color w:val="auto"/>
                <w:szCs w:val="21"/>
                <w:highlight w:val="none"/>
              </w:rPr>
            </w:pPr>
            <w:r>
              <w:rPr>
                <w:rFonts w:hint="eastAsia"/>
                <w:color w:val="auto"/>
                <w:szCs w:val="21"/>
                <w:highlight w:val="none"/>
              </w:rPr>
              <w:t>技术标准和要求</w:t>
            </w:r>
          </w:p>
        </w:tc>
        <w:tc>
          <w:tcPr>
            <w:tcW w:w="5777" w:type="dxa"/>
            <w:noWrap w:val="0"/>
            <w:vAlign w:val="center"/>
          </w:tcPr>
          <w:p w14:paraId="10908980">
            <w:pPr>
              <w:rPr>
                <w:color w:val="auto"/>
                <w:szCs w:val="21"/>
                <w:highlight w:val="none"/>
              </w:rPr>
            </w:pPr>
            <w:r>
              <w:rPr>
                <w:color w:val="auto"/>
                <w:szCs w:val="21"/>
                <w:highlight w:val="none"/>
              </w:rPr>
              <w:t>满足</w:t>
            </w:r>
            <w:r>
              <w:rPr>
                <w:rFonts w:hint="eastAsia" w:ascii="宋体" w:hAnsi="宋体"/>
                <w:color w:val="auto"/>
                <w:szCs w:val="21"/>
                <w:highlight w:val="none"/>
              </w:rPr>
              <w:t>采购</w:t>
            </w:r>
            <w:r>
              <w:rPr>
                <w:color w:val="auto"/>
                <w:szCs w:val="21"/>
                <w:highlight w:val="none"/>
              </w:rPr>
              <w:t>文件规定</w:t>
            </w:r>
          </w:p>
        </w:tc>
      </w:tr>
      <w:tr w14:paraId="13BEF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1101" w:type="dxa"/>
            <w:vMerge w:val="continue"/>
            <w:noWrap w:val="0"/>
            <w:vAlign w:val="center"/>
          </w:tcPr>
          <w:p w14:paraId="1423BA68">
            <w:pPr>
              <w:spacing w:line="240" w:lineRule="exact"/>
              <w:jc w:val="center"/>
              <w:rPr>
                <w:color w:val="auto"/>
                <w:kern w:val="0"/>
                <w:szCs w:val="21"/>
                <w:highlight w:val="none"/>
              </w:rPr>
            </w:pPr>
          </w:p>
        </w:tc>
        <w:tc>
          <w:tcPr>
            <w:tcW w:w="2693" w:type="dxa"/>
            <w:noWrap w:val="0"/>
            <w:vAlign w:val="center"/>
          </w:tcPr>
          <w:p w14:paraId="6A2C9E33">
            <w:pPr>
              <w:rPr>
                <w:rFonts w:hint="eastAsia"/>
                <w:color w:val="auto"/>
                <w:szCs w:val="21"/>
                <w:highlight w:val="none"/>
              </w:rPr>
            </w:pPr>
            <w:r>
              <w:rPr>
                <w:rFonts w:hint="eastAsia"/>
                <w:color w:val="auto"/>
                <w:szCs w:val="21"/>
                <w:highlight w:val="none"/>
              </w:rPr>
              <w:t>分包计划（如有）</w:t>
            </w:r>
          </w:p>
        </w:tc>
        <w:tc>
          <w:tcPr>
            <w:tcW w:w="5777" w:type="dxa"/>
            <w:noWrap w:val="0"/>
            <w:vAlign w:val="center"/>
          </w:tcPr>
          <w:p w14:paraId="247A611D">
            <w:pPr>
              <w:rPr>
                <w:color w:val="auto"/>
                <w:szCs w:val="21"/>
                <w:highlight w:val="none"/>
              </w:rPr>
            </w:pPr>
            <w:r>
              <w:rPr>
                <w:color w:val="auto"/>
                <w:szCs w:val="21"/>
                <w:highlight w:val="none"/>
              </w:rPr>
              <w:t>满足</w:t>
            </w:r>
            <w:r>
              <w:rPr>
                <w:rFonts w:hint="eastAsia" w:ascii="宋体" w:hAnsi="宋体"/>
                <w:color w:val="auto"/>
                <w:szCs w:val="21"/>
                <w:highlight w:val="none"/>
              </w:rPr>
              <w:t>采购</w:t>
            </w:r>
            <w:r>
              <w:rPr>
                <w:color w:val="auto"/>
                <w:szCs w:val="21"/>
                <w:highlight w:val="none"/>
              </w:rPr>
              <w:t>文件规定</w:t>
            </w:r>
          </w:p>
        </w:tc>
      </w:tr>
      <w:tr w14:paraId="18A14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1101" w:type="dxa"/>
            <w:vMerge w:val="continue"/>
            <w:noWrap w:val="0"/>
            <w:vAlign w:val="center"/>
          </w:tcPr>
          <w:p w14:paraId="1A97CF0A">
            <w:pPr>
              <w:spacing w:line="240" w:lineRule="exact"/>
              <w:jc w:val="center"/>
              <w:rPr>
                <w:color w:val="auto"/>
                <w:kern w:val="0"/>
                <w:szCs w:val="21"/>
                <w:highlight w:val="none"/>
              </w:rPr>
            </w:pPr>
          </w:p>
        </w:tc>
        <w:tc>
          <w:tcPr>
            <w:tcW w:w="2693" w:type="dxa"/>
            <w:noWrap w:val="0"/>
            <w:vAlign w:val="center"/>
          </w:tcPr>
          <w:p w14:paraId="1F8EA300">
            <w:pPr>
              <w:spacing w:line="240" w:lineRule="exact"/>
              <w:rPr>
                <w:color w:val="auto"/>
                <w:szCs w:val="21"/>
                <w:highlight w:val="none"/>
                <w:lang w:val="zh-CN"/>
              </w:rPr>
            </w:pPr>
            <w:r>
              <w:rPr>
                <w:color w:val="auto"/>
                <w:szCs w:val="21"/>
                <w:highlight w:val="none"/>
                <w:lang w:val="zh-CN"/>
              </w:rPr>
              <w:t>已标价工程量清单</w:t>
            </w:r>
          </w:p>
        </w:tc>
        <w:tc>
          <w:tcPr>
            <w:tcW w:w="5777" w:type="dxa"/>
            <w:noWrap w:val="0"/>
            <w:vAlign w:val="center"/>
          </w:tcPr>
          <w:p w14:paraId="74360D94">
            <w:pPr>
              <w:spacing w:line="240" w:lineRule="exact"/>
              <w:rPr>
                <w:color w:val="auto"/>
                <w:szCs w:val="21"/>
                <w:highlight w:val="none"/>
                <w:lang w:val="zh-CN"/>
              </w:rPr>
            </w:pPr>
            <w:r>
              <w:rPr>
                <w:color w:val="auto"/>
                <w:szCs w:val="21"/>
                <w:highlight w:val="none"/>
                <w:lang w:val="zh-CN"/>
              </w:rPr>
              <w:t>符合</w:t>
            </w:r>
            <w:r>
              <w:rPr>
                <w:color w:val="auto"/>
                <w:szCs w:val="21"/>
                <w:highlight w:val="none"/>
              </w:rPr>
              <w:t>第</w:t>
            </w:r>
            <w:r>
              <w:rPr>
                <w:rFonts w:hint="eastAsia"/>
                <w:color w:val="auto"/>
                <w:szCs w:val="21"/>
                <w:highlight w:val="none"/>
              </w:rPr>
              <w:t>二</w:t>
            </w:r>
            <w:r>
              <w:rPr>
                <w:color w:val="auto"/>
                <w:szCs w:val="21"/>
                <w:highlight w:val="none"/>
              </w:rPr>
              <w:t>章“工程量清单”及 “</w:t>
            </w:r>
            <w:r>
              <w:rPr>
                <w:rFonts w:hint="eastAsia"/>
                <w:color w:val="auto"/>
                <w:szCs w:val="21"/>
                <w:highlight w:val="none"/>
              </w:rPr>
              <w:t>图纸</w:t>
            </w:r>
            <w:r>
              <w:rPr>
                <w:color w:val="auto"/>
                <w:szCs w:val="21"/>
                <w:highlight w:val="none"/>
              </w:rPr>
              <w:t>”</w:t>
            </w:r>
            <w:r>
              <w:rPr>
                <w:color w:val="auto"/>
                <w:szCs w:val="21"/>
                <w:highlight w:val="none"/>
                <w:lang w:val="zh-CN"/>
              </w:rPr>
              <w:t>给出的范围、数量及编制要求</w:t>
            </w:r>
          </w:p>
        </w:tc>
      </w:tr>
      <w:tr w14:paraId="17D6D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1101" w:type="dxa"/>
            <w:vMerge w:val="continue"/>
            <w:noWrap w:val="0"/>
            <w:vAlign w:val="center"/>
          </w:tcPr>
          <w:p w14:paraId="5A97AC7A">
            <w:pPr>
              <w:spacing w:line="240" w:lineRule="exact"/>
              <w:jc w:val="center"/>
              <w:rPr>
                <w:color w:val="auto"/>
                <w:kern w:val="0"/>
                <w:szCs w:val="21"/>
                <w:highlight w:val="none"/>
              </w:rPr>
            </w:pPr>
          </w:p>
        </w:tc>
        <w:tc>
          <w:tcPr>
            <w:tcW w:w="2693" w:type="dxa"/>
            <w:noWrap w:val="0"/>
            <w:vAlign w:val="center"/>
          </w:tcPr>
          <w:p w14:paraId="2DDCD94B">
            <w:pPr>
              <w:spacing w:line="240" w:lineRule="exact"/>
              <w:rPr>
                <w:color w:val="auto"/>
                <w:szCs w:val="21"/>
                <w:highlight w:val="none"/>
                <w:lang w:val="zh-CN"/>
              </w:rPr>
            </w:pPr>
            <w:r>
              <w:rPr>
                <w:rFonts w:hint="eastAsia"/>
                <w:color w:val="auto"/>
                <w:szCs w:val="21"/>
                <w:highlight w:val="none"/>
                <w:lang w:val="en-US" w:eastAsia="zh-CN"/>
              </w:rPr>
              <w:t>权利义务</w:t>
            </w:r>
          </w:p>
        </w:tc>
        <w:tc>
          <w:tcPr>
            <w:tcW w:w="5777" w:type="dxa"/>
            <w:noWrap w:val="0"/>
            <w:vAlign w:val="center"/>
          </w:tcPr>
          <w:p w14:paraId="39ED7F93">
            <w:pPr>
              <w:spacing w:line="240" w:lineRule="exact"/>
              <w:rPr>
                <w:color w:val="auto"/>
                <w:szCs w:val="21"/>
                <w:highlight w:val="none"/>
                <w:lang w:val="zh-CN"/>
              </w:rPr>
            </w:pPr>
            <w:r>
              <w:rPr>
                <w:rFonts w:hint="eastAsia"/>
                <w:color w:val="auto"/>
                <w:szCs w:val="21"/>
                <w:highlight w:val="none"/>
                <w:lang w:val="en-US" w:eastAsia="zh-CN"/>
              </w:rPr>
              <w:t>响应函</w:t>
            </w:r>
            <w:r>
              <w:rPr>
                <w:rFonts w:hint="eastAsia"/>
                <w:color w:val="auto"/>
                <w:szCs w:val="21"/>
                <w:highlight w:val="none"/>
                <w:lang w:val="zh-CN"/>
              </w:rPr>
              <w:t>附录中的相关承诺符合或优于第</w:t>
            </w:r>
            <w:r>
              <w:rPr>
                <w:rFonts w:hint="eastAsia"/>
                <w:color w:val="auto"/>
                <w:szCs w:val="21"/>
                <w:highlight w:val="none"/>
                <w:lang w:val="en-US" w:eastAsia="zh-CN"/>
              </w:rPr>
              <w:t>五</w:t>
            </w:r>
            <w:r>
              <w:rPr>
                <w:rFonts w:hint="eastAsia"/>
                <w:color w:val="auto"/>
                <w:szCs w:val="21"/>
                <w:highlight w:val="none"/>
                <w:lang w:val="zh-CN"/>
              </w:rPr>
              <w:t>章“合同</w:t>
            </w:r>
            <w:r>
              <w:rPr>
                <w:rFonts w:hint="eastAsia"/>
                <w:color w:val="auto"/>
                <w:szCs w:val="21"/>
                <w:highlight w:val="none"/>
                <w:lang w:val="en-US" w:eastAsia="zh-CN"/>
              </w:rPr>
              <w:t>主要条款格式</w:t>
            </w:r>
            <w:r>
              <w:rPr>
                <w:rFonts w:hint="eastAsia"/>
                <w:color w:val="auto"/>
                <w:szCs w:val="21"/>
                <w:highlight w:val="none"/>
                <w:lang w:val="zh-CN"/>
              </w:rPr>
              <w:t>”的相关规定</w:t>
            </w:r>
          </w:p>
        </w:tc>
      </w:tr>
      <w:tr w14:paraId="7B409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1101" w:type="dxa"/>
            <w:vMerge w:val="restart"/>
            <w:noWrap w:val="0"/>
            <w:vAlign w:val="center"/>
          </w:tcPr>
          <w:p w14:paraId="0D936323">
            <w:pPr>
              <w:spacing w:line="240" w:lineRule="exact"/>
              <w:jc w:val="center"/>
              <w:rPr>
                <w:rFonts w:hint="eastAsia"/>
                <w:color w:val="auto"/>
                <w:szCs w:val="21"/>
                <w:highlight w:val="none"/>
              </w:rPr>
            </w:pPr>
            <w:r>
              <w:rPr>
                <w:rFonts w:hint="eastAsia"/>
                <w:color w:val="auto"/>
                <w:kern w:val="0"/>
                <w:szCs w:val="21"/>
                <w:highlight w:val="none"/>
              </w:rPr>
              <w:t>报价</w:t>
            </w:r>
          </w:p>
        </w:tc>
        <w:tc>
          <w:tcPr>
            <w:tcW w:w="2693" w:type="dxa"/>
            <w:noWrap w:val="0"/>
            <w:vAlign w:val="center"/>
          </w:tcPr>
          <w:p w14:paraId="7CC07F9D">
            <w:pPr>
              <w:rPr>
                <w:rFonts w:hint="eastAsia"/>
                <w:color w:val="auto"/>
                <w:highlight w:val="none"/>
              </w:rPr>
            </w:pPr>
            <w:r>
              <w:rPr>
                <w:rFonts w:hint="eastAsia"/>
                <w:color w:val="auto"/>
                <w:highlight w:val="none"/>
              </w:rPr>
              <w:t>有效报价</w:t>
            </w:r>
          </w:p>
        </w:tc>
        <w:tc>
          <w:tcPr>
            <w:tcW w:w="5777" w:type="dxa"/>
            <w:noWrap w:val="0"/>
            <w:vAlign w:val="center"/>
          </w:tcPr>
          <w:p w14:paraId="22053F4C">
            <w:pPr>
              <w:rPr>
                <w:rFonts w:hint="eastAsia"/>
                <w:color w:val="auto"/>
                <w:highlight w:val="none"/>
              </w:rPr>
            </w:pPr>
            <w:r>
              <w:rPr>
                <w:rFonts w:hint="eastAsia"/>
                <w:color w:val="auto"/>
                <w:highlight w:val="none"/>
              </w:rPr>
              <w:t>最后报价未超出采购预算金额（包括分项预算），也未超出最高限价（如有）</w:t>
            </w:r>
          </w:p>
        </w:tc>
      </w:tr>
      <w:tr w14:paraId="6D16A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1101" w:type="dxa"/>
            <w:vMerge w:val="continue"/>
            <w:noWrap w:val="0"/>
            <w:vAlign w:val="center"/>
          </w:tcPr>
          <w:p w14:paraId="394B5BF0">
            <w:pPr>
              <w:spacing w:line="240" w:lineRule="exact"/>
              <w:jc w:val="center"/>
              <w:rPr>
                <w:color w:val="auto"/>
                <w:szCs w:val="21"/>
                <w:highlight w:val="none"/>
              </w:rPr>
            </w:pPr>
          </w:p>
        </w:tc>
        <w:tc>
          <w:tcPr>
            <w:tcW w:w="2693" w:type="dxa"/>
            <w:noWrap w:val="0"/>
            <w:vAlign w:val="center"/>
          </w:tcPr>
          <w:p w14:paraId="300BC14D">
            <w:pPr>
              <w:rPr>
                <w:rFonts w:hint="eastAsia"/>
                <w:color w:val="auto"/>
                <w:highlight w:val="none"/>
              </w:rPr>
            </w:pPr>
            <w:r>
              <w:rPr>
                <w:rFonts w:hint="eastAsia"/>
                <w:color w:val="auto"/>
                <w:highlight w:val="none"/>
              </w:rPr>
              <w:t>漏项报价</w:t>
            </w:r>
          </w:p>
        </w:tc>
        <w:tc>
          <w:tcPr>
            <w:tcW w:w="5777" w:type="dxa"/>
            <w:noWrap w:val="0"/>
            <w:vAlign w:val="center"/>
          </w:tcPr>
          <w:p w14:paraId="544A2EF3">
            <w:pPr>
              <w:rPr>
                <w:rFonts w:hint="eastAsia"/>
                <w:color w:val="auto"/>
                <w:highlight w:val="none"/>
              </w:rPr>
            </w:pPr>
            <w:r>
              <w:rPr>
                <w:rFonts w:hint="eastAsia"/>
                <w:color w:val="auto"/>
                <w:highlight w:val="none"/>
              </w:rPr>
              <w:t>未就所投分标进行报价或者存在漏项报价；</w:t>
            </w:r>
          </w:p>
        </w:tc>
      </w:tr>
      <w:tr w14:paraId="751C4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1101" w:type="dxa"/>
            <w:vMerge w:val="continue"/>
            <w:noWrap w:val="0"/>
            <w:vAlign w:val="center"/>
          </w:tcPr>
          <w:p w14:paraId="391814D6">
            <w:pPr>
              <w:spacing w:line="240" w:lineRule="exact"/>
              <w:jc w:val="center"/>
              <w:rPr>
                <w:color w:val="auto"/>
                <w:szCs w:val="21"/>
                <w:highlight w:val="none"/>
              </w:rPr>
            </w:pPr>
          </w:p>
        </w:tc>
        <w:tc>
          <w:tcPr>
            <w:tcW w:w="2693" w:type="dxa"/>
            <w:noWrap w:val="0"/>
            <w:vAlign w:val="center"/>
          </w:tcPr>
          <w:p w14:paraId="52C2D599">
            <w:pPr>
              <w:rPr>
                <w:rFonts w:hint="eastAsia"/>
                <w:color w:val="auto"/>
                <w:highlight w:val="none"/>
              </w:rPr>
            </w:pPr>
            <w:r>
              <w:rPr>
                <w:rFonts w:hint="eastAsia"/>
                <w:color w:val="auto"/>
                <w:highlight w:val="none"/>
              </w:rPr>
              <w:t>响应报价唯一性</w:t>
            </w:r>
          </w:p>
        </w:tc>
        <w:tc>
          <w:tcPr>
            <w:tcW w:w="5777" w:type="dxa"/>
            <w:noWrap w:val="0"/>
            <w:vAlign w:val="center"/>
          </w:tcPr>
          <w:p w14:paraId="28A0010F">
            <w:pPr>
              <w:rPr>
                <w:color w:val="auto"/>
                <w:highlight w:val="none"/>
              </w:rPr>
            </w:pPr>
            <w:r>
              <w:rPr>
                <w:rFonts w:hint="eastAsia"/>
                <w:color w:val="auto"/>
                <w:highlight w:val="none"/>
              </w:rPr>
              <w:t>不存在有选择、有条件的最后报价（采购文件允许有备选方案或者其他约定的除外）</w:t>
            </w:r>
          </w:p>
        </w:tc>
      </w:tr>
      <w:tr w14:paraId="2E332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1101" w:type="dxa"/>
            <w:vMerge w:val="continue"/>
            <w:noWrap w:val="0"/>
            <w:vAlign w:val="center"/>
          </w:tcPr>
          <w:p w14:paraId="7DB4B645">
            <w:pPr>
              <w:spacing w:line="240" w:lineRule="exact"/>
              <w:jc w:val="center"/>
              <w:rPr>
                <w:color w:val="auto"/>
                <w:szCs w:val="21"/>
                <w:highlight w:val="none"/>
              </w:rPr>
            </w:pPr>
          </w:p>
        </w:tc>
        <w:tc>
          <w:tcPr>
            <w:tcW w:w="2693" w:type="dxa"/>
            <w:noWrap w:val="0"/>
            <w:vAlign w:val="center"/>
          </w:tcPr>
          <w:p w14:paraId="65AEA8D1">
            <w:pPr>
              <w:spacing w:line="240" w:lineRule="exact"/>
              <w:rPr>
                <w:rFonts w:hint="eastAsia" w:ascii="Times New Roman" w:hAnsi="Times New Roman" w:eastAsia="宋体" w:cs="Times New Roman"/>
                <w:color w:val="auto"/>
                <w:kern w:val="2"/>
                <w:sz w:val="21"/>
                <w:szCs w:val="24"/>
                <w:highlight w:val="none"/>
                <w:lang w:val="zh-CN" w:eastAsia="zh-CN" w:bidi="ar-SA"/>
              </w:rPr>
            </w:pPr>
            <w:r>
              <w:rPr>
                <w:rFonts w:hint="eastAsia"/>
                <w:color w:val="auto"/>
                <w:szCs w:val="21"/>
                <w:highlight w:val="none"/>
                <w:lang w:val="zh-CN"/>
              </w:rPr>
              <w:t>过低报价合理性</w:t>
            </w:r>
          </w:p>
        </w:tc>
        <w:tc>
          <w:tcPr>
            <w:tcW w:w="5777" w:type="dxa"/>
            <w:noWrap w:val="0"/>
            <w:vAlign w:val="center"/>
          </w:tcPr>
          <w:p w14:paraId="144DD9F1">
            <w:pPr>
              <w:spacing w:line="240" w:lineRule="exact"/>
              <w:rPr>
                <w:rFonts w:hint="eastAsia"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供应商</w:t>
            </w:r>
            <w:r>
              <w:rPr>
                <w:rFonts w:hint="eastAsia"/>
                <w:color w:val="auto"/>
                <w:highlight w:val="none"/>
              </w:rPr>
              <w:t>的</w:t>
            </w:r>
            <w:r>
              <w:rPr>
                <w:rFonts w:hint="eastAsia"/>
                <w:color w:val="auto"/>
                <w:highlight w:val="none"/>
                <w:lang w:val="en-US" w:eastAsia="zh-CN"/>
              </w:rPr>
              <w:t>报价</w:t>
            </w:r>
            <w:r>
              <w:rPr>
                <w:rFonts w:hint="eastAsia"/>
                <w:color w:val="auto"/>
                <w:highlight w:val="none"/>
              </w:rPr>
              <w:t>存在异常低价问题</w:t>
            </w:r>
            <w:r>
              <w:rPr>
                <w:rFonts w:hint="eastAsia"/>
                <w:color w:val="auto"/>
                <w:highlight w:val="none"/>
                <w:lang w:val="en-US" w:eastAsia="zh-CN"/>
              </w:rPr>
              <w:t>的情形，评审委员会</w:t>
            </w:r>
            <w:r>
              <w:rPr>
                <w:rFonts w:hint="eastAsia"/>
                <w:color w:val="auto"/>
                <w:szCs w:val="21"/>
                <w:highlight w:val="none"/>
              </w:rPr>
              <w:t>应当要求其在</w:t>
            </w:r>
            <w:r>
              <w:rPr>
                <w:rFonts w:hint="eastAsia"/>
                <w:color w:val="auto"/>
                <w:szCs w:val="21"/>
                <w:highlight w:val="none"/>
                <w:lang w:val="en-US" w:eastAsia="zh-CN"/>
              </w:rPr>
              <w:t>评审</w:t>
            </w:r>
            <w:r>
              <w:rPr>
                <w:rFonts w:hint="eastAsia"/>
                <w:color w:val="auto"/>
                <w:szCs w:val="21"/>
                <w:highlight w:val="none"/>
              </w:rPr>
              <w:t>现场合理的时间内</w:t>
            </w:r>
            <w:r>
              <w:rPr>
                <w:rFonts w:hint="eastAsia"/>
                <w:color w:val="auto"/>
                <w:szCs w:val="21"/>
                <w:highlight w:val="none"/>
                <w:lang w:val="en-US" w:eastAsia="zh-CN"/>
              </w:rPr>
              <w:t>提供</w:t>
            </w:r>
            <w:r>
              <w:rPr>
                <w:rFonts w:hint="eastAsia"/>
                <w:color w:val="auto"/>
                <w:szCs w:val="21"/>
                <w:highlight w:val="none"/>
              </w:rPr>
              <w:t>报价合理性相关的书面说明及必要的证明材料。</w:t>
            </w:r>
            <w:r>
              <w:rPr>
                <w:rFonts w:hint="eastAsia"/>
                <w:color w:val="auto"/>
                <w:highlight w:val="none"/>
                <w:lang w:val="en-US" w:eastAsia="zh-CN"/>
              </w:rPr>
              <w:t>供应商</w:t>
            </w:r>
            <w:r>
              <w:rPr>
                <w:rFonts w:hint="eastAsia"/>
                <w:color w:val="auto"/>
                <w:highlight w:val="none"/>
              </w:rPr>
              <w:t>不能证明其报价合理性的，</w:t>
            </w:r>
            <w:r>
              <w:rPr>
                <w:rFonts w:hint="eastAsia"/>
                <w:color w:val="auto"/>
                <w:highlight w:val="none"/>
                <w:lang w:eastAsia="zh-CN"/>
              </w:rPr>
              <w:t>评审委员会</w:t>
            </w:r>
            <w:r>
              <w:rPr>
                <w:rFonts w:hint="eastAsia"/>
                <w:color w:val="auto"/>
                <w:highlight w:val="none"/>
              </w:rPr>
              <w:t>应当将其作为无效</w:t>
            </w:r>
            <w:r>
              <w:rPr>
                <w:rFonts w:hint="eastAsia"/>
                <w:color w:val="auto"/>
                <w:highlight w:val="none"/>
                <w:lang w:val="en-US" w:eastAsia="zh-CN"/>
              </w:rPr>
              <w:t>响应</w:t>
            </w:r>
            <w:r>
              <w:rPr>
                <w:rFonts w:hint="eastAsia"/>
                <w:color w:val="auto"/>
                <w:highlight w:val="none"/>
              </w:rPr>
              <w:t>处理。</w:t>
            </w:r>
          </w:p>
        </w:tc>
      </w:tr>
      <w:tr w14:paraId="48B7C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1101" w:type="dxa"/>
            <w:vMerge w:val="continue"/>
            <w:noWrap w:val="0"/>
            <w:vAlign w:val="center"/>
          </w:tcPr>
          <w:p w14:paraId="6088681A">
            <w:pPr>
              <w:spacing w:line="240" w:lineRule="exact"/>
              <w:jc w:val="center"/>
              <w:rPr>
                <w:color w:val="auto"/>
                <w:szCs w:val="21"/>
                <w:highlight w:val="none"/>
              </w:rPr>
            </w:pPr>
          </w:p>
        </w:tc>
        <w:tc>
          <w:tcPr>
            <w:tcW w:w="2693" w:type="dxa"/>
            <w:noWrap w:val="0"/>
            <w:vAlign w:val="center"/>
          </w:tcPr>
          <w:p w14:paraId="1E83A5D4">
            <w:pPr>
              <w:rPr>
                <w:rFonts w:hint="eastAsia"/>
                <w:color w:val="auto"/>
                <w:highlight w:val="none"/>
              </w:rPr>
            </w:pPr>
            <w:r>
              <w:rPr>
                <w:rFonts w:hint="eastAsia"/>
                <w:color w:val="auto"/>
                <w:highlight w:val="none"/>
              </w:rPr>
              <w:t>响应有效期</w:t>
            </w:r>
          </w:p>
        </w:tc>
        <w:tc>
          <w:tcPr>
            <w:tcW w:w="5777" w:type="dxa"/>
            <w:noWrap w:val="0"/>
            <w:vAlign w:val="center"/>
          </w:tcPr>
          <w:p w14:paraId="03B7950E">
            <w:pPr>
              <w:rPr>
                <w:rFonts w:hint="eastAsia"/>
                <w:color w:val="auto"/>
                <w:highlight w:val="none"/>
              </w:rPr>
            </w:pPr>
            <w:r>
              <w:rPr>
                <w:rFonts w:hint="eastAsia"/>
                <w:color w:val="auto"/>
                <w:highlight w:val="none"/>
              </w:rPr>
              <w:t>满足采购文件规定</w:t>
            </w:r>
          </w:p>
        </w:tc>
      </w:tr>
    </w:tbl>
    <w:p w14:paraId="1745085C">
      <w:pPr>
        <w:spacing w:before="120" w:line="320" w:lineRule="atLeast"/>
        <w:ind w:firstLine="413" w:firstLineChars="196"/>
        <w:outlineLvl w:val="1"/>
        <w:rPr>
          <w:b/>
          <w:bCs/>
          <w:color w:val="auto"/>
          <w:kern w:val="0"/>
          <w:szCs w:val="21"/>
          <w:highlight w:val="none"/>
        </w:rPr>
      </w:pPr>
      <w:r>
        <w:rPr>
          <w:b/>
          <w:bCs/>
          <w:color w:val="auto"/>
          <w:kern w:val="0"/>
          <w:szCs w:val="21"/>
          <w:highlight w:val="none"/>
        </w:rPr>
        <w:br w:type="page"/>
      </w:r>
      <w:r>
        <w:rPr>
          <w:b/>
          <w:bCs/>
          <w:color w:val="auto"/>
          <w:kern w:val="0"/>
          <w:szCs w:val="21"/>
          <w:highlight w:val="none"/>
        </w:rPr>
        <w:t>4.</w:t>
      </w:r>
      <w:r>
        <w:rPr>
          <w:rFonts w:hint="eastAsia"/>
          <w:b/>
          <w:bCs/>
          <w:color w:val="auto"/>
          <w:kern w:val="0"/>
          <w:szCs w:val="21"/>
          <w:highlight w:val="none"/>
        </w:rPr>
        <w:t>评审</w:t>
      </w:r>
      <w:r>
        <w:rPr>
          <w:b/>
          <w:bCs/>
          <w:color w:val="auto"/>
          <w:kern w:val="0"/>
          <w:szCs w:val="21"/>
          <w:highlight w:val="none"/>
        </w:rPr>
        <w:t>标准</w:t>
      </w:r>
    </w:p>
    <w:p w14:paraId="2FAB7D8D">
      <w:pPr>
        <w:ind w:firstLine="420" w:firstLineChars="200"/>
        <w:rPr>
          <w:color w:val="auto"/>
          <w:highlight w:val="none"/>
        </w:rPr>
      </w:pPr>
      <w:r>
        <w:rPr>
          <w:rFonts w:hint="eastAsia"/>
          <w:color w:val="auto"/>
          <w:highlight w:val="none"/>
        </w:rPr>
        <w:t>（1）技术及商务资信分</w:t>
      </w:r>
    </w:p>
    <w:tbl>
      <w:tblPr>
        <w:tblStyle w:val="54"/>
        <w:tblW w:w="505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1"/>
        <w:gridCol w:w="1285"/>
        <w:gridCol w:w="6545"/>
        <w:gridCol w:w="1070"/>
      </w:tblGrid>
      <w:tr w14:paraId="49A3E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399" w:type="pct"/>
            <w:noWrap w:val="0"/>
            <w:vAlign w:val="center"/>
          </w:tcPr>
          <w:p w14:paraId="3D765E66">
            <w:pPr>
              <w:jc w:val="center"/>
              <w:rPr>
                <w:b/>
                <w:color w:val="auto"/>
                <w:szCs w:val="21"/>
                <w:highlight w:val="none"/>
              </w:rPr>
            </w:pPr>
            <w:r>
              <w:rPr>
                <w:b/>
                <w:color w:val="auto"/>
                <w:szCs w:val="21"/>
                <w:highlight w:val="none"/>
              </w:rPr>
              <w:t>序号</w:t>
            </w:r>
          </w:p>
        </w:tc>
        <w:tc>
          <w:tcPr>
            <w:tcW w:w="664" w:type="pct"/>
            <w:noWrap w:val="0"/>
            <w:vAlign w:val="center"/>
          </w:tcPr>
          <w:p w14:paraId="4630EA44">
            <w:pPr>
              <w:jc w:val="center"/>
              <w:rPr>
                <w:b/>
                <w:color w:val="auto"/>
                <w:szCs w:val="21"/>
                <w:highlight w:val="none"/>
              </w:rPr>
            </w:pPr>
            <w:r>
              <w:rPr>
                <w:rFonts w:hint="eastAsia"/>
                <w:b/>
                <w:color w:val="auto"/>
                <w:szCs w:val="21"/>
                <w:highlight w:val="none"/>
              </w:rPr>
              <w:t>类型</w:t>
            </w:r>
          </w:p>
        </w:tc>
        <w:tc>
          <w:tcPr>
            <w:tcW w:w="3383" w:type="pct"/>
            <w:noWrap w:val="0"/>
            <w:vAlign w:val="top"/>
          </w:tcPr>
          <w:p w14:paraId="642A1087">
            <w:pPr>
              <w:jc w:val="center"/>
              <w:rPr>
                <w:b/>
                <w:color w:val="auto"/>
                <w:szCs w:val="21"/>
                <w:highlight w:val="none"/>
              </w:rPr>
            </w:pPr>
            <w:r>
              <w:rPr>
                <w:rFonts w:hint="eastAsia"/>
                <w:b/>
                <w:color w:val="auto"/>
                <w:szCs w:val="21"/>
                <w:highlight w:val="none"/>
              </w:rPr>
              <w:t>评分标准</w:t>
            </w:r>
          </w:p>
        </w:tc>
        <w:tc>
          <w:tcPr>
            <w:tcW w:w="553" w:type="pct"/>
            <w:noWrap w:val="0"/>
            <w:vAlign w:val="center"/>
          </w:tcPr>
          <w:p w14:paraId="746C4454">
            <w:pPr>
              <w:jc w:val="center"/>
              <w:rPr>
                <w:b/>
                <w:color w:val="auto"/>
                <w:szCs w:val="21"/>
                <w:highlight w:val="none"/>
              </w:rPr>
            </w:pPr>
            <w:r>
              <w:rPr>
                <w:rFonts w:hint="eastAsia"/>
                <w:b/>
                <w:color w:val="auto"/>
                <w:szCs w:val="21"/>
                <w:highlight w:val="none"/>
              </w:rPr>
              <w:t>分值</w:t>
            </w:r>
          </w:p>
        </w:tc>
      </w:tr>
      <w:tr w14:paraId="61529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399" w:type="pct"/>
            <w:vMerge w:val="restart"/>
            <w:noWrap w:val="0"/>
            <w:vAlign w:val="center"/>
          </w:tcPr>
          <w:p w14:paraId="75A48AA4">
            <w:pPr>
              <w:jc w:val="center"/>
              <w:rPr>
                <w:rFonts w:hint="eastAsia" w:eastAsia="宋体"/>
                <w:b/>
                <w:color w:val="auto"/>
                <w:szCs w:val="21"/>
                <w:highlight w:val="none"/>
                <w:lang w:val="en-US" w:eastAsia="zh-CN"/>
              </w:rPr>
            </w:pPr>
            <w:r>
              <w:rPr>
                <w:rFonts w:hint="eastAsia"/>
                <w:b w:val="0"/>
                <w:bCs/>
                <w:color w:val="auto"/>
                <w:szCs w:val="21"/>
                <w:highlight w:val="none"/>
                <w:lang w:val="en-US" w:eastAsia="zh-CN"/>
              </w:rPr>
              <w:t>1</w:t>
            </w:r>
          </w:p>
        </w:tc>
        <w:tc>
          <w:tcPr>
            <w:tcW w:w="664" w:type="pct"/>
            <w:vMerge w:val="restart"/>
            <w:noWrap w:val="0"/>
            <w:vAlign w:val="center"/>
          </w:tcPr>
          <w:p w14:paraId="6C4B95A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
                <w:bCs w:val="0"/>
                <w:color w:val="auto"/>
                <w:kern w:val="0"/>
                <w:sz w:val="21"/>
                <w:szCs w:val="21"/>
                <w:highlight w:val="none"/>
                <w:lang w:val="en-US" w:eastAsia="zh-CN" w:bidi="ar-SA"/>
              </w:rPr>
              <w:t>技术分（</w:t>
            </w:r>
            <w:r>
              <w:rPr>
                <w:rFonts w:hint="eastAsia" w:ascii="宋体" w:hAnsi="宋体" w:cs="宋体"/>
                <w:b/>
                <w:bCs w:val="0"/>
                <w:color w:val="auto"/>
                <w:kern w:val="0"/>
                <w:sz w:val="21"/>
                <w:szCs w:val="21"/>
                <w:highlight w:val="none"/>
                <w:lang w:val="en-US" w:eastAsia="zh-CN" w:bidi="ar-SA"/>
              </w:rPr>
              <w:t>62</w:t>
            </w:r>
            <w:r>
              <w:rPr>
                <w:rFonts w:hint="eastAsia" w:ascii="宋体" w:hAnsi="宋体" w:eastAsia="宋体" w:cs="宋体"/>
                <w:b/>
                <w:bCs w:val="0"/>
                <w:color w:val="auto"/>
                <w:kern w:val="0"/>
                <w:sz w:val="21"/>
                <w:szCs w:val="21"/>
                <w:highlight w:val="none"/>
                <w:lang w:val="en-US" w:eastAsia="zh-CN" w:bidi="ar-SA"/>
              </w:rPr>
              <w:t>分）</w:t>
            </w:r>
          </w:p>
        </w:tc>
        <w:tc>
          <w:tcPr>
            <w:tcW w:w="3383" w:type="pct"/>
            <w:noWrap w:val="0"/>
            <w:vAlign w:val="center"/>
          </w:tcPr>
          <w:p w14:paraId="033F4937">
            <w:pPr>
              <w:spacing w:line="360" w:lineRule="auto"/>
              <w:ind w:firstLine="420"/>
              <w:rPr>
                <w:rFonts w:hint="eastAsia" w:ascii="宋体" w:hAnsi="宋体" w:eastAsia="宋体" w:cs="宋体"/>
                <w:bCs/>
                <w:color w:val="auto"/>
                <w:kern w:val="0"/>
                <w:szCs w:val="21"/>
                <w:highlight w:val="none"/>
              </w:rPr>
            </w:pPr>
            <w:r>
              <w:rPr>
                <w:rFonts w:hint="eastAsia" w:ascii="宋体" w:hAnsi="宋体" w:eastAsia="宋体" w:cs="宋体"/>
                <w:b/>
                <w:bCs w:val="0"/>
                <w:color w:val="auto"/>
                <w:kern w:val="0"/>
                <w:szCs w:val="21"/>
                <w:highlight w:val="none"/>
                <w:lang w:val="en-US" w:eastAsia="zh-CN"/>
              </w:rPr>
              <w:t>1.1</w:t>
            </w:r>
            <w:r>
              <w:rPr>
                <w:rFonts w:hint="eastAsia" w:ascii="宋体" w:hAnsi="宋体" w:eastAsia="宋体" w:cs="宋体"/>
                <w:b/>
                <w:bCs w:val="0"/>
                <w:color w:val="auto"/>
                <w:kern w:val="0"/>
                <w:szCs w:val="21"/>
                <w:highlight w:val="none"/>
              </w:rPr>
              <w:t>主要施工方法</w:t>
            </w:r>
          </w:p>
          <w:p w14:paraId="78AC9F8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一档（</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分）：各主要分部施工方法符合项目需求，有施工技术方案。技术方案对项目的理解程度基本符合</w:t>
            </w:r>
            <w:r>
              <w:rPr>
                <w:rFonts w:hint="eastAsia" w:ascii="宋体" w:hAnsi="宋体" w:eastAsia="宋体" w:cs="宋体"/>
                <w:color w:val="auto"/>
                <w:szCs w:val="21"/>
                <w:highlight w:val="none"/>
                <w:lang w:val="en-US" w:eastAsia="zh-CN"/>
              </w:rPr>
              <w:t>采购人</w:t>
            </w:r>
            <w:r>
              <w:rPr>
                <w:rFonts w:hint="eastAsia" w:ascii="宋体" w:hAnsi="宋体" w:eastAsia="宋体" w:cs="宋体"/>
                <w:color w:val="auto"/>
                <w:szCs w:val="21"/>
                <w:highlight w:val="none"/>
              </w:rPr>
              <w:t>要求，基本了解建设目标和建设内容</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编制依据</w:t>
            </w:r>
            <w:r>
              <w:rPr>
                <w:rFonts w:hint="eastAsia" w:ascii="宋体" w:hAnsi="宋体" w:eastAsia="宋体" w:cs="宋体"/>
                <w:color w:val="auto"/>
                <w:szCs w:val="21"/>
                <w:highlight w:val="none"/>
                <w:lang w:eastAsia="zh-CN"/>
              </w:rPr>
              <w:t>基本</w:t>
            </w:r>
            <w:r>
              <w:rPr>
                <w:rFonts w:hint="eastAsia" w:ascii="宋体" w:hAnsi="宋体" w:eastAsia="宋体" w:cs="宋体"/>
                <w:color w:val="auto"/>
                <w:szCs w:val="21"/>
                <w:highlight w:val="none"/>
                <w:lang w:val="en-US" w:eastAsia="zh-CN"/>
              </w:rPr>
              <w:t>合理</w:t>
            </w:r>
            <w:r>
              <w:rPr>
                <w:rFonts w:hint="eastAsia" w:ascii="宋体" w:hAnsi="宋体" w:eastAsia="宋体" w:cs="宋体"/>
                <w:color w:val="auto"/>
                <w:szCs w:val="21"/>
                <w:highlight w:val="none"/>
              </w:rPr>
              <w:t>，基本保证工程质量</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 xml:space="preserve"> </w:t>
            </w:r>
          </w:p>
          <w:p w14:paraId="65272CA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二档（</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分）：各主要分部施工方法符合项目实际，有施工技术方案，有主要分部工程施工步骤、施工要点，能指导具体施工并确保安全。技术方案对项目的理解程度</w:t>
            </w:r>
            <w:r>
              <w:rPr>
                <w:rFonts w:hint="eastAsia" w:ascii="宋体" w:hAnsi="宋体" w:eastAsia="宋体" w:cs="宋体"/>
                <w:color w:val="auto"/>
                <w:szCs w:val="21"/>
                <w:highlight w:val="none"/>
                <w:lang w:val="en-US" w:eastAsia="zh-CN"/>
              </w:rPr>
              <w:t>到位</w:t>
            </w:r>
            <w:r>
              <w:rPr>
                <w:rFonts w:hint="eastAsia" w:ascii="宋体" w:hAnsi="宋体" w:eastAsia="宋体" w:cs="宋体"/>
                <w:color w:val="auto"/>
                <w:szCs w:val="21"/>
                <w:highlight w:val="none"/>
              </w:rPr>
              <w:t>，所提出的技术方案详细</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条理清楚，</w:t>
            </w:r>
            <w:r>
              <w:rPr>
                <w:rFonts w:hint="eastAsia" w:ascii="宋体" w:hAnsi="宋体" w:eastAsia="宋体" w:cs="宋体"/>
                <w:color w:val="auto"/>
                <w:szCs w:val="21"/>
                <w:highlight w:val="none"/>
              </w:rPr>
              <w:t>编制依据全面</w:t>
            </w:r>
            <w:r>
              <w:rPr>
                <w:rFonts w:hint="eastAsia" w:ascii="宋体" w:hAnsi="宋体" w:eastAsia="宋体" w:cs="宋体"/>
                <w:color w:val="auto"/>
                <w:szCs w:val="21"/>
                <w:highlight w:val="none"/>
                <w:lang w:val="en-US" w:eastAsia="zh-CN"/>
              </w:rPr>
              <w:t>规范</w:t>
            </w:r>
            <w:r>
              <w:rPr>
                <w:rFonts w:hint="eastAsia" w:ascii="宋体" w:hAnsi="宋体" w:eastAsia="宋体" w:cs="宋体"/>
                <w:color w:val="auto"/>
                <w:szCs w:val="21"/>
                <w:highlight w:val="none"/>
              </w:rPr>
              <w:t>，能部分优化项目施工，保证工程质量和工期</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w:t>
            </w:r>
          </w:p>
          <w:p w14:paraId="60F4D757">
            <w:pPr>
              <w:spacing w:line="360" w:lineRule="auto"/>
              <w:ind w:firstLine="420" w:firstLineChars="200"/>
              <w:rPr>
                <w:rFonts w:hint="eastAsia" w:ascii="宋体" w:hAnsi="宋体" w:eastAsia="宋体" w:cs="宋体"/>
                <w:bCs/>
                <w:color w:val="auto"/>
                <w:kern w:val="0"/>
                <w:szCs w:val="21"/>
                <w:highlight w:val="none"/>
              </w:rPr>
            </w:pPr>
            <w:r>
              <w:rPr>
                <w:rFonts w:hint="eastAsia" w:ascii="宋体" w:hAnsi="宋体" w:eastAsia="宋体" w:cs="宋体"/>
                <w:color w:val="auto"/>
                <w:szCs w:val="21"/>
                <w:highlight w:val="none"/>
              </w:rPr>
              <w:t>三档（</w:t>
            </w: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分）：各主要分部施工方法符合项目实际，满足</w:t>
            </w:r>
            <w:r>
              <w:rPr>
                <w:rFonts w:hint="eastAsia" w:ascii="宋体" w:hAnsi="宋体" w:eastAsia="宋体" w:cs="宋体"/>
                <w:color w:val="auto"/>
                <w:szCs w:val="21"/>
                <w:highlight w:val="none"/>
                <w:lang w:eastAsia="zh-CN"/>
              </w:rPr>
              <w:t>原来的</w:t>
            </w:r>
            <w:r>
              <w:rPr>
                <w:rFonts w:hint="eastAsia" w:ascii="宋体" w:hAnsi="宋体" w:eastAsia="宋体" w:cs="宋体"/>
                <w:color w:val="auto"/>
                <w:szCs w:val="21"/>
                <w:highlight w:val="none"/>
              </w:rPr>
              <w:t>使用功能，有</w:t>
            </w:r>
            <w:r>
              <w:rPr>
                <w:rFonts w:hint="eastAsia" w:ascii="宋体" w:hAnsi="宋体" w:cs="宋体"/>
                <w:bCs/>
                <w:color w:val="auto"/>
                <w:kern w:val="0"/>
                <w:szCs w:val="21"/>
                <w:highlight w:val="none"/>
                <w:lang w:val="en-US" w:eastAsia="zh-CN"/>
              </w:rPr>
              <w:t>校园运动场跑道及灯光改造</w:t>
            </w:r>
            <w:r>
              <w:rPr>
                <w:rFonts w:hint="eastAsia" w:ascii="宋体" w:hAnsi="宋体" w:eastAsia="宋体" w:cs="宋体"/>
                <w:bCs/>
                <w:color w:val="auto"/>
                <w:kern w:val="0"/>
                <w:szCs w:val="21"/>
                <w:highlight w:val="none"/>
              </w:rPr>
              <w:t>施工技术方案</w:t>
            </w:r>
            <w:r>
              <w:rPr>
                <w:rFonts w:hint="eastAsia" w:ascii="宋体" w:hAnsi="宋体" w:eastAsia="宋体" w:cs="宋体"/>
                <w:color w:val="auto"/>
                <w:szCs w:val="21"/>
                <w:highlight w:val="none"/>
              </w:rPr>
              <w:t>，主要分部工程施工工序、施工步骤、施工要点、施工工艺</w:t>
            </w:r>
            <w:r>
              <w:rPr>
                <w:rFonts w:hint="eastAsia" w:ascii="宋体" w:hAnsi="宋体" w:cs="宋体"/>
                <w:bCs/>
                <w:color w:val="auto"/>
                <w:kern w:val="0"/>
                <w:szCs w:val="21"/>
                <w:highlight w:val="none"/>
                <w:lang w:val="en-US" w:eastAsia="zh-CN"/>
              </w:rPr>
              <w:t>贴合校园实际场地</w:t>
            </w:r>
            <w:r>
              <w:rPr>
                <w:rFonts w:hint="eastAsia" w:ascii="宋体" w:hAnsi="宋体" w:eastAsia="宋体" w:cs="宋体"/>
                <w:color w:val="auto"/>
                <w:szCs w:val="21"/>
                <w:highlight w:val="none"/>
              </w:rPr>
              <w:t>，施工准备、技术准备或交底、各工种施工配合方案具有针对性，能高效指导具体施工并确保安全。所提出的技术方案内容详细合理、思路清晰</w:t>
            </w:r>
            <w:r>
              <w:rPr>
                <w:rFonts w:hint="eastAsia" w:ascii="宋体" w:hAnsi="宋体" w:eastAsia="宋体" w:cs="宋体"/>
                <w:color w:val="auto"/>
                <w:szCs w:val="21"/>
                <w:highlight w:val="none"/>
                <w:lang w:eastAsia="zh-CN"/>
              </w:rPr>
              <w:t>，有针对性，</w:t>
            </w:r>
            <w:r>
              <w:rPr>
                <w:rFonts w:hint="eastAsia" w:ascii="宋体" w:hAnsi="宋体" w:eastAsia="宋体" w:cs="宋体"/>
                <w:color w:val="auto"/>
                <w:szCs w:val="21"/>
                <w:highlight w:val="none"/>
              </w:rPr>
              <w:t>编制依据全面</w:t>
            </w:r>
            <w:r>
              <w:rPr>
                <w:rFonts w:hint="eastAsia" w:ascii="宋体" w:hAnsi="宋体" w:eastAsia="宋体" w:cs="宋体"/>
                <w:color w:val="auto"/>
                <w:szCs w:val="21"/>
                <w:highlight w:val="none"/>
                <w:lang w:val="en-US" w:eastAsia="zh-CN"/>
              </w:rPr>
              <w:t>规范</w:t>
            </w:r>
            <w:r>
              <w:rPr>
                <w:rFonts w:hint="eastAsia" w:ascii="宋体" w:hAnsi="宋体" w:eastAsia="宋体" w:cs="宋体"/>
                <w:color w:val="auto"/>
                <w:szCs w:val="21"/>
                <w:highlight w:val="none"/>
              </w:rPr>
              <w:t>，充分了解建设目标和建设内容</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保证工程质量和工期，又不增加成本</w:t>
            </w:r>
            <w:r>
              <w:rPr>
                <w:rFonts w:hint="eastAsia" w:ascii="宋体" w:hAnsi="宋体" w:eastAsia="宋体" w:cs="宋体"/>
                <w:color w:val="auto"/>
                <w:szCs w:val="21"/>
                <w:highlight w:val="none"/>
                <w:lang w:val="en-US" w:eastAsia="zh-CN"/>
              </w:rPr>
              <w:t>。</w:t>
            </w:r>
          </w:p>
          <w:p w14:paraId="26DAA1E7">
            <w:pPr>
              <w:spacing w:line="360" w:lineRule="auto"/>
              <w:ind w:firstLine="420" w:firstLineChars="0"/>
              <w:rPr>
                <w:rFonts w:hint="eastAsia" w:ascii="宋体" w:hAnsi="宋体" w:eastAsia="宋体" w:cs="宋体"/>
                <w:bCs/>
                <w:color w:val="auto"/>
                <w:kern w:val="0"/>
                <w:szCs w:val="21"/>
                <w:highlight w:val="none"/>
                <w:lang w:val="en-US" w:eastAsia="zh-CN"/>
              </w:rPr>
            </w:pPr>
            <w:r>
              <w:rPr>
                <w:rFonts w:hint="eastAsia" w:ascii="宋体" w:hAnsi="宋体" w:eastAsia="宋体" w:cs="宋体"/>
                <w:bCs/>
                <w:color w:val="auto"/>
                <w:kern w:val="0"/>
                <w:szCs w:val="21"/>
                <w:highlight w:val="none"/>
                <w:lang w:eastAsia="zh-CN"/>
              </w:rPr>
              <w:t>注：</w:t>
            </w:r>
            <w:r>
              <w:rPr>
                <w:rFonts w:hint="eastAsia" w:ascii="宋体" w:hAnsi="宋体" w:eastAsia="宋体" w:cs="宋体"/>
                <w:bCs/>
                <w:color w:val="auto"/>
                <w:kern w:val="0"/>
                <w:szCs w:val="21"/>
                <w:highlight w:val="none"/>
              </w:rPr>
              <w:t>不提供的不予以计分。</w:t>
            </w:r>
          </w:p>
        </w:tc>
        <w:tc>
          <w:tcPr>
            <w:tcW w:w="553" w:type="pct"/>
            <w:noWrap w:val="0"/>
            <w:vAlign w:val="center"/>
          </w:tcPr>
          <w:p w14:paraId="692C3196">
            <w:pPr>
              <w:jc w:val="center"/>
              <w:rPr>
                <w:rFonts w:hint="default" w:eastAsia="宋体"/>
                <w:b/>
                <w:color w:val="auto"/>
                <w:szCs w:val="21"/>
                <w:highlight w:val="none"/>
                <w:lang w:val="en-US" w:eastAsia="zh-CN"/>
              </w:rPr>
            </w:pPr>
            <w:r>
              <w:rPr>
                <w:rFonts w:hint="eastAsia"/>
                <w:b w:val="0"/>
                <w:bCs/>
                <w:color w:val="auto"/>
                <w:szCs w:val="21"/>
                <w:highlight w:val="none"/>
                <w:lang w:val="en-US" w:eastAsia="zh-CN"/>
              </w:rPr>
              <w:t>0-9分</w:t>
            </w:r>
          </w:p>
        </w:tc>
      </w:tr>
      <w:tr w14:paraId="47935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399" w:type="pct"/>
            <w:vMerge w:val="continue"/>
            <w:noWrap w:val="0"/>
            <w:vAlign w:val="center"/>
          </w:tcPr>
          <w:p w14:paraId="0D8AB25A">
            <w:pPr>
              <w:jc w:val="center"/>
              <w:rPr>
                <w:rFonts w:hint="eastAsia"/>
                <w:b w:val="0"/>
                <w:bCs/>
                <w:color w:val="auto"/>
                <w:szCs w:val="21"/>
                <w:highlight w:val="none"/>
                <w:lang w:val="en-US" w:eastAsia="zh-CN"/>
              </w:rPr>
            </w:pPr>
          </w:p>
        </w:tc>
        <w:tc>
          <w:tcPr>
            <w:tcW w:w="664" w:type="pct"/>
            <w:vMerge w:val="continue"/>
            <w:noWrap w:val="0"/>
            <w:vAlign w:val="center"/>
          </w:tcPr>
          <w:p w14:paraId="4998372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bCs/>
                <w:color w:val="auto"/>
                <w:kern w:val="0"/>
                <w:sz w:val="21"/>
                <w:szCs w:val="21"/>
                <w:highlight w:val="none"/>
                <w:lang w:val="en-US" w:eastAsia="zh-CN" w:bidi="ar-SA"/>
              </w:rPr>
            </w:pPr>
          </w:p>
        </w:tc>
        <w:tc>
          <w:tcPr>
            <w:tcW w:w="3383" w:type="pct"/>
            <w:noWrap w:val="0"/>
            <w:vAlign w:val="center"/>
          </w:tcPr>
          <w:p w14:paraId="638B5077">
            <w:pPr>
              <w:spacing w:line="360" w:lineRule="auto"/>
              <w:ind w:firstLine="420"/>
              <w:rPr>
                <w:rFonts w:hint="eastAsia" w:ascii="宋体" w:hAnsi="宋体" w:eastAsia="宋体" w:cs="宋体"/>
                <w:b/>
                <w:bCs w:val="0"/>
                <w:color w:val="auto"/>
                <w:kern w:val="0"/>
                <w:szCs w:val="21"/>
                <w:highlight w:val="none"/>
              </w:rPr>
            </w:pPr>
            <w:r>
              <w:rPr>
                <w:rFonts w:hint="eastAsia" w:ascii="宋体" w:hAnsi="宋体" w:eastAsia="宋体" w:cs="宋体"/>
                <w:b/>
                <w:bCs w:val="0"/>
                <w:color w:val="auto"/>
                <w:kern w:val="0"/>
                <w:szCs w:val="21"/>
                <w:highlight w:val="none"/>
                <w:lang w:val="en-US" w:eastAsia="zh-CN"/>
              </w:rPr>
              <w:t>1.2</w:t>
            </w:r>
            <w:r>
              <w:rPr>
                <w:rFonts w:hint="eastAsia" w:ascii="宋体" w:hAnsi="宋体" w:eastAsia="宋体" w:cs="宋体"/>
                <w:b/>
                <w:bCs/>
                <w:color w:val="auto"/>
                <w:szCs w:val="21"/>
                <w:highlight w:val="none"/>
              </w:rPr>
              <w:t>拟投入的主要物资计划、劳动力安排计划方案分</w:t>
            </w:r>
          </w:p>
          <w:p w14:paraId="5158EE9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一档（</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分）：投入的施工材料有组织计划，满足施工需要。各主要施工工序有劳动力安排计划，有各工种劳动力安排计划，部分满足施工需要。</w:t>
            </w:r>
          </w:p>
          <w:p w14:paraId="7F7C367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二档（</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分）：在一档的基础上，投入的主要物资计划与施工进度计划相呼应，定量定点堆放物资，不窝工。计划内容具体、可行，能满足施工需要。</w:t>
            </w:r>
          </w:p>
          <w:p w14:paraId="53ED4BE2">
            <w:pPr>
              <w:spacing w:line="360" w:lineRule="auto"/>
              <w:ind w:firstLine="420" w:firstLineChars="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三档（</w:t>
            </w: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分）：在二档的基础上，材料物资采购及供应有效保证工程质量和工期，堆放物资符合施工规范</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满足</w:t>
            </w:r>
            <w:r>
              <w:rPr>
                <w:rFonts w:hint="eastAsia" w:ascii="宋体" w:hAnsi="宋体" w:eastAsia="宋体" w:cs="宋体"/>
                <w:color w:val="auto"/>
                <w:szCs w:val="21"/>
                <w:highlight w:val="none"/>
              </w:rPr>
              <w:t>学校管理</w:t>
            </w:r>
            <w:r>
              <w:rPr>
                <w:rFonts w:hint="eastAsia" w:ascii="宋体" w:hAnsi="宋体" w:eastAsia="宋体" w:cs="宋体"/>
                <w:color w:val="auto"/>
                <w:szCs w:val="21"/>
                <w:highlight w:val="none"/>
                <w:lang w:val="en-US" w:eastAsia="zh-CN"/>
              </w:rPr>
              <w:t>要求</w:t>
            </w:r>
            <w:r>
              <w:rPr>
                <w:rFonts w:hint="eastAsia" w:ascii="宋体" w:hAnsi="宋体" w:eastAsia="宋体" w:cs="宋体"/>
                <w:color w:val="auto"/>
                <w:szCs w:val="21"/>
                <w:highlight w:val="none"/>
              </w:rPr>
              <w:t>。计划内容有针对性，切合实际，有切实有效的劳动力保障措施。</w:t>
            </w:r>
          </w:p>
          <w:p w14:paraId="3246435B">
            <w:pPr>
              <w:spacing w:line="360" w:lineRule="auto"/>
              <w:ind w:firstLine="420" w:firstLineChars="0"/>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lang w:eastAsia="zh-CN"/>
              </w:rPr>
              <w:t>注：</w:t>
            </w:r>
            <w:r>
              <w:rPr>
                <w:rFonts w:hint="eastAsia" w:ascii="宋体" w:hAnsi="宋体" w:eastAsia="宋体" w:cs="宋体"/>
                <w:bCs/>
                <w:color w:val="auto"/>
                <w:kern w:val="0"/>
                <w:szCs w:val="21"/>
                <w:highlight w:val="none"/>
              </w:rPr>
              <w:t>不提供的不予以计分。</w:t>
            </w:r>
          </w:p>
        </w:tc>
        <w:tc>
          <w:tcPr>
            <w:tcW w:w="553" w:type="pct"/>
            <w:noWrap w:val="0"/>
            <w:vAlign w:val="center"/>
          </w:tcPr>
          <w:p w14:paraId="74E51BC6">
            <w:pPr>
              <w:jc w:val="center"/>
              <w:rPr>
                <w:rFonts w:hint="eastAsia"/>
                <w:b/>
                <w:color w:val="auto"/>
                <w:szCs w:val="21"/>
                <w:highlight w:val="none"/>
              </w:rPr>
            </w:pPr>
            <w:r>
              <w:rPr>
                <w:rFonts w:hint="eastAsia"/>
                <w:b w:val="0"/>
                <w:bCs/>
                <w:color w:val="auto"/>
                <w:szCs w:val="21"/>
                <w:highlight w:val="none"/>
                <w:lang w:val="en-US" w:eastAsia="zh-CN"/>
              </w:rPr>
              <w:t>0-9分</w:t>
            </w:r>
          </w:p>
        </w:tc>
      </w:tr>
      <w:tr w14:paraId="5042B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399" w:type="pct"/>
            <w:vMerge w:val="continue"/>
            <w:noWrap w:val="0"/>
            <w:vAlign w:val="center"/>
          </w:tcPr>
          <w:p w14:paraId="013D4890">
            <w:pPr>
              <w:jc w:val="center"/>
              <w:rPr>
                <w:rFonts w:hint="eastAsia"/>
                <w:b w:val="0"/>
                <w:bCs/>
                <w:color w:val="auto"/>
                <w:szCs w:val="21"/>
                <w:highlight w:val="none"/>
                <w:lang w:val="en-US" w:eastAsia="zh-CN"/>
              </w:rPr>
            </w:pPr>
          </w:p>
        </w:tc>
        <w:tc>
          <w:tcPr>
            <w:tcW w:w="664" w:type="pct"/>
            <w:vMerge w:val="continue"/>
            <w:noWrap w:val="0"/>
            <w:vAlign w:val="center"/>
          </w:tcPr>
          <w:p w14:paraId="6719F46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bCs/>
                <w:color w:val="auto"/>
                <w:kern w:val="0"/>
                <w:sz w:val="21"/>
                <w:szCs w:val="21"/>
                <w:highlight w:val="none"/>
                <w:lang w:val="en-US" w:eastAsia="zh-CN" w:bidi="ar-SA"/>
              </w:rPr>
            </w:pPr>
          </w:p>
        </w:tc>
        <w:tc>
          <w:tcPr>
            <w:tcW w:w="3383" w:type="pct"/>
            <w:noWrap w:val="0"/>
            <w:vAlign w:val="top"/>
          </w:tcPr>
          <w:p w14:paraId="7085E8F1">
            <w:pPr>
              <w:spacing w:line="360" w:lineRule="auto"/>
              <w:ind w:firstLine="420"/>
              <w:rPr>
                <w:rFonts w:hint="eastAsia" w:ascii="宋体" w:hAnsi="宋体" w:eastAsia="宋体" w:cs="宋体"/>
                <w:b/>
                <w:bCs w:val="0"/>
                <w:color w:val="auto"/>
                <w:kern w:val="0"/>
                <w:szCs w:val="21"/>
                <w:highlight w:val="none"/>
                <w:lang w:val="en-US" w:eastAsia="zh-CN"/>
              </w:rPr>
            </w:pPr>
            <w:r>
              <w:rPr>
                <w:rFonts w:hint="eastAsia" w:ascii="宋体" w:hAnsi="宋体" w:eastAsia="宋体" w:cs="宋体"/>
                <w:b/>
                <w:bCs w:val="0"/>
                <w:color w:val="auto"/>
                <w:kern w:val="0"/>
                <w:szCs w:val="21"/>
                <w:highlight w:val="none"/>
                <w:lang w:val="en-US" w:eastAsia="zh-CN"/>
              </w:rPr>
              <w:t>1.3拟投入的主要施工机械、设备计划</w:t>
            </w:r>
            <w:r>
              <w:rPr>
                <w:rFonts w:hint="eastAsia" w:ascii="宋体" w:hAnsi="宋体" w:cs="宋体"/>
                <w:b/>
                <w:bCs w:val="0"/>
                <w:color w:val="auto"/>
                <w:kern w:val="0"/>
                <w:szCs w:val="21"/>
                <w:highlight w:val="none"/>
                <w:lang w:val="en-US" w:eastAsia="zh-CN"/>
              </w:rPr>
              <w:t xml:space="preserve"> </w:t>
            </w:r>
          </w:p>
          <w:p w14:paraId="7B97C6F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Cs/>
                <w:color w:val="auto"/>
                <w:highlight w:val="none"/>
              </w:rPr>
            </w:pPr>
            <w:r>
              <w:rPr>
                <w:rFonts w:hint="eastAsia" w:ascii="宋体" w:hAnsi="宋体" w:cs="宋体"/>
                <w:bCs/>
                <w:color w:val="auto"/>
                <w:highlight w:val="none"/>
                <w:lang w:val="en-US" w:eastAsia="zh-CN"/>
              </w:rPr>
              <w:t>一</w:t>
            </w:r>
            <w:r>
              <w:rPr>
                <w:rFonts w:hint="eastAsia" w:ascii="宋体" w:hAnsi="宋体" w:eastAsia="宋体" w:cs="宋体"/>
                <w:bCs/>
                <w:color w:val="auto"/>
                <w:highlight w:val="none"/>
              </w:rPr>
              <w:t>档（</w:t>
            </w:r>
            <w:r>
              <w:rPr>
                <w:rFonts w:hint="eastAsia" w:ascii="宋体" w:hAnsi="宋体" w:eastAsia="宋体" w:cs="宋体"/>
                <w:bCs/>
                <w:color w:val="auto"/>
                <w:highlight w:val="none"/>
                <w:lang w:val="en-US" w:eastAsia="zh-CN"/>
              </w:rPr>
              <w:t>3</w:t>
            </w:r>
            <w:r>
              <w:rPr>
                <w:rFonts w:hint="eastAsia" w:ascii="宋体" w:hAnsi="宋体" w:eastAsia="宋体" w:cs="宋体"/>
                <w:bCs/>
                <w:color w:val="auto"/>
                <w:highlight w:val="none"/>
              </w:rPr>
              <w:t>分）：投入的施工机械、设备、机具有组织计划但计划粗略，设备数量、选型配置计划内容有缺项、进场时间安排与进度计划有偏差，基本满足施工需要。</w:t>
            </w:r>
          </w:p>
          <w:p w14:paraId="0121F79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Cs/>
                <w:color w:val="auto"/>
                <w:highlight w:val="none"/>
              </w:rPr>
            </w:pPr>
            <w:r>
              <w:rPr>
                <w:rFonts w:hint="eastAsia" w:ascii="宋体" w:hAnsi="宋体" w:eastAsia="宋体" w:cs="宋体"/>
                <w:bCs/>
                <w:color w:val="auto"/>
                <w:highlight w:val="none"/>
              </w:rPr>
              <w:t>二档（</w:t>
            </w:r>
            <w:r>
              <w:rPr>
                <w:rFonts w:hint="eastAsia" w:ascii="宋体" w:hAnsi="宋体" w:eastAsia="宋体" w:cs="宋体"/>
                <w:bCs/>
                <w:color w:val="auto"/>
                <w:highlight w:val="none"/>
                <w:lang w:val="en-US" w:eastAsia="zh-CN"/>
              </w:rPr>
              <w:t>6</w:t>
            </w:r>
            <w:r>
              <w:rPr>
                <w:rFonts w:hint="eastAsia" w:ascii="宋体" w:hAnsi="宋体" w:eastAsia="宋体" w:cs="宋体"/>
                <w:bCs/>
                <w:color w:val="auto"/>
                <w:highlight w:val="none"/>
              </w:rPr>
              <w:t>分）：</w:t>
            </w:r>
            <w:r>
              <w:rPr>
                <w:rFonts w:hint="eastAsia" w:ascii="宋体" w:hAnsi="宋体" w:eastAsia="宋体" w:cs="宋体"/>
                <w:bCs/>
                <w:color w:val="auto"/>
                <w:highlight w:val="none"/>
                <w:lang w:val="en-US" w:eastAsia="zh-CN"/>
              </w:rPr>
              <w:t>在满足一档的基础上，拟</w:t>
            </w:r>
            <w:r>
              <w:rPr>
                <w:rFonts w:hint="eastAsia" w:ascii="宋体" w:hAnsi="宋体" w:eastAsia="宋体" w:cs="宋体"/>
                <w:bCs/>
                <w:color w:val="auto"/>
                <w:highlight w:val="none"/>
              </w:rPr>
              <w:t>投入的施工机械、设备、机具有组织计划但计划不够贴合</w:t>
            </w:r>
            <w:r>
              <w:rPr>
                <w:rFonts w:hint="eastAsia" w:ascii="宋体" w:hAnsi="宋体" w:eastAsia="宋体" w:cs="宋体"/>
                <w:bCs/>
                <w:color w:val="auto"/>
                <w:highlight w:val="none"/>
                <w:lang w:val="en-US" w:eastAsia="zh-CN"/>
              </w:rPr>
              <w:t>校园</w:t>
            </w:r>
            <w:r>
              <w:rPr>
                <w:rFonts w:hint="eastAsia" w:ascii="宋体" w:hAnsi="宋体" w:eastAsia="宋体" w:cs="宋体"/>
                <w:bCs/>
                <w:color w:val="auto"/>
                <w:highlight w:val="none"/>
              </w:rPr>
              <w:t>施工实际要求，设备数量、选型配置计划内容有缺项、进场时间安排与进度计划有偏差，但基本满足现场需要，满足施工需要。</w:t>
            </w:r>
          </w:p>
          <w:p w14:paraId="7010EBEF">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Cs/>
                <w:color w:val="auto"/>
                <w:highlight w:val="none"/>
              </w:rPr>
            </w:pPr>
            <w:r>
              <w:rPr>
                <w:rFonts w:hint="eastAsia" w:ascii="宋体" w:hAnsi="宋体" w:eastAsia="宋体" w:cs="宋体"/>
                <w:bCs/>
                <w:color w:val="auto"/>
                <w:highlight w:val="none"/>
                <w:lang w:val="en-US" w:eastAsia="zh-CN"/>
              </w:rPr>
              <w:t>三</w:t>
            </w:r>
            <w:r>
              <w:rPr>
                <w:rFonts w:hint="eastAsia" w:ascii="宋体" w:hAnsi="宋体" w:eastAsia="宋体" w:cs="宋体"/>
                <w:bCs/>
                <w:color w:val="auto"/>
                <w:highlight w:val="none"/>
              </w:rPr>
              <w:t>档（</w:t>
            </w:r>
            <w:r>
              <w:rPr>
                <w:rFonts w:hint="eastAsia" w:ascii="宋体" w:hAnsi="宋体" w:eastAsia="宋体" w:cs="宋体"/>
                <w:bCs/>
                <w:color w:val="auto"/>
                <w:highlight w:val="none"/>
                <w:lang w:val="en-US" w:eastAsia="zh-CN"/>
              </w:rPr>
              <w:t>9</w:t>
            </w:r>
            <w:r>
              <w:rPr>
                <w:rFonts w:hint="eastAsia" w:ascii="宋体" w:hAnsi="宋体" w:eastAsia="宋体" w:cs="宋体"/>
                <w:bCs/>
                <w:color w:val="auto"/>
                <w:highlight w:val="none"/>
              </w:rPr>
              <w:t>分）：</w:t>
            </w:r>
            <w:r>
              <w:rPr>
                <w:rFonts w:hint="eastAsia" w:ascii="宋体" w:hAnsi="宋体" w:eastAsia="宋体" w:cs="宋体"/>
                <w:bCs/>
                <w:color w:val="auto"/>
                <w:highlight w:val="none"/>
                <w:lang w:val="en-US" w:eastAsia="zh-CN"/>
              </w:rPr>
              <w:t>在满足一档的基础上，拟</w:t>
            </w:r>
            <w:r>
              <w:rPr>
                <w:rFonts w:hint="eastAsia" w:ascii="宋体" w:hAnsi="宋体" w:eastAsia="宋体" w:cs="宋体"/>
                <w:bCs/>
                <w:color w:val="auto"/>
                <w:highlight w:val="none"/>
              </w:rPr>
              <w:t>投入的施工机械、设备、机具有详细的组织计划</w:t>
            </w:r>
            <w:r>
              <w:rPr>
                <w:rFonts w:hint="eastAsia" w:ascii="宋体" w:hAnsi="宋体" w:eastAsia="宋体" w:cs="宋体"/>
                <w:bCs/>
                <w:color w:val="auto"/>
                <w:highlight w:val="none"/>
                <w:lang w:val="en-US" w:eastAsia="zh-CN"/>
              </w:rPr>
              <w:t>符合</w:t>
            </w:r>
            <w:r>
              <w:rPr>
                <w:rFonts w:hint="eastAsia" w:ascii="宋体" w:hAnsi="宋体" w:eastAsia="宋体" w:cs="宋体"/>
                <w:color w:val="auto"/>
                <w:szCs w:val="21"/>
                <w:highlight w:val="none"/>
              </w:rPr>
              <w:t>学校管理</w:t>
            </w:r>
            <w:r>
              <w:rPr>
                <w:rFonts w:hint="eastAsia" w:ascii="宋体" w:hAnsi="宋体" w:eastAsia="宋体" w:cs="宋体"/>
                <w:color w:val="auto"/>
                <w:szCs w:val="21"/>
                <w:highlight w:val="none"/>
                <w:lang w:val="en-US" w:eastAsia="zh-CN"/>
              </w:rPr>
              <w:t>要求</w:t>
            </w:r>
            <w:r>
              <w:rPr>
                <w:rFonts w:hint="eastAsia" w:ascii="宋体" w:hAnsi="宋体" w:eastAsia="宋体" w:cs="宋体"/>
                <w:bCs/>
                <w:color w:val="auto"/>
                <w:highlight w:val="none"/>
              </w:rPr>
              <w:t xml:space="preserve">，设备数量、选型配置计划内容详尽、进场时间安排贴合现场需要进度计划呼应，满足施工需要。 </w:t>
            </w:r>
          </w:p>
          <w:p w14:paraId="4DD5BDB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Cs/>
                <w:color w:val="auto"/>
                <w:kern w:val="2"/>
                <w:sz w:val="21"/>
                <w:szCs w:val="24"/>
                <w:highlight w:val="none"/>
                <w:lang w:val="en-US" w:eastAsia="zh-CN" w:bidi="ar-SA"/>
              </w:rPr>
            </w:pPr>
            <w:r>
              <w:rPr>
                <w:rFonts w:hint="eastAsia" w:ascii="宋体" w:hAnsi="宋体" w:eastAsia="宋体" w:cs="宋体"/>
                <w:bCs/>
                <w:color w:val="auto"/>
                <w:kern w:val="0"/>
                <w:szCs w:val="21"/>
                <w:highlight w:val="none"/>
                <w:lang w:eastAsia="zh-CN"/>
              </w:rPr>
              <w:t>注：</w:t>
            </w:r>
            <w:r>
              <w:rPr>
                <w:rFonts w:hint="eastAsia" w:ascii="宋体" w:hAnsi="宋体" w:eastAsia="宋体" w:cs="宋体"/>
                <w:bCs/>
                <w:color w:val="auto"/>
                <w:kern w:val="0"/>
                <w:szCs w:val="21"/>
                <w:highlight w:val="none"/>
              </w:rPr>
              <w:t>不提供的不予以计分。</w:t>
            </w:r>
          </w:p>
        </w:tc>
        <w:tc>
          <w:tcPr>
            <w:tcW w:w="553" w:type="pct"/>
            <w:noWrap w:val="0"/>
            <w:vAlign w:val="center"/>
          </w:tcPr>
          <w:p w14:paraId="4779499A">
            <w:pPr>
              <w:jc w:val="center"/>
              <w:rPr>
                <w:rFonts w:hint="eastAsia"/>
                <w:b/>
                <w:color w:val="auto"/>
                <w:kern w:val="2"/>
                <w:sz w:val="21"/>
                <w:szCs w:val="21"/>
                <w:highlight w:val="none"/>
                <w:lang w:val="en-US" w:eastAsia="zh-CN" w:bidi="ar-SA"/>
              </w:rPr>
            </w:pPr>
            <w:r>
              <w:rPr>
                <w:rFonts w:hint="eastAsia"/>
                <w:b w:val="0"/>
                <w:bCs/>
                <w:color w:val="auto"/>
                <w:szCs w:val="21"/>
                <w:highlight w:val="none"/>
                <w:lang w:val="en-US" w:eastAsia="zh-CN"/>
              </w:rPr>
              <w:t>0-9分</w:t>
            </w:r>
          </w:p>
        </w:tc>
      </w:tr>
      <w:tr w14:paraId="7B03F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399" w:type="pct"/>
            <w:vMerge w:val="continue"/>
            <w:noWrap w:val="0"/>
            <w:vAlign w:val="center"/>
          </w:tcPr>
          <w:p w14:paraId="2D0EE6C6">
            <w:pPr>
              <w:jc w:val="center"/>
              <w:rPr>
                <w:rFonts w:hint="eastAsia"/>
                <w:b w:val="0"/>
                <w:bCs/>
                <w:color w:val="auto"/>
                <w:szCs w:val="21"/>
                <w:highlight w:val="none"/>
                <w:lang w:val="en-US" w:eastAsia="zh-CN"/>
              </w:rPr>
            </w:pPr>
          </w:p>
        </w:tc>
        <w:tc>
          <w:tcPr>
            <w:tcW w:w="664" w:type="pct"/>
            <w:vMerge w:val="continue"/>
            <w:noWrap w:val="0"/>
            <w:vAlign w:val="center"/>
          </w:tcPr>
          <w:p w14:paraId="21A8585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bCs/>
                <w:color w:val="auto"/>
                <w:kern w:val="0"/>
                <w:sz w:val="21"/>
                <w:szCs w:val="21"/>
                <w:highlight w:val="none"/>
                <w:lang w:val="en-US" w:eastAsia="zh-CN" w:bidi="ar-SA"/>
              </w:rPr>
            </w:pPr>
          </w:p>
        </w:tc>
        <w:tc>
          <w:tcPr>
            <w:tcW w:w="3383" w:type="pct"/>
            <w:noWrap w:val="0"/>
            <w:vAlign w:val="center"/>
          </w:tcPr>
          <w:p w14:paraId="6E5B33F8">
            <w:pPr>
              <w:pStyle w:val="27"/>
              <w:spacing w:line="360" w:lineRule="auto"/>
              <w:ind w:firstLine="422" w:firstLineChars="200"/>
              <w:rPr>
                <w:rFonts w:hint="eastAsia" w:hAnsi="宋体" w:eastAsia="宋体" w:cs="宋体"/>
                <w:b/>
                <w:bCs w:val="0"/>
                <w:color w:val="auto"/>
                <w:sz w:val="21"/>
                <w:szCs w:val="21"/>
                <w:highlight w:val="none"/>
              </w:rPr>
            </w:pPr>
            <w:r>
              <w:rPr>
                <w:rFonts w:hint="eastAsia" w:hAnsi="宋体" w:eastAsia="宋体" w:cs="宋体"/>
                <w:b/>
                <w:bCs w:val="0"/>
                <w:color w:val="auto"/>
                <w:kern w:val="0"/>
                <w:szCs w:val="21"/>
                <w:highlight w:val="none"/>
                <w:lang w:val="en-US" w:eastAsia="zh-CN"/>
              </w:rPr>
              <w:t>1.4</w:t>
            </w:r>
            <w:r>
              <w:rPr>
                <w:rFonts w:hint="eastAsia" w:ascii="宋体" w:hAnsi="宋体" w:eastAsia="宋体" w:cs="宋体"/>
                <w:b/>
                <w:bCs w:val="0"/>
                <w:color w:val="auto"/>
                <w:kern w:val="0"/>
                <w:szCs w:val="21"/>
                <w:highlight w:val="none"/>
              </w:rPr>
              <w:t>确保工程质量的技术组织措施</w:t>
            </w:r>
            <w:r>
              <w:rPr>
                <w:rFonts w:hint="eastAsia" w:ascii="宋体" w:hAnsi="宋体" w:eastAsia="宋体" w:cs="宋体"/>
                <w:b/>
                <w:bCs w:val="0"/>
                <w:color w:val="auto"/>
                <w:szCs w:val="21"/>
                <w:highlight w:val="none"/>
                <w:lang w:val="en-US" w:eastAsia="zh-CN"/>
              </w:rPr>
              <w:t xml:space="preserve"> </w:t>
            </w:r>
          </w:p>
          <w:p w14:paraId="0D58D04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一档（2分）：有质量技术管理班子和制度，主要工序有质量技术保证措施和手段。</w:t>
            </w:r>
          </w:p>
          <w:p w14:paraId="103BD4A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二档（4分）：在一档的基础上，措施方案的自控体系达到国家要求，有施工准备阶段和施工过程质量控制措施，能保证本项目的质量要求及验收规范要求。</w:t>
            </w:r>
          </w:p>
          <w:p w14:paraId="177AA6B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三档（7分）：在二档的基础上，措施方案明确管理班子质量责任，主要工序有质量技术保证措施和手段，有施工准备阶段、施工过程、竣工验收及交工阶段质量控制措施，隐蔽工程检查制度，有施工质量验收制度，工程质量保修方案，能有效保证工程质量。</w:t>
            </w:r>
          </w:p>
          <w:p w14:paraId="6351953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Cs/>
                <w:color w:val="auto"/>
                <w:kern w:val="2"/>
                <w:sz w:val="21"/>
                <w:szCs w:val="24"/>
                <w:highlight w:val="none"/>
                <w:lang w:val="en-US" w:eastAsia="zh-CN" w:bidi="ar-SA"/>
              </w:rPr>
            </w:pPr>
            <w:r>
              <w:rPr>
                <w:rFonts w:hint="eastAsia" w:hAnsi="宋体" w:eastAsia="宋体" w:cs="宋体"/>
                <w:bCs/>
                <w:color w:val="auto"/>
                <w:kern w:val="0"/>
                <w:sz w:val="21"/>
                <w:szCs w:val="21"/>
                <w:highlight w:val="none"/>
              </w:rPr>
              <w:t>注：不提供的不予以计分。</w:t>
            </w:r>
          </w:p>
        </w:tc>
        <w:tc>
          <w:tcPr>
            <w:tcW w:w="553" w:type="pct"/>
            <w:noWrap w:val="0"/>
            <w:vAlign w:val="center"/>
          </w:tcPr>
          <w:p w14:paraId="4FA39005">
            <w:pPr>
              <w:jc w:val="center"/>
              <w:rPr>
                <w:rFonts w:hint="eastAsia"/>
                <w:b/>
                <w:color w:val="auto"/>
                <w:kern w:val="2"/>
                <w:sz w:val="21"/>
                <w:szCs w:val="21"/>
                <w:highlight w:val="none"/>
                <w:lang w:val="en-US" w:eastAsia="zh-CN" w:bidi="ar-SA"/>
              </w:rPr>
            </w:pPr>
            <w:r>
              <w:rPr>
                <w:rFonts w:hint="eastAsia"/>
                <w:b w:val="0"/>
                <w:bCs/>
                <w:color w:val="auto"/>
                <w:szCs w:val="21"/>
                <w:highlight w:val="none"/>
                <w:lang w:val="en-US" w:eastAsia="zh-CN"/>
              </w:rPr>
              <w:t>0-7分</w:t>
            </w:r>
          </w:p>
        </w:tc>
      </w:tr>
      <w:tr w14:paraId="40210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399" w:type="pct"/>
            <w:vMerge w:val="continue"/>
            <w:noWrap w:val="0"/>
            <w:vAlign w:val="center"/>
          </w:tcPr>
          <w:p w14:paraId="5771F989">
            <w:pPr>
              <w:jc w:val="center"/>
              <w:rPr>
                <w:rFonts w:hint="eastAsia"/>
                <w:b w:val="0"/>
                <w:bCs/>
                <w:color w:val="auto"/>
                <w:szCs w:val="21"/>
                <w:highlight w:val="none"/>
                <w:lang w:val="en-US" w:eastAsia="zh-CN"/>
              </w:rPr>
            </w:pPr>
          </w:p>
        </w:tc>
        <w:tc>
          <w:tcPr>
            <w:tcW w:w="664" w:type="pct"/>
            <w:vMerge w:val="continue"/>
            <w:noWrap w:val="0"/>
            <w:vAlign w:val="center"/>
          </w:tcPr>
          <w:p w14:paraId="42EC165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bCs/>
                <w:color w:val="auto"/>
                <w:kern w:val="0"/>
                <w:sz w:val="21"/>
                <w:szCs w:val="21"/>
                <w:highlight w:val="none"/>
                <w:lang w:val="en-US" w:eastAsia="zh-CN" w:bidi="ar-SA"/>
              </w:rPr>
            </w:pPr>
          </w:p>
        </w:tc>
        <w:tc>
          <w:tcPr>
            <w:tcW w:w="3383" w:type="pct"/>
            <w:noWrap w:val="0"/>
            <w:vAlign w:val="center"/>
          </w:tcPr>
          <w:p w14:paraId="6F6A71B6">
            <w:pPr>
              <w:keepNext w:val="0"/>
              <w:keepLines w:val="0"/>
              <w:pageBreakBefore w:val="0"/>
              <w:widowControl/>
              <w:kinsoku/>
              <w:wordWrap/>
              <w:overflowPunct/>
              <w:topLinePunct w:val="0"/>
              <w:autoSpaceDE/>
              <w:autoSpaceDN/>
              <w:bidi w:val="0"/>
              <w:adjustRightInd/>
              <w:snapToGrid/>
              <w:spacing w:line="360" w:lineRule="auto"/>
              <w:ind w:firstLine="422" w:firstLineChars="200"/>
              <w:textAlignment w:val="auto"/>
              <w:rPr>
                <w:rFonts w:hint="default" w:ascii="宋体" w:hAnsi="宋体" w:eastAsia="宋体" w:cs="宋体"/>
                <w:b/>
                <w:bCs w:val="0"/>
                <w:color w:val="auto"/>
                <w:highlight w:val="none"/>
                <w:lang w:val="en-US" w:eastAsia="zh-CN"/>
              </w:rPr>
            </w:pPr>
            <w:r>
              <w:rPr>
                <w:rFonts w:hint="eastAsia" w:ascii="宋体" w:hAnsi="宋体" w:eastAsia="宋体" w:cs="宋体"/>
                <w:b/>
                <w:bCs w:val="0"/>
                <w:color w:val="auto"/>
                <w:highlight w:val="none"/>
                <w:lang w:val="en-US" w:eastAsia="zh-CN"/>
              </w:rPr>
              <w:t>1.</w:t>
            </w:r>
            <w:r>
              <w:rPr>
                <w:rFonts w:hint="eastAsia" w:ascii="宋体" w:hAnsi="宋体" w:cs="宋体"/>
                <w:b/>
                <w:bCs w:val="0"/>
                <w:color w:val="auto"/>
                <w:highlight w:val="none"/>
                <w:lang w:val="en-US" w:eastAsia="zh-CN"/>
              </w:rPr>
              <w:t>5</w:t>
            </w:r>
            <w:r>
              <w:rPr>
                <w:rFonts w:hint="eastAsia" w:ascii="宋体" w:hAnsi="宋体" w:eastAsia="宋体" w:cs="宋体"/>
                <w:b/>
                <w:bCs w:val="0"/>
                <w:color w:val="auto"/>
                <w:kern w:val="0"/>
                <w:szCs w:val="21"/>
                <w:highlight w:val="none"/>
              </w:rPr>
              <w:t>确保安全生产的技术组织措施</w:t>
            </w:r>
          </w:p>
          <w:p w14:paraId="4BA5EAE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一档（2分）：根据</w:t>
            </w:r>
            <w:r>
              <w:rPr>
                <w:rFonts w:hint="eastAsia" w:ascii="宋体" w:hAnsi="宋体" w:eastAsia="宋体" w:cs="宋体"/>
                <w:color w:val="auto"/>
                <w:szCs w:val="21"/>
                <w:highlight w:val="none"/>
                <w:lang w:val="en-US" w:eastAsia="zh-CN"/>
              </w:rPr>
              <w:t>采购人</w:t>
            </w:r>
            <w:r>
              <w:rPr>
                <w:rFonts w:hint="eastAsia" w:ascii="宋体" w:hAnsi="宋体" w:eastAsia="宋体" w:cs="宋体"/>
                <w:color w:val="auto"/>
                <w:szCs w:val="21"/>
                <w:highlight w:val="none"/>
              </w:rPr>
              <w:t>人员结构、管理模式等特点，制定有安全管理方案，有专门的安全管理人员和制度，有各道工序安全技术措施。</w:t>
            </w:r>
          </w:p>
          <w:p w14:paraId="42FE9404">
            <w:pPr>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二档（4分）：在一档的基础上，制定符合学校管理方式的安全管理方案，确保安全生产的技术组织措具体可行，</w:t>
            </w:r>
            <w:r>
              <w:rPr>
                <w:rFonts w:hint="eastAsia" w:ascii="宋体" w:hAnsi="宋体" w:eastAsia="宋体" w:cs="宋体"/>
                <w:bCs/>
                <w:color w:val="auto"/>
                <w:szCs w:val="21"/>
                <w:highlight w:val="none"/>
              </w:rPr>
              <w:t>措施符合实际且满足有关安全技术标准要求。有现场防火、应急救援、社会治安安全措施。</w:t>
            </w:r>
          </w:p>
          <w:p w14:paraId="4240D1AB">
            <w:pPr>
              <w:pStyle w:val="18"/>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bCs/>
                <w:color w:val="auto"/>
                <w:szCs w:val="21"/>
                <w:highlight w:val="none"/>
              </w:rPr>
              <w:t>三档（7分）：</w:t>
            </w:r>
            <w:r>
              <w:rPr>
                <w:rFonts w:hint="eastAsia" w:ascii="宋体" w:hAnsi="宋体" w:eastAsia="宋体" w:cs="宋体"/>
                <w:color w:val="auto"/>
                <w:szCs w:val="21"/>
                <w:highlight w:val="none"/>
              </w:rPr>
              <w:t>在二档的基础上，有针对性的制定符合学校管理方式的安全管理方案，确保安全生产的技术组织措</w:t>
            </w:r>
            <w:r>
              <w:rPr>
                <w:rFonts w:hint="eastAsia" w:ascii="宋体" w:hAnsi="宋体" w:eastAsia="宋体" w:cs="宋体"/>
                <w:bCs/>
                <w:color w:val="auto"/>
                <w:szCs w:val="21"/>
                <w:highlight w:val="none"/>
              </w:rPr>
              <w:t>具有针对性，现场防火、应急救援、社会治安安全措施得力。有安全生产责任、安全生产教育培训制度、施工现场临时用电方案及安全用电措施、安全管理目标。</w:t>
            </w:r>
          </w:p>
          <w:p w14:paraId="4FA8807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Cs/>
                <w:color w:val="auto"/>
                <w:kern w:val="2"/>
                <w:sz w:val="21"/>
                <w:szCs w:val="24"/>
                <w:highlight w:val="none"/>
                <w:lang w:val="en-US" w:eastAsia="zh-CN" w:bidi="ar-SA"/>
              </w:rPr>
            </w:pPr>
            <w:r>
              <w:rPr>
                <w:rFonts w:hint="eastAsia" w:ascii="宋体" w:hAnsi="宋体" w:eastAsia="宋体" w:cs="宋体"/>
                <w:bCs/>
                <w:color w:val="auto"/>
                <w:highlight w:val="none"/>
              </w:rPr>
              <w:t>注：不提供的不予以计分。</w:t>
            </w:r>
          </w:p>
        </w:tc>
        <w:tc>
          <w:tcPr>
            <w:tcW w:w="553" w:type="pct"/>
            <w:noWrap w:val="0"/>
            <w:vAlign w:val="center"/>
          </w:tcPr>
          <w:p w14:paraId="649220A9">
            <w:pPr>
              <w:jc w:val="center"/>
              <w:rPr>
                <w:rFonts w:hint="eastAsia"/>
                <w:b w:val="0"/>
                <w:bCs/>
                <w:color w:val="auto"/>
                <w:szCs w:val="21"/>
                <w:highlight w:val="none"/>
                <w:lang w:val="en-US" w:eastAsia="zh-CN"/>
              </w:rPr>
            </w:pPr>
            <w:r>
              <w:rPr>
                <w:rFonts w:hint="eastAsia"/>
                <w:b w:val="0"/>
                <w:bCs/>
                <w:color w:val="auto"/>
                <w:szCs w:val="21"/>
                <w:highlight w:val="none"/>
                <w:lang w:val="en-US" w:eastAsia="zh-CN"/>
              </w:rPr>
              <w:t>0-7分</w:t>
            </w:r>
          </w:p>
        </w:tc>
      </w:tr>
      <w:tr w14:paraId="647CB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399" w:type="pct"/>
            <w:vMerge w:val="continue"/>
            <w:noWrap w:val="0"/>
            <w:vAlign w:val="center"/>
          </w:tcPr>
          <w:p w14:paraId="7B2AB8D6">
            <w:pPr>
              <w:jc w:val="center"/>
              <w:rPr>
                <w:rFonts w:hint="eastAsia"/>
                <w:b w:val="0"/>
                <w:bCs/>
                <w:color w:val="auto"/>
                <w:szCs w:val="21"/>
                <w:highlight w:val="none"/>
                <w:lang w:val="en-US" w:eastAsia="zh-CN"/>
              </w:rPr>
            </w:pPr>
          </w:p>
        </w:tc>
        <w:tc>
          <w:tcPr>
            <w:tcW w:w="664" w:type="pct"/>
            <w:vMerge w:val="continue"/>
            <w:noWrap w:val="0"/>
            <w:vAlign w:val="center"/>
          </w:tcPr>
          <w:p w14:paraId="4425682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bCs/>
                <w:color w:val="auto"/>
                <w:kern w:val="0"/>
                <w:sz w:val="21"/>
                <w:szCs w:val="21"/>
                <w:highlight w:val="none"/>
                <w:lang w:val="en-US" w:eastAsia="zh-CN" w:bidi="ar-SA"/>
              </w:rPr>
            </w:pPr>
          </w:p>
        </w:tc>
        <w:tc>
          <w:tcPr>
            <w:tcW w:w="3383" w:type="pct"/>
            <w:noWrap w:val="0"/>
            <w:vAlign w:val="center"/>
          </w:tcPr>
          <w:p w14:paraId="0C4CC790">
            <w:pPr>
              <w:keepNext w:val="0"/>
              <w:keepLines w:val="0"/>
              <w:pageBreakBefore w:val="0"/>
              <w:widowControl/>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val="0"/>
                <w:color w:val="auto"/>
                <w:highlight w:val="none"/>
              </w:rPr>
            </w:pPr>
            <w:r>
              <w:rPr>
                <w:rFonts w:hint="eastAsia" w:ascii="宋体" w:hAnsi="宋体" w:eastAsia="宋体" w:cs="宋体"/>
                <w:b/>
                <w:bCs w:val="0"/>
                <w:color w:val="auto"/>
                <w:highlight w:val="none"/>
                <w:lang w:val="en-US" w:eastAsia="zh-CN"/>
              </w:rPr>
              <w:t>1.</w:t>
            </w:r>
            <w:r>
              <w:rPr>
                <w:rFonts w:hint="eastAsia" w:ascii="宋体" w:hAnsi="宋体" w:cs="宋体"/>
                <w:b/>
                <w:bCs w:val="0"/>
                <w:color w:val="auto"/>
                <w:highlight w:val="none"/>
                <w:lang w:val="en-US" w:eastAsia="zh-CN"/>
              </w:rPr>
              <w:t>6</w:t>
            </w:r>
            <w:r>
              <w:rPr>
                <w:rFonts w:hint="eastAsia" w:ascii="宋体" w:hAnsi="宋体" w:eastAsia="宋体" w:cs="宋体"/>
                <w:b/>
                <w:bCs w:val="0"/>
                <w:color w:val="auto"/>
                <w:highlight w:val="none"/>
              </w:rPr>
              <w:t>确保工期的技术组织措施</w:t>
            </w:r>
          </w:p>
          <w:p w14:paraId="2643040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一档（2分）：在施工工艺、施工方法、材料选用、劳动力安排、技术方面有保证工期的措施。有控制工期的施工进度计划。</w:t>
            </w:r>
          </w:p>
          <w:p w14:paraId="2E8B1CA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二档（4分）：在一档的基础上，进度计划符合项目需求，措施具体可行，有施工总进度表或施工网络图，考虑到本项目影响施工工期的施工难点并提出解决方法，确保施工工期。</w:t>
            </w:r>
          </w:p>
          <w:p w14:paraId="3E572275">
            <w:pPr>
              <w:pStyle w:val="18"/>
              <w:spacing w:line="360" w:lineRule="auto"/>
              <w:ind w:firstLine="420" w:firstLineChars="200"/>
              <w:rPr>
                <w:rFonts w:hint="eastAsia" w:ascii="宋体" w:hAnsi="宋体" w:eastAsia="宋体" w:cs="宋体"/>
                <w:bCs/>
                <w:color w:val="auto"/>
                <w:highlight w:val="none"/>
              </w:rPr>
            </w:pPr>
            <w:r>
              <w:rPr>
                <w:rFonts w:hint="eastAsia" w:ascii="宋体" w:hAnsi="宋体" w:eastAsia="宋体" w:cs="宋体"/>
                <w:color w:val="auto"/>
                <w:szCs w:val="21"/>
                <w:highlight w:val="none"/>
              </w:rPr>
              <w:t>三档（7分）：在二档的基础上，保证工期的措施切实符合项目需求且具有针对性。有控制工期的施工进度计划，施工进度计划的执行与控制，进度偏差管理措施。对</w:t>
            </w:r>
            <w:r>
              <w:rPr>
                <w:rFonts w:hint="eastAsia" w:ascii="宋体" w:hAnsi="宋体" w:eastAsia="宋体" w:cs="宋体"/>
                <w:color w:val="auto"/>
                <w:szCs w:val="21"/>
                <w:highlight w:val="none"/>
                <w:lang w:val="en-US" w:eastAsia="zh-CN"/>
              </w:rPr>
              <w:t>在校园施工过程中</w:t>
            </w:r>
            <w:r>
              <w:rPr>
                <w:rFonts w:hint="eastAsia" w:ascii="宋体" w:hAnsi="宋体" w:eastAsia="宋体" w:cs="宋体"/>
                <w:color w:val="auto"/>
                <w:szCs w:val="21"/>
                <w:highlight w:val="none"/>
              </w:rPr>
              <w:t>影响工期的施工难点提出切实有效的解决方案，各项计划图表切实符合项目需求。</w:t>
            </w:r>
          </w:p>
          <w:p w14:paraId="4C45393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highlight w:val="none"/>
              </w:rPr>
              <w:t>注：不提供的不予以计分。</w:t>
            </w:r>
          </w:p>
        </w:tc>
        <w:tc>
          <w:tcPr>
            <w:tcW w:w="553" w:type="pct"/>
            <w:noWrap w:val="0"/>
            <w:vAlign w:val="center"/>
          </w:tcPr>
          <w:p w14:paraId="72644CE8">
            <w:pPr>
              <w:jc w:val="center"/>
              <w:rPr>
                <w:rFonts w:hint="eastAsia"/>
                <w:b w:val="0"/>
                <w:bCs/>
                <w:color w:val="auto"/>
                <w:szCs w:val="21"/>
                <w:highlight w:val="none"/>
                <w:lang w:val="en-US" w:eastAsia="zh-CN"/>
              </w:rPr>
            </w:pPr>
            <w:r>
              <w:rPr>
                <w:rFonts w:hint="eastAsia"/>
                <w:b w:val="0"/>
                <w:bCs/>
                <w:color w:val="auto"/>
                <w:szCs w:val="21"/>
                <w:highlight w:val="none"/>
                <w:lang w:val="en-US" w:eastAsia="zh-CN"/>
              </w:rPr>
              <w:t>0-7分</w:t>
            </w:r>
          </w:p>
        </w:tc>
      </w:tr>
      <w:tr w14:paraId="0C6FD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399" w:type="pct"/>
            <w:vMerge w:val="continue"/>
            <w:noWrap w:val="0"/>
            <w:vAlign w:val="center"/>
          </w:tcPr>
          <w:p w14:paraId="1F0CAADA">
            <w:pPr>
              <w:jc w:val="center"/>
              <w:rPr>
                <w:rFonts w:hint="eastAsia"/>
                <w:b w:val="0"/>
                <w:bCs/>
                <w:color w:val="auto"/>
                <w:szCs w:val="21"/>
                <w:highlight w:val="none"/>
                <w:lang w:val="en-US" w:eastAsia="zh-CN"/>
              </w:rPr>
            </w:pPr>
          </w:p>
        </w:tc>
        <w:tc>
          <w:tcPr>
            <w:tcW w:w="664" w:type="pct"/>
            <w:vMerge w:val="continue"/>
            <w:noWrap w:val="0"/>
            <w:vAlign w:val="center"/>
          </w:tcPr>
          <w:p w14:paraId="317FFC7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bCs/>
                <w:color w:val="auto"/>
                <w:kern w:val="0"/>
                <w:sz w:val="21"/>
                <w:szCs w:val="21"/>
                <w:highlight w:val="none"/>
                <w:lang w:val="en-US" w:eastAsia="zh-CN" w:bidi="ar-SA"/>
              </w:rPr>
            </w:pPr>
          </w:p>
        </w:tc>
        <w:tc>
          <w:tcPr>
            <w:tcW w:w="3383" w:type="pct"/>
            <w:noWrap w:val="0"/>
            <w:vAlign w:val="center"/>
          </w:tcPr>
          <w:p w14:paraId="70E272B8">
            <w:pPr>
              <w:keepNext w:val="0"/>
              <w:keepLines w:val="0"/>
              <w:pageBreakBefore w:val="0"/>
              <w:widowControl/>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highlight w:val="none"/>
              </w:rPr>
            </w:pPr>
            <w:r>
              <w:rPr>
                <w:rFonts w:hint="eastAsia" w:ascii="宋体" w:hAnsi="宋体" w:eastAsia="宋体" w:cs="宋体"/>
                <w:b/>
                <w:bCs/>
                <w:color w:val="auto"/>
                <w:szCs w:val="21"/>
                <w:highlight w:val="none"/>
                <w:lang w:val="en-US" w:eastAsia="zh-CN"/>
              </w:rPr>
              <w:t>1.</w:t>
            </w:r>
            <w:r>
              <w:rPr>
                <w:rFonts w:hint="eastAsia" w:ascii="宋体" w:hAnsi="宋体" w:cs="宋体"/>
                <w:b/>
                <w:bCs/>
                <w:color w:val="auto"/>
                <w:szCs w:val="21"/>
                <w:highlight w:val="none"/>
                <w:lang w:val="en-US" w:eastAsia="zh-CN"/>
              </w:rPr>
              <w:t>7</w:t>
            </w:r>
            <w:r>
              <w:rPr>
                <w:rFonts w:hint="eastAsia" w:ascii="宋体" w:hAnsi="宋体" w:eastAsia="宋体" w:cs="宋体"/>
                <w:b/>
                <w:bCs/>
                <w:color w:val="auto"/>
                <w:szCs w:val="21"/>
                <w:highlight w:val="none"/>
                <w:lang w:eastAsia="zh-CN"/>
              </w:rPr>
              <w:t>确保文明施工的技术组织措施</w:t>
            </w:r>
          </w:p>
          <w:p w14:paraId="080D374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Cs/>
                <w:color w:val="auto"/>
                <w:highlight w:val="none"/>
              </w:rPr>
            </w:pPr>
            <w:r>
              <w:rPr>
                <w:rFonts w:hint="eastAsia" w:ascii="宋体" w:hAnsi="宋体" w:eastAsia="宋体" w:cs="宋体"/>
                <w:bCs/>
                <w:color w:val="auto"/>
                <w:highlight w:val="none"/>
              </w:rPr>
              <w:t>一档（2分）：文明施工方案达到《建筑施工安全生产检查标准》（JGJ59-2011）合格标准。</w:t>
            </w:r>
          </w:p>
          <w:p w14:paraId="20619A6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Cs/>
                <w:color w:val="auto"/>
                <w:highlight w:val="none"/>
              </w:rPr>
            </w:pPr>
            <w:r>
              <w:rPr>
                <w:rFonts w:hint="eastAsia" w:ascii="宋体" w:hAnsi="宋体" w:eastAsia="宋体" w:cs="宋体"/>
                <w:bCs/>
                <w:color w:val="auto"/>
                <w:highlight w:val="none"/>
              </w:rPr>
              <w:t>二档（4分）：在一档的基础上，文明施工方案符合学校管理制度、人员进场管理制度等，有施工围挡平面图。合理分析施工期间可能影响</w:t>
            </w:r>
            <w:r>
              <w:rPr>
                <w:rFonts w:hint="eastAsia" w:ascii="宋体" w:hAnsi="宋体" w:eastAsia="宋体" w:cs="宋体"/>
                <w:bCs/>
                <w:color w:val="auto"/>
                <w:highlight w:val="none"/>
                <w:lang w:val="en-US" w:eastAsia="zh-CN"/>
              </w:rPr>
              <w:t>采购人</w:t>
            </w:r>
            <w:r>
              <w:rPr>
                <w:rFonts w:hint="eastAsia" w:ascii="宋体" w:hAnsi="宋体" w:eastAsia="宋体" w:cs="宋体"/>
                <w:bCs/>
                <w:color w:val="auto"/>
                <w:highlight w:val="none"/>
              </w:rPr>
              <w:t>正常教学工作或师生生活的因素（如：噪音、油漆味等），并编制有处理方案。针对本工程项目特点编制的现场文明施工措施符合《广西壮族自治区建筑工程文明施工导则》要求。</w:t>
            </w:r>
          </w:p>
          <w:p w14:paraId="2102FA6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Cs/>
                <w:color w:val="auto"/>
                <w:highlight w:val="none"/>
              </w:rPr>
            </w:pPr>
            <w:r>
              <w:rPr>
                <w:rFonts w:hint="eastAsia" w:ascii="宋体" w:hAnsi="宋体" w:eastAsia="宋体" w:cs="宋体"/>
                <w:bCs/>
                <w:color w:val="auto"/>
                <w:highlight w:val="none"/>
              </w:rPr>
              <w:t>三档（7分）：在二档的基础上，文明施工方案符合校园道路管制、学校作息时间、在校师生学习生活等特点</w:t>
            </w:r>
            <w:r>
              <w:rPr>
                <w:rFonts w:hint="eastAsia" w:ascii="宋体" w:hAnsi="宋体" w:eastAsia="宋体" w:cs="宋体"/>
                <w:bCs/>
                <w:color w:val="auto"/>
                <w:highlight w:val="none"/>
                <w:lang w:eastAsia="zh-CN"/>
              </w:rPr>
              <w:t>，</w:t>
            </w:r>
            <w:r>
              <w:rPr>
                <w:rFonts w:hint="eastAsia" w:ascii="宋体" w:hAnsi="宋体" w:eastAsia="宋体" w:cs="宋体"/>
                <w:bCs/>
                <w:color w:val="auto"/>
                <w:highlight w:val="none"/>
              </w:rPr>
              <w:t>除了现场不堆放物料外，更针对高校的特点，专门设定噪音控制专项方案和相关承诺。施工围挡平面图具有保障性。深入准确的分析施工期间可能影响师生正常的教学生活的各种因素，并有针对性的提出处理方案。各项措施切合项目需求，具有可操作性。相关措施符合实现现场文明施工目标的承诺。</w:t>
            </w:r>
          </w:p>
          <w:p w14:paraId="68386ED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Cs/>
                <w:color w:val="auto"/>
                <w:kern w:val="2"/>
                <w:sz w:val="21"/>
                <w:szCs w:val="24"/>
                <w:highlight w:val="none"/>
                <w:lang w:val="en-US" w:eastAsia="zh-CN" w:bidi="ar-SA"/>
              </w:rPr>
            </w:pPr>
            <w:r>
              <w:rPr>
                <w:rFonts w:hint="eastAsia" w:ascii="宋体" w:hAnsi="宋体" w:eastAsia="宋体" w:cs="宋体"/>
                <w:bCs/>
                <w:color w:val="auto"/>
                <w:highlight w:val="none"/>
              </w:rPr>
              <w:t>注：不提供的不予以计分。</w:t>
            </w:r>
          </w:p>
        </w:tc>
        <w:tc>
          <w:tcPr>
            <w:tcW w:w="553" w:type="pct"/>
            <w:noWrap w:val="0"/>
            <w:vAlign w:val="center"/>
          </w:tcPr>
          <w:p w14:paraId="6172CF18">
            <w:pPr>
              <w:jc w:val="center"/>
              <w:rPr>
                <w:rFonts w:hint="eastAsia"/>
                <w:b w:val="0"/>
                <w:bCs/>
                <w:color w:val="auto"/>
                <w:kern w:val="2"/>
                <w:sz w:val="21"/>
                <w:szCs w:val="21"/>
                <w:highlight w:val="none"/>
                <w:lang w:val="en-US" w:eastAsia="zh-CN" w:bidi="ar-SA"/>
              </w:rPr>
            </w:pPr>
            <w:r>
              <w:rPr>
                <w:rFonts w:hint="eastAsia"/>
                <w:b w:val="0"/>
                <w:bCs/>
                <w:color w:val="auto"/>
                <w:szCs w:val="21"/>
                <w:highlight w:val="none"/>
                <w:lang w:val="en-US" w:eastAsia="zh-CN"/>
              </w:rPr>
              <w:t>0-7分</w:t>
            </w:r>
          </w:p>
        </w:tc>
      </w:tr>
      <w:tr w14:paraId="249B9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399" w:type="pct"/>
            <w:vMerge w:val="continue"/>
            <w:noWrap w:val="0"/>
            <w:vAlign w:val="center"/>
          </w:tcPr>
          <w:p w14:paraId="45E573A8">
            <w:pPr>
              <w:jc w:val="center"/>
              <w:rPr>
                <w:rFonts w:hint="eastAsia"/>
                <w:b w:val="0"/>
                <w:bCs/>
                <w:color w:val="auto"/>
                <w:szCs w:val="21"/>
                <w:highlight w:val="none"/>
                <w:lang w:val="en-US" w:eastAsia="zh-CN"/>
              </w:rPr>
            </w:pPr>
          </w:p>
        </w:tc>
        <w:tc>
          <w:tcPr>
            <w:tcW w:w="664" w:type="pct"/>
            <w:vMerge w:val="continue"/>
            <w:noWrap w:val="0"/>
            <w:vAlign w:val="center"/>
          </w:tcPr>
          <w:p w14:paraId="78523C2C">
            <w:pPr>
              <w:jc w:val="center"/>
              <w:rPr>
                <w:rFonts w:hint="eastAsia"/>
                <w:b/>
                <w:color w:val="auto"/>
                <w:szCs w:val="21"/>
                <w:highlight w:val="none"/>
              </w:rPr>
            </w:pPr>
          </w:p>
        </w:tc>
        <w:tc>
          <w:tcPr>
            <w:tcW w:w="3383" w:type="pct"/>
            <w:noWrap w:val="0"/>
            <w:vAlign w:val="center"/>
          </w:tcPr>
          <w:p w14:paraId="1063B77C">
            <w:pPr>
              <w:pStyle w:val="27"/>
              <w:spacing w:line="360" w:lineRule="auto"/>
              <w:ind w:firstLine="422" w:firstLineChars="200"/>
              <w:rPr>
                <w:rFonts w:hint="eastAsia" w:hAnsi="宋体" w:eastAsia="宋体" w:cs="宋体"/>
                <w:b/>
                <w:bCs w:val="0"/>
                <w:color w:val="auto"/>
                <w:sz w:val="21"/>
                <w:szCs w:val="21"/>
                <w:highlight w:val="none"/>
              </w:rPr>
            </w:pPr>
            <w:r>
              <w:rPr>
                <w:rFonts w:hint="eastAsia" w:hAnsi="宋体" w:eastAsia="宋体" w:cs="宋体"/>
                <w:b/>
                <w:bCs w:val="0"/>
                <w:color w:val="auto"/>
                <w:kern w:val="0"/>
                <w:szCs w:val="21"/>
                <w:highlight w:val="none"/>
                <w:lang w:val="en-US" w:eastAsia="zh-CN"/>
              </w:rPr>
              <w:t>1.</w:t>
            </w:r>
            <w:r>
              <w:rPr>
                <w:rFonts w:hint="eastAsia" w:hAnsi="宋体" w:cs="宋体"/>
                <w:b/>
                <w:bCs w:val="0"/>
                <w:color w:val="auto"/>
                <w:kern w:val="0"/>
                <w:szCs w:val="21"/>
                <w:highlight w:val="none"/>
                <w:lang w:val="en-US" w:eastAsia="zh-CN"/>
              </w:rPr>
              <w:t>8</w:t>
            </w:r>
            <w:r>
              <w:rPr>
                <w:rFonts w:hint="eastAsia" w:ascii="宋体" w:hAnsi="宋体" w:eastAsia="宋体" w:cs="宋体"/>
                <w:b/>
                <w:bCs w:val="0"/>
                <w:color w:val="auto"/>
                <w:kern w:val="0"/>
                <w:szCs w:val="21"/>
                <w:highlight w:val="none"/>
                <w:lang w:val="en-US" w:eastAsia="zh-CN"/>
              </w:rPr>
              <w:t>工程施工的重点和难点及保证措施</w:t>
            </w:r>
          </w:p>
          <w:p w14:paraId="2DCE54A3">
            <w:pPr>
              <w:pStyle w:val="367"/>
              <w:spacing w:line="360" w:lineRule="auto"/>
              <w:ind w:firstLine="420" w:firstLineChars="200"/>
              <w:rPr>
                <w:rFonts w:hint="eastAsia" w:ascii="宋体" w:hAnsi="宋体" w:eastAsia="宋体" w:cs="宋体"/>
                <w:bCs w:val="0"/>
                <w:color w:val="auto"/>
                <w:spacing w:val="0"/>
                <w:kern w:val="2"/>
                <w:sz w:val="21"/>
                <w:szCs w:val="21"/>
                <w:highlight w:val="none"/>
              </w:rPr>
            </w:pPr>
            <w:r>
              <w:rPr>
                <w:rFonts w:hint="eastAsia" w:ascii="宋体" w:hAnsi="宋体" w:eastAsia="宋体" w:cs="宋体"/>
                <w:bCs w:val="0"/>
                <w:color w:val="auto"/>
                <w:spacing w:val="0"/>
                <w:kern w:val="2"/>
                <w:sz w:val="21"/>
                <w:szCs w:val="21"/>
                <w:highlight w:val="none"/>
              </w:rPr>
              <w:t>一档（2分）：针对本工程的特点，阐述本工程的重点和难点，解决重点和难点问题的方法符合本项目实际。</w:t>
            </w:r>
          </w:p>
          <w:p w14:paraId="5DD2E362">
            <w:pPr>
              <w:autoSpaceDE w:val="0"/>
              <w:autoSpaceDN w:val="0"/>
              <w:adjustRightIn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二档（4分）：在一档的基础上，阐述内容具体，符合本项目的特点，对重点、难点有具体可行的建议，解决方案经济、安全。 </w:t>
            </w:r>
          </w:p>
          <w:p w14:paraId="6C1AD081">
            <w:pPr>
              <w:spacing w:line="360" w:lineRule="auto"/>
              <w:ind w:firstLine="420" w:firstLineChars="200"/>
              <w:rPr>
                <w:rFonts w:hint="eastAsia" w:ascii="宋体" w:hAnsi="宋体" w:eastAsia="宋体" w:cs="宋体"/>
                <w:color w:val="auto"/>
                <w:spacing w:val="-3"/>
                <w:szCs w:val="21"/>
                <w:highlight w:val="none"/>
              </w:rPr>
            </w:pPr>
            <w:r>
              <w:rPr>
                <w:rFonts w:hint="eastAsia" w:ascii="宋体" w:hAnsi="宋体" w:eastAsia="宋体" w:cs="宋体"/>
                <w:color w:val="auto"/>
                <w:szCs w:val="21"/>
                <w:highlight w:val="none"/>
              </w:rPr>
              <w:t>三档（7分）：在二档的基础上，阐述内容准确、详细，对</w:t>
            </w:r>
            <w:r>
              <w:rPr>
                <w:rFonts w:hint="eastAsia" w:ascii="宋体" w:hAnsi="宋体" w:eastAsia="宋体" w:cs="宋体"/>
                <w:color w:val="auto"/>
                <w:kern w:val="0"/>
                <w:szCs w:val="21"/>
                <w:highlight w:val="none"/>
              </w:rPr>
              <w:t>重点，难点有针对性的施工措施并有安全措施，解决方案有效、可靠，</w:t>
            </w:r>
            <w:r>
              <w:rPr>
                <w:rFonts w:hint="eastAsia" w:ascii="宋体" w:hAnsi="宋体" w:eastAsia="宋体" w:cs="宋体"/>
                <w:color w:val="auto"/>
                <w:szCs w:val="21"/>
                <w:highlight w:val="none"/>
              </w:rPr>
              <w:t>有效的保证工程质量</w:t>
            </w:r>
            <w:r>
              <w:rPr>
                <w:rFonts w:hint="eastAsia" w:ascii="宋体" w:hAnsi="宋体" w:eastAsia="宋体" w:cs="宋体"/>
                <w:bCs/>
                <w:color w:val="auto"/>
                <w:szCs w:val="21"/>
                <w:highlight w:val="none"/>
              </w:rPr>
              <w:t>。</w:t>
            </w:r>
          </w:p>
          <w:p w14:paraId="4AC9E616">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Cs/>
                <w:color w:val="auto"/>
                <w:kern w:val="2"/>
                <w:sz w:val="21"/>
                <w:szCs w:val="24"/>
                <w:highlight w:val="none"/>
                <w:lang w:val="en-US" w:eastAsia="zh-CN" w:bidi="ar-SA"/>
              </w:rPr>
            </w:pPr>
            <w:r>
              <w:rPr>
                <w:rFonts w:hint="eastAsia" w:hAnsi="宋体" w:eastAsia="宋体" w:cs="宋体"/>
                <w:bCs/>
                <w:color w:val="auto"/>
                <w:kern w:val="0"/>
                <w:sz w:val="21"/>
                <w:szCs w:val="21"/>
                <w:highlight w:val="none"/>
              </w:rPr>
              <w:t>注：不提供的不予以计分。</w:t>
            </w:r>
          </w:p>
        </w:tc>
        <w:tc>
          <w:tcPr>
            <w:tcW w:w="553" w:type="pct"/>
            <w:noWrap w:val="0"/>
            <w:vAlign w:val="center"/>
          </w:tcPr>
          <w:p w14:paraId="29536D10">
            <w:pPr>
              <w:jc w:val="center"/>
              <w:rPr>
                <w:rFonts w:hint="eastAsia"/>
                <w:b w:val="0"/>
                <w:bCs/>
                <w:color w:val="auto"/>
                <w:kern w:val="2"/>
                <w:sz w:val="21"/>
                <w:szCs w:val="21"/>
                <w:highlight w:val="none"/>
                <w:lang w:val="en-US" w:eastAsia="zh-CN" w:bidi="ar-SA"/>
              </w:rPr>
            </w:pPr>
            <w:r>
              <w:rPr>
                <w:rFonts w:hint="eastAsia"/>
                <w:b w:val="0"/>
                <w:bCs/>
                <w:color w:val="auto"/>
                <w:szCs w:val="21"/>
                <w:highlight w:val="none"/>
                <w:lang w:val="en-US" w:eastAsia="zh-CN"/>
              </w:rPr>
              <w:t>0-7分</w:t>
            </w:r>
          </w:p>
        </w:tc>
      </w:tr>
      <w:tr w14:paraId="12BE4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399" w:type="pct"/>
            <w:vMerge w:val="restart"/>
            <w:noWrap w:val="0"/>
            <w:vAlign w:val="center"/>
          </w:tcPr>
          <w:p w14:paraId="2BD2C93D">
            <w:pPr>
              <w:jc w:val="center"/>
              <w:rPr>
                <w:rFonts w:hint="default"/>
                <w:b w:val="0"/>
                <w:bCs/>
                <w:color w:val="auto"/>
                <w:szCs w:val="21"/>
                <w:highlight w:val="none"/>
                <w:lang w:val="en-US" w:eastAsia="zh-CN"/>
              </w:rPr>
            </w:pPr>
            <w:r>
              <w:rPr>
                <w:rFonts w:hint="eastAsia"/>
                <w:b w:val="0"/>
                <w:bCs/>
                <w:color w:val="auto"/>
                <w:szCs w:val="21"/>
                <w:highlight w:val="none"/>
                <w:lang w:val="en-US" w:eastAsia="zh-CN"/>
              </w:rPr>
              <w:t>2</w:t>
            </w:r>
          </w:p>
        </w:tc>
        <w:tc>
          <w:tcPr>
            <w:tcW w:w="664" w:type="pct"/>
            <w:vMerge w:val="restart"/>
            <w:noWrap w:val="0"/>
            <w:vAlign w:val="center"/>
          </w:tcPr>
          <w:p w14:paraId="6C5B25A4">
            <w:pPr>
              <w:jc w:val="center"/>
              <w:rPr>
                <w:rFonts w:hint="eastAsia" w:eastAsia="宋体"/>
                <w:b/>
                <w:color w:val="auto"/>
                <w:szCs w:val="21"/>
                <w:highlight w:val="none"/>
                <w:lang w:eastAsia="zh-CN"/>
              </w:rPr>
            </w:pPr>
            <w:r>
              <w:rPr>
                <w:rFonts w:hint="eastAsia"/>
                <w:b/>
                <w:color w:val="auto"/>
                <w:szCs w:val="21"/>
                <w:highlight w:val="none"/>
                <w:lang w:eastAsia="zh-CN"/>
              </w:rPr>
              <w:t>商务分（</w:t>
            </w:r>
            <w:r>
              <w:rPr>
                <w:rFonts w:hint="eastAsia"/>
                <w:b/>
                <w:color w:val="auto"/>
                <w:szCs w:val="21"/>
                <w:highlight w:val="none"/>
                <w:lang w:val="en-US" w:eastAsia="zh-CN"/>
              </w:rPr>
              <w:t>18分</w:t>
            </w:r>
            <w:r>
              <w:rPr>
                <w:rFonts w:hint="eastAsia"/>
                <w:b/>
                <w:color w:val="auto"/>
                <w:szCs w:val="21"/>
                <w:highlight w:val="none"/>
                <w:lang w:eastAsia="zh-CN"/>
              </w:rPr>
              <w:t>）</w:t>
            </w:r>
          </w:p>
        </w:tc>
        <w:tc>
          <w:tcPr>
            <w:tcW w:w="3383" w:type="pct"/>
            <w:noWrap w:val="0"/>
            <w:vAlign w:val="center"/>
          </w:tcPr>
          <w:p w14:paraId="0874FCD5">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default" w:ascii="宋体" w:hAnsi="宋体" w:eastAsia="宋体" w:cs="宋体"/>
                <w:bCs/>
                <w:color w:val="auto"/>
                <w:szCs w:val="21"/>
                <w:highlight w:val="none"/>
                <w:lang w:val="en-US" w:eastAsia="zh-CN"/>
              </w:rPr>
            </w:pPr>
            <w:r>
              <w:rPr>
                <w:rFonts w:hint="eastAsia" w:ascii="宋体" w:hAnsi="宋体" w:eastAsia="宋体" w:cs="宋体"/>
                <w:b/>
                <w:bCs w:val="0"/>
                <w:color w:val="auto"/>
                <w:szCs w:val="21"/>
                <w:highlight w:val="none"/>
                <w:lang w:val="en-US" w:eastAsia="zh-CN"/>
              </w:rPr>
              <w:t>2.1业绩分</w:t>
            </w:r>
          </w:p>
          <w:p w14:paraId="6C1F8D6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202</w:t>
            </w:r>
            <w:r>
              <w:rPr>
                <w:rFonts w:hint="eastAsia" w:ascii="宋体" w:hAnsi="宋体" w:cs="宋体"/>
                <w:b w:val="0"/>
                <w:bCs/>
                <w:color w:val="auto"/>
                <w:szCs w:val="21"/>
                <w:highlight w:val="none"/>
                <w:lang w:val="en-US" w:eastAsia="zh-CN"/>
              </w:rPr>
              <w:t>1</w:t>
            </w:r>
            <w:r>
              <w:rPr>
                <w:rFonts w:hint="eastAsia" w:ascii="宋体" w:hAnsi="宋体" w:eastAsia="宋体" w:cs="宋体"/>
                <w:b w:val="0"/>
                <w:bCs/>
                <w:color w:val="auto"/>
                <w:szCs w:val="21"/>
                <w:highlight w:val="none"/>
              </w:rPr>
              <w:t>年1月1日以来</w:t>
            </w:r>
            <w:r>
              <w:rPr>
                <w:rFonts w:hint="eastAsia" w:ascii="宋体" w:hAnsi="宋体" w:eastAsia="宋体" w:cs="宋体"/>
                <w:b w:val="0"/>
                <w:bCs/>
                <w:color w:val="auto"/>
                <w:szCs w:val="21"/>
                <w:highlight w:val="none"/>
                <w:lang w:eastAsia="zh-CN"/>
              </w:rPr>
              <w:t>供应商</w:t>
            </w:r>
            <w:r>
              <w:rPr>
                <w:rFonts w:hint="eastAsia" w:ascii="宋体" w:hAnsi="宋体" w:eastAsia="宋体" w:cs="宋体"/>
                <w:b w:val="0"/>
                <w:bCs/>
                <w:color w:val="auto"/>
                <w:szCs w:val="21"/>
                <w:highlight w:val="none"/>
              </w:rPr>
              <w:t>完成过</w:t>
            </w:r>
            <w:r>
              <w:rPr>
                <w:rFonts w:hint="eastAsia" w:ascii="宋体" w:hAnsi="宋体" w:cs="宋体"/>
                <w:b w:val="0"/>
                <w:bCs/>
                <w:color w:val="auto"/>
                <w:szCs w:val="21"/>
                <w:highlight w:val="none"/>
                <w:lang w:val="en-US" w:eastAsia="zh-CN"/>
              </w:rPr>
              <w:t>类似改造</w:t>
            </w:r>
            <w:r>
              <w:rPr>
                <w:rFonts w:hint="eastAsia" w:ascii="宋体" w:hAnsi="宋体" w:eastAsia="宋体" w:cs="宋体"/>
                <w:b w:val="0"/>
                <w:bCs/>
                <w:color w:val="auto"/>
                <w:szCs w:val="21"/>
                <w:highlight w:val="none"/>
              </w:rPr>
              <w:t>项目业绩的，每个</w:t>
            </w:r>
            <w:r>
              <w:rPr>
                <w:rFonts w:hint="eastAsia" w:ascii="宋体" w:hAnsi="宋体" w:cs="宋体"/>
                <w:b w:val="0"/>
                <w:bCs/>
                <w:color w:val="auto"/>
                <w:szCs w:val="21"/>
                <w:highlight w:val="none"/>
                <w:lang w:val="en-US" w:eastAsia="zh-CN"/>
              </w:rPr>
              <w:t>5</w:t>
            </w:r>
            <w:r>
              <w:rPr>
                <w:rFonts w:hint="eastAsia" w:ascii="宋体" w:hAnsi="宋体" w:eastAsia="宋体" w:cs="宋体"/>
                <w:b w:val="0"/>
                <w:bCs/>
                <w:color w:val="auto"/>
                <w:szCs w:val="21"/>
                <w:highlight w:val="none"/>
              </w:rPr>
              <w:t>分，</w:t>
            </w:r>
            <w:r>
              <w:rPr>
                <w:rFonts w:hint="eastAsia" w:ascii="宋体" w:hAnsi="宋体" w:eastAsia="宋体" w:cs="宋体"/>
                <w:b w:val="0"/>
                <w:bCs/>
                <w:color w:val="auto"/>
                <w:szCs w:val="21"/>
                <w:highlight w:val="none"/>
                <w:shd w:val="clear"/>
              </w:rPr>
              <w:t>满分</w:t>
            </w:r>
            <w:r>
              <w:rPr>
                <w:rFonts w:hint="eastAsia" w:ascii="宋体" w:hAnsi="宋体" w:cs="宋体"/>
                <w:b w:val="0"/>
                <w:bCs/>
                <w:color w:val="auto"/>
                <w:szCs w:val="21"/>
                <w:highlight w:val="none"/>
                <w:shd w:val="clear"/>
                <w:lang w:val="en-US" w:eastAsia="zh-CN"/>
              </w:rPr>
              <w:t>15</w:t>
            </w:r>
            <w:r>
              <w:rPr>
                <w:rFonts w:hint="eastAsia" w:ascii="宋体" w:hAnsi="宋体" w:eastAsia="宋体" w:cs="宋体"/>
                <w:b w:val="0"/>
                <w:bCs/>
                <w:color w:val="auto"/>
                <w:szCs w:val="21"/>
                <w:highlight w:val="none"/>
                <w:shd w:val="clear"/>
              </w:rPr>
              <w:t>分</w:t>
            </w:r>
            <w:r>
              <w:rPr>
                <w:rFonts w:hint="eastAsia" w:ascii="宋体" w:hAnsi="宋体" w:eastAsia="宋体" w:cs="宋体"/>
                <w:b w:val="0"/>
                <w:bCs/>
                <w:color w:val="auto"/>
                <w:szCs w:val="21"/>
                <w:highlight w:val="none"/>
              </w:rPr>
              <w:t>。</w:t>
            </w:r>
          </w:p>
          <w:p w14:paraId="3D409C0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Cs/>
                <w:color w:val="auto"/>
                <w:szCs w:val="21"/>
                <w:highlight w:val="none"/>
                <w:lang w:val="en-US" w:eastAsia="zh-CN"/>
              </w:rPr>
            </w:pPr>
            <w:r>
              <w:rPr>
                <w:rFonts w:hint="eastAsia" w:ascii="宋体" w:hAnsi="宋体" w:cs="宋体"/>
                <w:bCs/>
                <w:color w:val="auto"/>
                <w:szCs w:val="21"/>
                <w:highlight w:val="none"/>
                <w:lang w:val="en-US" w:eastAsia="zh-CN"/>
              </w:rPr>
              <w:t>注</w:t>
            </w:r>
            <w:r>
              <w:rPr>
                <w:rFonts w:hint="eastAsia" w:ascii="宋体" w:hAnsi="宋体" w:cs="宋体"/>
                <w:bCs/>
                <w:color w:val="auto"/>
                <w:szCs w:val="21"/>
                <w:highlight w:val="none"/>
                <w:lang w:eastAsia="zh-CN"/>
              </w:rPr>
              <w:t>：</w:t>
            </w:r>
            <w:r>
              <w:rPr>
                <w:rFonts w:hint="eastAsia" w:ascii="宋体" w:hAnsi="宋体" w:eastAsia="宋体" w:cs="宋体"/>
                <w:bCs/>
                <w:color w:val="auto"/>
                <w:szCs w:val="21"/>
                <w:highlight w:val="none"/>
                <w:lang w:eastAsia="zh-CN"/>
              </w:rPr>
              <w:t>响应</w:t>
            </w:r>
            <w:r>
              <w:rPr>
                <w:rFonts w:hint="eastAsia" w:ascii="宋体" w:hAnsi="宋体" w:eastAsia="宋体" w:cs="宋体"/>
                <w:bCs/>
                <w:color w:val="auto"/>
                <w:szCs w:val="21"/>
                <w:highlight w:val="none"/>
              </w:rPr>
              <w:t>文件提供中标（成交）通知书或合同等扫描件为准，否则不得分</w:t>
            </w:r>
            <w:r>
              <w:rPr>
                <w:rFonts w:hint="eastAsia" w:ascii="宋体" w:hAnsi="宋体" w:cs="宋体"/>
                <w:bCs/>
                <w:color w:val="auto"/>
                <w:szCs w:val="21"/>
                <w:highlight w:val="none"/>
                <w:lang w:eastAsia="zh-CN"/>
              </w:rPr>
              <w:t>。</w:t>
            </w:r>
          </w:p>
        </w:tc>
        <w:tc>
          <w:tcPr>
            <w:tcW w:w="553" w:type="pct"/>
            <w:noWrap w:val="0"/>
            <w:vAlign w:val="center"/>
          </w:tcPr>
          <w:p w14:paraId="1857C06E">
            <w:pPr>
              <w:jc w:val="center"/>
              <w:rPr>
                <w:rFonts w:hint="eastAsia"/>
                <w:b w:val="0"/>
                <w:bCs/>
                <w:color w:val="auto"/>
                <w:szCs w:val="21"/>
                <w:highlight w:val="none"/>
                <w:lang w:val="en-US" w:eastAsia="zh-CN"/>
              </w:rPr>
            </w:pPr>
            <w:r>
              <w:rPr>
                <w:rFonts w:hint="eastAsia"/>
                <w:b w:val="0"/>
                <w:bCs/>
                <w:color w:val="auto"/>
                <w:szCs w:val="21"/>
                <w:highlight w:val="none"/>
                <w:lang w:val="en-US" w:eastAsia="zh-CN"/>
              </w:rPr>
              <w:t>0-15分</w:t>
            </w:r>
          </w:p>
        </w:tc>
      </w:tr>
      <w:tr w14:paraId="2BD02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399" w:type="pct"/>
            <w:vMerge w:val="continue"/>
            <w:noWrap w:val="0"/>
            <w:vAlign w:val="center"/>
          </w:tcPr>
          <w:p w14:paraId="5DDF0100">
            <w:pPr>
              <w:jc w:val="center"/>
              <w:rPr>
                <w:rFonts w:hint="eastAsia"/>
                <w:b w:val="0"/>
                <w:bCs/>
                <w:color w:val="auto"/>
                <w:szCs w:val="21"/>
                <w:highlight w:val="none"/>
                <w:lang w:val="en-US" w:eastAsia="zh-CN"/>
              </w:rPr>
            </w:pPr>
          </w:p>
        </w:tc>
        <w:tc>
          <w:tcPr>
            <w:tcW w:w="664" w:type="pct"/>
            <w:vMerge w:val="continue"/>
            <w:noWrap w:val="0"/>
            <w:vAlign w:val="center"/>
          </w:tcPr>
          <w:p w14:paraId="3D68FB01">
            <w:pPr>
              <w:jc w:val="center"/>
              <w:rPr>
                <w:rFonts w:hint="eastAsia"/>
                <w:b/>
                <w:color w:val="auto"/>
                <w:szCs w:val="21"/>
                <w:highlight w:val="none"/>
                <w:lang w:eastAsia="zh-CN"/>
              </w:rPr>
            </w:pPr>
          </w:p>
        </w:tc>
        <w:tc>
          <w:tcPr>
            <w:tcW w:w="3383" w:type="pct"/>
            <w:noWrap w:val="0"/>
            <w:vAlign w:val="center"/>
          </w:tcPr>
          <w:p w14:paraId="04201216">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cs="宋体"/>
                <w:b/>
                <w:bCs w:val="0"/>
                <w:color w:val="auto"/>
                <w:szCs w:val="21"/>
                <w:highlight w:val="none"/>
                <w:lang w:val="en-US" w:eastAsia="zh-CN"/>
              </w:rPr>
            </w:pPr>
            <w:r>
              <w:rPr>
                <w:rFonts w:hint="eastAsia" w:ascii="宋体" w:hAnsi="宋体" w:cs="宋体"/>
                <w:b/>
                <w:bCs w:val="0"/>
                <w:color w:val="auto"/>
                <w:szCs w:val="21"/>
                <w:highlight w:val="none"/>
                <w:lang w:val="en-US" w:eastAsia="zh-CN"/>
              </w:rPr>
              <w:t>2.2信誉分</w:t>
            </w:r>
          </w:p>
          <w:p w14:paraId="187CB808">
            <w:pPr>
              <w:spacing w:line="360" w:lineRule="auto"/>
              <w:ind w:firstLine="420" w:firstLineChars="200"/>
              <w:rPr>
                <w:rFonts w:hint="eastAsia"/>
                <w:color w:val="auto"/>
                <w:highlight w:val="none"/>
              </w:rPr>
            </w:pPr>
            <w:r>
              <w:rPr>
                <w:rFonts w:hint="eastAsia"/>
                <w:color w:val="auto"/>
                <w:highlight w:val="none"/>
              </w:rPr>
              <w:t>供应商获得质量管理体系认证证书、职业健康安全管理体系认证证书、环境管理体系认证证书的，每有一个证书得</w:t>
            </w:r>
            <w:r>
              <w:rPr>
                <w:rFonts w:hint="eastAsia"/>
                <w:color w:val="auto"/>
                <w:highlight w:val="none"/>
                <w:lang w:val="en-US" w:eastAsia="zh-CN"/>
              </w:rPr>
              <w:t>1</w:t>
            </w:r>
            <w:r>
              <w:rPr>
                <w:rFonts w:hint="eastAsia"/>
                <w:color w:val="auto"/>
                <w:highlight w:val="none"/>
              </w:rPr>
              <w:t>分，满分</w:t>
            </w:r>
            <w:r>
              <w:rPr>
                <w:rFonts w:hint="eastAsia"/>
                <w:color w:val="auto"/>
                <w:highlight w:val="none"/>
                <w:lang w:val="en-US" w:eastAsia="zh-CN"/>
              </w:rPr>
              <w:t>3</w:t>
            </w:r>
            <w:r>
              <w:rPr>
                <w:rFonts w:hint="eastAsia"/>
                <w:color w:val="auto"/>
                <w:highlight w:val="none"/>
              </w:rPr>
              <w:t>分。</w:t>
            </w:r>
          </w:p>
          <w:p w14:paraId="00A518EC">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cs="宋体"/>
                <w:bCs/>
                <w:color w:val="auto"/>
                <w:szCs w:val="21"/>
                <w:highlight w:val="none"/>
                <w:lang w:val="en-US" w:eastAsia="zh-CN"/>
              </w:rPr>
            </w:pPr>
            <w:r>
              <w:rPr>
                <w:rFonts w:hint="eastAsia"/>
                <w:b/>
                <w:bCs/>
                <w:color w:val="auto"/>
                <w:highlight w:val="none"/>
              </w:rPr>
              <w:t>注：响应文件中提供有效期内的证书复印件，并同时提供在全国认证认可信息公共服务平台（http://cx.cnca.cn/CertECloud/index/index/page）对该证书的信息查询截图作为评审依据，已失效、撤销、过期或不提供截图的不得分。</w:t>
            </w:r>
          </w:p>
        </w:tc>
        <w:tc>
          <w:tcPr>
            <w:tcW w:w="553" w:type="pct"/>
            <w:noWrap w:val="0"/>
            <w:vAlign w:val="center"/>
          </w:tcPr>
          <w:p w14:paraId="3B858EC7">
            <w:pPr>
              <w:jc w:val="center"/>
              <w:rPr>
                <w:rFonts w:hint="default"/>
                <w:b w:val="0"/>
                <w:bCs/>
                <w:color w:val="auto"/>
                <w:szCs w:val="21"/>
                <w:highlight w:val="none"/>
                <w:lang w:val="en-US" w:eastAsia="zh-CN"/>
              </w:rPr>
            </w:pPr>
            <w:r>
              <w:rPr>
                <w:rFonts w:hint="eastAsia"/>
                <w:b w:val="0"/>
                <w:bCs/>
                <w:color w:val="auto"/>
                <w:szCs w:val="21"/>
                <w:highlight w:val="none"/>
                <w:lang w:val="en-US" w:eastAsia="zh-CN"/>
              </w:rPr>
              <w:t>0-3分</w:t>
            </w:r>
          </w:p>
        </w:tc>
      </w:tr>
    </w:tbl>
    <w:p w14:paraId="2061F4E0">
      <w:pPr>
        <w:ind w:firstLine="420" w:firstLineChars="200"/>
        <w:rPr>
          <w:color w:val="auto"/>
          <w:highlight w:val="none"/>
        </w:rPr>
      </w:pPr>
    </w:p>
    <w:p w14:paraId="0950B70B">
      <w:pPr>
        <w:ind w:firstLine="315" w:firstLineChars="150"/>
        <w:rPr>
          <w:color w:val="auto"/>
          <w:highlight w:val="none"/>
          <w:lang w:val="zh-CN"/>
        </w:rPr>
      </w:pPr>
      <w:r>
        <w:rPr>
          <w:rFonts w:hint="eastAsia"/>
          <w:color w:val="auto"/>
          <w:highlight w:val="none"/>
          <w:lang w:val="zh-CN"/>
        </w:rPr>
        <w:t>（2）最后报价分</w:t>
      </w:r>
    </w:p>
    <w:tbl>
      <w:tblPr>
        <w:tblStyle w:val="5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2128"/>
        <w:gridCol w:w="3609"/>
        <w:gridCol w:w="818"/>
        <w:gridCol w:w="2199"/>
      </w:tblGrid>
      <w:tr w14:paraId="0959F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2" w:hRule="atLeast"/>
          <w:jc w:val="center"/>
        </w:trPr>
        <w:tc>
          <w:tcPr>
            <w:tcW w:w="427" w:type="pct"/>
            <w:noWrap w:val="0"/>
            <w:vAlign w:val="center"/>
          </w:tcPr>
          <w:p w14:paraId="3761FA8C">
            <w:pPr>
              <w:jc w:val="center"/>
              <w:rPr>
                <w:b/>
                <w:color w:val="auto"/>
                <w:szCs w:val="21"/>
                <w:highlight w:val="none"/>
              </w:rPr>
            </w:pPr>
            <w:r>
              <w:rPr>
                <w:b/>
                <w:color w:val="auto"/>
                <w:szCs w:val="21"/>
                <w:highlight w:val="none"/>
              </w:rPr>
              <w:t>序号</w:t>
            </w:r>
          </w:p>
        </w:tc>
        <w:tc>
          <w:tcPr>
            <w:tcW w:w="1111" w:type="pct"/>
            <w:noWrap w:val="0"/>
            <w:vAlign w:val="center"/>
          </w:tcPr>
          <w:p w14:paraId="3E0AC467">
            <w:pPr>
              <w:jc w:val="center"/>
              <w:rPr>
                <w:b/>
                <w:color w:val="auto"/>
                <w:szCs w:val="21"/>
                <w:highlight w:val="none"/>
              </w:rPr>
            </w:pPr>
            <w:r>
              <w:rPr>
                <w:rFonts w:hint="eastAsia"/>
                <w:b/>
                <w:color w:val="auto"/>
                <w:szCs w:val="21"/>
                <w:highlight w:val="none"/>
              </w:rPr>
              <w:t>类型</w:t>
            </w:r>
          </w:p>
        </w:tc>
        <w:tc>
          <w:tcPr>
            <w:tcW w:w="1884" w:type="pct"/>
            <w:noWrap w:val="0"/>
            <w:vAlign w:val="center"/>
          </w:tcPr>
          <w:p w14:paraId="129560F4">
            <w:pPr>
              <w:jc w:val="center"/>
              <w:rPr>
                <w:b/>
                <w:color w:val="auto"/>
                <w:szCs w:val="21"/>
                <w:highlight w:val="none"/>
              </w:rPr>
            </w:pPr>
            <w:r>
              <w:rPr>
                <w:rFonts w:hint="eastAsia"/>
                <w:b/>
                <w:color w:val="auto"/>
                <w:szCs w:val="21"/>
                <w:highlight w:val="none"/>
              </w:rPr>
              <w:t>评分标准</w:t>
            </w:r>
          </w:p>
        </w:tc>
        <w:tc>
          <w:tcPr>
            <w:tcW w:w="427" w:type="pct"/>
            <w:noWrap w:val="0"/>
            <w:vAlign w:val="center"/>
          </w:tcPr>
          <w:p w14:paraId="7D19CF9D">
            <w:pPr>
              <w:jc w:val="center"/>
              <w:rPr>
                <w:b/>
                <w:color w:val="auto"/>
                <w:szCs w:val="21"/>
                <w:highlight w:val="none"/>
              </w:rPr>
            </w:pPr>
            <w:r>
              <w:rPr>
                <w:rFonts w:hint="eastAsia"/>
                <w:b/>
                <w:color w:val="auto"/>
                <w:szCs w:val="21"/>
                <w:highlight w:val="none"/>
              </w:rPr>
              <w:t>分值</w:t>
            </w:r>
          </w:p>
        </w:tc>
        <w:tc>
          <w:tcPr>
            <w:tcW w:w="1148" w:type="pct"/>
            <w:noWrap w:val="0"/>
            <w:vAlign w:val="center"/>
          </w:tcPr>
          <w:p w14:paraId="6245256E">
            <w:pPr>
              <w:jc w:val="center"/>
              <w:rPr>
                <w:b/>
                <w:color w:val="auto"/>
                <w:szCs w:val="21"/>
                <w:highlight w:val="none"/>
              </w:rPr>
            </w:pPr>
            <w:r>
              <w:rPr>
                <w:b/>
                <w:color w:val="auto"/>
                <w:szCs w:val="21"/>
                <w:highlight w:val="none"/>
              </w:rPr>
              <w:t>说明</w:t>
            </w:r>
          </w:p>
        </w:tc>
      </w:tr>
      <w:tr w14:paraId="23CD2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2" w:hRule="atLeast"/>
          <w:jc w:val="center"/>
        </w:trPr>
        <w:tc>
          <w:tcPr>
            <w:tcW w:w="427" w:type="pct"/>
            <w:noWrap w:val="0"/>
            <w:vAlign w:val="center"/>
          </w:tcPr>
          <w:p w14:paraId="7B298B2D">
            <w:pPr>
              <w:jc w:val="center"/>
              <w:rPr>
                <w:b/>
                <w:color w:val="auto"/>
                <w:szCs w:val="21"/>
                <w:highlight w:val="none"/>
              </w:rPr>
            </w:pPr>
            <w:r>
              <w:rPr>
                <w:rFonts w:hint="eastAsia"/>
                <w:b w:val="0"/>
                <w:bCs/>
                <w:color w:val="auto"/>
                <w:szCs w:val="21"/>
                <w:highlight w:val="none"/>
              </w:rPr>
              <w:t>1</w:t>
            </w:r>
          </w:p>
        </w:tc>
        <w:tc>
          <w:tcPr>
            <w:tcW w:w="1111" w:type="pct"/>
            <w:noWrap w:val="0"/>
            <w:vAlign w:val="center"/>
          </w:tcPr>
          <w:p w14:paraId="77E2AFF9">
            <w:pPr>
              <w:jc w:val="center"/>
              <w:rPr>
                <w:color w:val="auto"/>
                <w:szCs w:val="21"/>
                <w:highlight w:val="none"/>
              </w:rPr>
            </w:pPr>
            <w:r>
              <w:rPr>
                <w:rFonts w:hint="eastAsia"/>
                <w:color w:val="auto"/>
                <w:szCs w:val="21"/>
                <w:highlight w:val="none"/>
                <w:lang w:val="en-US" w:eastAsia="zh-CN"/>
              </w:rPr>
              <w:t>最后</w:t>
            </w:r>
            <w:r>
              <w:rPr>
                <w:rFonts w:hint="eastAsia"/>
                <w:color w:val="auto"/>
                <w:szCs w:val="21"/>
                <w:highlight w:val="none"/>
              </w:rPr>
              <w:t>报价分</w:t>
            </w:r>
          </w:p>
        </w:tc>
        <w:tc>
          <w:tcPr>
            <w:tcW w:w="1884" w:type="pct"/>
            <w:noWrap w:val="0"/>
            <w:vAlign w:val="center"/>
          </w:tcPr>
          <w:p w14:paraId="2309DBF7">
            <w:pPr>
              <w:jc w:val="center"/>
              <w:rPr>
                <w:color w:val="auto"/>
                <w:szCs w:val="21"/>
                <w:highlight w:val="none"/>
              </w:rPr>
            </w:pPr>
            <w:r>
              <w:rPr>
                <w:rFonts w:hint="eastAsia"/>
                <w:color w:val="auto"/>
                <w:szCs w:val="21"/>
                <w:highlight w:val="none"/>
              </w:rPr>
              <w:t>以满足采购文件要求且价格最低的</w:t>
            </w:r>
            <w:r>
              <w:rPr>
                <w:rFonts w:hint="eastAsia"/>
                <w:color w:val="auto"/>
                <w:szCs w:val="21"/>
                <w:highlight w:val="none"/>
                <w:lang w:val="en-US" w:eastAsia="zh-CN"/>
              </w:rPr>
              <w:t>最后</w:t>
            </w:r>
            <w:r>
              <w:rPr>
                <w:rFonts w:hint="eastAsia"/>
                <w:color w:val="auto"/>
                <w:szCs w:val="21"/>
                <w:highlight w:val="none"/>
              </w:rPr>
              <w:t>报价为评</w:t>
            </w:r>
            <w:r>
              <w:rPr>
                <w:rFonts w:hint="eastAsia"/>
                <w:color w:val="auto"/>
                <w:szCs w:val="21"/>
                <w:highlight w:val="none"/>
                <w:lang w:val="en-US" w:eastAsia="zh-CN"/>
              </w:rPr>
              <w:t>审</w:t>
            </w:r>
            <w:r>
              <w:rPr>
                <w:rFonts w:hint="eastAsia"/>
                <w:color w:val="auto"/>
                <w:szCs w:val="21"/>
                <w:highlight w:val="none"/>
              </w:rPr>
              <w:t>基准价，其价格分为满分。其他供应商的价格分统一按照下列公式计算：</w:t>
            </w:r>
            <w:r>
              <w:rPr>
                <w:rFonts w:hint="eastAsia"/>
                <w:color w:val="auto"/>
                <w:szCs w:val="21"/>
                <w:highlight w:val="none"/>
                <w:lang w:val="en-US" w:eastAsia="zh-CN"/>
              </w:rPr>
              <w:t>最后</w:t>
            </w:r>
            <w:r>
              <w:rPr>
                <w:rFonts w:hint="eastAsia"/>
                <w:color w:val="auto"/>
                <w:szCs w:val="21"/>
                <w:highlight w:val="none"/>
              </w:rPr>
              <w:t>报价得分</w:t>
            </w:r>
            <w:r>
              <w:rPr>
                <w:color w:val="auto"/>
                <w:szCs w:val="21"/>
                <w:highlight w:val="none"/>
              </w:rPr>
              <w:t>=（评</w:t>
            </w:r>
            <w:r>
              <w:rPr>
                <w:rFonts w:hint="eastAsia"/>
                <w:color w:val="auto"/>
                <w:szCs w:val="21"/>
                <w:highlight w:val="none"/>
                <w:lang w:val="en-US" w:eastAsia="zh-CN"/>
              </w:rPr>
              <w:t>审</w:t>
            </w:r>
            <w:r>
              <w:rPr>
                <w:color w:val="auto"/>
                <w:szCs w:val="21"/>
                <w:highlight w:val="none"/>
              </w:rPr>
              <w:t>基准价/</w:t>
            </w:r>
            <w:r>
              <w:rPr>
                <w:rFonts w:hint="eastAsia"/>
                <w:color w:val="auto"/>
                <w:szCs w:val="21"/>
                <w:highlight w:val="none"/>
                <w:lang w:val="en-US" w:eastAsia="zh-CN"/>
              </w:rPr>
              <w:t>最后</w:t>
            </w:r>
            <w:r>
              <w:rPr>
                <w:color w:val="auto"/>
                <w:szCs w:val="21"/>
                <w:highlight w:val="none"/>
              </w:rPr>
              <w:t>报价）×</w:t>
            </w:r>
            <w:r>
              <w:rPr>
                <w:rFonts w:hint="eastAsia"/>
                <w:color w:val="auto"/>
                <w:szCs w:val="21"/>
                <w:highlight w:val="none"/>
                <w:lang w:val="en-US" w:eastAsia="zh-CN"/>
              </w:rPr>
              <w:t>最后</w:t>
            </w:r>
            <w:r>
              <w:rPr>
                <w:color w:val="auto"/>
                <w:szCs w:val="21"/>
                <w:highlight w:val="none"/>
              </w:rPr>
              <w:t>报价分满分分值。</w:t>
            </w:r>
          </w:p>
        </w:tc>
        <w:tc>
          <w:tcPr>
            <w:tcW w:w="427" w:type="pct"/>
            <w:noWrap w:val="0"/>
            <w:vAlign w:val="center"/>
          </w:tcPr>
          <w:p w14:paraId="18C151E2">
            <w:pPr>
              <w:jc w:val="center"/>
              <w:rPr>
                <w:rFonts w:hint="default" w:eastAsia="宋体"/>
                <w:color w:val="auto"/>
                <w:szCs w:val="21"/>
                <w:highlight w:val="none"/>
                <w:lang w:val="en-US" w:eastAsia="zh-CN"/>
              </w:rPr>
            </w:pPr>
            <w:r>
              <w:rPr>
                <w:rFonts w:hint="eastAsia"/>
                <w:color w:val="auto"/>
                <w:szCs w:val="21"/>
                <w:highlight w:val="none"/>
              </w:rPr>
              <w:t>0</w:t>
            </w:r>
            <w:r>
              <w:rPr>
                <w:color w:val="auto"/>
                <w:szCs w:val="21"/>
                <w:highlight w:val="none"/>
              </w:rPr>
              <w:t>-</w:t>
            </w:r>
            <w:r>
              <w:rPr>
                <w:rFonts w:hint="eastAsia"/>
                <w:color w:val="auto"/>
                <w:szCs w:val="21"/>
                <w:highlight w:val="none"/>
                <w:lang w:val="en-US" w:eastAsia="zh-CN"/>
              </w:rPr>
              <w:t>20分</w:t>
            </w:r>
          </w:p>
        </w:tc>
        <w:tc>
          <w:tcPr>
            <w:tcW w:w="1148" w:type="pct"/>
            <w:noWrap w:val="0"/>
            <w:vAlign w:val="center"/>
          </w:tcPr>
          <w:p w14:paraId="2CDD6539">
            <w:pPr>
              <w:jc w:val="center"/>
              <w:rPr>
                <w:color w:val="auto"/>
                <w:szCs w:val="21"/>
                <w:highlight w:val="none"/>
              </w:rPr>
            </w:pPr>
            <w:r>
              <w:rPr>
                <w:rFonts w:hint="eastAsia"/>
                <w:color w:val="auto"/>
                <w:szCs w:val="21"/>
                <w:highlight w:val="none"/>
              </w:rPr>
              <w:t>如有价格扣除时，最后报价分均按供应商实际最后报价进行价格扣除后的价格进行计算，最终成交金额＝最后报价。政策性扣除计算方法见后。</w:t>
            </w:r>
          </w:p>
        </w:tc>
      </w:tr>
    </w:tbl>
    <w:p w14:paraId="0647BC96">
      <w:pPr>
        <w:spacing w:before="120" w:line="320" w:lineRule="atLeast"/>
        <w:ind w:firstLine="316" w:firstLineChars="150"/>
        <w:rPr>
          <w:rFonts w:hint="eastAsia"/>
          <w:b/>
          <w:bCs/>
          <w:color w:val="auto"/>
          <w:szCs w:val="21"/>
          <w:highlight w:val="none"/>
        </w:rPr>
      </w:pPr>
      <w:bookmarkStart w:id="81" w:name="_Hlk133576431"/>
      <w:r>
        <w:rPr>
          <w:rFonts w:hint="eastAsia"/>
          <w:b/>
          <w:bCs/>
          <w:color w:val="auto"/>
          <w:kern w:val="0"/>
          <w:szCs w:val="21"/>
          <w:highlight w:val="none"/>
        </w:rPr>
        <w:t>注：</w:t>
      </w:r>
      <w:r>
        <w:rPr>
          <w:b/>
          <w:bCs/>
          <w:color w:val="auto"/>
          <w:kern w:val="0"/>
          <w:szCs w:val="21"/>
          <w:highlight w:val="none"/>
        </w:rPr>
        <w:t>政策性扣除计算方法</w:t>
      </w:r>
    </w:p>
    <w:p w14:paraId="75EBB3A5">
      <w:pPr>
        <w:spacing w:before="120" w:line="320" w:lineRule="atLeast"/>
        <w:ind w:firstLine="420" w:firstLineChars="200"/>
        <w:rPr>
          <w:color w:val="auto"/>
          <w:szCs w:val="21"/>
          <w:highlight w:val="none"/>
        </w:rPr>
      </w:pPr>
      <w:r>
        <w:rPr>
          <w:rFonts w:hint="eastAsia"/>
          <w:color w:val="auto"/>
          <w:szCs w:val="21"/>
          <w:highlight w:val="none"/>
        </w:rPr>
        <w:t>供应商响应</w:t>
      </w:r>
      <w:r>
        <w:rPr>
          <w:color w:val="auto"/>
          <w:szCs w:val="21"/>
          <w:highlight w:val="none"/>
        </w:rPr>
        <w:t>报价将按相应比例进行扣除，用扣除后的价格参与评审（计算价格分）</w:t>
      </w:r>
      <w:r>
        <w:rPr>
          <w:rFonts w:hint="eastAsia"/>
          <w:color w:val="auto"/>
          <w:szCs w:val="21"/>
          <w:highlight w:val="none"/>
        </w:rPr>
        <w:t>，价格扣除比例分别如下：</w:t>
      </w:r>
    </w:p>
    <w:tbl>
      <w:tblPr>
        <w:tblStyle w:val="54"/>
        <w:tblW w:w="0" w:type="auto"/>
        <w:tblInd w:w="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0"/>
        <w:gridCol w:w="4962"/>
        <w:gridCol w:w="2888"/>
      </w:tblGrid>
      <w:tr w14:paraId="4BB9C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0" w:type="dxa"/>
            <w:noWrap w:val="0"/>
            <w:vAlign w:val="top"/>
          </w:tcPr>
          <w:p w14:paraId="08F33FBC">
            <w:pPr>
              <w:spacing w:before="120" w:line="320" w:lineRule="atLeast"/>
              <w:jc w:val="center"/>
              <w:rPr>
                <w:color w:val="auto"/>
                <w:szCs w:val="21"/>
                <w:highlight w:val="none"/>
              </w:rPr>
            </w:pPr>
            <w:r>
              <w:rPr>
                <w:rFonts w:hint="eastAsia"/>
                <w:color w:val="auto"/>
                <w:szCs w:val="21"/>
                <w:highlight w:val="none"/>
              </w:rPr>
              <w:t>独立响应</w:t>
            </w:r>
          </w:p>
        </w:tc>
        <w:tc>
          <w:tcPr>
            <w:tcW w:w="4962" w:type="dxa"/>
            <w:noWrap w:val="0"/>
            <w:vAlign w:val="top"/>
          </w:tcPr>
          <w:p w14:paraId="70EB67B5">
            <w:pPr>
              <w:spacing w:before="120" w:line="320" w:lineRule="atLeast"/>
              <w:rPr>
                <w:color w:val="auto"/>
                <w:szCs w:val="21"/>
                <w:highlight w:val="none"/>
              </w:rPr>
            </w:pPr>
            <w:r>
              <w:rPr>
                <w:rFonts w:hint="eastAsia"/>
                <w:color w:val="auto"/>
                <w:szCs w:val="21"/>
                <w:highlight w:val="none"/>
              </w:rPr>
              <w:t>供应商均为所列企业之一（小型企业、微型企业、残疾人福利企业、监狱企业）</w:t>
            </w:r>
          </w:p>
        </w:tc>
        <w:tc>
          <w:tcPr>
            <w:tcW w:w="2888" w:type="dxa"/>
            <w:noWrap w:val="0"/>
            <w:vAlign w:val="top"/>
          </w:tcPr>
          <w:p w14:paraId="1B8DD82D">
            <w:pPr>
              <w:spacing w:before="120" w:line="320" w:lineRule="atLeast"/>
              <w:rPr>
                <w:color w:val="auto"/>
                <w:szCs w:val="21"/>
                <w:highlight w:val="none"/>
              </w:rPr>
            </w:pPr>
            <w:r>
              <w:rPr>
                <w:rFonts w:hint="eastAsia"/>
                <w:color w:val="auto"/>
                <w:szCs w:val="21"/>
                <w:highlight w:val="none"/>
              </w:rPr>
              <w:t>价格扣除响应报价的</w:t>
            </w:r>
            <w:r>
              <w:rPr>
                <w:color w:val="auto"/>
                <w:szCs w:val="21"/>
                <w:highlight w:val="none"/>
              </w:rPr>
              <w:t>3</w:t>
            </w:r>
            <w:r>
              <w:rPr>
                <w:rFonts w:hint="eastAsia"/>
                <w:color w:val="auto"/>
                <w:szCs w:val="21"/>
                <w:highlight w:val="none"/>
              </w:rPr>
              <w:t>%</w:t>
            </w:r>
          </w:p>
        </w:tc>
      </w:tr>
      <w:tr w14:paraId="3A4B9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0" w:type="dxa"/>
            <w:vMerge w:val="restart"/>
            <w:noWrap w:val="0"/>
            <w:vAlign w:val="top"/>
          </w:tcPr>
          <w:p w14:paraId="5DD74658">
            <w:pPr>
              <w:spacing w:before="120" w:line="320" w:lineRule="atLeast"/>
              <w:jc w:val="center"/>
              <w:rPr>
                <w:color w:val="auto"/>
                <w:szCs w:val="21"/>
                <w:highlight w:val="none"/>
              </w:rPr>
            </w:pPr>
            <w:r>
              <w:rPr>
                <w:rFonts w:hint="eastAsia"/>
                <w:color w:val="auto"/>
                <w:szCs w:val="21"/>
                <w:highlight w:val="none"/>
              </w:rPr>
              <w:t>联合体或</w:t>
            </w:r>
          </w:p>
          <w:p w14:paraId="2DFBD5DA">
            <w:pPr>
              <w:spacing w:before="120" w:line="320" w:lineRule="atLeast"/>
              <w:jc w:val="center"/>
              <w:rPr>
                <w:color w:val="auto"/>
                <w:szCs w:val="21"/>
                <w:highlight w:val="none"/>
              </w:rPr>
            </w:pPr>
            <w:r>
              <w:rPr>
                <w:rFonts w:hint="eastAsia"/>
                <w:color w:val="auto"/>
                <w:szCs w:val="21"/>
                <w:highlight w:val="none"/>
              </w:rPr>
              <w:t>分包</w:t>
            </w:r>
          </w:p>
        </w:tc>
        <w:tc>
          <w:tcPr>
            <w:tcW w:w="4962" w:type="dxa"/>
            <w:noWrap w:val="0"/>
            <w:vAlign w:val="top"/>
          </w:tcPr>
          <w:p w14:paraId="4D9102D5">
            <w:pPr>
              <w:spacing w:before="120" w:line="320" w:lineRule="atLeast"/>
              <w:rPr>
                <w:color w:val="auto"/>
                <w:szCs w:val="21"/>
                <w:highlight w:val="none"/>
              </w:rPr>
            </w:pPr>
            <w:r>
              <w:rPr>
                <w:rFonts w:hint="eastAsia"/>
                <w:color w:val="auto"/>
                <w:szCs w:val="21"/>
                <w:highlight w:val="none"/>
              </w:rPr>
              <w:t>小微企业承建的金额比例为1</w:t>
            </w:r>
            <w:r>
              <w:rPr>
                <w:color w:val="auto"/>
                <w:szCs w:val="21"/>
                <w:highlight w:val="none"/>
              </w:rPr>
              <w:t>00</w:t>
            </w:r>
            <w:r>
              <w:rPr>
                <w:rFonts w:hint="eastAsia"/>
                <w:color w:val="auto"/>
                <w:szCs w:val="21"/>
                <w:highlight w:val="none"/>
              </w:rPr>
              <w:t>%</w:t>
            </w:r>
          </w:p>
        </w:tc>
        <w:tc>
          <w:tcPr>
            <w:tcW w:w="2888" w:type="dxa"/>
            <w:noWrap w:val="0"/>
            <w:vAlign w:val="top"/>
          </w:tcPr>
          <w:p w14:paraId="17B4715C">
            <w:pPr>
              <w:spacing w:before="120" w:line="320" w:lineRule="atLeast"/>
              <w:rPr>
                <w:color w:val="auto"/>
                <w:szCs w:val="21"/>
                <w:highlight w:val="none"/>
              </w:rPr>
            </w:pPr>
            <w:r>
              <w:rPr>
                <w:rFonts w:hint="eastAsia"/>
                <w:color w:val="auto"/>
                <w:szCs w:val="21"/>
                <w:highlight w:val="none"/>
              </w:rPr>
              <w:t>价格扣除响应报价的</w:t>
            </w:r>
            <w:r>
              <w:rPr>
                <w:color w:val="auto"/>
                <w:szCs w:val="21"/>
                <w:highlight w:val="none"/>
              </w:rPr>
              <w:t>3</w:t>
            </w:r>
            <w:r>
              <w:rPr>
                <w:rFonts w:hint="eastAsia"/>
                <w:color w:val="auto"/>
                <w:szCs w:val="21"/>
                <w:highlight w:val="none"/>
              </w:rPr>
              <w:t>%</w:t>
            </w:r>
          </w:p>
        </w:tc>
      </w:tr>
      <w:tr w14:paraId="74350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0" w:type="dxa"/>
            <w:vMerge w:val="continue"/>
            <w:noWrap w:val="0"/>
            <w:vAlign w:val="top"/>
          </w:tcPr>
          <w:p w14:paraId="49B42436">
            <w:pPr>
              <w:spacing w:before="120" w:line="320" w:lineRule="atLeast"/>
              <w:rPr>
                <w:color w:val="auto"/>
                <w:szCs w:val="21"/>
                <w:highlight w:val="none"/>
              </w:rPr>
            </w:pPr>
          </w:p>
        </w:tc>
        <w:tc>
          <w:tcPr>
            <w:tcW w:w="4962" w:type="dxa"/>
            <w:noWrap w:val="0"/>
            <w:vAlign w:val="top"/>
          </w:tcPr>
          <w:p w14:paraId="7FBEE0BC">
            <w:pPr>
              <w:spacing w:before="120" w:line="320" w:lineRule="atLeast"/>
              <w:rPr>
                <w:color w:val="auto"/>
                <w:szCs w:val="21"/>
                <w:highlight w:val="none"/>
              </w:rPr>
            </w:pPr>
            <w:r>
              <w:rPr>
                <w:rFonts w:hint="eastAsia"/>
                <w:color w:val="auto"/>
                <w:szCs w:val="21"/>
                <w:highlight w:val="none"/>
              </w:rPr>
              <w:t>小微企业承建的金额比例达到合同总金额3</w:t>
            </w:r>
            <w:r>
              <w:rPr>
                <w:color w:val="auto"/>
                <w:szCs w:val="21"/>
                <w:highlight w:val="none"/>
              </w:rPr>
              <w:t>0%</w:t>
            </w:r>
            <w:r>
              <w:rPr>
                <w:rFonts w:hint="eastAsia"/>
                <w:color w:val="auto"/>
                <w:szCs w:val="21"/>
                <w:highlight w:val="none"/>
              </w:rPr>
              <w:t>以上</w:t>
            </w:r>
          </w:p>
        </w:tc>
        <w:tc>
          <w:tcPr>
            <w:tcW w:w="2888" w:type="dxa"/>
            <w:noWrap w:val="0"/>
            <w:vAlign w:val="top"/>
          </w:tcPr>
          <w:p w14:paraId="1EC1FBE7">
            <w:pPr>
              <w:spacing w:before="120" w:line="320" w:lineRule="atLeast"/>
              <w:rPr>
                <w:color w:val="auto"/>
                <w:szCs w:val="21"/>
                <w:highlight w:val="none"/>
              </w:rPr>
            </w:pPr>
            <w:r>
              <w:rPr>
                <w:rFonts w:hint="eastAsia"/>
                <w:color w:val="auto"/>
                <w:szCs w:val="21"/>
                <w:highlight w:val="none"/>
              </w:rPr>
              <w:t>价格扣除响应报价的</w:t>
            </w:r>
            <w:r>
              <w:rPr>
                <w:color w:val="auto"/>
                <w:szCs w:val="21"/>
                <w:highlight w:val="none"/>
              </w:rPr>
              <w:t>1</w:t>
            </w:r>
            <w:r>
              <w:rPr>
                <w:rFonts w:hint="eastAsia"/>
                <w:color w:val="auto"/>
                <w:szCs w:val="21"/>
                <w:highlight w:val="none"/>
              </w:rPr>
              <w:t>%</w:t>
            </w:r>
          </w:p>
        </w:tc>
      </w:tr>
      <w:tr w14:paraId="27EA5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40" w:type="dxa"/>
            <w:gridSpan w:val="3"/>
            <w:noWrap w:val="0"/>
            <w:vAlign w:val="top"/>
          </w:tcPr>
          <w:p w14:paraId="1F583F1E">
            <w:pPr>
              <w:spacing w:before="120" w:line="320" w:lineRule="atLeast"/>
              <w:rPr>
                <w:color w:val="auto"/>
                <w:szCs w:val="21"/>
                <w:highlight w:val="none"/>
              </w:rPr>
            </w:pPr>
            <w:r>
              <w:rPr>
                <w:rFonts w:hint="eastAsia"/>
                <w:color w:val="auto"/>
                <w:szCs w:val="21"/>
                <w:highlight w:val="none"/>
              </w:rPr>
              <w:t>注：未提供《中小企业声明函》、《分包意向协议书》或《联合体协议书》或不符合条件的，不享受价格扣除优惠。</w:t>
            </w:r>
          </w:p>
        </w:tc>
      </w:tr>
      <w:bookmarkEnd w:id="81"/>
    </w:tbl>
    <w:p w14:paraId="6E40C0EB">
      <w:pPr>
        <w:ind w:firstLine="420" w:firstLineChars="200"/>
        <w:rPr>
          <w:rFonts w:hint="eastAsia"/>
          <w:color w:val="auto"/>
          <w:highlight w:val="none"/>
        </w:rPr>
      </w:pPr>
    </w:p>
    <w:p w14:paraId="6F8A48D9">
      <w:pPr>
        <w:ind w:firstLine="315" w:firstLineChars="150"/>
        <w:rPr>
          <w:color w:val="auto"/>
          <w:highlight w:val="none"/>
        </w:rPr>
      </w:pPr>
      <w:r>
        <w:rPr>
          <w:rFonts w:hint="eastAsia"/>
          <w:color w:val="auto"/>
          <w:highlight w:val="none"/>
        </w:rPr>
        <w:t>（</w:t>
      </w:r>
      <w:r>
        <w:rPr>
          <w:rFonts w:hint="eastAsia"/>
          <w:color w:val="auto"/>
          <w:highlight w:val="none"/>
          <w:lang w:val="en-US" w:eastAsia="zh-CN"/>
        </w:rPr>
        <w:t>3</w:t>
      </w:r>
      <w:r>
        <w:rPr>
          <w:rFonts w:hint="eastAsia"/>
          <w:color w:val="auto"/>
          <w:highlight w:val="none"/>
        </w:rPr>
        <w:t>）</w:t>
      </w:r>
      <w:r>
        <w:rPr>
          <w:color w:val="auto"/>
          <w:highlight w:val="none"/>
        </w:rPr>
        <w:t>综合得分</w:t>
      </w:r>
    </w:p>
    <w:p w14:paraId="49996357">
      <w:pPr>
        <w:ind w:firstLine="315" w:firstLineChars="150"/>
        <w:rPr>
          <w:color w:val="auto"/>
          <w:highlight w:val="none"/>
        </w:rPr>
      </w:pPr>
      <w:r>
        <w:rPr>
          <w:rFonts w:hint="eastAsia"/>
          <w:color w:val="auto"/>
          <w:szCs w:val="21"/>
          <w:highlight w:val="none"/>
        </w:rPr>
        <w:t>综合得分</w:t>
      </w:r>
      <w:r>
        <w:rPr>
          <w:color w:val="auto"/>
          <w:szCs w:val="21"/>
          <w:highlight w:val="none"/>
        </w:rPr>
        <w:t>=</w:t>
      </w:r>
      <w:r>
        <w:rPr>
          <w:rFonts w:hint="eastAsia"/>
          <w:color w:val="auto"/>
          <w:szCs w:val="21"/>
          <w:highlight w:val="none"/>
        </w:rPr>
        <w:t>技术及商务资信分+</w:t>
      </w:r>
      <w:r>
        <w:rPr>
          <w:rFonts w:hint="eastAsia"/>
          <w:color w:val="auto"/>
          <w:szCs w:val="21"/>
          <w:highlight w:val="none"/>
          <w:lang w:val="en-US" w:eastAsia="zh-CN"/>
        </w:rPr>
        <w:t>响应</w:t>
      </w:r>
      <w:r>
        <w:rPr>
          <w:rFonts w:hint="eastAsia"/>
          <w:color w:val="auto"/>
          <w:szCs w:val="21"/>
          <w:highlight w:val="none"/>
        </w:rPr>
        <w:t>报价得分（</w:t>
      </w:r>
      <w:r>
        <w:rPr>
          <w:rFonts w:hint="eastAsia"/>
          <w:color w:val="auto"/>
          <w:highlight w:val="none"/>
        </w:rPr>
        <w:t>注：各</w:t>
      </w:r>
      <w:r>
        <w:rPr>
          <w:color w:val="auto"/>
          <w:szCs w:val="21"/>
          <w:highlight w:val="none"/>
        </w:rPr>
        <w:t>项评分分值计算保留小数点后两位，小数点后第三位“四舍五入”</w:t>
      </w:r>
      <w:r>
        <w:rPr>
          <w:rFonts w:hint="eastAsia"/>
          <w:color w:val="auto"/>
          <w:szCs w:val="21"/>
          <w:highlight w:val="none"/>
        </w:rPr>
        <w:t>）</w:t>
      </w:r>
    </w:p>
    <w:bookmarkEnd w:id="0"/>
    <w:bookmarkEnd w:id="1"/>
    <w:p w14:paraId="2342690B">
      <w:pPr>
        <w:spacing w:before="120" w:line="320" w:lineRule="atLeast"/>
        <w:ind w:firstLine="643" w:firstLineChars="200"/>
        <w:rPr>
          <w:b/>
          <w:color w:val="auto"/>
          <w:sz w:val="32"/>
          <w:szCs w:val="32"/>
          <w:highlight w:val="none"/>
        </w:rPr>
        <w:sectPr>
          <w:headerReference r:id="rId15" w:type="first"/>
          <w:headerReference r:id="rId14" w:type="default"/>
          <w:pgSz w:w="11906" w:h="16838"/>
          <w:pgMar w:top="1418" w:right="1133" w:bottom="1246" w:left="1418" w:header="851" w:footer="992" w:gutter="0"/>
          <w:cols w:space="720" w:num="1"/>
          <w:docGrid w:linePitch="312" w:charSpace="0"/>
        </w:sectPr>
      </w:pPr>
    </w:p>
    <w:p w14:paraId="308C2A79">
      <w:pPr>
        <w:pStyle w:val="27"/>
        <w:snapToGrid w:val="0"/>
        <w:spacing w:before="120" w:after="120" w:line="320" w:lineRule="exact"/>
        <w:jc w:val="center"/>
        <w:outlineLvl w:val="0"/>
        <w:rPr>
          <w:rFonts w:ascii="Times New Roman" w:hAnsi="Times New Roman" w:cs="Times New Roman"/>
          <w:color w:val="auto"/>
          <w:sz w:val="32"/>
          <w:szCs w:val="32"/>
          <w:highlight w:val="none"/>
        </w:rPr>
      </w:pPr>
      <w:bookmarkStart w:id="82" w:name="_Toc29467"/>
      <w:bookmarkStart w:id="83" w:name="_Hlk89190624"/>
      <w:r>
        <w:rPr>
          <w:rFonts w:ascii="Times New Roman" w:hAnsi="Times New Roman" w:cs="Times New Roman"/>
          <w:color w:val="auto"/>
          <w:sz w:val="32"/>
          <w:szCs w:val="32"/>
          <w:highlight w:val="none"/>
        </w:rPr>
        <w:t>第</w:t>
      </w:r>
      <w:r>
        <w:rPr>
          <w:rFonts w:hint="eastAsia" w:ascii="Times New Roman" w:hAnsi="Times New Roman" w:cs="Times New Roman"/>
          <w:color w:val="auto"/>
          <w:sz w:val="32"/>
          <w:szCs w:val="32"/>
          <w:highlight w:val="none"/>
        </w:rPr>
        <w:t>五</w:t>
      </w:r>
      <w:r>
        <w:rPr>
          <w:rFonts w:ascii="Times New Roman" w:hAnsi="Times New Roman" w:cs="Times New Roman"/>
          <w:color w:val="auto"/>
          <w:sz w:val="32"/>
          <w:szCs w:val="32"/>
          <w:highlight w:val="none"/>
        </w:rPr>
        <w:t>章  合同主要条款格式</w:t>
      </w:r>
      <w:bookmarkEnd w:id="82"/>
    </w:p>
    <w:p w14:paraId="0FD48A6A">
      <w:pPr>
        <w:pStyle w:val="4"/>
        <w:jc w:val="center"/>
        <w:rPr>
          <w:rFonts w:ascii="宋体" w:hAnsi="宋体" w:eastAsia="宋体" w:cs="宋体"/>
          <w:b w:val="0"/>
          <w:color w:val="auto"/>
          <w:sz w:val="28"/>
          <w:szCs w:val="28"/>
          <w:highlight w:val="none"/>
        </w:rPr>
      </w:pPr>
      <w:bookmarkStart w:id="84" w:name="_Toc724920571"/>
      <w:bookmarkStart w:id="85" w:name="_Toc296890982"/>
      <w:bookmarkStart w:id="86" w:name="_Toc1756478213"/>
      <w:bookmarkStart w:id="87" w:name="_Toc78449777"/>
      <w:bookmarkStart w:id="88" w:name="_Toc296503025"/>
      <w:bookmarkStart w:id="89" w:name="_Toc351203480"/>
      <w:bookmarkStart w:id="90" w:name="_Toc407135191"/>
      <w:bookmarkStart w:id="91" w:name="_Toc389065255"/>
      <w:bookmarkStart w:id="92" w:name="_Toc373227552"/>
      <w:bookmarkStart w:id="93" w:name="_Toc373478199"/>
      <w:r>
        <w:rPr>
          <w:rFonts w:hint="eastAsia" w:ascii="宋体" w:hAnsi="宋体" w:eastAsia="宋体" w:cs="宋体"/>
          <w:b w:val="0"/>
          <w:color w:val="auto"/>
          <w:sz w:val="28"/>
          <w:szCs w:val="28"/>
          <w:highlight w:val="none"/>
        </w:rPr>
        <w:t>第一部分 合同协议书</w:t>
      </w:r>
      <w:bookmarkEnd w:id="84"/>
      <w:bookmarkEnd w:id="85"/>
      <w:bookmarkEnd w:id="86"/>
      <w:bookmarkEnd w:id="87"/>
      <w:bookmarkEnd w:id="88"/>
      <w:bookmarkEnd w:id="89"/>
      <w:bookmarkEnd w:id="90"/>
      <w:bookmarkEnd w:id="91"/>
      <w:bookmarkEnd w:id="92"/>
      <w:bookmarkEnd w:id="93"/>
    </w:p>
    <w:p w14:paraId="1B51ABD6">
      <w:pPr>
        <w:spacing w:line="360" w:lineRule="auto"/>
        <w:rPr>
          <w:rFonts w:ascii="宋体" w:hAnsi="宋体" w:eastAsia="宋体" w:cs="宋体"/>
          <w:color w:val="auto"/>
          <w:highlight w:val="none"/>
          <w:u w:val="single"/>
        </w:rPr>
      </w:pPr>
      <w:r>
        <w:rPr>
          <w:rFonts w:hint="eastAsia" w:ascii="宋体" w:hAnsi="宋体" w:eastAsia="宋体" w:cs="宋体"/>
          <w:color w:val="auto"/>
          <w:highlight w:val="none"/>
        </w:rPr>
        <w:t>发包人（全称）：</w:t>
      </w:r>
      <w:r>
        <w:rPr>
          <w:rFonts w:hint="eastAsia" w:ascii="宋体" w:hAnsi="宋体" w:eastAsia="宋体" w:cs="宋体"/>
          <w:color w:val="auto"/>
          <w:highlight w:val="none"/>
          <w:u w:val="single"/>
        </w:rPr>
        <w:t>广西职业师范学院</w:t>
      </w:r>
    </w:p>
    <w:p w14:paraId="3B3B9924">
      <w:pPr>
        <w:spacing w:line="360" w:lineRule="auto"/>
        <w:rPr>
          <w:rFonts w:ascii="宋体" w:hAnsi="宋体" w:eastAsia="宋体" w:cs="宋体"/>
          <w:color w:val="auto"/>
          <w:highlight w:val="none"/>
          <w:u w:val="single"/>
        </w:rPr>
      </w:pPr>
      <w:r>
        <w:rPr>
          <w:rFonts w:hint="eastAsia" w:ascii="宋体" w:hAnsi="宋体" w:eastAsia="宋体" w:cs="宋体"/>
          <w:color w:val="auto"/>
          <w:highlight w:val="none"/>
        </w:rPr>
        <w:t>承包人（全称）：</w:t>
      </w:r>
      <w:r>
        <w:rPr>
          <w:rFonts w:hint="eastAsia" w:ascii="宋体" w:hAnsi="宋体" w:eastAsia="宋体" w:cs="宋体"/>
          <w:color w:val="auto"/>
          <w:highlight w:val="none"/>
          <w:u w:val="single"/>
        </w:rPr>
        <w:t xml:space="preserve">                              </w:t>
      </w:r>
    </w:p>
    <w:p w14:paraId="41FFBBE1">
      <w:pPr>
        <w:spacing w:line="360" w:lineRule="auto"/>
        <w:ind w:firstLine="420" w:firstLineChars="200"/>
        <w:rPr>
          <w:rFonts w:ascii="宋体" w:hAnsi="宋体" w:eastAsia="宋体" w:cs="宋体"/>
          <w:color w:val="auto"/>
          <w:highlight w:val="none"/>
        </w:rPr>
      </w:pPr>
      <w:r>
        <w:rPr>
          <w:rFonts w:hint="eastAsia" w:ascii="宋体" w:hAnsi="宋体" w:eastAsia="宋体" w:cs="宋体"/>
          <w:color w:val="auto"/>
          <w:highlight w:val="none"/>
        </w:rPr>
        <w:t>根据《中华人民共和国民法典》、《中华人民共和国建筑法》及有关法律规定，遵循平等、自愿、公平和诚实信用的原则，双方就</w:t>
      </w:r>
      <w:r>
        <w:rPr>
          <w:rFonts w:hint="eastAsia" w:ascii="宋体" w:hAnsi="宋体" w:eastAsia="宋体" w:cs="宋体"/>
          <w:color w:val="auto"/>
          <w:highlight w:val="none"/>
          <w:u w:val="single"/>
        </w:rPr>
        <w:t>广西职业师范学院相思湖校区运动场跑道及灯光改造项目</w:t>
      </w:r>
      <w:r>
        <w:rPr>
          <w:rFonts w:hint="eastAsia" w:ascii="宋体" w:hAnsi="宋体" w:eastAsia="宋体" w:cs="宋体"/>
          <w:color w:val="auto"/>
          <w:highlight w:val="none"/>
        </w:rPr>
        <w:t>工程施工及有关事项协商一致，共同达成如下协议：</w:t>
      </w:r>
      <w:bookmarkStart w:id="94" w:name="_Toc351203481"/>
    </w:p>
    <w:p w14:paraId="50B5FD85">
      <w:pPr>
        <w:spacing w:line="360" w:lineRule="auto"/>
        <w:ind w:firstLine="422" w:firstLineChars="200"/>
        <w:outlineLvl w:val="2"/>
        <w:rPr>
          <w:rFonts w:ascii="宋体" w:hAnsi="宋体" w:eastAsia="宋体" w:cs="宋体"/>
          <w:b/>
          <w:bCs/>
          <w:color w:val="auto"/>
          <w:highlight w:val="none"/>
        </w:rPr>
      </w:pPr>
      <w:r>
        <w:rPr>
          <w:rFonts w:hint="eastAsia" w:ascii="宋体" w:hAnsi="宋体" w:eastAsia="宋体" w:cs="宋体"/>
          <w:b/>
          <w:bCs/>
          <w:color w:val="auto"/>
          <w:highlight w:val="none"/>
        </w:rPr>
        <w:t>一、工程概况</w:t>
      </w:r>
      <w:bookmarkEnd w:id="94"/>
    </w:p>
    <w:p w14:paraId="4E7972AE">
      <w:pPr>
        <w:spacing w:line="360" w:lineRule="auto"/>
        <w:ind w:firstLine="411" w:firstLineChars="196"/>
        <w:rPr>
          <w:rFonts w:ascii="宋体" w:hAnsi="宋体" w:eastAsia="宋体" w:cs="宋体"/>
          <w:color w:val="auto"/>
          <w:highlight w:val="none"/>
          <w:u w:val="single"/>
        </w:rPr>
      </w:pPr>
      <w:r>
        <w:rPr>
          <w:rFonts w:hint="eastAsia" w:ascii="宋体" w:hAnsi="宋体" w:eastAsia="宋体" w:cs="宋体"/>
          <w:color w:val="auto"/>
          <w:highlight w:val="none"/>
        </w:rPr>
        <w:t>1. 工程名称：</w:t>
      </w:r>
      <w:r>
        <w:rPr>
          <w:rFonts w:hint="eastAsia" w:ascii="宋体" w:hAnsi="宋体" w:eastAsia="宋体" w:cs="宋体"/>
          <w:color w:val="auto"/>
          <w:highlight w:val="none"/>
          <w:u w:val="single"/>
        </w:rPr>
        <w:t>广西职业师范学院相思湖校区运动场跑道及灯光改造项目</w:t>
      </w:r>
      <w:r>
        <w:rPr>
          <w:rFonts w:hint="eastAsia" w:ascii="宋体" w:hAnsi="宋体" w:eastAsia="宋体" w:cs="宋体"/>
          <w:color w:val="auto"/>
          <w:highlight w:val="none"/>
        </w:rPr>
        <w:t>。</w:t>
      </w:r>
    </w:p>
    <w:p w14:paraId="12C8FD5C">
      <w:pPr>
        <w:spacing w:line="360" w:lineRule="auto"/>
        <w:ind w:firstLine="411" w:firstLineChars="196"/>
        <w:rPr>
          <w:rFonts w:ascii="宋体" w:hAnsi="宋体" w:eastAsia="宋体" w:cs="宋体"/>
          <w:color w:val="auto"/>
          <w:highlight w:val="none"/>
        </w:rPr>
      </w:pPr>
      <w:r>
        <w:rPr>
          <w:rFonts w:hint="eastAsia" w:ascii="宋体" w:hAnsi="宋体" w:eastAsia="宋体" w:cs="宋体"/>
          <w:color w:val="auto"/>
          <w:highlight w:val="none"/>
        </w:rPr>
        <w:t>2. 工程地点：</w:t>
      </w:r>
      <w:r>
        <w:rPr>
          <w:rFonts w:hint="eastAsia" w:ascii="宋体" w:hAnsi="宋体" w:eastAsia="宋体" w:cs="宋体"/>
          <w:color w:val="auto"/>
          <w:highlight w:val="none"/>
          <w:u w:val="single"/>
        </w:rPr>
        <w:t>南宁市</w:t>
      </w:r>
      <w:r>
        <w:rPr>
          <w:rFonts w:hint="eastAsia" w:ascii="宋体" w:hAnsi="宋体" w:eastAsia="宋体" w:cs="宋体"/>
          <w:color w:val="auto"/>
          <w:highlight w:val="none"/>
        </w:rPr>
        <w:t>。</w:t>
      </w:r>
    </w:p>
    <w:p w14:paraId="5F4CAD37">
      <w:pPr>
        <w:spacing w:line="360" w:lineRule="auto"/>
        <w:ind w:firstLine="411" w:firstLineChars="196"/>
        <w:rPr>
          <w:rFonts w:ascii="宋体" w:hAnsi="宋体" w:eastAsia="宋体" w:cs="宋体"/>
          <w:color w:val="auto"/>
          <w:highlight w:val="none"/>
        </w:rPr>
      </w:pPr>
      <w:r>
        <w:rPr>
          <w:rFonts w:hint="eastAsia" w:ascii="宋体" w:hAnsi="宋体" w:eastAsia="宋体" w:cs="宋体"/>
          <w:color w:val="auto"/>
          <w:highlight w:val="none"/>
        </w:rPr>
        <w:t>3. 工程立项批准文号：</w:t>
      </w:r>
      <w:r>
        <w:rPr>
          <w:rFonts w:hint="eastAsia" w:ascii="宋体" w:hAnsi="宋体" w:eastAsia="宋体" w:cs="宋体"/>
          <w:color w:val="auto"/>
          <w:highlight w:val="none"/>
          <w:u w:val="single"/>
        </w:rPr>
        <w:t xml:space="preserve"> 采购计划号： </w:t>
      </w:r>
      <w:r>
        <w:rPr>
          <w:rFonts w:hint="eastAsia" w:ascii="宋体" w:hAnsi="宋体" w:eastAsia="宋体" w:cs="宋体"/>
          <w:color w:val="auto"/>
          <w:highlight w:val="none"/>
        </w:rPr>
        <w:t>。</w:t>
      </w:r>
    </w:p>
    <w:p w14:paraId="4EBCBDF5">
      <w:pPr>
        <w:spacing w:line="360" w:lineRule="auto"/>
        <w:ind w:firstLine="411" w:firstLineChars="196"/>
        <w:rPr>
          <w:rFonts w:ascii="宋体" w:hAnsi="宋体" w:eastAsia="宋体" w:cs="宋体"/>
          <w:color w:val="auto"/>
          <w:highlight w:val="none"/>
        </w:rPr>
      </w:pPr>
      <w:r>
        <w:rPr>
          <w:rFonts w:hint="eastAsia" w:ascii="宋体" w:hAnsi="宋体" w:eastAsia="宋体" w:cs="宋体"/>
          <w:color w:val="auto"/>
          <w:highlight w:val="none"/>
        </w:rPr>
        <w:t>4. 资金来源：</w:t>
      </w:r>
      <w:r>
        <w:rPr>
          <w:rFonts w:hint="eastAsia" w:ascii="宋体" w:hAnsi="宋体" w:eastAsia="宋体" w:cs="宋体"/>
          <w:color w:val="auto"/>
          <w:highlight w:val="none"/>
          <w:u w:val="single"/>
        </w:rPr>
        <w:t>财政资金</w:t>
      </w:r>
      <w:r>
        <w:rPr>
          <w:rFonts w:hint="eastAsia" w:ascii="宋体" w:hAnsi="宋体" w:eastAsia="宋体" w:cs="宋体"/>
          <w:color w:val="auto"/>
          <w:highlight w:val="none"/>
        </w:rPr>
        <w:t>。</w:t>
      </w:r>
    </w:p>
    <w:p w14:paraId="35597C34">
      <w:pPr>
        <w:spacing w:line="360" w:lineRule="auto"/>
        <w:ind w:firstLine="411" w:firstLineChars="196"/>
        <w:rPr>
          <w:rFonts w:ascii="宋体" w:hAnsi="宋体" w:eastAsia="宋体" w:cs="宋体"/>
          <w:color w:val="auto"/>
          <w:highlight w:val="none"/>
        </w:rPr>
      </w:pPr>
      <w:r>
        <w:rPr>
          <w:rFonts w:hint="eastAsia" w:ascii="宋体" w:hAnsi="宋体" w:eastAsia="宋体" w:cs="宋体"/>
          <w:color w:val="auto"/>
          <w:highlight w:val="none"/>
        </w:rPr>
        <w:t>5. 工程内容：</w:t>
      </w:r>
      <w:r>
        <w:rPr>
          <w:rFonts w:hint="eastAsia" w:ascii="宋体" w:hAnsi="宋体" w:eastAsia="宋体" w:cs="宋体"/>
          <w:color w:val="auto"/>
          <w:highlight w:val="none"/>
          <w:u w:val="single"/>
        </w:rPr>
        <w:t xml:space="preserve"> 运动跑道拆除及新建、灯光改造等，具体详见施工图及工程量清单。</w:t>
      </w:r>
    </w:p>
    <w:p w14:paraId="73B82429">
      <w:pPr>
        <w:spacing w:line="360" w:lineRule="auto"/>
        <w:ind w:firstLine="411" w:firstLineChars="196"/>
        <w:rPr>
          <w:rFonts w:ascii="宋体" w:hAnsi="宋体" w:eastAsia="宋体" w:cs="宋体"/>
          <w:color w:val="auto"/>
          <w:highlight w:val="none"/>
        </w:rPr>
      </w:pPr>
      <w:r>
        <w:rPr>
          <w:rFonts w:hint="eastAsia" w:ascii="宋体" w:hAnsi="宋体" w:eastAsia="宋体" w:cs="宋体"/>
          <w:color w:val="auto"/>
          <w:highlight w:val="none"/>
        </w:rPr>
        <w:t>群体工程应附《承包人承揽工程项目一览表》（附件1）。</w:t>
      </w:r>
    </w:p>
    <w:p w14:paraId="07775EB2">
      <w:pPr>
        <w:spacing w:line="360" w:lineRule="auto"/>
        <w:ind w:firstLine="411" w:firstLineChars="196"/>
        <w:rPr>
          <w:rFonts w:ascii="宋体" w:hAnsi="宋体" w:eastAsia="宋体" w:cs="宋体"/>
          <w:color w:val="auto"/>
          <w:highlight w:val="none"/>
        </w:rPr>
      </w:pPr>
      <w:r>
        <w:rPr>
          <w:rFonts w:hint="eastAsia" w:ascii="宋体" w:hAnsi="宋体" w:eastAsia="宋体" w:cs="宋体"/>
          <w:color w:val="auto"/>
          <w:highlight w:val="none"/>
        </w:rPr>
        <w:t>6. 工程承包范围：</w:t>
      </w:r>
    </w:p>
    <w:p w14:paraId="5CE0CEE6">
      <w:pPr>
        <w:spacing w:line="360" w:lineRule="auto"/>
        <w:ind w:firstLine="405" w:firstLineChars="193"/>
        <w:rPr>
          <w:rFonts w:ascii="宋体" w:hAnsi="宋体" w:eastAsia="宋体" w:cs="宋体"/>
          <w:color w:val="auto"/>
          <w:highlight w:val="none"/>
        </w:rPr>
      </w:pP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1DBB4F29">
      <w:pPr>
        <w:spacing w:line="360" w:lineRule="auto"/>
        <w:ind w:firstLine="407" w:firstLineChars="193"/>
        <w:outlineLvl w:val="2"/>
        <w:rPr>
          <w:rFonts w:ascii="宋体" w:hAnsi="宋体" w:eastAsia="宋体" w:cs="宋体"/>
          <w:b/>
          <w:bCs/>
          <w:color w:val="auto"/>
          <w:highlight w:val="none"/>
        </w:rPr>
      </w:pPr>
      <w:bookmarkStart w:id="95" w:name="_Toc351203482"/>
      <w:r>
        <w:rPr>
          <w:rFonts w:hint="eastAsia" w:ascii="宋体" w:hAnsi="宋体" w:eastAsia="宋体" w:cs="宋体"/>
          <w:b/>
          <w:bCs/>
          <w:color w:val="auto"/>
          <w:highlight w:val="none"/>
        </w:rPr>
        <w:t>二、合同工期</w:t>
      </w:r>
      <w:bookmarkEnd w:id="95"/>
    </w:p>
    <w:p w14:paraId="710044D7">
      <w:pPr>
        <w:spacing w:line="360" w:lineRule="auto"/>
        <w:ind w:firstLine="459"/>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highlight w:val="none"/>
        </w:rPr>
        <w:t>计划开工日期：</w:t>
      </w:r>
      <w:r>
        <w:rPr>
          <w:rFonts w:hint="eastAsia" w:ascii="宋体" w:hAnsi="宋体" w:eastAsia="宋体" w:cs="宋体"/>
          <w:color w:val="auto"/>
          <w:highlight w:val="none"/>
          <w:u w:val="single"/>
        </w:rPr>
        <w:t></w:t>
      </w:r>
      <w:r>
        <w:rPr>
          <w:rFonts w:hint="eastAsia" w:ascii="宋体" w:hAnsi="宋体" w:eastAsia="宋体" w:cs="宋体"/>
          <w:color w:val="auto"/>
          <w:highlight w:val="none"/>
        </w:rPr>
        <w:t>年</w:t>
      </w:r>
      <w:r>
        <w:rPr>
          <w:rFonts w:hint="eastAsia" w:ascii="宋体" w:hAnsi="宋体" w:eastAsia="宋体" w:cs="宋体"/>
          <w:color w:val="auto"/>
          <w:highlight w:val="none"/>
          <w:u w:val="single"/>
        </w:rPr>
        <w:t></w:t>
      </w:r>
      <w:r>
        <w:rPr>
          <w:rFonts w:hint="eastAsia" w:ascii="宋体" w:hAnsi="宋体" w:eastAsia="宋体" w:cs="宋体"/>
          <w:color w:val="auto"/>
          <w:highlight w:val="none"/>
        </w:rPr>
        <w:t>月</w:t>
      </w:r>
      <w:r>
        <w:rPr>
          <w:rFonts w:hint="eastAsia" w:ascii="宋体" w:hAnsi="宋体" w:eastAsia="宋体" w:cs="宋体"/>
          <w:color w:val="auto"/>
          <w:highlight w:val="none"/>
          <w:u w:val="single"/>
        </w:rPr>
        <w:t></w:t>
      </w:r>
      <w:r>
        <w:rPr>
          <w:rFonts w:hint="eastAsia" w:ascii="宋体" w:hAnsi="宋体" w:eastAsia="宋体" w:cs="宋体"/>
          <w:color w:val="auto"/>
          <w:highlight w:val="none"/>
        </w:rPr>
        <w:t>日。</w:t>
      </w:r>
      <w:r>
        <w:rPr>
          <w:rFonts w:hint="eastAsia" w:ascii="宋体" w:hAnsi="宋体" w:cs="宋体"/>
          <w:color w:val="auto"/>
          <w:highlight w:val="none"/>
          <w:lang w:eastAsia="zh-CN"/>
        </w:rPr>
        <w:t>（</w:t>
      </w:r>
      <w:r>
        <w:rPr>
          <w:rFonts w:hint="eastAsia" w:ascii="宋体" w:hAnsi="宋体" w:cs="宋体"/>
          <w:color w:val="auto"/>
          <w:kern w:val="0"/>
          <w:szCs w:val="21"/>
          <w:highlight w:val="none"/>
          <w:lang w:val="en-US" w:eastAsia="zh-CN"/>
        </w:rPr>
        <w:t>承包人</w:t>
      </w:r>
      <w:r>
        <w:rPr>
          <w:rFonts w:hint="eastAsia" w:ascii="宋体" w:hAnsi="宋体" w:eastAsia="宋体" w:cs="宋体"/>
          <w:color w:val="auto"/>
          <w:kern w:val="0"/>
          <w:szCs w:val="21"/>
          <w:highlight w:val="none"/>
        </w:rPr>
        <w:t>须于本合同签订后3个工作日内配齐项目所需人员、设备进场开展工作。如因</w:t>
      </w:r>
      <w:r>
        <w:rPr>
          <w:rFonts w:hint="eastAsia" w:ascii="宋体" w:hAnsi="宋体" w:cs="宋体"/>
          <w:color w:val="auto"/>
          <w:kern w:val="0"/>
          <w:szCs w:val="21"/>
          <w:highlight w:val="none"/>
          <w:lang w:val="en-US" w:eastAsia="zh-CN"/>
        </w:rPr>
        <w:t>承包人</w:t>
      </w:r>
      <w:r>
        <w:rPr>
          <w:rFonts w:hint="eastAsia" w:ascii="宋体" w:hAnsi="宋体" w:eastAsia="宋体" w:cs="宋体"/>
          <w:color w:val="auto"/>
          <w:kern w:val="0"/>
          <w:szCs w:val="21"/>
          <w:highlight w:val="none"/>
        </w:rPr>
        <w:t>单方原因，合同签订后7个工作日内未能进场施工的，发包人可向其发出书面催告通知；</w:t>
      </w:r>
      <w:r>
        <w:rPr>
          <w:rFonts w:hint="eastAsia" w:ascii="宋体" w:hAnsi="宋体" w:cs="宋体"/>
          <w:color w:val="auto"/>
          <w:kern w:val="0"/>
          <w:szCs w:val="21"/>
          <w:highlight w:val="none"/>
          <w:lang w:val="en-US" w:eastAsia="zh-CN"/>
        </w:rPr>
        <w:t>承包人</w:t>
      </w:r>
      <w:r>
        <w:rPr>
          <w:rFonts w:hint="eastAsia" w:ascii="宋体" w:hAnsi="宋体" w:eastAsia="宋体" w:cs="宋体"/>
          <w:color w:val="auto"/>
          <w:kern w:val="0"/>
          <w:szCs w:val="21"/>
          <w:highlight w:val="none"/>
        </w:rPr>
        <w:t>在催告通知载明的期限内仍未进场的，视为根本性违约。发包人有权单方解除本合同、没收履约保证金，履约保证金不足以</w:t>
      </w:r>
      <w:r>
        <w:rPr>
          <w:rFonts w:hint="eastAsia" w:ascii="宋体" w:hAnsi="宋体" w:cs="宋体"/>
          <w:color w:val="auto"/>
          <w:kern w:val="0"/>
          <w:szCs w:val="21"/>
          <w:highlight w:val="none"/>
          <w:lang w:val="en-US" w:eastAsia="zh-CN"/>
        </w:rPr>
        <w:t>弥补</w:t>
      </w:r>
      <w:r>
        <w:rPr>
          <w:rFonts w:hint="eastAsia" w:ascii="宋体" w:hAnsi="宋体" w:eastAsia="宋体" w:cs="宋体"/>
          <w:color w:val="auto"/>
          <w:kern w:val="0"/>
          <w:szCs w:val="21"/>
          <w:highlight w:val="none"/>
        </w:rPr>
        <w:t>发包人实际经济损失的，</w:t>
      </w:r>
      <w:r>
        <w:rPr>
          <w:rFonts w:hint="eastAsia" w:ascii="宋体" w:hAnsi="宋体" w:cs="宋体"/>
          <w:color w:val="auto"/>
          <w:kern w:val="0"/>
          <w:szCs w:val="21"/>
          <w:highlight w:val="none"/>
          <w:lang w:val="en-US" w:eastAsia="zh-CN"/>
        </w:rPr>
        <w:t>承包人还应向发包人支付违约金，违约金按合同金额的8%计算。）</w:t>
      </w:r>
    </w:p>
    <w:p w14:paraId="29FABB01">
      <w:pPr>
        <w:spacing w:line="360" w:lineRule="auto"/>
        <w:ind w:firstLine="459"/>
        <w:rPr>
          <w:rFonts w:ascii="宋体" w:hAnsi="宋体" w:eastAsia="宋体" w:cs="宋体"/>
          <w:color w:val="auto"/>
          <w:highlight w:val="none"/>
        </w:rPr>
      </w:pPr>
      <w:r>
        <w:rPr>
          <w:rFonts w:hint="eastAsia" w:ascii="宋体" w:hAnsi="宋体" w:eastAsia="宋体" w:cs="宋体"/>
          <w:color w:val="auto"/>
          <w:highlight w:val="none"/>
        </w:rPr>
        <w:t>计划竣工日期：</w:t>
      </w:r>
      <w:r>
        <w:rPr>
          <w:rFonts w:hint="eastAsia" w:ascii="宋体" w:hAnsi="宋体" w:eastAsia="宋体" w:cs="宋体"/>
          <w:color w:val="auto"/>
          <w:highlight w:val="none"/>
          <w:u w:val="single"/>
        </w:rPr>
        <w:t></w:t>
      </w:r>
      <w:r>
        <w:rPr>
          <w:rFonts w:hint="eastAsia" w:ascii="宋体" w:hAnsi="宋体" w:eastAsia="宋体" w:cs="宋体"/>
          <w:color w:val="auto"/>
          <w:highlight w:val="none"/>
        </w:rPr>
        <w:t>年</w:t>
      </w:r>
      <w:r>
        <w:rPr>
          <w:rFonts w:hint="eastAsia" w:ascii="宋体" w:hAnsi="宋体" w:eastAsia="宋体" w:cs="宋体"/>
          <w:color w:val="auto"/>
          <w:highlight w:val="none"/>
          <w:u w:val="single"/>
        </w:rPr>
        <w:t></w:t>
      </w:r>
      <w:r>
        <w:rPr>
          <w:rFonts w:hint="eastAsia" w:ascii="宋体" w:hAnsi="宋体" w:eastAsia="宋体" w:cs="宋体"/>
          <w:color w:val="auto"/>
          <w:highlight w:val="none"/>
        </w:rPr>
        <w:t>月</w:t>
      </w:r>
      <w:r>
        <w:rPr>
          <w:rFonts w:hint="eastAsia" w:ascii="宋体" w:hAnsi="宋体" w:eastAsia="宋体" w:cs="宋体"/>
          <w:color w:val="auto"/>
          <w:highlight w:val="none"/>
          <w:u w:val="single"/>
        </w:rPr>
        <w:t></w:t>
      </w:r>
      <w:r>
        <w:rPr>
          <w:rFonts w:hint="eastAsia" w:ascii="宋体" w:hAnsi="宋体" w:eastAsia="宋体" w:cs="宋体"/>
          <w:color w:val="auto"/>
          <w:highlight w:val="none"/>
        </w:rPr>
        <w:t>日。</w:t>
      </w:r>
    </w:p>
    <w:p w14:paraId="2D0718F3">
      <w:pPr>
        <w:spacing w:line="360" w:lineRule="auto"/>
        <w:ind w:firstLine="459"/>
        <w:rPr>
          <w:rFonts w:ascii="宋体" w:hAnsi="宋体" w:eastAsia="宋体" w:cs="宋体"/>
          <w:color w:val="auto"/>
          <w:highlight w:val="none"/>
        </w:rPr>
      </w:pPr>
      <w:r>
        <w:rPr>
          <w:rFonts w:hint="eastAsia" w:ascii="宋体" w:hAnsi="宋体" w:eastAsia="宋体" w:cs="宋体"/>
          <w:color w:val="auto"/>
          <w:highlight w:val="none"/>
        </w:rPr>
        <w:t>工期总日历天数：</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天。工期总日历天数与根据前述计划开竣工日期计算的工期天数不一致的，以工期总日历天数为准。</w:t>
      </w:r>
    </w:p>
    <w:p w14:paraId="7DC2E5C2">
      <w:pPr>
        <w:spacing w:line="360" w:lineRule="auto"/>
        <w:ind w:firstLine="459"/>
        <w:outlineLvl w:val="2"/>
        <w:rPr>
          <w:rFonts w:ascii="宋体" w:hAnsi="宋体" w:eastAsia="宋体" w:cs="宋体"/>
          <w:b/>
          <w:bCs/>
          <w:color w:val="auto"/>
          <w:highlight w:val="none"/>
        </w:rPr>
      </w:pPr>
      <w:bookmarkStart w:id="96" w:name="_Toc351203483"/>
      <w:r>
        <w:rPr>
          <w:rFonts w:hint="eastAsia" w:ascii="宋体" w:hAnsi="宋体" w:eastAsia="宋体" w:cs="宋体"/>
          <w:b/>
          <w:bCs/>
          <w:color w:val="auto"/>
          <w:highlight w:val="none"/>
        </w:rPr>
        <w:t>三、质量标准</w:t>
      </w:r>
      <w:bookmarkEnd w:id="96"/>
    </w:p>
    <w:p w14:paraId="7D1A14C4">
      <w:pPr>
        <w:spacing w:line="360" w:lineRule="auto"/>
        <w:ind w:firstLine="459"/>
        <w:rPr>
          <w:rFonts w:ascii="宋体" w:hAnsi="宋体" w:eastAsia="宋体" w:cs="宋体"/>
          <w:color w:val="auto"/>
          <w:highlight w:val="none"/>
        </w:rPr>
      </w:pPr>
      <w:r>
        <w:rPr>
          <w:rFonts w:hint="eastAsia" w:ascii="宋体" w:hAnsi="宋体" w:eastAsia="宋体" w:cs="宋体"/>
          <w:color w:val="auto"/>
          <w:highlight w:val="none"/>
        </w:rPr>
        <w:t>工程质量符合</w:t>
      </w:r>
      <w:r>
        <w:rPr>
          <w:rFonts w:hint="eastAsia" w:ascii="宋体" w:hAnsi="宋体" w:eastAsia="宋体" w:cs="宋体"/>
          <w:color w:val="auto"/>
          <w:highlight w:val="none"/>
          <w:u w:val="single"/>
        </w:rPr>
        <w:t xml:space="preserve">合格  </w:t>
      </w:r>
      <w:r>
        <w:rPr>
          <w:rFonts w:hint="eastAsia" w:ascii="宋体" w:hAnsi="宋体" w:eastAsia="宋体" w:cs="宋体"/>
          <w:color w:val="auto"/>
          <w:highlight w:val="none"/>
        </w:rPr>
        <w:t>标准。</w:t>
      </w:r>
    </w:p>
    <w:p w14:paraId="23B81FC0">
      <w:pPr>
        <w:spacing w:line="360" w:lineRule="auto"/>
        <w:ind w:firstLine="459"/>
        <w:outlineLvl w:val="2"/>
        <w:rPr>
          <w:rFonts w:ascii="宋体" w:hAnsi="宋体" w:eastAsia="宋体" w:cs="宋体"/>
          <w:b/>
          <w:bCs/>
          <w:color w:val="auto"/>
          <w:highlight w:val="none"/>
        </w:rPr>
      </w:pPr>
      <w:bookmarkStart w:id="97" w:name="_Toc351203484"/>
      <w:r>
        <w:rPr>
          <w:rFonts w:hint="eastAsia" w:ascii="宋体" w:hAnsi="宋体" w:eastAsia="宋体" w:cs="宋体"/>
          <w:b/>
          <w:bCs/>
          <w:color w:val="auto"/>
          <w:highlight w:val="none"/>
        </w:rPr>
        <w:t>四、签约合同价与合同价格形式</w:t>
      </w:r>
      <w:bookmarkEnd w:id="97"/>
    </w:p>
    <w:p w14:paraId="2A4DD227">
      <w:pPr>
        <w:spacing w:line="360" w:lineRule="auto"/>
        <w:ind w:firstLine="459"/>
        <w:rPr>
          <w:rFonts w:ascii="宋体" w:hAnsi="宋体" w:eastAsia="宋体" w:cs="宋体"/>
          <w:color w:val="auto"/>
          <w:highlight w:val="none"/>
        </w:rPr>
      </w:pPr>
      <w:r>
        <w:rPr>
          <w:rFonts w:hint="eastAsia" w:ascii="宋体" w:hAnsi="宋体" w:eastAsia="宋体" w:cs="宋体"/>
          <w:color w:val="auto"/>
          <w:highlight w:val="none"/>
        </w:rPr>
        <w:t>1. 签约合同价为：</w:t>
      </w:r>
    </w:p>
    <w:p w14:paraId="3B751829">
      <w:pPr>
        <w:spacing w:line="360" w:lineRule="auto"/>
        <w:ind w:firstLine="525" w:firstLineChars="250"/>
        <w:rPr>
          <w:rFonts w:ascii="宋体" w:hAnsi="宋体" w:eastAsia="宋体" w:cs="宋体"/>
          <w:color w:val="auto"/>
          <w:highlight w:val="none"/>
        </w:rPr>
      </w:pPr>
      <w:r>
        <w:rPr>
          <w:rFonts w:hint="eastAsia" w:ascii="宋体" w:hAnsi="宋体" w:eastAsia="宋体" w:cs="宋体"/>
          <w:color w:val="auto"/>
          <w:highlight w:val="none"/>
        </w:rPr>
        <w:t>人民币（大写）</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元）；</w:t>
      </w:r>
    </w:p>
    <w:p w14:paraId="50F511AA">
      <w:pPr>
        <w:spacing w:line="360" w:lineRule="auto"/>
        <w:ind w:firstLine="525" w:firstLineChars="250"/>
        <w:rPr>
          <w:rFonts w:ascii="宋体" w:hAnsi="宋体" w:eastAsia="宋体" w:cs="宋体"/>
          <w:color w:val="auto"/>
          <w:highlight w:val="none"/>
        </w:rPr>
      </w:pPr>
      <w:r>
        <w:rPr>
          <w:rFonts w:hint="eastAsia" w:ascii="宋体" w:hAnsi="宋体" w:eastAsia="宋体" w:cs="宋体"/>
          <w:color w:val="auto"/>
          <w:highlight w:val="none"/>
        </w:rPr>
        <w:t>其中：</w:t>
      </w:r>
    </w:p>
    <w:p w14:paraId="65D6E4A9">
      <w:pPr>
        <w:spacing w:line="360" w:lineRule="auto"/>
        <w:ind w:firstLine="420" w:firstLineChars="200"/>
        <w:rPr>
          <w:rFonts w:ascii="宋体" w:hAnsi="宋体" w:eastAsia="宋体" w:cs="宋体"/>
          <w:color w:val="auto"/>
          <w:highlight w:val="none"/>
        </w:rPr>
      </w:pPr>
      <w:r>
        <w:rPr>
          <w:rFonts w:hint="eastAsia" w:ascii="宋体" w:hAnsi="宋体" w:eastAsia="宋体" w:cs="宋体"/>
          <w:color w:val="auto"/>
          <w:highlight w:val="none"/>
        </w:rPr>
        <w:t>（1）安全文明施工费：</w:t>
      </w:r>
    </w:p>
    <w:p w14:paraId="2A72132E">
      <w:pPr>
        <w:spacing w:line="360" w:lineRule="auto"/>
        <w:ind w:left="420" w:leftChars="200" w:firstLine="525" w:firstLineChars="250"/>
        <w:rPr>
          <w:rFonts w:ascii="宋体" w:hAnsi="宋体" w:eastAsia="宋体" w:cs="宋体"/>
          <w:color w:val="auto"/>
          <w:highlight w:val="none"/>
        </w:rPr>
      </w:pPr>
      <w:r>
        <w:rPr>
          <w:rFonts w:hint="eastAsia" w:ascii="宋体" w:hAnsi="宋体" w:eastAsia="宋体" w:cs="宋体"/>
          <w:color w:val="auto"/>
          <w:highlight w:val="none"/>
        </w:rPr>
        <w:t>人民币（大写）</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元）；</w:t>
      </w:r>
    </w:p>
    <w:p w14:paraId="151A02AF">
      <w:pPr>
        <w:spacing w:line="360" w:lineRule="auto"/>
        <w:ind w:firstLine="420" w:firstLineChars="200"/>
        <w:rPr>
          <w:rFonts w:ascii="宋体" w:hAnsi="宋体" w:eastAsia="宋体" w:cs="宋体"/>
          <w:color w:val="auto"/>
          <w:highlight w:val="none"/>
        </w:rPr>
      </w:pPr>
      <w:r>
        <w:rPr>
          <w:rFonts w:hint="eastAsia" w:ascii="宋体" w:hAnsi="宋体" w:eastAsia="宋体" w:cs="宋体"/>
          <w:color w:val="auto"/>
          <w:highlight w:val="none"/>
        </w:rPr>
        <w:t>（2）材料和工程设备暂估价金额：</w:t>
      </w:r>
    </w:p>
    <w:p w14:paraId="691E01B2">
      <w:pPr>
        <w:spacing w:line="360" w:lineRule="auto"/>
        <w:ind w:firstLine="945" w:firstLineChars="450"/>
        <w:rPr>
          <w:rFonts w:ascii="宋体" w:hAnsi="宋体" w:eastAsia="宋体" w:cs="宋体"/>
          <w:color w:val="auto"/>
          <w:highlight w:val="none"/>
        </w:rPr>
      </w:pPr>
      <w:r>
        <w:rPr>
          <w:rFonts w:hint="eastAsia" w:ascii="宋体" w:hAnsi="宋体" w:eastAsia="宋体" w:cs="宋体"/>
          <w:color w:val="auto"/>
          <w:highlight w:val="none"/>
        </w:rPr>
        <w:t>人民币（大写）</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元）；</w:t>
      </w:r>
    </w:p>
    <w:p w14:paraId="199FF4B6">
      <w:pPr>
        <w:spacing w:line="360" w:lineRule="auto"/>
        <w:ind w:firstLine="420" w:firstLineChars="200"/>
        <w:rPr>
          <w:rFonts w:ascii="宋体" w:hAnsi="宋体" w:eastAsia="宋体" w:cs="宋体"/>
          <w:color w:val="auto"/>
          <w:highlight w:val="none"/>
        </w:rPr>
      </w:pPr>
      <w:r>
        <w:rPr>
          <w:rFonts w:hint="eastAsia" w:ascii="宋体" w:hAnsi="宋体" w:eastAsia="宋体" w:cs="宋体"/>
          <w:color w:val="auto"/>
          <w:highlight w:val="none"/>
        </w:rPr>
        <w:t>（3）专业工程暂估价金额：</w:t>
      </w:r>
    </w:p>
    <w:p w14:paraId="030C2741">
      <w:pPr>
        <w:spacing w:line="360" w:lineRule="auto"/>
        <w:ind w:firstLine="945" w:firstLineChars="450"/>
        <w:rPr>
          <w:rFonts w:ascii="宋体" w:hAnsi="宋体" w:eastAsia="宋体" w:cs="宋体"/>
          <w:color w:val="auto"/>
          <w:highlight w:val="none"/>
        </w:rPr>
      </w:pPr>
      <w:r>
        <w:rPr>
          <w:rFonts w:hint="eastAsia" w:ascii="宋体" w:hAnsi="宋体" w:eastAsia="宋体" w:cs="宋体"/>
          <w:color w:val="auto"/>
          <w:highlight w:val="none"/>
        </w:rPr>
        <w:t>人民币（大写）</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元）；</w:t>
      </w:r>
    </w:p>
    <w:p w14:paraId="0FDC5B96">
      <w:pPr>
        <w:spacing w:line="360" w:lineRule="auto"/>
        <w:ind w:firstLine="420" w:firstLineChars="200"/>
        <w:rPr>
          <w:rFonts w:ascii="宋体" w:hAnsi="宋体" w:eastAsia="宋体" w:cs="宋体"/>
          <w:color w:val="auto"/>
          <w:highlight w:val="none"/>
        </w:rPr>
      </w:pPr>
      <w:r>
        <w:rPr>
          <w:rFonts w:hint="eastAsia" w:ascii="宋体" w:hAnsi="宋体" w:eastAsia="宋体" w:cs="宋体"/>
          <w:color w:val="auto"/>
          <w:highlight w:val="none"/>
        </w:rPr>
        <w:t>（4）暂列金额：</w:t>
      </w:r>
    </w:p>
    <w:p w14:paraId="23FE859A">
      <w:pPr>
        <w:spacing w:line="360" w:lineRule="auto"/>
        <w:ind w:firstLine="945" w:firstLineChars="450"/>
        <w:rPr>
          <w:rFonts w:ascii="宋体" w:hAnsi="宋体" w:eastAsia="宋体" w:cs="宋体"/>
          <w:color w:val="auto"/>
          <w:highlight w:val="none"/>
        </w:rPr>
      </w:pPr>
      <w:r>
        <w:rPr>
          <w:rFonts w:hint="eastAsia" w:ascii="宋体" w:hAnsi="宋体" w:eastAsia="宋体" w:cs="宋体"/>
          <w:color w:val="auto"/>
          <w:highlight w:val="none"/>
        </w:rPr>
        <w:t>人民币（大写）</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元）。</w:t>
      </w:r>
    </w:p>
    <w:p w14:paraId="50C46A3E">
      <w:pPr>
        <w:spacing w:line="360" w:lineRule="auto"/>
        <w:ind w:firstLine="420" w:firstLineChars="200"/>
        <w:rPr>
          <w:rFonts w:ascii="宋体" w:hAnsi="宋体" w:eastAsia="宋体" w:cs="宋体"/>
          <w:color w:val="auto"/>
          <w:highlight w:val="none"/>
        </w:rPr>
      </w:pPr>
      <w:r>
        <w:rPr>
          <w:rFonts w:hint="eastAsia" w:ascii="宋体" w:hAnsi="宋体" w:eastAsia="宋体" w:cs="宋体"/>
          <w:color w:val="auto"/>
          <w:highlight w:val="none"/>
        </w:rPr>
        <w:t xml:space="preserve">2. 合同价格形式：   </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64BA6CBA">
      <w:pPr>
        <w:spacing w:line="360" w:lineRule="auto"/>
        <w:ind w:firstLine="422" w:firstLineChars="200"/>
        <w:outlineLvl w:val="2"/>
        <w:rPr>
          <w:rFonts w:ascii="宋体" w:hAnsi="宋体" w:eastAsia="宋体" w:cs="宋体"/>
          <w:b/>
          <w:bCs/>
          <w:color w:val="auto"/>
          <w:highlight w:val="none"/>
        </w:rPr>
      </w:pPr>
      <w:bookmarkStart w:id="98" w:name="_Toc351203485"/>
      <w:r>
        <w:rPr>
          <w:rFonts w:hint="eastAsia" w:ascii="宋体" w:hAnsi="宋体" w:eastAsia="宋体" w:cs="宋体"/>
          <w:b/>
          <w:bCs/>
          <w:color w:val="auto"/>
          <w:highlight w:val="none"/>
        </w:rPr>
        <w:t>五、</w:t>
      </w:r>
      <w:bookmarkEnd w:id="98"/>
      <w:r>
        <w:rPr>
          <w:rFonts w:hint="eastAsia" w:ascii="宋体" w:hAnsi="宋体" w:eastAsia="宋体" w:cs="宋体"/>
          <w:b/>
          <w:bCs/>
          <w:color w:val="auto"/>
          <w:highlight w:val="none"/>
        </w:rPr>
        <w:t>项目经理</w:t>
      </w:r>
    </w:p>
    <w:p w14:paraId="7736C6C5">
      <w:pPr>
        <w:spacing w:line="360" w:lineRule="auto"/>
        <w:ind w:firstLine="420" w:firstLineChars="200"/>
        <w:rPr>
          <w:rFonts w:ascii="宋体" w:hAnsi="宋体" w:eastAsia="宋体" w:cs="宋体"/>
          <w:color w:val="auto"/>
          <w:highlight w:val="none"/>
        </w:rPr>
      </w:pPr>
      <w:r>
        <w:rPr>
          <w:rFonts w:hint="eastAsia" w:ascii="宋体" w:hAnsi="宋体" w:eastAsia="宋体" w:cs="宋体"/>
          <w:color w:val="auto"/>
          <w:highlight w:val="none"/>
        </w:rPr>
        <w:t>承包人项目经理：</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39E4D4E7">
      <w:pPr>
        <w:spacing w:line="360" w:lineRule="auto"/>
        <w:ind w:firstLine="422" w:firstLineChars="200"/>
        <w:outlineLvl w:val="2"/>
        <w:rPr>
          <w:rFonts w:ascii="宋体" w:hAnsi="宋体" w:eastAsia="宋体" w:cs="宋体"/>
          <w:b/>
          <w:bCs/>
          <w:color w:val="auto"/>
          <w:highlight w:val="none"/>
        </w:rPr>
      </w:pPr>
      <w:bookmarkStart w:id="99" w:name="_Toc351203486"/>
      <w:r>
        <w:rPr>
          <w:rFonts w:hint="eastAsia" w:ascii="宋体" w:hAnsi="宋体" w:eastAsia="宋体" w:cs="宋体"/>
          <w:b/>
          <w:bCs/>
          <w:color w:val="auto"/>
          <w:highlight w:val="none"/>
        </w:rPr>
        <w:t>六、合同文件构成</w:t>
      </w:r>
      <w:bookmarkEnd w:id="99"/>
    </w:p>
    <w:p w14:paraId="17B674AE">
      <w:pPr>
        <w:spacing w:line="360" w:lineRule="auto"/>
        <w:ind w:firstLine="420" w:firstLineChars="200"/>
        <w:rPr>
          <w:rFonts w:ascii="宋体" w:hAnsi="宋体" w:eastAsia="宋体" w:cs="宋体"/>
          <w:color w:val="auto"/>
          <w:highlight w:val="none"/>
        </w:rPr>
      </w:pPr>
      <w:r>
        <w:rPr>
          <w:rFonts w:hint="eastAsia" w:ascii="宋体" w:hAnsi="宋体" w:eastAsia="宋体" w:cs="宋体"/>
          <w:color w:val="auto"/>
          <w:highlight w:val="none"/>
        </w:rPr>
        <w:t>本协议书与下列文件一起构成合同文件：</w:t>
      </w:r>
    </w:p>
    <w:p w14:paraId="46C8865E">
      <w:pPr>
        <w:autoSpaceDE w:val="0"/>
        <w:autoSpaceDN w:val="0"/>
        <w:adjustRightInd w:val="0"/>
        <w:spacing w:line="360" w:lineRule="auto"/>
        <w:ind w:firstLine="420" w:firstLineChars="200"/>
        <w:jc w:val="left"/>
        <w:rPr>
          <w:rFonts w:ascii="宋体" w:hAnsi="宋体" w:eastAsia="宋体" w:cs="宋体"/>
          <w:color w:val="auto"/>
          <w:highlight w:val="none"/>
        </w:rPr>
      </w:pPr>
      <w:r>
        <w:rPr>
          <w:rFonts w:hint="eastAsia" w:ascii="宋体" w:hAnsi="宋体" w:eastAsia="宋体" w:cs="宋体"/>
          <w:color w:val="auto"/>
          <w:highlight w:val="none"/>
        </w:rPr>
        <w:t>（1）成交通知书（如有）；</w:t>
      </w:r>
    </w:p>
    <w:p w14:paraId="03EE0D1C">
      <w:pPr>
        <w:autoSpaceDE w:val="0"/>
        <w:autoSpaceDN w:val="0"/>
        <w:adjustRightInd w:val="0"/>
        <w:spacing w:line="360" w:lineRule="auto"/>
        <w:ind w:firstLine="420" w:firstLineChars="200"/>
        <w:jc w:val="left"/>
        <w:rPr>
          <w:rFonts w:ascii="宋体" w:hAnsi="宋体" w:eastAsia="宋体" w:cs="宋体"/>
          <w:color w:val="auto"/>
          <w:highlight w:val="none"/>
        </w:rPr>
      </w:pPr>
      <w:r>
        <w:rPr>
          <w:rFonts w:hint="eastAsia" w:ascii="宋体" w:hAnsi="宋体" w:eastAsia="宋体" w:cs="宋体"/>
          <w:color w:val="auto"/>
          <w:highlight w:val="none"/>
        </w:rPr>
        <w:t xml:space="preserve">（2）响应函及其附录（如有）； </w:t>
      </w:r>
    </w:p>
    <w:p w14:paraId="2CA8FC20">
      <w:pPr>
        <w:autoSpaceDE w:val="0"/>
        <w:autoSpaceDN w:val="0"/>
        <w:adjustRightInd w:val="0"/>
        <w:spacing w:line="360" w:lineRule="auto"/>
        <w:ind w:firstLine="420" w:firstLineChars="200"/>
        <w:jc w:val="left"/>
        <w:rPr>
          <w:rFonts w:ascii="宋体" w:hAnsi="宋体" w:eastAsia="宋体" w:cs="宋体"/>
          <w:color w:val="auto"/>
          <w:highlight w:val="none"/>
        </w:rPr>
      </w:pPr>
      <w:r>
        <w:rPr>
          <w:rFonts w:hint="eastAsia" w:ascii="宋体" w:hAnsi="宋体" w:eastAsia="宋体" w:cs="宋体"/>
          <w:color w:val="auto"/>
          <w:highlight w:val="none"/>
        </w:rPr>
        <w:t>（3）专用合同条款及其附件；</w:t>
      </w:r>
    </w:p>
    <w:p w14:paraId="7FFAB15D">
      <w:pPr>
        <w:autoSpaceDE w:val="0"/>
        <w:autoSpaceDN w:val="0"/>
        <w:adjustRightInd w:val="0"/>
        <w:spacing w:line="360" w:lineRule="auto"/>
        <w:ind w:firstLine="420" w:firstLineChars="200"/>
        <w:jc w:val="left"/>
        <w:rPr>
          <w:rFonts w:ascii="宋体" w:hAnsi="宋体" w:eastAsia="宋体" w:cs="宋体"/>
          <w:color w:val="auto"/>
          <w:highlight w:val="none"/>
        </w:rPr>
      </w:pPr>
      <w:r>
        <w:rPr>
          <w:rFonts w:hint="eastAsia" w:ascii="宋体" w:hAnsi="宋体" w:eastAsia="宋体" w:cs="宋体"/>
          <w:color w:val="auto"/>
          <w:highlight w:val="none"/>
        </w:rPr>
        <w:t>（4）通用合同条款；</w:t>
      </w:r>
    </w:p>
    <w:p w14:paraId="381F0F3D">
      <w:pPr>
        <w:autoSpaceDE w:val="0"/>
        <w:autoSpaceDN w:val="0"/>
        <w:adjustRightInd w:val="0"/>
        <w:spacing w:line="360" w:lineRule="auto"/>
        <w:ind w:firstLine="420" w:firstLineChars="200"/>
        <w:jc w:val="left"/>
        <w:rPr>
          <w:rFonts w:ascii="宋体" w:hAnsi="宋体" w:eastAsia="宋体" w:cs="宋体"/>
          <w:color w:val="auto"/>
          <w:highlight w:val="none"/>
        </w:rPr>
      </w:pPr>
      <w:r>
        <w:rPr>
          <w:rFonts w:hint="eastAsia" w:ascii="宋体" w:hAnsi="宋体" w:eastAsia="宋体" w:cs="宋体"/>
          <w:color w:val="auto"/>
          <w:highlight w:val="none"/>
        </w:rPr>
        <w:t>（5）</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134C5B1B">
      <w:pPr>
        <w:autoSpaceDE w:val="0"/>
        <w:autoSpaceDN w:val="0"/>
        <w:adjustRightInd w:val="0"/>
        <w:spacing w:line="360" w:lineRule="auto"/>
        <w:ind w:firstLine="420" w:firstLineChars="200"/>
        <w:jc w:val="left"/>
        <w:rPr>
          <w:rFonts w:ascii="宋体" w:hAnsi="宋体" w:eastAsia="宋体" w:cs="宋体"/>
          <w:color w:val="auto"/>
          <w:highlight w:val="none"/>
        </w:rPr>
      </w:pPr>
      <w:r>
        <w:rPr>
          <w:rFonts w:hint="eastAsia" w:ascii="宋体" w:hAnsi="宋体" w:eastAsia="宋体" w:cs="宋体"/>
          <w:color w:val="auto"/>
          <w:highlight w:val="none"/>
        </w:rPr>
        <w:t>（6）</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4445F23F">
      <w:pPr>
        <w:autoSpaceDE w:val="0"/>
        <w:autoSpaceDN w:val="0"/>
        <w:adjustRightInd w:val="0"/>
        <w:spacing w:line="360" w:lineRule="auto"/>
        <w:ind w:firstLine="420" w:firstLineChars="200"/>
        <w:jc w:val="left"/>
        <w:rPr>
          <w:rFonts w:ascii="宋体" w:hAnsi="宋体" w:eastAsia="宋体" w:cs="宋体"/>
          <w:color w:val="auto"/>
          <w:highlight w:val="none"/>
        </w:rPr>
      </w:pPr>
      <w:r>
        <w:rPr>
          <w:rFonts w:hint="eastAsia" w:ascii="宋体" w:hAnsi="宋体" w:eastAsia="宋体" w:cs="宋体"/>
          <w:color w:val="auto"/>
          <w:highlight w:val="none"/>
        </w:rPr>
        <w:t>（7）</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2DBAF7A7">
      <w:pPr>
        <w:autoSpaceDE w:val="0"/>
        <w:autoSpaceDN w:val="0"/>
        <w:adjustRightInd w:val="0"/>
        <w:spacing w:line="360" w:lineRule="auto"/>
        <w:ind w:firstLine="420" w:firstLineChars="200"/>
        <w:jc w:val="left"/>
        <w:rPr>
          <w:rFonts w:ascii="宋体" w:hAnsi="宋体" w:eastAsia="宋体" w:cs="宋体"/>
          <w:color w:val="auto"/>
          <w:highlight w:val="none"/>
        </w:rPr>
      </w:pPr>
      <w:r>
        <w:rPr>
          <w:rFonts w:hint="eastAsia" w:ascii="宋体" w:hAnsi="宋体" w:eastAsia="宋体" w:cs="宋体"/>
          <w:color w:val="auto"/>
          <w:highlight w:val="none"/>
        </w:rPr>
        <w:t>（8）其他合同文件：</w:t>
      </w:r>
    </w:p>
    <w:p w14:paraId="154273FA">
      <w:pPr>
        <w:autoSpaceDE w:val="0"/>
        <w:autoSpaceDN w:val="0"/>
        <w:adjustRightInd w:val="0"/>
        <w:spacing w:line="360" w:lineRule="auto"/>
        <w:ind w:firstLine="420" w:firstLineChars="200"/>
        <w:jc w:val="left"/>
        <w:rPr>
          <w:rFonts w:ascii="宋体" w:hAnsi="宋体" w:eastAsia="宋体" w:cs="宋体"/>
          <w:color w:val="auto"/>
          <w:highlight w:val="none"/>
        </w:rPr>
      </w:pPr>
      <w:r>
        <w:rPr>
          <w:rFonts w:hint="eastAsia" w:ascii="宋体" w:hAnsi="宋体" w:eastAsia="宋体" w:cs="宋体"/>
          <w:color w:val="auto"/>
          <w:highlight w:val="none"/>
        </w:rPr>
        <w:t>上述各项合同文件包括合同当事人就该项合同文件所作出的补充和修改，属于同一类内容的文件，应以最新签署的为准（违反采购文件实质性内容的约定除外）。专用合同条款及其附件须经合同当事人签字或盖章。</w:t>
      </w:r>
    </w:p>
    <w:p w14:paraId="09C1116D">
      <w:pPr>
        <w:autoSpaceDE w:val="0"/>
        <w:autoSpaceDN w:val="0"/>
        <w:adjustRightInd w:val="0"/>
        <w:spacing w:line="360" w:lineRule="auto"/>
        <w:ind w:firstLine="422" w:firstLineChars="200"/>
        <w:jc w:val="left"/>
        <w:outlineLvl w:val="2"/>
        <w:rPr>
          <w:rFonts w:ascii="宋体" w:hAnsi="宋体" w:eastAsia="宋体" w:cs="宋体"/>
          <w:b/>
          <w:bCs/>
          <w:color w:val="auto"/>
          <w:highlight w:val="none"/>
        </w:rPr>
      </w:pPr>
      <w:bookmarkStart w:id="100" w:name="_Toc351203487"/>
      <w:r>
        <w:rPr>
          <w:rFonts w:hint="eastAsia" w:ascii="宋体" w:hAnsi="宋体" w:eastAsia="宋体" w:cs="宋体"/>
          <w:b/>
          <w:bCs/>
          <w:color w:val="auto"/>
          <w:highlight w:val="none"/>
        </w:rPr>
        <w:t>七、承诺</w:t>
      </w:r>
      <w:bookmarkEnd w:id="100"/>
    </w:p>
    <w:p w14:paraId="19F41987">
      <w:pPr>
        <w:spacing w:line="360" w:lineRule="auto"/>
        <w:ind w:firstLine="420" w:firstLineChars="200"/>
        <w:rPr>
          <w:rFonts w:ascii="宋体" w:hAnsi="宋体" w:eastAsia="宋体" w:cs="宋体"/>
          <w:color w:val="auto"/>
          <w:highlight w:val="none"/>
        </w:rPr>
      </w:pPr>
      <w:r>
        <w:rPr>
          <w:rFonts w:hint="eastAsia" w:ascii="宋体" w:hAnsi="宋体" w:eastAsia="宋体" w:cs="宋体"/>
          <w:color w:val="auto"/>
          <w:highlight w:val="none"/>
        </w:rPr>
        <w:t>1. 发包人承诺按照法律规定履行项目审批手续、筹集工程建设资金并按照合同约定的期限和方式支付合同价款。</w:t>
      </w:r>
    </w:p>
    <w:p w14:paraId="7A8BB6B3">
      <w:pPr>
        <w:spacing w:line="360" w:lineRule="auto"/>
        <w:ind w:firstLine="420" w:firstLineChars="200"/>
        <w:rPr>
          <w:rFonts w:ascii="宋体" w:hAnsi="宋体" w:eastAsia="宋体" w:cs="宋体"/>
          <w:color w:val="auto"/>
          <w:highlight w:val="none"/>
        </w:rPr>
      </w:pPr>
      <w:r>
        <w:rPr>
          <w:rFonts w:hint="eastAsia" w:ascii="宋体" w:hAnsi="宋体" w:eastAsia="宋体" w:cs="宋体"/>
          <w:color w:val="auto"/>
          <w:highlight w:val="none"/>
        </w:rPr>
        <w:t>2. 承包人承诺按照法律规定及合同约定组织完成工程施工，确保工程质量和安全，不进行转包及违法分包，并在缺陷责任期及保修期内承担相应的工程维修责任。</w:t>
      </w:r>
    </w:p>
    <w:p w14:paraId="6D8E4E0C">
      <w:pPr>
        <w:spacing w:line="360" w:lineRule="auto"/>
        <w:ind w:firstLine="420" w:firstLineChars="200"/>
        <w:rPr>
          <w:rFonts w:ascii="宋体" w:hAnsi="宋体" w:eastAsia="宋体" w:cs="宋体"/>
          <w:color w:val="auto"/>
          <w:highlight w:val="none"/>
        </w:rPr>
      </w:pPr>
      <w:r>
        <w:rPr>
          <w:rFonts w:hint="eastAsia" w:ascii="宋体" w:hAnsi="宋体" w:eastAsia="宋体" w:cs="宋体"/>
          <w:color w:val="auto"/>
          <w:highlight w:val="none"/>
        </w:rPr>
        <w:t>3. 发包人和承包人通过招投标形式签订合同的，双方理解并承诺不再就同一工程另行签订与合同实质性内容相背离的协议。</w:t>
      </w:r>
      <w:bookmarkStart w:id="101" w:name="_Toc351203488"/>
    </w:p>
    <w:p w14:paraId="073E7D94">
      <w:pPr>
        <w:spacing w:line="360" w:lineRule="auto"/>
        <w:ind w:firstLine="422" w:firstLineChars="200"/>
        <w:outlineLvl w:val="2"/>
        <w:rPr>
          <w:rFonts w:ascii="宋体" w:hAnsi="宋体" w:eastAsia="宋体" w:cs="宋体"/>
          <w:b/>
          <w:bCs/>
          <w:color w:val="auto"/>
          <w:highlight w:val="none"/>
        </w:rPr>
      </w:pPr>
      <w:r>
        <w:rPr>
          <w:rFonts w:hint="eastAsia" w:ascii="宋体" w:hAnsi="宋体" w:eastAsia="宋体" w:cs="宋体"/>
          <w:b/>
          <w:bCs/>
          <w:color w:val="auto"/>
          <w:highlight w:val="none"/>
        </w:rPr>
        <w:t>八、词语含义</w:t>
      </w:r>
      <w:bookmarkEnd w:id="101"/>
    </w:p>
    <w:p w14:paraId="08A06D91">
      <w:pPr>
        <w:spacing w:line="360" w:lineRule="auto"/>
        <w:ind w:firstLine="420" w:firstLineChars="200"/>
        <w:rPr>
          <w:rFonts w:ascii="宋体" w:hAnsi="宋体" w:eastAsia="宋体" w:cs="宋体"/>
          <w:color w:val="auto"/>
          <w:highlight w:val="none"/>
        </w:rPr>
      </w:pPr>
      <w:r>
        <w:rPr>
          <w:rFonts w:hint="eastAsia" w:ascii="宋体" w:hAnsi="宋体" w:eastAsia="宋体" w:cs="宋体"/>
          <w:color w:val="auto"/>
          <w:highlight w:val="none"/>
        </w:rPr>
        <w:t>本协议书中词语含义与第二部分通用合同条款中赋予的含义相同。</w:t>
      </w:r>
    </w:p>
    <w:p w14:paraId="446E940B">
      <w:pPr>
        <w:spacing w:line="360" w:lineRule="auto"/>
        <w:ind w:firstLine="422" w:firstLineChars="200"/>
        <w:outlineLvl w:val="2"/>
        <w:rPr>
          <w:rFonts w:ascii="宋体" w:hAnsi="宋体" w:eastAsia="宋体" w:cs="宋体"/>
          <w:b/>
          <w:bCs/>
          <w:color w:val="auto"/>
          <w:highlight w:val="none"/>
        </w:rPr>
      </w:pPr>
      <w:bookmarkStart w:id="102" w:name="_Toc351203489"/>
      <w:r>
        <w:rPr>
          <w:rFonts w:hint="eastAsia" w:ascii="宋体" w:hAnsi="宋体" w:eastAsia="宋体" w:cs="宋体"/>
          <w:b/>
          <w:bCs/>
          <w:color w:val="auto"/>
          <w:highlight w:val="none"/>
        </w:rPr>
        <w:t>九、签订时间</w:t>
      </w:r>
      <w:bookmarkEnd w:id="102"/>
    </w:p>
    <w:p w14:paraId="20090D33">
      <w:pPr>
        <w:spacing w:line="360" w:lineRule="auto"/>
        <w:ind w:firstLine="420" w:firstLineChars="200"/>
        <w:rPr>
          <w:rFonts w:ascii="宋体" w:hAnsi="宋体" w:eastAsia="宋体" w:cs="宋体"/>
          <w:color w:val="auto"/>
          <w:highlight w:val="none"/>
        </w:rPr>
      </w:pPr>
      <w:r>
        <w:rPr>
          <w:rFonts w:hint="eastAsia" w:ascii="宋体" w:hAnsi="宋体" w:eastAsia="宋体" w:cs="宋体"/>
          <w:color w:val="auto"/>
          <w:highlight w:val="none"/>
        </w:rPr>
        <w:t>本合同于</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日签订。</w:t>
      </w:r>
    </w:p>
    <w:p w14:paraId="132127AC">
      <w:pPr>
        <w:spacing w:line="360" w:lineRule="auto"/>
        <w:ind w:firstLine="422" w:firstLineChars="200"/>
        <w:outlineLvl w:val="2"/>
        <w:rPr>
          <w:rFonts w:ascii="宋体" w:hAnsi="宋体" w:eastAsia="宋体" w:cs="宋体"/>
          <w:b/>
          <w:bCs/>
          <w:color w:val="auto"/>
          <w:highlight w:val="none"/>
        </w:rPr>
      </w:pPr>
      <w:bookmarkStart w:id="103" w:name="_Toc351203490"/>
      <w:r>
        <w:rPr>
          <w:rFonts w:hint="eastAsia" w:ascii="宋体" w:hAnsi="宋体" w:eastAsia="宋体" w:cs="宋体"/>
          <w:b/>
          <w:bCs/>
          <w:color w:val="auto"/>
          <w:highlight w:val="none"/>
        </w:rPr>
        <w:t>十、签订地点</w:t>
      </w:r>
      <w:bookmarkEnd w:id="103"/>
    </w:p>
    <w:p w14:paraId="287E4813">
      <w:pPr>
        <w:spacing w:line="360" w:lineRule="auto"/>
        <w:ind w:firstLine="420" w:firstLineChars="200"/>
        <w:rPr>
          <w:rFonts w:ascii="宋体" w:hAnsi="宋体" w:eastAsia="宋体" w:cs="宋体"/>
          <w:color w:val="auto"/>
          <w:highlight w:val="none"/>
        </w:rPr>
      </w:pPr>
      <w:r>
        <w:rPr>
          <w:rFonts w:hint="eastAsia" w:ascii="宋体" w:hAnsi="宋体" w:eastAsia="宋体" w:cs="宋体"/>
          <w:color w:val="auto"/>
          <w:highlight w:val="none"/>
        </w:rPr>
        <w:t>本合同在</w:t>
      </w:r>
      <w:r>
        <w:rPr>
          <w:rFonts w:hint="eastAsia" w:ascii="宋体" w:hAnsi="宋体" w:eastAsia="宋体" w:cs="宋体"/>
          <w:color w:val="auto"/>
          <w:highlight w:val="none"/>
          <w:u w:val="single"/>
        </w:rPr>
        <w:t xml:space="preserve">   广西南宁市  </w:t>
      </w:r>
      <w:r>
        <w:rPr>
          <w:rFonts w:hint="eastAsia" w:ascii="宋体" w:hAnsi="宋体" w:eastAsia="宋体" w:cs="宋体"/>
          <w:color w:val="auto"/>
          <w:highlight w:val="none"/>
        </w:rPr>
        <w:t>签订。</w:t>
      </w:r>
    </w:p>
    <w:p w14:paraId="46DD8B7A">
      <w:pPr>
        <w:spacing w:line="360" w:lineRule="auto"/>
        <w:ind w:firstLine="422" w:firstLineChars="200"/>
        <w:outlineLvl w:val="2"/>
        <w:rPr>
          <w:rFonts w:ascii="宋体" w:hAnsi="宋体" w:eastAsia="宋体" w:cs="宋体"/>
          <w:b/>
          <w:bCs/>
          <w:color w:val="auto"/>
          <w:highlight w:val="none"/>
        </w:rPr>
      </w:pPr>
      <w:bookmarkStart w:id="104" w:name="_Toc351203491"/>
      <w:r>
        <w:rPr>
          <w:rFonts w:hint="eastAsia" w:ascii="宋体" w:hAnsi="宋体" w:eastAsia="宋体" w:cs="宋体"/>
          <w:b/>
          <w:bCs/>
          <w:color w:val="auto"/>
          <w:highlight w:val="none"/>
        </w:rPr>
        <w:t>十一、补充协议</w:t>
      </w:r>
      <w:bookmarkEnd w:id="104"/>
    </w:p>
    <w:p w14:paraId="076B7191">
      <w:pPr>
        <w:spacing w:line="360" w:lineRule="auto"/>
        <w:ind w:firstLine="420" w:firstLineChars="200"/>
        <w:rPr>
          <w:rFonts w:ascii="宋体" w:hAnsi="宋体" w:eastAsia="宋体" w:cs="宋体"/>
          <w:color w:val="auto"/>
          <w:highlight w:val="none"/>
        </w:rPr>
      </w:pPr>
      <w:r>
        <w:rPr>
          <w:rFonts w:hint="eastAsia" w:ascii="宋体" w:hAnsi="宋体" w:eastAsia="宋体" w:cs="宋体"/>
          <w:color w:val="auto"/>
          <w:highlight w:val="none"/>
        </w:rPr>
        <w:t>合同未尽事宜，合同当事人另行签订补充协议，补充协议是合同的组成部分。</w:t>
      </w:r>
    </w:p>
    <w:p w14:paraId="0CDE73C5">
      <w:pPr>
        <w:spacing w:line="360" w:lineRule="auto"/>
        <w:ind w:firstLine="422" w:firstLineChars="200"/>
        <w:outlineLvl w:val="2"/>
        <w:rPr>
          <w:rFonts w:ascii="宋体" w:hAnsi="宋体" w:eastAsia="宋体" w:cs="宋体"/>
          <w:b/>
          <w:bCs/>
          <w:color w:val="auto"/>
          <w:highlight w:val="none"/>
        </w:rPr>
      </w:pPr>
      <w:bookmarkStart w:id="105" w:name="_Toc351203492"/>
      <w:r>
        <w:rPr>
          <w:rFonts w:hint="eastAsia" w:ascii="宋体" w:hAnsi="宋体" w:eastAsia="宋体" w:cs="宋体"/>
          <w:b/>
          <w:bCs/>
          <w:color w:val="auto"/>
          <w:highlight w:val="none"/>
        </w:rPr>
        <w:t>十二、合同生效</w:t>
      </w:r>
      <w:bookmarkEnd w:id="105"/>
    </w:p>
    <w:p w14:paraId="10325387">
      <w:pPr>
        <w:spacing w:line="360" w:lineRule="auto"/>
        <w:ind w:firstLine="420" w:firstLineChars="200"/>
        <w:rPr>
          <w:rFonts w:ascii="宋体" w:hAnsi="宋体" w:eastAsia="宋体" w:cs="宋体"/>
          <w:color w:val="auto"/>
          <w:highlight w:val="none"/>
        </w:rPr>
      </w:pPr>
      <w:r>
        <w:rPr>
          <w:rFonts w:hint="eastAsia" w:ascii="宋体" w:hAnsi="宋体" w:eastAsia="宋体" w:cs="宋体"/>
          <w:color w:val="auto"/>
          <w:highlight w:val="none"/>
        </w:rPr>
        <w:t>本合同自</w:t>
      </w:r>
      <w:r>
        <w:rPr>
          <w:rFonts w:hint="eastAsia" w:ascii="宋体" w:hAnsi="宋体" w:eastAsia="宋体" w:cs="宋体"/>
          <w:color w:val="auto"/>
          <w:highlight w:val="none"/>
          <w:u w:val="single"/>
        </w:rPr>
        <w:t xml:space="preserve"> 双方法定代表人/负责人或授权代理人签字或签章并加盖公章后 </w:t>
      </w:r>
      <w:r>
        <w:rPr>
          <w:rFonts w:hint="eastAsia" w:ascii="宋体" w:hAnsi="宋体" w:eastAsia="宋体" w:cs="宋体"/>
          <w:color w:val="auto"/>
          <w:highlight w:val="none"/>
        </w:rPr>
        <w:t>生效。</w:t>
      </w:r>
    </w:p>
    <w:p w14:paraId="68D5E6F2">
      <w:pPr>
        <w:spacing w:line="360" w:lineRule="auto"/>
        <w:ind w:firstLine="422" w:firstLineChars="200"/>
        <w:outlineLvl w:val="2"/>
        <w:rPr>
          <w:rFonts w:ascii="宋体" w:hAnsi="宋体" w:eastAsia="宋体" w:cs="宋体"/>
          <w:b/>
          <w:bCs/>
          <w:color w:val="auto"/>
          <w:highlight w:val="none"/>
        </w:rPr>
      </w:pPr>
      <w:bookmarkStart w:id="106" w:name="_Toc351203493"/>
      <w:r>
        <w:rPr>
          <w:rFonts w:hint="eastAsia" w:ascii="宋体" w:hAnsi="宋体" w:eastAsia="宋体" w:cs="宋体"/>
          <w:b/>
          <w:bCs/>
          <w:color w:val="auto"/>
          <w:highlight w:val="none"/>
        </w:rPr>
        <w:t>十三、合同份数</w:t>
      </w:r>
      <w:bookmarkEnd w:id="106"/>
    </w:p>
    <w:p w14:paraId="1D3804A7">
      <w:pPr>
        <w:spacing w:line="360" w:lineRule="auto"/>
        <w:ind w:firstLine="420" w:firstLineChars="200"/>
        <w:rPr>
          <w:rFonts w:ascii="宋体" w:hAnsi="宋体" w:eastAsia="宋体" w:cs="宋体"/>
          <w:color w:val="auto"/>
          <w:highlight w:val="none"/>
        </w:rPr>
      </w:pPr>
      <w:r>
        <w:rPr>
          <w:rFonts w:hint="eastAsia" w:ascii="宋体" w:hAnsi="宋体" w:eastAsia="宋体" w:cs="宋体"/>
          <w:color w:val="auto"/>
          <w:highlight w:val="none"/>
        </w:rPr>
        <w:t>本合同一式</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份，均具有同等法律效力，发包人执</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份，承包人执</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份。</w:t>
      </w:r>
    </w:p>
    <w:p w14:paraId="77AE4A37">
      <w:pPr>
        <w:spacing w:line="360" w:lineRule="auto"/>
        <w:rPr>
          <w:rFonts w:ascii="宋体" w:hAnsi="宋体" w:eastAsia="宋体" w:cs="宋体"/>
          <w:color w:val="auto"/>
          <w:highlight w:val="none"/>
        </w:rPr>
      </w:pPr>
    </w:p>
    <w:p w14:paraId="3250BFFE">
      <w:pPr>
        <w:spacing w:line="360" w:lineRule="auto"/>
        <w:rPr>
          <w:rFonts w:ascii="宋体" w:hAnsi="宋体" w:eastAsia="宋体" w:cs="宋体"/>
          <w:color w:val="auto"/>
          <w:highlight w:val="none"/>
        </w:rPr>
      </w:pPr>
    </w:p>
    <w:p w14:paraId="6D75FFFE">
      <w:pPr>
        <w:spacing w:line="360" w:lineRule="auto"/>
        <w:rPr>
          <w:rFonts w:ascii="宋体" w:hAnsi="宋体" w:eastAsia="宋体" w:cs="宋体"/>
          <w:color w:val="auto"/>
          <w:highlight w:val="none"/>
        </w:rPr>
      </w:pPr>
      <w:r>
        <w:rPr>
          <w:rFonts w:hint="eastAsia" w:ascii="宋体" w:hAnsi="宋体" w:eastAsia="宋体" w:cs="宋体"/>
          <w:color w:val="auto"/>
          <w:highlight w:val="none"/>
        </w:rPr>
        <w:t>发包人：  （公章）                              承包人：  （公章）</w:t>
      </w:r>
    </w:p>
    <w:p w14:paraId="453219C6">
      <w:pPr>
        <w:spacing w:line="360" w:lineRule="auto"/>
        <w:rPr>
          <w:rFonts w:ascii="宋体" w:hAnsi="宋体" w:eastAsia="宋体" w:cs="宋体"/>
          <w:color w:val="auto"/>
          <w:highlight w:val="none"/>
          <w:u w:val="single"/>
        </w:rPr>
      </w:pPr>
      <w:r>
        <w:rPr>
          <w:rFonts w:hint="eastAsia" w:ascii="宋体" w:hAnsi="宋体" w:eastAsia="宋体" w:cs="宋体"/>
          <w:color w:val="auto"/>
          <w:highlight w:val="none"/>
        </w:rPr>
        <w:t xml:space="preserve">                                 </w:t>
      </w:r>
    </w:p>
    <w:p w14:paraId="322E1A89">
      <w:pPr>
        <w:spacing w:line="360" w:lineRule="auto"/>
        <w:rPr>
          <w:rFonts w:ascii="宋体" w:hAnsi="宋体" w:eastAsia="宋体" w:cs="宋体"/>
          <w:color w:val="auto"/>
          <w:highlight w:val="none"/>
        </w:rPr>
      </w:pPr>
      <w:r>
        <w:rPr>
          <w:rFonts w:hint="eastAsia" w:ascii="宋体" w:hAnsi="宋体" w:eastAsia="宋体" w:cs="宋体"/>
          <w:color w:val="auto"/>
          <w:highlight w:val="none"/>
        </w:rPr>
        <w:t>法定代表人或其委托代理人：                    法定代表人或其委托代理人：</w:t>
      </w:r>
    </w:p>
    <w:p w14:paraId="6B552F9A">
      <w:pPr>
        <w:spacing w:line="360" w:lineRule="auto"/>
        <w:rPr>
          <w:rFonts w:ascii="宋体" w:hAnsi="宋体" w:eastAsia="宋体" w:cs="宋体"/>
          <w:color w:val="auto"/>
          <w:highlight w:val="none"/>
        </w:rPr>
      </w:pPr>
      <w:r>
        <w:rPr>
          <w:rFonts w:hint="eastAsia" w:ascii="宋体" w:hAnsi="宋体" w:eastAsia="宋体" w:cs="宋体"/>
          <w:color w:val="auto"/>
          <w:highlight w:val="none"/>
        </w:rPr>
        <w:t>（签字）                                     （签字）</w:t>
      </w:r>
    </w:p>
    <w:p w14:paraId="4DD4E440">
      <w:pPr>
        <w:spacing w:line="360" w:lineRule="auto"/>
        <w:rPr>
          <w:rFonts w:ascii="宋体" w:hAnsi="宋体" w:eastAsia="宋体" w:cs="宋体"/>
          <w:color w:val="auto"/>
          <w:highlight w:val="none"/>
          <w:u w:val="single"/>
        </w:rPr>
      </w:pPr>
    </w:p>
    <w:p w14:paraId="3180CC91">
      <w:pPr>
        <w:tabs>
          <w:tab w:val="left" w:pos="4410"/>
        </w:tabs>
        <w:spacing w:line="360" w:lineRule="auto"/>
        <w:rPr>
          <w:rFonts w:ascii="宋体" w:hAnsi="宋体" w:eastAsia="宋体" w:cs="宋体"/>
          <w:color w:val="auto"/>
          <w:highlight w:val="none"/>
        </w:rPr>
      </w:pPr>
      <w:r>
        <w:rPr>
          <w:rFonts w:hint="eastAsia" w:ascii="宋体" w:hAnsi="宋体" w:eastAsia="宋体" w:cs="宋体"/>
          <w:color w:val="auto"/>
          <w:highlight w:val="none"/>
        </w:rPr>
        <w:t>统一社会信用代码：</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统一社会信用代码：</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w:t>
      </w:r>
    </w:p>
    <w:p w14:paraId="24286E2F">
      <w:pPr>
        <w:spacing w:line="360" w:lineRule="auto"/>
        <w:rPr>
          <w:rFonts w:ascii="宋体" w:hAnsi="宋体" w:eastAsia="宋体" w:cs="宋体"/>
          <w:color w:val="auto"/>
          <w:highlight w:val="none"/>
        </w:rPr>
      </w:pPr>
      <w:r>
        <w:rPr>
          <w:rFonts w:hint="eastAsia" w:ascii="宋体" w:hAnsi="宋体" w:eastAsia="宋体" w:cs="宋体"/>
          <w:color w:val="auto"/>
          <w:highlight w:val="none"/>
        </w:rPr>
        <w:t>地  址：</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地  址：</w:t>
      </w:r>
      <w:r>
        <w:rPr>
          <w:rFonts w:hint="eastAsia" w:ascii="宋体" w:hAnsi="宋体" w:eastAsia="宋体" w:cs="宋体"/>
          <w:color w:val="auto"/>
          <w:highlight w:val="none"/>
          <w:u w:val="single"/>
        </w:rPr>
        <w:t xml:space="preserve">                            </w:t>
      </w:r>
    </w:p>
    <w:p w14:paraId="7D0B910C">
      <w:pPr>
        <w:spacing w:line="360" w:lineRule="auto"/>
        <w:rPr>
          <w:rFonts w:ascii="宋体" w:hAnsi="宋体" w:eastAsia="宋体" w:cs="宋体"/>
          <w:color w:val="auto"/>
          <w:highlight w:val="none"/>
        </w:rPr>
      </w:pPr>
      <w:r>
        <w:rPr>
          <w:rFonts w:hint="eastAsia" w:ascii="宋体" w:hAnsi="宋体" w:eastAsia="宋体" w:cs="宋体"/>
          <w:color w:val="auto"/>
          <w:highlight w:val="none"/>
        </w:rPr>
        <w:t>邮政编码：</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邮政编码：</w:t>
      </w:r>
      <w:r>
        <w:rPr>
          <w:rFonts w:hint="eastAsia" w:ascii="宋体" w:hAnsi="宋体" w:eastAsia="宋体" w:cs="宋体"/>
          <w:color w:val="auto"/>
          <w:highlight w:val="none"/>
          <w:u w:val="single"/>
        </w:rPr>
        <w:t xml:space="preserve">                          </w:t>
      </w:r>
    </w:p>
    <w:p w14:paraId="6516F18C">
      <w:pPr>
        <w:spacing w:line="360" w:lineRule="auto"/>
        <w:rPr>
          <w:rFonts w:ascii="宋体" w:hAnsi="宋体" w:eastAsia="宋体" w:cs="宋体"/>
          <w:color w:val="auto"/>
          <w:highlight w:val="none"/>
        </w:rPr>
      </w:pPr>
      <w:r>
        <w:rPr>
          <w:rFonts w:hint="eastAsia" w:ascii="宋体" w:hAnsi="宋体" w:eastAsia="宋体" w:cs="宋体"/>
          <w:color w:val="auto"/>
          <w:highlight w:val="none"/>
        </w:rPr>
        <w:t>法定代表人：</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法定代表人：</w:t>
      </w:r>
      <w:r>
        <w:rPr>
          <w:rFonts w:hint="eastAsia" w:ascii="宋体" w:hAnsi="宋体" w:eastAsia="宋体" w:cs="宋体"/>
          <w:color w:val="auto"/>
          <w:highlight w:val="none"/>
          <w:u w:val="single"/>
        </w:rPr>
        <w:t xml:space="preserve">                        </w:t>
      </w:r>
    </w:p>
    <w:p w14:paraId="5712B858">
      <w:pPr>
        <w:spacing w:line="360" w:lineRule="auto"/>
        <w:rPr>
          <w:rFonts w:ascii="宋体" w:hAnsi="宋体" w:eastAsia="宋体" w:cs="宋体"/>
          <w:color w:val="auto"/>
          <w:highlight w:val="none"/>
        </w:rPr>
      </w:pPr>
      <w:r>
        <w:rPr>
          <w:rFonts w:hint="eastAsia" w:ascii="宋体" w:hAnsi="宋体" w:eastAsia="宋体" w:cs="宋体"/>
          <w:color w:val="auto"/>
          <w:highlight w:val="none"/>
        </w:rPr>
        <w:t>委托代理人：</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委托代理人：</w:t>
      </w:r>
      <w:r>
        <w:rPr>
          <w:rFonts w:hint="eastAsia" w:ascii="宋体" w:hAnsi="宋体" w:eastAsia="宋体" w:cs="宋体"/>
          <w:color w:val="auto"/>
          <w:highlight w:val="none"/>
          <w:u w:val="single"/>
        </w:rPr>
        <w:t xml:space="preserve">                         </w:t>
      </w:r>
    </w:p>
    <w:p w14:paraId="20423C5A">
      <w:pPr>
        <w:spacing w:line="360" w:lineRule="auto"/>
        <w:rPr>
          <w:rFonts w:ascii="宋体" w:hAnsi="宋体" w:eastAsia="宋体" w:cs="宋体"/>
          <w:color w:val="auto"/>
          <w:highlight w:val="none"/>
        </w:rPr>
      </w:pPr>
      <w:r>
        <w:rPr>
          <w:rFonts w:hint="eastAsia" w:ascii="宋体" w:hAnsi="宋体" w:eastAsia="宋体" w:cs="宋体"/>
          <w:color w:val="auto"/>
          <w:highlight w:val="none"/>
        </w:rPr>
        <w:t>电  话：</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电  话：</w:t>
      </w:r>
      <w:r>
        <w:rPr>
          <w:rFonts w:hint="eastAsia" w:ascii="宋体" w:hAnsi="宋体" w:eastAsia="宋体" w:cs="宋体"/>
          <w:color w:val="auto"/>
          <w:highlight w:val="none"/>
          <w:u w:val="single"/>
        </w:rPr>
        <w:t xml:space="preserve">                            </w:t>
      </w:r>
    </w:p>
    <w:p w14:paraId="4794D3FF">
      <w:pPr>
        <w:spacing w:line="360" w:lineRule="auto"/>
        <w:rPr>
          <w:rFonts w:ascii="宋体" w:hAnsi="宋体" w:eastAsia="宋体" w:cs="宋体"/>
          <w:color w:val="auto"/>
          <w:highlight w:val="none"/>
        </w:rPr>
      </w:pPr>
      <w:r>
        <w:rPr>
          <w:rFonts w:hint="eastAsia" w:ascii="宋体" w:hAnsi="宋体" w:eastAsia="宋体" w:cs="宋体"/>
          <w:color w:val="auto"/>
          <w:highlight w:val="none"/>
        </w:rPr>
        <w:t>传  真：</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传  真：</w:t>
      </w:r>
      <w:r>
        <w:rPr>
          <w:rFonts w:hint="eastAsia" w:ascii="宋体" w:hAnsi="宋体" w:eastAsia="宋体" w:cs="宋体"/>
          <w:color w:val="auto"/>
          <w:highlight w:val="none"/>
          <w:u w:val="single"/>
        </w:rPr>
        <w:t xml:space="preserve">                             </w:t>
      </w:r>
    </w:p>
    <w:p w14:paraId="57ADD3FC">
      <w:pPr>
        <w:spacing w:line="360" w:lineRule="auto"/>
        <w:rPr>
          <w:rFonts w:ascii="宋体" w:hAnsi="宋体" w:eastAsia="宋体" w:cs="宋体"/>
          <w:color w:val="auto"/>
          <w:highlight w:val="none"/>
        </w:rPr>
      </w:pPr>
      <w:r>
        <w:rPr>
          <w:rFonts w:hint="eastAsia" w:ascii="宋体" w:hAnsi="宋体" w:eastAsia="宋体" w:cs="宋体"/>
          <w:color w:val="auto"/>
          <w:highlight w:val="none"/>
        </w:rPr>
        <w:t>电子信箱：</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电子信箱：</w:t>
      </w:r>
      <w:r>
        <w:rPr>
          <w:rFonts w:hint="eastAsia" w:ascii="宋体" w:hAnsi="宋体" w:eastAsia="宋体" w:cs="宋体"/>
          <w:color w:val="auto"/>
          <w:highlight w:val="none"/>
          <w:u w:val="single"/>
        </w:rPr>
        <w:t xml:space="preserve">                         </w:t>
      </w:r>
    </w:p>
    <w:p w14:paraId="03D39B2A">
      <w:pPr>
        <w:spacing w:line="360" w:lineRule="auto"/>
        <w:rPr>
          <w:rFonts w:ascii="宋体" w:hAnsi="宋体" w:eastAsia="宋体" w:cs="宋体"/>
          <w:color w:val="auto"/>
          <w:highlight w:val="none"/>
        </w:rPr>
      </w:pPr>
      <w:r>
        <w:rPr>
          <w:rFonts w:hint="eastAsia" w:ascii="宋体" w:hAnsi="宋体" w:eastAsia="宋体" w:cs="宋体"/>
          <w:color w:val="auto"/>
          <w:highlight w:val="none"/>
        </w:rPr>
        <w:t>开户银行：</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开户银行：</w:t>
      </w:r>
      <w:r>
        <w:rPr>
          <w:rFonts w:hint="eastAsia" w:ascii="宋体" w:hAnsi="宋体" w:eastAsia="宋体" w:cs="宋体"/>
          <w:color w:val="auto"/>
          <w:highlight w:val="none"/>
          <w:u w:val="single"/>
        </w:rPr>
        <w:t xml:space="preserve">                         </w:t>
      </w:r>
    </w:p>
    <w:p w14:paraId="0748B2FC">
      <w:pPr>
        <w:rPr>
          <w:rFonts w:ascii="宋体" w:hAnsi="宋体" w:eastAsia="宋体" w:cs="宋体"/>
          <w:color w:val="auto"/>
          <w:highlight w:val="none"/>
          <w:u w:val="single"/>
        </w:rPr>
      </w:pPr>
      <w:r>
        <w:rPr>
          <w:rFonts w:hint="eastAsia" w:ascii="宋体" w:hAnsi="宋体" w:eastAsia="宋体" w:cs="宋体"/>
          <w:color w:val="auto"/>
          <w:highlight w:val="none"/>
        </w:rPr>
        <w:t>账  号：</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账  号：</w:t>
      </w:r>
      <w:r>
        <w:rPr>
          <w:rFonts w:hint="eastAsia" w:ascii="宋体" w:hAnsi="宋体" w:eastAsia="宋体" w:cs="宋体"/>
          <w:color w:val="auto"/>
          <w:highlight w:val="none"/>
          <w:u w:val="single"/>
        </w:rPr>
        <w:t xml:space="preserve">                           </w:t>
      </w:r>
    </w:p>
    <w:p w14:paraId="7A240022">
      <w:pPr>
        <w:widowControl/>
        <w:jc w:val="left"/>
        <w:rPr>
          <w:rFonts w:ascii="宋体" w:hAnsi="宋体" w:eastAsia="宋体" w:cs="宋体"/>
          <w:color w:val="auto"/>
          <w:highlight w:val="none"/>
          <w:u w:val="single"/>
        </w:rPr>
      </w:pPr>
      <w:r>
        <w:rPr>
          <w:rFonts w:hint="eastAsia" w:ascii="宋体" w:hAnsi="宋体" w:eastAsia="宋体" w:cs="宋体"/>
          <w:color w:val="auto"/>
          <w:highlight w:val="none"/>
        </w:rPr>
        <w:br w:type="page"/>
      </w:r>
    </w:p>
    <w:p w14:paraId="6FAF2AEF">
      <w:pPr>
        <w:pStyle w:val="4"/>
        <w:jc w:val="center"/>
        <w:rPr>
          <w:rFonts w:ascii="宋体" w:hAnsi="宋体" w:eastAsia="宋体" w:cs="宋体"/>
          <w:b w:val="0"/>
          <w:color w:val="auto"/>
          <w:sz w:val="28"/>
          <w:szCs w:val="28"/>
          <w:highlight w:val="none"/>
        </w:rPr>
      </w:pPr>
      <w:bookmarkStart w:id="107" w:name="_Toc12609347"/>
      <w:bookmarkStart w:id="108" w:name="_Toc407135192"/>
      <w:bookmarkStart w:id="109" w:name="_Toc389065256"/>
      <w:bookmarkStart w:id="110" w:name="_Toc351203632"/>
      <w:bookmarkStart w:id="111" w:name="_Toc373478338"/>
      <w:bookmarkStart w:id="112" w:name="_Toc373227691"/>
      <w:r>
        <w:rPr>
          <w:rFonts w:hint="eastAsia" w:ascii="宋体" w:hAnsi="宋体" w:eastAsia="宋体" w:cs="宋体"/>
          <w:b w:val="0"/>
          <w:color w:val="auto"/>
          <w:sz w:val="28"/>
          <w:szCs w:val="28"/>
          <w:highlight w:val="none"/>
        </w:rPr>
        <w:t>第二部分 通用合同条款</w:t>
      </w:r>
      <w:bookmarkEnd w:id="107"/>
      <w:bookmarkEnd w:id="108"/>
      <w:bookmarkEnd w:id="109"/>
    </w:p>
    <w:p w14:paraId="3A4670F3">
      <w:pPr>
        <w:jc w:val="center"/>
        <w:rPr>
          <w:rFonts w:ascii="宋体" w:hAnsi="宋体" w:eastAsia="宋体" w:cs="宋体"/>
          <w:b/>
          <w:color w:val="auto"/>
          <w:sz w:val="28"/>
          <w:szCs w:val="28"/>
          <w:highlight w:val="none"/>
        </w:rPr>
      </w:pPr>
      <w:bookmarkStart w:id="113" w:name="_Toc389065257"/>
      <w:bookmarkStart w:id="114" w:name="_Toc12609348"/>
      <w:bookmarkStart w:id="115" w:name="_Toc407135193"/>
    </w:p>
    <w:p w14:paraId="393B8467">
      <w:pPr>
        <w:jc w:val="center"/>
        <w:rPr>
          <w:rFonts w:ascii="宋体" w:hAnsi="宋体" w:eastAsia="宋体" w:cs="宋体"/>
          <w:b/>
          <w:color w:val="auto"/>
          <w:sz w:val="28"/>
          <w:szCs w:val="28"/>
          <w:highlight w:val="none"/>
        </w:rPr>
      </w:pPr>
      <w:r>
        <w:rPr>
          <w:rFonts w:hint="eastAsia" w:ascii="宋体" w:hAnsi="宋体" w:eastAsia="宋体" w:cs="宋体"/>
          <w:b/>
          <w:color w:val="auto"/>
          <w:sz w:val="28"/>
          <w:szCs w:val="28"/>
          <w:highlight w:val="none"/>
        </w:rPr>
        <w:t>采用《建设工程施工合同（示范文本）》（GF—2017—0201）。</w:t>
      </w:r>
    </w:p>
    <w:p w14:paraId="5D60FF48">
      <w:pPr>
        <w:pStyle w:val="4"/>
        <w:jc w:val="center"/>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br w:type="page"/>
      </w:r>
      <w:bookmarkEnd w:id="110"/>
      <w:bookmarkEnd w:id="111"/>
      <w:bookmarkEnd w:id="112"/>
      <w:bookmarkEnd w:id="113"/>
      <w:bookmarkEnd w:id="114"/>
      <w:bookmarkEnd w:id="115"/>
      <w:bookmarkStart w:id="116" w:name="_Toc704444909"/>
      <w:bookmarkStart w:id="117" w:name="_Toc1204138598"/>
      <w:bookmarkStart w:id="118" w:name="_Toc78449779"/>
      <w:bookmarkStart w:id="119" w:name="_Toc1013968286"/>
      <w:bookmarkStart w:id="120" w:name="_Toc407135194"/>
      <w:bookmarkStart w:id="121" w:name="_Toc373478339"/>
      <w:bookmarkStart w:id="122" w:name="_Toc389065258"/>
      <w:bookmarkStart w:id="123" w:name="_Toc373227692"/>
      <w:bookmarkStart w:id="124" w:name="_Toc351203633"/>
      <w:bookmarkStart w:id="125" w:name="_Toc78449780"/>
      <w:bookmarkStart w:id="126" w:name="_Toc1516097295"/>
      <w:r>
        <w:rPr>
          <w:rFonts w:hint="eastAsia" w:ascii="宋体" w:hAnsi="宋体" w:eastAsia="宋体" w:cs="宋体"/>
          <w:b w:val="0"/>
          <w:color w:val="auto"/>
          <w:sz w:val="28"/>
          <w:szCs w:val="28"/>
          <w:highlight w:val="none"/>
        </w:rPr>
        <w:t>第三部分 专用合同条款</w:t>
      </w:r>
      <w:bookmarkEnd w:id="116"/>
      <w:bookmarkEnd w:id="117"/>
      <w:bookmarkEnd w:id="118"/>
    </w:p>
    <w:bookmarkEnd w:id="119"/>
    <w:bookmarkEnd w:id="120"/>
    <w:bookmarkEnd w:id="121"/>
    <w:bookmarkEnd w:id="122"/>
    <w:bookmarkEnd w:id="123"/>
    <w:bookmarkEnd w:id="124"/>
    <w:bookmarkEnd w:id="125"/>
    <w:bookmarkEnd w:id="126"/>
    <w:p w14:paraId="6A33EAFA">
      <w:pPr>
        <w:pStyle w:val="5"/>
        <w:spacing w:before="0" w:after="0" w:line="420" w:lineRule="exact"/>
        <w:rPr>
          <w:rFonts w:ascii="宋体" w:hAnsi="宋体" w:eastAsia="宋体" w:cs="宋体"/>
          <w:color w:val="auto"/>
          <w:sz w:val="24"/>
          <w:szCs w:val="24"/>
          <w:highlight w:val="none"/>
        </w:rPr>
      </w:pPr>
      <w:bookmarkStart w:id="127" w:name="_Toc12609349"/>
      <w:bookmarkStart w:id="128" w:name="_Toc267251510"/>
      <w:bookmarkStart w:id="129" w:name="_Toc267251511"/>
      <w:bookmarkStart w:id="130" w:name="_Toc267251509"/>
      <w:bookmarkStart w:id="131" w:name="_Toc267251513"/>
      <w:bookmarkStart w:id="132" w:name="_Toc267251515"/>
      <w:bookmarkStart w:id="133" w:name="_Toc267251514"/>
      <w:r>
        <w:rPr>
          <w:rFonts w:hint="eastAsia" w:ascii="宋体" w:hAnsi="宋体" w:eastAsia="宋体" w:cs="宋体"/>
          <w:color w:val="auto"/>
          <w:sz w:val="24"/>
          <w:szCs w:val="24"/>
          <w:highlight w:val="none"/>
        </w:rPr>
        <w:t>1</w:t>
      </w:r>
      <w:bookmarkStart w:id="134" w:name="_Toc296891196"/>
      <w:bookmarkStart w:id="135" w:name="_Toc292559361"/>
      <w:bookmarkStart w:id="136" w:name="_Toc296944495"/>
      <w:bookmarkStart w:id="137" w:name="_Toc297120456"/>
      <w:bookmarkStart w:id="138" w:name="_Toc296503156"/>
      <w:bookmarkStart w:id="139" w:name="_Toc292559866"/>
      <w:bookmarkStart w:id="140" w:name="_Toc297048342"/>
      <w:bookmarkStart w:id="141" w:name="_Toc296347155"/>
      <w:bookmarkStart w:id="142" w:name="_Toc296346657"/>
      <w:bookmarkStart w:id="143" w:name="_Toc296890984"/>
      <w:r>
        <w:rPr>
          <w:rFonts w:hint="eastAsia" w:ascii="宋体" w:hAnsi="宋体" w:eastAsia="宋体" w:cs="宋体"/>
          <w:color w:val="auto"/>
          <w:sz w:val="24"/>
          <w:szCs w:val="24"/>
          <w:highlight w:val="none"/>
        </w:rPr>
        <w:t>. 一般约定</w:t>
      </w:r>
      <w:bookmarkEnd w:id="127"/>
    </w:p>
    <w:bookmarkEnd w:id="134"/>
    <w:bookmarkEnd w:id="135"/>
    <w:bookmarkEnd w:id="136"/>
    <w:bookmarkEnd w:id="137"/>
    <w:bookmarkEnd w:id="138"/>
    <w:bookmarkEnd w:id="139"/>
    <w:bookmarkEnd w:id="140"/>
    <w:bookmarkEnd w:id="141"/>
    <w:bookmarkEnd w:id="142"/>
    <w:bookmarkEnd w:id="143"/>
    <w:p w14:paraId="0C96FEB8">
      <w:pPr>
        <w:pStyle w:val="6"/>
        <w:spacing w:before="0" w:after="0" w:line="420" w:lineRule="exact"/>
        <w:rPr>
          <w:rFonts w:ascii="宋体" w:hAnsi="宋体" w:eastAsia="宋体" w:cs="宋体"/>
          <w:color w:val="auto"/>
          <w:sz w:val="24"/>
          <w:szCs w:val="24"/>
          <w:highlight w:val="none"/>
        </w:rPr>
      </w:pPr>
      <w:bookmarkStart w:id="144" w:name="_Toc389065259"/>
      <w:bookmarkStart w:id="145" w:name="_Toc373227693"/>
      <w:bookmarkStart w:id="146" w:name="_Toc373478340"/>
      <w:bookmarkStart w:id="147" w:name="_Toc12609350"/>
      <w:bookmarkStart w:id="148" w:name="_Toc407135195"/>
      <w:r>
        <w:rPr>
          <w:rFonts w:hint="eastAsia" w:ascii="宋体" w:hAnsi="宋体" w:eastAsia="宋体" w:cs="宋体"/>
          <w:color w:val="auto"/>
          <w:sz w:val="24"/>
          <w:szCs w:val="24"/>
          <w:highlight w:val="none"/>
        </w:rPr>
        <w:t>1.1 词语定义</w:t>
      </w:r>
      <w:bookmarkEnd w:id="144"/>
      <w:bookmarkEnd w:id="145"/>
      <w:bookmarkEnd w:id="146"/>
      <w:bookmarkEnd w:id="147"/>
      <w:bookmarkEnd w:id="148"/>
    </w:p>
    <w:p w14:paraId="330508C8">
      <w:pPr>
        <w:spacing w:line="420" w:lineRule="exact"/>
        <w:ind w:firstLine="480" w:firstLineChars="200"/>
        <w:outlineLvl w:val="4"/>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1.1.1 合同</w:t>
      </w:r>
    </w:p>
    <w:p w14:paraId="760F3536">
      <w:pPr>
        <w:spacing w:line="420" w:lineRule="exact"/>
        <w:ind w:firstLine="480" w:firstLineChars="200"/>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1.1.1.10 其他合同文件包括：</w:t>
      </w:r>
      <w:r>
        <w:rPr>
          <w:rStyle w:val="348"/>
          <w:rFonts w:hint="eastAsia" w:ascii="宋体" w:hAnsi="宋体" w:eastAsia="宋体" w:cs="宋体"/>
          <w:color w:val="auto"/>
          <w:kern w:val="0"/>
          <w:sz w:val="24"/>
          <w:highlight w:val="none"/>
          <w:u w:val="single"/>
        </w:rPr>
        <w:t>在合同订立后及</w:t>
      </w:r>
      <w:r>
        <w:rPr>
          <w:rStyle w:val="348"/>
          <w:rFonts w:hint="eastAsia" w:ascii="宋体" w:hAnsi="宋体" w:eastAsia="宋体" w:cs="宋体"/>
          <w:color w:val="auto"/>
          <w:sz w:val="24"/>
          <w:highlight w:val="none"/>
          <w:u w:val="single"/>
        </w:rPr>
        <w:t>履行中，发包人、承包人有关工程的洽商、变更等书面协议或文件视为合同的组成部分</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53944E5A">
      <w:pPr>
        <w:spacing w:line="420" w:lineRule="exact"/>
        <w:ind w:firstLine="480" w:firstLineChars="200"/>
        <w:outlineLvl w:val="4"/>
        <w:rPr>
          <w:rFonts w:ascii="宋体" w:hAnsi="宋体" w:eastAsia="宋体" w:cs="宋体"/>
          <w:color w:val="auto"/>
          <w:sz w:val="24"/>
          <w:highlight w:val="none"/>
        </w:rPr>
      </w:pPr>
      <w:r>
        <w:rPr>
          <w:rFonts w:hint="eastAsia" w:ascii="宋体" w:hAnsi="宋体" w:eastAsia="宋体" w:cs="宋体"/>
          <w:color w:val="auto"/>
          <w:sz w:val="24"/>
          <w:highlight w:val="none"/>
        </w:rPr>
        <w:t>1.1.2 合同当事人及其他相关方</w:t>
      </w:r>
    </w:p>
    <w:p w14:paraId="7E7B02B2">
      <w:pPr>
        <w:spacing w:line="420" w:lineRule="exact"/>
        <w:ind w:firstLine="480" w:firstLineChars="200"/>
        <w:outlineLvl w:val="5"/>
        <w:rPr>
          <w:rFonts w:ascii="宋体" w:hAnsi="宋体" w:eastAsia="宋体" w:cs="宋体"/>
          <w:color w:val="auto"/>
          <w:sz w:val="24"/>
          <w:highlight w:val="none"/>
        </w:rPr>
      </w:pPr>
      <w:r>
        <w:rPr>
          <w:rFonts w:hint="eastAsia" w:ascii="宋体" w:hAnsi="宋体" w:eastAsia="宋体" w:cs="宋体"/>
          <w:color w:val="auto"/>
          <w:sz w:val="24"/>
          <w:highlight w:val="none"/>
        </w:rPr>
        <w:t>1.1.2.4 监理人：</w:t>
      </w:r>
    </w:p>
    <w:p w14:paraId="6BD77F32">
      <w:pPr>
        <w:spacing w:line="42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名    称：</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0141071A">
      <w:pPr>
        <w:spacing w:line="42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资质类别和等级：</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3D257589">
      <w:pPr>
        <w:spacing w:line="42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联系电话：</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1653A7D0">
      <w:pPr>
        <w:spacing w:line="42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电子信箱：</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212947F3">
      <w:pPr>
        <w:spacing w:line="42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通信地址：</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05CCD24F">
      <w:pPr>
        <w:spacing w:line="420" w:lineRule="exact"/>
        <w:ind w:firstLine="480" w:firstLineChars="200"/>
        <w:outlineLvl w:val="5"/>
        <w:rPr>
          <w:rFonts w:ascii="宋体" w:hAnsi="宋体" w:eastAsia="宋体" w:cs="宋体"/>
          <w:color w:val="auto"/>
          <w:sz w:val="24"/>
          <w:highlight w:val="none"/>
        </w:rPr>
      </w:pPr>
      <w:r>
        <w:rPr>
          <w:rFonts w:hint="eastAsia" w:ascii="宋体" w:hAnsi="宋体" w:eastAsia="宋体" w:cs="宋体"/>
          <w:color w:val="auto"/>
          <w:sz w:val="24"/>
          <w:highlight w:val="none"/>
        </w:rPr>
        <w:t>1.1.2.5 设计人：</w:t>
      </w:r>
    </w:p>
    <w:p w14:paraId="7C317A30">
      <w:pPr>
        <w:spacing w:line="42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名    称：</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6B5ED1B1">
      <w:pPr>
        <w:spacing w:line="42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资质类别和等级：</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4E8FE7A4">
      <w:pPr>
        <w:spacing w:line="42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联系电话：</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5C8E74A6">
      <w:pPr>
        <w:spacing w:line="42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电子信箱：</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193ED2C4">
      <w:pPr>
        <w:spacing w:line="42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通信地址：</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5F974905">
      <w:pPr>
        <w:spacing w:line="420" w:lineRule="exact"/>
        <w:ind w:firstLine="480" w:firstLineChars="200"/>
        <w:outlineLvl w:val="4"/>
        <w:rPr>
          <w:rFonts w:ascii="宋体" w:hAnsi="宋体" w:eastAsia="宋体" w:cs="宋体"/>
          <w:color w:val="auto"/>
          <w:sz w:val="24"/>
          <w:highlight w:val="none"/>
        </w:rPr>
      </w:pPr>
      <w:r>
        <w:rPr>
          <w:rFonts w:hint="eastAsia" w:ascii="宋体" w:hAnsi="宋体" w:eastAsia="宋体" w:cs="宋体"/>
          <w:color w:val="auto"/>
          <w:sz w:val="24"/>
          <w:highlight w:val="none"/>
        </w:rPr>
        <w:t>1.1.3 工程和设备</w:t>
      </w:r>
    </w:p>
    <w:p w14:paraId="05D512D3">
      <w:pPr>
        <w:spacing w:line="42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1.1.3.7 作为施工现场组成部分的其他场所包括：</w:t>
      </w:r>
      <w:r>
        <w:rPr>
          <w:rFonts w:hint="eastAsia" w:ascii="宋体" w:hAnsi="宋体" w:eastAsia="宋体" w:cs="宋体"/>
          <w:color w:val="auto"/>
          <w:sz w:val="24"/>
          <w:highlight w:val="none"/>
          <w:u w:val="single"/>
        </w:rPr>
        <w:t xml:space="preserve">符合通用条款规定的发包方提供的施工场地  </w:t>
      </w:r>
      <w:r>
        <w:rPr>
          <w:rFonts w:hint="eastAsia" w:ascii="宋体" w:hAnsi="宋体" w:eastAsia="宋体" w:cs="宋体"/>
          <w:color w:val="auto"/>
          <w:sz w:val="24"/>
          <w:highlight w:val="none"/>
        </w:rPr>
        <w:t>。</w:t>
      </w:r>
    </w:p>
    <w:p w14:paraId="69516254">
      <w:pPr>
        <w:spacing w:line="420" w:lineRule="exact"/>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1.1.3.9 永久占地包括：</w:t>
      </w:r>
      <w:r>
        <w:rPr>
          <w:rFonts w:hint="eastAsia" w:ascii="宋体" w:hAnsi="宋体" w:eastAsia="宋体" w:cs="宋体"/>
          <w:color w:val="auto"/>
          <w:kern w:val="0"/>
          <w:sz w:val="24"/>
          <w:highlight w:val="none"/>
          <w:u w:val="single"/>
        </w:rPr>
        <w:t>采购</w:t>
      </w:r>
      <w:r>
        <w:rPr>
          <w:rFonts w:hint="eastAsia" w:ascii="宋体" w:hAnsi="宋体" w:eastAsia="宋体" w:cs="宋体"/>
          <w:color w:val="auto"/>
          <w:sz w:val="24"/>
          <w:highlight w:val="none"/>
          <w:u w:val="single"/>
        </w:rPr>
        <w:t xml:space="preserve">文件和施工图包含的全部工程内容 </w:t>
      </w:r>
      <w:r>
        <w:rPr>
          <w:rFonts w:hint="eastAsia" w:ascii="宋体" w:hAnsi="宋体" w:eastAsia="宋体" w:cs="宋体"/>
          <w:color w:val="auto"/>
          <w:kern w:val="0"/>
          <w:sz w:val="24"/>
          <w:highlight w:val="none"/>
        </w:rPr>
        <w:t>。</w:t>
      </w:r>
    </w:p>
    <w:p w14:paraId="561C7046">
      <w:pPr>
        <w:spacing w:line="420" w:lineRule="exact"/>
        <w:ind w:firstLine="480" w:firstLineChars="200"/>
        <w:jc w:val="left"/>
        <w:rPr>
          <w:rFonts w:ascii="宋体" w:hAnsi="宋体" w:eastAsia="宋体" w:cs="宋体"/>
          <w:color w:val="auto"/>
          <w:sz w:val="24"/>
          <w:highlight w:val="none"/>
        </w:rPr>
      </w:pPr>
      <w:r>
        <w:rPr>
          <w:rFonts w:hint="eastAsia" w:ascii="宋体" w:hAnsi="宋体" w:eastAsia="宋体" w:cs="宋体"/>
          <w:color w:val="auto"/>
          <w:kern w:val="0"/>
          <w:sz w:val="24"/>
          <w:highlight w:val="none"/>
        </w:rPr>
        <w:t>1.1.3.10 临时占地包括：</w:t>
      </w:r>
      <w:r>
        <w:rPr>
          <w:rFonts w:hint="eastAsia" w:ascii="宋体" w:hAnsi="宋体" w:eastAsia="宋体" w:cs="宋体"/>
          <w:color w:val="auto"/>
          <w:kern w:val="0"/>
          <w:sz w:val="24"/>
          <w:highlight w:val="none"/>
          <w:u w:val="single"/>
        </w:rPr>
        <w:t>采购</w:t>
      </w:r>
      <w:r>
        <w:rPr>
          <w:rFonts w:hint="eastAsia" w:ascii="宋体" w:hAnsi="宋体" w:eastAsia="宋体" w:cs="宋体"/>
          <w:color w:val="auto"/>
          <w:sz w:val="24"/>
          <w:highlight w:val="none"/>
          <w:u w:val="single"/>
        </w:rPr>
        <w:t xml:space="preserve">文件和施工图包含的全部工程内容 </w:t>
      </w:r>
      <w:r>
        <w:rPr>
          <w:rFonts w:hint="eastAsia" w:ascii="宋体" w:hAnsi="宋体" w:eastAsia="宋体" w:cs="宋体"/>
          <w:color w:val="auto"/>
          <w:kern w:val="0"/>
          <w:sz w:val="24"/>
          <w:highlight w:val="none"/>
        </w:rPr>
        <w:t>。</w:t>
      </w:r>
    </w:p>
    <w:p w14:paraId="61BF8FDF">
      <w:pPr>
        <w:pStyle w:val="6"/>
        <w:spacing w:before="0" w:after="0" w:line="420" w:lineRule="exact"/>
        <w:rPr>
          <w:rFonts w:ascii="宋体" w:hAnsi="宋体" w:eastAsia="宋体" w:cs="宋体"/>
          <w:color w:val="auto"/>
          <w:sz w:val="24"/>
          <w:szCs w:val="24"/>
          <w:highlight w:val="none"/>
        </w:rPr>
      </w:pPr>
      <w:bookmarkStart w:id="149" w:name="_Toc389065260"/>
      <w:bookmarkStart w:id="150" w:name="_Toc373478341"/>
      <w:bookmarkStart w:id="151" w:name="_Toc407135196"/>
      <w:bookmarkStart w:id="152" w:name="_Toc373227694"/>
      <w:bookmarkStart w:id="153" w:name="_Toc12609351"/>
      <w:r>
        <w:rPr>
          <w:rFonts w:hint="eastAsia" w:ascii="宋体" w:hAnsi="宋体" w:eastAsia="宋体" w:cs="宋体"/>
          <w:color w:val="auto"/>
          <w:sz w:val="24"/>
          <w:szCs w:val="24"/>
          <w:highlight w:val="none"/>
        </w:rPr>
        <w:t>1.3 法律</w:t>
      </w:r>
      <w:bookmarkEnd w:id="149"/>
      <w:bookmarkEnd w:id="150"/>
      <w:bookmarkEnd w:id="151"/>
      <w:bookmarkEnd w:id="152"/>
      <w:bookmarkEnd w:id="153"/>
    </w:p>
    <w:p w14:paraId="6BE5C26D">
      <w:pPr>
        <w:spacing w:line="42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适用于合同的其他规范性文件：</w:t>
      </w:r>
      <w:r>
        <w:rPr>
          <w:rStyle w:val="348"/>
          <w:rFonts w:hint="eastAsia" w:ascii="宋体" w:hAnsi="宋体" w:eastAsia="宋体" w:cs="宋体"/>
          <w:color w:val="auto"/>
          <w:sz w:val="24"/>
          <w:highlight w:val="none"/>
          <w:u w:val="single"/>
        </w:rPr>
        <w:t>《中华人民共和国民法典》、《中华人民共和国建筑法》及现行的国家法律和行政法规和部门规章，工程所在地的有关法规和规章及规范性文件</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0C4828D5">
      <w:pPr>
        <w:pStyle w:val="6"/>
        <w:spacing w:before="0" w:after="0" w:line="420" w:lineRule="exact"/>
        <w:rPr>
          <w:rFonts w:ascii="宋体" w:hAnsi="宋体" w:eastAsia="宋体" w:cs="宋体"/>
          <w:color w:val="auto"/>
          <w:sz w:val="24"/>
          <w:szCs w:val="24"/>
          <w:highlight w:val="none"/>
        </w:rPr>
      </w:pPr>
      <w:bookmarkStart w:id="154" w:name="_Toc407135197"/>
      <w:bookmarkStart w:id="155" w:name="_Toc12609352"/>
      <w:bookmarkStart w:id="156" w:name="_Toc373227695"/>
      <w:bookmarkStart w:id="157" w:name="_Toc373478342"/>
      <w:bookmarkStart w:id="158" w:name="_Toc389065261"/>
      <w:r>
        <w:rPr>
          <w:rFonts w:hint="eastAsia" w:ascii="宋体" w:hAnsi="宋体" w:eastAsia="宋体" w:cs="宋体"/>
          <w:color w:val="auto"/>
          <w:sz w:val="24"/>
          <w:szCs w:val="24"/>
          <w:highlight w:val="none"/>
        </w:rPr>
        <w:t>1.4 标准和规范</w:t>
      </w:r>
      <w:bookmarkEnd w:id="154"/>
      <w:bookmarkEnd w:id="155"/>
      <w:bookmarkEnd w:id="156"/>
      <w:bookmarkEnd w:id="157"/>
      <w:bookmarkEnd w:id="158"/>
    </w:p>
    <w:p w14:paraId="0B21047C">
      <w:pPr>
        <w:spacing w:line="42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1.4.1 适用于工程的标准规范包括：</w:t>
      </w:r>
      <w:r>
        <w:rPr>
          <w:rFonts w:hint="eastAsia" w:ascii="宋体" w:hAnsi="宋体" w:eastAsia="宋体" w:cs="宋体"/>
          <w:color w:val="auto"/>
          <w:sz w:val="24"/>
          <w:highlight w:val="none"/>
          <w:u w:val="single"/>
        </w:rPr>
        <w:t xml:space="preserve"> </w:t>
      </w:r>
      <w:r>
        <w:rPr>
          <w:rStyle w:val="348"/>
          <w:rFonts w:hint="eastAsia" w:ascii="宋体" w:hAnsi="宋体" w:eastAsia="宋体" w:cs="宋体"/>
          <w:b/>
          <w:bCs/>
          <w:color w:val="auto"/>
          <w:sz w:val="24"/>
          <w:highlight w:val="none"/>
          <w:u w:val="single"/>
        </w:rPr>
        <w:t xml:space="preserve">执行国家、行业和地方颁布的所有现行建筑工程及相关现行工程验收规范、质量检验评定标准 </w:t>
      </w:r>
      <w:r>
        <w:rPr>
          <w:rStyle w:val="348"/>
          <w:rFonts w:hint="eastAsia" w:ascii="宋体" w:hAnsi="宋体" w:eastAsia="宋体" w:cs="宋体"/>
          <w:color w:val="auto"/>
          <w:sz w:val="24"/>
          <w:highlight w:val="none"/>
        </w:rPr>
        <w:t>；</w:t>
      </w:r>
      <w:r>
        <w:rPr>
          <w:rStyle w:val="348"/>
          <w:rFonts w:hint="eastAsia" w:ascii="宋体" w:hAnsi="宋体" w:eastAsia="宋体" w:cs="宋体"/>
          <w:b/>
          <w:bCs/>
          <w:color w:val="auto"/>
          <w:sz w:val="24"/>
          <w:highlight w:val="none"/>
          <w:u w:val="single"/>
        </w:rPr>
        <w:t>若上述标准和规范作出修改时，则以修订后的新标准和规范为准，有冲突的则以比较严格的为准</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2BE4E7E8">
      <w:pPr>
        <w:spacing w:line="420" w:lineRule="exact"/>
        <w:ind w:firstLine="480" w:firstLineChars="200"/>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1.4.2 发包人提供国外标准、规范的名称：</w:t>
      </w:r>
      <w:r>
        <w:rPr>
          <w:rFonts w:hint="eastAsia" w:ascii="宋体" w:hAnsi="宋体" w:eastAsia="宋体" w:cs="宋体"/>
          <w:color w:val="auto"/>
          <w:kern w:val="0"/>
          <w:sz w:val="24"/>
          <w:highlight w:val="none"/>
          <w:u w:val="single"/>
        </w:rPr>
        <w:t xml:space="preserve">   无         </w:t>
      </w:r>
      <w:r>
        <w:rPr>
          <w:rFonts w:hint="eastAsia" w:ascii="宋体" w:hAnsi="宋体" w:eastAsia="宋体" w:cs="宋体"/>
          <w:color w:val="auto"/>
          <w:kern w:val="0"/>
          <w:sz w:val="24"/>
          <w:highlight w:val="none"/>
        </w:rPr>
        <w:t>；</w:t>
      </w:r>
    </w:p>
    <w:p w14:paraId="53DA3D6E">
      <w:pPr>
        <w:spacing w:line="420" w:lineRule="exact"/>
        <w:ind w:firstLine="480" w:firstLineChars="200"/>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发包人提供国外标准、规范的份数：</w:t>
      </w:r>
      <w:r>
        <w:rPr>
          <w:rFonts w:hint="eastAsia" w:ascii="宋体" w:hAnsi="宋体" w:eastAsia="宋体" w:cs="宋体"/>
          <w:color w:val="auto"/>
          <w:kern w:val="0"/>
          <w:sz w:val="24"/>
          <w:highlight w:val="none"/>
          <w:u w:val="single"/>
        </w:rPr>
        <w:t xml:space="preserve">    无        </w:t>
      </w:r>
      <w:r>
        <w:rPr>
          <w:rFonts w:hint="eastAsia" w:ascii="宋体" w:hAnsi="宋体" w:eastAsia="宋体" w:cs="宋体"/>
          <w:color w:val="auto"/>
          <w:kern w:val="0"/>
          <w:sz w:val="24"/>
          <w:highlight w:val="none"/>
        </w:rPr>
        <w:t>；</w:t>
      </w:r>
    </w:p>
    <w:p w14:paraId="00ADCDB2">
      <w:pPr>
        <w:spacing w:line="420" w:lineRule="exact"/>
        <w:ind w:firstLine="480" w:firstLineChars="200"/>
        <w:rPr>
          <w:rFonts w:ascii="宋体" w:hAnsi="宋体" w:eastAsia="宋体" w:cs="宋体"/>
          <w:color w:val="auto"/>
          <w:sz w:val="24"/>
          <w:highlight w:val="none"/>
        </w:rPr>
      </w:pPr>
      <w:r>
        <w:rPr>
          <w:rFonts w:hint="eastAsia" w:ascii="宋体" w:hAnsi="宋体" w:eastAsia="宋体" w:cs="宋体"/>
          <w:color w:val="auto"/>
          <w:kern w:val="0"/>
          <w:sz w:val="24"/>
          <w:highlight w:val="none"/>
        </w:rPr>
        <w:t>发包人提供国外标准、规范的名称：</w:t>
      </w:r>
      <w:r>
        <w:rPr>
          <w:rFonts w:hint="eastAsia" w:ascii="宋体" w:hAnsi="宋体" w:eastAsia="宋体" w:cs="宋体"/>
          <w:color w:val="auto"/>
          <w:kern w:val="0"/>
          <w:sz w:val="24"/>
          <w:highlight w:val="none"/>
          <w:u w:val="single"/>
        </w:rPr>
        <w:t xml:space="preserve">   无        </w:t>
      </w:r>
      <w:r>
        <w:rPr>
          <w:rFonts w:hint="eastAsia" w:ascii="宋体" w:hAnsi="宋体" w:eastAsia="宋体" w:cs="宋体"/>
          <w:color w:val="auto"/>
          <w:kern w:val="0"/>
          <w:sz w:val="24"/>
          <w:highlight w:val="none"/>
        </w:rPr>
        <w:t>。</w:t>
      </w:r>
    </w:p>
    <w:p w14:paraId="49C5507F">
      <w:pPr>
        <w:spacing w:line="42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1.4.3 发包人对工程的技术标准和功能要求的特殊要求：</w:t>
      </w:r>
      <w:r>
        <w:rPr>
          <w:rFonts w:hint="eastAsia" w:ascii="宋体" w:hAnsi="宋体" w:eastAsia="宋体" w:cs="宋体"/>
          <w:color w:val="auto"/>
          <w:kern w:val="0"/>
          <w:sz w:val="24"/>
          <w:highlight w:val="none"/>
          <w:u w:val="single"/>
        </w:rPr>
        <w:t xml:space="preserve">  无    </w:t>
      </w:r>
      <w:r>
        <w:rPr>
          <w:rFonts w:hint="eastAsia" w:ascii="宋体" w:hAnsi="宋体" w:eastAsia="宋体" w:cs="宋体"/>
          <w:color w:val="auto"/>
          <w:kern w:val="0"/>
          <w:sz w:val="24"/>
          <w:highlight w:val="none"/>
        </w:rPr>
        <w:t>。</w:t>
      </w:r>
    </w:p>
    <w:p w14:paraId="3F9A3111">
      <w:pPr>
        <w:pStyle w:val="6"/>
        <w:spacing w:before="0" w:after="0" w:line="420" w:lineRule="exact"/>
        <w:rPr>
          <w:rFonts w:ascii="宋体" w:hAnsi="宋体" w:eastAsia="宋体" w:cs="宋体"/>
          <w:color w:val="auto"/>
          <w:sz w:val="24"/>
          <w:szCs w:val="24"/>
          <w:highlight w:val="none"/>
        </w:rPr>
      </w:pPr>
      <w:bookmarkStart w:id="159" w:name="_Toc12609353"/>
      <w:bookmarkStart w:id="160" w:name="_Toc389065262"/>
      <w:bookmarkStart w:id="161" w:name="_Toc373227696"/>
      <w:bookmarkStart w:id="162" w:name="_Toc407135198"/>
      <w:bookmarkStart w:id="163" w:name="_Toc373478343"/>
      <w:r>
        <w:rPr>
          <w:rFonts w:hint="eastAsia" w:ascii="宋体" w:hAnsi="宋体" w:eastAsia="宋体" w:cs="宋体"/>
          <w:color w:val="auto"/>
          <w:sz w:val="24"/>
          <w:szCs w:val="24"/>
          <w:highlight w:val="none"/>
        </w:rPr>
        <w:t>1.5 合同文件的优先顺序</w:t>
      </w:r>
      <w:bookmarkEnd w:id="159"/>
      <w:bookmarkEnd w:id="160"/>
      <w:bookmarkEnd w:id="161"/>
      <w:bookmarkEnd w:id="162"/>
      <w:bookmarkEnd w:id="163"/>
    </w:p>
    <w:p w14:paraId="21F46491">
      <w:pPr>
        <w:spacing w:line="42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合同文件组成及优先顺序为：</w:t>
      </w:r>
    </w:p>
    <w:p w14:paraId="6660C6FF">
      <w:pPr>
        <w:spacing w:line="420" w:lineRule="exact"/>
        <w:ind w:firstLine="480" w:firstLineChars="200"/>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（1）合同协议书；</w:t>
      </w:r>
    </w:p>
    <w:p w14:paraId="6D0DC286">
      <w:pPr>
        <w:spacing w:line="420" w:lineRule="exact"/>
        <w:ind w:firstLine="480" w:firstLineChars="200"/>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（2）成交通知书；</w:t>
      </w:r>
    </w:p>
    <w:p w14:paraId="35351076">
      <w:pPr>
        <w:spacing w:line="420" w:lineRule="exact"/>
        <w:ind w:firstLine="480" w:firstLineChars="200"/>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（3）响应函；</w:t>
      </w:r>
    </w:p>
    <w:p w14:paraId="220F6C60">
      <w:pPr>
        <w:spacing w:line="420" w:lineRule="exact"/>
        <w:ind w:firstLine="480" w:firstLineChars="200"/>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（4）专用合同条款及其附件；</w:t>
      </w:r>
    </w:p>
    <w:p w14:paraId="60E514B4">
      <w:pPr>
        <w:spacing w:line="420" w:lineRule="exact"/>
        <w:ind w:firstLine="480" w:firstLineChars="200"/>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（5）通用合同条款；</w:t>
      </w:r>
    </w:p>
    <w:p w14:paraId="4AFEFC23">
      <w:pPr>
        <w:spacing w:line="420" w:lineRule="exact"/>
        <w:ind w:firstLine="480" w:firstLineChars="200"/>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（6）</w:t>
      </w:r>
      <w:r>
        <w:rPr>
          <w:rStyle w:val="348"/>
          <w:rFonts w:hint="eastAsia" w:ascii="宋体" w:hAnsi="宋体" w:eastAsia="宋体" w:cs="宋体"/>
          <w:color w:val="auto"/>
          <w:kern w:val="0"/>
          <w:sz w:val="24"/>
          <w:highlight w:val="none"/>
        </w:rPr>
        <w:t>技术标准和要求</w:t>
      </w:r>
      <w:r>
        <w:rPr>
          <w:rFonts w:hint="eastAsia" w:ascii="宋体" w:hAnsi="宋体" w:eastAsia="宋体" w:cs="宋体"/>
          <w:color w:val="auto"/>
          <w:sz w:val="24"/>
          <w:highlight w:val="none"/>
        </w:rPr>
        <w:t>；</w:t>
      </w:r>
    </w:p>
    <w:p w14:paraId="1659DB66">
      <w:pPr>
        <w:spacing w:line="420" w:lineRule="exact"/>
        <w:ind w:firstLine="480" w:firstLineChars="200"/>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（7）</w:t>
      </w:r>
      <w:r>
        <w:rPr>
          <w:rFonts w:hint="eastAsia" w:ascii="宋体" w:hAnsi="宋体" w:eastAsia="宋体" w:cs="宋体"/>
          <w:color w:val="auto"/>
          <w:sz w:val="24"/>
          <w:highlight w:val="none"/>
        </w:rPr>
        <w:t>图纸；</w:t>
      </w:r>
    </w:p>
    <w:p w14:paraId="4ED4C0F9">
      <w:pPr>
        <w:spacing w:line="420" w:lineRule="exact"/>
        <w:ind w:firstLine="480" w:firstLineChars="200"/>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（8）</w:t>
      </w:r>
      <w:r>
        <w:rPr>
          <w:rFonts w:hint="eastAsia" w:ascii="宋体" w:hAnsi="宋体" w:eastAsia="宋体" w:cs="宋体"/>
          <w:color w:val="auto"/>
          <w:sz w:val="24"/>
          <w:highlight w:val="none"/>
          <w:lang w:val="zh-CN"/>
        </w:rPr>
        <w:t>工程量清单</w:t>
      </w:r>
      <w:r>
        <w:rPr>
          <w:rFonts w:hint="eastAsia" w:ascii="宋体" w:hAnsi="宋体" w:eastAsia="宋体" w:cs="宋体"/>
          <w:color w:val="auto"/>
          <w:sz w:val="24"/>
          <w:highlight w:val="none"/>
        </w:rPr>
        <w:t>；</w:t>
      </w:r>
    </w:p>
    <w:p w14:paraId="74298E7A">
      <w:pPr>
        <w:autoSpaceDE w:val="0"/>
        <w:autoSpaceDN w:val="0"/>
        <w:spacing w:line="420" w:lineRule="exact"/>
        <w:ind w:firstLine="480" w:firstLineChars="200"/>
        <w:jc w:val="left"/>
        <w:rPr>
          <w:rFonts w:ascii="宋体" w:hAnsi="宋体" w:eastAsia="宋体" w:cs="宋体"/>
          <w:color w:val="auto"/>
          <w:sz w:val="24"/>
          <w:highlight w:val="none"/>
          <w:u w:val="single"/>
        </w:rPr>
      </w:pPr>
      <w:r>
        <w:rPr>
          <w:rFonts w:hint="eastAsia" w:ascii="宋体" w:hAnsi="宋体" w:eastAsia="宋体" w:cs="宋体"/>
          <w:color w:val="auto"/>
          <w:sz w:val="24"/>
          <w:highlight w:val="none"/>
        </w:rPr>
        <w:t>（9）其他合同文件：</w:t>
      </w:r>
      <w:r>
        <w:rPr>
          <w:rFonts w:hint="eastAsia" w:ascii="宋体" w:hAnsi="宋体" w:eastAsia="宋体" w:cs="宋体"/>
          <w:color w:val="auto"/>
          <w:sz w:val="24"/>
          <w:highlight w:val="none"/>
          <w:u w:val="single"/>
        </w:rPr>
        <w:t xml:space="preserve"> 竞争性</w:t>
      </w:r>
      <w:r>
        <w:rPr>
          <w:rFonts w:hint="eastAsia" w:ascii="宋体" w:hAnsi="宋体" w:eastAsia="宋体" w:cs="宋体"/>
          <w:color w:val="auto"/>
          <w:sz w:val="24"/>
          <w:highlight w:val="none"/>
          <w:u w:val="single"/>
          <w:lang w:eastAsia="zh-CN"/>
        </w:rPr>
        <w:t>磋商</w:t>
      </w:r>
      <w:r>
        <w:rPr>
          <w:rFonts w:hint="eastAsia" w:ascii="宋体" w:hAnsi="宋体" w:eastAsia="宋体" w:cs="宋体"/>
          <w:color w:val="auto"/>
          <w:sz w:val="24"/>
          <w:highlight w:val="none"/>
          <w:u w:val="single"/>
        </w:rPr>
        <w:t xml:space="preserve">文件及相关函件（含所有补充通知、答疑及相关文件）、发包人、承包人双方签署的补充合同、补充协议等  </w:t>
      </w:r>
      <w:r>
        <w:rPr>
          <w:rFonts w:hint="eastAsia" w:ascii="宋体" w:hAnsi="宋体" w:eastAsia="宋体" w:cs="宋体"/>
          <w:color w:val="auto"/>
          <w:sz w:val="24"/>
          <w:highlight w:val="none"/>
        </w:rPr>
        <w:t>。</w:t>
      </w:r>
    </w:p>
    <w:p w14:paraId="60C4F78F">
      <w:pPr>
        <w:spacing w:line="420" w:lineRule="exact"/>
        <w:ind w:firstLine="480" w:firstLineChars="200"/>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上述各项合同文件包括合同当事人就该项合同文件所作出的补充和修改，属于同一类内容的文件，应以最新签署的为准（违反竞争性</w:t>
      </w:r>
      <w:r>
        <w:rPr>
          <w:rFonts w:hint="eastAsia" w:ascii="宋体" w:hAnsi="宋体" w:eastAsia="宋体" w:cs="宋体"/>
          <w:color w:val="auto"/>
          <w:kern w:val="0"/>
          <w:sz w:val="24"/>
          <w:highlight w:val="none"/>
          <w:lang w:eastAsia="zh-CN"/>
        </w:rPr>
        <w:t>磋商</w:t>
      </w:r>
      <w:r>
        <w:rPr>
          <w:rFonts w:hint="eastAsia" w:ascii="宋体" w:hAnsi="宋体" w:eastAsia="宋体" w:cs="宋体"/>
          <w:color w:val="auto"/>
          <w:kern w:val="0"/>
          <w:sz w:val="24"/>
          <w:highlight w:val="none"/>
        </w:rPr>
        <w:t>文件实质性内容的约定除外）。专用合同条款及其附件须经合同当事人签字或盖章。</w:t>
      </w:r>
    </w:p>
    <w:p w14:paraId="1070F4AB">
      <w:pPr>
        <w:pStyle w:val="6"/>
        <w:spacing w:before="0" w:after="0" w:line="420" w:lineRule="exact"/>
        <w:rPr>
          <w:rFonts w:ascii="宋体" w:hAnsi="宋体" w:eastAsia="宋体" w:cs="宋体"/>
          <w:color w:val="auto"/>
          <w:sz w:val="24"/>
          <w:szCs w:val="24"/>
          <w:highlight w:val="none"/>
        </w:rPr>
      </w:pPr>
      <w:bookmarkStart w:id="164" w:name="_Toc373478344"/>
      <w:bookmarkStart w:id="165" w:name="_Toc389065263"/>
      <w:bookmarkStart w:id="166" w:name="_Toc407135199"/>
      <w:bookmarkStart w:id="167" w:name="_Toc12609354"/>
      <w:bookmarkStart w:id="168" w:name="_Toc373227697"/>
      <w:r>
        <w:rPr>
          <w:rFonts w:hint="eastAsia" w:ascii="宋体" w:hAnsi="宋体" w:eastAsia="宋体" w:cs="宋体"/>
          <w:color w:val="auto"/>
          <w:sz w:val="24"/>
          <w:szCs w:val="24"/>
          <w:highlight w:val="none"/>
        </w:rPr>
        <w:t>1.6 图纸和承包人文件</w:t>
      </w:r>
      <w:bookmarkEnd w:id="164"/>
      <w:bookmarkEnd w:id="165"/>
      <w:bookmarkEnd w:id="166"/>
      <w:bookmarkEnd w:id="167"/>
      <w:bookmarkEnd w:id="168"/>
      <w:r>
        <w:rPr>
          <w:rFonts w:hint="eastAsia" w:ascii="宋体" w:hAnsi="宋体" w:eastAsia="宋体" w:cs="宋体"/>
          <w:color w:val="auto"/>
          <w:sz w:val="24"/>
          <w:szCs w:val="24"/>
          <w:highlight w:val="none"/>
        </w:rPr>
        <w:tab/>
      </w:r>
    </w:p>
    <w:p w14:paraId="59F9E5B9">
      <w:pPr>
        <w:spacing w:line="420" w:lineRule="exact"/>
        <w:ind w:firstLine="480" w:firstLineChars="200"/>
        <w:outlineLvl w:val="4"/>
        <w:rPr>
          <w:rFonts w:ascii="宋体" w:hAnsi="宋体" w:eastAsia="宋体" w:cs="宋体"/>
          <w:color w:val="auto"/>
          <w:sz w:val="24"/>
          <w:highlight w:val="none"/>
        </w:rPr>
      </w:pPr>
      <w:r>
        <w:rPr>
          <w:rFonts w:hint="eastAsia" w:ascii="宋体" w:hAnsi="宋体" w:eastAsia="宋体" w:cs="宋体"/>
          <w:color w:val="auto"/>
          <w:sz w:val="24"/>
          <w:highlight w:val="none"/>
        </w:rPr>
        <w:t>1.6.1 图纸的提供</w:t>
      </w:r>
    </w:p>
    <w:p w14:paraId="0BCC13FE">
      <w:pPr>
        <w:spacing w:line="42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发包人向承包人提供图纸的期限：</w:t>
      </w:r>
      <w:r>
        <w:rPr>
          <w:rFonts w:hint="eastAsia" w:ascii="宋体" w:hAnsi="宋体" w:eastAsia="宋体" w:cs="宋体"/>
          <w:color w:val="auto"/>
          <w:sz w:val="24"/>
          <w:highlight w:val="none"/>
          <w:u w:val="single"/>
        </w:rPr>
        <w:t xml:space="preserve"> </w:t>
      </w:r>
      <w:r>
        <w:rPr>
          <w:rStyle w:val="348"/>
          <w:rFonts w:hint="eastAsia" w:ascii="宋体" w:hAnsi="宋体" w:eastAsia="宋体" w:cs="宋体"/>
          <w:color w:val="auto"/>
          <w:sz w:val="24"/>
          <w:highlight w:val="none"/>
          <w:u w:val="single"/>
        </w:rPr>
        <w:t>开工前5天</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4A6D6974">
      <w:pPr>
        <w:spacing w:line="42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发包人向承包人提供图纸的数量：</w:t>
      </w:r>
      <w:r>
        <w:rPr>
          <w:rFonts w:hint="eastAsia" w:ascii="宋体" w:hAnsi="宋体" w:eastAsia="宋体" w:cs="宋体"/>
          <w:color w:val="auto"/>
          <w:sz w:val="24"/>
          <w:highlight w:val="none"/>
          <w:u w:val="single"/>
        </w:rPr>
        <w:t xml:space="preserve"> 1</w:t>
      </w:r>
      <w:r>
        <w:rPr>
          <w:rFonts w:hint="eastAsia" w:ascii="宋体" w:hAnsi="宋体" w:eastAsia="宋体" w:cs="宋体"/>
          <w:color w:val="auto"/>
          <w:sz w:val="24"/>
          <w:highlight w:val="none"/>
        </w:rPr>
        <w:t>套（承包人需要增加图纸套数的，由承包人复制，复制费用由承包人承担）；图纸电子版。</w:t>
      </w:r>
    </w:p>
    <w:p w14:paraId="5596458E">
      <w:pPr>
        <w:spacing w:line="42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发包人向承包人提供图纸的内容：</w:t>
      </w:r>
      <w:r>
        <w:rPr>
          <w:rFonts w:hint="eastAsia" w:ascii="宋体" w:hAnsi="宋体" w:eastAsia="宋体" w:cs="宋体"/>
          <w:color w:val="auto"/>
          <w:sz w:val="24"/>
          <w:highlight w:val="none"/>
          <w:u w:val="single"/>
        </w:rPr>
        <w:t xml:space="preserve">  </w:t>
      </w:r>
      <w:r>
        <w:rPr>
          <w:rStyle w:val="348"/>
          <w:rFonts w:hint="eastAsia" w:ascii="宋体" w:hAnsi="宋体" w:eastAsia="宋体" w:cs="宋体"/>
          <w:color w:val="auto"/>
          <w:kern w:val="0"/>
          <w:sz w:val="24"/>
          <w:highlight w:val="none"/>
          <w:u w:val="single"/>
        </w:rPr>
        <w:t>承包人承包范围内的所有图纸和有关技术资料</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4014BD03">
      <w:pPr>
        <w:spacing w:line="420" w:lineRule="exact"/>
        <w:ind w:firstLine="480" w:firstLineChars="200"/>
        <w:outlineLvl w:val="4"/>
        <w:rPr>
          <w:rFonts w:ascii="宋体" w:hAnsi="宋体" w:eastAsia="宋体" w:cs="宋体"/>
          <w:color w:val="auto"/>
          <w:sz w:val="24"/>
          <w:highlight w:val="none"/>
        </w:rPr>
      </w:pPr>
      <w:r>
        <w:rPr>
          <w:rFonts w:hint="eastAsia" w:ascii="宋体" w:hAnsi="宋体" w:eastAsia="宋体" w:cs="宋体"/>
          <w:color w:val="auto"/>
          <w:sz w:val="24"/>
          <w:highlight w:val="none"/>
        </w:rPr>
        <w:t>1.6.4 承包人文件</w:t>
      </w:r>
    </w:p>
    <w:p w14:paraId="5FACA9F6">
      <w:pPr>
        <w:spacing w:line="420" w:lineRule="exact"/>
        <w:ind w:firstLine="480" w:firstLineChars="200"/>
        <w:jc w:val="left"/>
        <w:rPr>
          <w:rFonts w:ascii="宋体" w:hAnsi="宋体" w:eastAsia="宋体" w:cs="宋体"/>
          <w:color w:val="auto"/>
          <w:sz w:val="24"/>
          <w:highlight w:val="none"/>
          <w:u w:val="single"/>
        </w:rPr>
      </w:pPr>
      <w:r>
        <w:rPr>
          <w:rFonts w:hint="eastAsia" w:ascii="宋体" w:hAnsi="宋体" w:eastAsia="宋体" w:cs="宋体"/>
          <w:color w:val="auto"/>
          <w:sz w:val="24"/>
          <w:highlight w:val="none"/>
        </w:rPr>
        <w:t>需要由承包人提供的文件，包括：</w:t>
      </w:r>
      <w:r>
        <w:rPr>
          <w:rFonts w:hint="eastAsia" w:ascii="宋体" w:hAnsi="宋体" w:eastAsia="宋体" w:cs="宋体"/>
          <w:color w:val="auto"/>
          <w:sz w:val="24"/>
          <w:highlight w:val="none"/>
          <w:u w:val="single"/>
        </w:rPr>
        <w:t xml:space="preserve"> </w:t>
      </w:r>
      <w:r>
        <w:rPr>
          <w:rStyle w:val="348"/>
          <w:rFonts w:hint="eastAsia" w:ascii="宋体" w:hAnsi="宋体" w:eastAsia="宋体" w:cs="宋体"/>
          <w:color w:val="auto"/>
          <w:sz w:val="24"/>
          <w:highlight w:val="none"/>
          <w:u w:val="single"/>
        </w:rPr>
        <w:t>建设项目竣工验收前，承包人应根据合同工作内容要求，分别整理竣工验收资料（含竣工图），汇总为完整的建设项目竣工资料报发包人（费用由承包人负责）</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22E7118A">
      <w:pPr>
        <w:spacing w:line="42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承包人提供的文件的期限为：</w:t>
      </w:r>
      <w:r>
        <w:rPr>
          <w:rFonts w:hint="eastAsia" w:ascii="宋体" w:hAnsi="宋体" w:eastAsia="宋体" w:cs="宋体"/>
          <w:color w:val="auto"/>
          <w:sz w:val="24"/>
          <w:highlight w:val="none"/>
          <w:u w:val="single"/>
        </w:rPr>
        <w:t xml:space="preserve"> 确定需要提供文件内容的7日内  </w:t>
      </w:r>
      <w:r>
        <w:rPr>
          <w:rFonts w:hint="eastAsia" w:ascii="宋体" w:hAnsi="宋体" w:eastAsia="宋体" w:cs="宋体"/>
          <w:color w:val="auto"/>
          <w:sz w:val="24"/>
          <w:highlight w:val="none"/>
        </w:rPr>
        <w:t>；</w:t>
      </w:r>
    </w:p>
    <w:p w14:paraId="11F828CC">
      <w:pPr>
        <w:spacing w:line="42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承包人提供的文件的数量为：</w:t>
      </w:r>
      <w:r>
        <w:rPr>
          <w:rFonts w:hint="eastAsia" w:ascii="宋体" w:hAnsi="宋体" w:eastAsia="宋体" w:cs="宋体"/>
          <w:color w:val="auto"/>
          <w:sz w:val="24"/>
          <w:highlight w:val="none"/>
          <w:u w:val="single"/>
        </w:rPr>
        <w:t xml:space="preserve"> </w:t>
      </w:r>
      <w:r>
        <w:rPr>
          <w:rStyle w:val="348"/>
          <w:rFonts w:hint="eastAsia" w:ascii="宋体" w:hAnsi="宋体" w:eastAsia="宋体" w:cs="宋体"/>
          <w:color w:val="auto"/>
          <w:sz w:val="24"/>
          <w:highlight w:val="none"/>
          <w:u w:val="single"/>
        </w:rPr>
        <w:t>提供竣工图的数量为陆套</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6CD6DEFF">
      <w:pPr>
        <w:spacing w:line="42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承包人提供的文件的形式为：</w:t>
      </w:r>
      <w:r>
        <w:rPr>
          <w:rFonts w:hint="eastAsia" w:ascii="宋体" w:hAnsi="宋体" w:eastAsia="宋体" w:cs="宋体"/>
          <w:color w:val="auto"/>
          <w:sz w:val="24"/>
          <w:highlight w:val="none"/>
          <w:u w:val="single"/>
        </w:rPr>
        <w:t xml:space="preserve"> </w:t>
      </w:r>
      <w:r>
        <w:rPr>
          <w:rStyle w:val="348"/>
          <w:rFonts w:hint="eastAsia" w:ascii="宋体" w:hAnsi="宋体" w:eastAsia="宋体" w:cs="宋体"/>
          <w:color w:val="auto"/>
          <w:sz w:val="24"/>
          <w:highlight w:val="none"/>
          <w:u w:val="single"/>
        </w:rPr>
        <w:t>书面送达</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144D1AFA">
      <w:pPr>
        <w:spacing w:line="42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发包人审批承包人文件的期限：</w:t>
      </w:r>
      <w:r>
        <w:rPr>
          <w:rFonts w:hint="eastAsia" w:ascii="宋体" w:hAnsi="宋体" w:eastAsia="宋体" w:cs="宋体"/>
          <w:color w:val="auto"/>
          <w:sz w:val="24"/>
          <w:highlight w:val="none"/>
          <w:u w:val="single"/>
        </w:rPr>
        <w:t xml:space="preserve"> </w:t>
      </w:r>
      <w:r>
        <w:rPr>
          <w:rStyle w:val="348"/>
          <w:rFonts w:hint="eastAsia" w:ascii="宋体" w:hAnsi="宋体" w:eastAsia="宋体" w:cs="宋体"/>
          <w:color w:val="auto"/>
          <w:sz w:val="24"/>
          <w:highlight w:val="none"/>
          <w:u w:val="single"/>
        </w:rPr>
        <w:t>收到承包人报送的相关文件之日起7日内</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5EF78F50">
      <w:pPr>
        <w:spacing w:line="420" w:lineRule="exact"/>
        <w:ind w:firstLine="480" w:firstLineChars="200"/>
        <w:outlineLvl w:val="4"/>
        <w:rPr>
          <w:rFonts w:ascii="宋体" w:hAnsi="宋体" w:eastAsia="宋体" w:cs="宋体"/>
          <w:color w:val="auto"/>
          <w:sz w:val="24"/>
          <w:highlight w:val="none"/>
        </w:rPr>
      </w:pPr>
      <w:r>
        <w:rPr>
          <w:rFonts w:hint="eastAsia" w:ascii="宋体" w:hAnsi="宋体" w:eastAsia="宋体" w:cs="宋体"/>
          <w:color w:val="auto"/>
          <w:sz w:val="24"/>
          <w:highlight w:val="none"/>
        </w:rPr>
        <w:t>1.6.5 现场图纸准备</w:t>
      </w:r>
    </w:p>
    <w:p w14:paraId="7E86F836">
      <w:pPr>
        <w:spacing w:line="42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关于现场图纸准备的约定：</w:t>
      </w:r>
      <w:r>
        <w:rPr>
          <w:rFonts w:hint="eastAsia" w:ascii="宋体" w:hAnsi="宋体" w:eastAsia="宋体" w:cs="宋体"/>
          <w:color w:val="auto"/>
          <w:sz w:val="24"/>
          <w:highlight w:val="none"/>
          <w:u w:val="single"/>
        </w:rPr>
        <w:t xml:space="preserve"> </w:t>
      </w:r>
      <w:r>
        <w:rPr>
          <w:rStyle w:val="348"/>
          <w:rFonts w:hint="eastAsia" w:ascii="宋体" w:hAnsi="宋体" w:eastAsia="宋体" w:cs="宋体"/>
          <w:color w:val="auto"/>
          <w:sz w:val="24"/>
          <w:highlight w:val="none"/>
          <w:u w:val="single"/>
        </w:rPr>
        <w:t>承包人应在施工现场保留一套完整的施工图纸，供工程师及有关人员进行工程检查时使用，未经发包人同意不许将图纸泄露和转让给第三方</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28233FFF">
      <w:pPr>
        <w:pStyle w:val="6"/>
        <w:spacing w:before="0" w:after="0" w:line="420" w:lineRule="exact"/>
        <w:rPr>
          <w:rFonts w:ascii="宋体" w:hAnsi="宋体" w:eastAsia="宋体" w:cs="宋体"/>
          <w:color w:val="auto"/>
          <w:sz w:val="24"/>
          <w:szCs w:val="24"/>
          <w:highlight w:val="none"/>
        </w:rPr>
      </w:pPr>
      <w:bookmarkStart w:id="169" w:name="_Toc12609355"/>
      <w:bookmarkStart w:id="170" w:name="_Toc373478345"/>
      <w:bookmarkStart w:id="171" w:name="_Toc373227698"/>
      <w:bookmarkStart w:id="172" w:name="_Toc407135200"/>
      <w:bookmarkStart w:id="173" w:name="_Toc389065264"/>
      <w:r>
        <w:rPr>
          <w:rFonts w:hint="eastAsia" w:ascii="宋体" w:hAnsi="宋体" w:eastAsia="宋体" w:cs="宋体"/>
          <w:color w:val="auto"/>
          <w:sz w:val="24"/>
          <w:szCs w:val="24"/>
          <w:highlight w:val="none"/>
        </w:rPr>
        <w:t>1.7 联络</w:t>
      </w:r>
      <w:bookmarkEnd w:id="169"/>
      <w:bookmarkEnd w:id="170"/>
      <w:bookmarkEnd w:id="171"/>
      <w:bookmarkEnd w:id="172"/>
      <w:bookmarkEnd w:id="173"/>
    </w:p>
    <w:p w14:paraId="00A91C3E">
      <w:pPr>
        <w:spacing w:line="420" w:lineRule="exact"/>
        <w:ind w:firstLine="480" w:firstLineChars="200"/>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1.7.1发包人和承包人应当在</w:t>
      </w:r>
      <w:r>
        <w:rPr>
          <w:rFonts w:hint="eastAsia" w:ascii="宋体" w:hAnsi="宋体" w:eastAsia="宋体" w:cs="宋体"/>
          <w:color w:val="auto"/>
          <w:sz w:val="24"/>
          <w:highlight w:val="none"/>
          <w:u w:val="single"/>
        </w:rPr>
        <w:t xml:space="preserve">  7  </w:t>
      </w:r>
      <w:r>
        <w:rPr>
          <w:rFonts w:hint="eastAsia" w:ascii="宋体" w:hAnsi="宋体" w:eastAsia="宋体" w:cs="宋体"/>
          <w:color w:val="auto"/>
          <w:kern w:val="0"/>
          <w:sz w:val="24"/>
          <w:highlight w:val="none"/>
        </w:rPr>
        <w:t>天内将与合同有关的通知、批准、证明、证书、指示、指令、要求、请求、同意、意见、确定和决定等书面函件送达对方当事人。</w:t>
      </w:r>
    </w:p>
    <w:p w14:paraId="44C35E65">
      <w:pPr>
        <w:spacing w:line="420" w:lineRule="exact"/>
        <w:ind w:firstLine="480" w:firstLineChars="200"/>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1.7.2 发包人接收文件的地点：</w:t>
      </w:r>
      <w:r>
        <w:rPr>
          <w:rFonts w:hint="eastAsia" w:ascii="宋体" w:hAnsi="宋体" w:eastAsia="宋体" w:cs="宋体"/>
          <w:color w:val="auto"/>
          <w:sz w:val="24"/>
          <w:highlight w:val="none"/>
          <w:u w:val="single"/>
        </w:rPr>
        <w:t xml:space="preserve"> 施工现场发包人办公地点 </w:t>
      </w:r>
      <w:r>
        <w:rPr>
          <w:rFonts w:hint="eastAsia" w:ascii="宋体" w:hAnsi="宋体" w:eastAsia="宋体" w:cs="宋体"/>
          <w:color w:val="auto"/>
          <w:kern w:val="0"/>
          <w:sz w:val="24"/>
          <w:highlight w:val="none"/>
        </w:rPr>
        <w:t>；</w:t>
      </w:r>
    </w:p>
    <w:p w14:paraId="5B8343C3">
      <w:pPr>
        <w:spacing w:line="420" w:lineRule="exact"/>
        <w:ind w:firstLine="480" w:firstLineChars="200"/>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发包人指定的接收人为：</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sz w:val="24"/>
          <w:highlight w:val="none"/>
          <w:u w:val="single"/>
        </w:rPr>
        <w:t xml:space="preserve">                 （现场业主代表）            </w:t>
      </w:r>
      <w:r>
        <w:rPr>
          <w:rFonts w:hint="eastAsia" w:ascii="宋体" w:hAnsi="宋体" w:eastAsia="宋体" w:cs="宋体"/>
          <w:color w:val="auto"/>
          <w:kern w:val="0"/>
          <w:sz w:val="24"/>
          <w:highlight w:val="none"/>
        </w:rPr>
        <w:t>。</w:t>
      </w:r>
    </w:p>
    <w:p w14:paraId="633E3CB8">
      <w:pPr>
        <w:spacing w:line="420" w:lineRule="exact"/>
        <w:ind w:firstLine="480" w:firstLineChars="200"/>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承包人接收文件的地点：</w:t>
      </w:r>
      <w:r>
        <w:rPr>
          <w:rFonts w:hint="eastAsia" w:ascii="宋体" w:hAnsi="宋体" w:eastAsia="宋体" w:cs="宋体"/>
          <w:color w:val="auto"/>
          <w:sz w:val="24"/>
          <w:highlight w:val="none"/>
          <w:u w:val="single"/>
        </w:rPr>
        <w:t xml:space="preserve"> 承包人施工现场管理机构的办公地点   </w:t>
      </w:r>
      <w:r>
        <w:rPr>
          <w:rFonts w:hint="eastAsia" w:ascii="宋体" w:hAnsi="宋体" w:eastAsia="宋体" w:cs="宋体"/>
          <w:color w:val="auto"/>
          <w:kern w:val="0"/>
          <w:sz w:val="24"/>
          <w:highlight w:val="none"/>
        </w:rPr>
        <w:t>；</w:t>
      </w:r>
    </w:p>
    <w:p w14:paraId="0DDC98B2">
      <w:pPr>
        <w:spacing w:line="420" w:lineRule="exact"/>
        <w:ind w:firstLine="480" w:firstLineChars="200"/>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承包人指定的接收人为：</w:t>
      </w:r>
      <w:r>
        <w:rPr>
          <w:rFonts w:hint="eastAsia" w:ascii="宋体" w:hAnsi="宋体" w:eastAsia="宋体" w:cs="宋体"/>
          <w:color w:val="auto"/>
          <w:sz w:val="24"/>
          <w:highlight w:val="none"/>
          <w:u w:val="single"/>
        </w:rPr>
        <w:t xml:space="preserve"> 承包人指定的接收人为合同协议书载明的承包人项目经理本人或者指定的承包人其他工作人员 </w:t>
      </w:r>
      <w:r>
        <w:rPr>
          <w:rFonts w:hint="eastAsia" w:ascii="宋体" w:hAnsi="宋体" w:eastAsia="宋体" w:cs="宋体"/>
          <w:color w:val="auto"/>
          <w:kern w:val="0"/>
          <w:sz w:val="24"/>
          <w:highlight w:val="none"/>
        </w:rPr>
        <w:t>。</w:t>
      </w:r>
    </w:p>
    <w:p w14:paraId="4D5532D5">
      <w:pPr>
        <w:spacing w:line="420" w:lineRule="exact"/>
        <w:ind w:firstLine="480" w:firstLineChars="200"/>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监理人接收文件的地点：</w:t>
      </w:r>
      <w:r>
        <w:rPr>
          <w:rFonts w:hint="eastAsia" w:ascii="宋体" w:hAnsi="宋体" w:eastAsia="宋体" w:cs="宋体"/>
          <w:color w:val="auto"/>
          <w:sz w:val="24"/>
          <w:highlight w:val="none"/>
          <w:u w:val="single"/>
        </w:rPr>
        <w:t xml:space="preserve">  施工现场监理人办公地点  </w:t>
      </w:r>
      <w:r>
        <w:rPr>
          <w:rFonts w:hint="eastAsia" w:ascii="宋体" w:hAnsi="宋体" w:eastAsia="宋体" w:cs="宋体"/>
          <w:color w:val="auto"/>
          <w:kern w:val="0"/>
          <w:sz w:val="24"/>
          <w:highlight w:val="none"/>
        </w:rPr>
        <w:t>；</w:t>
      </w:r>
    </w:p>
    <w:p w14:paraId="6192FB08">
      <w:pPr>
        <w:spacing w:line="420" w:lineRule="exact"/>
        <w:ind w:firstLine="480" w:firstLineChars="200"/>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监理人指定的接收人为：</w:t>
      </w:r>
      <w:r>
        <w:rPr>
          <w:rFonts w:hint="eastAsia" w:ascii="宋体" w:hAnsi="宋体" w:eastAsia="宋体" w:cs="宋体"/>
          <w:color w:val="auto"/>
          <w:sz w:val="24"/>
          <w:highlight w:val="none"/>
          <w:u w:val="single"/>
        </w:rPr>
        <w:t xml:space="preserve">  总监理工程师或其指定的授权代表  </w:t>
      </w:r>
      <w:r>
        <w:rPr>
          <w:rFonts w:hint="eastAsia" w:ascii="宋体" w:hAnsi="宋体" w:eastAsia="宋体" w:cs="宋体"/>
          <w:color w:val="auto"/>
          <w:kern w:val="0"/>
          <w:sz w:val="24"/>
          <w:highlight w:val="none"/>
        </w:rPr>
        <w:t>。</w:t>
      </w:r>
    </w:p>
    <w:p w14:paraId="33A7FA36">
      <w:pPr>
        <w:pStyle w:val="6"/>
        <w:spacing w:before="0" w:after="0" w:line="420" w:lineRule="exact"/>
        <w:rPr>
          <w:rFonts w:ascii="宋体" w:hAnsi="宋体" w:eastAsia="宋体" w:cs="宋体"/>
          <w:color w:val="auto"/>
          <w:sz w:val="24"/>
          <w:szCs w:val="24"/>
          <w:highlight w:val="none"/>
        </w:rPr>
      </w:pPr>
      <w:bookmarkStart w:id="174" w:name="_Toc12609356"/>
      <w:bookmarkStart w:id="175" w:name="_Toc407135201"/>
      <w:bookmarkStart w:id="176" w:name="_Toc389065265"/>
      <w:bookmarkStart w:id="177" w:name="_Toc373227699"/>
      <w:bookmarkStart w:id="178" w:name="_Toc373478346"/>
      <w:r>
        <w:rPr>
          <w:rFonts w:hint="eastAsia" w:ascii="宋体" w:hAnsi="宋体" w:eastAsia="宋体" w:cs="宋体"/>
          <w:color w:val="auto"/>
          <w:sz w:val="24"/>
          <w:szCs w:val="24"/>
          <w:highlight w:val="none"/>
        </w:rPr>
        <w:t>1.10 交通运输</w:t>
      </w:r>
      <w:bookmarkEnd w:id="174"/>
      <w:bookmarkEnd w:id="175"/>
      <w:bookmarkEnd w:id="176"/>
      <w:bookmarkEnd w:id="177"/>
      <w:bookmarkEnd w:id="178"/>
    </w:p>
    <w:p w14:paraId="5D5DDDC7">
      <w:pPr>
        <w:spacing w:line="420" w:lineRule="exact"/>
        <w:ind w:firstLine="480" w:firstLineChars="200"/>
        <w:outlineLvl w:val="4"/>
        <w:rPr>
          <w:rFonts w:ascii="宋体" w:hAnsi="宋体" w:eastAsia="宋体" w:cs="宋体"/>
          <w:color w:val="auto"/>
          <w:sz w:val="24"/>
          <w:highlight w:val="none"/>
        </w:rPr>
      </w:pPr>
      <w:r>
        <w:rPr>
          <w:rFonts w:hint="eastAsia" w:ascii="宋体" w:hAnsi="宋体" w:eastAsia="宋体" w:cs="宋体"/>
          <w:color w:val="auto"/>
          <w:sz w:val="24"/>
          <w:highlight w:val="none"/>
        </w:rPr>
        <w:t>1</w:t>
      </w:r>
      <w:bookmarkStart w:id="179" w:name="_Toc303539100"/>
      <w:bookmarkStart w:id="180" w:name="_Toc300934943"/>
      <w:bookmarkStart w:id="181" w:name="_Toc312677986"/>
      <w:bookmarkStart w:id="182" w:name="_Toc304295521"/>
      <w:bookmarkStart w:id="183" w:name="_Toc318581155"/>
      <w:r>
        <w:rPr>
          <w:rFonts w:hint="eastAsia" w:ascii="宋体" w:hAnsi="宋体" w:eastAsia="宋体" w:cs="宋体"/>
          <w:color w:val="auto"/>
          <w:sz w:val="24"/>
          <w:highlight w:val="none"/>
        </w:rPr>
        <w:t>.10.1 出入现场的权利</w:t>
      </w:r>
    </w:p>
    <w:p w14:paraId="39D9C3EE">
      <w:pPr>
        <w:spacing w:line="420" w:lineRule="exact"/>
        <w:ind w:firstLine="480" w:firstLineChars="200"/>
        <w:rPr>
          <w:rFonts w:ascii="宋体" w:hAnsi="宋体" w:eastAsia="宋体" w:cs="宋体"/>
          <w:color w:val="auto"/>
          <w:sz w:val="24"/>
          <w:highlight w:val="none"/>
          <w:u w:val="single"/>
        </w:rPr>
      </w:pPr>
      <w:r>
        <w:rPr>
          <w:rFonts w:hint="eastAsia" w:ascii="宋体" w:hAnsi="宋体" w:eastAsia="宋体" w:cs="宋体"/>
          <w:color w:val="auto"/>
          <w:sz w:val="24"/>
          <w:highlight w:val="none"/>
        </w:rPr>
        <w:t>关于出入现场的权利的约定：</w:t>
      </w:r>
      <w:r>
        <w:rPr>
          <w:rFonts w:hint="eastAsia" w:ascii="宋体" w:hAnsi="宋体" w:eastAsia="宋体" w:cs="宋体"/>
          <w:color w:val="auto"/>
          <w:sz w:val="24"/>
          <w:highlight w:val="none"/>
          <w:u w:val="single"/>
        </w:rPr>
        <w:t xml:space="preserve"> </w:t>
      </w:r>
      <w:r>
        <w:rPr>
          <w:rStyle w:val="348"/>
          <w:rFonts w:hint="eastAsia" w:ascii="宋体" w:hAnsi="宋体" w:eastAsia="宋体" w:cs="宋体"/>
          <w:color w:val="auto"/>
          <w:sz w:val="24"/>
          <w:highlight w:val="none"/>
          <w:u w:val="single"/>
        </w:rPr>
        <w:t>按通用合同条款执行</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bookmarkEnd w:id="179"/>
    <w:bookmarkEnd w:id="180"/>
    <w:bookmarkEnd w:id="181"/>
    <w:bookmarkEnd w:id="182"/>
    <w:bookmarkEnd w:id="183"/>
    <w:p w14:paraId="125299A7">
      <w:pPr>
        <w:spacing w:line="420" w:lineRule="exact"/>
        <w:ind w:firstLine="480" w:firstLineChars="200"/>
        <w:jc w:val="left"/>
        <w:outlineLvl w:val="4"/>
        <w:rPr>
          <w:rFonts w:ascii="宋体" w:hAnsi="宋体" w:eastAsia="宋体" w:cs="宋体"/>
          <w:color w:val="auto"/>
          <w:sz w:val="24"/>
          <w:highlight w:val="none"/>
        </w:rPr>
      </w:pPr>
      <w:r>
        <w:rPr>
          <w:rFonts w:hint="eastAsia" w:ascii="宋体" w:hAnsi="宋体" w:eastAsia="宋体" w:cs="宋体"/>
          <w:color w:val="auto"/>
          <w:sz w:val="24"/>
          <w:highlight w:val="none"/>
        </w:rPr>
        <w:t>1</w:t>
      </w:r>
      <w:bookmarkStart w:id="184" w:name="_Toc304295522"/>
      <w:bookmarkStart w:id="185" w:name="_Toc303539101"/>
      <w:bookmarkStart w:id="186" w:name="_Toc300934944"/>
      <w:bookmarkStart w:id="187" w:name="_Toc312677987"/>
      <w:bookmarkStart w:id="188" w:name="_Toc318581156"/>
      <w:r>
        <w:rPr>
          <w:rFonts w:hint="eastAsia" w:ascii="宋体" w:hAnsi="宋体" w:eastAsia="宋体" w:cs="宋体"/>
          <w:color w:val="auto"/>
          <w:sz w:val="24"/>
          <w:highlight w:val="none"/>
        </w:rPr>
        <w:t>.10.3 场内交通</w:t>
      </w:r>
    </w:p>
    <w:p w14:paraId="0FECAB1C">
      <w:pPr>
        <w:spacing w:line="420" w:lineRule="exact"/>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关于场外交通和场内交通的边界的约定：</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sz w:val="24"/>
          <w:highlight w:val="none"/>
          <w:u w:val="single"/>
        </w:rPr>
        <w:t xml:space="preserve">以工程用地红线界定 </w:t>
      </w:r>
      <w:r>
        <w:rPr>
          <w:rFonts w:hint="eastAsia" w:ascii="宋体" w:hAnsi="宋体" w:eastAsia="宋体" w:cs="宋体"/>
          <w:color w:val="auto"/>
          <w:sz w:val="24"/>
          <w:highlight w:val="none"/>
        </w:rPr>
        <w:t>。</w:t>
      </w:r>
    </w:p>
    <w:p w14:paraId="19DD0D14">
      <w:pPr>
        <w:spacing w:line="420" w:lineRule="exact"/>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关于发包人向承包人免费提供满足工程施工需要的场内道路和交通设施的约定：</w:t>
      </w:r>
      <w:r>
        <w:rPr>
          <w:rFonts w:hint="eastAsia" w:ascii="宋体" w:hAnsi="宋体" w:eastAsia="宋体" w:cs="宋体"/>
          <w:color w:val="auto"/>
          <w:sz w:val="24"/>
          <w:highlight w:val="none"/>
          <w:u w:val="single"/>
        </w:rPr>
        <w:t xml:space="preserve">由承包人根据现场实际自行考虑，费用自理 </w:t>
      </w:r>
      <w:r>
        <w:rPr>
          <w:rFonts w:hint="eastAsia" w:ascii="宋体" w:hAnsi="宋体" w:eastAsia="宋体" w:cs="宋体"/>
          <w:color w:val="auto"/>
          <w:sz w:val="24"/>
          <w:highlight w:val="none"/>
        </w:rPr>
        <w:t>。</w:t>
      </w:r>
      <w:bookmarkEnd w:id="184"/>
      <w:bookmarkEnd w:id="185"/>
      <w:bookmarkEnd w:id="186"/>
      <w:bookmarkEnd w:id="187"/>
      <w:bookmarkEnd w:id="188"/>
      <w:bookmarkStart w:id="189" w:name="_Toc318581157"/>
    </w:p>
    <w:p w14:paraId="1CFFCD51">
      <w:pPr>
        <w:spacing w:line="420" w:lineRule="exact"/>
        <w:ind w:firstLine="480" w:firstLineChars="200"/>
        <w:jc w:val="left"/>
        <w:outlineLvl w:val="4"/>
        <w:rPr>
          <w:rFonts w:ascii="宋体" w:hAnsi="宋体" w:eastAsia="宋体" w:cs="宋体"/>
          <w:color w:val="auto"/>
          <w:sz w:val="24"/>
          <w:highlight w:val="none"/>
        </w:rPr>
      </w:pPr>
      <w:r>
        <w:rPr>
          <w:rFonts w:hint="eastAsia" w:ascii="宋体" w:hAnsi="宋体" w:eastAsia="宋体" w:cs="宋体"/>
          <w:color w:val="auto"/>
          <w:sz w:val="24"/>
          <w:highlight w:val="none"/>
        </w:rPr>
        <w:t>1.10.4 超大件和超重件的运输</w:t>
      </w:r>
    </w:p>
    <w:p w14:paraId="24A0F6AE">
      <w:pPr>
        <w:spacing w:line="420" w:lineRule="exact"/>
        <w:ind w:firstLine="480" w:firstLineChars="200"/>
        <w:jc w:val="left"/>
        <w:rPr>
          <w:rFonts w:ascii="宋体" w:hAnsi="宋体" w:eastAsia="宋体" w:cs="宋体"/>
          <w:color w:val="auto"/>
          <w:sz w:val="24"/>
          <w:highlight w:val="none"/>
          <w:u w:val="single"/>
        </w:rPr>
      </w:pPr>
      <w:r>
        <w:rPr>
          <w:rFonts w:hint="eastAsia" w:ascii="宋体" w:hAnsi="宋体" w:eastAsia="宋体" w:cs="宋体"/>
          <w:color w:val="auto"/>
          <w:sz w:val="24"/>
          <w:highlight w:val="none"/>
        </w:rPr>
        <w:t>运输超大件或超重件所需的道路和桥梁临时加固改造费用和其他有关费用由</w:t>
      </w:r>
      <w:r>
        <w:rPr>
          <w:rStyle w:val="348"/>
          <w:rFonts w:hint="eastAsia" w:ascii="宋体" w:hAnsi="宋体" w:eastAsia="宋体" w:cs="宋体"/>
          <w:color w:val="auto"/>
          <w:sz w:val="24"/>
          <w:highlight w:val="none"/>
          <w:u w:val="single"/>
        </w:rPr>
        <w:t>承包人</w:t>
      </w:r>
      <w:r>
        <w:rPr>
          <w:rFonts w:hint="eastAsia" w:ascii="宋体" w:hAnsi="宋体" w:eastAsia="宋体" w:cs="宋体"/>
          <w:color w:val="auto"/>
          <w:sz w:val="24"/>
          <w:highlight w:val="none"/>
        </w:rPr>
        <w:t>承担。</w:t>
      </w:r>
    </w:p>
    <w:bookmarkEnd w:id="189"/>
    <w:p w14:paraId="5D2F9E98">
      <w:pPr>
        <w:pStyle w:val="6"/>
        <w:spacing w:before="0" w:after="0" w:line="420" w:lineRule="exact"/>
        <w:rPr>
          <w:rFonts w:ascii="宋体" w:hAnsi="宋体" w:eastAsia="宋体" w:cs="宋体"/>
          <w:color w:val="auto"/>
          <w:sz w:val="24"/>
          <w:szCs w:val="24"/>
          <w:highlight w:val="none"/>
        </w:rPr>
      </w:pPr>
      <w:bookmarkStart w:id="190" w:name="_Toc373478347"/>
      <w:bookmarkStart w:id="191" w:name="_Toc12609357"/>
      <w:bookmarkStart w:id="192" w:name="_Toc373227700"/>
      <w:bookmarkStart w:id="193" w:name="_Toc389065266"/>
      <w:bookmarkStart w:id="194" w:name="_Toc407135202"/>
      <w:r>
        <w:rPr>
          <w:rFonts w:hint="eastAsia" w:ascii="宋体" w:hAnsi="宋体" w:eastAsia="宋体" w:cs="宋体"/>
          <w:color w:val="auto"/>
          <w:sz w:val="24"/>
          <w:szCs w:val="24"/>
          <w:highlight w:val="none"/>
        </w:rPr>
        <w:t>1.11 知识产权</w:t>
      </w:r>
      <w:bookmarkEnd w:id="190"/>
      <w:bookmarkEnd w:id="191"/>
      <w:bookmarkEnd w:id="192"/>
      <w:bookmarkEnd w:id="193"/>
      <w:bookmarkEnd w:id="194"/>
    </w:p>
    <w:p w14:paraId="5E474E16">
      <w:pPr>
        <w:spacing w:line="42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1.11.1 关于发包人提供给承包人的图纸、发包人为实施工程自行编制或委托编制的技术规范以及反映发包人关于合同要求或其他类似性质的文件的著作权的归属：</w:t>
      </w:r>
      <w:r>
        <w:rPr>
          <w:rFonts w:hint="eastAsia" w:ascii="宋体" w:hAnsi="宋体" w:eastAsia="宋体" w:cs="宋体"/>
          <w:color w:val="auto"/>
          <w:sz w:val="24"/>
          <w:highlight w:val="none"/>
          <w:u w:val="single"/>
        </w:rPr>
        <w:t xml:space="preserve"> </w:t>
      </w:r>
      <w:r>
        <w:rPr>
          <w:rStyle w:val="348"/>
          <w:rFonts w:hint="eastAsia" w:ascii="宋体" w:hAnsi="宋体" w:eastAsia="宋体" w:cs="宋体"/>
          <w:color w:val="auto"/>
          <w:sz w:val="24"/>
          <w:highlight w:val="none"/>
          <w:u w:val="single"/>
        </w:rPr>
        <w:t>发包人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61DCC542">
      <w:pPr>
        <w:spacing w:line="42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关于发包人提供的上述文件的使用限制的要求：</w:t>
      </w:r>
      <w:r>
        <w:rPr>
          <w:rFonts w:hint="eastAsia" w:ascii="宋体" w:hAnsi="宋体" w:eastAsia="宋体" w:cs="宋体"/>
          <w:color w:val="auto"/>
          <w:sz w:val="24"/>
          <w:highlight w:val="none"/>
          <w:u w:val="single"/>
        </w:rPr>
        <w:t xml:space="preserve"> </w:t>
      </w:r>
      <w:r>
        <w:rPr>
          <w:rStyle w:val="348"/>
          <w:rFonts w:hint="eastAsia" w:ascii="宋体" w:hAnsi="宋体" w:eastAsia="宋体" w:cs="宋体"/>
          <w:color w:val="auto"/>
          <w:sz w:val="24"/>
          <w:highlight w:val="none"/>
          <w:u w:val="single"/>
        </w:rPr>
        <w:t>按合同约定</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0DA75FA9">
      <w:pPr>
        <w:spacing w:line="42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1.11.2 关于承包人为实施工程所编制文件的著作权的归属：</w:t>
      </w:r>
      <w:r>
        <w:rPr>
          <w:rFonts w:hint="eastAsia" w:ascii="宋体" w:hAnsi="宋体" w:eastAsia="宋体" w:cs="宋体"/>
          <w:color w:val="auto"/>
          <w:sz w:val="24"/>
          <w:highlight w:val="none"/>
          <w:u w:val="single"/>
        </w:rPr>
        <w:t xml:space="preserve"> </w:t>
      </w:r>
      <w:r>
        <w:rPr>
          <w:rStyle w:val="348"/>
          <w:rFonts w:hint="eastAsia" w:ascii="宋体" w:hAnsi="宋体" w:eastAsia="宋体" w:cs="宋体"/>
          <w:color w:val="auto"/>
          <w:sz w:val="24"/>
          <w:highlight w:val="none"/>
          <w:u w:val="single"/>
        </w:rPr>
        <w:t>发包人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51C6E9DB">
      <w:pPr>
        <w:spacing w:line="420" w:lineRule="exact"/>
        <w:ind w:firstLine="480" w:firstLineChars="200"/>
        <w:rPr>
          <w:rFonts w:ascii="宋体" w:hAnsi="宋体" w:eastAsia="宋体" w:cs="宋体"/>
          <w:color w:val="auto"/>
          <w:sz w:val="24"/>
          <w:highlight w:val="none"/>
          <w:u w:val="single"/>
        </w:rPr>
      </w:pPr>
      <w:r>
        <w:rPr>
          <w:rFonts w:hint="eastAsia" w:ascii="宋体" w:hAnsi="宋体" w:eastAsia="宋体" w:cs="宋体"/>
          <w:color w:val="auto"/>
          <w:sz w:val="24"/>
          <w:highlight w:val="none"/>
        </w:rPr>
        <w:t>关于承包人提供的上述文件的使用限制的要求：</w:t>
      </w:r>
      <w:r>
        <w:rPr>
          <w:rFonts w:hint="eastAsia" w:ascii="宋体" w:hAnsi="宋体" w:eastAsia="宋体" w:cs="宋体"/>
          <w:color w:val="auto"/>
          <w:sz w:val="24"/>
          <w:highlight w:val="none"/>
          <w:u w:val="single"/>
        </w:rPr>
        <w:t xml:space="preserve"> </w:t>
      </w:r>
      <w:r>
        <w:rPr>
          <w:rStyle w:val="348"/>
          <w:rFonts w:hint="eastAsia" w:ascii="宋体" w:hAnsi="宋体" w:eastAsia="宋体" w:cs="宋体"/>
          <w:color w:val="auto"/>
          <w:sz w:val="24"/>
          <w:highlight w:val="none"/>
          <w:u w:val="single"/>
        </w:rPr>
        <w:t>按合同约定</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107A27A4">
      <w:pPr>
        <w:spacing w:line="420" w:lineRule="exact"/>
        <w:ind w:firstLine="480" w:firstLineChars="200"/>
        <w:rPr>
          <w:rFonts w:ascii="宋体" w:hAnsi="宋体" w:eastAsia="宋体" w:cs="宋体"/>
          <w:color w:val="auto"/>
          <w:sz w:val="24"/>
          <w:highlight w:val="none"/>
          <w:u w:val="single"/>
        </w:rPr>
      </w:pPr>
      <w:r>
        <w:rPr>
          <w:rFonts w:hint="eastAsia" w:ascii="宋体" w:hAnsi="宋体" w:eastAsia="宋体" w:cs="宋体"/>
          <w:color w:val="auto"/>
          <w:sz w:val="24"/>
          <w:highlight w:val="none"/>
        </w:rPr>
        <w:t>1.11.4 承包人在施工过程中所采用的专利、专有技术、技术秘密的使用费的承担方式：</w:t>
      </w:r>
      <w:r>
        <w:rPr>
          <w:rStyle w:val="348"/>
          <w:rFonts w:hint="eastAsia" w:ascii="宋体" w:hAnsi="宋体" w:eastAsia="宋体" w:cs="宋体"/>
          <w:color w:val="auto"/>
          <w:sz w:val="24"/>
          <w:highlight w:val="none"/>
          <w:u w:val="single"/>
        </w:rPr>
        <w:t>执行通用合同条款。</w:t>
      </w:r>
    </w:p>
    <w:p w14:paraId="6F89706B">
      <w:pPr>
        <w:pStyle w:val="6"/>
        <w:spacing w:before="0" w:after="0" w:line="420" w:lineRule="exact"/>
        <w:rPr>
          <w:rFonts w:ascii="宋体" w:hAnsi="宋体" w:eastAsia="宋体" w:cs="宋体"/>
          <w:color w:val="auto"/>
          <w:sz w:val="24"/>
          <w:szCs w:val="24"/>
          <w:highlight w:val="none"/>
        </w:rPr>
      </w:pPr>
      <w:bookmarkStart w:id="195" w:name="_Toc373227701"/>
      <w:bookmarkStart w:id="196" w:name="_Toc407135203"/>
      <w:bookmarkStart w:id="197" w:name="_Toc389065267"/>
      <w:bookmarkStart w:id="198" w:name="_Toc373478348"/>
      <w:bookmarkStart w:id="199" w:name="_Toc12609358"/>
      <w:r>
        <w:rPr>
          <w:rFonts w:hint="eastAsia" w:ascii="宋体" w:hAnsi="宋体" w:eastAsia="宋体" w:cs="宋体"/>
          <w:color w:val="auto"/>
          <w:sz w:val="24"/>
          <w:szCs w:val="24"/>
          <w:highlight w:val="none"/>
        </w:rPr>
        <w:t>1.13工程量清单错误的修正</w:t>
      </w:r>
      <w:bookmarkEnd w:id="195"/>
      <w:bookmarkEnd w:id="196"/>
      <w:bookmarkEnd w:id="197"/>
      <w:bookmarkEnd w:id="198"/>
      <w:bookmarkEnd w:id="199"/>
    </w:p>
    <w:p w14:paraId="501EFE28">
      <w:pPr>
        <w:spacing w:line="42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出现工程量清单工程量偏差时，是否调整合同价格：</w:t>
      </w:r>
      <w:r>
        <w:rPr>
          <w:rFonts w:hint="eastAsia" w:ascii="宋体" w:hAnsi="宋体" w:eastAsia="宋体" w:cs="宋体"/>
          <w:color w:val="auto"/>
          <w:sz w:val="24"/>
          <w:highlight w:val="none"/>
          <w:u w:val="single"/>
        </w:rPr>
        <w:t>是</w:t>
      </w:r>
      <w:r>
        <w:rPr>
          <w:rFonts w:hint="eastAsia" w:ascii="宋体" w:hAnsi="宋体" w:eastAsia="宋体" w:cs="宋体"/>
          <w:color w:val="auto"/>
          <w:kern w:val="0"/>
          <w:sz w:val="24"/>
          <w:highlight w:val="none"/>
        </w:rPr>
        <w:t>。</w:t>
      </w:r>
    </w:p>
    <w:p w14:paraId="7675F2BD">
      <w:pPr>
        <w:spacing w:line="42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允许调整合同价格的工程量偏差范围及其调整办法：</w:t>
      </w:r>
    </w:p>
    <w:p w14:paraId="6EF8CC1E">
      <w:pPr>
        <w:spacing w:line="420" w:lineRule="exact"/>
        <w:ind w:firstLine="480" w:firstLineChars="200"/>
        <w:rPr>
          <w:rFonts w:ascii="宋体" w:hAnsi="宋体" w:eastAsia="宋体" w:cs="宋体"/>
          <w:color w:val="auto"/>
          <w:kern w:val="0"/>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u w:val="single"/>
        </w:rPr>
        <w:t xml:space="preserve"> 除严重不平衡报价外，无论分部分项工程量清单项目中的工程量变化多少均不调整</w:t>
      </w:r>
      <w:r>
        <w:rPr>
          <w:rFonts w:hint="eastAsia" w:ascii="宋体" w:hAnsi="宋体" w:eastAsia="宋体" w:cs="宋体"/>
          <w:color w:val="auto"/>
          <w:kern w:val="0"/>
          <w:sz w:val="24"/>
          <w:highlight w:val="none"/>
        </w:rPr>
        <w:t>。</w:t>
      </w:r>
    </w:p>
    <w:p w14:paraId="064C0F8D">
      <w:pPr>
        <w:spacing w:line="420" w:lineRule="exact"/>
        <w:ind w:firstLine="480" w:firstLineChars="200"/>
        <w:rPr>
          <w:rFonts w:ascii="宋体" w:hAnsi="宋体" w:eastAsia="宋体" w:cs="宋体"/>
          <w:color w:val="auto"/>
          <w:sz w:val="24"/>
          <w:highlight w:val="none"/>
          <w:u w:val="singl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u w:val="single"/>
        </w:rPr>
        <w:t>承包人实际完成的某单项清单项目工程量与招标工程量清单工程量偏差超过  /  %且该单项清单造价超过合同总价15%以上的，超过后增加部分工程量或减少后剩余部分工程量的综合单价按以下方法调整：</w:t>
      </w:r>
      <w:r>
        <w:rPr>
          <w:rFonts w:hint="eastAsia" w:ascii="宋体" w:hAnsi="宋体" w:eastAsia="宋体" w:cs="宋体"/>
          <w:color w:val="auto"/>
          <w:highlight w:val="none"/>
          <w:u w:val="single"/>
        </w:rPr>
        <w:t>按照中标的综合单价调整</w:t>
      </w:r>
      <w:r>
        <w:rPr>
          <w:rFonts w:hint="eastAsia" w:ascii="宋体" w:hAnsi="宋体" w:eastAsia="宋体" w:cs="宋体"/>
          <w:color w:val="auto"/>
          <w:sz w:val="24"/>
          <w:highlight w:val="none"/>
          <w:u w:val="single"/>
        </w:rPr>
        <w:t>。</w:t>
      </w:r>
    </w:p>
    <w:p w14:paraId="5289AF49">
      <w:pPr>
        <w:pStyle w:val="5"/>
        <w:spacing w:before="0" w:after="0" w:line="420" w:lineRule="exact"/>
        <w:rPr>
          <w:rFonts w:ascii="宋体" w:hAnsi="宋体" w:eastAsia="宋体" w:cs="宋体"/>
          <w:color w:val="auto"/>
          <w:sz w:val="24"/>
          <w:szCs w:val="24"/>
          <w:highlight w:val="none"/>
        </w:rPr>
      </w:pPr>
      <w:bookmarkStart w:id="200" w:name="_Toc12609359"/>
      <w:bookmarkStart w:id="201" w:name="_Toc373227702"/>
      <w:bookmarkStart w:id="202" w:name="_Toc389065268"/>
      <w:bookmarkStart w:id="203" w:name="_Toc373478349"/>
      <w:bookmarkStart w:id="204" w:name="_Toc407135204"/>
      <w:bookmarkStart w:id="205" w:name="_Toc351203634"/>
      <w:r>
        <w:rPr>
          <w:rFonts w:hint="eastAsia" w:ascii="宋体" w:hAnsi="宋体" w:eastAsia="宋体" w:cs="宋体"/>
          <w:color w:val="auto"/>
          <w:sz w:val="24"/>
          <w:szCs w:val="24"/>
          <w:highlight w:val="none"/>
        </w:rPr>
        <w:t>2</w:t>
      </w:r>
      <w:bookmarkStart w:id="206" w:name="_Toc292559867"/>
      <w:bookmarkStart w:id="207" w:name="_Toc296891197"/>
      <w:bookmarkStart w:id="208" w:name="_Toc292559362"/>
      <w:bookmarkStart w:id="209" w:name="_Toc296347156"/>
      <w:bookmarkStart w:id="210" w:name="_Toc296503157"/>
      <w:bookmarkStart w:id="211" w:name="_Toc297048343"/>
      <w:bookmarkStart w:id="212" w:name="_Toc297120457"/>
      <w:bookmarkStart w:id="213" w:name="_Toc296346658"/>
      <w:bookmarkStart w:id="214" w:name="_Toc296890985"/>
      <w:bookmarkStart w:id="215" w:name="_Toc296944496"/>
      <w:r>
        <w:rPr>
          <w:rFonts w:hint="eastAsia" w:ascii="宋体" w:hAnsi="宋体" w:eastAsia="宋体" w:cs="宋体"/>
          <w:color w:val="auto"/>
          <w:sz w:val="24"/>
          <w:szCs w:val="24"/>
          <w:highlight w:val="none"/>
        </w:rPr>
        <w:t>. 发包人</w:t>
      </w:r>
      <w:bookmarkEnd w:id="200"/>
      <w:bookmarkEnd w:id="201"/>
      <w:bookmarkEnd w:id="202"/>
      <w:bookmarkEnd w:id="203"/>
      <w:bookmarkEnd w:id="204"/>
      <w:bookmarkEnd w:id="205"/>
    </w:p>
    <w:bookmarkEnd w:id="206"/>
    <w:bookmarkEnd w:id="207"/>
    <w:bookmarkEnd w:id="208"/>
    <w:bookmarkEnd w:id="209"/>
    <w:bookmarkEnd w:id="210"/>
    <w:bookmarkEnd w:id="211"/>
    <w:bookmarkEnd w:id="212"/>
    <w:bookmarkEnd w:id="213"/>
    <w:bookmarkEnd w:id="214"/>
    <w:bookmarkEnd w:id="215"/>
    <w:p w14:paraId="3674740D">
      <w:pPr>
        <w:pStyle w:val="6"/>
        <w:spacing w:before="0" w:after="0" w:line="420" w:lineRule="exact"/>
        <w:rPr>
          <w:rFonts w:ascii="宋体" w:hAnsi="宋体" w:eastAsia="宋体" w:cs="宋体"/>
          <w:color w:val="auto"/>
          <w:sz w:val="24"/>
          <w:szCs w:val="24"/>
          <w:highlight w:val="none"/>
        </w:rPr>
      </w:pPr>
      <w:bookmarkStart w:id="216" w:name="_Toc373227703"/>
      <w:bookmarkStart w:id="217" w:name="_Toc389065269"/>
      <w:bookmarkStart w:id="218" w:name="_Toc407135205"/>
      <w:bookmarkStart w:id="219" w:name="_Toc12609360"/>
      <w:bookmarkStart w:id="220" w:name="_Toc373478350"/>
      <w:r>
        <w:rPr>
          <w:rFonts w:hint="eastAsia" w:ascii="宋体" w:hAnsi="宋体" w:eastAsia="宋体" w:cs="宋体"/>
          <w:color w:val="auto"/>
          <w:sz w:val="24"/>
          <w:szCs w:val="24"/>
          <w:highlight w:val="none"/>
        </w:rPr>
        <w:t>2.2 发包人代表</w:t>
      </w:r>
      <w:bookmarkEnd w:id="216"/>
      <w:bookmarkEnd w:id="217"/>
      <w:bookmarkEnd w:id="218"/>
      <w:bookmarkEnd w:id="219"/>
      <w:bookmarkEnd w:id="220"/>
    </w:p>
    <w:p w14:paraId="4AB21CEC">
      <w:pPr>
        <w:spacing w:line="42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发包人代表：</w:t>
      </w:r>
    </w:p>
    <w:p w14:paraId="497718C8">
      <w:pPr>
        <w:spacing w:line="42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姓    名：</w:t>
      </w:r>
      <w:r>
        <w:rPr>
          <w:rFonts w:hint="eastAsia" w:ascii="宋体" w:hAnsi="宋体" w:eastAsia="宋体" w:cs="宋体"/>
          <w:color w:val="auto"/>
          <w:sz w:val="24"/>
          <w:highlight w:val="none"/>
          <w:u w:val="single"/>
        </w:rPr>
        <w:t>                       </w:t>
      </w:r>
      <w:r>
        <w:rPr>
          <w:rFonts w:hint="eastAsia" w:ascii="宋体" w:hAnsi="宋体" w:eastAsia="宋体" w:cs="宋体"/>
          <w:color w:val="auto"/>
          <w:sz w:val="24"/>
          <w:highlight w:val="none"/>
        </w:rPr>
        <w:t>；</w:t>
      </w:r>
    </w:p>
    <w:p w14:paraId="15318793">
      <w:pPr>
        <w:spacing w:line="42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身份证号：</w:t>
      </w:r>
      <w:r>
        <w:rPr>
          <w:rFonts w:hint="eastAsia" w:ascii="宋体" w:hAnsi="宋体" w:eastAsia="宋体" w:cs="宋体"/>
          <w:color w:val="auto"/>
          <w:sz w:val="24"/>
          <w:highlight w:val="none"/>
          <w:u w:val="single"/>
        </w:rPr>
        <w:t>       </w:t>
      </w:r>
      <w:r>
        <w:rPr>
          <w:rFonts w:hint="eastAsia" w:ascii="宋体" w:hAnsi="宋体" w:eastAsia="宋体" w:cs="宋体"/>
          <w:color w:val="auto"/>
          <w:sz w:val="24"/>
          <w:highlight w:val="none"/>
        </w:rPr>
        <w:t>；</w:t>
      </w:r>
    </w:p>
    <w:p w14:paraId="6D245A1E">
      <w:pPr>
        <w:spacing w:line="42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职    务：</w:t>
      </w:r>
      <w:r>
        <w:rPr>
          <w:rFonts w:hint="eastAsia" w:ascii="宋体" w:hAnsi="宋体" w:eastAsia="宋体" w:cs="宋体"/>
          <w:color w:val="auto"/>
          <w:sz w:val="24"/>
          <w:highlight w:val="none"/>
          <w:u w:val="single"/>
        </w:rPr>
        <w:t>                 </w:t>
      </w:r>
      <w:r>
        <w:rPr>
          <w:rFonts w:hint="eastAsia" w:ascii="宋体" w:hAnsi="宋体" w:eastAsia="宋体" w:cs="宋体"/>
          <w:color w:val="auto"/>
          <w:sz w:val="24"/>
          <w:highlight w:val="none"/>
        </w:rPr>
        <w:t>；</w:t>
      </w:r>
    </w:p>
    <w:p w14:paraId="5C37AF23">
      <w:pPr>
        <w:spacing w:line="42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联系电话：</w:t>
      </w:r>
      <w:r>
        <w:rPr>
          <w:rFonts w:hint="eastAsia" w:ascii="宋体" w:hAnsi="宋体" w:eastAsia="宋体" w:cs="宋体"/>
          <w:color w:val="auto"/>
          <w:sz w:val="24"/>
          <w:highlight w:val="none"/>
          <w:u w:val="single"/>
        </w:rPr>
        <w:t>                       </w:t>
      </w:r>
      <w:r>
        <w:rPr>
          <w:rFonts w:hint="eastAsia" w:ascii="宋体" w:hAnsi="宋体" w:eastAsia="宋体" w:cs="宋体"/>
          <w:color w:val="auto"/>
          <w:sz w:val="24"/>
          <w:highlight w:val="none"/>
        </w:rPr>
        <w:t>；</w:t>
      </w:r>
    </w:p>
    <w:p w14:paraId="503F4657">
      <w:pPr>
        <w:spacing w:line="42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电子信箱：</w:t>
      </w:r>
      <w:r>
        <w:rPr>
          <w:rFonts w:hint="eastAsia" w:ascii="宋体" w:hAnsi="宋体" w:eastAsia="宋体" w:cs="宋体"/>
          <w:color w:val="auto"/>
          <w:sz w:val="24"/>
          <w:highlight w:val="none"/>
          <w:u w:val="single"/>
        </w:rPr>
        <w:t>     </w:t>
      </w:r>
      <w:r>
        <w:rPr>
          <w:rFonts w:hint="eastAsia" w:ascii="宋体" w:hAnsi="宋体" w:eastAsia="宋体" w:cs="宋体"/>
          <w:color w:val="auto"/>
          <w:sz w:val="24"/>
          <w:highlight w:val="none"/>
        </w:rPr>
        <w:t>；</w:t>
      </w:r>
    </w:p>
    <w:p w14:paraId="48046492">
      <w:pPr>
        <w:spacing w:line="42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通信地址：</w:t>
      </w:r>
      <w:r>
        <w:rPr>
          <w:rFonts w:hint="eastAsia" w:ascii="宋体" w:hAnsi="宋体" w:eastAsia="宋体" w:cs="宋体"/>
          <w:color w:val="auto"/>
          <w:sz w:val="24"/>
          <w:highlight w:val="none"/>
          <w:u w:val="single"/>
        </w:rPr>
        <w:t>    </w:t>
      </w:r>
      <w:r>
        <w:rPr>
          <w:rFonts w:hint="eastAsia" w:ascii="宋体" w:hAnsi="宋体" w:eastAsia="宋体" w:cs="宋体"/>
          <w:color w:val="auto"/>
          <w:sz w:val="24"/>
          <w:highlight w:val="none"/>
        </w:rPr>
        <w:t>。</w:t>
      </w:r>
    </w:p>
    <w:p w14:paraId="1C72B55F">
      <w:pPr>
        <w:spacing w:line="420" w:lineRule="exact"/>
        <w:ind w:firstLine="480" w:firstLineChars="200"/>
        <w:rPr>
          <w:rFonts w:ascii="宋体" w:hAnsi="宋体" w:eastAsia="宋体" w:cs="宋体"/>
          <w:color w:val="auto"/>
          <w:sz w:val="24"/>
          <w:highlight w:val="none"/>
          <w:u w:val="single"/>
        </w:rPr>
      </w:pPr>
      <w:r>
        <w:rPr>
          <w:rFonts w:hint="eastAsia" w:ascii="宋体" w:hAnsi="宋体" w:eastAsia="宋体" w:cs="宋体"/>
          <w:color w:val="auto"/>
          <w:sz w:val="24"/>
          <w:highlight w:val="none"/>
        </w:rPr>
        <w:t>发包人对发包人代表的授权范围如下：</w:t>
      </w:r>
      <w:r>
        <w:rPr>
          <w:rFonts w:hint="eastAsia" w:ascii="宋体" w:hAnsi="宋体" w:eastAsia="宋体" w:cs="宋体"/>
          <w:color w:val="auto"/>
          <w:sz w:val="24"/>
          <w:highlight w:val="none"/>
          <w:u w:val="single"/>
        </w:rPr>
        <w:t xml:space="preserve">  </w:t>
      </w:r>
      <w:r>
        <w:rPr>
          <w:rStyle w:val="348"/>
          <w:rFonts w:hint="eastAsia" w:ascii="宋体" w:hAnsi="宋体" w:eastAsia="宋体" w:cs="宋体"/>
          <w:color w:val="auto"/>
          <w:kern w:val="0"/>
          <w:sz w:val="24"/>
          <w:highlight w:val="none"/>
          <w:u w:val="single"/>
        </w:rPr>
        <w:t>督促指导监理工程师行使职权，协调施工现场各方面的关系，协调工程质量、进度和安全文明施工中存在的问题，解决有关设计和技术签证，办理、签认现场经济技术签证，审核工程进度报表。开工前7天，发包人应将所派驻的工程师的姓名、委托的事项及权限、委托期限等事项书面通知承包人</w:t>
      </w:r>
      <w:r>
        <w:rPr>
          <w:rFonts w:hint="eastAsia" w:ascii="宋体" w:hAnsi="宋体" w:eastAsia="宋体" w:cs="宋体"/>
          <w:color w:val="auto"/>
          <w:sz w:val="24"/>
          <w:highlight w:val="none"/>
          <w:u w:val="single"/>
        </w:rPr>
        <w:t>。发包人现场代表在承包人提交的任何档上签名时，仅表示发包人收到前述档，并非是对档中任何内容的确认，不可作为结算依据。</w:t>
      </w:r>
    </w:p>
    <w:p w14:paraId="0CA419F4">
      <w:pPr>
        <w:pStyle w:val="6"/>
        <w:spacing w:before="0" w:after="0" w:line="420" w:lineRule="exact"/>
        <w:rPr>
          <w:rFonts w:ascii="宋体" w:hAnsi="宋体" w:eastAsia="宋体" w:cs="宋体"/>
          <w:color w:val="auto"/>
          <w:sz w:val="24"/>
          <w:szCs w:val="24"/>
          <w:highlight w:val="none"/>
        </w:rPr>
      </w:pPr>
      <w:bookmarkStart w:id="221" w:name="_Toc389065270"/>
      <w:bookmarkStart w:id="222" w:name="_Toc373478351"/>
      <w:bookmarkStart w:id="223" w:name="_Toc12609361"/>
      <w:bookmarkStart w:id="224" w:name="_Toc407135206"/>
      <w:bookmarkStart w:id="225" w:name="_Toc373227704"/>
      <w:r>
        <w:rPr>
          <w:rFonts w:hint="eastAsia" w:ascii="宋体" w:hAnsi="宋体" w:eastAsia="宋体" w:cs="宋体"/>
          <w:color w:val="auto"/>
          <w:sz w:val="24"/>
          <w:szCs w:val="24"/>
          <w:highlight w:val="none"/>
        </w:rPr>
        <w:t>2.4 施工现场、施工条件和基础资料的提供</w:t>
      </w:r>
      <w:bookmarkEnd w:id="221"/>
      <w:bookmarkEnd w:id="222"/>
      <w:bookmarkEnd w:id="223"/>
      <w:bookmarkEnd w:id="224"/>
      <w:bookmarkEnd w:id="225"/>
    </w:p>
    <w:p w14:paraId="47125B54">
      <w:pPr>
        <w:spacing w:line="420" w:lineRule="exact"/>
        <w:ind w:firstLine="480" w:firstLineChars="200"/>
        <w:outlineLvl w:val="4"/>
        <w:rPr>
          <w:rFonts w:ascii="宋体" w:hAnsi="宋体" w:eastAsia="宋体" w:cs="宋体"/>
          <w:color w:val="auto"/>
          <w:sz w:val="24"/>
          <w:highlight w:val="none"/>
        </w:rPr>
      </w:pPr>
      <w:r>
        <w:rPr>
          <w:rFonts w:hint="eastAsia" w:ascii="宋体" w:hAnsi="宋体" w:eastAsia="宋体" w:cs="宋体"/>
          <w:color w:val="auto"/>
          <w:sz w:val="24"/>
          <w:highlight w:val="none"/>
        </w:rPr>
        <w:t>2.4.1 提供施工现场</w:t>
      </w:r>
    </w:p>
    <w:p w14:paraId="23AB7D7D">
      <w:pPr>
        <w:spacing w:line="420" w:lineRule="exact"/>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关于发包人移交施工现场的期限要求：</w:t>
      </w:r>
      <w:r>
        <w:rPr>
          <w:rFonts w:hint="eastAsia" w:ascii="宋体" w:hAnsi="宋体" w:eastAsia="宋体" w:cs="宋体"/>
          <w:color w:val="auto"/>
          <w:sz w:val="24"/>
          <w:highlight w:val="none"/>
          <w:u w:val="single"/>
        </w:rPr>
        <w:t xml:space="preserve"> 关于发包人移交施工现场的期限要求施工场地应当在监理人发出的开工通知中载明的开工日期前 3 天具备施工条件并移交给承包人，具体施工条件按本合同约定。发包人最迟应当在移交施工场地的同时向承包人提供施工场地内地下管线和地下设施等有关资料，并保证资料的真实、准确和完整 </w:t>
      </w:r>
      <w:r>
        <w:rPr>
          <w:rFonts w:hint="eastAsia" w:ascii="宋体" w:hAnsi="宋体" w:eastAsia="宋体" w:cs="宋体"/>
          <w:color w:val="auto"/>
          <w:sz w:val="24"/>
          <w:highlight w:val="none"/>
        </w:rPr>
        <w:t>。</w:t>
      </w:r>
    </w:p>
    <w:p w14:paraId="5AC897D6">
      <w:pPr>
        <w:spacing w:line="420" w:lineRule="exact"/>
        <w:ind w:firstLine="480" w:firstLineChars="200"/>
        <w:outlineLvl w:val="4"/>
        <w:rPr>
          <w:rFonts w:ascii="宋体" w:hAnsi="宋体" w:eastAsia="宋体" w:cs="宋体"/>
          <w:color w:val="auto"/>
          <w:sz w:val="24"/>
          <w:highlight w:val="none"/>
        </w:rPr>
      </w:pPr>
      <w:r>
        <w:rPr>
          <w:rFonts w:hint="eastAsia" w:ascii="宋体" w:hAnsi="宋体" w:eastAsia="宋体" w:cs="宋体"/>
          <w:color w:val="auto"/>
          <w:sz w:val="24"/>
          <w:highlight w:val="none"/>
        </w:rPr>
        <w:t>2.4.2 提供施工条件</w:t>
      </w:r>
    </w:p>
    <w:p w14:paraId="208D533D">
      <w:pPr>
        <w:spacing w:line="420" w:lineRule="exact"/>
        <w:ind w:firstLine="480" w:firstLineChars="200"/>
        <w:rPr>
          <w:rFonts w:ascii="宋体" w:hAnsi="宋体" w:eastAsia="宋体" w:cs="宋体"/>
          <w:color w:val="auto"/>
          <w:sz w:val="24"/>
          <w:highlight w:val="none"/>
          <w:u w:val="single"/>
        </w:rPr>
      </w:pPr>
      <w:r>
        <w:rPr>
          <w:rFonts w:hint="eastAsia" w:ascii="宋体" w:hAnsi="宋体" w:eastAsia="宋体" w:cs="宋体"/>
          <w:color w:val="auto"/>
          <w:sz w:val="24"/>
          <w:highlight w:val="none"/>
        </w:rPr>
        <w:t>关于发包人应负责提供施工所需要的条件，包括：</w:t>
      </w:r>
      <w:r>
        <w:rPr>
          <w:rFonts w:hint="eastAsia" w:ascii="宋体" w:hAnsi="宋体" w:eastAsia="宋体" w:cs="宋体"/>
          <w:color w:val="auto"/>
          <w:sz w:val="24"/>
          <w:highlight w:val="none"/>
          <w:u w:val="single"/>
        </w:rPr>
        <w:t xml:space="preserve"> 将施工所需的水、电、电讯线路接至施工场地的时间、地点和供应要求：由承包人在磋商报价中自行考虑。若供电部门的原因造成停电，承包人必须自行解决施工用电，费用自理。 </w:t>
      </w:r>
    </w:p>
    <w:p w14:paraId="628CDBF0">
      <w:pPr>
        <w:pStyle w:val="6"/>
        <w:spacing w:before="0" w:after="0" w:line="420" w:lineRule="exact"/>
        <w:rPr>
          <w:rFonts w:ascii="宋体" w:hAnsi="宋体" w:eastAsia="宋体" w:cs="宋体"/>
          <w:color w:val="auto"/>
          <w:sz w:val="24"/>
          <w:szCs w:val="24"/>
          <w:highlight w:val="none"/>
        </w:rPr>
      </w:pPr>
      <w:bookmarkStart w:id="226" w:name="_Toc373478352"/>
      <w:bookmarkStart w:id="227" w:name="_Toc389065271"/>
      <w:bookmarkStart w:id="228" w:name="_Toc373227705"/>
      <w:bookmarkStart w:id="229" w:name="_Toc407135207"/>
      <w:bookmarkStart w:id="230" w:name="_Toc12609362"/>
      <w:r>
        <w:rPr>
          <w:rFonts w:hint="eastAsia" w:ascii="宋体" w:hAnsi="宋体" w:eastAsia="宋体" w:cs="宋体"/>
          <w:color w:val="auto"/>
          <w:sz w:val="24"/>
          <w:szCs w:val="24"/>
          <w:highlight w:val="none"/>
        </w:rPr>
        <w:t>2.5 资金来源证明及支付担保</w:t>
      </w:r>
      <w:bookmarkEnd w:id="226"/>
      <w:bookmarkEnd w:id="227"/>
      <w:bookmarkEnd w:id="228"/>
      <w:bookmarkEnd w:id="229"/>
      <w:bookmarkEnd w:id="230"/>
    </w:p>
    <w:p w14:paraId="32C754DE">
      <w:pPr>
        <w:spacing w:line="42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发包人提供资金来源证明的期限要求：</w:t>
      </w:r>
      <w:r>
        <w:rPr>
          <w:rFonts w:hint="eastAsia" w:ascii="宋体" w:hAnsi="宋体" w:eastAsia="宋体" w:cs="宋体"/>
          <w:color w:val="auto"/>
          <w:sz w:val="24"/>
          <w:highlight w:val="none"/>
          <w:u w:val="single"/>
        </w:rPr>
        <w:t xml:space="preserve">  无  </w:t>
      </w:r>
      <w:r>
        <w:rPr>
          <w:rFonts w:hint="eastAsia" w:ascii="宋体" w:hAnsi="宋体" w:eastAsia="宋体" w:cs="宋体"/>
          <w:color w:val="auto"/>
          <w:sz w:val="24"/>
          <w:highlight w:val="none"/>
        </w:rPr>
        <w:t>。</w:t>
      </w:r>
    </w:p>
    <w:p w14:paraId="31B4C2FA">
      <w:pPr>
        <w:spacing w:line="42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发包人是否提供支付担保：</w:t>
      </w:r>
      <w:r>
        <w:rPr>
          <w:rFonts w:hint="eastAsia" w:ascii="宋体" w:hAnsi="宋体" w:eastAsia="宋体" w:cs="宋体"/>
          <w:color w:val="auto"/>
          <w:sz w:val="24"/>
          <w:highlight w:val="none"/>
          <w:u w:val="single"/>
        </w:rPr>
        <w:t xml:space="preserve">   否    </w:t>
      </w:r>
      <w:r>
        <w:rPr>
          <w:rFonts w:hint="eastAsia" w:ascii="宋体" w:hAnsi="宋体" w:eastAsia="宋体" w:cs="宋体"/>
          <w:color w:val="auto"/>
          <w:sz w:val="24"/>
          <w:highlight w:val="none"/>
        </w:rPr>
        <w:t>。</w:t>
      </w:r>
    </w:p>
    <w:p w14:paraId="63E6C5D5">
      <w:pPr>
        <w:spacing w:line="42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发包人提供支付担保的形式：</w:t>
      </w:r>
      <w:r>
        <w:rPr>
          <w:rFonts w:hint="eastAsia" w:ascii="宋体" w:hAnsi="宋体" w:eastAsia="宋体" w:cs="宋体"/>
          <w:color w:val="auto"/>
          <w:sz w:val="24"/>
          <w:highlight w:val="none"/>
          <w:u w:val="single"/>
        </w:rPr>
        <w:t xml:space="preserve">   无  </w:t>
      </w:r>
      <w:r>
        <w:rPr>
          <w:rFonts w:hint="eastAsia" w:ascii="宋体" w:hAnsi="宋体" w:eastAsia="宋体" w:cs="宋体"/>
          <w:color w:val="auto"/>
          <w:sz w:val="24"/>
          <w:highlight w:val="none"/>
        </w:rPr>
        <w:t>。</w:t>
      </w:r>
    </w:p>
    <w:p w14:paraId="03F06100">
      <w:pPr>
        <w:spacing w:line="420" w:lineRule="exact"/>
        <w:ind w:firstLine="480" w:firstLineChars="200"/>
        <w:rPr>
          <w:rFonts w:ascii="宋体" w:hAnsi="宋体" w:eastAsia="宋体" w:cs="宋体"/>
          <w:color w:val="auto"/>
          <w:sz w:val="24"/>
          <w:highlight w:val="none"/>
          <w:u w:val="single"/>
        </w:rPr>
      </w:pPr>
      <w:r>
        <w:rPr>
          <w:rFonts w:hint="eastAsia" w:ascii="宋体" w:hAnsi="宋体" w:eastAsia="宋体" w:cs="宋体"/>
          <w:color w:val="auto"/>
          <w:sz w:val="24"/>
          <w:highlight w:val="none"/>
        </w:rPr>
        <w:t>发包人提供的支付担保格式见合同附件9。</w:t>
      </w:r>
    </w:p>
    <w:p w14:paraId="5275C955">
      <w:pPr>
        <w:pStyle w:val="349"/>
        <w:spacing w:before="0" w:after="0" w:line="420" w:lineRule="exact"/>
        <w:outlineLvl w:val="2"/>
        <w:rPr>
          <w:rStyle w:val="348"/>
          <w:rFonts w:ascii="宋体" w:hAnsi="宋体" w:eastAsia="宋体" w:cs="宋体"/>
          <w:color w:val="auto"/>
          <w:sz w:val="24"/>
          <w:szCs w:val="24"/>
          <w:highlight w:val="none"/>
        </w:rPr>
      </w:pPr>
      <w:bookmarkStart w:id="231" w:name="_Toc351203635"/>
      <w:r>
        <w:rPr>
          <w:rStyle w:val="348"/>
          <w:rFonts w:hint="eastAsia" w:ascii="宋体" w:hAnsi="宋体" w:eastAsia="宋体" w:cs="宋体"/>
          <w:color w:val="auto"/>
          <w:sz w:val="24"/>
          <w:szCs w:val="24"/>
          <w:highlight w:val="none"/>
        </w:rPr>
        <w:t>3</w:t>
      </w:r>
      <w:bookmarkEnd w:id="231"/>
      <w:bookmarkStart w:id="232" w:name="_Toc296503158"/>
      <w:bookmarkEnd w:id="232"/>
      <w:bookmarkStart w:id="233" w:name="_Toc292559363"/>
      <w:bookmarkEnd w:id="233"/>
      <w:bookmarkStart w:id="234" w:name="_Toc297048344"/>
      <w:bookmarkEnd w:id="234"/>
      <w:bookmarkStart w:id="235" w:name="_Toc296891198"/>
      <w:bookmarkEnd w:id="235"/>
      <w:bookmarkStart w:id="236" w:name="_Toc296944497"/>
      <w:bookmarkEnd w:id="236"/>
      <w:bookmarkStart w:id="237" w:name="_Toc292559868"/>
      <w:bookmarkEnd w:id="237"/>
      <w:bookmarkStart w:id="238" w:name="_Toc296346659"/>
      <w:bookmarkEnd w:id="238"/>
      <w:bookmarkStart w:id="239" w:name="_Toc296347157"/>
      <w:bookmarkEnd w:id="239"/>
      <w:bookmarkStart w:id="240" w:name="_Toc296890986"/>
      <w:bookmarkEnd w:id="240"/>
      <w:bookmarkStart w:id="241" w:name="_Toc297120458"/>
      <w:r>
        <w:rPr>
          <w:rStyle w:val="348"/>
          <w:rFonts w:hint="eastAsia" w:ascii="宋体" w:hAnsi="宋体" w:eastAsia="宋体" w:cs="宋体"/>
          <w:color w:val="auto"/>
          <w:sz w:val="24"/>
          <w:szCs w:val="24"/>
          <w:highlight w:val="none"/>
        </w:rPr>
        <w:t xml:space="preserve">. </w:t>
      </w:r>
      <w:bookmarkEnd w:id="241"/>
      <w:r>
        <w:rPr>
          <w:rStyle w:val="348"/>
          <w:rFonts w:hint="eastAsia" w:ascii="宋体" w:hAnsi="宋体" w:eastAsia="宋体" w:cs="宋体"/>
          <w:color w:val="auto"/>
          <w:sz w:val="24"/>
          <w:szCs w:val="24"/>
          <w:highlight w:val="none"/>
        </w:rPr>
        <w:t>承包人</w:t>
      </w:r>
    </w:p>
    <w:p w14:paraId="737EEB37">
      <w:pPr>
        <w:pStyle w:val="354"/>
        <w:spacing w:line="420" w:lineRule="exact"/>
        <w:outlineLvl w:val="3"/>
        <w:rPr>
          <w:rStyle w:val="348"/>
          <w:rFonts w:ascii="宋体" w:hAnsi="宋体" w:eastAsia="宋体" w:cs="宋体"/>
          <w:color w:val="auto"/>
          <w:sz w:val="24"/>
          <w:szCs w:val="24"/>
          <w:highlight w:val="none"/>
        </w:rPr>
      </w:pPr>
      <w:bookmarkStart w:id="242" w:name="_Toc389065273"/>
      <w:bookmarkEnd w:id="242"/>
      <w:bookmarkStart w:id="243" w:name="_Toc373227707"/>
      <w:bookmarkEnd w:id="243"/>
      <w:bookmarkStart w:id="244" w:name="_Toc373478354"/>
      <w:bookmarkEnd w:id="244"/>
      <w:bookmarkStart w:id="245" w:name="_Toc15899"/>
      <w:bookmarkEnd w:id="245"/>
      <w:r>
        <w:rPr>
          <w:rStyle w:val="348"/>
          <w:rFonts w:hint="eastAsia" w:ascii="宋体" w:hAnsi="宋体" w:eastAsia="宋体" w:cs="宋体"/>
          <w:color w:val="auto"/>
          <w:sz w:val="24"/>
          <w:szCs w:val="24"/>
          <w:highlight w:val="none"/>
        </w:rPr>
        <w:t>3.1 承包人的一般义务</w:t>
      </w:r>
    </w:p>
    <w:p w14:paraId="46C61247">
      <w:pPr>
        <w:pStyle w:val="350"/>
        <w:spacing w:line="420" w:lineRule="exact"/>
        <w:ind w:firstLine="480" w:firstLineChars="200"/>
        <w:jc w:val="left"/>
        <w:outlineLvl w:val="4"/>
        <w:rPr>
          <w:rStyle w:val="348"/>
          <w:rFonts w:ascii="宋体" w:hAnsi="宋体" w:cs="宋体"/>
          <w:color w:val="auto"/>
          <w:sz w:val="24"/>
          <w:szCs w:val="24"/>
          <w:highlight w:val="none"/>
        </w:rPr>
      </w:pPr>
      <w:r>
        <w:rPr>
          <w:rStyle w:val="348"/>
          <w:rFonts w:hint="eastAsia" w:ascii="宋体" w:hAnsi="宋体" w:cs="宋体"/>
          <w:color w:val="auto"/>
          <w:kern w:val="0"/>
          <w:sz w:val="24"/>
          <w:szCs w:val="24"/>
          <w:highlight w:val="none"/>
        </w:rPr>
        <w:t>（9）</w:t>
      </w:r>
      <w:r>
        <w:rPr>
          <w:rStyle w:val="348"/>
          <w:rFonts w:hint="eastAsia" w:ascii="宋体" w:hAnsi="宋体" w:cs="宋体"/>
          <w:color w:val="auto"/>
          <w:sz w:val="24"/>
          <w:szCs w:val="24"/>
          <w:highlight w:val="none"/>
        </w:rPr>
        <w:t>承包人提交的竣工资料的内容：</w:t>
      </w:r>
    </w:p>
    <w:p w14:paraId="0A9B413A">
      <w:pPr>
        <w:pStyle w:val="350"/>
        <w:spacing w:line="420" w:lineRule="exact"/>
        <w:ind w:firstLine="480" w:firstLineChars="200"/>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u w:val="single"/>
        </w:rPr>
        <w:t>与本工程有关的所有竣工图纸、变更等</w:t>
      </w:r>
      <w:r>
        <w:rPr>
          <w:rStyle w:val="348"/>
          <w:rFonts w:hint="eastAsia" w:ascii="宋体" w:hAnsi="宋体" w:cs="宋体"/>
          <w:color w:val="auto"/>
          <w:sz w:val="24"/>
          <w:szCs w:val="24"/>
          <w:highlight w:val="none"/>
        </w:rPr>
        <w:t xml:space="preserve">。 </w:t>
      </w:r>
    </w:p>
    <w:p w14:paraId="6A1134EA">
      <w:pPr>
        <w:pStyle w:val="350"/>
        <w:spacing w:line="420" w:lineRule="exact"/>
        <w:ind w:firstLine="480" w:firstLineChars="200"/>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承包人需要提交的竣工资料套数：</w:t>
      </w:r>
      <w:r>
        <w:rPr>
          <w:rStyle w:val="348"/>
          <w:rFonts w:hint="eastAsia" w:ascii="宋体" w:hAnsi="宋体" w:cs="宋体"/>
          <w:color w:val="auto"/>
          <w:sz w:val="24"/>
          <w:szCs w:val="24"/>
          <w:highlight w:val="none"/>
          <w:u w:val="single"/>
        </w:rPr>
        <w:t xml:space="preserve">  陆      </w:t>
      </w:r>
      <w:r>
        <w:rPr>
          <w:rStyle w:val="348"/>
          <w:rFonts w:hint="eastAsia" w:ascii="宋体" w:hAnsi="宋体" w:cs="宋体"/>
          <w:color w:val="auto"/>
          <w:sz w:val="24"/>
          <w:szCs w:val="24"/>
          <w:highlight w:val="none"/>
        </w:rPr>
        <w:t>。</w:t>
      </w:r>
    </w:p>
    <w:p w14:paraId="6D71A39A">
      <w:pPr>
        <w:pStyle w:val="350"/>
        <w:spacing w:line="420" w:lineRule="exact"/>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承包人提交的竣工资料的费用承担：</w:t>
      </w:r>
      <w:r>
        <w:rPr>
          <w:rStyle w:val="348"/>
          <w:rFonts w:hint="eastAsia" w:ascii="宋体" w:hAnsi="宋体" w:cs="宋体"/>
          <w:color w:val="auto"/>
          <w:sz w:val="24"/>
          <w:szCs w:val="24"/>
          <w:highlight w:val="none"/>
          <w:u w:val="single"/>
        </w:rPr>
        <w:t xml:space="preserve">  承包人    </w:t>
      </w:r>
      <w:r>
        <w:rPr>
          <w:rStyle w:val="348"/>
          <w:rFonts w:hint="eastAsia" w:ascii="宋体" w:hAnsi="宋体" w:cs="宋体"/>
          <w:color w:val="auto"/>
          <w:sz w:val="24"/>
          <w:szCs w:val="24"/>
          <w:highlight w:val="none"/>
        </w:rPr>
        <w:t>。</w:t>
      </w:r>
    </w:p>
    <w:p w14:paraId="2FDAEB0D">
      <w:pPr>
        <w:pStyle w:val="350"/>
        <w:spacing w:line="420" w:lineRule="exact"/>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承包人提交的竣工资料移交时间：</w:t>
      </w:r>
      <w:r>
        <w:rPr>
          <w:rStyle w:val="348"/>
          <w:rFonts w:hint="eastAsia" w:ascii="宋体" w:hAnsi="宋体" w:cs="宋体"/>
          <w:color w:val="auto"/>
          <w:sz w:val="24"/>
          <w:szCs w:val="24"/>
          <w:highlight w:val="none"/>
          <w:u w:val="single"/>
        </w:rPr>
        <w:t xml:space="preserve">  </w:t>
      </w:r>
      <w:r>
        <w:rPr>
          <w:rStyle w:val="348"/>
          <w:rFonts w:hint="eastAsia" w:ascii="宋体" w:hAnsi="宋体" w:cs="宋体"/>
          <w:color w:val="auto"/>
          <w:kern w:val="0"/>
          <w:sz w:val="24"/>
          <w:szCs w:val="24"/>
          <w:highlight w:val="none"/>
          <w:u w:val="single"/>
        </w:rPr>
        <w:t>竣工验收十五日前</w:t>
      </w:r>
      <w:r>
        <w:rPr>
          <w:rStyle w:val="348"/>
          <w:rFonts w:hint="eastAsia" w:ascii="宋体" w:hAnsi="宋体" w:cs="宋体"/>
          <w:color w:val="auto"/>
          <w:sz w:val="24"/>
          <w:szCs w:val="24"/>
          <w:highlight w:val="none"/>
          <w:u w:val="single"/>
        </w:rPr>
        <w:t xml:space="preserve">     </w:t>
      </w:r>
      <w:r>
        <w:rPr>
          <w:rStyle w:val="348"/>
          <w:rFonts w:hint="eastAsia" w:ascii="宋体" w:hAnsi="宋体" w:cs="宋体"/>
          <w:color w:val="auto"/>
          <w:sz w:val="24"/>
          <w:szCs w:val="24"/>
          <w:highlight w:val="none"/>
        </w:rPr>
        <w:t>。</w:t>
      </w:r>
    </w:p>
    <w:p w14:paraId="0443542C">
      <w:pPr>
        <w:pStyle w:val="350"/>
        <w:spacing w:line="420" w:lineRule="exact"/>
        <w:ind w:firstLine="480" w:firstLineChars="200"/>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承包人提交的竣工资料形式要求：</w:t>
      </w:r>
      <w:r>
        <w:rPr>
          <w:rStyle w:val="348"/>
          <w:rFonts w:hint="eastAsia" w:ascii="宋体" w:hAnsi="宋体" w:cs="宋体"/>
          <w:color w:val="auto"/>
          <w:sz w:val="24"/>
          <w:szCs w:val="24"/>
          <w:highlight w:val="none"/>
          <w:u w:val="single"/>
        </w:rPr>
        <w:t xml:space="preserve"> 送达发包人代表签收   </w:t>
      </w:r>
      <w:r>
        <w:rPr>
          <w:rStyle w:val="348"/>
          <w:rFonts w:hint="eastAsia" w:ascii="宋体" w:hAnsi="宋体" w:cs="宋体"/>
          <w:color w:val="auto"/>
          <w:sz w:val="24"/>
          <w:szCs w:val="24"/>
          <w:highlight w:val="none"/>
        </w:rPr>
        <w:t>。</w:t>
      </w:r>
    </w:p>
    <w:p w14:paraId="0537E849">
      <w:pPr>
        <w:pStyle w:val="350"/>
        <w:spacing w:line="420" w:lineRule="exact"/>
        <w:ind w:firstLine="480" w:firstLineChars="200"/>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承包人未按照合同约定的质量标准完成工作内容并拒绝或不配合进行完善，或未能在合同约定的工期内完成本工程，发包人有权安排第三方实施承包人未能完成的工作内容，由此发生的费用发包人可从承包人的工程款中直接扣除，无需承包人签字认可，且发包人有权要求承包人支付本工程结算总价5%的违约金。</w:t>
      </w:r>
    </w:p>
    <w:p w14:paraId="2B00E52E">
      <w:pPr>
        <w:pStyle w:val="350"/>
        <w:spacing w:line="420" w:lineRule="exact"/>
        <w:jc w:val="left"/>
        <w:outlineLvl w:val="4"/>
        <w:rPr>
          <w:rStyle w:val="348"/>
          <w:rFonts w:ascii="宋体" w:hAnsi="宋体" w:cs="宋体"/>
          <w:color w:val="auto"/>
          <w:sz w:val="24"/>
          <w:szCs w:val="24"/>
          <w:highlight w:val="none"/>
        </w:rPr>
      </w:pPr>
      <w:r>
        <w:rPr>
          <w:rStyle w:val="348"/>
          <w:rFonts w:hint="eastAsia" w:ascii="宋体" w:hAnsi="宋体" w:cs="宋体"/>
          <w:color w:val="auto"/>
          <w:kern w:val="0"/>
          <w:sz w:val="24"/>
          <w:szCs w:val="24"/>
          <w:highlight w:val="none"/>
        </w:rPr>
        <w:t>（10）承包人应履行的其他义务：</w:t>
      </w:r>
    </w:p>
    <w:p w14:paraId="23BC76D4">
      <w:pPr>
        <w:pStyle w:val="350"/>
        <w:spacing w:line="420" w:lineRule="exact"/>
        <w:ind w:firstLine="482" w:firstLineChars="200"/>
        <w:jc w:val="left"/>
        <w:rPr>
          <w:rStyle w:val="348"/>
          <w:rFonts w:ascii="宋体" w:hAnsi="宋体" w:cs="宋体"/>
          <w:b/>
          <w:bCs/>
          <w:color w:val="auto"/>
          <w:kern w:val="0"/>
          <w:sz w:val="24"/>
          <w:szCs w:val="24"/>
          <w:highlight w:val="none"/>
        </w:rPr>
      </w:pPr>
      <w:r>
        <w:rPr>
          <w:rStyle w:val="348"/>
          <w:rFonts w:hint="eastAsia" w:ascii="宋体" w:hAnsi="宋体" w:cs="宋体"/>
          <w:b/>
          <w:bCs/>
          <w:color w:val="auto"/>
          <w:kern w:val="0"/>
          <w:sz w:val="24"/>
          <w:szCs w:val="24"/>
          <w:highlight w:val="none"/>
        </w:rPr>
        <w:t>按照《中华人民共和国工会法》、《国务院关于进一步做好为农民工服务工作的意见》（国发〔2014〕40号）、《中华全国总工会关于深入贯彻落实&lt;国务院关于进一步做好为农民工服务工作的意见&gt;的实施意见》（总工发〔2015〕14号）有关要求，深入开展“农民工入会集中行动”。</w:t>
      </w:r>
    </w:p>
    <w:p w14:paraId="7CC749B7">
      <w:pPr>
        <w:pStyle w:val="354"/>
        <w:spacing w:line="420" w:lineRule="exact"/>
        <w:outlineLvl w:val="3"/>
        <w:rPr>
          <w:rStyle w:val="348"/>
          <w:rFonts w:ascii="宋体" w:hAnsi="宋体" w:eastAsia="宋体" w:cs="宋体"/>
          <w:color w:val="auto"/>
          <w:sz w:val="24"/>
          <w:szCs w:val="24"/>
          <w:highlight w:val="none"/>
        </w:rPr>
      </w:pPr>
      <w:bookmarkStart w:id="246" w:name="_Toc20483"/>
      <w:bookmarkEnd w:id="246"/>
      <w:bookmarkStart w:id="247" w:name="_Toc389065274"/>
      <w:bookmarkEnd w:id="247"/>
      <w:bookmarkStart w:id="248" w:name="_Toc373478355"/>
      <w:bookmarkEnd w:id="248"/>
      <w:bookmarkStart w:id="249" w:name="_Toc373227708"/>
      <w:r>
        <w:rPr>
          <w:rStyle w:val="348"/>
          <w:rFonts w:hint="eastAsia" w:ascii="宋体" w:hAnsi="宋体" w:eastAsia="宋体" w:cs="宋体"/>
          <w:color w:val="auto"/>
          <w:sz w:val="24"/>
          <w:szCs w:val="24"/>
          <w:highlight w:val="none"/>
        </w:rPr>
        <w:t xml:space="preserve">3.2 </w:t>
      </w:r>
      <w:bookmarkEnd w:id="249"/>
      <w:r>
        <w:rPr>
          <w:rStyle w:val="348"/>
          <w:rFonts w:hint="eastAsia" w:ascii="宋体" w:hAnsi="宋体" w:eastAsia="宋体" w:cs="宋体"/>
          <w:color w:val="auto"/>
          <w:sz w:val="24"/>
          <w:szCs w:val="24"/>
          <w:highlight w:val="none"/>
        </w:rPr>
        <w:t>项目经理</w:t>
      </w:r>
    </w:p>
    <w:p w14:paraId="31DBEAC4">
      <w:pPr>
        <w:pStyle w:val="350"/>
        <w:spacing w:line="420" w:lineRule="exact"/>
        <w:ind w:firstLine="480" w:firstLineChars="200"/>
        <w:outlineLvl w:val="4"/>
        <w:rPr>
          <w:rStyle w:val="348"/>
          <w:rFonts w:ascii="宋体" w:hAnsi="宋体" w:cs="宋体"/>
          <w:color w:val="auto"/>
          <w:sz w:val="24"/>
          <w:szCs w:val="24"/>
          <w:highlight w:val="none"/>
        </w:rPr>
      </w:pPr>
      <w:r>
        <w:rPr>
          <w:rStyle w:val="348"/>
          <w:rFonts w:hint="eastAsia" w:ascii="宋体" w:hAnsi="宋体" w:cs="宋体"/>
          <w:color w:val="auto"/>
          <w:kern w:val="0"/>
          <w:sz w:val="24"/>
          <w:szCs w:val="24"/>
          <w:highlight w:val="none"/>
        </w:rPr>
        <w:t xml:space="preserve">3.2.1 </w:t>
      </w:r>
      <w:r>
        <w:rPr>
          <w:rStyle w:val="348"/>
          <w:rFonts w:hint="eastAsia" w:ascii="宋体" w:hAnsi="宋体" w:cs="宋体"/>
          <w:color w:val="auto"/>
          <w:sz w:val="24"/>
          <w:szCs w:val="24"/>
          <w:highlight w:val="none"/>
        </w:rPr>
        <w:t>项目经理：</w:t>
      </w:r>
    </w:p>
    <w:p w14:paraId="2CF6932E">
      <w:pPr>
        <w:pStyle w:val="350"/>
        <w:spacing w:line="420" w:lineRule="exact"/>
        <w:ind w:firstLine="480" w:firstLineChars="200"/>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姓    名：</w:t>
      </w:r>
      <w:r>
        <w:rPr>
          <w:rStyle w:val="348"/>
          <w:rFonts w:hint="eastAsia" w:ascii="宋体" w:hAnsi="宋体" w:cs="宋体"/>
          <w:color w:val="auto"/>
          <w:sz w:val="24"/>
          <w:szCs w:val="24"/>
          <w:highlight w:val="none"/>
          <w:u w:val="single"/>
        </w:rPr>
        <w:t xml:space="preserve">                  </w:t>
      </w:r>
      <w:r>
        <w:rPr>
          <w:rStyle w:val="348"/>
          <w:rFonts w:hint="eastAsia" w:ascii="宋体" w:hAnsi="宋体" w:cs="宋体"/>
          <w:color w:val="auto"/>
          <w:sz w:val="24"/>
          <w:szCs w:val="24"/>
          <w:highlight w:val="none"/>
        </w:rPr>
        <w:t>；</w:t>
      </w:r>
    </w:p>
    <w:p w14:paraId="42CE60D0">
      <w:pPr>
        <w:pStyle w:val="350"/>
        <w:spacing w:line="420" w:lineRule="exact"/>
        <w:ind w:firstLine="480" w:firstLineChars="200"/>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身份证号：</w:t>
      </w:r>
      <w:r>
        <w:rPr>
          <w:rStyle w:val="348"/>
          <w:rFonts w:hint="eastAsia" w:ascii="宋体" w:hAnsi="宋体" w:cs="宋体"/>
          <w:color w:val="auto"/>
          <w:sz w:val="24"/>
          <w:szCs w:val="24"/>
          <w:highlight w:val="none"/>
          <w:u w:val="single"/>
        </w:rPr>
        <w:t xml:space="preserve">                  </w:t>
      </w:r>
      <w:r>
        <w:rPr>
          <w:rStyle w:val="348"/>
          <w:rFonts w:hint="eastAsia" w:ascii="宋体" w:hAnsi="宋体" w:cs="宋体"/>
          <w:color w:val="auto"/>
          <w:sz w:val="24"/>
          <w:szCs w:val="24"/>
          <w:highlight w:val="none"/>
        </w:rPr>
        <w:t>；</w:t>
      </w:r>
    </w:p>
    <w:p w14:paraId="1ED9FF87">
      <w:pPr>
        <w:pStyle w:val="350"/>
        <w:spacing w:line="420" w:lineRule="exact"/>
        <w:ind w:firstLine="480" w:firstLineChars="200"/>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建造师执业资格等级：</w:t>
      </w:r>
      <w:r>
        <w:rPr>
          <w:rStyle w:val="348"/>
          <w:rFonts w:hint="eastAsia" w:ascii="宋体" w:hAnsi="宋体" w:cs="宋体"/>
          <w:color w:val="auto"/>
          <w:sz w:val="24"/>
          <w:szCs w:val="24"/>
          <w:highlight w:val="none"/>
          <w:u w:val="single"/>
        </w:rPr>
        <w:t xml:space="preserve">            </w:t>
      </w:r>
      <w:r>
        <w:rPr>
          <w:rStyle w:val="348"/>
          <w:rFonts w:hint="eastAsia" w:ascii="宋体" w:hAnsi="宋体" w:cs="宋体"/>
          <w:color w:val="auto"/>
          <w:sz w:val="24"/>
          <w:szCs w:val="24"/>
          <w:highlight w:val="none"/>
        </w:rPr>
        <w:t>；</w:t>
      </w:r>
    </w:p>
    <w:p w14:paraId="4E9F81C5">
      <w:pPr>
        <w:pStyle w:val="350"/>
        <w:spacing w:line="420" w:lineRule="exact"/>
        <w:ind w:firstLine="480" w:firstLineChars="200"/>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建造师注册证书号：</w:t>
      </w:r>
      <w:r>
        <w:rPr>
          <w:rStyle w:val="348"/>
          <w:rFonts w:hint="eastAsia" w:ascii="宋体" w:hAnsi="宋体" w:cs="宋体"/>
          <w:color w:val="auto"/>
          <w:sz w:val="24"/>
          <w:szCs w:val="24"/>
          <w:highlight w:val="none"/>
          <w:u w:val="single"/>
        </w:rPr>
        <w:t xml:space="preserve">              </w:t>
      </w:r>
      <w:r>
        <w:rPr>
          <w:rStyle w:val="348"/>
          <w:rFonts w:hint="eastAsia" w:ascii="宋体" w:hAnsi="宋体" w:cs="宋体"/>
          <w:color w:val="auto"/>
          <w:sz w:val="24"/>
          <w:szCs w:val="24"/>
          <w:highlight w:val="none"/>
        </w:rPr>
        <w:t>；</w:t>
      </w:r>
    </w:p>
    <w:p w14:paraId="1671CF9D">
      <w:pPr>
        <w:pStyle w:val="350"/>
        <w:spacing w:line="420" w:lineRule="exact"/>
        <w:ind w:firstLine="480" w:firstLineChars="200"/>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建造师执业印章号：</w:t>
      </w:r>
      <w:r>
        <w:rPr>
          <w:rStyle w:val="348"/>
          <w:rFonts w:hint="eastAsia" w:ascii="宋体" w:hAnsi="宋体" w:cs="宋体"/>
          <w:color w:val="auto"/>
          <w:sz w:val="24"/>
          <w:szCs w:val="24"/>
          <w:highlight w:val="none"/>
          <w:u w:val="single"/>
        </w:rPr>
        <w:t xml:space="preserve">              </w:t>
      </w:r>
      <w:r>
        <w:rPr>
          <w:rStyle w:val="348"/>
          <w:rFonts w:hint="eastAsia" w:ascii="宋体" w:hAnsi="宋体" w:cs="宋体"/>
          <w:color w:val="auto"/>
          <w:sz w:val="24"/>
          <w:szCs w:val="24"/>
          <w:highlight w:val="none"/>
        </w:rPr>
        <w:t>；</w:t>
      </w:r>
    </w:p>
    <w:p w14:paraId="5799EA41">
      <w:pPr>
        <w:pStyle w:val="350"/>
        <w:spacing w:line="420" w:lineRule="exact"/>
        <w:ind w:firstLine="480" w:firstLineChars="200"/>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安全生产考核合格证书号：</w:t>
      </w:r>
      <w:r>
        <w:rPr>
          <w:rStyle w:val="348"/>
          <w:rFonts w:hint="eastAsia" w:ascii="宋体" w:hAnsi="宋体" w:cs="宋体"/>
          <w:color w:val="auto"/>
          <w:sz w:val="24"/>
          <w:szCs w:val="24"/>
          <w:highlight w:val="none"/>
          <w:u w:val="single"/>
        </w:rPr>
        <w:t xml:space="preserve">        </w:t>
      </w:r>
      <w:r>
        <w:rPr>
          <w:rStyle w:val="348"/>
          <w:rFonts w:hint="eastAsia" w:ascii="宋体" w:hAnsi="宋体" w:cs="宋体"/>
          <w:color w:val="auto"/>
          <w:sz w:val="24"/>
          <w:szCs w:val="24"/>
          <w:highlight w:val="none"/>
        </w:rPr>
        <w:t>；</w:t>
      </w:r>
    </w:p>
    <w:p w14:paraId="3FDF5DA8">
      <w:pPr>
        <w:spacing w:line="42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联系电话：</w:t>
      </w:r>
      <w:r>
        <w:rPr>
          <w:rFonts w:hint="eastAsia" w:ascii="宋体" w:hAnsi="宋体" w:eastAsia="宋体" w:cs="宋体"/>
          <w:color w:val="auto"/>
          <w:sz w:val="24"/>
          <w:highlight w:val="none"/>
          <w:u w:val="single"/>
        </w:rPr>
        <w:t xml:space="preserve">                </w:t>
      </w:r>
      <w:r>
        <w:rPr>
          <w:rFonts w:hint="eastAsia" w:ascii="宋体" w:hAnsi="宋体" w:eastAsia="宋体" w:cs="宋体"/>
          <w:color w:val="auto"/>
          <w:sz w:val="24"/>
          <w:highlight w:val="none"/>
        </w:rPr>
        <w:t>；</w:t>
      </w:r>
    </w:p>
    <w:p w14:paraId="1AA5F2F4">
      <w:pPr>
        <w:spacing w:line="42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电子信箱：</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1427CF69">
      <w:pPr>
        <w:spacing w:line="42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通信地址：</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4A77BC50">
      <w:pPr>
        <w:pStyle w:val="350"/>
        <w:spacing w:line="420" w:lineRule="exact"/>
        <w:ind w:firstLine="480" w:firstLineChars="200"/>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 xml:space="preserve">承包人对项目经理的授权范围如下： </w:t>
      </w:r>
      <w:r>
        <w:rPr>
          <w:rStyle w:val="348"/>
          <w:rFonts w:hint="eastAsia" w:ascii="宋体" w:hAnsi="宋体" w:cs="宋体"/>
          <w:color w:val="auto"/>
          <w:sz w:val="24"/>
          <w:szCs w:val="24"/>
          <w:highlight w:val="none"/>
          <w:u w:val="single"/>
        </w:rPr>
        <w:t>项目经理仅限于本工程的现场施工管理，但未经承包人盖章同意，不得以承包人名义向外采购材料设备、租用建筑周转材料、雇佣劳动力、签订分包合同等从事一切为承包人设立义务或责任的行为</w:t>
      </w:r>
      <w:r>
        <w:rPr>
          <w:rStyle w:val="348"/>
          <w:rFonts w:hint="eastAsia" w:ascii="宋体" w:hAnsi="宋体" w:cs="宋体"/>
          <w:color w:val="auto"/>
          <w:sz w:val="24"/>
          <w:szCs w:val="24"/>
          <w:highlight w:val="none"/>
        </w:rPr>
        <w:t>。</w:t>
      </w:r>
    </w:p>
    <w:p w14:paraId="0000C915">
      <w:pPr>
        <w:pStyle w:val="350"/>
        <w:spacing w:line="420" w:lineRule="exact"/>
        <w:ind w:firstLine="480" w:firstLineChars="200"/>
        <w:jc w:val="left"/>
        <w:rPr>
          <w:rStyle w:val="348"/>
          <w:rFonts w:ascii="宋体" w:hAnsi="宋体" w:cs="宋体"/>
          <w:color w:val="auto"/>
          <w:kern w:val="0"/>
          <w:sz w:val="24"/>
          <w:szCs w:val="24"/>
          <w:highlight w:val="none"/>
        </w:rPr>
      </w:pPr>
      <w:r>
        <w:rPr>
          <w:rStyle w:val="348"/>
          <w:rFonts w:hint="eastAsia" w:ascii="宋体" w:hAnsi="宋体" w:cs="宋体"/>
          <w:color w:val="auto"/>
          <w:kern w:val="0"/>
          <w:sz w:val="24"/>
          <w:szCs w:val="24"/>
          <w:highlight w:val="none"/>
        </w:rPr>
        <w:t>关于项目经理每月在施工现场的时间要求：</w:t>
      </w:r>
      <w:r>
        <w:rPr>
          <w:rStyle w:val="348"/>
          <w:rFonts w:hint="eastAsia" w:ascii="宋体" w:hAnsi="宋体" w:cs="宋体"/>
          <w:color w:val="auto"/>
          <w:sz w:val="24"/>
          <w:szCs w:val="24"/>
          <w:highlight w:val="none"/>
          <w:u w:val="single"/>
        </w:rPr>
        <w:t>项目经理无正当理由不得请假，到施工现场的时间每月不少于25天，每少到一天支付违约金1000元，违约金须当月向发包人缴清，否则发包人有权延期支付当月工程进度款（由发包人派驻代表或监理人员确认项目经理到场天数）。项目经理无故连续七天不到的，发包人将本项目视为挂靠工程，有权解除合同并没收履约保证金</w:t>
      </w:r>
      <w:r>
        <w:rPr>
          <w:rStyle w:val="348"/>
          <w:rFonts w:hint="eastAsia" w:ascii="宋体" w:hAnsi="宋体" w:cs="宋体"/>
          <w:color w:val="auto"/>
          <w:sz w:val="24"/>
          <w:szCs w:val="24"/>
          <w:highlight w:val="none"/>
        </w:rPr>
        <w:t>。</w:t>
      </w:r>
    </w:p>
    <w:p w14:paraId="3E6D6E77">
      <w:pPr>
        <w:pStyle w:val="350"/>
        <w:spacing w:line="420" w:lineRule="exact"/>
        <w:ind w:firstLine="480" w:firstLineChars="200"/>
        <w:rPr>
          <w:rStyle w:val="348"/>
          <w:rFonts w:ascii="宋体" w:hAnsi="宋体" w:cs="宋体"/>
          <w:color w:val="auto"/>
          <w:kern w:val="0"/>
          <w:sz w:val="24"/>
          <w:szCs w:val="24"/>
          <w:highlight w:val="none"/>
        </w:rPr>
      </w:pPr>
      <w:r>
        <w:rPr>
          <w:rStyle w:val="348"/>
          <w:rFonts w:hint="eastAsia" w:ascii="宋体" w:hAnsi="宋体" w:cs="宋体"/>
          <w:color w:val="auto"/>
          <w:kern w:val="0"/>
          <w:sz w:val="24"/>
          <w:szCs w:val="24"/>
          <w:highlight w:val="none"/>
        </w:rPr>
        <w:t>承包人未提交劳动合同，以及没有为项目经理缴纳社会保险证明的违约责任：</w:t>
      </w:r>
      <w:r>
        <w:rPr>
          <w:rStyle w:val="348"/>
          <w:rFonts w:hint="eastAsia" w:ascii="宋体" w:hAnsi="宋体" w:cs="宋体"/>
          <w:color w:val="auto"/>
          <w:sz w:val="24"/>
          <w:szCs w:val="24"/>
          <w:highlight w:val="none"/>
          <w:u w:val="single"/>
        </w:rPr>
        <w:t xml:space="preserve">承包人交纳违约金20000元，责令限期提交劳动合同并补缴社会保险  </w:t>
      </w:r>
      <w:r>
        <w:rPr>
          <w:rStyle w:val="348"/>
          <w:rFonts w:hint="eastAsia" w:ascii="宋体" w:hAnsi="宋体" w:cs="宋体"/>
          <w:color w:val="auto"/>
          <w:sz w:val="24"/>
          <w:szCs w:val="24"/>
          <w:highlight w:val="none"/>
        </w:rPr>
        <w:t>。</w:t>
      </w:r>
    </w:p>
    <w:p w14:paraId="2063B1CD">
      <w:pPr>
        <w:pStyle w:val="350"/>
        <w:spacing w:line="420" w:lineRule="exact"/>
        <w:ind w:firstLine="480" w:firstLineChars="200"/>
        <w:rPr>
          <w:rStyle w:val="348"/>
          <w:rFonts w:ascii="宋体" w:hAnsi="宋体" w:cs="宋体"/>
          <w:color w:val="auto"/>
          <w:sz w:val="24"/>
          <w:szCs w:val="24"/>
          <w:highlight w:val="none"/>
          <w:u w:val="single"/>
        </w:rPr>
      </w:pPr>
      <w:r>
        <w:rPr>
          <w:rStyle w:val="348"/>
          <w:rFonts w:hint="eastAsia" w:ascii="宋体" w:hAnsi="宋体" w:cs="宋体"/>
          <w:color w:val="auto"/>
          <w:kern w:val="0"/>
          <w:sz w:val="24"/>
          <w:szCs w:val="24"/>
          <w:highlight w:val="none"/>
        </w:rPr>
        <w:t>项目经理未经批准，擅自离开施工现场的违约责任：</w:t>
      </w:r>
      <w:r>
        <w:rPr>
          <w:rStyle w:val="348"/>
          <w:rFonts w:hint="eastAsia" w:ascii="宋体" w:hAnsi="宋体" w:cs="宋体"/>
          <w:color w:val="auto"/>
          <w:sz w:val="24"/>
          <w:szCs w:val="24"/>
          <w:highlight w:val="none"/>
          <w:u w:val="single"/>
        </w:rPr>
        <w:t xml:space="preserve">项目经理每月在岗带班时间不得少于当月施工时间的80%。未经发包人书面同意，项目经理每月在岗带班时间少于当月施工时间80%的，少在岗带班一天，发包人有权处违约金 1000元/日（人民币）  </w:t>
      </w:r>
      <w:r>
        <w:rPr>
          <w:rStyle w:val="348"/>
          <w:rFonts w:hint="eastAsia" w:ascii="宋体" w:hAnsi="宋体" w:cs="宋体"/>
          <w:color w:val="auto"/>
          <w:sz w:val="24"/>
          <w:szCs w:val="24"/>
          <w:highlight w:val="none"/>
        </w:rPr>
        <w:t>。</w:t>
      </w:r>
    </w:p>
    <w:p w14:paraId="308078BC">
      <w:pPr>
        <w:pStyle w:val="350"/>
        <w:spacing w:line="420" w:lineRule="exact"/>
        <w:ind w:firstLine="480" w:firstLineChars="200"/>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3.2.3 承包人擅自更换项目经理的违约责任：</w:t>
      </w:r>
      <w:r>
        <w:rPr>
          <w:rStyle w:val="348"/>
          <w:rFonts w:hint="eastAsia" w:ascii="宋体" w:hAnsi="宋体" w:cs="宋体"/>
          <w:color w:val="auto"/>
          <w:sz w:val="24"/>
          <w:szCs w:val="24"/>
          <w:highlight w:val="none"/>
          <w:u w:val="single"/>
        </w:rPr>
        <w:t>承包人项目经理必须与承包人投标时所承诺的人员一致，并在（开工日期）7天前到任。在监理人向承包人颁发</w:t>
      </w:r>
      <w:r>
        <w:rPr>
          <w:rFonts w:hint="eastAsia" w:ascii="宋体" w:hAnsi="宋体" w:cs="宋体"/>
          <w:b/>
          <w:color w:val="auto"/>
          <w:sz w:val="24"/>
          <w:szCs w:val="24"/>
          <w:highlight w:val="none"/>
          <w:u w:val="single"/>
        </w:rPr>
        <w:t>竣工验收意见书</w:t>
      </w:r>
      <w:r>
        <w:rPr>
          <w:rStyle w:val="348"/>
          <w:rFonts w:hint="eastAsia" w:ascii="宋体" w:hAnsi="宋体" w:cs="宋体"/>
          <w:color w:val="auto"/>
          <w:sz w:val="24"/>
          <w:szCs w:val="24"/>
          <w:highlight w:val="none"/>
          <w:u w:val="single"/>
        </w:rPr>
        <w:t>（竣工证明材料名称）前，项目经理不得同时兼任其他任何项目的项目经理</w:t>
      </w:r>
      <w:r>
        <w:rPr>
          <w:rStyle w:val="348"/>
          <w:rFonts w:hint="eastAsia" w:ascii="宋体" w:hAnsi="宋体" w:cs="宋体"/>
          <w:color w:val="auto"/>
          <w:kern w:val="0"/>
          <w:sz w:val="24"/>
          <w:szCs w:val="24"/>
          <w:highlight w:val="none"/>
          <w:u w:val="single"/>
        </w:rPr>
        <w:t>（符合桂建管</w:t>
      </w:r>
      <w:r>
        <w:rPr>
          <w:rStyle w:val="348"/>
          <w:rFonts w:hint="eastAsia" w:ascii="宋体" w:hAnsi="宋体" w:cs="宋体"/>
          <w:color w:val="auto"/>
          <w:sz w:val="24"/>
          <w:szCs w:val="24"/>
          <w:highlight w:val="none"/>
          <w:u w:val="single"/>
        </w:rPr>
        <w:t>﹝2013﹞</w:t>
      </w:r>
      <w:r>
        <w:rPr>
          <w:rStyle w:val="348"/>
          <w:rFonts w:hint="eastAsia" w:ascii="宋体" w:hAnsi="宋体" w:cs="宋体"/>
          <w:color w:val="auto"/>
          <w:kern w:val="0"/>
          <w:sz w:val="24"/>
          <w:szCs w:val="24"/>
          <w:highlight w:val="none"/>
          <w:u w:val="single"/>
        </w:rPr>
        <w:t>17号和桂建管﹝2016﹞70号、桂建管〔2020〕11号文除外）</w:t>
      </w:r>
      <w:r>
        <w:rPr>
          <w:rStyle w:val="348"/>
          <w:rFonts w:hint="eastAsia" w:ascii="宋体" w:hAnsi="宋体" w:cs="宋体"/>
          <w:color w:val="auto"/>
          <w:sz w:val="24"/>
          <w:szCs w:val="24"/>
          <w:highlight w:val="none"/>
          <w:u w:val="single"/>
        </w:rPr>
        <w:t>。未经发包人书面同意，承包人擅自更换项目经理的视为违约，违约金处 5000 元/人•次（人民币）</w:t>
      </w:r>
      <w:r>
        <w:rPr>
          <w:rStyle w:val="348"/>
          <w:rFonts w:hint="eastAsia" w:ascii="宋体" w:hAnsi="宋体" w:cs="宋体"/>
          <w:color w:val="auto"/>
          <w:sz w:val="24"/>
          <w:szCs w:val="24"/>
          <w:highlight w:val="none"/>
        </w:rPr>
        <w:t>。</w:t>
      </w:r>
    </w:p>
    <w:p w14:paraId="4F322523">
      <w:pPr>
        <w:pStyle w:val="350"/>
        <w:spacing w:line="420" w:lineRule="exact"/>
        <w:ind w:firstLine="480" w:firstLineChars="200"/>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3.2.4 承包人无正当理由拒绝更换项目经理的违约责任：</w:t>
      </w:r>
      <w:r>
        <w:rPr>
          <w:rStyle w:val="348"/>
          <w:rFonts w:hint="eastAsia" w:ascii="宋体" w:hAnsi="宋体" w:cs="宋体"/>
          <w:color w:val="auto"/>
          <w:sz w:val="24"/>
          <w:szCs w:val="24"/>
          <w:highlight w:val="none"/>
          <w:u w:val="single"/>
        </w:rPr>
        <w:t>因承包人项目经理不称职，发包人要求调换而未及时调换的，视为承包人违约，必须向发包人交纳处罚金</w:t>
      </w:r>
      <w:r>
        <w:rPr>
          <w:rStyle w:val="348"/>
          <w:rFonts w:hint="eastAsia" w:ascii="宋体" w:hAnsi="宋体" w:cs="宋体"/>
          <w:b/>
          <w:bCs/>
          <w:color w:val="auto"/>
          <w:sz w:val="24"/>
          <w:szCs w:val="24"/>
          <w:highlight w:val="none"/>
          <w:u w:val="single"/>
        </w:rPr>
        <w:t xml:space="preserve">10000 </w:t>
      </w:r>
      <w:r>
        <w:rPr>
          <w:rStyle w:val="348"/>
          <w:rFonts w:hint="eastAsia" w:ascii="宋体" w:hAnsi="宋体" w:cs="宋体"/>
          <w:color w:val="auto"/>
          <w:sz w:val="24"/>
          <w:szCs w:val="24"/>
          <w:highlight w:val="none"/>
          <w:u w:val="single"/>
        </w:rPr>
        <w:t>元/人•次（人民币）</w:t>
      </w:r>
      <w:r>
        <w:rPr>
          <w:rStyle w:val="348"/>
          <w:rFonts w:hint="eastAsia" w:ascii="宋体" w:hAnsi="宋体" w:cs="宋体"/>
          <w:color w:val="auto"/>
          <w:sz w:val="24"/>
          <w:szCs w:val="24"/>
          <w:highlight w:val="none"/>
        </w:rPr>
        <w:t>。</w:t>
      </w:r>
    </w:p>
    <w:p w14:paraId="7E0EA839">
      <w:pPr>
        <w:pStyle w:val="354"/>
        <w:spacing w:line="420" w:lineRule="exact"/>
        <w:outlineLvl w:val="3"/>
        <w:rPr>
          <w:rStyle w:val="348"/>
          <w:rFonts w:ascii="宋体" w:hAnsi="宋体" w:eastAsia="宋体" w:cs="宋体"/>
          <w:color w:val="auto"/>
          <w:sz w:val="24"/>
          <w:szCs w:val="24"/>
          <w:highlight w:val="none"/>
        </w:rPr>
      </w:pPr>
      <w:bookmarkStart w:id="250" w:name="_Toc17124"/>
      <w:bookmarkEnd w:id="250"/>
      <w:bookmarkStart w:id="251" w:name="_Toc373478356"/>
      <w:bookmarkEnd w:id="251"/>
      <w:bookmarkStart w:id="252" w:name="_Toc373227709"/>
      <w:bookmarkEnd w:id="252"/>
      <w:bookmarkStart w:id="253" w:name="_Toc389065275"/>
      <w:r>
        <w:rPr>
          <w:rStyle w:val="348"/>
          <w:rFonts w:hint="eastAsia" w:ascii="宋体" w:hAnsi="宋体" w:eastAsia="宋体" w:cs="宋体"/>
          <w:color w:val="auto"/>
          <w:sz w:val="24"/>
          <w:szCs w:val="24"/>
          <w:highlight w:val="none"/>
        </w:rPr>
        <w:t xml:space="preserve">3.3 </w:t>
      </w:r>
      <w:bookmarkEnd w:id="253"/>
      <w:r>
        <w:rPr>
          <w:rStyle w:val="348"/>
          <w:rFonts w:hint="eastAsia" w:ascii="宋体" w:hAnsi="宋体" w:eastAsia="宋体" w:cs="宋体"/>
          <w:color w:val="auto"/>
          <w:sz w:val="24"/>
          <w:szCs w:val="24"/>
          <w:highlight w:val="none"/>
        </w:rPr>
        <w:t>承包人人员</w:t>
      </w:r>
    </w:p>
    <w:p w14:paraId="5468821A">
      <w:pPr>
        <w:pStyle w:val="350"/>
        <w:spacing w:line="420" w:lineRule="exact"/>
        <w:ind w:firstLine="480" w:firstLineChars="200"/>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3.3.1 承包人提交项目管理机构及施工现场管理人员安排报告（格式见合同附件5）的期限：</w:t>
      </w:r>
      <w:r>
        <w:rPr>
          <w:rStyle w:val="348"/>
          <w:rFonts w:hint="eastAsia" w:ascii="宋体" w:hAnsi="宋体" w:cs="宋体"/>
          <w:color w:val="auto"/>
          <w:sz w:val="24"/>
          <w:szCs w:val="24"/>
          <w:highlight w:val="none"/>
          <w:u w:val="single"/>
        </w:rPr>
        <w:t>开工前7天</w:t>
      </w:r>
      <w:r>
        <w:rPr>
          <w:rStyle w:val="348"/>
          <w:rFonts w:hint="eastAsia" w:ascii="宋体" w:hAnsi="宋体" w:cs="宋体"/>
          <w:color w:val="auto"/>
          <w:sz w:val="24"/>
          <w:szCs w:val="24"/>
          <w:highlight w:val="none"/>
        </w:rPr>
        <w:t>。</w:t>
      </w:r>
    </w:p>
    <w:p w14:paraId="68E700F3">
      <w:pPr>
        <w:pStyle w:val="350"/>
        <w:spacing w:line="420" w:lineRule="exact"/>
        <w:ind w:firstLine="480" w:firstLineChars="200"/>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3.3.3 承包人无正当理由拒绝撤换主要施工管理人员的违约责任：</w:t>
      </w:r>
      <w:r>
        <w:rPr>
          <w:rStyle w:val="348"/>
          <w:rFonts w:hint="eastAsia" w:ascii="宋体" w:hAnsi="宋体" w:cs="宋体"/>
          <w:color w:val="auto"/>
          <w:sz w:val="24"/>
          <w:szCs w:val="24"/>
          <w:highlight w:val="none"/>
          <w:u w:val="single"/>
        </w:rPr>
        <w:t>因承包人主要施工管理人员不称职，发包人要求调换而无正当理由拒绝撤换或未及时调换的，视为承包人违约，必须向发包人交纳处罚金，处罚标准：技术负责人1000 元/人•次（人民币）；专业工程师 500元/人•次（人民币）</w:t>
      </w:r>
      <w:r>
        <w:rPr>
          <w:rStyle w:val="348"/>
          <w:rFonts w:hint="eastAsia" w:ascii="宋体" w:hAnsi="宋体" w:cs="宋体"/>
          <w:color w:val="auto"/>
          <w:sz w:val="24"/>
          <w:szCs w:val="24"/>
          <w:highlight w:val="none"/>
        </w:rPr>
        <w:t>。</w:t>
      </w:r>
    </w:p>
    <w:p w14:paraId="067322B1">
      <w:pPr>
        <w:pStyle w:val="350"/>
        <w:spacing w:line="420" w:lineRule="exact"/>
        <w:ind w:firstLine="480" w:firstLineChars="200"/>
        <w:rPr>
          <w:rStyle w:val="348"/>
          <w:rFonts w:ascii="宋体" w:hAnsi="宋体" w:cs="宋体"/>
          <w:color w:val="auto"/>
          <w:sz w:val="24"/>
          <w:szCs w:val="24"/>
          <w:highlight w:val="none"/>
          <w:u w:val="single"/>
        </w:rPr>
      </w:pPr>
      <w:r>
        <w:rPr>
          <w:rStyle w:val="348"/>
          <w:rFonts w:hint="eastAsia" w:ascii="宋体" w:hAnsi="宋体" w:cs="宋体"/>
          <w:color w:val="auto"/>
          <w:sz w:val="24"/>
          <w:szCs w:val="24"/>
          <w:highlight w:val="none"/>
        </w:rPr>
        <w:t>3.3.4 承包人主要施工管理人员离开施工现场的批准要求：</w:t>
      </w:r>
      <w:r>
        <w:rPr>
          <w:rStyle w:val="348"/>
          <w:rFonts w:hint="eastAsia" w:ascii="宋体" w:hAnsi="宋体" w:cs="宋体"/>
          <w:color w:val="auto"/>
          <w:sz w:val="24"/>
          <w:szCs w:val="24"/>
          <w:highlight w:val="none"/>
          <w:u w:val="single"/>
        </w:rPr>
        <w:t>须经发包人或监理人书面同意</w:t>
      </w:r>
      <w:r>
        <w:rPr>
          <w:rStyle w:val="348"/>
          <w:rFonts w:hint="eastAsia" w:ascii="宋体" w:hAnsi="宋体" w:cs="宋体"/>
          <w:color w:val="auto"/>
          <w:sz w:val="24"/>
          <w:szCs w:val="24"/>
          <w:highlight w:val="none"/>
        </w:rPr>
        <w:t>。</w:t>
      </w:r>
    </w:p>
    <w:p w14:paraId="59D4252D">
      <w:pPr>
        <w:pStyle w:val="350"/>
        <w:spacing w:line="420" w:lineRule="exact"/>
        <w:ind w:firstLine="480" w:firstLineChars="200"/>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3.3.5 承包人擅自更换主要施工管理人员的违约责任：</w:t>
      </w:r>
      <w:r>
        <w:rPr>
          <w:rStyle w:val="348"/>
          <w:rFonts w:hint="eastAsia" w:ascii="宋体" w:hAnsi="宋体" w:cs="宋体"/>
          <w:color w:val="auto"/>
          <w:sz w:val="24"/>
          <w:szCs w:val="24"/>
          <w:highlight w:val="none"/>
          <w:u w:val="single"/>
        </w:rPr>
        <w:t>项目技术负责人、专职安全员及其承诺的其他在场管理人员未经发包人书面同意不准擅自更换，擅自更换项目技术负责人处2000元/人•次（人民币）违约金；擅自更换专职安全员处1000元/人•次（人民币）违约金；擅自更换其他在场管理人员处500元/人•次（人民币）违约金</w:t>
      </w:r>
      <w:r>
        <w:rPr>
          <w:rStyle w:val="348"/>
          <w:rFonts w:hint="eastAsia" w:ascii="宋体" w:hAnsi="宋体" w:cs="宋体"/>
          <w:color w:val="auto"/>
          <w:sz w:val="24"/>
          <w:szCs w:val="24"/>
          <w:highlight w:val="none"/>
        </w:rPr>
        <w:t>。</w:t>
      </w:r>
    </w:p>
    <w:p w14:paraId="42A6D339">
      <w:pPr>
        <w:pStyle w:val="350"/>
        <w:spacing w:line="420" w:lineRule="exact"/>
        <w:ind w:firstLine="480" w:firstLineChars="200"/>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承包人主要施工管理人员擅自离开施工现场的违约责任：</w:t>
      </w:r>
      <w:r>
        <w:rPr>
          <w:rStyle w:val="348"/>
          <w:rFonts w:hint="eastAsia" w:ascii="宋体" w:hAnsi="宋体" w:cs="宋体"/>
          <w:color w:val="auto"/>
          <w:sz w:val="24"/>
          <w:szCs w:val="24"/>
          <w:highlight w:val="none"/>
          <w:u w:val="single"/>
        </w:rPr>
        <w:t>未经发包人同意，项目技术负责人擅自离岗的，视为承包人违约，发包人有权处违约金1000元/人•次（人民币）；未经发包人同意，专职安全员擅自离岗的，视为承包人违约，发包人有权处违约金500元/人•次（人民币）；其他在场管理人员擅自离岗的，视为承包人违约，发包人有权处违约金500元/人•次（人民币）</w:t>
      </w:r>
      <w:r>
        <w:rPr>
          <w:rStyle w:val="348"/>
          <w:rFonts w:hint="eastAsia" w:ascii="宋体" w:hAnsi="宋体" w:cs="宋体"/>
          <w:color w:val="auto"/>
          <w:sz w:val="24"/>
          <w:szCs w:val="24"/>
          <w:highlight w:val="none"/>
        </w:rPr>
        <w:t>。</w:t>
      </w:r>
    </w:p>
    <w:p w14:paraId="4527040C">
      <w:pPr>
        <w:pStyle w:val="354"/>
        <w:spacing w:line="420" w:lineRule="exact"/>
        <w:outlineLvl w:val="3"/>
        <w:rPr>
          <w:rStyle w:val="348"/>
          <w:rFonts w:ascii="宋体" w:hAnsi="宋体" w:eastAsia="宋体" w:cs="宋体"/>
          <w:color w:val="auto"/>
          <w:sz w:val="24"/>
          <w:szCs w:val="24"/>
          <w:highlight w:val="none"/>
        </w:rPr>
      </w:pPr>
      <w:bookmarkStart w:id="254" w:name="_Toc373227710"/>
      <w:bookmarkEnd w:id="254"/>
      <w:bookmarkStart w:id="255" w:name="_Toc3880"/>
      <w:bookmarkEnd w:id="255"/>
      <w:bookmarkStart w:id="256" w:name="_Toc373478357"/>
      <w:bookmarkEnd w:id="256"/>
      <w:bookmarkStart w:id="257" w:name="_Toc389065276"/>
      <w:r>
        <w:rPr>
          <w:rStyle w:val="348"/>
          <w:rFonts w:hint="eastAsia" w:ascii="宋体" w:hAnsi="宋体" w:eastAsia="宋体" w:cs="宋体"/>
          <w:color w:val="auto"/>
          <w:sz w:val="24"/>
          <w:szCs w:val="24"/>
          <w:highlight w:val="none"/>
        </w:rPr>
        <w:t>3</w:t>
      </w:r>
      <w:bookmarkEnd w:id="257"/>
      <w:bookmarkStart w:id="258" w:name="_Toc296944498"/>
      <w:bookmarkEnd w:id="258"/>
      <w:bookmarkStart w:id="259" w:name="_Toc296890987"/>
      <w:bookmarkEnd w:id="259"/>
      <w:bookmarkStart w:id="260" w:name="_Toc292559364"/>
      <w:bookmarkEnd w:id="260"/>
      <w:bookmarkStart w:id="261" w:name="_Toc300934945"/>
      <w:bookmarkEnd w:id="261"/>
      <w:bookmarkStart w:id="262" w:name="_Toc296346660"/>
      <w:bookmarkEnd w:id="262"/>
      <w:bookmarkStart w:id="263" w:name="_Toc297123492"/>
      <w:bookmarkEnd w:id="263"/>
      <w:bookmarkStart w:id="264" w:name="_Toc296891199"/>
      <w:bookmarkEnd w:id="264"/>
      <w:bookmarkStart w:id="265" w:name="_Toc297120459"/>
      <w:bookmarkEnd w:id="265"/>
      <w:bookmarkStart w:id="266" w:name="_Toc292559869"/>
      <w:bookmarkEnd w:id="266"/>
      <w:bookmarkStart w:id="267" w:name="_Toc296347158"/>
      <w:bookmarkEnd w:id="267"/>
      <w:bookmarkStart w:id="268" w:name="_Toc297048345"/>
      <w:bookmarkEnd w:id="268"/>
      <w:bookmarkStart w:id="269" w:name="_Toc296503159"/>
      <w:bookmarkEnd w:id="269"/>
      <w:bookmarkStart w:id="270" w:name="_Toc303539102"/>
      <w:bookmarkEnd w:id="270"/>
      <w:bookmarkStart w:id="271" w:name="_Toc312677988"/>
      <w:bookmarkEnd w:id="271"/>
      <w:bookmarkStart w:id="272" w:name="_Toc304295523"/>
      <w:bookmarkEnd w:id="272"/>
      <w:bookmarkStart w:id="273" w:name="_Toc297216151"/>
      <w:r>
        <w:rPr>
          <w:rStyle w:val="348"/>
          <w:rFonts w:hint="eastAsia" w:ascii="宋体" w:hAnsi="宋体" w:eastAsia="宋体" w:cs="宋体"/>
          <w:color w:val="auto"/>
          <w:sz w:val="24"/>
          <w:szCs w:val="24"/>
          <w:highlight w:val="none"/>
        </w:rPr>
        <w:t xml:space="preserve">.5 </w:t>
      </w:r>
      <w:bookmarkEnd w:id="273"/>
      <w:r>
        <w:rPr>
          <w:rStyle w:val="348"/>
          <w:rFonts w:hint="eastAsia" w:ascii="宋体" w:hAnsi="宋体" w:eastAsia="宋体" w:cs="宋体"/>
          <w:color w:val="auto"/>
          <w:sz w:val="24"/>
          <w:szCs w:val="24"/>
          <w:highlight w:val="none"/>
        </w:rPr>
        <w:t>分包</w:t>
      </w:r>
    </w:p>
    <w:p w14:paraId="0D5F2F03">
      <w:pPr>
        <w:pStyle w:val="350"/>
        <w:spacing w:line="420" w:lineRule="exact"/>
        <w:ind w:firstLine="480" w:firstLineChars="200"/>
        <w:outlineLvl w:val="4"/>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3</w:t>
      </w:r>
      <w:bookmarkStart w:id="274" w:name="_Toc296944499"/>
      <w:bookmarkEnd w:id="274"/>
      <w:bookmarkStart w:id="275" w:name="_Toc292559870"/>
      <w:bookmarkEnd w:id="275"/>
      <w:bookmarkStart w:id="276" w:name="_Toc297120460"/>
      <w:bookmarkEnd w:id="276"/>
      <w:bookmarkStart w:id="277" w:name="_Toc297123493"/>
      <w:bookmarkEnd w:id="277"/>
      <w:bookmarkStart w:id="278" w:name="_Toc296347159"/>
      <w:bookmarkEnd w:id="278"/>
      <w:bookmarkStart w:id="279" w:name="_Toc296890988"/>
      <w:bookmarkEnd w:id="279"/>
      <w:bookmarkStart w:id="280" w:name="_Toc296503160"/>
      <w:bookmarkEnd w:id="280"/>
      <w:bookmarkStart w:id="281" w:name="_Toc300934946"/>
      <w:bookmarkEnd w:id="281"/>
      <w:bookmarkStart w:id="282" w:name="_Toc318581158"/>
      <w:bookmarkEnd w:id="282"/>
      <w:bookmarkStart w:id="283" w:name="_Toc296346661"/>
      <w:bookmarkEnd w:id="283"/>
      <w:bookmarkStart w:id="284" w:name="_Toc312677989"/>
      <w:bookmarkEnd w:id="284"/>
      <w:bookmarkStart w:id="285" w:name="_Toc297048346"/>
      <w:bookmarkEnd w:id="285"/>
      <w:bookmarkStart w:id="286" w:name="_Toc297216152"/>
      <w:bookmarkEnd w:id="286"/>
      <w:bookmarkStart w:id="287" w:name="_Toc304295524"/>
      <w:bookmarkEnd w:id="287"/>
      <w:bookmarkStart w:id="288" w:name="_Toc292559365"/>
      <w:bookmarkEnd w:id="288"/>
      <w:bookmarkStart w:id="289" w:name="_Toc303539103"/>
      <w:bookmarkEnd w:id="289"/>
      <w:bookmarkStart w:id="290" w:name="_Toc296891200"/>
      <w:r>
        <w:rPr>
          <w:rStyle w:val="348"/>
          <w:rFonts w:hint="eastAsia" w:ascii="宋体" w:hAnsi="宋体" w:cs="宋体"/>
          <w:color w:val="auto"/>
          <w:sz w:val="24"/>
          <w:szCs w:val="24"/>
          <w:highlight w:val="none"/>
        </w:rPr>
        <w:t xml:space="preserve">.5.1 </w:t>
      </w:r>
      <w:bookmarkEnd w:id="290"/>
      <w:r>
        <w:rPr>
          <w:rStyle w:val="348"/>
          <w:rFonts w:hint="eastAsia" w:ascii="宋体" w:hAnsi="宋体" w:cs="宋体"/>
          <w:color w:val="auto"/>
          <w:sz w:val="24"/>
          <w:szCs w:val="24"/>
          <w:highlight w:val="none"/>
        </w:rPr>
        <w:t>分包的一般约定</w:t>
      </w:r>
    </w:p>
    <w:p w14:paraId="32EA9866">
      <w:pPr>
        <w:pStyle w:val="350"/>
        <w:spacing w:line="420" w:lineRule="exact"/>
        <w:ind w:firstLine="480" w:firstLineChars="200"/>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禁止分包的工程包括：</w:t>
      </w:r>
      <w:r>
        <w:rPr>
          <w:rStyle w:val="348"/>
          <w:rFonts w:hint="eastAsia" w:ascii="宋体" w:hAnsi="宋体" w:cs="宋体"/>
          <w:b/>
          <w:bCs/>
          <w:color w:val="auto"/>
          <w:sz w:val="24"/>
          <w:szCs w:val="24"/>
          <w:highlight w:val="none"/>
          <w:u w:val="single"/>
        </w:rPr>
        <w:t>本工程不允许分包</w:t>
      </w:r>
      <w:r>
        <w:rPr>
          <w:rStyle w:val="348"/>
          <w:rFonts w:hint="eastAsia" w:ascii="宋体" w:hAnsi="宋体" w:cs="宋体"/>
          <w:color w:val="auto"/>
          <w:sz w:val="24"/>
          <w:szCs w:val="24"/>
          <w:highlight w:val="none"/>
        </w:rPr>
        <w:t>。</w:t>
      </w:r>
    </w:p>
    <w:p w14:paraId="39033133">
      <w:pPr>
        <w:pStyle w:val="350"/>
        <w:spacing w:line="420" w:lineRule="exact"/>
        <w:ind w:firstLine="480" w:firstLineChars="200"/>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主体结构、关键性工作的范围：</w:t>
      </w:r>
      <w:r>
        <w:rPr>
          <w:rStyle w:val="348"/>
          <w:rFonts w:hint="eastAsia" w:ascii="宋体" w:hAnsi="宋体" w:cs="宋体"/>
          <w:color w:val="auto"/>
          <w:sz w:val="24"/>
          <w:szCs w:val="24"/>
          <w:highlight w:val="none"/>
          <w:u w:val="single"/>
        </w:rPr>
        <w:t xml:space="preserve">  无 </w:t>
      </w:r>
      <w:r>
        <w:rPr>
          <w:rStyle w:val="348"/>
          <w:rFonts w:hint="eastAsia" w:ascii="宋体" w:hAnsi="宋体" w:cs="宋体"/>
          <w:color w:val="auto"/>
          <w:sz w:val="24"/>
          <w:szCs w:val="24"/>
          <w:highlight w:val="none"/>
        </w:rPr>
        <w:t>。</w:t>
      </w:r>
    </w:p>
    <w:p w14:paraId="6DEFED03">
      <w:pPr>
        <w:pStyle w:val="350"/>
        <w:spacing w:line="420" w:lineRule="exact"/>
        <w:ind w:firstLine="480" w:firstLineChars="200"/>
        <w:jc w:val="left"/>
        <w:outlineLvl w:val="4"/>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3</w:t>
      </w:r>
      <w:bookmarkStart w:id="291" w:name="_Toc318581159"/>
      <w:bookmarkEnd w:id="291"/>
      <w:bookmarkStart w:id="292" w:name="_Toc312677990"/>
      <w:r>
        <w:rPr>
          <w:rStyle w:val="348"/>
          <w:rFonts w:hint="eastAsia" w:ascii="宋体" w:hAnsi="宋体" w:cs="宋体"/>
          <w:color w:val="auto"/>
          <w:sz w:val="24"/>
          <w:szCs w:val="24"/>
          <w:highlight w:val="none"/>
        </w:rPr>
        <w:t>.5.2</w:t>
      </w:r>
      <w:bookmarkEnd w:id="292"/>
      <w:r>
        <w:rPr>
          <w:rStyle w:val="348"/>
          <w:rFonts w:hint="eastAsia" w:ascii="宋体" w:hAnsi="宋体" w:cs="宋体"/>
          <w:color w:val="auto"/>
          <w:sz w:val="24"/>
          <w:szCs w:val="24"/>
          <w:highlight w:val="none"/>
        </w:rPr>
        <w:t xml:space="preserve"> 分包的确定</w:t>
      </w:r>
    </w:p>
    <w:p w14:paraId="4B920314">
      <w:pPr>
        <w:pStyle w:val="350"/>
        <w:spacing w:line="420" w:lineRule="exact"/>
        <w:ind w:firstLine="480" w:firstLineChars="200"/>
        <w:rPr>
          <w:rStyle w:val="348"/>
          <w:rFonts w:ascii="宋体" w:hAnsi="宋体" w:cs="宋体"/>
          <w:color w:val="auto"/>
          <w:sz w:val="24"/>
          <w:szCs w:val="24"/>
          <w:highlight w:val="none"/>
          <w:u w:val="single"/>
        </w:rPr>
      </w:pPr>
      <w:r>
        <w:rPr>
          <w:rStyle w:val="348"/>
          <w:rFonts w:hint="eastAsia" w:ascii="宋体" w:hAnsi="宋体" w:cs="宋体"/>
          <w:color w:val="auto"/>
          <w:sz w:val="24"/>
          <w:szCs w:val="24"/>
          <w:highlight w:val="none"/>
        </w:rPr>
        <w:t>允许分包的专业工程包括：</w:t>
      </w:r>
      <w:r>
        <w:rPr>
          <w:rStyle w:val="348"/>
          <w:rFonts w:hint="eastAsia" w:ascii="宋体" w:hAnsi="宋体" w:cs="宋体"/>
          <w:color w:val="auto"/>
          <w:sz w:val="24"/>
          <w:szCs w:val="24"/>
          <w:highlight w:val="none"/>
          <w:u w:val="single"/>
        </w:rPr>
        <w:t>无</w:t>
      </w:r>
      <w:r>
        <w:rPr>
          <w:rStyle w:val="348"/>
          <w:rFonts w:hint="eastAsia" w:ascii="宋体" w:hAnsi="宋体" w:cs="宋体"/>
          <w:color w:val="auto"/>
          <w:sz w:val="24"/>
          <w:szCs w:val="24"/>
          <w:highlight w:val="none"/>
        </w:rPr>
        <w:t>。</w:t>
      </w:r>
    </w:p>
    <w:p w14:paraId="29ACDEAA">
      <w:pPr>
        <w:pStyle w:val="350"/>
        <w:spacing w:line="420" w:lineRule="exact"/>
        <w:ind w:firstLine="480" w:firstLineChars="200"/>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其他关于分包的约定：</w:t>
      </w:r>
    </w:p>
    <w:p w14:paraId="7BF55363">
      <w:pPr>
        <w:pStyle w:val="350"/>
        <w:spacing w:line="420" w:lineRule="exact"/>
        <w:ind w:firstLine="480" w:firstLineChars="200"/>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1）除前款约定的分包内容外，经过发包人和监理人同意，承包人可以将其他非主体、非关键性工作分包给第三人，但分包人应当经过发包人和监理人书面审批。发包人和监理人有权拒绝承包人的分包请求和承包人选择的分包人。本项目分包人主要施工管理人员名单详见合同附件6。</w:t>
      </w:r>
    </w:p>
    <w:p w14:paraId="5A3CA5B9">
      <w:pPr>
        <w:pStyle w:val="350"/>
        <w:spacing w:line="420" w:lineRule="exact"/>
        <w:ind w:firstLine="480" w:firstLineChars="200"/>
        <w:rPr>
          <w:rStyle w:val="348"/>
          <w:rFonts w:ascii="宋体" w:hAnsi="宋体" w:cs="宋体"/>
          <w:color w:val="auto"/>
          <w:sz w:val="24"/>
          <w:szCs w:val="24"/>
          <w:highlight w:val="none"/>
          <w:u w:val="single"/>
        </w:rPr>
      </w:pPr>
      <w:r>
        <w:rPr>
          <w:rStyle w:val="348"/>
          <w:rFonts w:hint="eastAsia" w:ascii="宋体" w:hAnsi="宋体" w:cs="宋体"/>
          <w:color w:val="auto"/>
          <w:sz w:val="24"/>
          <w:szCs w:val="24"/>
          <w:highlight w:val="none"/>
        </w:rPr>
        <w:t>（2）在相关分包合同签订并报送有关建设行政主管部门备案后7天内，承包人应当将一份副本提交给监理人，承包人应保障分包工作不得再次分包。</w:t>
      </w:r>
    </w:p>
    <w:p w14:paraId="4A3C7475">
      <w:pPr>
        <w:pStyle w:val="350"/>
        <w:spacing w:line="420" w:lineRule="exact"/>
        <w:ind w:firstLine="480" w:firstLineChars="200"/>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（3）未经发包人和监理人审批同意的分包工程和分包人，发包人有权拒绝验收分包工程和支付相应款项，由此引起的承包人费用增加和(或)延误的工期由承包人承担。</w:t>
      </w:r>
    </w:p>
    <w:p w14:paraId="7C6A2336">
      <w:pPr>
        <w:pStyle w:val="356"/>
        <w:spacing w:line="420" w:lineRule="exact"/>
        <w:ind w:firstLine="480" w:firstLineChars="200"/>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（4）承包人有以下情况之一者，发包人有权解除合同，并视情况扣除其履约保证金：</w:t>
      </w:r>
    </w:p>
    <w:p w14:paraId="267E4B04">
      <w:pPr>
        <w:pStyle w:val="356"/>
        <w:spacing w:line="420" w:lineRule="exact"/>
        <w:ind w:firstLine="504" w:firstLineChars="210"/>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①个人承包工程，包括本单位及外单位人员承包，发包人不承认其个人拥有任何资质等级及营业许可资格。没收全部履约保证金。</w:t>
      </w:r>
    </w:p>
    <w:p w14:paraId="6F3B87C0">
      <w:pPr>
        <w:pStyle w:val="356"/>
        <w:spacing w:line="420" w:lineRule="exact"/>
        <w:ind w:firstLine="504" w:firstLineChars="210"/>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②几个人联合承包工程，就地组织暗分包队伍，不具备完成本工程的技术、机械能力，被发包人判定为没有能力履行的承包人。没收全部履约保证金。</w:t>
      </w:r>
    </w:p>
    <w:p w14:paraId="031EE39E">
      <w:pPr>
        <w:pStyle w:val="356"/>
        <w:spacing w:line="420" w:lineRule="exact"/>
        <w:ind w:firstLine="504" w:firstLineChars="210"/>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③就地转包全部的工程，以谋取高额转让费、管理费的承包人。没收全部履约保证金。</w:t>
      </w:r>
    </w:p>
    <w:p w14:paraId="301D38DD">
      <w:pPr>
        <w:pStyle w:val="350"/>
        <w:spacing w:line="420" w:lineRule="exact"/>
        <w:ind w:firstLine="480" w:firstLineChars="200"/>
        <w:rPr>
          <w:rStyle w:val="348"/>
          <w:rFonts w:ascii="宋体" w:hAnsi="宋体" w:cs="宋体"/>
          <w:color w:val="auto"/>
          <w:sz w:val="24"/>
          <w:szCs w:val="24"/>
          <w:highlight w:val="none"/>
          <w:u w:val="single"/>
        </w:rPr>
      </w:pPr>
      <w:r>
        <w:rPr>
          <w:rStyle w:val="348"/>
          <w:rFonts w:hint="eastAsia" w:ascii="宋体" w:hAnsi="宋体" w:cs="宋体"/>
          <w:color w:val="auto"/>
          <w:sz w:val="24"/>
          <w:szCs w:val="24"/>
          <w:highlight w:val="none"/>
        </w:rPr>
        <w:t>④承包人有部分分包现象（其中包括冒充承包人下属单位的挂勾单位，凭口头协议参与施工的分包人及其他暗分包个体户），一经发现核实，发包人将采取驱逐该暗分包人措施。没收全部履约保证金。</w:t>
      </w:r>
    </w:p>
    <w:p w14:paraId="0BCFECE7">
      <w:pPr>
        <w:pStyle w:val="350"/>
        <w:spacing w:line="420" w:lineRule="exact"/>
        <w:ind w:firstLine="480" w:firstLineChars="200"/>
        <w:outlineLvl w:val="4"/>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3.5.4 分包合同价款</w:t>
      </w:r>
    </w:p>
    <w:p w14:paraId="0369DB23">
      <w:pPr>
        <w:pStyle w:val="350"/>
        <w:spacing w:line="420" w:lineRule="exact"/>
        <w:ind w:firstLine="480" w:firstLineChars="200"/>
        <w:rPr>
          <w:rStyle w:val="348"/>
          <w:rFonts w:ascii="宋体" w:hAnsi="宋体" w:cs="宋体"/>
          <w:color w:val="auto"/>
          <w:sz w:val="24"/>
          <w:szCs w:val="24"/>
          <w:highlight w:val="none"/>
        </w:rPr>
      </w:pPr>
      <w:bookmarkStart w:id="293" w:name="_Toc373478358"/>
      <w:bookmarkEnd w:id="293"/>
      <w:bookmarkStart w:id="294" w:name="_Toc389065277"/>
      <w:bookmarkEnd w:id="294"/>
      <w:bookmarkStart w:id="295" w:name="_Toc373227711"/>
      <w:r>
        <w:rPr>
          <w:rStyle w:val="348"/>
          <w:rFonts w:hint="eastAsia" w:ascii="宋体" w:hAnsi="宋体" w:cs="宋体"/>
          <w:color w:val="auto"/>
          <w:sz w:val="24"/>
          <w:szCs w:val="24"/>
          <w:highlight w:val="none"/>
        </w:rPr>
        <w:t>关于分包合同价款支付的约定：</w:t>
      </w:r>
      <w:bookmarkEnd w:id="295"/>
      <w:r>
        <w:rPr>
          <w:rStyle w:val="348"/>
          <w:rFonts w:hint="eastAsia" w:ascii="宋体" w:hAnsi="宋体" w:cs="宋体"/>
          <w:color w:val="auto"/>
          <w:sz w:val="24"/>
          <w:szCs w:val="24"/>
          <w:highlight w:val="none"/>
          <w:u w:val="single"/>
        </w:rPr>
        <w:t>分包工程价款由承包人与分包人（包括专业分包人）结算。发包人未经承包人同意不得以任何形式向分包人（包括专业分包人）支付相关分包合同项下的任何工程款项。因发包人未经承包人同意直接向分包人（包括专业分包人）支付相关分包合同项下的任何工程款项而影响承包人工作的，所造成的承包人费用增加和（或）延误的工期由发包人承担。</w:t>
      </w:r>
    </w:p>
    <w:p w14:paraId="7CC15A9A">
      <w:pPr>
        <w:pStyle w:val="354"/>
        <w:spacing w:line="420" w:lineRule="exact"/>
        <w:outlineLvl w:val="3"/>
        <w:rPr>
          <w:rStyle w:val="348"/>
          <w:rFonts w:ascii="宋体" w:hAnsi="宋体" w:eastAsia="宋体" w:cs="宋体"/>
          <w:color w:val="auto"/>
          <w:sz w:val="24"/>
          <w:szCs w:val="24"/>
          <w:highlight w:val="none"/>
        </w:rPr>
      </w:pPr>
      <w:bookmarkStart w:id="296" w:name="_Toc8082"/>
      <w:bookmarkEnd w:id="296"/>
      <w:r>
        <w:rPr>
          <w:rStyle w:val="348"/>
          <w:rFonts w:hint="eastAsia" w:ascii="宋体" w:hAnsi="宋体" w:eastAsia="宋体" w:cs="宋体"/>
          <w:color w:val="auto"/>
          <w:sz w:val="24"/>
          <w:szCs w:val="24"/>
          <w:highlight w:val="none"/>
        </w:rPr>
        <w:t>3.6 工程照管与成品、半成品保护</w:t>
      </w:r>
    </w:p>
    <w:p w14:paraId="2B38A5E6">
      <w:pPr>
        <w:pStyle w:val="350"/>
        <w:spacing w:line="420" w:lineRule="exact"/>
        <w:ind w:firstLine="480" w:firstLineChars="200"/>
        <w:rPr>
          <w:rStyle w:val="348"/>
          <w:rFonts w:ascii="宋体" w:hAnsi="宋体" w:cs="宋体"/>
          <w:color w:val="auto"/>
          <w:kern w:val="0"/>
          <w:sz w:val="24"/>
          <w:szCs w:val="24"/>
          <w:highlight w:val="none"/>
        </w:rPr>
      </w:pPr>
      <w:r>
        <w:rPr>
          <w:rStyle w:val="348"/>
          <w:rFonts w:hint="eastAsia" w:ascii="宋体" w:hAnsi="宋体" w:cs="宋体"/>
          <w:color w:val="auto"/>
          <w:kern w:val="0"/>
          <w:sz w:val="24"/>
          <w:szCs w:val="24"/>
          <w:highlight w:val="none"/>
        </w:rPr>
        <w:t>承包人负责照管工程及工程相关的材料、工程设备的起始时间：</w:t>
      </w:r>
      <w:r>
        <w:rPr>
          <w:rStyle w:val="348"/>
          <w:rFonts w:hint="eastAsia" w:ascii="宋体" w:hAnsi="宋体" w:cs="宋体"/>
          <w:color w:val="auto"/>
          <w:kern w:val="0"/>
          <w:sz w:val="24"/>
          <w:szCs w:val="24"/>
          <w:highlight w:val="none"/>
          <w:u w:val="single"/>
        </w:rPr>
        <w:t>从开工之日起至竣工验收合格交付使用之日止</w:t>
      </w:r>
      <w:r>
        <w:rPr>
          <w:rStyle w:val="348"/>
          <w:rFonts w:hint="eastAsia" w:ascii="宋体" w:hAnsi="宋体" w:cs="宋体"/>
          <w:color w:val="auto"/>
          <w:kern w:val="0"/>
          <w:sz w:val="24"/>
          <w:szCs w:val="24"/>
          <w:highlight w:val="none"/>
        </w:rPr>
        <w:t>。</w:t>
      </w:r>
    </w:p>
    <w:p w14:paraId="46FFC508">
      <w:pPr>
        <w:pStyle w:val="354"/>
        <w:spacing w:line="420" w:lineRule="exact"/>
        <w:outlineLvl w:val="3"/>
        <w:rPr>
          <w:rFonts w:ascii="宋体" w:hAnsi="宋体" w:eastAsia="宋体" w:cs="宋体"/>
          <w:color w:val="auto"/>
          <w:sz w:val="24"/>
          <w:szCs w:val="24"/>
          <w:highlight w:val="none"/>
        </w:rPr>
      </w:pPr>
      <w:bookmarkStart w:id="297" w:name="_Toc467599573"/>
      <w:r>
        <w:rPr>
          <w:rFonts w:hint="eastAsia" w:ascii="宋体" w:hAnsi="宋体" w:eastAsia="宋体" w:cs="宋体"/>
          <w:color w:val="auto"/>
          <w:sz w:val="24"/>
          <w:szCs w:val="24"/>
          <w:highlight w:val="none"/>
        </w:rPr>
        <w:t>3.7 履约保证金</w:t>
      </w:r>
      <w:bookmarkEnd w:id="297"/>
    </w:p>
    <w:p w14:paraId="00B09E20">
      <w:pPr>
        <w:pStyle w:val="357"/>
        <w:spacing w:line="420" w:lineRule="exact"/>
        <w:ind w:firstLine="480" w:firstLineChars="200"/>
        <w:jc w:val="left"/>
        <w:rPr>
          <w:rFonts w:ascii="宋体" w:hAnsi="宋体" w:cs="宋体"/>
          <w:color w:val="auto"/>
          <w:sz w:val="24"/>
          <w:szCs w:val="24"/>
          <w:highlight w:val="none"/>
        </w:rPr>
      </w:pPr>
      <w:r>
        <w:rPr>
          <w:rFonts w:hint="eastAsia" w:ascii="宋体" w:hAnsi="宋体" w:cs="宋体"/>
          <w:color w:val="auto"/>
          <w:sz w:val="24"/>
          <w:szCs w:val="24"/>
          <w:highlight w:val="none"/>
        </w:rPr>
        <w:t>承包人提供履约担保的形式、金额及期限：</w:t>
      </w:r>
      <w:r>
        <w:rPr>
          <w:rFonts w:hint="eastAsia" w:ascii="宋体" w:hAnsi="宋体" w:cs="宋体"/>
          <w:color w:val="auto"/>
          <w:sz w:val="24"/>
          <w:szCs w:val="24"/>
          <w:highlight w:val="none"/>
          <w:u w:val="single"/>
        </w:rPr>
        <w:t>承包人在收到成交通知书后，须在7日</w:t>
      </w:r>
      <w:bookmarkStart w:id="1094" w:name="_GoBack"/>
      <w:r>
        <w:rPr>
          <w:rFonts w:hint="eastAsia" w:ascii="宋体" w:hAnsi="宋体" w:cs="宋体"/>
          <w:color w:val="auto"/>
          <w:sz w:val="24"/>
          <w:szCs w:val="24"/>
          <w:highlight w:val="none"/>
          <w:u w:val="single"/>
        </w:rPr>
        <w:t>内向发包人提交合同总价的</w:t>
      </w:r>
      <w:r>
        <w:rPr>
          <w:rFonts w:hint="eastAsia" w:ascii="宋体" w:hAnsi="宋体" w:cs="宋体"/>
          <w:color w:val="auto"/>
          <w:sz w:val="24"/>
          <w:szCs w:val="24"/>
          <w:highlight w:val="none"/>
          <w:u w:val="single"/>
          <w:lang w:val="en-US" w:eastAsia="zh-CN"/>
        </w:rPr>
        <w:t>5</w:t>
      </w:r>
      <w:r>
        <w:rPr>
          <w:rFonts w:ascii="宋体" w:hAnsi="宋体" w:cs="宋体"/>
          <w:color w:val="auto"/>
          <w:sz w:val="24"/>
          <w:szCs w:val="24"/>
          <w:highlight w:val="none"/>
          <w:u w:val="single"/>
        </w:rPr>
        <w:t>%（</w:t>
      </w:r>
      <w:r>
        <w:rPr>
          <w:rFonts w:hint="eastAsia" w:ascii="宋体" w:hAnsi="宋体" w:cs="宋体"/>
          <w:color w:val="auto"/>
          <w:sz w:val="24"/>
          <w:szCs w:val="24"/>
          <w:highlight w:val="none"/>
          <w:u w:val="single"/>
        </w:rPr>
        <w:t>中小微企业</w:t>
      </w:r>
      <w:r>
        <w:rPr>
          <w:rFonts w:hint="eastAsia" w:ascii="宋体" w:hAnsi="宋体" w:cs="宋体"/>
          <w:color w:val="auto"/>
          <w:sz w:val="24"/>
          <w:szCs w:val="24"/>
          <w:highlight w:val="none"/>
          <w:u w:val="single"/>
          <w:lang w:val="en-US" w:eastAsia="zh-CN"/>
        </w:rPr>
        <w:t>按</w:t>
      </w:r>
      <w:r>
        <w:rPr>
          <w:rFonts w:hint="eastAsia" w:ascii="宋体" w:hAnsi="宋体" w:cs="宋体"/>
          <w:color w:val="auto"/>
          <w:sz w:val="24"/>
          <w:szCs w:val="24"/>
          <w:highlight w:val="none"/>
          <w:u w:val="single"/>
        </w:rPr>
        <w:t>合同总价的</w:t>
      </w:r>
      <w:r>
        <w:rPr>
          <w:rFonts w:hint="eastAsia" w:ascii="宋体" w:hAnsi="宋体" w:cs="宋体"/>
          <w:color w:val="auto"/>
          <w:sz w:val="24"/>
          <w:szCs w:val="24"/>
          <w:highlight w:val="none"/>
          <w:u w:val="single"/>
          <w:lang w:val="en-US" w:eastAsia="zh-CN"/>
        </w:rPr>
        <w:t>2</w:t>
      </w:r>
      <w:r>
        <w:rPr>
          <w:rFonts w:ascii="宋体" w:hAnsi="宋体" w:cs="宋体"/>
          <w:color w:val="auto"/>
          <w:sz w:val="24"/>
          <w:szCs w:val="24"/>
          <w:highlight w:val="none"/>
          <w:u w:val="single"/>
        </w:rPr>
        <w:t>%</w:t>
      </w:r>
      <w:r>
        <w:rPr>
          <w:rFonts w:hint="eastAsia" w:ascii="宋体" w:hAnsi="宋体" w:cs="宋体"/>
          <w:color w:val="auto"/>
          <w:sz w:val="24"/>
          <w:szCs w:val="24"/>
          <w:highlight w:val="none"/>
          <w:u w:val="single"/>
          <w:lang w:val="en-US" w:eastAsia="zh-CN"/>
        </w:rPr>
        <w:t>收取</w:t>
      </w:r>
      <w:r>
        <w:rPr>
          <w:rFonts w:ascii="宋体" w:hAnsi="宋体" w:cs="宋体"/>
          <w:color w:val="auto"/>
          <w:sz w:val="24"/>
          <w:szCs w:val="24"/>
          <w:highlight w:val="none"/>
          <w:u w:val="single"/>
        </w:rPr>
        <w:t>）</w:t>
      </w:r>
      <w:r>
        <w:rPr>
          <w:rFonts w:hint="eastAsia" w:ascii="宋体" w:hAnsi="宋体" w:cs="宋体"/>
          <w:color w:val="auto"/>
          <w:sz w:val="24"/>
          <w:szCs w:val="24"/>
          <w:highlight w:val="none"/>
          <w:u w:val="single"/>
        </w:rPr>
        <w:t>的</w:t>
      </w:r>
      <w:r>
        <w:rPr>
          <w:rFonts w:hint="eastAsia" w:ascii="宋体" w:hAnsi="宋体" w:cs="宋体"/>
          <w:color w:val="auto"/>
          <w:sz w:val="24"/>
          <w:szCs w:val="24"/>
          <w:highlight w:val="none"/>
          <w:u w:val="single"/>
        </w:rPr>
        <w:t>履约保</w:t>
      </w:r>
      <w:bookmarkEnd w:id="1094"/>
      <w:r>
        <w:rPr>
          <w:rFonts w:hint="eastAsia" w:ascii="宋体" w:hAnsi="宋体" w:cs="宋体"/>
          <w:color w:val="auto"/>
          <w:sz w:val="24"/>
          <w:szCs w:val="24"/>
          <w:highlight w:val="none"/>
          <w:u w:val="single"/>
        </w:rPr>
        <w:t>证金；履约保证金递交方式：电汇、转账、支票、汇票、本票、保函等非现金形式。</w:t>
      </w:r>
    </w:p>
    <w:p w14:paraId="02157DE6">
      <w:pPr>
        <w:pStyle w:val="357"/>
        <w:spacing w:line="420" w:lineRule="exact"/>
        <w:ind w:firstLine="480" w:firstLineChars="200"/>
        <w:jc w:val="left"/>
        <w:rPr>
          <w:rFonts w:ascii="宋体" w:hAnsi="宋体" w:cs="宋体"/>
          <w:color w:val="auto"/>
          <w:sz w:val="24"/>
          <w:szCs w:val="24"/>
          <w:highlight w:val="none"/>
          <w:u w:val="single"/>
        </w:rPr>
      </w:pPr>
      <w:r>
        <w:rPr>
          <w:rFonts w:hint="eastAsia" w:ascii="宋体" w:hAnsi="宋体" w:cs="宋体"/>
          <w:color w:val="auto"/>
          <w:sz w:val="24"/>
          <w:szCs w:val="24"/>
          <w:highlight w:val="none"/>
          <w:u w:val="single"/>
        </w:rPr>
        <w:t>工程竣工验收合格并对验收发现的问题完成整改后的7个日历天内，发包人支付履约保证金的50%；承包人向发包人完成（施工）竣工资料、档案资料移交、管理权（移交确认书）移交手续后，可向发包人申请退还剩余履约保证金，发包人应在收到申请之日起28个日历天内扣减承包人赔偿金和其他应从承包人扣回的款项后，将履约保证金的余额退还给承包人。</w:t>
      </w:r>
    </w:p>
    <w:p w14:paraId="5EE8CA2C">
      <w:pPr>
        <w:pStyle w:val="349"/>
        <w:spacing w:before="0" w:after="0" w:line="420" w:lineRule="exact"/>
        <w:outlineLvl w:val="2"/>
        <w:rPr>
          <w:rStyle w:val="348"/>
          <w:rFonts w:ascii="宋体" w:hAnsi="宋体" w:eastAsia="宋体" w:cs="宋体"/>
          <w:color w:val="auto"/>
          <w:sz w:val="24"/>
          <w:szCs w:val="24"/>
          <w:highlight w:val="none"/>
        </w:rPr>
      </w:pPr>
      <w:bookmarkStart w:id="298" w:name="_Toc373227712"/>
      <w:bookmarkEnd w:id="298"/>
      <w:bookmarkStart w:id="299" w:name="_Toc373478359"/>
      <w:bookmarkEnd w:id="299"/>
      <w:bookmarkStart w:id="300" w:name="_Toc389065278"/>
      <w:bookmarkEnd w:id="300"/>
      <w:bookmarkStart w:id="301" w:name="_Toc32460"/>
      <w:bookmarkEnd w:id="301"/>
      <w:r>
        <w:rPr>
          <w:rStyle w:val="348"/>
          <w:rFonts w:hint="eastAsia" w:ascii="宋体" w:hAnsi="宋体" w:eastAsia="宋体" w:cs="宋体"/>
          <w:color w:val="auto"/>
          <w:sz w:val="24"/>
          <w:szCs w:val="24"/>
          <w:highlight w:val="none"/>
        </w:rPr>
        <w:t>4</w:t>
      </w:r>
      <w:bookmarkStart w:id="302" w:name="_Toc296347161"/>
      <w:bookmarkEnd w:id="302"/>
      <w:bookmarkStart w:id="303" w:name="_Toc296346663"/>
      <w:bookmarkEnd w:id="303"/>
      <w:bookmarkStart w:id="304" w:name="_Toc296890990"/>
      <w:bookmarkEnd w:id="304"/>
      <w:bookmarkStart w:id="305" w:name="_Toc296503162"/>
      <w:bookmarkEnd w:id="305"/>
      <w:bookmarkStart w:id="306" w:name="_Toc292559871"/>
      <w:bookmarkEnd w:id="306"/>
      <w:bookmarkStart w:id="307" w:name="_Toc296944501"/>
      <w:bookmarkEnd w:id="307"/>
      <w:bookmarkStart w:id="308" w:name="_Toc267251413"/>
      <w:bookmarkEnd w:id="308"/>
      <w:bookmarkStart w:id="309" w:name="_Toc297048348"/>
      <w:bookmarkEnd w:id="309"/>
      <w:bookmarkStart w:id="310" w:name="_Toc296891202"/>
      <w:bookmarkEnd w:id="310"/>
      <w:bookmarkStart w:id="311" w:name="_Toc292559366"/>
      <w:bookmarkEnd w:id="311"/>
      <w:bookmarkStart w:id="312" w:name="_Toc297120462"/>
      <w:r>
        <w:rPr>
          <w:rStyle w:val="348"/>
          <w:rFonts w:hint="eastAsia" w:ascii="宋体" w:hAnsi="宋体" w:eastAsia="宋体" w:cs="宋体"/>
          <w:color w:val="auto"/>
          <w:sz w:val="24"/>
          <w:szCs w:val="24"/>
          <w:highlight w:val="none"/>
        </w:rPr>
        <w:t xml:space="preserve">. </w:t>
      </w:r>
      <w:bookmarkEnd w:id="312"/>
      <w:r>
        <w:rPr>
          <w:rStyle w:val="348"/>
          <w:rFonts w:hint="eastAsia" w:ascii="宋体" w:hAnsi="宋体" w:eastAsia="宋体" w:cs="宋体"/>
          <w:color w:val="auto"/>
          <w:sz w:val="24"/>
          <w:szCs w:val="24"/>
          <w:highlight w:val="none"/>
        </w:rPr>
        <w:t>监理人</w:t>
      </w:r>
    </w:p>
    <w:p w14:paraId="7C623557">
      <w:pPr>
        <w:pStyle w:val="354"/>
        <w:spacing w:line="420" w:lineRule="exact"/>
        <w:outlineLvl w:val="3"/>
        <w:rPr>
          <w:rStyle w:val="348"/>
          <w:rFonts w:ascii="宋体" w:hAnsi="宋体" w:eastAsia="宋体" w:cs="宋体"/>
          <w:color w:val="auto"/>
          <w:sz w:val="24"/>
          <w:szCs w:val="24"/>
          <w:highlight w:val="none"/>
        </w:rPr>
      </w:pPr>
      <w:bookmarkStart w:id="313" w:name="_Toc28478"/>
      <w:bookmarkEnd w:id="313"/>
      <w:bookmarkStart w:id="314" w:name="_Toc373227714"/>
      <w:bookmarkEnd w:id="314"/>
      <w:bookmarkStart w:id="315" w:name="_Toc389065280"/>
      <w:bookmarkEnd w:id="315"/>
      <w:bookmarkStart w:id="316" w:name="_Toc373478361"/>
      <w:r>
        <w:rPr>
          <w:rStyle w:val="348"/>
          <w:rFonts w:hint="eastAsia" w:ascii="宋体" w:hAnsi="宋体" w:eastAsia="宋体" w:cs="宋体"/>
          <w:color w:val="auto"/>
          <w:sz w:val="24"/>
          <w:szCs w:val="24"/>
          <w:highlight w:val="none"/>
        </w:rPr>
        <w:t>4.1</w:t>
      </w:r>
      <w:bookmarkEnd w:id="316"/>
      <w:r>
        <w:rPr>
          <w:rStyle w:val="348"/>
          <w:rFonts w:hint="eastAsia" w:ascii="宋体" w:hAnsi="宋体" w:eastAsia="宋体" w:cs="宋体"/>
          <w:color w:val="auto"/>
          <w:sz w:val="24"/>
          <w:szCs w:val="24"/>
          <w:highlight w:val="none"/>
        </w:rPr>
        <w:t xml:space="preserve"> 监理人的一般规定</w:t>
      </w:r>
    </w:p>
    <w:p w14:paraId="4A50DAFC">
      <w:pPr>
        <w:pStyle w:val="350"/>
        <w:spacing w:line="420" w:lineRule="exact"/>
        <w:ind w:firstLine="480" w:firstLineChars="200"/>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关于监理人的监理内容：</w:t>
      </w:r>
      <w:r>
        <w:rPr>
          <w:rStyle w:val="348"/>
          <w:rFonts w:hint="eastAsia" w:ascii="宋体" w:hAnsi="宋体" w:cs="宋体"/>
          <w:color w:val="auto"/>
          <w:sz w:val="24"/>
          <w:szCs w:val="24"/>
          <w:highlight w:val="none"/>
          <w:u w:val="single"/>
        </w:rPr>
        <w:t>见监理合同</w:t>
      </w:r>
      <w:r>
        <w:rPr>
          <w:rStyle w:val="348"/>
          <w:rFonts w:hint="eastAsia" w:ascii="宋体" w:hAnsi="宋体" w:cs="宋体"/>
          <w:color w:val="auto"/>
          <w:sz w:val="24"/>
          <w:szCs w:val="24"/>
          <w:highlight w:val="none"/>
        </w:rPr>
        <w:t>。</w:t>
      </w:r>
    </w:p>
    <w:p w14:paraId="4FC48970">
      <w:pPr>
        <w:pStyle w:val="350"/>
        <w:spacing w:line="420" w:lineRule="exact"/>
        <w:ind w:firstLine="480" w:firstLineChars="200"/>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关于监理人的监理权限：</w:t>
      </w:r>
      <w:r>
        <w:rPr>
          <w:rStyle w:val="348"/>
          <w:rFonts w:hint="eastAsia" w:ascii="宋体" w:hAnsi="宋体" w:cs="宋体"/>
          <w:color w:val="auto"/>
          <w:sz w:val="24"/>
          <w:szCs w:val="24"/>
          <w:highlight w:val="none"/>
          <w:u w:val="single"/>
        </w:rPr>
        <w:t>见监理合同</w:t>
      </w:r>
      <w:r>
        <w:rPr>
          <w:rStyle w:val="348"/>
          <w:rFonts w:hint="eastAsia" w:ascii="宋体" w:hAnsi="宋体" w:cs="宋体"/>
          <w:color w:val="auto"/>
          <w:sz w:val="24"/>
          <w:szCs w:val="24"/>
          <w:highlight w:val="none"/>
        </w:rPr>
        <w:t xml:space="preserve">。 </w:t>
      </w:r>
    </w:p>
    <w:p w14:paraId="44E35B46">
      <w:pPr>
        <w:pStyle w:val="350"/>
        <w:spacing w:line="420" w:lineRule="exac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关于监理人在施工现场的办公场所、生活场所的提供和费用承担的约定：</w:t>
      </w:r>
      <w:r>
        <w:rPr>
          <w:rStyle w:val="348"/>
          <w:rFonts w:hint="eastAsia" w:ascii="宋体" w:hAnsi="宋体" w:cs="宋体"/>
          <w:color w:val="auto"/>
          <w:sz w:val="24"/>
          <w:szCs w:val="24"/>
          <w:highlight w:val="none"/>
          <w:u w:val="single"/>
        </w:rPr>
        <w:t xml:space="preserve">见监理合同 </w:t>
      </w:r>
      <w:r>
        <w:rPr>
          <w:rStyle w:val="348"/>
          <w:rFonts w:hint="eastAsia" w:ascii="宋体" w:hAnsi="宋体" w:cs="宋体"/>
          <w:color w:val="auto"/>
          <w:sz w:val="24"/>
          <w:szCs w:val="24"/>
          <w:highlight w:val="none"/>
        </w:rPr>
        <w:t>。</w:t>
      </w:r>
    </w:p>
    <w:p w14:paraId="6A0A0887">
      <w:pPr>
        <w:pStyle w:val="354"/>
        <w:spacing w:line="420" w:lineRule="exact"/>
        <w:outlineLvl w:val="3"/>
        <w:rPr>
          <w:rStyle w:val="348"/>
          <w:rFonts w:ascii="宋体" w:hAnsi="宋体" w:eastAsia="宋体" w:cs="宋体"/>
          <w:color w:val="auto"/>
          <w:sz w:val="24"/>
          <w:szCs w:val="24"/>
          <w:highlight w:val="none"/>
        </w:rPr>
      </w:pPr>
      <w:bookmarkStart w:id="317" w:name="_Toc373227715"/>
      <w:bookmarkEnd w:id="317"/>
      <w:bookmarkStart w:id="318" w:name="_Toc389065281"/>
      <w:bookmarkEnd w:id="318"/>
      <w:bookmarkStart w:id="319" w:name="_Toc373478362"/>
      <w:bookmarkEnd w:id="319"/>
      <w:bookmarkStart w:id="320" w:name="_Toc12326"/>
      <w:r>
        <w:rPr>
          <w:rStyle w:val="348"/>
          <w:rFonts w:hint="eastAsia" w:ascii="宋体" w:hAnsi="宋体" w:eastAsia="宋体" w:cs="宋体"/>
          <w:color w:val="auto"/>
          <w:sz w:val="24"/>
          <w:szCs w:val="24"/>
          <w:highlight w:val="none"/>
        </w:rPr>
        <w:t xml:space="preserve">4.2 </w:t>
      </w:r>
      <w:bookmarkEnd w:id="320"/>
      <w:r>
        <w:rPr>
          <w:rStyle w:val="348"/>
          <w:rFonts w:hint="eastAsia" w:ascii="宋体" w:hAnsi="宋体" w:eastAsia="宋体" w:cs="宋体"/>
          <w:color w:val="auto"/>
          <w:sz w:val="24"/>
          <w:szCs w:val="24"/>
          <w:highlight w:val="none"/>
        </w:rPr>
        <w:t>监理人员</w:t>
      </w:r>
    </w:p>
    <w:p w14:paraId="14E2B029">
      <w:pPr>
        <w:pStyle w:val="350"/>
        <w:spacing w:line="420" w:lineRule="exact"/>
        <w:ind w:firstLine="480" w:firstLineChars="200"/>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总监理工程师：</w:t>
      </w:r>
    </w:p>
    <w:p w14:paraId="470836EE">
      <w:pPr>
        <w:pStyle w:val="350"/>
        <w:spacing w:line="420" w:lineRule="exact"/>
        <w:ind w:firstLine="480" w:firstLineChars="200"/>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姓    名：</w:t>
      </w:r>
      <w:r>
        <w:rPr>
          <w:rStyle w:val="348"/>
          <w:rFonts w:hint="eastAsia" w:ascii="宋体" w:hAnsi="宋体" w:cs="宋体"/>
          <w:color w:val="auto"/>
          <w:sz w:val="24"/>
          <w:szCs w:val="24"/>
          <w:highlight w:val="none"/>
          <w:u w:val="single"/>
        </w:rPr>
        <w:t>   </w:t>
      </w:r>
      <w:r>
        <w:rPr>
          <w:rStyle w:val="348"/>
          <w:rFonts w:hint="eastAsia" w:ascii="宋体" w:hAnsi="宋体" w:cs="宋体"/>
          <w:color w:val="auto"/>
          <w:sz w:val="24"/>
          <w:szCs w:val="24"/>
          <w:highlight w:val="none"/>
        </w:rPr>
        <w:t>；</w:t>
      </w:r>
    </w:p>
    <w:p w14:paraId="5C98AADF">
      <w:pPr>
        <w:pStyle w:val="350"/>
        <w:spacing w:line="420" w:lineRule="exact"/>
        <w:ind w:firstLine="480" w:firstLineChars="200"/>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职    务：</w:t>
      </w:r>
      <w:r>
        <w:rPr>
          <w:rStyle w:val="348"/>
          <w:rFonts w:hint="eastAsia" w:ascii="宋体" w:hAnsi="宋体" w:cs="宋体"/>
          <w:color w:val="auto"/>
          <w:sz w:val="24"/>
          <w:szCs w:val="24"/>
          <w:highlight w:val="none"/>
          <w:u w:val="single"/>
        </w:rPr>
        <w:t>   </w:t>
      </w:r>
      <w:r>
        <w:rPr>
          <w:rStyle w:val="348"/>
          <w:rFonts w:hint="eastAsia" w:ascii="宋体" w:hAnsi="宋体" w:cs="宋体"/>
          <w:color w:val="auto"/>
          <w:sz w:val="24"/>
          <w:szCs w:val="24"/>
          <w:highlight w:val="none"/>
        </w:rPr>
        <w:t>；</w:t>
      </w:r>
    </w:p>
    <w:p w14:paraId="3AAF6239">
      <w:pPr>
        <w:pStyle w:val="350"/>
        <w:spacing w:line="420" w:lineRule="exact"/>
        <w:ind w:firstLine="480" w:firstLineChars="200"/>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监理工程师执业资格证书号：</w:t>
      </w:r>
      <w:r>
        <w:rPr>
          <w:rStyle w:val="348"/>
          <w:rFonts w:hint="eastAsia" w:ascii="宋体" w:hAnsi="宋体" w:cs="宋体"/>
          <w:color w:val="auto"/>
          <w:sz w:val="24"/>
          <w:szCs w:val="24"/>
          <w:highlight w:val="none"/>
          <w:u w:val="single"/>
        </w:rPr>
        <w:t> </w:t>
      </w:r>
      <w:r>
        <w:rPr>
          <w:rStyle w:val="348"/>
          <w:rFonts w:hint="eastAsia" w:ascii="宋体" w:hAnsi="宋体" w:cs="宋体"/>
          <w:color w:val="auto"/>
          <w:sz w:val="24"/>
          <w:szCs w:val="24"/>
          <w:highlight w:val="none"/>
        </w:rPr>
        <w:t>；</w:t>
      </w:r>
    </w:p>
    <w:p w14:paraId="2327AF03">
      <w:pPr>
        <w:pStyle w:val="350"/>
        <w:spacing w:line="420" w:lineRule="exact"/>
        <w:ind w:firstLine="480" w:firstLineChars="200"/>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联系电话：</w:t>
      </w:r>
      <w:r>
        <w:rPr>
          <w:rStyle w:val="348"/>
          <w:rFonts w:hint="eastAsia" w:ascii="宋体" w:hAnsi="宋体" w:cs="宋体"/>
          <w:color w:val="auto"/>
          <w:sz w:val="24"/>
          <w:szCs w:val="24"/>
          <w:highlight w:val="none"/>
          <w:u w:val="single"/>
        </w:rPr>
        <w:t>   </w:t>
      </w:r>
      <w:r>
        <w:rPr>
          <w:rStyle w:val="348"/>
          <w:rFonts w:hint="eastAsia" w:ascii="宋体" w:hAnsi="宋体" w:cs="宋体"/>
          <w:color w:val="auto"/>
          <w:sz w:val="24"/>
          <w:szCs w:val="24"/>
          <w:highlight w:val="none"/>
        </w:rPr>
        <w:t>；</w:t>
      </w:r>
    </w:p>
    <w:p w14:paraId="40A4723A">
      <w:pPr>
        <w:pStyle w:val="350"/>
        <w:spacing w:line="420" w:lineRule="exact"/>
        <w:ind w:firstLine="480" w:firstLineChars="200"/>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电子信箱：</w:t>
      </w:r>
      <w:r>
        <w:rPr>
          <w:rStyle w:val="348"/>
          <w:rFonts w:hint="eastAsia" w:ascii="宋体" w:hAnsi="宋体" w:cs="宋体"/>
          <w:color w:val="auto"/>
          <w:sz w:val="24"/>
          <w:szCs w:val="24"/>
          <w:highlight w:val="none"/>
          <w:u w:val="single"/>
        </w:rPr>
        <w:t>   </w:t>
      </w:r>
      <w:r>
        <w:rPr>
          <w:rStyle w:val="348"/>
          <w:rFonts w:hint="eastAsia" w:ascii="宋体" w:hAnsi="宋体" w:cs="宋体"/>
          <w:color w:val="auto"/>
          <w:sz w:val="24"/>
          <w:szCs w:val="24"/>
          <w:highlight w:val="none"/>
        </w:rPr>
        <w:t>；</w:t>
      </w:r>
    </w:p>
    <w:p w14:paraId="42226E15">
      <w:pPr>
        <w:pStyle w:val="350"/>
        <w:spacing w:line="420" w:lineRule="exact"/>
        <w:ind w:firstLine="480" w:firstLineChars="200"/>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通信地址：</w:t>
      </w:r>
      <w:r>
        <w:rPr>
          <w:rStyle w:val="348"/>
          <w:rFonts w:hint="eastAsia" w:ascii="宋体" w:hAnsi="宋体" w:cs="宋体"/>
          <w:color w:val="auto"/>
          <w:sz w:val="24"/>
          <w:szCs w:val="24"/>
          <w:highlight w:val="none"/>
          <w:u w:val="single"/>
        </w:rPr>
        <w:t>   </w:t>
      </w:r>
      <w:r>
        <w:rPr>
          <w:rStyle w:val="348"/>
          <w:rFonts w:hint="eastAsia" w:ascii="宋体" w:hAnsi="宋体" w:cs="宋体"/>
          <w:color w:val="auto"/>
          <w:sz w:val="24"/>
          <w:szCs w:val="24"/>
          <w:highlight w:val="none"/>
        </w:rPr>
        <w:t>；</w:t>
      </w:r>
    </w:p>
    <w:p w14:paraId="3FED88D5">
      <w:pPr>
        <w:pStyle w:val="350"/>
        <w:spacing w:line="420" w:lineRule="exact"/>
        <w:ind w:firstLine="480" w:firstLineChars="200"/>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关于监理人的其他约定：</w:t>
      </w:r>
      <w:r>
        <w:rPr>
          <w:rStyle w:val="348"/>
          <w:rFonts w:hint="eastAsia" w:ascii="宋体" w:hAnsi="宋体" w:cs="宋体"/>
          <w:color w:val="auto"/>
          <w:sz w:val="24"/>
          <w:szCs w:val="24"/>
          <w:highlight w:val="none"/>
          <w:u w:val="single"/>
        </w:rPr>
        <w:t>   </w:t>
      </w:r>
      <w:r>
        <w:rPr>
          <w:rStyle w:val="348"/>
          <w:rFonts w:hint="eastAsia" w:ascii="宋体" w:hAnsi="宋体" w:cs="宋体"/>
          <w:color w:val="auto"/>
          <w:sz w:val="24"/>
          <w:szCs w:val="24"/>
          <w:highlight w:val="none"/>
        </w:rPr>
        <w:t>。</w:t>
      </w:r>
    </w:p>
    <w:p w14:paraId="3AE0F06D">
      <w:pPr>
        <w:pStyle w:val="354"/>
        <w:spacing w:line="420" w:lineRule="exact"/>
        <w:outlineLvl w:val="3"/>
        <w:rPr>
          <w:rStyle w:val="348"/>
          <w:rFonts w:ascii="宋体" w:hAnsi="宋体" w:eastAsia="宋体" w:cs="宋体"/>
          <w:color w:val="auto"/>
          <w:sz w:val="24"/>
          <w:szCs w:val="24"/>
          <w:highlight w:val="none"/>
        </w:rPr>
      </w:pPr>
      <w:bookmarkStart w:id="321" w:name="_Toc6626"/>
      <w:bookmarkEnd w:id="321"/>
      <w:bookmarkStart w:id="322" w:name="_Toc373227716"/>
      <w:bookmarkEnd w:id="322"/>
      <w:bookmarkStart w:id="323" w:name="_Toc373478363"/>
      <w:bookmarkEnd w:id="323"/>
      <w:bookmarkStart w:id="324" w:name="_Toc389065282"/>
      <w:r>
        <w:rPr>
          <w:rStyle w:val="348"/>
          <w:rFonts w:hint="eastAsia" w:ascii="宋体" w:hAnsi="宋体" w:eastAsia="宋体" w:cs="宋体"/>
          <w:color w:val="auto"/>
          <w:sz w:val="24"/>
          <w:szCs w:val="24"/>
          <w:highlight w:val="none"/>
        </w:rPr>
        <w:t xml:space="preserve">4.4 </w:t>
      </w:r>
      <w:bookmarkEnd w:id="324"/>
      <w:r>
        <w:rPr>
          <w:rStyle w:val="348"/>
          <w:rFonts w:hint="eastAsia" w:ascii="宋体" w:hAnsi="宋体" w:eastAsia="宋体" w:cs="宋体"/>
          <w:color w:val="auto"/>
          <w:sz w:val="24"/>
          <w:szCs w:val="24"/>
          <w:highlight w:val="none"/>
        </w:rPr>
        <w:t>商定或确定</w:t>
      </w:r>
    </w:p>
    <w:p w14:paraId="301F1A46">
      <w:pPr>
        <w:pStyle w:val="350"/>
        <w:spacing w:line="420" w:lineRule="exact"/>
        <w:ind w:firstLine="480" w:firstLineChars="200"/>
        <w:rPr>
          <w:rStyle w:val="348"/>
          <w:rFonts w:ascii="宋体" w:hAnsi="宋体" w:cs="宋体"/>
          <w:color w:val="auto"/>
          <w:sz w:val="24"/>
          <w:szCs w:val="24"/>
          <w:highlight w:val="none"/>
        </w:rPr>
      </w:pPr>
      <w:bookmarkStart w:id="325" w:name="_Toc267251418"/>
      <w:bookmarkEnd w:id="325"/>
      <w:r>
        <w:rPr>
          <w:rStyle w:val="348"/>
          <w:rFonts w:hint="eastAsia" w:ascii="宋体" w:hAnsi="宋体" w:cs="宋体"/>
          <w:color w:val="auto"/>
          <w:sz w:val="24"/>
          <w:szCs w:val="24"/>
          <w:highlight w:val="none"/>
        </w:rPr>
        <w:t>在发包人和承包人不能通过协商达成一致意见时，发包人授权监理人对以下事项进行确定：</w:t>
      </w:r>
    </w:p>
    <w:p w14:paraId="11BACB80">
      <w:pPr>
        <w:pStyle w:val="350"/>
        <w:autoSpaceDE w:val="0"/>
        <w:autoSpaceDN w:val="0"/>
        <w:spacing w:line="420" w:lineRule="exact"/>
        <w:ind w:firstLine="480" w:firstLineChars="200"/>
        <w:jc w:val="left"/>
        <w:outlineLvl w:val="4"/>
        <w:rPr>
          <w:rStyle w:val="348"/>
          <w:rFonts w:ascii="宋体" w:hAnsi="宋体" w:cs="宋体"/>
          <w:color w:val="auto"/>
          <w:kern w:val="0"/>
          <w:sz w:val="24"/>
          <w:szCs w:val="24"/>
          <w:highlight w:val="none"/>
        </w:rPr>
      </w:pPr>
      <w:r>
        <w:rPr>
          <w:rStyle w:val="348"/>
          <w:rFonts w:hint="eastAsia" w:ascii="宋体" w:hAnsi="宋体" w:cs="宋体"/>
          <w:color w:val="auto"/>
          <w:kern w:val="0"/>
          <w:sz w:val="24"/>
          <w:szCs w:val="24"/>
          <w:highlight w:val="none"/>
        </w:rPr>
        <w:t>（1）</w:t>
      </w:r>
      <w:r>
        <w:rPr>
          <w:rStyle w:val="348"/>
          <w:rFonts w:hint="eastAsia" w:ascii="宋体" w:hAnsi="宋体" w:cs="宋体"/>
          <w:color w:val="auto"/>
          <w:sz w:val="24"/>
          <w:szCs w:val="24"/>
          <w:highlight w:val="none"/>
          <w:u w:val="single"/>
        </w:rPr>
        <w:t xml:space="preserve">  </w:t>
      </w:r>
      <w:r>
        <w:rPr>
          <w:rStyle w:val="348"/>
          <w:rFonts w:hint="eastAsia" w:ascii="宋体" w:hAnsi="宋体" w:cs="宋体"/>
          <w:color w:val="auto"/>
          <w:kern w:val="0"/>
          <w:sz w:val="24"/>
          <w:szCs w:val="24"/>
          <w:highlight w:val="none"/>
          <w:u w:val="single"/>
        </w:rPr>
        <w:t>按本合同通用相关条款执行</w:t>
      </w:r>
      <w:r>
        <w:rPr>
          <w:rStyle w:val="348"/>
          <w:rFonts w:hint="eastAsia" w:ascii="宋体" w:hAnsi="宋体" w:cs="宋体"/>
          <w:color w:val="auto"/>
          <w:sz w:val="24"/>
          <w:szCs w:val="24"/>
          <w:highlight w:val="none"/>
          <w:u w:val="single"/>
        </w:rPr>
        <w:t xml:space="preserve">        </w:t>
      </w:r>
      <w:r>
        <w:rPr>
          <w:rStyle w:val="348"/>
          <w:rFonts w:hint="eastAsia" w:ascii="宋体" w:hAnsi="宋体" w:cs="宋体"/>
          <w:color w:val="auto"/>
          <w:sz w:val="24"/>
          <w:szCs w:val="24"/>
          <w:highlight w:val="none"/>
        </w:rPr>
        <w:t>；</w:t>
      </w:r>
    </w:p>
    <w:p w14:paraId="0CECF16F">
      <w:pPr>
        <w:pStyle w:val="350"/>
        <w:autoSpaceDE w:val="0"/>
        <w:autoSpaceDN w:val="0"/>
        <w:spacing w:line="420" w:lineRule="exact"/>
        <w:ind w:firstLine="480" w:firstLineChars="200"/>
        <w:jc w:val="left"/>
        <w:rPr>
          <w:rStyle w:val="348"/>
          <w:rFonts w:ascii="宋体" w:hAnsi="宋体" w:cs="宋体"/>
          <w:color w:val="auto"/>
          <w:kern w:val="0"/>
          <w:sz w:val="24"/>
          <w:szCs w:val="24"/>
          <w:highlight w:val="none"/>
        </w:rPr>
      </w:pPr>
      <w:r>
        <w:rPr>
          <w:rStyle w:val="348"/>
          <w:rFonts w:hint="eastAsia" w:ascii="宋体" w:hAnsi="宋体" w:cs="宋体"/>
          <w:color w:val="auto"/>
          <w:kern w:val="0"/>
          <w:sz w:val="24"/>
          <w:szCs w:val="24"/>
          <w:highlight w:val="none"/>
        </w:rPr>
        <w:t>（2）</w:t>
      </w:r>
      <w:r>
        <w:rPr>
          <w:rStyle w:val="348"/>
          <w:rFonts w:hint="eastAsia" w:ascii="宋体" w:hAnsi="宋体" w:cs="宋体"/>
          <w:color w:val="auto"/>
          <w:sz w:val="24"/>
          <w:szCs w:val="24"/>
          <w:highlight w:val="none"/>
          <w:u w:val="single"/>
        </w:rPr>
        <w:t xml:space="preserve">                                   </w:t>
      </w:r>
      <w:r>
        <w:rPr>
          <w:rStyle w:val="348"/>
          <w:rFonts w:hint="eastAsia" w:ascii="宋体" w:hAnsi="宋体" w:cs="宋体"/>
          <w:color w:val="auto"/>
          <w:sz w:val="24"/>
          <w:szCs w:val="24"/>
          <w:highlight w:val="none"/>
        </w:rPr>
        <w:t>；</w:t>
      </w:r>
    </w:p>
    <w:p w14:paraId="238110B4">
      <w:pPr>
        <w:pStyle w:val="350"/>
        <w:autoSpaceDE w:val="0"/>
        <w:autoSpaceDN w:val="0"/>
        <w:spacing w:line="420" w:lineRule="exact"/>
        <w:ind w:firstLine="480" w:firstLineChars="200"/>
        <w:jc w:val="left"/>
        <w:rPr>
          <w:rStyle w:val="348"/>
          <w:rFonts w:ascii="宋体" w:hAnsi="宋体" w:cs="宋体"/>
          <w:color w:val="auto"/>
          <w:kern w:val="0"/>
          <w:sz w:val="24"/>
          <w:szCs w:val="24"/>
          <w:highlight w:val="none"/>
        </w:rPr>
      </w:pPr>
      <w:r>
        <w:rPr>
          <w:rStyle w:val="348"/>
          <w:rFonts w:hint="eastAsia" w:ascii="宋体" w:hAnsi="宋体" w:cs="宋体"/>
          <w:color w:val="auto"/>
          <w:kern w:val="0"/>
          <w:sz w:val="24"/>
          <w:szCs w:val="24"/>
          <w:highlight w:val="none"/>
        </w:rPr>
        <w:t>（3）</w:t>
      </w:r>
      <w:r>
        <w:rPr>
          <w:rStyle w:val="348"/>
          <w:rFonts w:hint="eastAsia" w:ascii="宋体" w:hAnsi="宋体" w:cs="宋体"/>
          <w:color w:val="auto"/>
          <w:sz w:val="24"/>
          <w:szCs w:val="24"/>
          <w:highlight w:val="none"/>
          <w:u w:val="single"/>
        </w:rPr>
        <w:t xml:space="preserve">                                   </w:t>
      </w:r>
      <w:r>
        <w:rPr>
          <w:rStyle w:val="348"/>
          <w:rFonts w:hint="eastAsia" w:ascii="宋体" w:hAnsi="宋体" w:cs="宋体"/>
          <w:color w:val="auto"/>
          <w:sz w:val="24"/>
          <w:szCs w:val="24"/>
          <w:highlight w:val="none"/>
        </w:rPr>
        <w:t>。</w:t>
      </w:r>
    </w:p>
    <w:p w14:paraId="589D55C5">
      <w:pPr>
        <w:pStyle w:val="349"/>
        <w:spacing w:before="0" w:after="0" w:line="420" w:lineRule="exact"/>
        <w:outlineLvl w:val="2"/>
        <w:rPr>
          <w:rStyle w:val="348"/>
          <w:rFonts w:ascii="宋体" w:hAnsi="宋体" w:eastAsia="宋体" w:cs="宋体"/>
          <w:color w:val="auto"/>
          <w:sz w:val="24"/>
          <w:szCs w:val="24"/>
          <w:highlight w:val="none"/>
        </w:rPr>
      </w:pPr>
      <w:bookmarkStart w:id="326" w:name="_Toc351203637"/>
      <w:bookmarkEnd w:id="326"/>
      <w:bookmarkStart w:id="327" w:name="_Toc373227717"/>
      <w:bookmarkEnd w:id="327"/>
      <w:bookmarkStart w:id="328" w:name="_Toc373478364"/>
      <w:bookmarkEnd w:id="328"/>
      <w:bookmarkStart w:id="329" w:name="_Toc389065283"/>
      <w:bookmarkEnd w:id="329"/>
      <w:bookmarkStart w:id="330" w:name="_Toc28100"/>
      <w:r>
        <w:rPr>
          <w:rStyle w:val="348"/>
          <w:rFonts w:hint="eastAsia" w:ascii="宋体" w:hAnsi="宋体" w:eastAsia="宋体" w:cs="宋体"/>
          <w:color w:val="auto"/>
          <w:sz w:val="24"/>
          <w:szCs w:val="24"/>
          <w:highlight w:val="none"/>
        </w:rPr>
        <w:t>5</w:t>
      </w:r>
      <w:bookmarkEnd w:id="330"/>
      <w:bookmarkStart w:id="331" w:name="_Toc296944502"/>
      <w:bookmarkEnd w:id="331"/>
      <w:bookmarkStart w:id="332" w:name="_Toc296346664"/>
      <w:bookmarkEnd w:id="332"/>
      <w:bookmarkStart w:id="333" w:name="_Toc297048349"/>
      <w:bookmarkEnd w:id="333"/>
      <w:bookmarkStart w:id="334" w:name="_Toc296890991"/>
      <w:bookmarkEnd w:id="334"/>
      <w:bookmarkStart w:id="335" w:name="_Toc292559367"/>
      <w:bookmarkEnd w:id="335"/>
      <w:bookmarkStart w:id="336" w:name="_Toc296503163"/>
      <w:bookmarkEnd w:id="336"/>
      <w:bookmarkStart w:id="337" w:name="_Toc296891203"/>
      <w:bookmarkEnd w:id="337"/>
      <w:bookmarkStart w:id="338" w:name="_Toc292559872"/>
      <w:bookmarkEnd w:id="338"/>
      <w:bookmarkStart w:id="339" w:name="_Toc297120463"/>
      <w:bookmarkEnd w:id="339"/>
      <w:bookmarkStart w:id="340" w:name="_Toc296347162"/>
      <w:r>
        <w:rPr>
          <w:rStyle w:val="348"/>
          <w:rFonts w:hint="eastAsia" w:ascii="宋体" w:hAnsi="宋体" w:eastAsia="宋体" w:cs="宋体"/>
          <w:color w:val="auto"/>
          <w:sz w:val="24"/>
          <w:szCs w:val="24"/>
          <w:highlight w:val="none"/>
        </w:rPr>
        <w:t xml:space="preserve">. </w:t>
      </w:r>
      <w:bookmarkEnd w:id="340"/>
      <w:r>
        <w:rPr>
          <w:rStyle w:val="348"/>
          <w:rFonts w:hint="eastAsia" w:ascii="宋体" w:hAnsi="宋体" w:eastAsia="宋体" w:cs="宋体"/>
          <w:color w:val="auto"/>
          <w:sz w:val="24"/>
          <w:szCs w:val="24"/>
          <w:highlight w:val="none"/>
        </w:rPr>
        <w:t>工程质量</w:t>
      </w:r>
    </w:p>
    <w:p w14:paraId="5E6A8D18">
      <w:pPr>
        <w:pStyle w:val="354"/>
        <w:spacing w:line="420" w:lineRule="exact"/>
        <w:outlineLvl w:val="3"/>
        <w:rPr>
          <w:rStyle w:val="348"/>
          <w:rFonts w:ascii="宋体" w:hAnsi="宋体" w:eastAsia="宋体" w:cs="宋体"/>
          <w:color w:val="auto"/>
          <w:sz w:val="24"/>
          <w:szCs w:val="24"/>
          <w:highlight w:val="none"/>
        </w:rPr>
      </w:pPr>
      <w:bookmarkStart w:id="341" w:name="_Toc15241"/>
      <w:bookmarkEnd w:id="341"/>
      <w:bookmarkStart w:id="342" w:name="_Toc373227718"/>
      <w:bookmarkEnd w:id="342"/>
      <w:bookmarkStart w:id="343" w:name="_Toc373478365"/>
      <w:bookmarkEnd w:id="343"/>
      <w:bookmarkStart w:id="344" w:name="_Toc389065284"/>
      <w:r>
        <w:rPr>
          <w:rStyle w:val="348"/>
          <w:rFonts w:hint="eastAsia" w:ascii="宋体" w:hAnsi="宋体" w:eastAsia="宋体" w:cs="宋体"/>
          <w:color w:val="auto"/>
          <w:sz w:val="24"/>
          <w:szCs w:val="24"/>
          <w:highlight w:val="none"/>
        </w:rPr>
        <w:t xml:space="preserve">5.1 </w:t>
      </w:r>
      <w:bookmarkEnd w:id="344"/>
      <w:r>
        <w:rPr>
          <w:rStyle w:val="348"/>
          <w:rFonts w:hint="eastAsia" w:ascii="宋体" w:hAnsi="宋体" w:eastAsia="宋体" w:cs="宋体"/>
          <w:color w:val="auto"/>
          <w:sz w:val="24"/>
          <w:szCs w:val="24"/>
          <w:highlight w:val="none"/>
        </w:rPr>
        <w:t>质量要求</w:t>
      </w:r>
    </w:p>
    <w:p w14:paraId="36E71CF6">
      <w:pPr>
        <w:pStyle w:val="350"/>
        <w:spacing w:line="420" w:lineRule="exact"/>
        <w:ind w:firstLine="480" w:firstLineChars="200"/>
        <w:jc w:val="left"/>
        <w:rPr>
          <w:rStyle w:val="348"/>
          <w:rFonts w:ascii="宋体" w:hAnsi="宋体" w:cs="宋体"/>
          <w:color w:val="auto"/>
          <w:sz w:val="24"/>
          <w:szCs w:val="24"/>
          <w:highlight w:val="none"/>
          <w:u w:val="single"/>
        </w:rPr>
      </w:pPr>
      <w:r>
        <w:rPr>
          <w:rStyle w:val="348"/>
          <w:rFonts w:hint="eastAsia" w:ascii="宋体" w:hAnsi="宋体" w:cs="宋体"/>
          <w:color w:val="auto"/>
          <w:sz w:val="24"/>
          <w:szCs w:val="24"/>
          <w:highlight w:val="none"/>
        </w:rPr>
        <w:t>5</w:t>
      </w:r>
      <w:bookmarkStart w:id="345" w:name="_Toc297216155"/>
      <w:bookmarkEnd w:id="345"/>
      <w:bookmarkStart w:id="346" w:name="_Toc318581164"/>
      <w:bookmarkEnd w:id="346"/>
      <w:bookmarkStart w:id="347" w:name="_Toc312677997"/>
      <w:bookmarkEnd w:id="347"/>
      <w:bookmarkStart w:id="348" w:name="_Toc297123496"/>
      <w:bookmarkEnd w:id="348"/>
      <w:bookmarkStart w:id="349" w:name="_Toc304295527"/>
      <w:bookmarkEnd w:id="349"/>
      <w:bookmarkStart w:id="350" w:name="_Toc303539106"/>
      <w:bookmarkEnd w:id="350"/>
      <w:bookmarkStart w:id="351" w:name="_Toc300934949"/>
      <w:r>
        <w:rPr>
          <w:rStyle w:val="348"/>
          <w:rFonts w:hint="eastAsia" w:ascii="宋体" w:hAnsi="宋体" w:cs="宋体"/>
          <w:color w:val="auto"/>
          <w:sz w:val="24"/>
          <w:szCs w:val="24"/>
          <w:highlight w:val="none"/>
        </w:rPr>
        <w:t xml:space="preserve">.1.1 </w:t>
      </w:r>
      <w:bookmarkEnd w:id="351"/>
      <w:r>
        <w:rPr>
          <w:rStyle w:val="348"/>
          <w:rFonts w:hint="eastAsia" w:ascii="宋体" w:hAnsi="宋体" w:cs="宋体"/>
          <w:color w:val="auto"/>
          <w:sz w:val="24"/>
          <w:szCs w:val="24"/>
          <w:highlight w:val="none"/>
        </w:rPr>
        <w:t>特殊质量标准和要求：</w:t>
      </w:r>
      <w:r>
        <w:rPr>
          <w:rStyle w:val="348"/>
          <w:rFonts w:hint="eastAsia" w:ascii="宋体" w:hAnsi="宋体" w:cs="宋体"/>
          <w:color w:val="auto"/>
          <w:sz w:val="24"/>
          <w:szCs w:val="24"/>
          <w:highlight w:val="none"/>
          <w:u w:val="single"/>
        </w:rPr>
        <w:t>严格执行广西壮族自治区住房和城乡建设厅《关于严格实行房屋建筑和市政基础设施工程质量终身责任承诺、永久性质量责任标牌、终身责任信息档案等制度的通知》(桂建管[2014]96号)要求，落实建设工程质量终身责任。</w:t>
      </w:r>
    </w:p>
    <w:p w14:paraId="2E9643A6">
      <w:pPr>
        <w:pStyle w:val="350"/>
        <w:spacing w:line="420" w:lineRule="exact"/>
        <w:ind w:firstLine="480" w:firstLineChars="200"/>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关于工程奖项的约定：</w:t>
      </w:r>
      <w:r>
        <w:rPr>
          <w:rStyle w:val="348"/>
          <w:rFonts w:hint="eastAsia" w:ascii="宋体" w:hAnsi="宋体" w:cs="宋体"/>
          <w:color w:val="auto"/>
          <w:sz w:val="24"/>
          <w:szCs w:val="24"/>
          <w:highlight w:val="none"/>
          <w:u w:val="single"/>
        </w:rPr>
        <w:t xml:space="preserve"> </w:t>
      </w:r>
      <w:r>
        <w:rPr>
          <w:rStyle w:val="348"/>
          <w:rFonts w:hint="eastAsia" w:ascii="宋体" w:hAnsi="宋体" w:cs="宋体"/>
          <w:color w:val="auto"/>
          <w:kern w:val="0"/>
          <w:sz w:val="24"/>
          <w:szCs w:val="24"/>
          <w:highlight w:val="none"/>
          <w:u w:val="single"/>
        </w:rPr>
        <w:t>双方另行约定</w:t>
      </w:r>
      <w:r>
        <w:rPr>
          <w:rStyle w:val="348"/>
          <w:rFonts w:hint="eastAsia" w:ascii="宋体" w:hAnsi="宋体" w:cs="宋体"/>
          <w:color w:val="auto"/>
          <w:sz w:val="24"/>
          <w:szCs w:val="24"/>
          <w:highlight w:val="none"/>
          <w:u w:val="single"/>
        </w:rPr>
        <w:t xml:space="preserve"> </w:t>
      </w:r>
      <w:r>
        <w:rPr>
          <w:rStyle w:val="348"/>
          <w:rFonts w:hint="eastAsia" w:ascii="宋体" w:hAnsi="宋体" w:cs="宋体"/>
          <w:color w:val="auto"/>
          <w:sz w:val="24"/>
          <w:szCs w:val="24"/>
          <w:highlight w:val="none"/>
        </w:rPr>
        <w:t>。</w:t>
      </w:r>
    </w:p>
    <w:p w14:paraId="49BDB2B9">
      <w:pPr>
        <w:spacing w:line="420" w:lineRule="exact"/>
        <w:ind w:firstLine="480" w:firstLineChars="200"/>
        <w:jc w:val="left"/>
        <w:outlineLvl w:val="3"/>
        <w:rPr>
          <w:rFonts w:ascii="宋体" w:hAnsi="宋体" w:eastAsia="宋体" w:cs="宋体"/>
          <w:color w:val="auto"/>
          <w:sz w:val="24"/>
          <w:highlight w:val="none"/>
        </w:rPr>
      </w:pPr>
      <w:r>
        <w:rPr>
          <w:rFonts w:hint="eastAsia" w:ascii="宋体" w:hAnsi="宋体" w:eastAsia="宋体" w:cs="宋体"/>
          <w:color w:val="auto"/>
          <w:sz w:val="24"/>
          <w:highlight w:val="none"/>
        </w:rPr>
        <w:t>5.2质量保证措施</w:t>
      </w:r>
    </w:p>
    <w:p w14:paraId="6B8D2E97">
      <w:pPr>
        <w:spacing w:line="420" w:lineRule="exact"/>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5.2.1发包人对施工当中因承包人管理不善造成的严重质量问题可进行处罚，处罚金额为5000元（人民币）/起，处罚累计超过三起，发包人有权要求更换承包人的项目质量负责人，累计超过五起，发包人有权要求承包人更换项目经理。如发生重大质量事故（政府主管部门认定）一起，发包人有权要求承包人更换项目经理并进行每起人民币2万元（含2万元）以内的处罚。</w:t>
      </w:r>
    </w:p>
    <w:p w14:paraId="1D0E489D">
      <w:pPr>
        <w:spacing w:line="420" w:lineRule="exact"/>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5.2.2承包人须在发包人开出罚款通知书即日起七个工作日内，到发包人的财务部门缴纳相应的罚款，若逾期未缴纳罚款，发包人有权停止拨付当月或下月的工程进度款，所造成的责任由承包人承担。</w:t>
      </w:r>
    </w:p>
    <w:p w14:paraId="347568B3">
      <w:pPr>
        <w:spacing w:line="420" w:lineRule="exact"/>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5.2.3在施工过程中，如本道工序存在质量、安全隐患，承包人未按发包人、监理人要求整改就擅自进入下道工序施工的，发包人有权视情况扣罚施工单位每处2000元，同时责令返工。</w:t>
      </w:r>
    </w:p>
    <w:p w14:paraId="3F86BC3D">
      <w:pPr>
        <w:spacing w:line="420" w:lineRule="exact"/>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5.2.4分部工程质量验收时,若工程质量不合格，发包人可视其情节轻重，每处每次处以承包人不少于</w:t>
      </w:r>
      <w:r>
        <w:rPr>
          <w:rFonts w:hint="eastAsia" w:ascii="宋体" w:hAnsi="宋体" w:eastAsia="宋体" w:cs="宋体"/>
          <w:color w:val="auto"/>
          <w:sz w:val="24"/>
          <w:highlight w:val="none"/>
          <w:u w:val="single"/>
        </w:rPr>
        <w:t>5000</w:t>
      </w:r>
      <w:r>
        <w:rPr>
          <w:rFonts w:hint="eastAsia" w:ascii="宋体" w:hAnsi="宋体" w:eastAsia="宋体" w:cs="宋体"/>
          <w:color w:val="auto"/>
          <w:sz w:val="24"/>
          <w:highlight w:val="none"/>
        </w:rPr>
        <w:t>元的违约处理金，且工程质量必须无条件返工达到合格要求。对违反相关安全生产规范要求、相关建筑质量规范要求的情况，发包人及监理单位除有权要求承包人整改返工外还可以视情节严重程度，每次处5000元的经济处罚。</w:t>
      </w:r>
    </w:p>
    <w:p w14:paraId="536212DF">
      <w:pPr>
        <w:spacing w:line="420" w:lineRule="exact"/>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5.2.5承包人施工的工程内容全部竣工后，工程质量正式验收时,工程整体质量若达不到合格标准，发包人视其情节轻重处以承包人不低于</w:t>
      </w:r>
      <w:r>
        <w:rPr>
          <w:rFonts w:hint="eastAsia" w:ascii="宋体" w:hAnsi="宋体" w:eastAsia="宋体" w:cs="宋体"/>
          <w:color w:val="auto"/>
          <w:sz w:val="24"/>
          <w:highlight w:val="none"/>
          <w:u w:val="single"/>
        </w:rPr>
        <w:t>20000</w:t>
      </w:r>
      <w:r>
        <w:rPr>
          <w:rFonts w:hint="eastAsia" w:ascii="宋体" w:hAnsi="宋体" w:eastAsia="宋体" w:cs="宋体"/>
          <w:color w:val="auto"/>
          <w:sz w:val="24"/>
          <w:highlight w:val="none"/>
        </w:rPr>
        <w:t>元的工程质量违约处理金，同时承包人必须无条件全部返工达到合格要求。承包人未按发包人通知时限内返工处理，发包人有权另行选择第三方处理质量缺陷，因此产生的费用由承包人承担，承包方予以无条件认可。因承包人拒不返工整改给发包人造成的其他费用损失和工期延误，由承包人承担责任。</w:t>
      </w:r>
    </w:p>
    <w:p w14:paraId="2581072B">
      <w:pPr>
        <w:spacing w:line="420" w:lineRule="exact"/>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5.2.6发包人和监理单位在工程实施过程中，可以随时对承包人已使用和未使用的工程材料进行抽检，若发现有不符合设计和规范及合同要求的不合格产品，承包人必须对不合格部分工程进行返工至合格为止，并将不合格的材料清出施工现场，否则，发包人按已使用的不合格材料价值的</w:t>
      </w:r>
      <w:r>
        <w:rPr>
          <w:rFonts w:hint="eastAsia" w:ascii="宋体" w:hAnsi="宋体" w:eastAsia="宋体" w:cs="宋体"/>
          <w:color w:val="auto"/>
          <w:sz w:val="24"/>
          <w:highlight w:val="none"/>
          <w:u w:val="single"/>
        </w:rPr>
        <w:t xml:space="preserve"> 5%</w:t>
      </w:r>
      <w:r>
        <w:rPr>
          <w:rFonts w:hint="eastAsia" w:ascii="宋体" w:hAnsi="宋体" w:eastAsia="宋体" w:cs="宋体"/>
          <w:color w:val="auto"/>
          <w:sz w:val="24"/>
          <w:highlight w:val="none"/>
        </w:rPr>
        <w:t xml:space="preserve"> 处以承包人违约处理金，承包人承担由此引起的一切经济损失（包括全部返工在内的费用）。</w:t>
      </w:r>
    </w:p>
    <w:p w14:paraId="58DEB05F">
      <w:pPr>
        <w:spacing w:line="420" w:lineRule="exact"/>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5.2.7发包人在施工过程中的日常工程质量检查，检查发现的工程质量存在不合格时，在发包人或监理发出2次整改通知书后，承包人仍未在规定的时间内整改达到合格要求，则发包人可视其情节轻重，每次处以承包人不少于</w:t>
      </w:r>
      <w:r>
        <w:rPr>
          <w:rFonts w:hint="eastAsia" w:ascii="宋体" w:hAnsi="宋体" w:eastAsia="宋体" w:cs="宋体"/>
          <w:color w:val="auto"/>
          <w:sz w:val="24"/>
          <w:highlight w:val="none"/>
          <w:u w:val="single"/>
        </w:rPr>
        <w:t xml:space="preserve"> 5000 </w:t>
      </w:r>
      <w:r>
        <w:rPr>
          <w:rFonts w:hint="eastAsia" w:ascii="宋体" w:hAnsi="宋体" w:eastAsia="宋体" w:cs="宋体"/>
          <w:color w:val="auto"/>
          <w:sz w:val="24"/>
          <w:highlight w:val="none"/>
        </w:rPr>
        <w:t>元的违约处理金，且工程质量必须无条件返工达到合格要求。</w:t>
      </w:r>
    </w:p>
    <w:p w14:paraId="268DBDB0">
      <w:pPr>
        <w:spacing w:line="420" w:lineRule="exact"/>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 xml:space="preserve">5.2.8承包人若在施工过程中未严格按国家施工规范和操作规程要求进行施工，或者承包人擅自实施未经监理单位及发包人同意的施工方案, 发包人或监理单位在发出2次整改通知书后，承包人仍未整改，发包人将视其情节轻重，处以承包人每次或每处不少于 </w:t>
      </w:r>
      <w:r>
        <w:rPr>
          <w:rFonts w:hint="eastAsia" w:ascii="宋体" w:hAnsi="宋体" w:eastAsia="宋体" w:cs="宋体"/>
          <w:color w:val="auto"/>
          <w:sz w:val="24"/>
          <w:highlight w:val="none"/>
          <w:u w:val="single"/>
        </w:rPr>
        <w:t xml:space="preserve">5000 </w:t>
      </w:r>
      <w:r>
        <w:rPr>
          <w:rFonts w:hint="eastAsia" w:ascii="宋体" w:hAnsi="宋体" w:eastAsia="宋体" w:cs="宋体"/>
          <w:color w:val="auto"/>
          <w:sz w:val="24"/>
          <w:highlight w:val="none"/>
        </w:rPr>
        <w:t>元的违约处理金。</w:t>
      </w:r>
    </w:p>
    <w:p w14:paraId="0C21CDE6">
      <w:pPr>
        <w:spacing w:line="420" w:lineRule="exact"/>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5.2.9经行业主管部门及项目业主予以通报或处罚的，处以</w:t>
      </w:r>
      <w:r>
        <w:rPr>
          <w:rFonts w:hint="eastAsia" w:ascii="宋体" w:hAnsi="宋体" w:eastAsia="宋体" w:cs="宋体"/>
          <w:color w:val="auto"/>
          <w:sz w:val="24"/>
          <w:highlight w:val="none"/>
          <w:u w:val="single"/>
        </w:rPr>
        <w:t>2000</w:t>
      </w:r>
      <w:r>
        <w:rPr>
          <w:rFonts w:hint="eastAsia" w:ascii="宋体" w:hAnsi="宋体" w:eastAsia="宋体" w:cs="宋体"/>
          <w:color w:val="auto"/>
          <w:sz w:val="24"/>
          <w:highlight w:val="none"/>
        </w:rPr>
        <w:t>元/次罚款。承包人因施工进度慢、质量管理差受到行政监管部门约谈的，发包人可处</w:t>
      </w:r>
      <w:r>
        <w:rPr>
          <w:rFonts w:hint="eastAsia" w:ascii="宋体" w:hAnsi="宋体" w:eastAsia="宋体" w:cs="宋体"/>
          <w:color w:val="auto"/>
          <w:sz w:val="24"/>
          <w:highlight w:val="none"/>
          <w:u w:val="single"/>
        </w:rPr>
        <w:t>2000</w:t>
      </w:r>
      <w:r>
        <w:rPr>
          <w:rFonts w:hint="eastAsia" w:ascii="宋体" w:hAnsi="宋体" w:eastAsia="宋体" w:cs="宋体"/>
          <w:color w:val="auto"/>
          <w:sz w:val="24"/>
          <w:highlight w:val="none"/>
        </w:rPr>
        <w:t>元/次经济处罚。</w:t>
      </w:r>
    </w:p>
    <w:p w14:paraId="5D822ADF">
      <w:pPr>
        <w:spacing w:line="420" w:lineRule="exact"/>
        <w:ind w:firstLine="480" w:firstLineChars="200"/>
        <w:jc w:val="left"/>
        <w:rPr>
          <w:rStyle w:val="348"/>
          <w:rFonts w:ascii="宋体" w:hAnsi="宋体" w:eastAsia="宋体" w:cs="宋体"/>
          <w:color w:val="auto"/>
          <w:sz w:val="24"/>
          <w:highlight w:val="none"/>
        </w:rPr>
      </w:pPr>
      <w:r>
        <w:rPr>
          <w:rFonts w:hint="eastAsia" w:ascii="宋体" w:hAnsi="宋体" w:eastAsia="宋体" w:cs="宋体"/>
          <w:color w:val="auto"/>
          <w:sz w:val="24"/>
          <w:highlight w:val="none"/>
        </w:rPr>
        <w:t>5.2.10经社会媒体曝光及市民投诉的予以证实后处以</w:t>
      </w:r>
      <w:r>
        <w:rPr>
          <w:rFonts w:hint="eastAsia" w:ascii="宋体" w:hAnsi="宋体" w:eastAsia="宋体" w:cs="宋体"/>
          <w:color w:val="auto"/>
          <w:sz w:val="24"/>
          <w:highlight w:val="none"/>
          <w:u w:val="single"/>
        </w:rPr>
        <w:t>2000</w:t>
      </w:r>
      <w:r>
        <w:rPr>
          <w:rFonts w:hint="eastAsia" w:ascii="宋体" w:hAnsi="宋体" w:eastAsia="宋体" w:cs="宋体"/>
          <w:color w:val="auto"/>
          <w:sz w:val="24"/>
          <w:highlight w:val="none"/>
        </w:rPr>
        <w:t>元/次罚款。相应罚款在当期进度款中予以扣除。</w:t>
      </w:r>
    </w:p>
    <w:p w14:paraId="457312EE">
      <w:pPr>
        <w:pStyle w:val="350"/>
        <w:spacing w:line="420" w:lineRule="exact"/>
        <w:ind w:firstLine="480" w:firstLineChars="200"/>
        <w:jc w:val="left"/>
        <w:outlineLvl w:val="3"/>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5.3 隐蔽工程检查</w:t>
      </w:r>
    </w:p>
    <w:p w14:paraId="627F69B2">
      <w:pPr>
        <w:pStyle w:val="350"/>
        <w:spacing w:line="420" w:lineRule="exact"/>
        <w:ind w:firstLine="480" w:firstLineChars="200"/>
        <w:jc w:val="left"/>
        <w:rPr>
          <w:rStyle w:val="348"/>
          <w:rFonts w:ascii="宋体" w:hAnsi="宋体" w:cs="宋体"/>
          <w:color w:val="auto"/>
          <w:sz w:val="24"/>
          <w:szCs w:val="24"/>
          <w:highlight w:val="none"/>
          <w:u w:val="single"/>
        </w:rPr>
      </w:pPr>
      <w:r>
        <w:rPr>
          <w:rStyle w:val="348"/>
          <w:rFonts w:hint="eastAsia" w:ascii="宋体" w:hAnsi="宋体" w:cs="宋体"/>
          <w:color w:val="auto"/>
          <w:sz w:val="24"/>
          <w:szCs w:val="24"/>
          <w:highlight w:val="none"/>
        </w:rPr>
        <w:t>5.3.2承包人提前通知监理人隐蔽工程检查的期限的约定：工程隐蔽或中间验收前12小时以书面形式通知发包人和监理工程师验收的内容、时间、地点，承包人准备验收记录单（必须为印制的表格）由双方签证。验收合格，承包人可进行隐蔽和继续施工；验收不合格，双方商订时限内修改后按上述循序重新验收。</w:t>
      </w:r>
    </w:p>
    <w:p w14:paraId="71532318">
      <w:pPr>
        <w:pStyle w:val="350"/>
        <w:spacing w:line="420" w:lineRule="exact"/>
        <w:ind w:firstLine="480" w:firstLineChars="200"/>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监理人不能按时进行检查时，应提前</w:t>
      </w:r>
      <w:r>
        <w:rPr>
          <w:rStyle w:val="348"/>
          <w:rFonts w:hint="eastAsia" w:ascii="宋体" w:hAnsi="宋体" w:cs="宋体"/>
          <w:color w:val="auto"/>
          <w:sz w:val="24"/>
          <w:szCs w:val="24"/>
          <w:highlight w:val="none"/>
          <w:u w:val="single"/>
        </w:rPr>
        <w:t xml:space="preserve">   12    </w:t>
      </w:r>
      <w:r>
        <w:rPr>
          <w:rStyle w:val="348"/>
          <w:rFonts w:hint="eastAsia" w:ascii="宋体" w:hAnsi="宋体" w:cs="宋体"/>
          <w:color w:val="auto"/>
          <w:sz w:val="24"/>
          <w:szCs w:val="24"/>
          <w:highlight w:val="none"/>
        </w:rPr>
        <w:t>小时提交书面延期要求。</w:t>
      </w:r>
    </w:p>
    <w:p w14:paraId="1579CBFC">
      <w:pPr>
        <w:pStyle w:val="350"/>
        <w:spacing w:line="420" w:lineRule="exact"/>
        <w:ind w:firstLine="480" w:firstLineChars="200"/>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关于延期最长不得超过：</w:t>
      </w:r>
      <w:r>
        <w:rPr>
          <w:rStyle w:val="348"/>
          <w:rFonts w:hint="eastAsia" w:ascii="宋体" w:hAnsi="宋体" w:cs="宋体"/>
          <w:color w:val="auto"/>
          <w:sz w:val="24"/>
          <w:szCs w:val="24"/>
          <w:highlight w:val="none"/>
          <w:u w:val="single"/>
        </w:rPr>
        <w:t xml:space="preserve">   12      </w:t>
      </w:r>
      <w:r>
        <w:rPr>
          <w:rStyle w:val="348"/>
          <w:rFonts w:hint="eastAsia" w:ascii="宋体" w:hAnsi="宋体" w:cs="宋体"/>
          <w:color w:val="auto"/>
          <w:sz w:val="24"/>
          <w:szCs w:val="24"/>
          <w:highlight w:val="none"/>
        </w:rPr>
        <w:t>小时。</w:t>
      </w:r>
    </w:p>
    <w:p w14:paraId="07FB7E9D">
      <w:pPr>
        <w:pStyle w:val="349"/>
        <w:spacing w:before="0" w:after="0" w:line="420" w:lineRule="exact"/>
        <w:outlineLvl w:val="2"/>
        <w:rPr>
          <w:rStyle w:val="348"/>
          <w:rFonts w:ascii="宋体" w:hAnsi="宋体" w:eastAsia="宋体" w:cs="宋体"/>
          <w:color w:val="auto"/>
          <w:sz w:val="24"/>
          <w:szCs w:val="24"/>
          <w:highlight w:val="none"/>
        </w:rPr>
      </w:pPr>
      <w:bookmarkStart w:id="352" w:name="_Toc351203638"/>
      <w:bookmarkEnd w:id="352"/>
      <w:bookmarkStart w:id="353" w:name="_Toc373227719"/>
      <w:bookmarkEnd w:id="353"/>
      <w:bookmarkStart w:id="354" w:name="_Toc373478366"/>
      <w:bookmarkEnd w:id="354"/>
      <w:bookmarkStart w:id="355" w:name="_Toc389065285"/>
      <w:bookmarkEnd w:id="355"/>
      <w:bookmarkStart w:id="356" w:name="_Toc16364"/>
      <w:r>
        <w:rPr>
          <w:rStyle w:val="348"/>
          <w:rFonts w:hint="eastAsia" w:ascii="宋体" w:hAnsi="宋体" w:eastAsia="宋体" w:cs="宋体"/>
          <w:color w:val="auto"/>
          <w:sz w:val="24"/>
          <w:szCs w:val="24"/>
          <w:highlight w:val="none"/>
        </w:rPr>
        <w:t>6. 安全文明施工与环境保护</w:t>
      </w:r>
      <w:bookmarkEnd w:id="356"/>
    </w:p>
    <w:p w14:paraId="657F2EFD">
      <w:pPr>
        <w:pStyle w:val="354"/>
        <w:spacing w:line="420" w:lineRule="exact"/>
        <w:outlineLvl w:val="3"/>
        <w:rPr>
          <w:rStyle w:val="348"/>
          <w:rFonts w:ascii="宋体" w:hAnsi="宋体" w:eastAsia="宋体" w:cs="宋体"/>
          <w:color w:val="auto"/>
          <w:sz w:val="24"/>
          <w:szCs w:val="24"/>
          <w:highlight w:val="none"/>
        </w:rPr>
      </w:pPr>
      <w:bookmarkStart w:id="357" w:name="_Toc373227720"/>
      <w:bookmarkEnd w:id="357"/>
      <w:bookmarkStart w:id="358" w:name="_Toc389065286"/>
      <w:bookmarkEnd w:id="358"/>
      <w:bookmarkStart w:id="359" w:name="_Toc373478367"/>
      <w:bookmarkEnd w:id="359"/>
      <w:bookmarkStart w:id="360" w:name="_Toc19419"/>
      <w:r>
        <w:rPr>
          <w:rStyle w:val="348"/>
          <w:rFonts w:hint="eastAsia" w:ascii="宋体" w:hAnsi="宋体" w:eastAsia="宋体" w:cs="宋体"/>
          <w:color w:val="auto"/>
          <w:sz w:val="24"/>
          <w:szCs w:val="24"/>
          <w:highlight w:val="none"/>
        </w:rPr>
        <w:t>6.1</w:t>
      </w:r>
      <w:bookmarkEnd w:id="360"/>
      <w:r>
        <w:rPr>
          <w:rStyle w:val="348"/>
          <w:rFonts w:hint="eastAsia" w:ascii="宋体" w:hAnsi="宋体" w:eastAsia="宋体" w:cs="宋体"/>
          <w:color w:val="auto"/>
          <w:sz w:val="24"/>
          <w:szCs w:val="24"/>
          <w:highlight w:val="none"/>
        </w:rPr>
        <w:t xml:space="preserve"> 安全文明施工</w:t>
      </w:r>
    </w:p>
    <w:p w14:paraId="692F5055">
      <w:pPr>
        <w:pStyle w:val="350"/>
        <w:spacing w:line="420" w:lineRule="exact"/>
        <w:ind w:firstLine="480" w:firstLineChars="200"/>
        <w:jc w:val="left"/>
        <w:rPr>
          <w:rStyle w:val="348"/>
          <w:rFonts w:ascii="宋体" w:hAnsi="宋体" w:cs="宋体"/>
          <w:color w:val="auto"/>
          <w:sz w:val="24"/>
          <w:szCs w:val="24"/>
          <w:highlight w:val="none"/>
          <w:u w:val="single"/>
        </w:rPr>
      </w:pPr>
      <w:r>
        <w:rPr>
          <w:rStyle w:val="348"/>
          <w:rFonts w:hint="eastAsia" w:ascii="宋体" w:hAnsi="宋体" w:cs="宋体"/>
          <w:color w:val="auto"/>
          <w:sz w:val="24"/>
          <w:szCs w:val="24"/>
          <w:highlight w:val="none"/>
        </w:rPr>
        <w:t>6.1.1 项目安全生产的达标目标及相应事项的约定：</w:t>
      </w:r>
      <w:r>
        <w:rPr>
          <w:rStyle w:val="348"/>
          <w:rFonts w:hint="eastAsia" w:ascii="宋体" w:hAnsi="宋体" w:cs="宋体"/>
          <w:color w:val="auto"/>
          <w:sz w:val="24"/>
          <w:szCs w:val="24"/>
          <w:highlight w:val="none"/>
          <w:u w:val="single"/>
        </w:rPr>
        <w:t>承包人应遵守现行工程建设安全文明施工有关管理规定，严格按专用条款约定的安全文明标准及《工程管理制度》组织施工，创建规范的施工现场，并随时接受行业安全检查人员依法实施的监督检查，采取必要的安全防护措施，消除事故隐患。由于承包人安全文明施工措施不力造成事故的责任和因此发生的费用，由承包人承担（即使在对外法律关系上人民法院判决发包人承担责任，但在承包人与发包人间，由承包人全部承担）。</w:t>
      </w:r>
    </w:p>
    <w:p w14:paraId="3E52FFD1">
      <w:pPr>
        <w:pStyle w:val="350"/>
        <w:spacing w:line="420" w:lineRule="exact"/>
        <w:ind w:firstLine="480" w:firstLineChars="200"/>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关于安全文明施工奖项的约定：</w:t>
      </w:r>
      <w:r>
        <w:rPr>
          <w:rStyle w:val="348"/>
          <w:rFonts w:hint="eastAsia" w:ascii="宋体" w:hAnsi="宋体" w:cs="宋体"/>
          <w:color w:val="auto"/>
          <w:sz w:val="24"/>
          <w:szCs w:val="24"/>
          <w:highlight w:val="none"/>
          <w:u w:val="single"/>
        </w:rPr>
        <w:t xml:space="preserve"> </w:t>
      </w:r>
      <w:r>
        <w:rPr>
          <w:rStyle w:val="348"/>
          <w:rFonts w:hint="eastAsia" w:ascii="宋体" w:hAnsi="宋体" w:cs="宋体"/>
          <w:color w:val="auto"/>
          <w:kern w:val="0"/>
          <w:sz w:val="24"/>
          <w:szCs w:val="24"/>
          <w:highlight w:val="none"/>
          <w:u w:val="single"/>
        </w:rPr>
        <w:t>双方另行约定</w:t>
      </w:r>
      <w:r>
        <w:rPr>
          <w:rStyle w:val="348"/>
          <w:rFonts w:hint="eastAsia" w:ascii="宋体" w:hAnsi="宋体" w:cs="宋体"/>
          <w:color w:val="auto"/>
          <w:sz w:val="24"/>
          <w:szCs w:val="24"/>
          <w:highlight w:val="none"/>
        </w:rPr>
        <w:t>。</w:t>
      </w:r>
    </w:p>
    <w:p w14:paraId="56B7497B">
      <w:pPr>
        <w:spacing w:line="420" w:lineRule="exact"/>
        <w:ind w:firstLine="420"/>
        <w:jc w:val="left"/>
        <w:rPr>
          <w:rFonts w:ascii="宋体" w:hAnsi="宋体" w:eastAsia="宋体" w:cs="宋体"/>
          <w:color w:val="auto"/>
          <w:sz w:val="24"/>
          <w:highlight w:val="none"/>
        </w:rPr>
      </w:pPr>
      <w:r>
        <w:rPr>
          <w:rFonts w:hint="eastAsia" w:ascii="宋体" w:hAnsi="宋体" w:eastAsia="宋体" w:cs="宋体"/>
          <w:color w:val="auto"/>
          <w:sz w:val="24"/>
          <w:highlight w:val="none"/>
        </w:rPr>
        <w:t>6.1.2发包人对施工当中因承包人管理不善造成的较大安全问题可视作承包人违约，违约金额为20000元（人民币）/起，累计发生超过三起，发包人有权要求更换承包人的项目安全负责人，累计超过五起，发包人有权要求承包人更换项目经理。如发生一般事故（政府主管部门认定）一起，发包人有权扣除每起人民币2万元（含2万元）违约金。如发生较大事故及以上（政府主管部门认定）一起，发包人有权要求承包人更换项目经理并进行每起人民币5万元（含5万元）违约金。</w:t>
      </w:r>
    </w:p>
    <w:p w14:paraId="36E71F07">
      <w:pPr>
        <w:widowControl/>
        <w:spacing w:line="42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1）若不严格按国家有关安全文明施工标准做好各项安全防护，由此造成的经济责任和法律责任均由承包人承担。</w:t>
      </w:r>
    </w:p>
    <w:p w14:paraId="0B57F368">
      <w:pPr>
        <w:widowControl/>
        <w:spacing w:line="420" w:lineRule="exact"/>
        <w:ind w:firstLine="393"/>
        <w:rPr>
          <w:rFonts w:ascii="宋体" w:hAnsi="宋体" w:eastAsia="宋体" w:cs="宋体"/>
          <w:b/>
          <w:color w:val="auto"/>
          <w:sz w:val="24"/>
          <w:highlight w:val="none"/>
        </w:rPr>
      </w:pPr>
      <w:r>
        <w:rPr>
          <w:rFonts w:hint="eastAsia" w:ascii="宋体" w:hAnsi="宋体" w:eastAsia="宋体" w:cs="宋体"/>
          <w:color w:val="auto"/>
          <w:sz w:val="24"/>
          <w:highlight w:val="none"/>
        </w:rPr>
        <w:t>2）发包人或监理在施工过程中对承包人的安全文明施工进行检查时，发现其达不到安全文明施工合格标准。若承包人未在整改通知的规定的时间内整改完毕时，发包人对承包人处以违约处理金</w:t>
      </w:r>
      <w:r>
        <w:rPr>
          <w:rFonts w:hint="eastAsia" w:ascii="宋体" w:hAnsi="宋体" w:eastAsia="宋体" w:cs="宋体"/>
          <w:color w:val="auto"/>
          <w:sz w:val="24"/>
          <w:highlight w:val="none"/>
          <w:u w:val="single"/>
        </w:rPr>
        <w:t xml:space="preserve">5000 </w:t>
      </w:r>
      <w:r>
        <w:rPr>
          <w:rFonts w:hint="eastAsia" w:ascii="宋体" w:hAnsi="宋体" w:eastAsia="宋体" w:cs="宋体"/>
          <w:color w:val="auto"/>
          <w:sz w:val="24"/>
          <w:highlight w:val="none"/>
        </w:rPr>
        <w:t>元/次。</w:t>
      </w:r>
    </w:p>
    <w:p w14:paraId="59001FA9">
      <w:pPr>
        <w:widowControl/>
        <w:spacing w:line="420" w:lineRule="exact"/>
        <w:ind w:firstLine="393"/>
        <w:rPr>
          <w:rFonts w:ascii="宋体" w:hAnsi="宋体" w:eastAsia="宋体" w:cs="宋体"/>
          <w:b/>
          <w:color w:val="auto"/>
          <w:sz w:val="24"/>
          <w:highlight w:val="none"/>
        </w:rPr>
      </w:pPr>
      <w:r>
        <w:rPr>
          <w:rFonts w:hint="eastAsia" w:ascii="宋体" w:hAnsi="宋体" w:eastAsia="宋体" w:cs="宋体"/>
          <w:color w:val="auto"/>
          <w:sz w:val="24"/>
          <w:highlight w:val="none"/>
        </w:rPr>
        <w:t>3）承包人安全员每周在项目部的在岗时间不少于7天×8小时/天。承包人安全员在例行安全检查时不到岗的，发包人可处500元/次经济处罚。</w:t>
      </w:r>
    </w:p>
    <w:p w14:paraId="677FC6D5">
      <w:pPr>
        <w:widowControl/>
        <w:spacing w:line="420" w:lineRule="exact"/>
        <w:ind w:firstLine="420"/>
        <w:rPr>
          <w:rFonts w:ascii="宋体" w:hAnsi="宋体" w:eastAsia="宋体" w:cs="宋体"/>
          <w:color w:val="auto"/>
          <w:sz w:val="24"/>
          <w:highlight w:val="none"/>
        </w:rPr>
      </w:pPr>
      <w:r>
        <w:rPr>
          <w:rFonts w:hint="eastAsia" w:ascii="宋体" w:hAnsi="宋体" w:eastAsia="宋体" w:cs="宋体"/>
          <w:color w:val="auto"/>
          <w:sz w:val="24"/>
          <w:highlight w:val="none"/>
        </w:rPr>
        <w:t>4）经行业主管部门及项目业主予以通报或处罚的，处以5000元/次罚款。承包人因不文明施工、违法施工造成发包人受行业监管部门通报批评的，发包人有权处承包人5000元经济处罚。</w:t>
      </w:r>
    </w:p>
    <w:p w14:paraId="0EDD1108">
      <w:pPr>
        <w:widowControl/>
        <w:spacing w:line="420" w:lineRule="exact"/>
        <w:ind w:firstLine="420"/>
        <w:rPr>
          <w:rFonts w:ascii="宋体" w:hAnsi="宋体" w:eastAsia="宋体" w:cs="宋体"/>
          <w:color w:val="auto"/>
          <w:sz w:val="24"/>
          <w:highlight w:val="none"/>
        </w:rPr>
      </w:pPr>
      <w:r>
        <w:rPr>
          <w:rFonts w:hint="eastAsia" w:ascii="宋体" w:hAnsi="宋体" w:eastAsia="宋体" w:cs="宋体"/>
          <w:color w:val="auto"/>
          <w:sz w:val="24"/>
          <w:highlight w:val="none"/>
        </w:rPr>
        <w:t>5）经社会媒体曝光及市民投诉的予以证实后处以5000元/次罚款。</w:t>
      </w:r>
    </w:p>
    <w:p w14:paraId="00752B51">
      <w:pPr>
        <w:widowControl/>
        <w:spacing w:line="420" w:lineRule="exact"/>
        <w:ind w:firstLine="420"/>
        <w:rPr>
          <w:rFonts w:ascii="宋体" w:hAnsi="宋体" w:eastAsia="宋体" w:cs="宋体"/>
          <w:color w:val="auto"/>
          <w:sz w:val="24"/>
          <w:highlight w:val="none"/>
        </w:rPr>
      </w:pPr>
      <w:r>
        <w:rPr>
          <w:rFonts w:hint="eastAsia" w:ascii="宋体" w:hAnsi="宋体" w:eastAsia="宋体" w:cs="宋体"/>
          <w:color w:val="auto"/>
          <w:sz w:val="24"/>
          <w:highlight w:val="none"/>
        </w:rPr>
        <w:t>6）承包人项目经理在发包人或建设主管部门组织的季度安全生产检查，国庆、春节等重大节庆安全检查活动中，必须在项目工场现场接受检查，如不到岗，每次发包人可处2000元经济处罚。</w:t>
      </w:r>
    </w:p>
    <w:p w14:paraId="6DE72B2C">
      <w:pPr>
        <w:spacing w:line="420" w:lineRule="exact"/>
        <w:ind w:firstLine="480" w:firstLineChars="200"/>
        <w:jc w:val="left"/>
        <w:rPr>
          <w:rStyle w:val="348"/>
          <w:rFonts w:ascii="宋体" w:hAnsi="宋体" w:eastAsia="宋体" w:cs="宋体"/>
          <w:color w:val="auto"/>
          <w:sz w:val="24"/>
          <w:highlight w:val="none"/>
        </w:rPr>
      </w:pPr>
      <w:r>
        <w:rPr>
          <w:rFonts w:hint="eastAsia" w:ascii="宋体" w:hAnsi="宋体" w:eastAsia="宋体" w:cs="宋体"/>
          <w:color w:val="auto"/>
          <w:sz w:val="24"/>
          <w:highlight w:val="none"/>
        </w:rPr>
        <w:t>6.1.3承包人须在发包人开出罚款通知书即日起七个工作日内，到发包人的财务部门缴纳相应的违约金，若逾期未缴纳，发包人有权停止拨付当月或下月的工程进度款，并直接在应付工程款中扣除，所造成的责任由承包人承担。</w:t>
      </w:r>
    </w:p>
    <w:p w14:paraId="70102699">
      <w:pPr>
        <w:pStyle w:val="350"/>
        <w:spacing w:line="420" w:lineRule="exact"/>
        <w:ind w:firstLine="480" w:firstLineChars="200"/>
        <w:jc w:val="left"/>
        <w:rPr>
          <w:rStyle w:val="348"/>
          <w:rFonts w:ascii="宋体" w:hAnsi="宋体" w:cs="宋体"/>
          <w:color w:val="auto"/>
          <w:sz w:val="24"/>
          <w:szCs w:val="24"/>
          <w:highlight w:val="none"/>
          <w:u w:val="single"/>
        </w:rPr>
      </w:pPr>
      <w:r>
        <w:rPr>
          <w:rStyle w:val="348"/>
          <w:rFonts w:hint="eastAsia" w:ascii="宋体" w:hAnsi="宋体" w:cs="宋体"/>
          <w:color w:val="auto"/>
          <w:sz w:val="24"/>
          <w:szCs w:val="24"/>
          <w:highlight w:val="none"/>
        </w:rPr>
        <w:t>6.1.4 关于治安保卫的特别约定：</w:t>
      </w:r>
      <w:r>
        <w:rPr>
          <w:rStyle w:val="348"/>
          <w:rFonts w:hint="eastAsia" w:ascii="宋体" w:hAnsi="宋体" w:cs="宋体"/>
          <w:color w:val="auto"/>
          <w:sz w:val="24"/>
          <w:szCs w:val="24"/>
          <w:highlight w:val="none"/>
          <w:u w:val="single"/>
        </w:rPr>
        <w:t>承包人应承担施工安全保卫工作及非夜间施工照明的责任，承包人应采取一切合理的预防措施，防止人员伤亡、财产损失事故，否则造成事故的赔偿费用由承包人承担。承包人生活设施及施工场应自费配备消防设备，防止火灾发生。</w:t>
      </w:r>
    </w:p>
    <w:p w14:paraId="5CFB6D80">
      <w:pPr>
        <w:pStyle w:val="350"/>
        <w:spacing w:line="420" w:lineRule="exact"/>
        <w:ind w:firstLine="480" w:firstLineChars="200"/>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关于编制施工场地治安管理计划的约定：</w:t>
      </w:r>
      <w:r>
        <w:rPr>
          <w:rStyle w:val="348"/>
          <w:rFonts w:hint="eastAsia" w:ascii="宋体" w:hAnsi="宋体" w:cs="宋体"/>
          <w:color w:val="auto"/>
          <w:sz w:val="24"/>
          <w:szCs w:val="24"/>
          <w:highlight w:val="none"/>
          <w:u w:val="single"/>
        </w:rPr>
        <w:t xml:space="preserve">作为安全文明施工专项方案内容之一，合同签订后7天内由承包人负责编制完成后由发包人审核同意后实施 </w:t>
      </w:r>
      <w:r>
        <w:rPr>
          <w:rStyle w:val="348"/>
          <w:rFonts w:hint="eastAsia" w:ascii="宋体" w:hAnsi="宋体" w:cs="宋体"/>
          <w:color w:val="auto"/>
          <w:sz w:val="24"/>
          <w:szCs w:val="24"/>
          <w:highlight w:val="none"/>
        </w:rPr>
        <w:t>。</w:t>
      </w:r>
    </w:p>
    <w:p w14:paraId="3D1EBE9E">
      <w:pPr>
        <w:pStyle w:val="350"/>
        <w:spacing w:line="420" w:lineRule="exact"/>
        <w:ind w:firstLine="480" w:firstLineChars="200"/>
        <w:jc w:val="left"/>
        <w:outlineLvl w:val="4"/>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6.1.5 文明施工</w:t>
      </w:r>
    </w:p>
    <w:p w14:paraId="6A0B737B">
      <w:pPr>
        <w:pStyle w:val="358"/>
        <w:spacing w:line="420" w:lineRule="exact"/>
        <w:ind w:firstLine="480" w:firstLineChars="200"/>
        <w:jc w:val="left"/>
        <w:rPr>
          <w:rStyle w:val="348"/>
          <w:rFonts w:ascii="宋体" w:hAnsi="宋体" w:cs="宋体"/>
          <w:color w:val="auto"/>
          <w:sz w:val="24"/>
          <w:highlight w:val="none"/>
        </w:rPr>
      </w:pPr>
      <w:r>
        <w:rPr>
          <w:rStyle w:val="348"/>
          <w:rFonts w:hint="eastAsia" w:ascii="宋体" w:hAnsi="宋体" w:cs="宋体"/>
          <w:color w:val="auto"/>
          <w:sz w:val="24"/>
          <w:highlight w:val="none"/>
        </w:rPr>
        <w:t>合同当事人对文明施工的要求：严格执行《中华人民共和国大气污染防治法》（主席令第三十一号）有关规定，与辖区卫生防疫、环卫管理部门或有合法资质资格的企业签订病媒生物消杀协议、生活垃圾清运协议、渣土密闭运输协议、在线远程监控扬尘监测协议，遵守“一口两池三包四协议”的有关规定，施工前办理排水许可证，严格执行排水许可，做好工地泥浆水、临时生活污水的排放管理，现场设置三级沉淀池及化粪池，避免生活污水及施工废水直排市政排水管网及内河。采取道路硬化、裸土必盖（种草、绿网）、洗车出门、保洁路口、在线监测、抑尘喷淋等有效措施，确保建设工程各项安全防护、文明施工措施及其费用在工地一线按标准落实到位。</w:t>
      </w:r>
      <w:bookmarkStart w:id="361" w:name="_Toc389065287"/>
      <w:bookmarkEnd w:id="361"/>
      <w:bookmarkStart w:id="362" w:name="_Toc373478368"/>
      <w:bookmarkEnd w:id="362"/>
    </w:p>
    <w:p w14:paraId="2F3035C5">
      <w:pPr>
        <w:autoSpaceDE w:val="0"/>
        <w:autoSpaceDN w:val="0"/>
        <w:spacing w:line="420" w:lineRule="exact"/>
        <w:ind w:firstLine="480" w:firstLineChars="200"/>
        <w:jc w:val="left"/>
        <w:rPr>
          <w:rStyle w:val="348"/>
          <w:rFonts w:ascii="宋体" w:hAnsi="宋体" w:eastAsia="宋体" w:cs="宋体"/>
          <w:color w:val="auto"/>
          <w:kern w:val="0"/>
          <w:sz w:val="24"/>
          <w:highlight w:val="none"/>
        </w:rPr>
      </w:pPr>
      <w:r>
        <w:rPr>
          <w:rFonts w:hint="eastAsia" w:ascii="宋体" w:hAnsi="宋体" w:eastAsia="宋体" w:cs="宋体"/>
          <w:color w:val="auto"/>
          <w:kern w:val="0"/>
          <w:sz w:val="24"/>
          <w:highlight w:val="none"/>
        </w:rPr>
        <w:t>6.1.7在工程建设过程中，发包人或监理人将不定期组织对承包人的安全管理进行检查，对未按合同要求执行和现场存在安全隐患问题等情况下达整改通知单，承包人未在指定期限内完成整改的，视为承包违约，发包人有权视情况按5000元/次处罚，且暂不支付进度款。</w:t>
      </w:r>
    </w:p>
    <w:p w14:paraId="36B75CF6">
      <w:pPr>
        <w:pStyle w:val="354"/>
        <w:spacing w:line="420" w:lineRule="exact"/>
        <w:outlineLvl w:val="3"/>
        <w:rPr>
          <w:rStyle w:val="348"/>
          <w:rFonts w:ascii="宋体" w:hAnsi="宋体" w:eastAsia="宋体" w:cs="宋体"/>
          <w:b w:val="0"/>
          <w:bCs w:val="0"/>
          <w:color w:val="auto"/>
          <w:kern w:val="0"/>
          <w:sz w:val="24"/>
          <w:szCs w:val="24"/>
          <w:highlight w:val="none"/>
        </w:rPr>
      </w:pPr>
      <w:bookmarkStart w:id="363" w:name="_Toc30263"/>
      <w:bookmarkEnd w:id="363"/>
      <w:r>
        <w:rPr>
          <w:rStyle w:val="348"/>
          <w:rFonts w:hint="eastAsia" w:ascii="宋体" w:hAnsi="宋体" w:eastAsia="宋体" w:cs="宋体"/>
          <w:color w:val="auto"/>
          <w:sz w:val="24"/>
          <w:szCs w:val="24"/>
          <w:highlight w:val="none"/>
        </w:rPr>
        <w:t xml:space="preserve">6.3 </w:t>
      </w:r>
      <w:r>
        <w:rPr>
          <w:rStyle w:val="348"/>
          <w:rFonts w:hint="eastAsia" w:ascii="宋体" w:hAnsi="宋体" w:eastAsia="宋体" w:cs="宋体"/>
          <w:b w:val="0"/>
          <w:bCs w:val="0"/>
          <w:color w:val="auto"/>
          <w:kern w:val="0"/>
          <w:sz w:val="24"/>
          <w:szCs w:val="24"/>
          <w:highlight w:val="none"/>
        </w:rPr>
        <w:t>环境保护</w:t>
      </w:r>
    </w:p>
    <w:p w14:paraId="027A7833">
      <w:pPr>
        <w:pStyle w:val="350"/>
        <w:spacing w:line="420" w:lineRule="exact"/>
        <w:ind w:firstLine="480" w:firstLineChars="200"/>
        <w:jc w:val="left"/>
        <w:rPr>
          <w:rStyle w:val="348"/>
          <w:rFonts w:ascii="宋体" w:hAnsi="宋体" w:cs="宋体"/>
          <w:color w:val="auto"/>
          <w:kern w:val="0"/>
          <w:sz w:val="24"/>
          <w:szCs w:val="24"/>
          <w:highlight w:val="none"/>
        </w:rPr>
      </w:pPr>
      <w:r>
        <w:rPr>
          <w:rStyle w:val="348"/>
          <w:rFonts w:hint="eastAsia" w:ascii="宋体" w:hAnsi="宋体" w:cs="宋体"/>
          <w:color w:val="auto"/>
          <w:kern w:val="0"/>
          <w:sz w:val="24"/>
          <w:szCs w:val="24"/>
          <w:highlight w:val="none"/>
        </w:rPr>
        <w:t>因施工需要，经发包人批准，由承包人办理有关施工场地交通、环卫和施工噪音管理等手续，费用由承包人负责。</w:t>
      </w:r>
    </w:p>
    <w:p w14:paraId="30C41138">
      <w:pPr>
        <w:pStyle w:val="350"/>
        <w:spacing w:line="420" w:lineRule="exact"/>
        <w:ind w:firstLine="480" w:firstLineChars="200"/>
        <w:jc w:val="left"/>
        <w:rPr>
          <w:rStyle w:val="348"/>
          <w:rFonts w:ascii="宋体" w:hAnsi="宋体" w:cs="宋体"/>
          <w:color w:val="auto"/>
          <w:kern w:val="0"/>
          <w:sz w:val="24"/>
          <w:szCs w:val="24"/>
          <w:highlight w:val="none"/>
        </w:rPr>
      </w:pPr>
      <w:r>
        <w:rPr>
          <w:rStyle w:val="348"/>
          <w:rFonts w:hint="eastAsia" w:ascii="宋体" w:hAnsi="宋体" w:cs="宋体"/>
          <w:color w:val="auto"/>
          <w:kern w:val="0"/>
          <w:sz w:val="24"/>
          <w:szCs w:val="24"/>
          <w:highlight w:val="none"/>
        </w:rPr>
        <w:t>经过城市道路的施工车辆，必须按交警、城管、运输等部门相关规定执行。由于施工车辆造成的道路、环境等污染，其责任和费用均由承包人承担。</w:t>
      </w:r>
    </w:p>
    <w:p w14:paraId="6EEE6691">
      <w:pPr>
        <w:pStyle w:val="350"/>
        <w:spacing w:line="420" w:lineRule="exact"/>
        <w:ind w:firstLine="480" w:firstLineChars="200"/>
        <w:jc w:val="left"/>
        <w:rPr>
          <w:rStyle w:val="348"/>
          <w:rFonts w:ascii="宋体" w:hAnsi="宋体" w:cs="宋体"/>
          <w:color w:val="auto"/>
          <w:sz w:val="24"/>
          <w:szCs w:val="24"/>
          <w:highlight w:val="none"/>
          <w:u w:val="single"/>
        </w:rPr>
      </w:pPr>
    </w:p>
    <w:p w14:paraId="51467D1E">
      <w:pPr>
        <w:pStyle w:val="349"/>
        <w:spacing w:before="0" w:after="0" w:line="420" w:lineRule="exact"/>
        <w:outlineLvl w:val="2"/>
        <w:rPr>
          <w:rStyle w:val="348"/>
          <w:rFonts w:ascii="宋体" w:hAnsi="宋体" w:eastAsia="宋体" w:cs="宋体"/>
          <w:color w:val="auto"/>
          <w:sz w:val="24"/>
          <w:szCs w:val="24"/>
          <w:highlight w:val="none"/>
        </w:rPr>
      </w:pPr>
      <w:bookmarkStart w:id="364" w:name="_Toc389065288"/>
      <w:bookmarkEnd w:id="364"/>
      <w:bookmarkStart w:id="365" w:name="_Toc89"/>
      <w:bookmarkEnd w:id="365"/>
      <w:bookmarkStart w:id="366" w:name="_Toc351203639"/>
      <w:bookmarkEnd w:id="366"/>
      <w:bookmarkStart w:id="367" w:name="_Toc373227722"/>
      <w:bookmarkEnd w:id="367"/>
      <w:bookmarkStart w:id="368" w:name="_Toc373478369"/>
      <w:bookmarkEnd w:id="368"/>
      <w:r>
        <w:rPr>
          <w:rStyle w:val="348"/>
          <w:rFonts w:hint="eastAsia" w:ascii="宋体" w:hAnsi="宋体" w:eastAsia="宋体" w:cs="宋体"/>
          <w:color w:val="auto"/>
          <w:sz w:val="24"/>
          <w:szCs w:val="24"/>
          <w:highlight w:val="none"/>
        </w:rPr>
        <w:t>7. 工期和进度</w:t>
      </w:r>
    </w:p>
    <w:p w14:paraId="71E0F9DD">
      <w:pPr>
        <w:pStyle w:val="354"/>
        <w:spacing w:line="420" w:lineRule="exact"/>
        <w:outlineLvl w:val="3"/>
        <w:rPr>
          <w:rStyle w:val="348"/>
          <w:rFonts w:ascii="宋体" w:hAnsi="宋体" w:eastAsia="宋体" w:cs="宋体"/>
          <w:color w:val="auto"/>
          <w:sz w:val="24"/>
          <w:szCs w:val="24"/>
          <w:highlight w:val="none"/>
        </w:rPr>
      </w:pPr>
      <w:bookmarkStart w:id="369" w:name="_Toc373478370"/>
      <w:bookmarkEnd w:id="369"/>
      <w:bookmarkStart w:id="370" w:name="_Toc373227723"/>
      <w:bookmarkEnd w:id="370"/>
      <w:bookmarkStart w:id="371" w:name="_Toc11077"/>
      <w:bookmarkEnd w:id="371"/>
      <w:bookmarkStart w:id="372" w:name="_Toc389065289"/>
      <w:r>
        <w:rPr>
          <w:rStyle w:val="348"/>
          <w:rFonts w:hint="eastAsia" w:ascii="宋体" w:hAnsi="宋体" w:eastAsia="宋体" w:cs="宋体"/>
          <w:color w:val="auto"/>
          <w:sz w:val="24"/>
          <w:szCs w:val="24"/>
          <w:highlight w:val="none"/>
        </w:rPr>
        <w:t>7.1 施工组织设计</w:t>
      </w:r>
      <w:bookmarkEnd w:id="372"/>
    </w:p>
    <w:p w14:paraId="056B4655">
      <w:pPr>
        <w:pStyle w:val="350"/>
        <w:autoSpaceDE w:val="0"/>
        <w:autoSpaceDN w:val="0"/>
        <w:spacing w:line="420" w:lineRule="exact"/>
        <w:ind w:firstLine="480" w:firstLineChars="200"/>
        <w:jc w:val="left"/>
        <w:rPr>
          <w:rStyle w:val="348"/>
          <w:rFonts w:ascii="宋体" w:hAnsi="宋体" w:cs="宋体"/>
          <w:color w:val="auto"/>
          <w:sz w:val="24"/>
          <w:szCs w:val="24"/>
          <w:highlight w:val="none"/>
          <w:u w:val="single"/>
        </w:rPr>
      </w:pPr>
      <w:r>
        <w:rPr>
          <w:rStyle w:val="348"/>
          <w:rFonts w:hint="eastAsia" w:ascii="宋体" w:hAnsi="宋体" w:cs="宋体"/>
          <w:color w:val="auto"/>
          <w:sz w:val="24"/>
          <w:szCs w:val="24"/>
          <w:highlight w:val="none"/>
        </w:rPr>
        <w:t>7.1.1 合</w:t>
      </w:r>
      <w:r>
        <w:rPr>
          <w:rStyle w:val="348"/>
          <w:rFonts w:hint="eastAsia" w:ascii="宋体" w:hAnsi="宋体" w:cs="宋体"/>
          <w:color w:val="auto"/>
          <w:kern w:val="0"/>
          <w:sz w:val="24"/>
          <w:szCs w:val="24"/>
          <w:highlight w:val="none"/>
        </w:rPr>
        <w:t>同当事人约定的施工组织设计应包括的其他内容：</w:t>
      </w:r>
      <w:r>
        <w:rPr>
          <w:rStyle w:val="348"/>
          <w:rFonts w:hint="eastAsia" w:ascii="宋体" w:hAnsi="宋体" w:cs="宋体"/>
          <w:color w:val="auto"/>
          <w:sz w:val="24"/>
          <w:szCs w:val="24"/>
          <w:highlight w:val="none"/>
          <w:u w:val="single"/>
        </w:rPr>
        <w:t>按竞争性</w:t>
      </w:r>
      <w:r>
        <w:rPr>
          <w:rStyle w:val="348"/>
          <w:rFonts w:hint="eastAsia" w:ascii="宋体" w:hAnsi="宋体" w:cs="宋体"/>
          <w:color w:val="auto"/>
          <w:sz w:val="24"/>
          <w:szCs w:val="24"/>
          <w:highlight w:val="none"/>
          <w:u w:val="single"/>
          <w:lang w:eastAsia="zh-CN"/>
        </w:rPr>
        <w:t>磋商</w:t>
      </w:r>
      <w:r>
        <w:rPr>
          <w:rStyle w:val="348"/>
          <w:rFonts w:hint="eastAsia" w:ascii="宋体" w:hAnsi="宋体" w:cs="宋体"/>
          <w:color w:val="auto"/>
          <w:sz w:val="24"/>
          <w:szCs w:val="24"/>
          <w:highlight w:val="none"/>
          <w:u w:val="single"/>
        </w:rPr>
        <w:t>文件约定，竞争性</w:t>
      </w:r>
      <w:r>
        <w:rPr>
          <w:rStyle w:val="348"/>
          <w:rFonts w:hint="eastAsia" w:ascii="宋体" w:hAnsi="宋体" w:cs="宋体"/>
          <w:color w:val="auto"/>
          <w:sz w:val="24"/>
          <w:szCs w:val="24"/>
          <w:highlight w:val="none"/>
          <w:u w:val="single"/>
          <w:lang w:eastAsia="zh-CN"/>
        </w:rPr>
        <w:t>磋商</w:t>
      </w:r>
      <w:r>
        <w:rPr>
          <w:rStyle w:val="348"/>
          <w:rFonts w:hint="eastAsia" w:ascii="宋体" w:hAnsi="宋体" w:cs="宋体"/>
          <w:color w:val="auto"/>
          <w:sz w:val="24"/>
          <w:szCs w:val="24"/>
          <w:highlight w:val="none"/>
          <w:u w:val="single"/>
        </w:rPr>
        <w:t>文件无约定的按通用合同条款或双方另行约定</w:t>
      </w:r>
      <w:r>
        <w:rPr>
          <w:rStyle w:val="348"/>
          <w:rFonts w:hint="eastAsia" w:ascii="宋体" w:hAnsi="宋体" w:cs="宋体"/>
          <w:color w:val="auto"/>
          <w:sz w:val="24"/>
          <w:szCs w:val="24"/>
          <w:highlight w:val="none"/>
        </w:rPr>
        <w:t>。</w:t>
      </w:r>
    </w:p>
    <w:p w14:paraId="09876C9C">
      <w:pPr>
        <w:pStyle w:val="350"/>
        <w:autoSpaceDE w:val="0"/>
        <w:autoSpaceDN w:val="0"/>
        <w:spacing w:line="420" w:lineRule="exact"/>
        <w:ind w:firstLine="480" w:firstLineChars="200"/>
        <w:jc w:val="left"/>
        <w:outlineLvl w:val="4"/>
        <w:rPr>
          <w:rStyle w:val="348"/>
          <w:rFonts w:ascii="宋体" w:hAnsi="宋体" w:cs="宋体"/>
          <w:color w:val="auto"/>
          <w:kern w:val="0"/>
          <w:sz w:val="24"/>
          <w:szCs w:val="24"/>
          <w:highlight w:val="none"/>
        </w:rPr>
      </w:pPr>
      <w:r>
        <w:rPr>
          <w:rStyle w:val="348"/>
          <w:rFonts w:hint="eastAsia" w:ascii="宋体" w:hAnsi="宋体" w:cs="宋体"/>
          <w:color w:val="auto"/>
          <w:sz w:val="24"/>
          <w:szCs w:val="24"/>
          <w:highlight w:val="none"/>
        </w:rPr>
        <w:t xml:space="preserve">7.1.2 </w:t>
      </w:r>
      <w:r>
        <w:rPr>
          <w:rStyle w:val="348"/>
          <w:rFonts w:hint="eastAsia" w:ascii="宋体" w:hAnsi="宋体" w:cs="宋体"/>
          <w:color w:val="auto"/>
          <w:kern w:val="0"/>
          <w:sz w:val="24"/>
          <w:szCs w:val="24"/>
          <w:highlight w:val="none"/>
        </w:rPr>
        <w:t>施工组织设计的提交和修改</w:t>
      </w:r>
    </w:p>
    <w:p w14:paraId="483E71CA">
      <w:pPr>
        <w:pStyle w:val="350"/>
        <w:autoSpaceDE w:val="0"/>
        <w:autoSpaceDN w:val="0"/>
        <w:spacing w:line="420" w:lineRule="exact"/>
        <w:ind w:firstLine="480" w:firstLineChars="200"/>
        <w:jc w:val="left"/>
        <w:rPr>
          <w:rStyle w:val="348"/>
          <w:rFonts w:ascii="宋体" w:hAnsi="宋体" w:cs="宋体"/>
          <w:color w:val="auto"/>
          <w:sz w:val="24"/>
          <w:szCs w:val="24"/>
          <w:highlight w:val="none"/>
          <w:u w:val="single"/>
        </w:rPr>
      </w:pPr>
      <w:r>
        <w:rPr>
          <w:rStyle w:val="348"/>
          <w:rFonts w:hint="eastAsia" w:ascii="宋体" w:hAnsi="宋体" w:cs="宋体"/>
          <w:color w:val="auto"/>
          <w:kern w:val="0"/>
          <w:sz w:val="24"/>
          <w:szCs w:val="24"/>
          <w:highlight w:val="none"/>
        </w:rPr>
        <w:t>承包人提交详细施工组织设计的期限的约定：</w:t>
      </w:r>
      <w:r>
        <w:rPr>
          <w:rStyle w:val="348"/>
          <w:rFonts w:hint="eastAsia" w:ascii="宋体" w:hAnsi="宋体" w:cs="宋体"/>
          <w:color w:val="auto"/>
          <w:sz w:val="24"/>
          <w:szCs w:val="24"/>
          <w:highlight w:val="none"/>
          <w:u w:val="single"/>
        </w:rPr>
        <w:t>工程开工前10天</w:t>
      </w:r>
      <w:r>
        <w:rPr>
          <w:rStyle w:val="348"/>
          <w:rFonts w:hint="eastAsia" w:ascii="宋体" w:hAnsi="宋体" w:cs="宋体"/>
          <w:color w:val="auto"/>
          <w:sz w:val="24"/>
          <w:szCs w:val="24"/>
          <w:highlight w:val="none"/>
        </w:rPr>
        <w:t>。</w:t>
      </w:r>
    </w:p>
    <w:p w14:paraId="5CA16BE5">
      <w:pPr>
        <w:pStyle w:val="350"/>
        <w:spacing w:line="420" w:lineRule="exact"/>
        <w:ind w:firstLine="480" w:firstLineChars="200"/>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发包人和监理人在收到详细的施工组织设计后确认或提出修改意见的期限：</w:t>
      </w:r>
      <w:r>
        <w:rPr>
          <w:rStyle w:val="348"/>
          <w:rFonts w:hint="eastAsia" w:ascii="宋体" w:hAnsi="宋体" w:cs="宋体"/>
          <w:color w:val="auto"/>
          <w:sz w:val="24"/>
          <w:szCs w:val="24"/>
          <w:highlight w:val="none"/>
          <w:u w:val="single"/>
        </w:rPr>
        <w:t>于收到之日起7日内</w:t>
      </w:r>
      <w:r>
        <w:rPr>
          <w:rStyle w:val="348"/>
          <w:rFonts w:hint="eastAsia" w:ascii="宋体" w:hAnsi="宋体" w:cs="宋体"/>
          <w:color w:val="auto"/>
          <w:sz w:val="24"/>
          <w:szCs w:val="24"/>
          <w:highlight w:val="none"/>
        </w:rPr>
        <w:t>。</w:t>
      </w:r>
    </w:p>
    <w:p w14:paraId="412DA983">
      <w:pPr>
        <w:pStyle w:val="354"/>
        <w:spacing w:line="420" w:lineRule="exact"/>
        <w:outlineLvl w:val="3"/>
        <w:rPr>
          <w:rStyle w:val="348"/>
          <w:rFonts w:ascii="宋体" w:hAnsi="宋体" w:eastAsia="宋体" w:cs="宋体"/>
          <w:color w:val="auto"/>
          <w:sz w:val="24"/>
          <w:szCs w:val="24"/>
          <w:highlight w:val="none"/>
        </w:rPr>
      </w:pPr>
      <w:bookmarkStart w:id="373" w:name="_Toc373478371"/>
      <w:bookmarkEnd w:id="373"/>
      <w:bookmarkStart w:id="374" w:name="_Toc389065290"/>
      <w:bookmarkEnd w:id="374"/>
      <w:bookmarkStart w:id="375" w:name="_Toc24506"/>
      <w:bookmarkEnd w:id="375"/>
      <w:bookmarkStart w:id="376" w:name="_Toc373227724"/>
      <w:r>
        <w:rPr>
          <w:rStyle w:val="348"/>
          <w:rFonts w:hint="eastAsia" w:ascii="宋体" w:hAnsi="宋体" w:eastAsia="宋体" w:cs="宋体"/>
          <w:color w:val="auto"/>
          <w:sz w:val="24"/>
          <w:szCs w:val="24"/>
          <w:highlight w:val="none"/>
        </w:rPr>
        <w:t>7</w:t>
      </w:r>
      <w:bookmarkEnd w:id="376"/>
      <w:bookmarkStart w:id="377" w:name="_Toc300934966"/>
      <w:bookmarkEnd w:id="377"/>
      <w:bookmarkStart w:id="378" w:name="_Toc312678005"/>
      <w:bookmarkEnd w:id="378"/>
      <w:bookmarkStart w:id="379" w:name="_Toc303539123"/>
      <w:bookmarkEnd w:id="379"/>
      <w:bookmarkStart w:id="380" w:name="_Toc297123514"/>
      <w:bookmarkEnd w:id="380"/>
      <w:bookmarkStart w:id="381" w:name="_Toc304295541"/>
      <w:bookmarkEnd w:id="381"/>
      <w:bookmarkStart w:id="382" w:name="_Toc297216173"/>
      <w:bookmarkEnd w:id="382"/>
      <w:bookmarkStart w:id="383" w:name="_Toc312677479"/>
      <w:r>
        <w:rPr>
          <w:rStyle w:val="348"/>
          <w:rFonts w:hint="eastAsia" w:ascii="宋体" w:hAnsi="宋体" w:eastAsia="宋体" w:cs="宋体"/>
          <w:color w:val="auto"/>
          <w:sz w:val="24"/>
          <w:szCs w:val="24"/>
          <w:highlight w:val="none"/>
        </w:rPr>
        <w:t>.2 施工进度计划</w:t>
      </w:r>
      <w:bookmarkEnd w:id="383"/>
    </w:p>
    <w:p w14:paraId="2FA3DE99">
      <w:pPr>
        <w:pStyle w:val="350"/>
        <w:spacing w:line="420" w:lineRule="exact"/>
        <w:ind w:firstLine="480" w:firstLineChars="200"/>
        <w:jc w:val="left"/>
        <w:outlineLvl w:val="4"/>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7.2.2 施工进度计划的修订</w:t>
      </w:r>
    </w:p>
    <w:p w14:paraId="40B4F1CA">
      <w:pPr>
        <w:pStyle w:val="350"/>
        <w:spacing w:line="420" w:lineRule="exact"/>
        <w:ind w:firstLine="480" w:firstLineChars="200"/>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发包人和监理人在收到修订的施工进度计划后确认或提出修改意见的期限：</w:t>
      </w:r>
      <w:r>
        <w:rPr>
          <w:rStyle w:val="348"/>
          <w:rFonts w:hint="eastAsia" w:ascii="宋体" w:hAnsi="宋体" w:cs="宋体"/>
          <w:color w:val="auto"/>
          <w:sz w:val="24"/>
          <w:szCs w:val="24"/>
          <w:highlight w:val="none"/>
          <w:u w:val="single"/>
        </w:rPr>
        <w:t>于收到之日起7日内批复</w:t>
      </w:r>
      <w:r>
        <w:rPr>
          <w:rStyle w:val="348"/>
          <w:rFonts w:hint="eastAsia" w:ascii="宋体" w:hAnsi="宋体" w:cs="宋体"/>
          <w:color w:val="auto"/>
          <w:sz w:val="24"/>
          <w:szCs w:val="24"/>
          <w:highlight w:val="none"/>
        </w:rPr>
        <w:t>。</w:t>
      </w:r>
    </w:p>
    <w:p w14:paraId="44BB2F6A">
      <w:pPr>
        <w:pStyle w:val="354"/>
        <w:spacing w:line="420" w:lineRule="exact"/>
        <w:outlineLvl w:val="3"/>
        <w:rPr>
          <w:rStyle w:val="348"/>
          <w:rFonts w:ascii="宋体" w:hAnsi="宋体" w:eastAsia="宋体" w:cs="宋体"/>
          <w:color w:val="auto"/>
          <w:sz w:val="24"/>
          <w:szCs w:val="24"/>
          <w:highlight w:val="none"/>
        </w:rPr>
      </w:pPr>
      <w:bookmarkStart w:id="384" w:name="_Toc373478372"/>
      <w:bookmarkEnd w:id="384"/>
      <w:bookmarkStart w:id="385" w:name="_Toc373227725"/>
      <w:bookmarkEnd w:id="385"/>
      <w:bookmarkStart w:id="386" w:name="_Toc389065291"/>
      <w:bookmarkEnd w:id="386"/>
      <w:bookmarkStart w:id="387" w:name="_Toc12066"/>
      <w:r>
        <w:rPr>
          <w:rStyle w:val="348"/>
          <w:rFonts w:hint="eastAsia" w:ascii="宋体" w:hAnsi="宋体" w:eastAsia="宋体" w:cs="宋体"/>
          <w:color w:val="auto"/>
          <w:sz w:val="24"/>
          <w:szCs w:val="24"/>
          <w:highlight w:val="none"/>
        </w:rPr>
        <w:t>7.3 开工</w:t>
      </w:r>
      <w:bookmarkEnd w:id="387"/>
    </w:p>
    <w:p w14:paraId="268CB271">
      <w:pPr>
        <w:pStyle w:val="350"/>
        <w:spacing w:line="420" w:lineRule="exact"/>
        <w:ind w:firstLine="480" w:firstLineChars="200"/>
        <w:jc w:val="left"/>
        <w:outlineLvl w:val="4"/>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7.3.1 开工准备</w:t>
      </w:r>
    </w:p>
    <w:p w14:paraId="78FADBEF">
      <w:pPr>
        <w:pStyle w:val="350"/>
        <w:spacing w:line="420" w:lineRule="exact"/>
        <w:ind w:firstLine="426"/>
        <w:jc w:val="left"/>
        <w:rPr>
          <w:rStyle w:val="348"/>
          <w:rFonts w:ascii="宋体" w:hAnsi="宋体" w:cs="宋体"/>
          <w:color w:val="auto"/>
          <w:sz w:val="24"/>
          <w:szCs w:val="24"/>
          <w:highlight w:val="none"/>
          <w:u w:val="single"/>
        </w:rPr>
      </w:pPr>
      <w:r>
        <w:rPr>
          <w:rStyle w:val="348"/>
          <w:rFonts w:hint="eastAsia" w:ascii="宋体" w:hAnsi="宋体" w:cs="宋体"/>
          <w:color w:val="auto"/>
          <w:sz w:val="24"/>
          <w:szCs w:val="24"/>
          <w:highlight w:val="none"/>
        </w:rPr>
        <w:t>关于承包人提交</w:t>
      </w:r>
      <w:r>
        <w:rPr>
          <w:rStyle w:val="348"/>
          <w:rFonts w:hint="eastAsia" w:ascii="宋体" w:hAnsi="宋体" w:cs="宋体"/>
          <w:color w:val="auto"/>
          <w:kern w:val="0"/>
          <w:sz w:val="24"/>
          <w:szCs w:val="24"/>
          <w:highlight w:val="none"/>
        </w:rPr>
        <w:t>工程开工报审表的期限：</w:t>
      </w:r>
      <w:r>
        <w:rPr>
          <w:rStyle w:val="348"/>
          <w:rFonts w:hint="eastAsia" w:ascii="宋体" w:hAnsi="宋体" w:cs="宋体"/>
          <w:color w:val="auto"/>
          <w:sz w:val="24"/>
          <w:szCs w:val="24"/>
          <w:highlight w:val="none"/>
          <w:u w:val="single"/>
        </w:rPr>
        <w:t>开工前7日</w:t>
      </w:r>
      <w:r>
        <w:rPr>
          <w:rStyle w:val="348"/>
          <w:rFonts w:hint="eastAsia" w:ascii="宋体" w:hAnsi="宋体" w:cs="宋体"/>
          <w:color w:val="auto"/>
          <w:sz w:val="24"/>
          <w:szCs w:val="24"/>
          <w:highlight w:val="none"/>
        </w:rPr>
        <w:t>。</w:t>
      </w:r>
    </w:p>
    <w:p w14:paraId="1B2146F7">
      <w:pPr>
        <w:pStyle w:val="350"/>
        <w:spacing w:line="420" w:lineRule="exact"/>
        <w:ind w:firstLine="426"/>
        <w:jc w:val="left"/>
        <w:rPr>
          <w:rStyle w:val="348"/>
          <w:rFonts w:ascii="宋体" w:hAnsi="宋体" w:cs="宋体"/>
          <w:color w:val="auto"/>
          <w:sz w:val="24"/>
          <w:szCs w:val="24"/>
          <w:highlight w:val="none"/>
          <w:u w:val="single"/>
        </w:rPr>
      </w:pPr>
      <w:r>
        <w:rPr>
          <w:rStyle w:val="348"/>
          <w:rFonts w:hint="eastAsia" w:ascii="宋体" w:hAnsi="宋体" w:cs="宋体"/>
          <w:color w:val="auto"/>
          <w:sz w:val="24"/>
          <w:szCs w:val="24"/>
          <w:highlight w:val="none"/>
        </w:rPr>
        <w:t>关于发包人应完成的其他开工准备工作及期限：</w:t>
      </w:r>
      <w:r>
        <w:rPr>
          <w:rStyle w:val="348"/>
          <w:rFonts w:hint="eastAsia" w:ascii="宋体" w:hAnsi="宋体" w:cs="宋体"/>
          <w:color w:val="auto"/>
          <w:sz w:val="24"/>
          <w:szCs w:val="24"/>
          <w:highlight w:val="none"/>
          <w:u w:val="single"/>
        </w:rPr>
        <w:t>开工前7日</w:t>
      </w:r>
      <w:r>
        <w:rPr>
          <w:rStyle w:val="348"/>
          <w:rFonts w:hint="eastAsia" w:ascii="宋体" w:hAnsi="宋体" w:cs="宋体"/>
          <w:color w:val="auto"/>
          <w:sz w:val="24"/>
          <w:szCs w:val="24"/>
          <w:highlight w:val="none"/>
        </w:rPr>
        <w:t>。</w:t>
      </w:r>
    </w:p>
    <w:p w14:paraId="4948CF05">
      <w:pPr>
        <w:pStyle w:val="350"/>
        <w:spacing w:line="420" w:lineRule="exact"/>
        <w:ind w:firstLine="480" w:firstLineChars="200"/>
        <w:jc w:val="left"/>
        <w:rPr>
          <w:rStyle w:val="348"/>
          <w:rFonts w:ascii="宋体" w:hAnsi="宋体" w:cs="宋体"/>
          <w:color w:val="auto"/>
          <w:sz w:val="24"/>
          <w:szCs w:val="24"/>
          <w:highlight w:val="none"/>
          <w:u w:val="single"/>
        </w:rPr>
      </w:pPr>
      <w:r>
        <w:rPr>
          <w:rStyle w:val="348"/>
          <w:rFonts w:hint="eastAsia" w:ascii="宋体" w:hAnsi="宋体" w:cs="宋体"/>
          <w:color w:val="auto"/>
          <w:sz w:val="24"/>
          <w:szCs w:val="24"/>
          <w:highlight w:val="none"/>
        </w:rPr>
        <w:t>关于承包人应完成的其他开工准备工作及期限：</w:t>
      </w:r>
      <w:r>
        <w:rPr>
          <w:rStyle w:val="348"/>
          <w:rFonts w:hint="eastAsia" w:ascii="宋体" w:hAnsi="宋体" w:cs="宋体"/>
          <w:color w:val="auto"/>
          <w:sz w:val="24"/>
          <w:szCs w:val="24"/>
          <w:highlight w:val="none"/>
          <w:u w:val="single"/>
        </w:rPr>
        <w:t>开工前7日</w:t>
      </w:r>
      <w:r>
        <w:rPr>
          <w:rStyle w:val="348"/>
          <w:rFonts w:hint="eastAsia" w:ascii="宋体" w:hAnsi="宋体" w:cs="宋体"/>
          <w:color w:val="auto"/>
          <w:sz w:val="24"/>
          <w:szCs w:val="24"/>
          <w:highlight w:val="none"/>
        </w:rPr>
        <w:t>。</w:t>
      </w:r>
    </w:p>
    <w:p w14:paraId="4D2CEDE5">
      <w:pPr>
        <w:pStyle w:val="350"/>
        <w:spacing w:line="420" w:lineRule="exact"/>
        <w:ind w:firstLine="480" w:firstLineChars="200"/>
        <w:jc w:val="left"/>
        <w:outlineLvl w:val="4"/>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7.3.2 开工通知</w:t>
      </w:r>
    </w:p>
    <w:p w14:paraId="08C23520">
      <w:pPr>
        <w:pStyle w:val="350"/>
        <w:spacing w:line="420" w:lineRule="exact"/>
        <w:ind w:firstLine="480" w:firstLineChars="200"/>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因发包人原因造成监理人未能在计划开工日期之日起</w:t>
      </w:r>
      <w:r>
        <w:rPr>
          <w:rStyle w:val="348"/>
          <w:rFonts w:hint="eastAsia" w:ascii="宋体" w:hAnsi="宋体" w:cs="宋体"/>
          <w:color w:val="auto"/>
          <w:sz w:val="24"/>
          <w:szCs w:val="24"/>
          <w:highlight w:val="none"/>
          <w:u w:val="single"/>
        </w:rPr>
        <w:t xml:space="preserve">   /  </w:t>
      </w:r>
      <w:r>
        <w:rPr>
          <w:rStyle w:val="348"/>
          <w:rFonts w:hint="eastAsia" w:ascii="宋体" w:hAnsi="宋体" w:cs="宋体"/>
          <w:color w:val="auto"/>
          <w:sz w:val="24"/>
          <w:szCs w:val="24"/>
          <w:highlight w:val="none"/>
        </w:rPr>
        <w:t>天内发出开工通知的，承包人有权提出价格调整要求，或者解除合同。</w:t>
      </w:r>
    </w:p>
    <w:p w14:paraId="13CEBDE3">
      <w:pPr>
        <w:pStyle w:val="354"/>
        <w:spacing w:line="420" w:lineRule="exact"/>
        <w:outlineLvl w:val="3"/>
        <w:rPr>
          <w:rStyle w:val="348"/>
          <w:rFonts w:ascii="宋体" w:hAnsi="宋体" w:eastAsia="宋体" w:cs="宋体"/>
          <w:color w:val="auto"/>
          <w:sz w:val="24"/>
          <w:szCs w:val="24"/>
          <w:highlight w:val="none"/>
        </w:rPr>
      </w:pPr>
      <w:bookmarkStart w:id="388" w:name="_Toc389065292"/>
      <w:bookmarkEnd w:id="388"/>
      <w:bookmarkStart w:id="389" w:name="_Toc373478373"/>
      <w:bookmarkEnd w:id="389"/>
      <w:bookmarkStart w:id="390" w:name="_Toc5444"/>
      <w:bookmarkEnd w:id="390"/>
      <w:bookmarkStart w:id="391" w:name="_Toc373227726"/>
      <w:bookmarkEnd w:id="391"/>
      <w:r>
        <w:rPr>
          <w:rStyle w:val="348"/>
          <w:rFonts w:hint="eastAsia" w:ascii="宋体" w:hAnsi="宋体" w:eastAsia="宋体" w:cs="宋体"/>
          <w:color w:val="auto"/>
          <w:sz w:val="24"/>
          <w:szCs w:val="24"/>
          <w:highlight w:val="none"/>
        </w:rPr>
        <w:t>7.4 测量放线</w:t>
      </w:r>
    </w:p>
    <w:p w14:paraId="5F0B5A7B">
      <w:pPr>
        <w:pStyle w:val="350"/>
        <w:spacing w:line="420" w:lineRule="exact"/>
        <w:ind w:firstLine="480" w:firstLineChars="200"/>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7.4.1发包人通过监理人向承包人提供测量基准点、基准线和水准点及其书面资料的期限：</w:t>
      </w:r>
    </w:p>
    <w:p w14:paraId="1DC7BBA1">
      <w:pPr>
        <w:pStyle w:val="350"/>
        <w:spacing w:line="420" w:lineRule="exact"/>
        <w:jc w:val="left"/>
        <w:rPr>
          <w:rStyle w:val="348"/>
          <w:rFonts w:ascii="宋体" w:hAnsi="宋体" w:cs="宋体"/>
          <w:color w:val="auto"/>
          <w:sz w:val="24"/>
          <w:szCs w:val="24"/>
          <w:highlight w:val="none"/>
          <w:u w:val="single"/>
        </w:rPr>
      </w:pPr>
      <w:r>
        <w:rPr>
          <w:rStyle w:val="348"/>
          <w:rFonts w:hint="eastAsia" w:ascii="宋体" w:hAnsi="宋体" w:cs="宋体"/>
          <w:color w:val="auto"/>
          <w:sz w:val="24"/>
          <w:szCs w:val="24"/>
          <w:highlight w:val="none"/>
          <w:u w:val="single"/>
        </w:rPr>
        <w:t>开工前3日</w:t>
      </w:r>
      <w:r>
        <w:rPr>
          <w:rStyle w:val="348"/>
          <w:rFonts w:hint="eastAsia" w:ascii="宋体" w:hAnsi="宋体" w:cs="宋体"/>
          <w:color w:val="auto"/>
          <w:sz w:val="24"/>
          <w:szCs w:val="24"/>
          <w:highlight w:val="none"/>
        </w:rPr>
        <w:t>。</w:t>
      </w:r>
    </w:p>
    <w:p w14:paraId="64682731">
      <w:pPr>
        <w:pStyle w:val="354"/>
        <w:spacing w:line="420" w:lineRule="exact"/>
        <w:outlineLvl w:val="3"/>
        <w:rPr>
          <w:rStyle w:val="348"/>
          <w:rFonts w:ascii="宋体" w:hAnsi="宋体" w:eastAsia="宋体" w:cs="宋体"/>
          <w:color w:val="auto"/>
          <w:sz w:val="24"/>
          <w:szCs w:val="24"/>
          <w:highlight w:val="none"/>
        </w:rPr>
      </w:pPr>
      <w:bookmarkStart w:id="392" w:name="_Toc373227727"/>
      <w:bookmarkEnd w:id="392"/>
      <w:bookmarkStart w:id="393" w:name="_Toc373478374"/>
      <w:bookmarkEnd w:id="393"/>
      <w:bookmarkStart w:id="394" w:name="_Toc389065293"/>
      <w:bookmarkEnd w:id="394"/>
      <w:bookmarkStart w:id="395" w:name="_Toc21949"/>
      <w:r>
        <w:rPr>
          <w:rStyle w:val="348"/>
          <w:rFonts w:hint="eastAsia" w:ascii="宋体" w:hAnsi="宋体" w:eastAsia="宋体" w:cs="宋体"/>
          <w:color w:val="auto"/>
          <w:sz w:val="24"/>
          <w:szCs w:val="24"/>
          <w:highlight w:val="none"/>
        </w:rPr>
        <w:t>7</w:t>
      </w:r>
      <w:bookmarkEnd w:id="395"/>
      <w:bookmarkStart w:id="396" w:name="_Toc304295546"/>
      <w:bookmarkEnd w:id="396"/>
      <w:bookmarkStart w:id="397" w:name="_Toc312678010"/>
      <w:bookmarkEnd w:id="397"/>
      <w:bookmarkStart w:id="398" w:name="_Toc297123516"/>
      <w:bookmarkEnd w:id="398"/>
      <w:bookmarkStart w:id="399" w:name="_Toc303539125"/>
      <w:bookmarkEnd w:id="399"/>
      <w:bookmarkStart w:id="400" w:name="_Toc300934968"/>
      <w:bookmarkEnd w:id="400"/>
      <w:bookmarkStart w:id="401" w:name="_Toc312677484"/>
      <w:bookmarkEnd w:id="401"/>
      <w:bookmarkStart w:id="402" w:name="_Toc297216175"/>
      <w:r>
        <w:rPr>
          <w:rStyle w:val="348"/>
          <w:rFonts w:hint="eastAsia" w:ascii="宋体" w:hAnsi="宋体" w:eastAsia="宋体" w:cs="宋体"/>
          <w:color w:val="auto"/>
          <w:sz w:val="24"/>
          <w:szCs w:val="24"/>
          <w:highlight w:val="none"/>
        </w:rPr>
        <w:t xml:space="preserve">.5 </w:t>
      </w:r>
      <w:bookmarkEnd w:id="402"/>
      <w:r>
        <w:rPr>
          <w:rStyle w:val="348"/>
          <w:rFonts w:hint="eastAsia" w:ascii="宋体" w:hAnsi="宋体" w:eastAsia="宋体" w:cs="宋体"/>
          <w:color w:val="auto"/>
          <w:sz w:val="24"/>
          <w:szCs w:val="24"/>
          <w:highlight w:val="none"/>
        </w:rPr>
        <w:t>工期延误</w:t>
      </w:r>
    </w:p>
    <w:p w14:paraId="4F3261AD">
      <w:pPr>
        <w:pStyle w:val="350"/>
        <w:spacing w:line="420" w:lineRule="exact"/>
        <w:ind w:firstLine="480" w:firstLineChars="200"/>
        <w:jc w:val="left"/>
        <w:outlineLvl w:val="4"/>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7.5.1 因发包人原因导致工期延误</w:t>
      </w:r>
    </w:p>
    <w:p w14:paraId="6A84436B">
      <w:pPr>
        <w:pStyle w:val="350"/>
        <w:spacing w:line="420" w:lineRule="exact"/>
        <w:ind w:firstLine="480" w:firstLineChars="200"/>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（7）因发包人原因导致工期延误的其他情形：</w:t>
      </w:r>
      <w:r>
        <w:rPr>
          <w:rFonts w:hint="eastAsia" w:ascii="宋体" w:hAnsi="宋体" w:cs="宋体"/>
          <w:color w:val="auto"/>
          <w:sz w:val="24"/>
          <w:szCs w:val="24"/>
          <w:highlight w:val="none"/>
          <w:u w:val="single"/>
        </w:rPr>
        <w:t>①重大图纸变更影响关键线路工序施工；②施工期间因发包人原因停电、停水连续8小时以上影响正常施工的；③因发包人原因政府指令该项目停工；④在施工过程中遇到地下水、地下障碍物、淤泥、流砂、溶洞、岩石、文物或地下管线或地基处理等影响关键线路工序施工的；⑤因发包人未能及时确认变更价格或甲供材料提供延误的；⑥因发包人原因造成的延误开工、施工障碍、停建、缓建等情况；⑦发包人未能按专用条款的约定提供图纸及开工条件；”</w:t>
      </w:r>
    </w:p>
    <w:p w14:paraId="6B9D7A74">
      <w:pPr>
        <w:pStyle w:val="350"/>
        <w:spacing w:line="420" w:lineRule="exact"/>
        <w:ind w:firstLine="480" w:firstLineChars="200"/>
        <w:jc w:val="left"/>
        <w:outlineLvl w:val="4"/>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7</w:t>
      </w:r>
      <w:bookmarkStart w:id="403" w:name="_Toc297216177"/>
      <w:bookmarkEnd w:id="403"/>
      <w:bookmarkStart w:id="404" w:name="_Toc312678012"/>
      <w:bookmarkEnd w:id="404"/>
      <w:bookmarkStart w:id="405" w:name="_Toc318581169"/>
      <w:bookmarkEnd w:id="405"/>
      <w:bookmarkStart w:id="406" w:name="_Toc312677486"/>
      <w:bookmarkEnd w:id="406"/>
      <w:bookmarkStart w:id="407" w:name="_Toc300934970"/>
      <w:bookmarkEnd w:id="407"/>
      <w:bookmarkStart w:id="408" w:name="_Toc304295548"/>
      <w:bookmarkEnd w:id="408"/>
      <w:bookmarkStart w:id="409" w:name="_Toc303539127"/>
      <w:bookmarkEnd w:id="409"/>
      <w:bookmarkStart w:id="410" w:name="_Toc297123518"/>
      <w:r>
        <w:rPr>
          <w:rStyle w:val="348"/>
          <w:rFonts w:hint="eastAsia" w:ascii="宋体" w:hAnsi="宋体" w:cs="宋体"/>
          <w:color w:val="auto"/>
          <w:sz w:val="24"/>
          <w:szCs w:val="24"/>
          <w:highlight w:val="none"/>
        </w:rPr>
        <w:t xml:space="preserve">.5.2 </w:t>
      </w:r>
      <w:bookmarkEnd w:id="410"/>
      <w:r>
        <w:rPr>
          <w:rStyle w:val="348"/>
          <w:rFonts w:hint="eastAsia" w:ascii="宋体" w:hAnsi="宋体" w:cs="宋体"/>
          <w:color w:val="auto"/>
          <w:sz w:val="24"/>
          <w:szCs w:val="24"/>
          <w:highlight w:val="none"/>
        </w:rPr>
        <w:t>因承包人原因导致工期延误</w:t>
      </w:r>
    </w:p>
    <w:p w14:paraId="3D06C2D6">
      <w:pPr>
        <w:pStyle w:val="350"/>
        <w:spacing w:line="420" w:lineRule="exact"/>
        <w:ind w:firstLine="480" w:firstLineChars="200"/>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双方约定经监理工程师确认，工期相应顺延的情况：</w:t>
      </w:r>
      <w:r>
        <w:rPr>
          <w:rStyle w:val="348"/>
          <w:rFonts w:hint="eastAsia" w:ascii="宋体" w:hAnsi="宋体" w:cs="宋体"/>
          <w:color w:val="auto"/>
          <w:sz w:val="24"/>
          <w:szCs w:val="24"/>
          <w:highlight w:val="none"/>
          <w:u w:val="single"/>
        </w:rPr>
        <w:t>非承包人的责任造成的工期延误；或承包人有证据证明的可顺延工期的其他情况</w:t>
      </w:r>
      <w:r>
        <w:rPr>
          <w:rStyle w:val="348"/>
          <w:rFonts w:hint="eastAsia" w:ascii="宋体" w:hAnsi="宋体" w:cs="宋体"/>
          <w:color w:val="auto"/>
          <w:sz w:val="24"/>
          <w:szCs w:val="24"/>
          <w:highlight w:val="none"/>
        </w:rPr>
        <w:t>。</w:t>
      </w:r>
    </w:p>
    <w:p w14:paraId="15BD73A0">
      <w:pPr>
        <w:pStyle w:val="18"/>
        <w:rPr>
          <w:rStyle w:val="348"/>
          <w:rFonts w:ascii="宋体" w:hAnsi="宋体" w:eastAsia="宋体" w:cs="宋体"/>
          <w:color w:val="auto"/>
          <w:sz w:val="24"/>
          <w:highlight w:val="none"/>
        </w:rPr>
      </w:pPr>
      <w:r>
        <w:rPr>
          <w:rStyle w:val="348"/>
          <w:rFonts w:hint="eastAsia" w:ascii="宋体" w:hAnsi="宋体" w:eastAsia="宋体" w:cs="宋体"/>
          <w:color w:val="auto"/>
          <w:sz w:val="24"/>
          <w:highlight w:val="none"/>
        </w:rPr>
        <w:t>因</w:t>
      </w:r>
      <w:bookmarkStart w:id="411" w:name="_Toc318581170"/>
      <w:bookmarkEnd w:id="411"/>
      <w:bookmarkStart w:id="412" w:name="_Toc312678013"/>
      <w:bookmarkEnd w:id="412"/>
      <w:bookmarkStart w:id="413" w:name="_Toc312677487"/>
      <w:r>
        <w:rPr>
          <w:rStyle w:val="348"/>
          <w:rFonts w:hint="eastAsia" w:ascii="宋体" w:hAnsi="宋体" w:eastAsia="宋体" w:cs="宋体"/>
          <w:color w:val="auto"/>
          <w:sz w:val="24"/>
          <w:highlight w:val="none"/>
        </w:rPr>
        <w:t>承包人原因造成工期延误，逾期竣工违约金的计算方法为：</w:t>
      </w:r>
      <w:bookmarkEnd w:id="413"/>
      <w:r>
        <w:rPr>
          <w:rStyle w:val="348"/>
          <w:rFonts w:hint="eastAsia" w:ascii="宋体" w:hAnsi="宋体" w:eastAsia="宋体" w:cs="宋体"/>
          <w:color w:val="auto"/>
          <w:sz w:val="24"/>
          <w:highlight w:val="none"/>
          <w:u w:val="single"/>
        </w:rPr>
        <w:t>承包人不能按合同约定的时间竣工，承包人应承担违约责任。应向发包人支付误期违约金（每天违约金额为合同价款的万分之四），误期时间从合同约定竣工日期起直到全部工程竣工验收各方签章日期之间的天数（扣除发包人批准顺延的工期）。发包人可从应向承包人支付的任何金额中扣除此项违约金或其他方式收回此款，此违约金的支付并不能解除承包人应完成工程的责任或合同规定的其他责任。工期延误超过100天，发包人有权单方解除合同，并要求承包人赔偿发包人损失并承担其他相关法律责任”</w:t>
      </w:r>
      <w:bookmarkStart w:id="414" w:name="_Toc318581171"/>
      <w:bookmarkEnd w:id="414"/>
      <w:bookmarkStart w:id="415" w:name="_Toc312678014"/>
      <w:bookmarkEnd w:id="415"/>
    </w:p>
    <w:p w14:paraId="3DE85B27">
      <w:pPr>
        <w:pStyle w:val="354"/>
        <w:spacing w:line="420" w:lineRule="exact"/>
        <w:outlineLvl w:val="3"/>
        <w:rPr>
          <w:rStyle w:val="348"/>
          <w:rFonts w:ascii="宋体" w:hAnsi="宋体" w:eastAsia="宋体" w:cs="宋体"/>
          <w:color w:val="auto"/>
          <w:sz w:val="24"/>
          <w:szCs w:val="24"/>
          <w:highlight w:val="none"/>
        </w:rPr>
      </w:pPr>
      <w:bookmarkStart w:id="416" w:name="_Toc11238"/>
      <w:bookmarkEnd w:id="416"/>
      <w:bookmarkStart w:id="417" w:name="_Toc373478375"/>
      <w:bookmarkEnd w:id="417"/>
      <w:bookmarkStart w:id="418" w:name="_Toc373227728"/>
      <w:bookmarkEnd w:id="418"/>
      <w:bookmarkStart w:id="419" w:name="_Toc389065294"/>
      <w:r>
        <w:rPr>
          <w:rStyle w:val="348"/>
          <w:rFonts w:hint="eastAsia" w:ascii="宋体" w:hAnsi="宋体" w:eastAsia="宋体" w:cs="宋体"/>
          <w:color w:val="auto"/>
          <w:sz w:val="24"/>
          <w:szCs w:val="24"/>
          <w:highlight w:val="none"/>
        </w:rPr>
        <w:t>7</w:t>
      </w:r>
      <w:bookmarkEnd w:id="419"/>
      <w:bookmarkStart w:id="420" w:name="_Toc304295549"/>
      <w:bookmarkEnd w:id="420"/>
      <w:bookmarkStart w:id="421" w:name="_Toc312678015"/>
      <w:bookmarkEnd w:id="421"/>
      <w:bookmarkStart w:id="422" w:name="_Toc300934971"/>
      <w:bookmarkEnd w:id="422"/>
      <w:bookmarkStart w:id="423" w:name="_Toc297123519"/>
      <w:bookmarkEnd w:id="423"/>
      <w:bookmarkStart w:id="424" w:name="_Toc297216178"/>
      <w:bookmarkEnd w:id="424"/>
      <w:bookmarkStart w:id="425" w:name="_Toc303539128"/>
      <w:r>
        <w:rPr>
          <w:rStyle w:val="348"/>
          <w:rFonts w:hint="eastAsia" w:ascii="宋体" w:hAnsi="宋体" w:eastAsia="宋体" w:cs="宋体"/>
          <w:color w:val="auto"/>
          <w:sz w:val="24"/>
          <w:szCs w:val="24"/>
          <w:highlight w:val="none"/>
        </w:rPr>
        <w:t>.6 不</w:t>
      </w:r>
      <w:bookmarkEnd w:id="425"/>
      <w:r>
        <w:rPr>
          <w:rStyle w:val="348"/>
          <w:rFonts w:hint="eastAsia" w:ascii="宋体" w:hAnsi="宋体" w:eastAsia="宋体" w:cs="宋体"/>
          <w:color w:val="auto"/>
          <w:sz w:val="24"/>
          <w:szCs w:val="24"/>
          <w:highlight w:val="none"/>
        </w:rPr>
        <w:t>利物质条件</w:t>
      </w:r>
    </w:p>
    <w:p w14:paraId="46C46196">
      <w:pPr>
        <w:pStyle w:val="350"/>
        <w:spacing w:line="420" w:lineRule="exact"/>
        <w:ind w:firstLine="480" w:firstLineChars="200"/>
        <w:jc w:val="left"/>
        <w:rPr>
          <w:rStyle w:val="348"/>
          <w:rFonts w:ascii="宋体" w:hAnsi="宋体" w:cs="宋体"/>
          <w:color w:val="auto"/>
          <w:sz w:val="24"/>
          <w:szCs w:val="24"/>
          <w:highlight w:val="none"/>
          <w:u w:val="single"/>
        </w:rPr>
      </w:pPr>
      <w:bookmarkStart w:id="426" w:name="_Toc297123520"/>
      <w:bookmarkEnd w:id="426"/>
      <w:bookmarkStart w:id="427" w:name="_Toc312678016"/>
      <w:bookmarkEnd w:id="427"/>
      <w:bookmarkStart w:id="428" w:name="_Toc318581172"/>
      <w:bookmarkEnd w:id="428"/>
      <w:bookmarkStart w:id="429" w:name="_Toc297216179"/>
      <w:bookmarkEnd w:id="429"/>
      <w:bookmarkStart w:id="430" w:name="_Toc303539129"/>
      <w:bookmarkEnd w:id="430"/>
      <w:bookmarkStart w:id="431" w:name="_Toc304295550"/>
      <w:bookmarkEnd w:id="431"/>
      <w:bookmarkStart w:id="432" w:name="_Toc300934972"/>
      <w:r>
        <w:rPr>
          <w:rStyle w:val="348"/>
          <w:rFonts w:hint="eastAsia" w:ascii="宋体" w:hAnsi="宋体" w:cs="宋体"/>
          <w:color w:val="auto"/>
          <w:sz w:val="24"/>
          <w:szCs w:val="24"/>
          <w:highlight w:val="none"/>
        </w:rPr>
        <w:t>不利物质条件的其他情形和有关约定：</w:t>
      </w:r>
      <w:bookmarkEnd w:id="432"/>
      <w:r>
        <w:rPr>
          <w:rStyle w:val="348"/>
          <w:rFonts w:hint="eastAsia" w:ascii="宋体" w:hAnsi="宋体" w:cs="宋体"/>
          <w:color w:val="auto"/>
          <w:sz w:val="24"/>
          <w:szCs w:val="24"/>
          <w:highlight w:val="none"/>
          <w:u w:val="single"/>
        </w:rPr>
        <w:t>无</w:t>
      </w:r>
      <w:r>
        <w:rPr>
          <w:rStyle w:val="348"/>
          <w:rFonts w:hint="eastAsia" w:ascii="宋体" w:hAnsi="宋体" w:cs="宋体"/>
          <w:color w:val="auto"/>
          <w:sz w:val="24"/>
          <w:szCs w:val="24"/>
          <w:highlight w:val="none"/>
        </w:rPr>
        <w:t>。</w:t>
      </w:r>
    </w:p>
    <w:p w14:paraId="440649CF">
      <w:pPr>
        <w:pStyle w:val="354"/>
        <w:spacing w:line="420" w:lineRule="exact"/>
        <w:outlineLvl w:val="3"/>
        <w:rPr>
          <w:rStyle w:val="348"/>
          <w:rFonts w:ascii="宋体" w:hAnsi="宋体" w:eastAsia="宋体" w:cs="宋体"/>
          <w:color w:val="auto"/>
          <w:sz w:val="24"/>
          <w:szCs w:val="24"/>
          <w:highlight w:val="none"/>
        </w:rPr>
      </w:pPr>
      <w:bookmarkStart w:id="433" w:name="_Toc373478376"/>
      <w:bookmarkEnd w:id="433"/>
      <w:bookmarkStart w:id="434" w:name="_Toc21019"/>
      <w:bookmarkEnd w:id="434"/>
      <w:bookmarkStart w:id="435" w:name="_Toc373227729"/>
      <w:bookmarkEnd w:id="435"/>
      <w:bookmarkStart w:id="436" w:name="_Toc389065295"/>
      <w:bookmarkEnd w:id="436"/>
      <w:r>
        <w:rPr>
          <w:rStyle w:val="348"/>
          <w:rFonts w:hint="eastAsia" w:ascii="宋体" w:hAnsi="宋体" w:eastAsia="宋体" w:cs="宋体"/>
          <w:color w:val="auto"/>
          <w:sz w:val="24"/>
          <w:szCs w:val="24"/>
          <w:highlight w:val="none"/>
        </w:rPr>
        <w:t>7</w:t>
      </w:r>
      <w:bookmarkStart w:id="437" w:name="_Toc297216180"/>
      <w:bookmarkEnd w:id="437"/>
      <w:bookmarkStart w:id="438" w:name="_Toc312678017"/>
      <w:bookmarkEnd w:id="438"/>
      <w:bookmarkStart w:id="439" w:name="_Toc303539130"/>
      <w:bookmarkEnd w:id="439"/>
      <w:bookmarkStart w:id="440" w:name="_Toc297123521"/>
      <w:bookmarkEnd w:id="440"/>
      <w:bookmarkStart w:id="441" w:name="_Toc304295551"/>
      <w:bookmarkEnd w:id="441"/>
      <w:bookmarkStart w:id="442" w:name="_Toc300934973"/>
      <w:r>
        <w:rPr>
          <w:rStyle w:val="348"/>
          <w:rFonts w:hint="eastAsia" w:ascii="宋体" w:hAnsi="宋体" w:eastAsia="宋体" w:cs="宋体"/>
          <w:color w:val="auto"/>
          <w:sz w:val="24"/>
          <w:szCs w:val="24"/>
          <w:highlight w:val="none"/>
        </w:rPr>
        <w:t>.7</w:t>
      </w:r>
      <w:bookmarkEnd w:id="442"/>
      <w:r>
        <w:rPr>
          <w:rStyle w:val="348"/>
          <w:rFonts w:hint="eastAsia" w:ascii="宋体" w:hAnsi="宋体" w:eastAsia="宋体" w:cs="宋体"/>
          <w:color w:val="auto"/>
          <w:sz w:val="24"/>
          <w:szCs w:val="24"/>
          <w:highlight w:val="none"/>
        </w:rPr>
        <w:t xml:space="preserve"> 异常恶劣的气候条件</w:t>
      </w:r>
    </w:p>
    <w:p w14:paraId="2B8572BB">
      <w:pPr>
        <w:pStyle w:val="350"/>
        <w:spacing w:line="420" w:lineRule="exact"/>
        <w:ind w:firstLine="480" w:firstLineChars="200"/>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发包人和承包人同意以下情形视为异常恶劣的气候条件：</w:t>
      </w:r>
    </w:p>
    <w:p w14:paraId="637A26F6">
      <w:pPr>
        <w:pStyle w:val="363"/>
        <w:widowControl/>
        <w:spacing w:line="420" w:lineRule="exact"/>
        <w:ind w:firstLine="420"/>
        <w:jc w:val="left"/>
        <w:rPr>
          <w:rStyle w:val="348"/>
          <w:rFonts w:ascii="宋体" w:hAnsi="宋体" w:cs="宋体"/>
          <w:color w:val="auto"/>
          <w:kern w:val="0"/>
          <w:sz w:val="24"/>
          <w:szCs w:val="24"/>
          <w:highlight w:val="none"/>
          <w:u w:val="single"/>
        </w:rPr>
      </w:pPr>
      <w:bookmarkStart w:id="443" w:name="_Toc22298"/>
      <w:bookmarkEnd w:id="443"/>
      <w:bookmarkStart w:id="444" w:name="_Toc373227730"/>
      <w:bookmarkEnd w:id="444"/>
      <w:bookmarkStart w:id="445" w:name="_Toc373478377"/>
      <w:bookmarkEnd w:id="445"/>
      <w:bookmarkStart w:id="446" w:name="_Toc389065296"/>
      <w:r>
        <w:rPr>
          <w:rStyle w:val="348"/>
          <w:rFonts w:hint="eastAsia" w:ascii="宋体" w:hAnsi="宋体" w:cs="宋体"/>
          <w:color w:val="auto"/>
          <w:kern w:val="0"/>
          <w:sz w:val="24"/>
          <w:szCs w:val="24"/>
          <w:highlight w:val="none"/>
        </w:rPr>
        <w:t>（1）</w:t>
      </w:r>
      <w:bookmarkEnd w:id="446"/>
      <w:r>
        <w:rPr>
          <w:rStyle w:val="348"/>
          <w:rFonts w:hint="eastAsia" w:ascii="宋体" w:hAnsi="宋体" w:cs="宋体"/>
          <w:color w:val="auto"/>
          <w:kern w:val="0"/>
          <w:sz w:val="24"/>
          <w:szCs w:val="24"/>
          <w:highlight w:val="none"/>
          <w:u w:val="single"/>
        </w:rPr>
        <w:t>6级以上地震；</w:t>
      </w:r>
    </w:p>
    <w:p w14:paraId="1F162692">
      <w:pPr>
        <w:pStyle w:val="363"/>
        <w:widowControl/>
        <w:spacing w:line="420" w:lineRule="exact"/>
        <w:ind w:firstLine="420"/>
        <w:jc w:val="left"/>
        <w:rPr>
          <w:rStyle w:val="348"/>
          <w:rFonts w:ascii="宋体" w:hAnsi="宋体" w:cs="宋体"/>
          <w:color w:val="auto"/>
          <w:kern w:val="0"/>
          <w:sz w:val="24"/>
          <w:szCs w:val="24"/>
          <w:highlight w:val="none"/>
          <w:u w:val="single"/>
        </w:rPr>
      </w:pPr>
      <w:r>
        <w:rPr>
          <w:rStyle w:val="348"/>
          <w:rFonts w:hint="eastAsia" w:ascii="宋体" w:hAnsi="宋体" w:cs="宋体"/>
          <w:color w:val="auto"/>
          <w:kern w:val="0"/>
          <w:sz w:val="24"/>
          <w:szCs w:val="24"/>
          <w:highlight w:val="none"/>
        </w:rPr>
        <w:t>（2）</w:t>
      </w:r>
      <w:r>
        <w:rPr>
          <w:rStyle w:val="348"/>
          <w:rFonts w:hint="eastAsia" w:ascii="宋体" w:hAnsi="宋体" w:cs="宋体"/>
          <w:color w:val="auto"/>
          <w:kern w:val="0"/>
          <w:sz w:val="24"/>
          <w:szCs w:val="24"/>
          <w:highlight w:val="none"/>
          <w:u w:val="single"/>
        </w:rPr>
        <w:t>10级以上持续1天的大风；</w:t>
      </w:r>
    </w:p>
    <w:p w14:paraId="61FC9AF8">
      <w:pPr>
        <w:pStyle w:val="363"/>
        <w:widowControl/>
        <w:spacing w:line="420" w:lineRule="exact"/>
        <w:ind w:firstLine="420"/>
        <w:jc w:val="left"/>
        <w:rPr>
          <w:rStyle w:val="348"/>
          <w:rFonts w:ascii="宋体" w:hAnsi="宋体" w:cs="宋体"/>
          <w:color w:val="auto"/>
          <w:kern w:val="0"/>
          <w:sz w:val="24"/>
          <w:szCs w:val="24"/>
          <w:highlight w:val="none"/>
          <w:u w:val="single"/>
        </w:rPr>
      </w:pPr>
      <w:r>
        <w:rPr>
          <w:rStyle w:val="348"/>
          <w:rFonts w:hint="eastAsia" w:ascii="宋体" w:hAnsi="宋体" w:cs="宋体"/>
          <w:color w:val="auto"/>
          <w:kern w:val="0"/>
          <w:sz w:val="24"/>
          <w:szCs w:val="24"/>
          <w:highlight w:val="none"/>
        </w:rPr>
        <w:t>（3）</w:t>
      </w:r>
      <w:r>
        <w:rPr>
          <w:rStyle w:val="348"/>
          <w:rFonts w:hint="eastAsia" w:ascii="宋体" w:hAnsi="宋体" w:cs="宋体"/>
          <w:color w:val="auto"/>
          <w:kern w:val="0"/>
          <w:sz w:val="24"/>
          <w:szCs w:val="24"/>
          <w:highlight w:val="none"/>
          <w:u w:val="single"/>
        </w:rPr>
        <w:t>台风及暴雨级以上持续1天的大雨；</w:t>
      </w:r>
    </w:p>
    <w:p w14:paraId="3980E694">
      <w:pPr>
        <w:pStyle w:val="363"/>
        <w:widowControl/>
        <w:spacing w:line="420" w:lineRule="exact"/>
        <w:ind w:firstLine="420"/>
        <w:jc w:val="left"/>
        <w:rPr>
          <w:rStyle w:val="348"/>
          <w:rFonts w:ascii="宋体" w:hAnsi="宋体" w:cs="宋体"/>
          <w:color w:val="auto"/>
          <w:kern w:val="0"/>
          <w:sz w:val="24"/>
          <w:szCs w:val="24"/>
          <w:highlight w:val="none"/>
          <w:u w:val="single"/>
        </w:rPr>
      </w:pPr>
      <w:r>
        <w:rPr>
          <w:rStyle w:val="348"/>
          <w:rFonts w:hint="eastAsia" w:ascii="宋体" w:hAnsi="宋体" w:cs="宋体"/>
          <w:color w:val="auto"/>
          <w:kern w:val="0"/>
          <w:sz w:val="24"/>
          <w:szCs w:val="24"/>
          <w:highlight w:val="none"/>
        </w:rPr>
        <w:t>（4）</w:t>
      </w:r>
      <w:r>
        <w:rPr>
          <w:rStyle w:val="348"/>
          <w:rFonts w:hint="eastAsia" w:ascii="宋体" w:hAnsi="宋体" w:cs="宋体"/>
          <w:color w:val="auto"/>
          <w:kern w:val="0"/>
          <w:sz w:val="24"/>
          <w:szCs w:val="24"/>
          <w:highlight w:val="none"/>
          <w:u w:val="single"/>
        </w:rPr>
        <w:t>50年以上未发生过，持续2天的高温天气；</w:t>
      </w:r>
    </w:p>
    <w:p w14:paraId="63951128">
      <w:pPr>
        <w:pStyle w:val="363"/>
        <w:widowControl/>
        <w:spacing w:line="420" w:lineRule="exact"/>
        <w:ind w:firstLine="420"/>
        <w:jc w:val="left"/>
        <w:rPr>
          <w:rStyle w:val="348"/>
          <w:rFonts w:ascii="宋体" w:hAnsi="宋体" w:cs="宋体"/>
          <w:color w:val="auto"/>
          <w:kern w:val="0"/>
          <w:sz w:val="24"/>
          <w:szCs w:val="24"/>
          <w:highlight w:val="none"/>
          <w:u w:val="single"/>
        </w:rPr>
      </w:pPr>
      <w:r>
        <w:rPr>
          <w:rStyle w:val="348"/>
          <w:rFonts w:hint="eastAsia" w:ascii="宋体" w:hAnsi="宋体" w:cs="宋体"/>
          <w:color w:val="auto"/>
          <w:kern w:val="0"/>
          <w:sz w:val="24"/>
          <w:szCs w:val="24"/>
          <w:highlight w:val="none"/>
        </w:rPr>
        <w:t>（5）</w:t>
      </w:r>
      <w:r>
        <w:rPr>
          <w:rStyle w:val="348"/>
          <w:rFonts w:hint="eastAsia" w:ascii="宋体" w:hAnsi="宋体" w:cs="宋体"/>
          <w:color w:val="auto"/>
          <w:kern w:val="0"/>
          <w:sz w:val="24"/>
          <w:szCs w:val="24"/>
          <w:highlight w:val="none"/>
          <w:u w:val="single"/>
        </w:rPr>
        <w:t>50年以上未发生过，持续2天的低温天气；</w:t>
      </w:r>
    </w:p>
    <w:p w14:paraId="1F471A17">
      <w:pPr>
        <w:pStyle w:val="363"/>
        <w:widowControl/>
        <w:spacing w:line="420" w:lineRule="exact"/>
        <w:ind w:firstLine="420"/>
        <w:jc w:val="left"/>
        <w:rPr>
          <w:rStyle w:val="348"/>
          <w:rFonts w:ascii="宋体" w:hAnsi="宋体" w:cs="宋体"/>
          <w:color w:val="auto"/>
          <w:kern w:val="0"/>
          <w:sz w:val="24"/>
          <w:szCs w:val="24"/>
          <w:highlight w:val="none"/>
          <w:u w:val="single"/>
        </w:rPr>
      </w:pPr>
      <w:r>
        <w:rPr>
          <w:rStyle w:val="348"/>
          <w:rFonts w:hint="eastAsia" w:ascii="宋体" w:hAnsi="宋体" w:cs="宋体"/>
          <w:color w:val="auto"/>
          <w:kern w:val="0"/>
          <w:sz w:val="24"/>
          <w:szCs w:val="24"/>
          <w:highlight w:val="none"/>
        </w:rPr>
        <w:t>（6）</w:t>
      </w:r>
      <w:r>
        <w:rPr>
          <w:rStyle w:val="348"/>
          <w:rFonts w:hint="eastAsia" w:ascii="宋体" w:hAnsi="宋体" w:cs="宋体"/>
          <w:color w:val="auto"/>
          <w:kern w:val="0"/>
          <w:sz w:val="24"/>
          <w:szCs w:val="24"/>
          <w:highlight w:val="none"/>
          <w:u w:val="single"/>
        </w:rPr>
        <w:t>50年以上未发生过的洪水。</w:t>
      </w:r>
    </w:p>
    <w:p w14:paraId="6CF0D555">
      <w:pPr>
        <w:pStyle w:val="363"/>
        <w:spacing w:line="420" w:lineRule="exact"/>
        <w:ind w:firstLine="480" w:firstLineChars="200"/>
        <w:jc w:val="left"/>
        <w:rPr>
          <w:rStyle w:val="348"/>
          <w:rFonts w:ascii="宋体" w:hAnsi="宋体" w:cs="宋体"/>
          <w:color w:val="auto"/>
          <w:sz w:val="24"/>
          <w:szCs w:val="24"/>
          <w:highlight w:val="none"/>
        </w:rPr>
      </w:pPr>
      <w:r>
        <w:rPr>
          <w:rStyle w:val="348"/>
          <w:rFonts w:hint="eastAsia" w:ascii="宋体" w:hAnsi="宋体" w:cs="宋体"/>
          <w:color w:val="auto"/>
          <w:kern w:val="0"/>
          <w:sz w:val="24"/>
          <w:szCs w:val="24"/>
          <w:highlight w:val="none"/>
        </w:rPr>
        <w:t>其余按通用条款执行。</w:t>
      </w:r>
    </w:p>
    <w:p w14:paraId="6EDD6831">
      <w:pPr>
        <w:pStyle w:val="349"/>
        <w:spacing w:before="0" w:after="0" w:line="420" w:lineRule="exact"/>
        <w:outlineLvl w:val="2"/>
        <w:rPr>
          <w:rStyle w:val="348"/>
          <w:rFonts w:ascii="宋体" w:hAnsi="宋体" w:eastAsia="宋体" w:cs="宋体"/>
          <w:color w:val="auto"/>
          <w:sz w:val="24"/>
          <w:szCs w:val="24"/>
          <w:highlight w:val="none"/>
        </w:rPr>
      </w:pPr>
      <w:bookmarkStart w:id="447" w:name="_Toc373227731"/>
      <w:bookmarkEnd w:id="447"/>
      <w:bookmarkStart w:id="448" w:name="_Toc351203640"/>
      <w:bookmarkEnd w:id="448"/>
      <w:bookmarkStart w:id="449" w:name="_Toc389065297"/>
      <w:bookmarkEnd w:id="449"/>
      <w:bookmarkStart w:id="450" w:name="_Toc373478378"/>
      <w:bookmarkEnd w:id="450"/>
      <w:bookmarkStart w:id="451" w:name="_Toc19507"/>
      <w:r>
        <w:rPr>
          <w:rStyle w:val="348"/>
          <w:rFonts w:hint="eastAsia" w:ascii="宋体" w:hAnsi="宋体" w:eastAsia="宋体" w:cs="宋体"/>
          <w:color w:val="auto"/>
          <w:sz w:val="24"/>
          <w:szCs w:val="24"/>
          <w:highlight w:val="none"/>
        </w:rPr>
        <w:t>8. 材料与设备</w:t>
      </w:r>
      <w:bookmarkEnd w:id="451"/>
    </w:p>
    <w:p w14:paraId="576F3A9A">
      <w:pPr>
        <w:pStyle w:val="354"/>
        <w:spacing w:line="420" w:lineRule="exact"/>
        <w:outlineLvl w:val="3"/>
        <w:rPr>
          <w:rStyle w:val="348"/>
          <w:rFonts w:ascii="宋体" w:hAnsi="宋体" w:eastAsia="宋体" w:cs="宋体"/>
          <w:color w:val="auto"/>
          <w:sz w:val="24"/>
          <w:szCs w:val="24"/>
          <w:highlight w:val="none"/>
        </w:rPr>
      </w:pPr>
      <w:bookmarkStart w:id="452" w:name="_Toc24535"/>
      <w:bookmarkEnd w:id="452"/>
      <w:bookmarkStart w:id="453" w:name="_Toc373227732"/>
      <w:bookmarkEnd w:id="453"/>
      <w:bookmarkStart w:id="454" w:name="_Toc373478379"/>
      <w:bookmarkEnd w:id="454"/>
      <w:bookmarkStart w:id="455" w:name="_Toc389065298"/>
      <w:bookmarkEnd w:id="455"/>
      <w:r>
        <w:rPr>
          <w:rStyle w:val="348"/>
          <w:rFonts w:hint="eastAsia" w:ascii="宋体" w:hAnsi="宋体" w:eastAsia="宋体" w:cs="宋体"/>
          <w:color w:val="auto"/>
          <w:sz w:val="24"/>
          <w:szCs w:val="24"/>
          <w:highlight w:val="none"/>
        </w:rPr>
        <w:t>8.2 承包人采购材料与工程设备</w:t>
      </w:r>
    </w:p>
    <w:p w14:paraId="34E97DDB">
      <w:pPr>
        <w:autoSpaceDE w:val="0"/>
        <w:autoSpaceDN w:val="0"/>
        <w:spacing w:line="420" w:lineRule="exact"/>
        <w:ind w:firstLine="480" w:firstLineChars="200"/>
        <w:jc w:val="left"/>
        <w:rPr>
          <w:rFonts w:ascii="宋体" w:hAnsi="宋体" w:eastAsia="宋体" w:cs="宋体"/>
          <w:color w:val="auto"/>
          <w:sz w:val="24"/>
          <w:highlight w:val="none"/>
        </w:rPr>
      </w:pPr>
      <w:bookmarkStart w:id="456" w:name="_Toc3731"/>
      <w:bookmarkEnd w:id="456"/>
      <w:r>
        <w:rPr>
          <w:rFonts w:hint="eastAsia" w:ascii="宋体" w:hAnsi="宋体" w:eastAsia="宋体" w:cs="宋体"/>
          <w:color w:val="auto"/>
          <w:kern w:val="0"/>
          <w:sz w:val="24"/>
          <w:highlight w:val="none"/>
        </w:rPr>
        <w:t>承包人负责材料和工程设备的采购、运输和保管。</w:t>
      </w:r>
      <w:r>
        <w:rPr>
          <w:rFonts w:hint="eastAsia" w:ascii="宋体" w:hAnsi="宋体" w:eastAsia="宋体" w:cs="宋体"/>
          <w:color w:val="auto"/>
          <w:sz w:val="24"/>
          <w:highlight w:val="none"/>
        </w:rPr>
        <w:t xml:space="preserve">对发包人在招标时有“参照或相当于**品牌、级别”约定的材料或设备，承包人采购时必须按类似于或优于所约定的品牌、等级进行采购，施工期间该部分材料或设备如未超过招标约定的风险幅度的，结算时按投标单价支付，不得调整。 </w:t>
      </w:r>
    </w:p>
    <w:p w14:paraId="02DA12BF">
      <w:pPr>
        <w:autoSpaceDE w:val="0"/>
        <w:autoSpaceDN w:val="0"/>
        <w:spacing w:line="420" w:lineRule="exact"/>
        <w:ind w:firstLine="480" w:firstLineChars="200"/>
        <w:jc w:val="left"/>
        <w:rPr>
          <w:rFonts w:ascii="宋体" w:hAnsi="宋体" w:eastAsia="宋体" w:cs="宋体"/>
          <w:color w:val="auto"/>
          <w:sz w:val="24"/>
          <w:highlight w:val="none"/>
        </w:rPr>
      </w:pPr>
    </w:p>
    <w:p w14:paraId="54B35052">
      <w:pPr>
        <w:pStyle w:val="354"/>
        <w:spacing w:line="420" w:lineRule="exact"/>
        <w:outlineLvl w:val="3"/>
        <w:rPr>
          <w:rStyle w:val="348"/>
          <w:rFonts w:ascii="宋体" w:hAnsi="宋体" w:eastAsia="宋体" w:cs="宋体"/>
          <w:color w:val="auto"/>
          <w:sz w:val="24"/>
          <w:szCs w:val="24"/>
          <w:highlight w:val="none"/>
        </w:rPr>
      </w:pPr>
      <w:r>
        <w:rPr>
          <w:rStyle w:val="348"/>
          <w:rFonts w:hint="eastAsia" w:ascii="宋体" w:hAnsi="宋体" w:eastAsia="宋体" w:cs="宋体"/>
          <w:color w:val="auto"/>
          <w:sz w:val="24"/>
          <w:szCs w:val="24"/>
          <w:highlight w:val="none"/>
        </w:rPr>
        <w:t>8</w:t>
      </w:r>
      <w:bookmarkStart w:id="457" w:name="_Toc280868656"/>
      <w:bookmarkEnd w:id="457"/>
      <w:bookmarkStart w:id="458" w:name="_Toc297120467"/>
      <w:bookmarkEnd w:id="458"/>
      <w:bookmarkStart w:id="459" w:name="_Toc312678019"/>
      <w:bookmarkEnd w:id="459"/>
      <w:bookmarkStart w:id="460" w:name="_Toc292559372"/>
      <w:bookmarkEnd w:id="460"/>
      <w:bookmarkStart w:id="461" w:name="_Toc267251424"/>
      <w:bookmarkEnd w:id="461"/>
      <w:bookmarkStart w:id="462" w:name="_Toc296944506"/>
      <w:bookmarkEnd w:id="462"/>
      <w:bookmarkStart w:id="463" w:name="_Toc312677493"/>
      <w:bookmarkEnd w:id="463"/>
      <w:bookmarkStart w:id="464" w:name="_Toc304295556"/>
      <w:bookmarkEnd w:id="464"/>
      <w:bookmarkStart w:id="465" w:name="_Toc300934979"/>
      <w:bookmarkEnd w:id="465"/>
      <w:bookmarkStart w:id="466" w:name="_Toc297123527"/>
      <w:bookmarkEnd w:id="466"/>
      <w:bookmarkStart w:id="467" w:name="_Toc292559877"/>
      <w:bookmarkEnd w:id="467"/>
      <w:bookmarkStart w:id="468" w:name="_Toc297216186"/>
      <w:bookmarkEnd w:id="468"/>
      <w:bookmarkStart w:id="469" w:name="_Toc296347166"/>
      <w:bookmarkEnd w:id="469"/>
      <w:bookmarkStart w:id="470" w:name="_Toc280868654"/>
      <w:bookmarkEnd w:id="470"/>
      <w:bookmarkStart w:id="471" w:name="_Toc296891207"/>
      <w:bookmarkEnd w:id="471"/>
      <w:bookmarkStart w:id="472" w:name="_Toc303539136"/>
      <w:bookmarkEnd w:id="472"/>
      <w:bookmarkStart w:id="473" w:name="_Toc296346668"/>
      <w:bookmarkEnd w:id="473"/>
      <w:bookmarkStart w:id="474" w:name="_Toc296890995"/>
      <w:bookmarkEnd w:id="474"/>
      <w:bookmarkStart w:id="475" w:name="_Toc296503167"/>
      <w:bookmarkEnd w:id="475"/>
      <w:bookmarkStart w:id="476" w:name="_Toc297048353"/>
      <w:bookmarkEnd w:id="476"/>
      <w:bookmarkStart w:id="477" w:name="_Toc280868655"/>
      <w:r>
        <w:rPr>
          <w:rStyle w:val="348"/>
          <w:rFonts w:hint="eastAsia" w:ascii="宋体" w:hAnsi="宋体" w:eastAsia="宋体" w:cs="宋体"/>
          <w:color w:val="auto"/>
          <w:sz w:val="24"/>
          <w:szCs w:val="24"/>
          <w:highlight w:val="none"/>
        </w:rPr>
        <w:t>.4</w:t>
      </w:r>
      <w:bookmarkEnd w:id="477"/>
      <w:r>
        <w:rPr>
          <w:rStyle w:val="348"/>
          <w:rFonts w:hint="eastAsia" w:ascii="宋体" w:hAnsi="宋体" w:eastAsia="宋体" w:cs="宋体"/>
          <w:color w:val="auto"/>
          <w:sz w:val="24"/>
          <w:szCs w:val="24"/>
          <w:highlight w:val="none"/>
        </w:rPr>
        <w:t xml:space="preserve"> 材料与工程设备的保管与使用</w:t>
      </w:r>
    </w:p>
    <w:p w14:paraId="44A3A82A">
      <w:pPr>
        <w:pStyle w:val="350"/>
        <w:spacing w:line="420" w:lineRule="exact"/>
        <w:ind w:firstLine="480" w:firstLineChars="200"/>
        <w:jc w:val="left"/>
        <w:rPr>
          <w:rStyle w:val="348"/>
          <w:rFonts w:ascii="宋体" w:hAnsi="宋体" w:cs="宋体"/>
          <w:color w:val="auto"/>
          <w:sz w:val="24"/>
          <w:szCs w:val="24"/>
          <w:highlight w:val="none"/>
          <w:u w:val="single"/>
        </w:rPr>
      </w:pPr>
      <w:r>
        <w:rPr>
          <w:rStyle w:val="348"/>
          <w:rFonts w:hint="eastAsia" w:ascii="宋体" w:hAnsi="宋体" w:cs="宋体"/>
          <w:color w:val="auto"/>
          <w:sz w:val="24"/>
          <w:szCs w:val="24"/>
          <w:highlight w:val="none"/>
        </w:rPr>
        <w:t>8</w:t>
      </w:r>
      <w:bookmarkStart w:id="478" w:name="_Toc297216187"/>
      <w:bookmarkEnd w:id="478"/>
      <w:bookmarkStart w:id="479" w:name="_Toc312678020"/>
      <w:bookmarkEnd w:id="479"/>
      <w:bookmarkStart w:id="480" w:name="_Toc297120468"/>
      <w:bookmarkEnd w:id="480"/>
      <w:bookmarkStart w:id="481" w:name="_Toc312677494"/>
      <w:bookmarkEnd w:id="481"/>
      <w:bookmarkStart w:id="482" w:name="_Toc303539137"/>
      <w:bookmarkEnd w:id="482"/>
      <w:bookmarkStart w:id="483" w:name="_Toc297048354"/>
      <w:bookmarkEnd w:id="483"/>
      <w:bookmarkStart w:id="484" w:name="_Toc318581173"/>
      <w:bookmarkEnd w:id="484"/>
      <w:bookmarkStart w:id="485" w:name="_Toc296890996"/>
      <w:bookmarkEnd w:id="485"/>
      <w:bookmarkStart w:id="486" w:name="_Toc296346669"/>
      <w:bookmarkEnd w:id="486"/>
      <w:bookmarkStart w:id="487" w:name="_Toc292559373"/>
      <w:bookmarkEnd w:id="487"/>
      <w:bookmarkStart w:id="488" w:name="_Toc300934980"/>
      <w:bookmarkEnd w:id="488"/>
      <w:bookmarkStart w:id="489" w:name="_Toc297123528"/>
      <w:bookmarkEnd w:id="489"/>
      <w:bookmarkStart w:id="490" w:name="_Toc296347167"/>
      <w:bookmarkEnd w:id="490"/>
      <w:bookmarkStart w:id="491" w:name="_Toc296944507"/>
      <w:bookmarkEnd w:id="491"/>
      <w:bookmarkStart w:id="492" w:name="_Toc304295557"/>
      <w:bookmarkEnd w:id="492"/>
      <w:bookmarkStart w:id="493" w:name="_Toc292559878"/>
      <w:bookmarkEnd w:id="493"/>
      <w:bookmarkStart w:id="494" w:name="_Toc296891208"/>
      <w:bookmarkEnd w:id="494"/>
      <w:bookmarkStart w:id="495" w:name="_Toc296503168"/>
      <w:r>
        <w:rPr>
          <w:rStyle w:val="348"/>
          <w:rFonts w:hint="eastAsia" w:ascii="宋体" w:hAnsi="宋体" w:cs="宋体"/>
          <w:color w:val="auto"/>
          <w:sz w:val="24"/>
          <w:szCs w:val="24"/>
          <w:highlight w:val="none"/>
        </w:rPr>
        <w:t>.4.1</w:t>
      </w:r>
      <w:bookmarkEnd w:id="495"/>
      <w:r>
        <w:rPr>
          <w:rStyle w:val="348"/>
          <w:rFonts w:hint="eastAsia" w:ascii="宋体" w:hAnsi="宋体" w:cs="宋体"/>
          <w:color w:val="auto"/>
          <w:sz w:val="24"/>
          <w:szCs w:val="24"/>
          <w:highlight w:val="none"/>
        </w:rPr>
        <w:t>发包人供应的材料设备的保管费用的承担：</w:t>
      </w:r>
      <w:r>
        <w:rPr>
          <w:rStyle w:val="348"/>
          <w:rFonts w:hint="eastAsia" w:ascii="宋体" w:hAnsi="宋体" w:cs="宋体"/>
          <w:b/>
          <w:color w:val="auto"/>
          <w:sz w:val="24"/>
          <w:szCs w:val="24"/>
          <w:highlight w:val="none"/>
          <w:u w:val="single"/>
        </w:rPr>
        <w:t>保</w:t>
      </w:r>
      <w:r>
        <w:rPr>
          <w:rStyle w:val="348"/>
          <w:rFonts w:hint="eastAsia" w:ascii="宋体" w:hAnsi="宋体" w:cs="宋体"/>
          <w:b/>
          <w:bCs/>
          <w:color w:val="auto"/>
          <w:sz w:val="24"/>
          <w:szCs w:val="24"/>
          <w:highlight w:val="none"/>
          <w:u w:val="single"/>
        </w:rPr>
        <w:t>管期间产生的费用由发包人承担。监理人未通知承包人清点的，承包人不负责材料和工程设备的保管，由此导致丢失毁损的由发包人负责。发包人供应的材料和工程设备使用前，由承包人负责检验，检验费用由发包人承担，不合格的不得使用</w:t>
      </w:r>
      <w:r>
        <w:rPr>
          <w:rStyle w:val="348"/>
          <w:rFonts w:hint="eastAsia" w:ascii="宋体" w:hAnsi="宋体" w:cs="宋体"/>
          <w:color w:val="auto"/>
          <w:sz w:val="24"/>
          <w:szCs w:val="24"/>
          <w:highlight w:val="none"/>
        </w:rPr>
        <w:t>。</w:t>
      </w:r>
    </w:p>
    <w:p w14:paraId="6DDC7D43">
      <w:pPr>
        <w:pStyle w:val="354"/>
        <w:spacing w:line="420" w:lineRule="exact"/>
        <w:outlineLvl w:val="3"/>
        <w:rPr>
          <w:rStyle w:val="348"/>
          <w:rFonts w:ascii="宋体" w:hAnsi="宋体" w:eastAsia="宋体" w:cs="宋体"/>
          <w:color w:val="auto"/>
          <w:sz w:val="24"/>
          <w:szCs w:val="24"/>
          <w:highlight w:val="none"/>
        </w:rPr>
      </w:pPr>
      <w:bookmarkStart w:id="496" w:name="_Toc389065300"/>
      <w:bookmarkEnd w:id="496"/>
      <w:bookmarkStart w:id="497" w:name="_Toc15900"/>
      <w:bookmarkEnd w:id="497"/>
      <w:bookmarkStart w:id="498" w:name="_Toc373478381"/>
      <w:bookmarkEnd w:id="498"/>
      <w:bookmarkStart w:id="499" w:name="_Toc373227734"/>
      <w:r>
        <w:rPr>
          <w:rStyle w:val="348"/>
          <w:rFonts w:hint="eastAsia" w:ascii="宋体" w:hAnsi="宋体" w:eastAsia="宋体" w:cs="宋体"/>
          <w:color w:val="auto"/>
          <w:sz w:val="24"/>
          <w:szCs w:val="24"/>
          <w:highlight w:val="none"/>
        </w:rPr>
        <w:t xml:space="preserve">8.6 </w:t>
      </w:r>
      <w:bookmarkEnd w:id="499"/>
      <w:r>
        <w:rPr>
          <w:rStyle w:val="348"/>
          <w:rFonts w:hint="eastAsia" w:ascii="宋体" w:hAnsi="宋体" w:eastAsia="宋体" w:cs="宋体"/>
          <w:color w:val="auto"/>
          <w:sz w:val="24"/>
          <w:szCs w:val="24"/>
          <w:highlight w:val="none"/>
        </w:rPr>
        <w:t>样品</w:t>
      </w:r>
    </w:p>
    <w:p w14:paraId="703E1A1B">
      <w:pPr>
        <w:pStyle w:val="350"/>
        <w:autoSpaceDE w:val="0"/>
        <w:autoSpaceDN w:val="0"/>
        <w:spacing w:line="420" w:lineRule="exact"/>
        <w:ind w:firstLine="480" w:firstLineChars="200"/>
        <w:jc w:val="left"/>
        <w:outlineLvl w:val="4"/>
        <w:rPr>
          <w:rStyle w:val="348"/>
          <w:rFonts w:ascii="宋体" w:hAnsi="宋体" w:cs="宋体"/>
          <w:color w:val="auto"/>
          <w:kern w:val="0"/>
          <w:sz w:val="24"/>
          <w:szCs w:val="24"/>
          <w:highlight w:val="none"/>
        </w:rPr>
      </w:pPr>
      <w:r>
        <w:rPr>
          <w:rStyle w:val="348"/>
          <w:rFonts w:hint="eastAsia" w:ascii="宋体" w:hAnsi="宋体" w:cs="宋体"/>
          <w:color w:val="auto"/>
          <w:kern w:val="0"/>
          <w:sz w:val="24"/>
          <w:szCs w:val="24"/>
          <w:highlight w:val="none"/>
        </w:rPr>
        <w:t>8.6.1 样品的报送与封存</w:t>
      </w:r>
    </w:p>
    <w:p w14:paraId="559A1570">
      <w:pPr>
        <w:pStyle w:val="350"/>
        <w:autoSpaceDE w:val="0"/>
        <w:autoSpaceDN w:val="0"/>
        <w:spacing w:line="420" w:lineRule="exact"/>
        <w:ind w:firstLine="480" w:firstLineChars="200"/>
        <w:jc w:val="left"/>
        <w:rPr>
          <w:rStyle w:val="348"/>
          <w:rFonts w:ascii="宋体" w:hAnsi="宋体" w:cs="宋体"/>
          <w:color w:val="auto"/>
          <w:sz w:val="24"/>
          <w:szCs w:val="24"/>
          <w:highlight w:val="none"/>
          <w:u w:val="single"/>
        </w:rPr>
      </w:pPr>
      <w:r>
        <w:rPr>
          <w:rStyle w:val="348"/>
          <w:rFonts w:hint="eastAsia" w:ascii="宋体" w:hAnsi="宋体" w:cs="宋体"/>
          <w:color w:val="auto"/>
          <w:kern w:val="0"/>
          <w:sz w:val="24"/>
          <w:szCs w:val="24"/>
          <w:highlight w:val="none"/>
        </w:rPr>
        <w:t>需要承包人报送样品的材料或工程设备，样品的种类、名称、规格、数量要求：</w:t>
      </w:r>
      <w:r>
        <w:rPr>
          <w:rStyle w:val="348"/>
          <w:rFonts w:hint="eastAsia" w:ascii="宋体" w:hAnsi="宋体" w:cs="宋体"/>
          <w:color w:val="auto"/>
          <w:sz w:val="24"/>
          <w:szCs w:val="24"/>
          <w:highlight w:val="none"/>
          <w:u w:val="single"/>
        </w:rPr>
        <w:t>主要材料涉及品种、款式、颜色等方面内容的，承包人应提交准备合格的材料样品送发包人选定。</w:t>
      </w:r>
    </w:p>
    <w:p w14:paraId="1AE94A22">
      <w:pPr>
        <w:pStyle w:val="354"/>
        <w:spacing w:line="420" w:lineRule="exact"/>
        <w:outlineLvl w:val="3"/>
        <w:rPr>
          <w:rStyle w:val="348"/>
          <w:rFonts w:ascii="宋体" w:hAnsi="宋体" w:eastAsia="宋体" w:cs="宋体"/>
          <w:color w:val="auto"/>
          <w:sz w:val="24"/>
          <w:szCs w:val="24"/>
          <w:highlight w:val="none"/>
        </w:rPr>
      </w:pPr>
      <w:bookmarkStart w:id="500" w:name="_Toc373227735"/>
      <w:bookmarkEnd w:id="500"/>
      <w:bookmarkStart w:id="501" w:name="_Toc21051"/>
      <w:bookmarkEnd w:id="501"/>
      <w:bookmarkStart w:id="502" w:name="_Toc389065301"/>
      <w:bookmarkEnd w:id="502"/>
      <w:bookmarkStart w:id="503" w:name="_Toc373478382"/>
      <w:r>
        <w:rPr>
          <w:rStyle w:val="348"/>
          <w:rFonts w:hint="eastAsia" w:ascii="宋体" w:hAnsi="宋体" w:eastAsia="宋体" w:cs="宋体"/>
          <w:color w:val="auto"/>
          <w:sz w:val="24"/>
          <w:szCs w:val="24"/>
          <w:highlight w:val="none"/>
        </w:rPr>
        <w:t>8.8 施工设备和临时设施</w:t>
      </w:r>
      <w:bookmarkEnd w:id="503"/>
    </w:p>
    <w:p w14:paraId="575AEAFF">
      <w:pPr>
        <w:pStyle w:val="350"/>
        <w:autoSpaceDE w:val="0"/>
        <w:autoSpaceDN w:val="0"/>
        <w:spacing w:line="420" w:lineRule="exact"/>
        <w:ind w:firstLine="480" w:firstLineChars="200"/>
        <w:jc w:val="left"/>
        <w:outlineLvl w:val="4"/>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8.8.1 承包人提供的施工设备和临时设施</w:t>
      </w:r>
    </w:p>
    <w:p w14:paraId="0F2C22D8">
      <w:pPr>
        <w:pStyle w:val="350"/>
        <w:autoSpaceDE w:val="0"/>
        <w:autoSpaceDN w:val="0"/>
        <w:spacing w:line="420" w:lineRule="exact"/>
        <w:ind w:firstLine="480" w:firstLineChars="200"/>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除专用合同条款另有约定的其他独立承包人和监理人指示的他人提供条件外，承包人运入施工场地的所有施工设备以及在施工场地建设的临时设施仅限于用于合同工程。承包人用于本工程的主要机械设备清单见合同附件4。</w:t>
      </w:r>
    </w:p>
    <w:p w14:paraId="578832D0">
      <w:pPr>
        <w:pStyle w:val="350"/>
        <w:autoSpaceDE w:val="0"/>
        <w:autoSpaceDN w:val="0"/>
        <w:spacing w:line="420" w:lineRule="exact"/>
        <w:ind w:firstLine="480" w:firstLineChars="200"/>
        <w:jc w:val="left"/>
        <w:rPr>
          <w:rStyle w:val="348"/>
          <w:rFonts w:ascii="宋体" w:hAnsi="宋体" w:cs="宋体"/>
          <w:color w:val="auto"/>
          <w:sz w:val="24"/>
          <w:szCs w:val="24"/>
          <w:highlight w:val="none"/>
          <w:u w:val="single"/>
        </w:rPr>
      </w:pPr>
      <w:r>
        <w:rPr>
          <w:rStyle w:val="348"/>
          <w:rFonts w:hint="eastAsia" w:ascii="宋体" w:hAnsi="宋体" w:cs="宋体"/>
          <w:color w:val="auto"/>
          <w:sz w:val="24"/>
          <w:szCs w:val="24"/>
          <w:highlight w:val="none"/>
        </w:rPr>
        <w:t>关于修建临时设施费用承担的约定：</w:t>
      </w:r>
      <w:r>
        <w:rPr>
          <w:rStyle w:val="348"/>
          <w:rFonts w:hint="eastAsia" w:ascii="宋体" w:hAnsi="宋体" w:cs="宋体"/>
          <w:color w:val="auto"/>
          <w:sz w:val="24"/>
          <w:szCs w:val="24"/>
          <w:highlight w:val="none"/>
          <w:u w:val="single"/>
        </w:rPr>
        <w:t>无。</w:t>
      </w:r>
    </w:p>
    <w:p w14:paraId="17628522">
      <w:pPr>
        <w:pStyle w:val="350"/>
        <w:autoSpaceDE w:val="0"/>
        <w:autoSpaceDN w:val="0"/>
        <w:spacing w:line="420" w:lineRule="exact"/>
        <w:ind w:firstLine="480" w:firstLineChars="200"/>
        <w:jc w:val="left"/>
        <w:outlineLvl w:val="4"/>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8.8.2 发包人提供的施工设备和临时设施</w:t>
      </w:r>
    </w:p>
    <w:p w14:paraId="581B0332">
      <w:pPr>
        <w:pStyle w:val="350"/>
        <w:autoSpaceDE w:val="0"/>
        <w:autoSpaceDN w:val="0"/>
        <w:spacing w:line="420" w:lineRule="exact"/>
        <w:ind w:firstLine="480" w:firstLineChars="200"/>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发包人提供的施工设备和临时设施：</w:t>
      </w:r>
      <w:r>
        <w:rPr>
          <w:rStyle w:val="348"/>
          <w:rFonts w:hint="eastAsia" w:ascii="宋体" w:hAnsi="宋体" w:cs="宋体"/>
          <w:color w:val="auto"/>
          <w:sz w:val="24"/>
          <w:szCs w:val="24"/>
          <w:highlight w:val="none"/>
          <w:u w:val="single"/>
        </w:rPr>
        <w:t xml:space="preserve">     无      </w:t>
      </w:r>
      <w:r>
        <w:rPr>
          <w:rStyle w:val="348"/>
          <w:rFonts w:hint="eastAsia" w:ascii="宋体" w:hAnsi="宋体" w:cs="宋体"/>
          <w:color w:val="auto"/>
          <w:sz w:val="24"/>
          <w:szCs w:val="24"/>
          <w:highlight w:val="none"/>
        </w:rPr>
        <w:t>。</w:t>
      </w:r>
    </w:p>
    <w:p w14:paraId="6842F4A7">
      <w:pPr>
        <w:pStyle w:val="350"/>
        <w:autoSpaceDE w:val="0"/>
        <w:autoSpaceDN w:val="0"/>
        <w:spacing w:line="420" w:lineRule="exact"/>
        <w:ind w:firstLine="480" w:firstLineChars="200"/>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发包人提供的施工设备和临时设施的运行、维护、拆除、清运费用的承担人：</w:t>
      </w:r>
      <w:r>
        <w:rPr>
          <w:rStyle w:val="348"/>
          <w:rFonts w:hint="eastAsia" w:ascii="宋体" w:hAnsi="宋体" w:cs="宋体"/>
          <w:color w:val="auto"/>
          <w:sz w:val="24"/>
          <w:szCs w:val="24"/>
          <w:highlight w:val="none"/>
          <w:u w:val="single"/>
        </w:rPr>
        <w:t xml:space="preserve">  无   </w:t>
      </w:r>
      <w:r>
        <w:rPr>
          <w:rStyle w:val="348"/>
          <w:rFonts w:hint="eastAsia" w:ascii="宋体" w:hAnsi="宋体" w:cs="宋体"/>
          <w:color w:val="auto"/>
          <w:sz w:val="24"/>
          <w:szCs w:val="24"/>
          <w:highlight w:val="none"/>
        </w:rPr>
        <w:t>。</w:t>
      </w:r>
    </w:p>
    <w:p w14:paraId="4E977655">
      <w:pPr>
        <w:pStyle w:val="349"/>
        <w:spacing w:before="0" w:after="0" w:line="420" w:lineRule="exact"/>
        <w:outlineLvl w:val="2"/>
        <w:rPr>
          <w:rStyle w:val="348"/>
          <w:rFonts w:ascii="宋体" w:hAnsi="宋体" w:eastAsia="宋体" w:cs="宋体"/>
          <w:color w:val="auto"/>
          <w:sz w:val="24"/>
          <w:szCs w:val="24"/>
          <w:highlight w:val="none"/>
        </w:rPr>
      </w:pPr>
      <w:bookmarkStart w:id="504" w:name="_Toc351203641"/>
      <w:bookmarkEnd w:id="504"/>
      <w:bookmarkStart w:id="505" w:name="_Toc373227736"/>
      <w:bookmarkEnd w:id="505"/>
      <w:bookmarkStart w:id="506" w:name="_Toc373478383"/>
      <w:bookmarkEnd w:id="506"/>
      <w:bookmarkStart w:id="507" w:name="_Toc389065302"/>
      <w:bookmarkEnd w:id="507"/>
      <w:bookmarkStart w:id="508" w:name="_Toc27616"/>
      <w:bookmarkEnd w:id="508"/>
      <w:r>
        <w:rPr>
          <w:rStyle w:val="348"/>
          <w:rFonts w:hint="eastAsia" w:ascii="宋体" w:hAnsi="宋体" w:eastAsia="宋体" w:cs="宋体"/>
          <w:color w:val="auto"/>
          <w:sz w:val="24"/>
          <w:szCs w:val="24"/>
          <w:highlight w:val="none"/>
        </w:rPr>
        <w:t>9</w:t>
      </w:r>
      <w:bookmarkStart w:id="509" w:name="_Toc292559883"/>
      <w:bookmarkEnd w:id="509"/>
      <w:bookmarkStart w:id="510" w:name="_Toc297123533"/>
      <w:bookmarkEnd w:id="510"/>
      <w:bookmarkStart w:id="511" w:name="_Toc267251428"/>
      <w:bookmarkEnd w:id="511"/>
      <w:bookmarkStart w:id="512" w:name="_Toc300934982"/>
      <w:bookmarkEnd w:id="512"/>
      <w:bookmarkStart w:id="513" w:name="_Toc312677495"/>
      <w:bookmarkEnd w:id="513"/>
      <w:bookmarkStart w:id="514" w:name="_Toc296503173"/>
      <w:bookmarkEnd w:id="514"/>
      <w:bookmarkStart w:id="515" w:name="_Toc296891001"/>
      <w:bookmarkEnd w:id="515"/>
      <w:bookmarkStart w:id="516" w:name="_Toc296944512"/>
      <w:bookmarkEnd w:id="516"/>
      <w:bookmarkStart w:id="517" w:name="_Toc297048359"/>
      <w:bookmarkEnd w:id="517"/>
      <w:bookmarkStart w:id="518" w:name="_Toc304295559"/>
      <w:bookmarkEnd w:id="518"/>
      <w:bookmarkStart w:id="519" w:name="_Toc312678021"/>
      <w:bookmarkEnd w:id="519"/>
      <w:bookmarkStart w:id="520" w:name="_Toc296347172"/>
      <w:bookmarkEnd w:id="520"/>
      <w:bookmarkStart w:id="521" w:name="_Toc296346674"/>
      <w:bookmarkEnd w:id="521"/>
      <w:bookmarkStart w:id="522" w:name="_Toc296891213"/>
      <w:bookmarkEnd w:id="522"/>
      <w:bookmarkStart w:id="523" w:name="_Toc303539139"/>
      <w:bookmarkEnd w:id="523"/>
      <w:bookmarkStart w:id="524" w:name="_Toc297120473"/>
      <w:bookmarkEnd w:id="524"/>
      <w:bookmarkStart w:id="525" w:name="_Toc292559378"/>
      <w:bookmarkEnd w:id="525"/>
      <w:bookmarkStart w:id="526" w:name="_Toc297216192"/>
      <w:bookmarkEnd w:id="526"/>
      <w:bookmarkStart w:id="527" w:name="_Toc267251427"/>
      <w:r>
        <w:rPr>
          <w:rStyle w:val="348"/>
          <w:rFonts w:hint="eastAsia" w:ascii="宋体" w:hAnsi="宋体" w:eastAsia="宋体" w:cs="宋体"/>
          <w:color w:val="auto"/>
          <w:sz w:val="24"/>
          <w:szCs w:val="24"/>
          <w:highlight w:val="none"/>
        </w:rPr>
        <w:t>. 试验与检验</w:t>
      </w:r>
      <w:bookmarkEnd w:id="527"/>
    </w:p>
    <w:p w14:paraId="4B17D885">
      <w:pPr>
        <w:pStyle w:val="354"/>
        <w:spacing w:line="420" w:lineRule="exact"/>
        <w:outlineLvl w:val="3"/>
        <w:rPr>
          <w:rStyle w:val="348"/>
          <w:rFonts w:ascii="宋体" w:hAnsi="宋体" w:eastAsia="宋体" w:cs="宋体"/>
          <w:color w:val="auto"/>
          <w:sz w:val="24"/>
          <w:szCs w:val="24"/>
          <w:highlight w:val="none"/>
        </w:rPr>
      </w:pPr>
      <w:bookmarkStart w:id="528" w:name="_Toc389065303"/>
      <w:bookmarkEnd w:id="528"/>
      <w:bookmarkStart w:id="529" w:name="_Toc373478384"/>
      <w:bookmarkEnd w:id="529"/>
      <w:bookmarkStart w:id="530" w:name="_Toc8792"/>
      <w:bookmarkEnd w:id="530"/>
      <w:bookmarkStart w:id="531" w:name="_Toc373227737"/>
      <w:bookmarkEnd w:id="531"/>
      <w:r>
        <w:rPr>
          <w:rStyle w:val="348"/>
          <w:rFonts w:hint="eastAsia" w:ascii="宋体" w:hAnsi="宋体" w:eastAsia="宋体" w:cs="宋体"/>
          <w:color w:val="auto"/>
          <w:sz w:val="24"/>
          <w:szCs w:val="24"/>
          <w:highlight w:val="none"/>
        </w:rPr>
        <w:t>9</w:t>
      </w:r>
      <w:bookmarkStart w:id="532" w:name="_Toc297123534"/>
      <w:bookmarkEnd w:id="532"/>
      <w:bookmarkStart w:id="533" w:name="_Toc300934983"/>
      <w:bookmarkEnd w:id="533"/>
      <w:bookmarkStart w:id="534" w:name="_Toc304295560"/>
      <w:bookmarkEnd w:id="534"/>
      <w:bookmarkStart w:id="535" w:name="_Toc312677496"/>
      <w:bookmarkEnd w:id="535"/>
      <w:bookmarkStart w:id="536" w:name="_Toc312678022"/>
      <w:bookmarkEnd w:id="536"/>
      <w:bookmarkStart w:id="537" w:name="_Toc303539140"/>
      <w:bookmarkEnd w:id="537"/>
      <w:bookmarkStart w:id="538" w:name="_Toc297216193"/>
      <w:r>
        <w:rPr>
          <w:rStyle w:val="348"/>
          <w:rFonts w:hint="eastAsia" w:ascii="宋体" w:hAnsi="宋体" w:eastAsia="宋体" w:cs="宋体"/>
          <w:color w:val="auto"/>
          <w:sz w:val="24"/>
          <w:szCs w:val="24"/>
          <w:highlight w:val="none"/>
        </w:rPr>
        <w:t>.1</w:t>
      </w:r>
      <w:bookmarkEnd w:id="538"/>
      <w:r>
        <w:rPr>
          <w:rStyle w:val="348"/>
          <w:rFonts w:hint="eastAsia" w:ascii="宋体" w:hAnsi="宋体" w:eastAsia="宋体" w:cs="宋体"/>
          <w:color w:val="auto"/>
          <w:sz w:val="24"/>
          <w:szCs w:val="24"/>
          <w:highlight w:val="none"/>
        </w:rPr>
        <w:t xml:space="preserve"> 试验设备与试验人员</w:t>
      </w:r>
    </w:p>
    <w:p w14:paraId="30038C90">
      <w:pPr>
        <w:pStyle w:val="350"/>
        <w:spacing w:line="420" w:lineRule="exact"/>
        <w:ind w:firstLine="480" w:firstLineChars="200"/>
        <w:jc w:val="left"/>
        <w:outlineLvl w:val="4"/>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9</w:t>
      </w:r>
      <w:bookmarkStart w:id="539" w:name="_Toc318581174"/>
      <w:bookmarkEnd w:id="539"/>
      <w:bookmarkStart w:id="540" w:name="_Toc300934984"/>
      <w:bookmarkEnd w:id="540"/>
      <w:bookmarkStart w:id="541" w:name="_Toc303539141"/>
      <w:bookmarkEnd w:id="541"/>
      <w:bookmarkStart w:id="542" w:name="_Toc312677497"/>
      <w:bookmarkEnd w:id="542"/>
      <w:bookmarkStart w:id="543" w:name="_Toc297216194"/>
      <w:bookmarkEnd w:id="543"/>
      <w:bookmarkStart w:id="544" w:name="_Toc312678023"/>
      <w:bookmarkEnd w:id="544"/>
      <w:bookmarkStart w:id="545" w:name="_Toc297123535"/>
      <w:bookmarkEnd w:id="545"/>
      <w:bookmarkStart w:id="546" w:name="_Toc304295561"/>
      <w:r>
        <w:rPr>
          <w:rStyle w:val="348"/>
          <w:rFonts w:hint="eastAsia" w:ascii="宋体" w:hAnsi="宋体" w:cs="宋体"/>
          <w:color w:val="auto"/>
          <w:sz w:val="24"/>
          <w:szCs w:val="24"/>
          <w:highlight w:val="none"/>
        </w:rPr>
        <w:t xml:space="preserve">.1.2 </w:t>
      </w:r>
      <w:bookmarkEnd w:id="546"/>
      <w:r>
        <w:rPr>
          <w:rStyle w:val="348"/>
          <w:rFonts w:hint="eastAsia" w:ascii="宋体" w:hAnsi="宋体" w:cs="宋体"/>
          <w:color w:val="auto"/>
          <w:sz w:val="24"/>
          <w:szCs w:val="24"/>
          <w:highlight w:val="none"/>
        </w:rPr>
        <w:t>试验设备</w:t>
      </w:r>
    </w:p>
    <w:p w14:paraId="14F9E8D7">
      <w:pPr>
        <w:pStyle w:val="350"/>
        <w:spacing w:line="420" w:lineRule="exact"/>
        <w:ind w:firstLine="480" w:firstLineChars="200"/>
        <w:jc w:val="left"/>
        <w:rPr>
          <w:rStyle w:val="348"/>
          <w:rFonts w:ascii="宋体" w:hAnsi="宋体" w:cs="宋体"/>
          <w:color w:val="auto"/>
          <w:sz w:val="24"/>
          <w:szCs w:val="24"/>
          <w:highlight w:val="none"/>
          <w:u w:val="single"/>
        </w:rPr>
      </w:pPr>
      <w:r>
        <w:rPr>
          <w:rStyle w:val="348"/>
          <w:rFonts w:hint="eastAsia" w:ascii="宋体" w:hAnsi="宋体" w:cs="宋体"/>
          <w:color w:val="auto"/>
          <w:sz w:val="24"/>
          <w:szCs w:val="24"/>
          <w:highlight w:val="none"/>
        </w:rPr>
        <w:t>施工现场需要配置的试验场所：</w:t>
      </w:r>
      <w:bookmarkStart w:id="547" w:name="_Toc312678024"/>
      <w:bookmarkEnd w:id="547"/>
      <w:bookmarkStart w:id="548" w:name="_Toc300934985"/>
      <w:bookmarkEnd w:id="548"/>
      <w:bookmarkStart w:id="549" w:name="_Toc297216195"/>
      <w:bookmarkEnd w:id="549"/>
      <w:bookmarkStart w:id="550" w:name="_Toc304295562"/>
      <w:bookmarkEnd w:id="550"/>
      <w:bookmarkStart w:id="551" w:name="_Toc297123536"/>
      <w:bookmarkEnd w:id="551"/>
      <w:bookmarkStart w:id="552" w:name="_Toc312677498"/>
      <w:bookmarkEnd w:id="552"/>
      <w:bookmarkStart w:id="553" w:name="_Toc303539142"/>
      <w:bookmarkEnd w:id="553"/>
      <w:r>
        <w:rPr>
          <w:rStyle w:val="348"/>
          <w:rFonts w:hint="eastAsia" w:ascii="宋体" w:hAnsi="宋体" w:cs="宋体"/>
          <w:color w:val="auto"/>
          <w:sz w:val="24"/>
          <w:szCs w:val="24"/>
          <w:highlight w:val="none"/>
          <w:u w:val="single"/>
        </w:rPr>
        <w:t>承包人根据施工需要自行确定</w:t>
      </w:r>
      <w:r>
        <w:rPr>
          <w:rStyle w:val="348"/>
          <w:rFonts w:hint="eastAsia" w:ascii="宋体" w:hAnsi="宋体" w:cs="宋体"/>
          <w:color w:val="auto"/>
          <w:sz w:val="24"/>
          <w:szCs w:val="24"/>
          <w:highlight w:val="none"/>
        </w:rPr>
        <w:t>。</w:t>
      </w:r>
    </w:p>
    <w:p w14:paraId="5AF9D745">
      <w:pPr>
        <w:pStyle w:val="350"/>
        <w:spacing w:line="420" w:lineRule="exact"/>
        <w:ind w:firstLine="480" w:firstLineChars="200"/>
        <w:jc w:val="left"/>
        <w:rPr>
          <w:rStyle w:val="348"/>
          <w:rFonts w:ascii="宋体" w:hAnsi="宋体" w:cs="宋体"/>
          <w:color w:val="auto"/>
          <w:sz w:val="24"/>
          <w:szCs w:val="24"/>
          <w:highlight w:val="none"/>
          <w:u w:val="single"/>
        </w:rPr>
      </w:pPr>
      <w:r>
        <w:rPr>
          <w:rStyle w:val="348"/>
          <w:rFonts w:hint="eastAsia" w:ascii="宋体" w:hAnsi="宋体" w:cs="宋体"/>
          <w:color w:val="auto"/>
          <w:sz w:val="24"/>
          <w:szCs w:val="24"/>
          <w:highlight w:val="none"/>
        </w:rPr>
        <w:t>施工现场需要配备的试验设备：</w:t>
      </w:r>
      <w:r>
        <w:rPr>
          <w:rStyle w:val="348"/>
          <w:rFonts w:hint="eastAsia" w:ascii="宋体" w:hAnsi="宋体" w:cs="宋体"/>
          <w:color w:val="auto"/>
          <w:sz w:val="24"/>
          <w:szCs w:val="24"/>
          <w:highlight w:val="none"/>
          <w:u w:val="single"/>
        </w:rPr>
        <w:t>承包人根据施工需要自行确定</w:t>
      </w:r>
      <w:r>
        <w:rPr>
          <w:rStyle w:val="348"/>
          <w:rFonts w:hint="eastAsia" w:ascii="宋体" w:hAnsi="宋体" w:cs="宋体"/>
          <w:color w:val="auto"/>
          <w:sz w:val="24"/>
          <w:szCs w:val="24"/>
          <w:highlight w:val="none"/>
        </w:rPr>
        <w:t>。</w:t>
      </w:r>
    </w:p>
    <w:p w14:paraId="3CB46B16">
      <w:pPr>
        <w:pStyle w:val="350"/>
        <w:spacing w:line="420" w:lineRule="exact"/>
        <w:ind w:firstLine="480" w:firstLineChars="200"/>
        <w:jc w:val="left"/>
        <w:rPr>
          <w:rStyle w:val="348"/>
          <w:rFonts w:ascii="宋体" w:hAnsi="宋体" w:cs="宋体"/>
          <w:color w:val="auto"/>
          <w:sz w:val="24"/>
          <w:szCs w:val="24"/>
          <w:highlight w:val="none"/>
          <w:u w:val="single"/>
        </w:rPr>
      </w:pPr>
      <w:r>
        <w:rPr>
          <w:rStyle w:val="348"/>
          <w:rFonts w:hint="eastAsia" w:ascii="宋体" w:hAnsi="宋体" w:cs="宋体"/>
          <w:color w:val="auto"/>
          <w:sz w:val="24"/>
          <w:szCs w:val="24"/>
          <w:highlight w:val="none"/>
        </w:rPr>
        <w:t>施工现场需要具备的其他试验条件：</w:t>
      </w:r>
      <w:r>
        <w:rPr>
          <w:rStyle w:val="348"/>
          <w:rFonts w:hint="eastAsia" w:ascii="宋体" w:hAnsi="宋体" w:cs="宋体"/>
          <w:color w:val="auto"/>
          <w:sz w:val="24"/>
          <w:szCs w:val="24"/>
          <w:highlight w:val="none"/>
          <w:u w:val="single"/>
        </w:rPr>
        <w:t>承包人根据施工需要自行确定</w:t>
      </w:r>
      <w:r>
        <w:rPr>
          <w:rStyle w:val="348"/>
          <w:rFonts w:hint="eastAsia" w:ascii="宋体" w:hAnsi="宋体" w:cs="宋体"/>
          <w:color w:val="auto"/>
          <w:sz w:val="24"/>
          <w:szCs w:val="24"/>
          <w:highlight w:val="none"/>
        </w:rPr>
        <w:t>。</w:t>
      </w:r>
    </w:p>
    <w:p w14:paraId="20581437">
      <w:pPr>
        <w:pStyle w:val="354"/>
        <w:spacing w:line="420" w:lineRule="exact"/>
        <w:outlineLvl w:val="3"/>
        <w:rPr>
          <w:rStyle w:val="348"/>
          <w:rFonts w:ascii="宋体" w:hAnsi="宋体" w:eastAsia="宋体" w:cs="宋体"/>
          <w:color w:val="auto"/>
          <w:sz w:val="24"/>
          <w:szCs w:val="24"/>
          <w:highlight w:val="none"/>
        </w:rPr>
      </w:pPr>
      <w:bookmarkStart w:id="554" w:name="_Toc9320"/>
      <w:bookmarkEnd w:id="554"/>
      <w:bookmarkStart w:id="555" w:name="_Toc373227738"/>
      <w:bookmarkEnd w:id="555"/>
      <w:bookmarkStart w:id="556" w:name="_Toc373478385"/>
      <w:bookmarkEnd w:id="556"/>
      <w:bookmarkStart w:id="557" w:name="_Toc389065304"/>
      <w:r>
        <w:rPr>
          <w:rStyle w:val="348"/>
          <w:rFonts w:hint="eastAsia" w:ascii="宋体" w:hAnsi="宋体" w:eastAsia="宋体" w:cs="宋体"/>
          <w:color w:val="auto"/>
          <w:sz w:val="24"/>
          <w:szCs w:val="24"/>
          <w:highlight w:val="none"/>
        </w:rPr>
        <w:t xml:space="preserve">9.4 </w:t>
      </w:r>
      <w:bookmarkEnd w:id="557"/>
      <w:r>
        <w:rPr>
          <w:rStyle w:val="348"/>
          <w:rFonts w:hint="eastAsia" w:ascii="宋体" w:hAnsi="宋体" w:eastAsia="宋体" w:cs="宋体"/>
          <w:color w:val="auto"/>
          <w:sz w:val="24"/>
          <w:szCs w:val="24"/>
          <w:highlight w:val="none"/>
        </w:rPr>
        <w:t xml:space="preserve">现场工艺试验 </w:t>
      </w:r>
    </w:p>
    <w:p w14:paraId="4FE877CF">
      <w:pPr>
        <w:pStyle w:val="350"/>
        <w:spacing w:line="420" w:lineRule="exact"/>
        <w:ind w:firstLine="480" w:firstLineChars="200"/>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现场工艺试验的有关约定：</w:t>
      </w:r>
      <w:r>
        <w:rPr>
          <w:rStyle w:val="348"/>
          <w:rFonts w:hint="eastAsia" w:ascii="宋体" w:hAnsi="宋体" w:cs="宋体"/>
          <w:color w:val="auto"/>
          <w:sz w:val="24"/>
          <w:szCs w:val="24"/>
          <w:highlight w:val="none"/>
          <w:u w:val="single"/>
        </w:rPr>
        <w:t>按合同约定</w:t>
      </w:r>
      <w:r>
        <w:rPr>
          <w:rStyle w:val="348"/>
          <w:rFonts w:hint="eastAsia" w:ascii="宋体" w:hAnsi="宋体" w:cs="宋体"/>
          <w:color w:val="auto"/>
          <w:sz w:val="24"/>
          <w:szCs w:val="24"/>
          <w:highlight w:val="none"/>
        </w:rPr>
        <w:t>。</w:t>
      </w:r>
    </w:p>
    <w:p w14:paraId="5488F1B7">
      <w:pPr>
        <w:pStyle w:val="354"/>
        <w:spacing w:line="420" w:lineRule="exact"/>
        <w:outlineLvl w:val="3"/>
        <w:rPr>
          <w:rStyle w:val="348"/>
          <w:rFonts w:ascii="宋体" w:hAnsi="宋体" w:eastAsia="宋体" w:cs="宋体"/>
          <w:color w:val="auto"/>
          <w:sz w:val="24"/>
          <w:szCs w:val="24"/>
          <w:highlight w:val="none"/>
        </w:rPr>
      </w:pPr>
      <w:bookmarkStart w:id="558" w:name="_Toc24256"/>
      <w:bookmarkEnd w:id="558"/>
      <w:r>
        <w:rPr>
          <w:rStyle w:val="348"/>
          <w:rFonts w:hint="eastAsia" w:ascii="宋体" w:hAnsi="宋体" w:eastAsia="宋体" w:cs="宋体"/>
          <w:color w:val="auto"/>
          <w:sz w:val="24"/>
          <w:szCs w:val="24"/>
          <w:highlight w:val="none"/>
        </w:rPr>
        <w:t>9.5 检验费用</w:t>
      </w:r>
    </w:p>
    <w:p w14:paraId="228813F1">
      <w:pPr>
        <w:pStyle w:val="350"/>
        <w:spacing w:line="420" w:lineRule="exact"/>
        <w:ind w:firstLine="470" w:firstLineChars="196"/>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根据《建设工程质量检测管理办法》（建设部令第141号）以及《广西壮族自治区建设工程质量检测管理实施细则》（桂建发〔2025〕5号）规定，工程质量检测业务由发包人委托有相应资质的检测机构检测。费用从发包人的项目建设经费中支出并直接支付给检测机构，不计入合同价款内。</w:t>
      </w:r>
    </w:p>
    <w:p w14:paraId="75C7D2EC">
      <w:pPr>
        <w:pStyle w:val="349"/>
        <w:spacing w:before="0" w:after="0" w:line="420" w:lineRule="exact"/>
        <w:outlineLvl w:val="2"/>
        <w:rPr>
          <w:rStyle w:val="348"/>
          <w:rFonts w:ascii="宋体" w:hAnsi="宋体" w:eastAsia="宋体" w:cs="宋体"/>
          <w:color w:val="auto"/>
          <w:sz w:val="24"/>
          <w:szCs w:val="24"/>
          <w:highlight w:val="none"/>
        </w:rPr>
      </w:pPr>
      <w:bookmarkStart w:id="559" w:name="_Toc351203642"/>
      <w:bookmarkEnd w:id="559"/>
      <w:bookmarkStart w:id="560" w:name="_Toc373227739"/>
      <w:bookmarkEnd w:id="560"/>
      <w:bookmarkStart w:id="561" w:name="_Toc373478386"/>
      <w:bookmarkEnd w:id="561"/>
      <w:bookmarkStart w:id="562" w:name="_Toc389065305"/>
      <w:bookmarkEnd w:id="562"/>
      <w:bookmarkStart w:id="563" w:name="_Toc6988"/>
      <w:bookmarkEnd w:id="563"/>
      <w:r>
        <w:rPr>
          <w:rStyle w:val="348"/>
          <w:rFonts w:hint="eastAsia" w:ascii="宋体" w:hAnsi="宋体" w:eastAsia="宋体" w:cs="宋体"/>
          <w:color w:val="auto"/>
          <w:sz w:val="24"/>
          <w:szCs w:val="24"/>
          <w:highlight w:val="none"/>
        </w:rPr>
        <w:t>1</w:t>
      </w:r>
      <w:bookmarkStart w:id="564" w:name="_Toc267251441"/>
      <w:bookmarkEnd w:id="564"/>
      <w:bookmarkStart w:id="565" w:name="_Toc267251433"/>
      <w:bookmarkEnd w:id="565"/>
      <w:bookmarkStart w:id="566" w:name="_Toc296891021"/>
      <w:bookmarkEnd w:id="566"/>
      <w:bookmarkStart w:id="567" w:name="_Toc267251440"/>
      <w:bookmarkEnd w:id="567"/>
      <w:bookmarkStart w:id="568" w:name="_Toc296891233"/>
      <w:bookmarkEnd w:id="568"/>
      <w:bookmarkStart w:id="569" w:name="_Toc304295566"/>
      <w:bookmarkEnd w:id="569"/>
      <w:bookmarkStart w:id="570" w:name="_Toc297123540"/>
      <w:bookmarkEnd w:id="570"/>
      <w:bookmarkStart w:id="571" w:name="_Toc297048379"/>
      <w:bookmarkEnd w:id="571"/>
      <w:bookmarkStart w:id="572" w:name="_Toc292559903"/>
      <w:bookmarkEnd w:id="572"/>
      <w:bookmarkStart w:id="573" w:name="_Toc297216199"/>
      <w:bookmarkEnd w:id="573"/>
      <w:bookmarkStart w:id="574" w:name="_Toc300934989"/>
      <w:bookmarkEnd w:id="574"/>
      <w:bookmarkStart w:id="575" w:name="_Toc296346694"/>
      <w:bookmarkEnd w:id="575"/>
      <w:bookmarkStart w:id="576" w:name="_Toc303539146"/>
      <w:bookmarkEnd w:id="576"/>
      <w:bookmarkStart w:id="577" w:name="_Toc312677499"/>
      <w:bookmarkEnd w:id="577"/>
      <w:bookmarkStart w:id="578" w:name="_Toc312678025"/>
      <w:bookmarkEnd w:id="578"/>
      <w:bookmarkStart w:id="579" w:name="_Toc267251435"/>
      <w:bookmarkEnd w:id="579"/>
      <w:bookmarkStart w:id="580" w:name="_Toc297120493"/>
      <w:bookmarkEnd w:id="580"/>
      <w:bookmarkStart w:id="581" w:name="_Toc267251437"/>
      <w:bookmarkEnd w:id="581"/>
      <w:bookmarkStart w:id="582" w:name="_Toc292559398"/>
      <w:bookmarkEnd w:id="582"/>
      <w:bookmarkStart w:id="583" w:name="_Toc296347192"/>
      <w:bookmarkEnd w:id="583"/>
      <w:bookmarkStart w:id="584" w:name="_Toc267251439"/>
      <w:bookmarkEnd w:id="584"/>
      <w:bookmarkStart w:id="585" w:name="_Toc296944532"/>
      <w:bookmarkEnd w:id="585"/>
      <w:bookmarkStart w:id="586" w:name="_Toc296503193"/>
      <w:bookmarkEnd w:id="586"/>
      <w:bookmarkStart w:id="587" w:name="_Toc267251442"/>
      <w:r>
        <w:rPr>
          <w:rStyle w:val="348"/>
          <w:rFonts w:hint="eastAsia" w:ascii="宋体" w:hAnsi="宋体" w:eastAsia="宋体" w:cs="宋体"/>
          <w:color w:val="auto"/>
          <w:sz w:val="24"/>
          <w:szCs w:val="24"/>
          <w:highlight w:val="none"/>
        </w:rPr>
        <w:t xml:space="preserve">0. </w:t>
      </w:r>
      <w:bookmarkEnd w:id="587"/>
      <w:r>
        <w:rPr>
          <w:rStyle w:val="348"/>
          <w:rFonts w:hint="eastAsia" w:ascii="宋体" w:hAnsi="宋体" w:eastAsia="宋体" w:cs="宋体"/>
          <w:color w:val="auto"/>
          <w:sz w:val="24"/>
          <w:szCs w:val="24"/>
          <w:highlight w:val="none"/>
        </w:rPr>
        <w:t>变更</w:t>
      </w:r>
    </w:p>
    <w:p w14:paraId="6BE04653">
      <w:pPr>
        <w:pStyle w:val="354"/>
        <w:spacing w:line="420" w:lineRule="exact"/>
        <w:outlineLvl w:val="3"/>
        <w:rPr>
          <w:rStyle w:val="348"/>
          <w:rFonts w:ascii="宋体" w:hAnsi="宋体" w:eastAsia="宋体" w:cs="宋体"/>
          <w:color w:val="auto"/>
          <w:sz w:val="24"/>
          <w:szCs w:val="24"/>
          <w:highlight w:val="none"/>
        </w:rPr>
      </w:pPr>
      <w:bookmarkStart w:id="588" w:name="_Toc23389"/>
      <w:bookmarkEnd w:id="588"/>
      <w:bookmarkStart w:id="589" w:name="_Toc373478387"/>
      <w:bookmarkEnd w:id="589"/>
      <w:bookmarkStart w:id="590" w:name="_Toc373227740"/>
      <w:bookmarkEnd w:id="590"/>
      <w:bookmarkStart w:id="591" w:name="_Toc389065306"/>
      <w:r>
        <w:rPr>
          <w:rStyle w:val="348"/>
          <w:rFonts w:hint="eastAsia" w:ascii="宋体" w:hAnsi="宋体" w:eastAsia="宋体" w:cs="宋体"/>
          <w:color w:val="auto"/>
          <w:sz w:val="24"/>
          <w:szCs w:val="24"/>
          <w:highlight w:val="none"/>
        </w:rPr>
        <w:t>1</w:t>
      </w:r>
      <w:bookmarkEnd w:id="591"/>
      <w:bookmarkStart w:id="592" w:name="_Toc297123541"/>
      <w:bookmarkEnd w:id="592"/>
      <w:bookmarkStart w:id="593" w:name="_Toc296346695"/>
      <w:bookmarkEnd w:id="593"/>
      <w:bookmarkStart w:id="594" w:name="_Toc303539147"/>
      <w:bookmarkEnd w:id="594"/>
      <w:bookmarkStart w:id="595" w:name="_Toc292559904"/>
      <w:bookmarkEnd w:id="595"/>
      <w:bookmarkStart w:id="596" w:name="_Toc297216200"/>
      <w:bookmarkEnd w:id="596"/>
      <w:bookmarkStart w:id="597" w:name="_Toc300934990"/>
      <w:bookmarkEnd w:id="597"/>
      <w:bookmarkStart w:id="598" w:name="_Toc297048380"/>
      <w:bookmarkEnd w:id="598"/>
      <w:bookmarkStart w:id="599" w:name="_Toc296944533"/>
      <w:bookmarkEnd w:id="599"/>
      <w:bookmarkStart w:id="600" w:name="_Toc312678026"/>
      <w:bookmarkEnd w:id="600"/>
      <w:bookmarkStart w:id="601" w:name="_Toc297120494"/>
      <w:bookmarkEnd w:id="601"/>
      <w:bookmarkStart w:id="602" w:name="_Toc292559399"/>
      <w:bookmarkEnd w:id="602"/>
      <w:bookmarkStart w:id="603" w:name="_Toc304295567"/>
      <w:bookmarkEnd w:id="603"/>
      <w:bookmarkStart w:id="604" w:name="_Toc296347193"/>
      <w:bookmarkEnd w:id="604"/>
      <w:bookmarkStart w:id="605" w:name="_Toc296503194"/>
      <w:bookmarkEnd w:id="605"/>
      <w:bookmarkStart w:id="606" w:name="_Toc312677500"/>
      <w:bookmarkEnd w:id="606"/>
      <w:bookmarkStart w:id="607" w:name="_Toc296891022"/>
      <w:bookmarkEnd w:id="607"/>
      <w:bookmarkStart w:id="608" w:name="_Toc296891234"/>
      <w:r>
        <w:rPr>
          <w:rStyle w:val="348"/>
          <w:rFonts w:hint="eastAsia" w:ascii="宋体" w:hAnsi="宋体" w:eastAsia="宋体" w:cs="宋体"/>
          <w:color w:val="auto"/>
          <w:sz w:val="24"/>
          <w:szCs w:val="24"/>
          <w:highlight w:val="none"/>
        </w:rPr>
        <w:t>0.1</w:t>
      </w:r>
      <w:bookmarkEnd w:id="608"/>
      <w:r>
        <w:rPr>
          <w:rStyle w:val="348"/>
          <w:rFonts w:hint="eastAsia" w:ascii="宋体" w:hAnsi="宋体" w:eastAsia="宋体" w:cs="宋体"/>
          <w:color w:val="auto"/>
          <w:sz w:val="24"/>
          <w:szCs w:val="24"/>
          <w:highlight w:val="none"/>
        </w:rPr>
        <w:t xml:space="preserve"> 变更的范围</w:t>
      </w:r>
    </w:p>
    <w:p w14:paraId="184BF31E">
      <w:pPr>
        <w:pStyle w:val="350"/>
        <w:spacing w:line="420" w:lineRule="exact"/>
        <w:ind w:firstLine="426"/>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关于变更的范围的约定：</w:t>
      </w:r>
      <w:r>
        <w:rPr>
          <w:rStyle w:val="348"/>
          <w:rFonts w:hint="eastAsia" w:ascii="宋体" w:hAnsi="宋体" w:cs="宋体"/>
          <w:color w:val="auto"/>
          <w:sz w:val="24"/>
          <w:szCs w:val="24"/>
          <w:highlight w:val="none"/>
          <w:u w:val="single"/>
        </w:rPr>
        <w:t>执行通用合同条款10.1款并经发包人书面批准</w:t>
      </w:r>
      <w:r>
        <w:rPr>
          <w:rStyle w:val="348"/>
          <w:rFonts w:hint="eastAsia" w:ascii="宋体" w:hAnsi="宋体" w:cs="宋体"/>
          <w:color w:val="auto"/>
          <w:sz w:val="24"/>
          <w:szCs w:val="24"/>
          <w:highlight w:val="none"/>
        </w:rPr>
        <w:t>。</w:t>
      </w:r>
    </w:p>
    <w:p w14:paraId="784B4CAC">
      <w:pPr>
        <w:pStyle w:val="350"/>
        <w:spacing w:line="420" w:lineRule="exact"/>
        <w:ind w:firstLine="426"/>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在本工程实施过程中，如发生工程承包范围内的增减工程、工程变更或现场签证，承包人应无任何先决条件予以执行，否则，发包人有权委托第三方完成该项增减工程或工程变更，且按实际发生的费用从承包人最终的结算款中扣除。工程承包范围外的承包人应积极配合。凡涉及合同价款增减变化的变更事项，设计变更必须经设计单位、总监理工程师和发包人代表共同签字；现场鉴证必须经总监理工程师和发包人代表共同签字，并经发包人盖章确认后的书面档案为准，否则不作为结算调整依据；承包人根据发包人书面确认的变更档予以变更。变更档中须明确原做法、变更后做法及工艺、材料名称、规格、品牌、尺寸等，标注要清晰。</w:t>
      </w:r>
    </w:p>
    <w:p w14:paraId="21D2F8A3">
      <w:pPr>
        <w:pStyle w:val="350"/>
        <w:spacing w:line="420" w:lineRule="exact"/>
        <w:ind w:firstLine="426"/>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 xml:space="preserve"> </w:t>
      </w:r>
    </w:p>
    <w:p w14:paraId="35D042C0">
      <w:pPr>
        <w:pStyle w:val="354"/>
        <w:spacing w:line="420" w:lineRule="exact"/>
        <w:outlineLvl w:val="3"/>
        <w:rPr>
          <w:rStyle w:val="348"/>
          <w:rFonts w:ascii="宋体" w:hAnsi="宋体" w:eastAsia="宋体" w:cs="宋体"/>
          <w:color w:val="auto"/>
          <w:sz w:val="24"/>
          <w:szCs w:val="24"/>
          <w:highlight w:val="none"/>
        </w:rPr>
      </w:pPr>
      <w:bookmarkStart w:id="609" w:name="_Toc373227741"/>
      <w:bookmarkEnd w:id="609"/>
      <w:bookmarkStart w:id="610" w:name="_Toc373478388"/>
      <w:bookmarkEnd w:id="610"/>
      <w:bookmarkStart w:id="611" w:name="_Toc389065307"/>
      <w:bookmarkEnd w:id="611"/>
      <w:bookmarkStart w:id="612" w:name="_Toc20664"/>
      <w:r>
        <w:rPr>
          <w:rStyle w:val="348"/>
          <w:rFonts w:hint="eastAsia" w:ascii="宋体" w:hAnsi="宋体" w:eastAsia="宋体" w:cs="宋体"/>
          <w:color w:val="auto"/>
          <w:sz w:val="24"/>
          <w:szCs w:val="24"/>
          <w:highlight w:val="none"/>
        </w:rPr>
        <w:t xml:space="preserve">10.3 </w:t>
      </w:r>
      <w:bookmarkEnd w:id="612"/>
      <w:r>
        <w:rPr>
          <w:rStyle w:val="348"/>
          <w:rFonts w:hint="eastAsia" w:ascii="宋体" w:hAnsi="宋体" w:eastAsia="宋体" w:cs="宋体"/>
          <w:color w:val="auto"/>
          <w:sz w:val="24"/>
          <w:szCs w:val="24"/>
          <w:highlight w:val="none"/>
        </w:rPr>
        <w:t>变更程序</w:t>
      </w:r>
    </w:p>
    <w:p w14:paraId="538FA625">
      <w:pPr>
        <w:pStyle w:val="356"/>
        <w:spacing w:line="420" w:lineRule="exact"/>
        <w:ind w:firstLine="504" w:firstLineChars="210"/>
        <w:outlineLvl w:val="4"/>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10.3.1国有投资项目：</w:t>
      </w:r>
    </w:p>
    <w:p w14:paraId="635188F6">
      <w:pPr>
        <w:pStyle w:val="18"/>
        <w:rPr>
          <w:rStyle w:val="348"/>
          <w:rFonts w:ascii="宋体" w:hAnsi="宋体" w:eastAsia="宋体" w:cs="宋体"/>
          <w:color w:val="auto"/>
          <w:sz w:val="24"/>
          <w:highlight w:val="none"/>
        </w:rPr>
      </w:pPr>
      <w:r>
        <w:rPr>
          <w:rStyle w:val="348"/>
          <w:rFonts w:hint="eastAsia" w:ascii="宋体" w:hAnsi="宋体" w:eastAsia="宋体" w:cs="宋体"/>
          <w:color w:val="auto"/>
          <w:sz w:val="24"/>
          <w:highlight w:val="none"/>
        </w:rPr>
        <w:t>⑴设计变更和工程签证，</w:t>
      </w:r>
      <w:r>
        <w:rPr>
          <w:rFonts w:hint="eastAsia" w:ascii="宋体" w:hAnsi="宋体" w:eastAsia="宋体" w:cs="宋体"/>
          <w:color w:val="auto"/>
          <w:highlight w:val="none"/>
        </w:rPr>
        <w:t>按照发包人和监理工程师的要求办理</w:t>
      </w:r>
      <w:r>
        <w:rPr>
          <w:rStyle w:val="348"/>
          <w:rFonts w:hint="eastAsia" w:ascii="宋体" w:hAnsi="宋体" w:eastAsia="宋体" w:cs="宋体"/>
          <w:color w:val="auto"/>
          <w:sz w:val="24"/>
          <w:highlight w:val="none"/>
        </w:rPr>
        <w:t>。属不可抗力（自然灾害、突发事件等）造成变更的，按特事特办原则予以办理。</w:t>
      </w:r>
    </w:p>
    <w:p w14:paraId="4E71E883">
      <w:pPr>
        <w:pStyle w:val="350"/>
        <w:spacing w:line="420" w:lineRule="exact"/>
        <w:ind w:firstLine="480" w:firstLineChars="200"/>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⑵建设单位在实施项目过程中，若发生单价变动，由建设单位、监理单位、施工单位及其他相关单位共同商定并签字确认，并按规定办理相关手续。</w:t>
      </w:r>
    </w:p>
    <w:p w14:paraId="48A84059">
      <w:pPr>
        <w:pStyle w:val="350"/>
        <w:spacing w:line="420" w:lineRule="exact"/>
        <w:ind w:firstLine="480" w:firstLineChars="200"/>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⑶ 当合同规定的合同价款调整情况发生后，承包人未在规定时间内通知发包人，或者未在规定时间内提出调整报告，发包人可以根据有关资料，决定是否调整和调整的金额，并书面通知承包人。</w:t>
      </w:r>
    </w:p>
    <w:p w14:paraId="380CE51F">
      <w:pPr>
        <w:pStyle w:val="350"/>
        <w:spacing w:line="420" w:lineRule="exact"/>
        <w:ind w:firstLine="480" w:firstLineChars="200"/>
        <w:jc w:val="left"/>
        <w:outlineLvl w:val="4"/>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 xml:space="preserve">10.3.2 非国有投资项目： </w:t>
      </w:r>
    </w:p>
    <w:p w14:paraId="5D826558">
      <w:pPr>
        <w:pStyle w:val="350"/>
        <w:spacing w:line="420" w:lineRule="exact"/>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u w:val="single"/>
        </w:rPr>
        <w:t xml:space="preserve">                                /                             </w:t>
      </w:r>
      <w:r>
        <w:rPr>
          <w:rStyle w:val="348"/>
          <w:rFonts w:hint="eastAsia" w:ascii="宋体" w:hAnsi="宋体" w:cs="宋体"/>
          <w:color w:val="auto"/>
          <w:sz w:val="24"/>
          <w:szCs w:val="24"/>
          <w:highlight w:val="none"/>
        </w:rPr>
        <w:t>。</w:t>
      </w:r>
    </w:p>
    <w:p w14:paraId="2A5100F7">
      <w:pPr>
        <w:pStyle w:val="354"/>
        <w:spacing w:line="420" w:lineRule="exact"/>
        <w:outlineLvl w:val="3"/>
        <w:rPr>
          <w:rStyle w:val="348"/>
          <w:rFonts w:ascii="宋体" w:hAnsi="宋体" w:eastAsia="宋体" w:cs="宋体"/>
          <w:color w:val="auto"/>
          <w:sz w:val="24"/>
          <w:szCs w:val="24"/>
          <w:highlight w:val="none"/>
        </w:rPr>
      </w:pPr>
      <w:bookmarkStart w:id="613" w:name="_Toc373478389"/>
      <w:bookmarkEnd w:id="613"/>
      <w:bookmarkStart w:id="614" w:name="_Toc389065308"/>
      <w:bookmarkEnd w:id="614"/>
      <w:bookmarkStart w:id="615" w:name="_Toc19438"/>
      <w:bookmarkEnd w:id="615"/>
      <w:bookmarkStart w:id="616" w:name="_Toc373227742"/>
      <w:r>
        <w:rPr>
          <w:rStyle w:val="348"/>
          <w:rFonts w:hint="eastAsia" w:ascii="宋体" w:hAnsi="宋体" w:eastAsia="宋体" w:cs="宋体"/>
          <w:color w:val="auto"/>
          <w:sz w:val="24"/>
          <w:szCs w:val="24"/>
          <w:highlight w:val="none"/>
        </w:rPr>
        <w:t xml:space="preserve">10.4 </w:t>
      </w:r>
      <w:bookmarkEnd w:id="616"/>
      <w:r>
        <w:rPr>
          <w:rStyle w:val="348"/>
          <w:rFonts w:hint="eastAsia" w:ascii="宋体" w:hAnsi="宋体" w:eastAsia="宋体" w:cs="宋体"/>
          <w:color w:val="auto"/>
          <w:sz w:val="24"/>
          <w:szCs w:val="24"/>
          <w:highlight w:val="none"/>
        </w:rPr>
        <w:t>变更估价</w:t>
      </w:r>
    </w:p>
    <w:p w14:paraId="370D8099">
      <w:pPr>
        <w:pStyle w:val="350"/>
        <w:spacing w:line="420" w:lineRule="exact"/>
        <w:ind w:firstLine="480" w:firstLineChars="200"/>
        <w:jc w:val="left"/>
        <w:outlineLvl w:val="4"/>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10.4.1 变更估价原则</w:t>
      </w:r>
    </w:p>
    <w:p w14:paraId="5B5DCF2C">
      <w:pPr>
        <w:pStyle w:val="353"/>
        <w:spacing w:line="360" w:lineRule="auto"/>
        <w:ind w:firstLine="480" w:firstLineChars="200"/>
        <w:jc w:val="left"/>
        <w:rPr>
          <w:rStyle w:val="348"/>
          <w:rFonts w:ascii="宋体" w:hAnsi="宋体" w:cs="宋体"/>
          <w:color w:val="auto"/>
          <w:sz w:val="24"/>
          <w:highlight w:val="none"/>
          <w:u w:val="single"/>
        </w:rPr>
      </w:pPr>
      <w:bookmarkStart w:id="617" w:name="_Toc373478390"/>
      <w:bookmarkEnd w:id="617"/>
      <w:bookmarkStart w:id="618" w:name="_Toc373227743"/>
      <w:bookmarkEnd w:id="618"/>
      <w:bookmarkStart w:id="619" w:name="_Toc5293"/>
      <w:bookmarkEnd w:id="619"/>
      <w:bookmarkStart w:id="620" w:name="_Toc251051742"/>
      <w:bookmarkEnd w:id="620"/>
      <w:bookmarkStart w:id="621" w:name="_Toc389065309"/>
      <w:r>
        <w:rPr>
          <w:rStyle w:val="348"/>
          <w:rFonts w:hint="eastAsia" w:ascii="宋体" w:hAnsi="宋体" w:cs="宋体"/>
          <w:color w:val="auto"/>
          <w:sz w:val="24"/>
          <w:highlight w:val="none"/>
          <w:u w:val="single"/>
        </w:rPr>
        <w:t>关于变更估价的约定: 工程变更合同价款按下列方法进行：（1）合同中已有相同清单项目的，按合同该清单项目价格进行计算；（2）合同中只有类似清单项目的，参照该类似清单项目价格进行计算；（3）合同中没有适用或类似清单项目的价格计算方法：有定额的套定额，并（☑乘以中标系数（中标价/招标控制价） %，□不乘下浮系数）计算，其中：材料设备价格按施工期间的《南宁市建设工程造价信息》相应信息价的加权平均值计算，《南宁市建设工程造价信息》没有相应信息价的，由建设单位、施工单位、监理单位或造价咨询单位根据市场行情协商确定；无定额可套的，由建设单位、施工单位、监理单位或造价咨询单位根据市场行情协商确定包含除税金以外所有费用的税前综合价格。以上约定同时适用于工程量清单缺项以及工程量清单项目特征与图纸不符时的价款确定。对于政府及国有资金投资的项目，新增项目的单价必须经相关部门审定。</w:t>
      </w:r>
    </w:p>
    <w:p w14:paraId="34DBF88F">
      <w:pPr>
        <w:pStyle w:val="354"/>
        <w:spacing w:line="420" w:lineRule="exact"/>
        <w:outlineLvl w:val="3"/>
        <w:rPr>
          <w:rStyle w:val="348"/>
          <w:rFonts w:ascii="宋体" w:hAnsi="宋体" w:eastAsia="宋体" w:cs="宋体"/>
          <w:color w:val="auto"/>
          <w:sz w:val="24"/>
          <w:szCs w:val="24"/>
          <w:highlight w:val="none"/>
        </w:rPr>
      </w:pPr>
      <w:r>
        <w:rPr>
          <w:rStyle w:val="348"/>
          <w:rFonts w:hint="eastAsia" w:ascii="宋体" w:hAnsi="宋体" w:eastAsia="宋体" w:cs="宋体"/>
          <w:color w:val="auto"/>
          <w:sz w:val="24"/>
          <w:szCs w:val="24"/>
          <w:highlight w:val="none"/>
        </w:rPr>
        <w:t>1</w:t>
      </w:r>
      <w:bookmarkEnd w:id="621"/>
      <w:bookmarkStart w:id="622" w:name="_Toc292559402"/>
      <w:bookmarkEnd w:id="622"/>
      <w:bookmarkStart w:id="623" w:name="_Toc312678029"/>
      <w:bookmarkEnd w:id="623"/>
      <w:bookmarkStart w:id="624" w:name="_Toc304295570"/>
      <w:bookmarkEnd w:id="624"/>
      <w:bookmarkStart w:id="625" w:name="_Toc296891025"/>
      <w:bookmarkEnd w:id="625"/>
      <w:bookmarkStart w:id="626" w:name="_Toc300934993"/>
      <w:bookmarkEnd w:id="626"/>
      <w:bookmarkStart w:id="627" w:name="_Toc292559907"/>
      <w:bookmarkEnd w:id="627"/>
      <w:bookmarkStart w:id="628" w:name="_Toc312677503"/>
      <w:bookmarkEnd w:id="628"/>
      <w:bookmarkStart w:id="629" w:name="_Toc303539150"/>
      <w:bookmarkEnd w:id="629"/>
      <w:bookmarkStart w:id="630" w:name="_Toc296346698"/>
      <w:bookmarkEnd w:id="630"/>
      <w:bookmarkStart w:id="631" w:name="_Toc296944536"/>
      <w:bookmarkEnd w:id="631"/>
      <w:bookmarkStart w:id="632" w:name="_Toc297120497"/>
      <w:bookmarkEnd w:id="632"/>
      <w:bookmarkStart w:id="633" w:name="_Toc297216203"/>
      <w:bookmarkEnd w:id="633"/>
      <w:bookmarkStart w:id="634" w:name="_Toc296347196"/>
      <w:bookmarkEnd w:id="634"/>
      <w:bookmarkStart w:id="635" w:name="_Toc296503197"/>
      <w:bookmarkEnd w:id="635"/>
      <w:bookmarkStart w:id="636" w:name="_Toc296891237"/>
      <w:bookmarkEnd w:id="636"/>
      <w:bookmarkStart w:id="637" w:name="_Toc297048383"/>
      <w:bookmarkEnd w:id="637"/>
      <w:bookmarkStart w:id="638" w:name="_Toc297123544"/>
      <w:bookmarkEnd w:id="638"/>
      <w:r>
        <w:rPr>
          <w:rStyle w:val="348"/>
          <w:rFonts w:hint="eastAsia" w:ascii="宋体" w:hAnsi="宋体" w:eastAsia="宋体" w:cs="宋体"/>
          <w:color w:val="auto"/>
          <w:sz w:val="24"/>
          <w:szCs w:val="24"/>
          <w:highlight w:val="none"/>
        </w:rPr>
        <w:t>0.5 承</w:t>
      </w:r>
      <w:bookmarkStart w:id="639" w:name="_Toc297216204"/>
      <w:bookmarkEnd w:id="639"/>
      <w:bookmarkStart w:id="640" w:name="_Toc303539151"/>
      <w:bookmarkEnd w:id="640"/>
      <w:bookmarkStart w:id="641" w:name="_Toc292559408"/>
      <w:bookmarkEnd w:id="641"/>
      <w:bookmarkStart w:id="642" w:name="_Toc300934994"/>
      <w:bookmarkEnd w:id="642"/>
      <w:bookmarkStart w:id="643" w:name="_Toc296346704"/>
      <w:bookmarkEnd w:id="643"/>
      <w:bookmarkStart w:id="644" w:name="_Toc296347202"/>
      <w:bookmarkEnd w:id="644"/>
      <w:bookmarkStart w:id="645" w:name="_Toc296944542"/>
      <w:bookmarkEnd w:id="645"/>
      <w:bookmarkStart w:id="646" w:name="_Toc297123545"/>
      <w:bookmarkEnd w:id="646"/>
      <w:bookmarkStart w:id="647" w:name="_Toc296891031"/>
      <w:bookmarkEnd w:id="647"/>
      <w:bookmarkStart w:id="648" w:name="_Toc292559913"/>
      <w:bookmarkEnd w:id="648"/>
      <w:bookmarkStart w:id="649" w:name="_Toc296503203"/>
      <w:bookmarkEnd w:id="649"/>
      <w:bookmarkStart w:id="650" w:name="_Toc296891243"/>
      <w:bookmarkEnd w:id="650"/>
      <w:bookmarkStart w:id="651" w:name="_Toc297120503"/>
      <w:bookmarkEnd w:id="651"/>
      <w:bookmarkStart w:id="652" w:name="_Toc297048389"/>
      <w:bookmarkEnd w:id="652"/>
      <w:r>
        <w:rPr>
          <w:rStyle w:val="348"/>
          <w:rFonts w:hint="eastAsia" w:ascii="宋体" w:hAnsi="宋体" w:eastAsia="宋体" w:cs="宋体"/>
          <w:color w:val="auto"/>
          <w:sz w:val="24"/>
          <w:szCs w:val="24"/>
          <w:highlight w:val="none"/>
        </w:rPr>
        <w:t>包人的合理化建议</w:t>
      </w:r>
    </w:p>
    <w:p w14:paraId="24C8A7A5">
      <w:pPr>
        <w:pStyle w:val="350"/>
        <w:spacing w:line="420" w:lineRule="exact"/>
        <w:ind w:firstLine="480" w:firstLineChars="200"/>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监理人审查承包人合理化建议的期限：</w:t>
      </w:r>
      <w:r>
        <w:rPr>
          <w:rStyle w:val="348"/>
          <w:rFonts w:hint="eastAsia" w:ascii="宋体" w:hAnsi="宋体" w:cs="宋体"/>
          <w:color w:val="auto"/>
          <w:sz w:val="24"/>
          <w:szCs w:val="24"/>
          <w:highlight w:val="none"/>
          <w:u w:val="single"/>
        </w:rPr>
        <w:t xml:space="preserve"> 监理人应在收到承包人提交的合理化建议后7天内审查完毕并报送发包人 </w:t>
      </w:r>
      <w:r>
        <w:rPr>
          <w:rStyle w:val="348"/>
          <w:rFonts w:hint="eastAsia" w:ascii="宋体" w:hAnsi="宋体" w:cs="宋体"/>
          <w:color w:val="auto"/>
          <w:sz w:val="24"/>
          <w:szCs w:val="24"/>
          <w:highlight w:val="none"/>
        </w:rPr>
        <w:t>。</w:t>
      </w:r>
    </w:p>
    <w:p w14:paraId="3347CDA9">
      <w:pPr>
        <w:pStyle w:val="350"/>
        <w:spacing w:line="420" w:lineRule="exact"/>
        <w:ind w:firstLine="480" w:firstLineChars="200"/>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发包人审批承包人合理化建议的期限：</w:t>
      </w:r>
      <w:r>
        <w:rPr>
          <w:rStyle w:val="348"/>
          <w:rFonts w:hint="eastAsia" w:ascii="宋体" w:hAnsi="宋体" w:cs="宋体"/>
          <w:color w:val="auto"/>
          <w:sz w:val="24"/>
          <w:szCs w:val="24"/>
          <w:highlight w:val="none"/>
          <w:u w:val="single"/>
        </w:rPr>
        <w:t xml:space="preserve"> </w:t>
      </w:r>
      <w:r>
        <w:rPr>
          <w:rStyle w:val="348"/>
          <w:rFonts w:hint="eastAsia" w:ascii="宋体" w:hAnsi="宋体" w:cs="宋体"/>
          <w:color w:val="auto"/>
          <w:kern w:val="0"/>
          <w:sz w:val="24"/>
          <w:szCs w:val="24"/>
          <w:highlight w:val="none"/>
          <w:u w:val="single"/>
        </w:rPr>
        <w:t>发包人应在收到监理人报送的合理化建议后7天内审查完毕</w:t>
      </w:r>
      <w:r>
        <w:rPr>
          <w:rStyle w:val="348"/>
          <w:rFonts w:hint="eastAsia" w:ascii="宋体" w:hAnsi="宋体" w:cs="宋体"/>
          <w:color w:val="auto"/>
          <w:sz w:val="24"/>
          <w:szCs w:val="24"/>
          <w:highlight w:val="none"/>
          <w:u w:val="single"/>
        </w:rPr>
        <w:t xml:space="preserve"> </w:t>
      </w:r>
      <w:r>
        <w:rPr>
          <w:rStyle w:val="348"/>
          <w:rFonts w:hint="eastAsia" w:ascii="宋体" w:hAnsi="宋体" w:cs="宋体"/>
          <w:color w:val="auto"/>
          <w:sz w:val="24"/>
          <w:szCs w:val="24"/>
          <w:highlight w:val="none"/>
        </w:rPr>
        <w:t>。</w:t>
      </w:r>
    </w:p>
    <w:p w14:paraId="6454F93A">
      <w:pPr>
        <w:pStyle w:val="350"/>
        <w:spacing w:line="420" w:lineRule="exact"/>
        <w:ind w:firstLine="480" w:firstLineChars="200"/>
        <w:jc w:val="left"/>
        <w:rPr>
          <w:rStyle w:val="348"/>
          <w:rFonts w:ascii="宋体" w:hAnsi="宋体" w:cs="宋体"/>
          <w:color w:val="auto"/>
          <w:sz w:val="24"/>
          <w:szCs w:val="24"/>
          <w:highlight w:val="none"/>
          <w:u w:val="single"/>
        </w:rPr>
      </w:pPr>
      <w:r>
        <w:rPr>
          <w:rStyle w:val="348"/>
          <w:rFonts w:hint="eastAsia" w:ascii="宋体" w:hAnsi="宋体" w:cs="宋体"/>
          <w:color w:val="auto"/>
          <w:sz w:val="24"/>
          <w:szCs w:val="24"/>
          <w:highlight w:val="none"/>
        </w:rPr>
        <w:t>承</w:t>
      </w:r>
      <w:bookmarkStart w:id="653" w:name="_Toc300934995"/>
      <w:bookmarkEnd w:id="653"/>
      <w:bookmarkStart w:id="654" w:name="_Toc296944543"/>
      <w:bookmarkEnd w:id="654"/>
      <w:bookmarkStart w:id="655" w:name="_Toc318581175"/>
      <w:bookmarkEnd w:id="655"/>
      <w:bookmarkStart w:id="656" w:name="_Toc296891244"/>
      <w:bookmarkEnd w:id="656"/>
      <w:bookmarkStart w:id="657" w:name="_Toc292559914"/>
      <w:bookmarkEnd w:id="657"/>
      <w:bookmarkStart w:id="658" w:name="_Toc312678030"/>
      <w:bookmarkEnd w:id="658"/>
      <w:bookmarkStart w:id="659" w:name="_Toc296346705"/>
      <w:bookmarkEnd w:id="659"/>
      <w:bookmarkStart w:id="660" w:name="_Toc296503204"/>
      <w:bookmarkEnd w:id="660"/>
      <w:bookmarkStart w:id="661" w:name="_Toc292559409"/>
      <w:bookmarkEnd w:id="661"/>
      <w:bookmarkStart w:id="662" w:name="_Toc303539152"/>
      <w:bookmarkEnd w:id="662"/>
      <w:bookmarkStart w:id="663" w:name="_Toc297216205"/>
      <w:bookmarkEnd w:id="663"/>
      <w:bookmarkStart w:id="664" w:name="_Toc297123546"/>
      <w:bookmarkEnd w:id="664"/>
      <w:bookmarkStart w:id="665" w:name="_Toc312677504"/>
      <w:bookmarkEnd w:id="665"/>
      <w:bookmarkStart w:id="666" w:name="_Toc296347203"/>
      <w:bookmarkEnd w:id="666"/>
      <w:bookmarkStart w:id="667" w:name="_Toc297048390"/>
      <w:bookmarkEnd w:id="667"/>
      <w:bookmarkStart w:id="668" w:name="_Toc297120504"/>
      <w:bookmarkEnd w:id="668"/>
      <w:bookmarkStart w:id="669" w:name="_Toc296891032"/>
      <w:bookmarkEnd w:id="669"/>
      <w:bookmarkStart w:id="670" w:name="_Toc304295571"/>
      <w:r>
        <w:rPr>
          <w:rStyle w:val="348"/>
          <w:rFonts w:hint="eastAsia" w:ascii="宋体" w:hAnsi="宋体" w:cs="宋体"/>
          <w:color w:val="auto"/>
          <w:sz w:val="24"/>
          <w:szCs w:val="24"/>
          <w:highlight w:val="none"/>
        </w:rPr>
        <w:t>包人提出的合理化建议降低了合同价格或者提高了工程经济效益的奖励的方法和金额为：</w:t>
      </w:r>
      <w:bookmarkEnd w:id="670"/>
      <w:r>
        <w:rPr>
          <w:rStyle w:val="348"/>
          <w:rFonts w:hint="eastAsia" w:ascii="宋体" w:hAnsi="宋体" w:cs="宋体"/>
          <w:color w:val="auto"/>
          <w:sz w:val="24"/>
          <w:szCs w:val="24"/>
          <w:highlight w:val="none"/>
          <w:u w:val="single"/>
        </w:rPr>
        <w:t xml:space="preserve">  无  </w:t>
      </w:r>
      <w:r>
        <w:rPr>
          <w:rStyle w:val="348"/>
          <w:rFonts w:hint="eastAsia" w:ascii="宋体" w:hAnsi="宋体" w:cs="宋体"/>
          <w:color w:val="auto"/>
          <w:sz w:val="24"/>
          <w:szCs w:val="24"/>
          <w:highlight w:val="none"/>
        </w:rPr>
        <w:t>。</w:t>
      </w:r>
    </w:p>
    <w:p w14:paraId="0535587A">
      <w:pPr>
        <w:pStyle w:val="354"/>
        <w:spacing w:line="420" w:lineRule="exact"/>
        <w:outlineLvl w:val="3"/>
        <w:rPr>
          <w:rStyle w:val="348"/>
          <w:rFonts w:ascii="宋体" w:hAnsi="宋体" w:eastAsia="宋体" w:cs="宋体"/>
          <w:color w:val="auto"/>
          <w:sz w:val="24"/>
          <w:szCs w:val="24"/>
          <w:highlight w:val="none"/>
        </w:rPr>
      </w:pPr>
      <w:bookmarkStart w:id="671" w:name="_Toc373227744"/>
      <w:bookmarkEnd w:id="671"/>
      <w:bookmarkStart w:id="672" w:name="_Toc26302"/>
      <w:bookmarkEnd w:id="672"/>
      <w:bookmarkStart w:id="673" w:name="_Toc373478391"/>
      <w:bookmarkEnd w:id="673"/>
      <w:bookmarkStart w:id="674" w:name="_Toc389065310"/>
      <w:bookmarkEnd w:id="674"/>
      <w:r>
        <w:rPr>
          <w:rStyle w:val="348"/>
          <w:rFonts w:hint="eastAsia" w:ascii="宋体" w:hAnsi="宋体" w:eastAsia="宋体" w:cs="宋体"/>
          <w:color w:val="auto"/>
          <w:sz w:val="24"/>
          <w:szCs w:val="24"/>
          <w:highlight w:val="none"/>
        </w:rPr>
        <w:t>1</w:t>
      </w:r>
      <w:bookmarkStart w:id="675" w:name="_Toc296891027"/>
      <w:bookmarkEnd w:id="675"/>
      <w:bookmarkStart w:id="676" w:name="_Toc303539154"/>
      <w:bookmarkEnd w:id="676"/>
      <w:bookmarkStart w:id="677" w:name="_Toc297216207"/>
      <w:bookmarkEnd w:id="677"/>
      <w:bookmarkStart w:id="678" w:name="_Toc297048385"/>
      <w:bookmarkEnd w:id="678"/>
      <w:bookmarkStart w:id="679" w:name="_Toc296503199"/>
      <w:bookmarkEnd w:id="679"/>
      <w:bookmarkStart w:id="680" w:name="_Toc300934997"/>
      <w:bookmarkEnd w:id="680"/>
      <w:bookmarkStart w:id="681" w:name="_Toc297120499"/>
      <w:bookmarkEnd w:id="681"/>
      <w:bookmarkStart w:id="682" w:name="_Toc312678033"/>
      <w:bookmarkEnd w:id="682"/>
      <w:bookmarkStart w:id="683" w:name="_Toc312677507"/>
      <w:bookmarkEnd w:id="683"/>
      <w:bookmarkStart w:id="684" w:name="_Toc296346700"/>
      <w:bookmarkEnd w:id="684"/>
      <w:bookmarkStart w:id="685" w:name="_Toc296891239"/>
      <w:bookmarkEnd w:id="685"/>
      <w:bookmarkStart w:id="686" w:name="_Toc296347198"/>
      <w:bookmarkEnd w:id="686"/>
      <w:bookmarkStart w:id="687" w:name="_Toc297123548"/>
      <w:bookmarkEnd w:id="687"/>
      <w:bookmarkStart w:id="688" w:name="_Toc292559404"/>
      <w:bookmarkEnd w:id="688"/>
      <w:bookmarkStart w:id="689" w:name="_Toc296944538"/>
      <w:bookmarkEnd w:id="689"/>
      <w:bookmarkStart w:id="690" w:name="_Toc304295574"/>
      <w:bookmarkEnd w:id="690"/>
      <w:bookmarkStart w:id="691" w:name="_Toc292559909"/>
      <w:r>
        <w:rPr>
          <w:rStyle w:val="348"/>
          <w:rFonts w:hint="eastAsia" w:ascii="宋体" w:hAnsi="宋体" w:eastAsia="宋体" w:cs="宋体"/>
          <w:color w:val="auto"/>
          <w:sz w:val="24"/>
          <w:szCs w:val="24"/>
          <w:highlight w:val="none"/>
        </w:rPr>
        <w:t xml:space="preserve">0.7 </w:t>
      </w:r>
      <w:bookmarkEnd w:id="691"/>
      <w:r>
        <w:rPr>
          <w:rStyle w:val="348"/>
          <w:rFonts w:hint="eastAsia" w:ascii="宋体" w:hAnsi="宋体" w:eastAsia="宋体" w:cs="宋体"/>
          <w:color w:val="auto"/>
          <w:sz w:val="24"/>
          <w:szCs w:val="24"/>
          <w:highlight w:val="none"/>
        </w:rPr>
        <w:t>暂估价</w:t>
      </w:r>
    </w:p>
    <w:p w14:paraId="4660EC6D">
      <w:pPr>
        <w:pStyle w:val="350"/>
        <w:spacing w:line="420" w:lineRule="exact"/>
        <w:ind w:firstLine="480" w:firstLineChars="200"/>
        <w:jc w:val="left"/>
        <w:rPr>
          <w:rStyle w:val="348"/>
          <w:rFonts w:ascii="宋体" w:hAnsi="宋体" w:cs="宋体"/>
          <w:color w:val="auto"/>
          <w:sz w:val="24"/>
          <w:szCs w:val="24"/>
          <w:highlight w:val="none"/>
        </w:rPr>
      </w:pPr>
      <w:r>
        <w:rPr>
          <w:rStyle w:val="348"/>
          <w:rFonts w:hint="eastAsia" w:ascii="宋体" w:hAnsi="宋体" w:cs="宋体"/>
          <w:color w:val="auto"/>
          <w:kern w:val="0"/>
          <w:sz w:val="24"/>
          <w:szCs w:val="24"/>
          <w:highlight w:val="none"/>
        </w:rPr>
        <w:t>暂</w:t>
      </w:r>
      <w:bookmarkStart w:id="692" w:name="_Toc312677508"/>
      <w:bookmarkEnd w:id="692"/>
      <w:bookmarkStart w:id="693" w:name="_Toc318581176"/>
      <w:bookmarkEnd w:id="693"/>
      <w:bookmarkStart w:id="694" w:name="_Toc312678034"/>
      <w:r>
        <w:rPr>
          <w:rStyle w:val="348"/>
          <w:rFonts w:hint="eastAsia" w:ascii="宋体" w:hAnsi="宋体" w:cs="宋体"/>
          <w:color w:val="auto"/>
          <w:kern w:val="0"/>
          <w:sz w:val="24"/>
          <w:szCs w:val="24"/>
          <w:highlight w:val="none"/>
        </w:rPr>
        <w:t>估价材料和工程设备的明细详见</w:t>
      </w:r>
      <w:bookmarkEnd w:id="694"/>
      <w:r>
        <w:rPr>
          <w:rStyle w:val="348"/>
          <w:rFonts w:hint="eastAsia" w:ascii="宋体" w:hAnsi="宋体" w:cs="宋体"/>
          <w:color w:val="auto"/>
          <w:kern w:val="0"/>
          <w:sz w:val="24"/>
          <w:szCs w:val="24"/>
          <w:highlight w:val="none"/>
        </w:rPr>
        <w:t>已标价工程量清单。</w:t>
      </w:r>
    </w:p>
    <w:p w14:paraId="24A77E7C">
      <w:pPr>
        <w:pStyle w:val="350"/>
        <w:spacing w:line="420" w:lineRule="exact"/>
        <w:ind w:firstLine="480" w:firstLineChars="200"/>
        <w:jc w:val="left"/>
        <w:outlineLvl w:val="4"/>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1</w:t>
      </w:r>
      <w:bookmarkStart w:id="695" w:name="_Toc318581177"/>
      <w:bookmarkEnd w:id="695"/>
      <w:bookmarkStart w:id="696" w:name="_Toc312677509"/>
      <w:bookmarkEnd w:id="696"/>
      <w:bookmarkStart w:id="697" w:name="_Toc312678035"/>
      <w:r>
        <w:rPr>
          <w:rStyle w:val="348"/>
          <w:rFonts w:hint="eastAsia" w:ascii="宋体" w:hAnsi="宋体" w:cs="宋体"/>
          <w:color w:val="auto"/>
          <w:sz w:val="24"/>
          <w:szCs w:val="24"/>
          <w:highlight w:val="none"/>
        </w:rPr>
        <w:t xml:space="preserve">0.7.1 </w:t>
      </w:r>
      <w:bookmarkEnd w:id="697"/>
      <w:r>
        <w:rPr>
          <w:rStyle w:val="348"/>
          <w:rFonts w:hint="eastAsia" w:ascii="宋体" w:hAnsi="宋体" w:cs="宋体"/>
          <w:color w:val="auto"/>
          <w:sz w:val="24"/>
          <w:szCs w:val="24"/>
          <w:highlight w:val="none"/>
        </w:rPr>
        <w:t>依法必须招标的暂估价项目</w:t>
      </w:r>
    </w:p>
    <w:p w14:paraId="1E99CA2D">
      <w:pPr>
        <w:pStyle w:val="350"/>
        <w:spacing w:line="420" w:lineRule="exact"/>
        <w:ind w:firstLine="480" w:firstLineChars="200"/>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对于依法必须招标的暂估价项目的确认和批准采取第</w:t>
      </w:r>
      <w:r>
        <w:rPr>
          <w:rStyle w:val="348"/>
          <w:rFonts w:hint="eastAsia" w:ascii="宋体" w:hAnsi="宋体" w:cs="宋体"/>
          <w:color w:val="auto"/>
          <w:sz w:val="24"/>
          <w:szCs w:val="24"/>
          <w:highlight w:val="none"/>
          <w:u w:val="single"/>
        </w:rPr>
        <w:t xml:space="preserve"> /  </w:t>
      </w:r>
      <w:r>
        <w:rPr>
          <w:rStyle w:val="348"/>
          <w:rFonts w:hint="eastAsia" w:ascii="宋体" w:hAnsi="宋体" w:cs="宋体"/>
          <w:color w:val="auto"/>
          <w:sz w:val="24"/>
          <w:szCs w:val="24"/>
          <w:highlight w:val="none"/>
        </w:rPr>
        <w:t>种方式确定。</w:t>
      </w:r>
    </w:p>
    <w:p w14:paraId="47DB5F9C">
      <w:pPr>
        <w:pStyle w:val="350"/>
        <w:spacing w:line="420" w:lineRule="exact"/>
        <w:ind w:firstLine="480" w:firstLineChars="200"/>
        <w:jc w:val="left"/>
        <w:outlineLvl w:val="4"/>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10.7.2 不属于依法必须招标的暂估价项目</w:t>
      </w:r>
    </w:p>
    <w:p w14:paraId="6299AD13">
      <w:pPr>
        <w:pStyle w:val="350"/>
        <w:spacing w:line="420" w:lineRule="exact"/>
        <w:ind w:firstLine="480" w:firstLineChars="200"/>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对于不属于依法必须招标的暂估价项目的确认和批准采取第</w:t>
      </w:r>
      <w:r>
        <w:rPr>
          <w:rStyle w:val="348"/>
          <w:rFonts w:hint="eastAsia" w:ascii="宋体" w:hAnsi="宋体" w:cs="宋体"/>
          <w:color w:val="auto"/>
          <w:sz w:val="24"/>
          <w:szCs w:val="24"/>
          <w:highlight w:val="none"/>
          <w:u w:val="single"/>
        </w:rPr>
        <w:t xml:space="preserve"> / </w:t>
      </w:r>
      <w:r>
        <w:rPr>
          <w:rStyle w:val="348"/>
          <w:rFonts w:hint="eastAsia" w:ascii="宋体" w:hAnsi="宋体" w:cs="宋体"/>
          <w:color w:val="auto"/>
          <w:sz w:val="24"/>
          <w:szCs w:val="24"/>
          <w:highlight w:val="none"/>
        </w:rPr>
        <w:t xml:space="preserve"> 种方式确定。</w:t>
      </w:r>
    </w:p>
    <w:p w14:paraId="34ABE18C">
      <w:pPr>
        <w:pStyle w:val="350"/>
        <w:spacing w:line="420" w:lineRule="exact"/>
        <w:ind w:firstLine="480" w:firstLineChars="200"/>
        <w:jc w:val="left"/>
        <w:outlineLvl w:val="5"/>
        <w:rPr>
          <w:rStyle w:val="348"/>
          <w:rFonts w:ascii="宋体" w:hAnsi="宋体" w:cs="宋体"/>
          <w:color w:val="auto"/>
          <w:kern w:val="0"/>
          <w:sz w:val="24"/>
          <w:szCs w:val="24"/>
          <w:highlight w:val="none"/>
        </w:rPr>
      </w:pPr>
      <w:r>
        <w:rPr>
          <w:rStyle w:val="348"/>
          <w:rFonts w:hint="eastAsia" w:ascii="宋体" w:hAnsi="宋体" w:cs="宋体"/>
          <w:color w:val="auto"/>
          <w:sz w:val="24"/>
          <w:szCs w:val="24"/>
          <w:highlight w:val="none"/>
        </w:rPr>
        <w:t>第3种方式：</w:t>
      </w:r>
      <w:r>
        <w:rPr>
          <w:rStyle w:val="348"/>
          <w:rFonts w:hint="eastAsia" w:ascii="宋体" w:hAnsi="宋体" w:cs="宋体"/>
          <w:color w:val="auto"/>
          <w:kern w:val="0"/>
          <w:sz w:val="24"/>
          <w:szCs w:val="24"/>
          <w:highlight w:val="none"/>
        </w:rPr>
        <w:t>承包人直接实施的暂估价项目</w:t>
      </w:r>
    </w:p>
    <w:p w14:paraId="34F75C4D">
      <w:pPr>
        <w:pStyle w:val="350"/>
        <w:spacing w:line="420" w:lineRule="exact"/>
        <w:ind w:firstLine="480" w:firstLineChars="200"/>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承包人直接实施的暂估价项目的约定：</w:t>
      </w:r>
      <w:r>
        <w:rPr>
          <w:rStyle w:val="348"/>
          <w:rFonts w:hint="eastAsia" w:ascii="宋体" w:hAnsi="宋体" w:cs="宋体"/>
          <w:color w:val="auto"/>
          <w:sz w:val="24"/>
          <w:szCs w:val="24"/>
          <w:highlight w:val="none"/>
          <w:u w:val="single"/>
        </w:rPr>
        <w:t xml:space="preserve">  无             </w:t>
      </w:r>
      <w:r>
        <w:rPr>
          <w:rStyle w:val="348"/>
          <w:rFonts w:hint="eastAsia" w:ascii="宋体" w:hAnsi="宋体" w:cs="宋体"/>
          <w:color w:val="auto"/>
          <w:sz w:val="24"/>
          <w:szCs w:val="24"/>
          <w:highlight w:val="none"/>
        </w:rPr>
        <w:t>。</w:t>
      </w:r>
    </w:p>
    <w:p w14:paraId="774504CC">
      <w:pPr>
        <w:pStyle w:val="350"/>
        <w:spacing w:line="420" w:lineRule="exact"/>
        <w:ind w:firstLine="480" w:firstLineChars="200"/>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注：</w:t>
      </w:r>
      <w:r>
        <w:rPr>
          <w:rStyle w:val="348"/>
          <w:rFonts w:hint="eastAsia" w:ascii="宋体" w:hAnsi="宋体" w:cs="宋体"/>
          <w:color w:val="auto"/>
          <w:sz w:val="24"/>
          <w:szCs w:val="24"/>
          <w:highlight w:val="none"/>
          <w:u w:val="single"/>
        </w:rPr>
        <w:t xml:space="preserve">必须按规定为本工程参保房屋建筑和市政基础设施工程安全生产责任保险，并支付保险费。备注：根据自治区住房和城乡建设厅关于印发广西壮族自治区房屋建筑和市政基础设施工程安全生产责任保险计价规定的通知（桂建发〔2023〕6 号），安全生产责任保险费按分部分项工程费及措施项目费（含单价及总价措施项目费）为计算基数乘以 0.2%计入暂估价，工程结算时，由发承包双方根据工程实际情况确认的安全生产责任保险费计入工程造价。 </w:t>
      </w:r>
    </w:p>
    <w:p w14:paraId="6A95D1F0">
      <w:pPr>
        <w:pStyle w:val="354"/>
        <w:spacing w:line="420" w:lineRule="exact"/>
        <w:outlineLvl w:val="3"/>
        <w:rPr>
          <w:rStyle w:val="348"/>
          <w:rFonts w:ascii="宋体" w:hAnsi="宋体" w:eastAsia="宋体" w:cs="宋体"/>
          <w:color w:val="auto"/>
          <w:sz w:val="24"/>
          <w:szCs w:val="24"/>
          <w:highlight w:val="none"/>
        </w:rPr>
      </w:pPr>
      <w:bookmarkStart w:id="698" w:name="_Toc6476"/>
      <w:bookmarkEnd w:id="698"/>
      <w:bookmarkStart w:id="699" w:name="_Toc373478392"/>
      <w:bookmarkEnd w:id="699"/>
      <w:bookmarkStart w:id="700" w:name="_Toc389065311"/>
      <w:bookmarkEnd w:id="700"/>
      <w:bookmarkStart w:id="701" w:name="_Toc373227745"/>
      <w:r>
        <w:rPr>
          <w:rStyle w:val="348"/>
          <w:rFonts w:hint="eastAsia" w:ascii="宋体" w:hAnsi="宋体" w:eastAsia="宋体" w:cs="宋体"/>
          <w:color w:val="auto"/>
          <w:sz w:val="24"/>
          <w:szCs w:val="24"/>
          <w:highlight w:val="none"/>
        </w:rPr>
        <w:t xml:space="preserve">10.8 </w:t>
      </w:r>
      <w:bookmarkEnd w:id="701"/>
      <w:r>
        <w:rPr>
          <w:rStyle w:val="348"/>
          <w:rFonts w:hint="eastAsia" w:ascii="宋体" w:hAnsi="宋体" w:eastAsia="宋体" w:cs="宋体"/>
          <w:color w:val="auto"/>
          <w:sz w:val="24"/>
          <w:szCs w:val="24"/>
          <w:highlight w:val="none"/>
        </w:rPr>
        <w:t>暂列金额</w:t>
      </w:r>
    </w:p>
    <w:p w14:paraId="036DA497">
      <w:pPr>
        <w:pStyle w:val="350"/>
        <w:autoSpaceDE w:val="0"/>
        <w:autoSpaceDN w:val="0"/>
        <w:spacing w:line="420" w:lineRule="exact"/>
        <w:ind w:firstLine="480" w:firstLineChars="200"/>
        <w:jc w:val="left"/>
        <w:rPr>
          <w:rStyle w:val="348"/>
          <w:rFonts w:ascii="宋体" w:hAnsi="宋体" w:cs="宋体"/>
          <w:color w:val="auto"/>
          <w:sz w:val="24"/>
          <w:szCs w:val="24"/>
          <w:highlight w:val="none"/>
          <w:u w:val="single"/>
        </w:rPr>
      </w:pPr>
      <w:r>
        <w:rPr>
          <w:rStyle w:val="348"/>
          <w:rFonts w:hint="eastAsia" w:ascii="宋体" w:hAnsi="宋体" w:cs="宋体"/>
          <w:color w:val="auto"/>
          <w:kern w:val="0"/>
          <w:sz w:val="24"/>
          <w:szCs w:val="24"/>
          <w:highlight w:val="none"/>
        </w:rPr>
        <w:t>合同当事人关于暂列金额使用的约定：</w:t>
      </w:r>
      <w:r>
        <w:rPr>
          <w:rStyle w:val="348"/>
          <w:rFonts w:hint="eastAsia" w:ascii="宋体" w:hAnsi="宋体" w:cs="宋体"/>
          <w:color w:val="auto"/>
          <w:sz w:val="24"/>
          <w:szCs w:val="24"/>
          <w:highlight w:val="none"/>
          <w:u w:val="single"/>
        </w:rPr>
        <w:t xml:space="preserve">  无               </w:t>
      </w:r>
      <w:r>
        <w:rPr>
          <w:rStyle w:val="348"/>
          <w:rFonts w:hint="eastAsia" w:ascii="宋体" w:hAnsi="宋体" w:cs="宋体"/>
          <w:color w:val="auto"/>
          <w:kern w:val="0"/>
          <w:sz w:val="24"/>
          <w:szCs w:val="24"/>
          <w:highlight w:val="none"/>
        </w:rPr>
        <w:t>。</w:t>
      </w:r>
    </w:p>
    <w:p w14:paraId="0A10C0CB">
      <w:pPr>
        <w:pStyle w:val="349"/>
        <w:numPr>
          <w:ilvl w:val="0"/>
          <w:numId w:val="2"/>
        </w:numPr>
        <w:spacing w:before="0" w:after="0" w:line="420" w:lineRule="exact"/>
        <w:outlineLvl w:val="2"/>
        <w:rPr>
          <w:rStyle w:val="348"/>
          <w:rFonts w:ascii="宋体" w:hAnsi="宋体" w:eastAsia="宋体" w:cs="宋体"/>
          <w:color w:val="auto"/>
          <w:sz w:val="24"/>
          <w:szCs w:val="24"/>
          <w:highlight w:val="none"/>
        </w:rPr>
      </w:pPr>
      <w:bookmarkStart w:id="702" w:name="_Toc15950"/>
      <w:bookmarkEnd w:id="702"/>
      <w:bookmarkStart w:id="703" w:name="_Toc389065312"/>
      <w:bookmarkEnd w:id="703"/>
      <w:bookmarkStart w:id="704" w:name="_Toc373478393"/>
      <w:bookmarkEnd w:id="704"/>
      <w:bookmarkStart w:id="705" w:name="_Toc351203643"/>
      <w:bookmarkEnd w:id="705"/>
      <w:bookmarkStart w:id="706" w:name="_Toc373227746"/>
      <w:r>
        <w:rPr>
          <w:rStyle w:val="348"/>
          <w:rFonts w:hint="eastAsia" w:ascii="宋体" w:hAnsi="宋体" w:eastAsia="宋体" w:cs="宋体"/>
          <w:color w:val="auto"/>
          <w:sz w:val="24"/>
          <w:szCs w:val="24"/>
          <w:highlight w:val="none"/>
        </w:rPr>
        <w:t>价格调整</w:t>
      </w:r>
      <w:bookmarkEnd w:id="706"/>
    </w:p>
    <w:p w14:paraId="31493717">
      <w:pPr>
        <w:pStyle w:val="350"/>
        <w:spacing w:line="420" w:lineRule="exact"/>
        <w:ind w:firstLine="480" w:firstLineChars="200"/>
        <w:jc w:val="left"/>
        <w:outlineLvl w:val="3"/>
        <w:rPr>
          <w:rStyle w:val="348"/>
          <w:rFonts w:ascii="宋体" w:hAnsi="宋体" w:cs="宋体"/>
          <w:color w:val="auto"/>
          <w:kern w:val="0"/>
          <w:sz w:val="24"/>
          <w:szCs w:val="24"/>
          <w:highlight w:val="none"/>
        </w:rPr>
      </w:pPr>
      <w:r>
        <w:rPr>
          <w:rStyle w:val="348"/>
          <w:rFonts w:hint="eastAsia" w:ascii="宋体" w:hAnsi="宋体" w:cs="宋体"/>
          <w:color w:val="auto"/>
          <w:kern w:val="0"/>
          <w:sz w:val="24"/>
          <w:szCs w:val="24"/>
          <w:highlight w:val="none"/>
        </w:rPr>
        <w:t>①法律变化引起的调整；</w:t>
      </w:r>
    </w:p>
    <w:p w14:paraId="2190F34C">
      <w:pPr>
        <w:pStyle w:val="350"/>
        <w:spacing w:line="420" w:lineRule="exact"/>
        <w:ind w:firstLine="480" w:firstLineChars="200"/>
        <w:jc w:val="left"/>
        <w:rPr>
          <w:rStyle w:val="348"/>
          <w:rFonts w:ascii="宋体" w:hAnsi="宋体" w:cs="宋体"/>
          <w:color w:val="auto"/>
          <w:kern w:val="0"/>
          <w:sz w:val="24"/>
          <w:szCs w:val="24"/>
          <w:highlight w:val="none"/>
        </w:rPr>
      </w:pPr>
      <w:r>
        <w:rPr>
          <w:rStyle w:val="348"/>
          <w:rFonts w:hint="eastAsia" w:ascii="宋体" w:hAnsi="宋体" w:cs="宋体"/>
          <w:color w:val="auto"/>
          <w:kern w:val="0"/>
          <w:sz w:val="24"/>
          <w:szCs w:val="24"/>
          <w:highlight w:val="none"/>
        </w:rPr>
        <w:t>②工程变更、项目特征不符、工程量清单缺项、工程量偏差引起的调整；</w:t>
      </w:r>
    </w:p>
    <w:p w14:paraId="602F6A67">
      <w:pPr>
        <w:pStyle w:val="350"/>
        <w:spacing w:line="420" w:lineRule="exact"/>
        <w:ind w:firstLine="480" w:firstLineChars="200"/>
        <w:jc w:val="left"/>
        <w:outlineLvl w:val="3"/>
        <w:rPr>
          <w:rStyle w:val="348"/>
          <w:rFonts w:ascii="宋体" w:hAnsi="宋体" w:cs="宋体"/>
          <w:color w:val="auto"/>
          <w:kern w:val="0"/>
          <w:sz w:val="24"/>
          <w:szCs w:val="24"/>
          <w:highlight w:val="none"/>
        </w:rPr>
      </w:pPr>
      <w:r>
        <w:rPr>
          <w:rStyle w:val="348"/>
          <w:rFonts w:hint="eastAsia" w:ascii="宋体" w:hAnsi="宋体" w:cs="宋体"/>
          <w:color w:val="auto"/>
          <w:kern w:val="0"/>
          <w:sz w:val="24"/>
          <w:szCs w:val="24"/>
          <w:highlight w:val="none"/>
        </w:rPr>
        <w:t>③计日工引起的调整。</w:t>
      </w:r>
    </w:p>
    <w:p w14:paraId="24D85956">
      <w:pPr>
        <w:pStyle w:val="354"/>
        <w:spacing w:line="420" w:lineRule="exact"/>
        <w:outlineLvl w:val="4"/>
        <w:rPr>
          <w:rStyle w:val="348"/>
          <w:rFonts w:ascii="宋体" w:hAnsi="宋体" w:eastAsia="宋体" w:cs="宋体"/>
          <w:color w:val="auto"/>
          <w:sz w:val="24"/>
          <w:szCs w:val="24"/>
          <w:highlight w:val="none"/>
        </w:rPr>
      </w:pPr>
      <w:bookmarkStart w:id="707" w:name="_Toc373227747"/>
      <w:bookmarkEnd w:id="707"/>
      <w:bookmarkStart w:id="708" w:name="_Toc296891241"/>
      <w:bookmarkEnd w:id="708"/>
      <w:bookmarkStart w:id="709" w:name="_Toc292559911"/>
      <w:bookmarkEnd w:id="709"/>
      <w:bookmarkStart w:id="710" w:name="_Toc296347200"/>
      <w:bookmarkEnd w:id="710"/>
      <w:bookmarkStart w:id="711" w:name="_Toc296891029"/>
      <w:bookmarkEnd w:id="711"/>
      <w:bookmarkStart w:id="712" w:name="_Toc300935000"/>
      <w:bookmarkEnd w:id="712"/>
      <w:bookmarkStart w:id="713" w:name="_Toc292559406"/>
      <w:bookmarkEnd w:id="713"/>
      <w:bookmarkStart w:id="714" w:name="_Toc13425"/>
      <w:bookmarkEnd w:id="714"/>
      <w:bookmarkStart w:id="715" w:name="_Toc303539157"/>
      <w:bookmarkEnd w:id="715"/>
      <w:bookmarkStart w:id="716" w:name="_Toc296944540"/>
      <w:bookmarkEnd w:id="716"/>
      <w:bookmarkStart w:id="717" w:name="_Toc297216209"/>
      <w:bookmarkEnd w:id="717"/>
      <w:bookmarkStart w:id="718" w:name="_Toc297123550"/>
      <w:bookmarkEnd w:id="718"/>
      <w:bookmarkStart w:id="719" w:name="_Toc296346702"/>
      <w:bookmarkEnd w:id="719"/>
      <w:bookmarkStart w:id="720" w:name="_Toc312678039"/>
      <w:bookmarkEnd w:id="720"/>
      <w:bookmarkStart w:id="721" w:name="_Toc297048387"/>
      <w:bookmarkEnd w:id="721"/>
      <w:bookmarkStart w:id="722" w:name="_Toc373478394"/>
      <w:bookmarkEnd w:id="722"/>
      <w:bookmarkStart w:id="723" w:name="_Toc297120501"/>
      <w:bookmarkEnd w:id="723"/>
      <w:bookmarkStart w:id="724" w:name="_Toc296503201"/>
      <w:bookmarkEnd w:id="724"/>
      <w:bookmarkStart w:id="725" w:name="_Toc304295577"/>
      <w:bookmarkEnd w:id="725"/>
      <w:bookmarkStart w:id="726" w:name="_Toc389065313"/>
      <w:r>
        <w:rPr>
          <w:rStyle w:val="348"/>
          <w:rFonts w:hint="eastAsia" w:ascii="宋体" w:hAnsi="宋体" w:eastAsia="宋体" w:cs="宋体"/>
          <w:color w:val="auto"/>
          <w:sz w:val="24"/>
          <w:szCs w:val="24"/>
          <w:highlight w:val="none"/>
        </w:rPr>
        <w:t>11.1 市场价格波动引起的调整</w:t>
      </w:r>
      <w:bookmarkEnd w:id="726"/>
    </w:p>
    <w:p w14:paraId="29077467">
      <w:pPr>
        <w:pStyle w:val="353"/>
        <w:spacing w:line="360" w:lineRule="auto"/>
        <w:ind w:firstLine="480" w:firstLineChars="200"/>
        <w:jc w:val="left"/>
        <w:rPr>
          <w:rStyle w:val="366"/>
          <w:rFonts w:ascii="宋体" w:hAnsi="宋体" w:cs="宋体"/>
          <w:color w:val="auto"/>
          <w:sz w:val="24"/>
          <w:highlight w:val="none"/>
        </w:rPr>
      </w:pPr>
      <w:r>
        <w:rPr>
          <w:rStyle w:val="366"/>
          <w:rFonts w:hint="eastAsia" w:ascii="宋体" w:hAnsi="宋体" w:cs="宋体"/>
          <w:color w:val="auto"/>
          <w:kern w:val="0"/>
          <w:sz w:val="24"/>
          <w:highlight w:val="none"/>
        </w:rPr>
        <w:t>市场价格波动是否调整合同价格的约定：市场价格波动超过双方约定的范围，调整合同价格</w:t>
      </w:r>
      <w:r>
        <w:rPr>
          <w:rStyle w:val="366"/>
          <w:rFonts w:hint="eastAsia" w:ascii="宋体" w:hAnsi="宋体" w:cs="宋体"/>
          <w:color w:val="auto"/>
          <w:sz w:val="24"/>
          <w:highlight w:val="none"/>
        </w:rPr>
        <w:t>。</w:t>
      </w:r>
    </w:p>
    <w:p w14:paraId="731FF6F4">
      <w:pPr>
        <w:pStyle w:val="353"/>
        <w:spacing w:line="360" w:lineRule="auto"/>
        <w:ind w:firstLine="480" w:firstLineChars="200"/>
        <w:jc w:val="left"/>
        <w:rPr>
          <w:rStyle w:val="366"/>
          <w:rFonts w:ascii="宋体" w:hAnsi="宋体" w:cs="宋体"/>
          <w:color w:val="auto"/>
          <w:sz w:val="24"/>
          <w:highlight w:val="none"/>
        </w:rPr>
      </w:pPr>
      <w:r>
        <w:rPr>
          <w:rStyle w:val="366"/>
          <w:rFonts w:hint="eastAsia" w:ascii="宋体" w:hAnsi="宋体" w:cs="宋体"/>
          <w:color w:val="auto"/>
          <w:sz w:val="24"/>
          <w:highlight w:val="none"/>
        </w:rPr>
        <w:t>因市场价格波动调整合同价格，采用以下第</w:t>
      </w:r>
      <w:r>
        <w:rPr>
          <w:rStyle w:val="366"/>
          <w:rFonts w:hint="eastAsia" w:ascii="宋体" w:hAnsi="宋体" w:cs="宋体"/>
          <w:color w:val="auto"/>
          <w:sz w:val="24"/>
          <w:highlight w:val="none"/>
          <w:u w:val="single"/>
        </w:rPr>
        <w:t>2</w:t>
      </w:r>
      <w:r>
        <w:rPr>
          <w:rStyle w:val="366"/>
          <w:rFonts w:hint="eastAsia" w:ascii="宋体" w:hAnsi="宋体" w:cs="宋体"/>
          <w:color w:val="auto"/>
          <w:sz w:val="24"/>
          <w:highlight w:val="none"/>
        </w:rPr>
        <w:t>种方式对合同价格进行调整：</w:t>
      </w:r>
    </w:p>
    <w:p w14:paraId="20EDC719">
      <w:pPr>
        <w:pStyle w:val="353"/>
        <w:spacing w:line="360" w:lineRule="auto"/>
        <w:ind w:firstLine="480" w:firstLineChars="200"/>
        <w:jc w:val="left"/>
        <w:outlineLvl w:val="5"/>
        <w:rPr>
          <w:rStyle w:val="366"/>
          <w:rFonts w:ascii="宋体" w:hAnsi="宋体" w:cs="宋体"/>
          <w:color w:val="auto"/>
          <w:sz w:val="24"/>
          <w:highlight w:val="none"/>
        </w:rPr>
      </w:pPr>
      <w:r>
        <w:rPr>
          <w:rStyle w:val="366"/>
          <w:rFonts w:hint="eastAsia" w:ascii="宋体" w:hAnsi="宋体" w:cs="宋体"/>
          <w:color w:val="auto"/>
          <w:sz w:val="24"/>
          <w:highlight w:val="none"/>
        </w:rPr>
        <w:t>第1种方式：采用价格指数进行价格调整。</w:t>
      </w:r>
    </w:p>
    <w:p w14:paraId="0074E473">
      <w:pPr>
        <w:pStyle w:val="353"/>
        <w:spacing w:line="360" w:lineRule="auto"/>
        <w:ind w:firstLine="480" w:firstLineChars="200"/>
        <w:jc w:val="left"/>
        <w:rPr>
          <w:rStyle w:val="366"/>
          <w:rFonts w:ascii="宋体" w:hAnsi="宋体" w:cs="宋体"/>
          <w:color w:val="auto"/>
          <w:sz w:val="24"/>
          <w:highlight w:val="none"/>
          <w:u w:val="single"/>
        </w:rPr>
      </w:pPr>
      <w:r>
        <w:rPr>
          <w:rStyle w:val="366"/>
          <w:rFonts w:hint="eastAsia" w:ascii="宋体" w:hAnsi="宋体" w:cs="宋体"/>
          <w:color w:val="auto"/>
          <w:sz w:val="24"/>
          <w:highlight w:val="none"/>
        </w:rPr>
        <w:t>关于各可调因子、定值和变值权重，以及基本价格指数及其来源的约定：</w:t>
      </w:r>
      <w:r>
        <w:rPr>
          <w:rStyle w:val="366"/>
          <w:rFonts w:hint="eastAsia" w:ascii="宋体" w:hAnsi="宋体" w:cs="宋体"/>
          <w:color w:val="auto"/>
          <w:sz w:val="24"/>
          <w:highlight w:val="none"/>
          <w:u w:val="single"/>
        </w:rPr>
        <w:t xml:space="preserve">      /       </w:t>
      </w:r>
      <w:r>
        <w:rPr>
          <w:rStyle w:val="366"/>
          <w:rFonts w:hint="eastAsia" w:ascii="宋体" w:hAnsi="宋体" w:cs="宋体"/>
          <w:color w:val="auto"/>
          <w:sz w:val="24"/>
          <w:highlight w:val="none"/>
        </w:rPr>
        <w:t xml:space="preserve">；  </w:t>
      </w:r>
    </w:p>
    <w:p w14:paraId="524ED1D0">
      <w:pPr>
        <w:pStyle w:val="353"/>
        <w:spacing w:line="360" w:lineRule="auto"/>
        <w:ind w:firstLine="480" w:firstLineChars="200"/>
        <w:jc w:val="left"/>
        <w:outlineLvl w:val="5"/>
        <w:rPr>
          <w:rStyle w:val="366"/>
          <w:rFonts w:ascii="宋体" w:hAnsi="宋体" w:cs="宋体"/>
          <w:color w:val="auto"/>
          <w:sz w:val="24"/>
          <w:highlight w:val="none"/>
        </w:rPr>
      </w:pPr>
      <w:r>
        <w:rPr>
          <w:rStyle w:val="366"/>
          <w:rFonts w:hint="eastAsia" w:ascii="宋体" w:hAnsi="宋体" w:cs="宋体"/>
          <w:color w:val="auto"/>
          <w:sz w:val="24"/>
          <w:highlight w:val="none"/>
        </w:rPr>
        <w:t>第2种方式：采用造价信息进行价格调整。</w:t>
      </w:r>
    </w:p>
    <w:p w14:paraId="3386EB9E">
      <w:pPr>
        <w:pStyle w:val="353"/>
        <w:spacing w:line="480" w:lineRule="exact"/>
        <w:ind w:firstLine="480" w:firstLineChars="200"/>
        <w:jc w:val="left"/>
        <w:rPr>
          <w:rStyle w:val="366"/>
          <w:rFonts w:ascii="宋体" w:hAnsi="宋体" w:cs="宋体"/>
          <w:color w:val="auto"/>
          <w:sz w:val="24"/>
          <w:highlight w:val="none"/>
        </w:rPr>
      </w:pPr>
      <w:r>
        <w:rPr>
          <w:rStyle w:val="366"/>
          <w:rFonts w:hint="eastAsia" w:ascii="宋体" w:hAnsi="宋体" w:cs="宋体"/>
          <w:color w:val="auto"/>
          <w:sz w:val="24"/>
          <w:highlight w:val="none"/>
        </w:rPr>
        <w:t>合同履行期间，因人工、材料、工程设备和机械台班价格波动影响合同价格时，人工、机械使用费按照国家或省、自治区、直辖市建设行政管理部门、行业建设管理部门或其授权的工程造价管理机构发布的人工、机械使用费系数进行调整；需要进行价格调整的材料，单价按施工期间《南宁市建设工程造价信息》发布的价格作为调整依据。无信息价的按市场价。</w:t>
      </w:r>
    </w:p>
    <w:p w14:paraId="670C22C1">
      <w:pPr>
        <w:pStyle w:val="353"/>
        <w:spacing w:line="480" w:lineRule="exact"/>
        <w:ind w:firstLine="480" w:firstLineChars="200"/>
        <w:jc w:val="left"/>
        <w:rPr>
          <w:rStyle w:val="366"/>
          <w:rFonts w:ascii="宋体" w:hAnsi="宋体" w:cs="宋体"/>
          <w:color w:val="auto"/>
          <w:sz w:val="24"/>
          <w:highlight w:val="none"/>
        </w:rPr>
      </w:pPr>
      <w:r>
        <w:rPr>
          <w:rStyle w:val="366"/>
          <w:rFonts w:hint="eastAsia" w:ascii="宋体" w:hAnsi="宋体" w:cs="宋体"/>
          <w:color w:val="auto"/>
          <w:sz w:val="24"/>
          <w:highlight w:val="none"/>
        </w:rPr>
        <w:t>（1）人工单价发生变化且符合省级或行业建设主管部门发布的人工费调整规定，合同当事人应按照省级或行业建设主管部门或其授权的工程造价管理机构发布的人工费等文件调整合同价格，但承包人对人工费或人工单价的报价高于发布价格的除外。</w:t>
      </w:r>
    </w:p>
    <w:p w14:paraId="7A16A07E">
      <w:pPr>
        <w:pStyle w:val="353"/>
        <w:spacing w:line="480" w:lineRule="exact"/>
        <w:ind w:firstLine="480" w:firstLineChars="200"/>
        <w:jc w:val="left"/>
        <w:rPr>
          <w:rStyle w:val="366"/>
          <w:rFonts w:ascii="宋体" w:hAnsi="宋体" w:cs="宋体"/>
          <w:color w:val="auto"/>
          <w:sz w:val="24"/>
          <w:highlight w:val="none"/>
        </w:rPr>
      </w:pPr>
      <w:r>
        <w:rPr>
          <w:rStyle w:val="366"/>
          <w:rFonts w:hint="eastAsia" w:ascii="宋体" w:hAnsi="宋体" w:cs="宋体"/>
          <w:color w:val="auto"/>
          <w:sz w:val="24"/>
          <w:highlight w:val="none"/>
        </w:rPr>
        <w:t>（2）材料、工程设备价格变化的价款调整按照发包人提供的基准价格，按以下风险范围规定执行:</w:t>
      </w:r>
    </w:p>
    <w:p w14:paraId="32108E2C">
      <w:pPr>
        <w:pStyle w:val="353"/>
        <w:spacing w:line="480" w:lineRule="exact"/>
        <w:ind w:firstLine="480" w:firstLineChars="200"/>
        <w:jc w:val="left"/>
        <w:rPr>
          <w:rStyle w:val="366"/>
          <w:rFonts w:ascii="宋体" w:hAnsi="宋体" w:cs="宋体"/>
          <w:color w:val="auto"/>
          <w:sz w:val="24"/>
          <w:highlight w:val="none"/>
        </w:rPr>
      </w:pPr>
      <w:r>
        <w:rPr>
          <w:rStyle w:val="366"/>
          <w:rFonts w:hint="eastAsia" w:ascii="宋体" w:hAnsi="宋体" w:cs="宋体"/>
          <w:color w:val="auto"/>
          <w:sz w:val="24"/>
          <w:highlight w:val="none"/>
        </w:rPr>
        <w:t>①承包人在已标价工程量清单或预算书中载明材料单价低于基准价格的：除专用合同条款另有约定外，合同履行期间材料单价涨幅以基准价格为基础超过5%时，或材料单价跌幅以在已标价工程量清单或预算书中载明的材料单价为基础超过5%时，其超过部分据实调整。</w:t>
      </w:r>
    </w:p>
    <w:p w14:paraId="7934BA1E">
      <w:pPr>
        <w:pStyle w:val="353"/>
        <w:spacing w:line="480" w:lineRule="exact"/>
        <w:ind w:firstLine="480" w:firstLineChars="200"/>
        <w:jc w:val="left"/>
        <w:rPr>
          <w:rStyle w:val="366"/>
          <w:rFonts w:ascii="宋体" w:hAnsi="宋体" w:cs="宋体"/>
          <w:color w:val="auto"/>
          <w:sz w:val="24"/>
          <w:highlight w:val="none"/>
        </w:rPr>
      </w:pPr>
      <w:r>
        <w:rPr>
          <w:rStyle w:val="366"/>
          <w:rFonts w:hint="eastAsia" w:ascii="宋体" w:hAnsi="宋体" w:cs="宋体"/>
          <w:color w:val="auto"/>
          <w:sz w:val="24"/>
          <w:highlight w:val="none"/>
        </w:rPr>
        <w:t>②承包人在已标价工程量清单或预算书中载明材料单价高于基准价格的：除专用合同条款另有约定外，合同履行期间材料单价跌幅以基准价格为基础超过5%时，材料单价涨幅以在已标价工程量清单或预算书中载明材料单价为基础超过5%时，其超过部分据实调整。</w:t>
      </w:r>
    </w:p>
    <w:p w14:paraId="4BB20490">
      <w:pPr>
        <w:pStyle w:val="353"/>
        <w:spacing w:line="480" w:lineRule="exact"/>
        <w:ind w:firstLine="480" w:firstLineChars="200"/>
        <w:jc w:val="left"/>
        <w:rPr>
          <w:rStyle w:val="366"/>
          <w:rFonts w:ascii="宋体" w:hAnsi="宋体" w:cs="宋体"/>
          <w:color w:val="auto"/>
          <w:sz w:val="24"/>
          <w:highlight w:val="none"/>
        </w:rPr>
      </w:pPr>
      <w:r>
        <w:rPr>
          <w:rStyle w:val="366"/>
          <w:rFonts w:hint="eastAsia" w:ascii="宋体" w:hAnsi="宋体" w:cs="宋体"/>
          <w:color w:val="auto"/>
          <w:sz w:val="24"/>
          <w:highlight w:val="none"/>
        </w:rPr>
        <w:t>③承包人在已标价工程量清单或预算书中载明材料单价等于基准价格的：除专用合同条款另有约定外，合同履行期间材料单价涨跌幅以基准价格为基础超过±5%时，其超过部分据实调整。</w:t>
      </w:r>
    </w:p>
    <w:p w14:paraId="73FDB7D7">
      <w:pPr>
        <w:pStyle w:val="353"/>
        <w:spacing w:line="480" w:lineRule="exact"/>
        <w:ind w:firstLine="480" w:firstLineChars="200"/>
        <w:jc w:val="left"/>
        <w:rPr>
          <w:rStyle w:val="366"/>
          <w:rFonts w:ascii="宋体" w:hAnsi="宋体" w:cs="宋体"/>
          <w:color w:val="auto"/>
          <w:sz w:val="24"/>
          <w:highlight w:val="none"/>
        </w:rPr>
      </w:pPr>
      <w:r>
        <w:rPr>
          <w:rStyle w:val="366"/>
          <w:rFonts w:hint="eastAsia" w:ascii="宋体" w:hAnsi="宋体" w:cs="宋体"/>
          <w:color w:val="auto"/>
          <w:sz w:val="24"/>
          <w:highlight w:val="none"/>
        </w:rPr>
        <w:t>④承包人应在采购材料前将采购数量和新的材料单价报发包人核对，发包人确认用于工程时，发包人应确认采购材料的数量和单价。发包人在收到承包人报送的确认资料后5天内不予答复的视为认可，作为调整合同价格的依据。未经发包人事先核对，承包人自行采购材料的，发包人有权不予调整合同价格。发包人同意的，可以调整合同价格。</w:t>
      </w:r>
    </w:p>
    <w:p w14:paraId="13E47BFB">
      <w:pPr>
        <w:pStyle w:val="353"/>
        <w:spacing w:line="480" w:lineRule="exact"/>
        <w:ind w:firstLine="480" w:firstLineChars="200"/>
        <w:rPr>
          <w:rStyle w:val="366"/>
          <w:rFonts w:ascii="宋体" w:hAnsi="宋体" w:cs="宋体"/>
          <w:color w:val="auto"/>
          <w:sz w:val="24"/>
          <w:highlight w:val="none"/>
        </w:rPr>
      </w:pPr>
      <w:r>
        <w:rPr>
          <w:rStyle w:val="366"/>
          <w:rFonts w:hint="eastAsia" w:ascii="宋体" w:hAnsi="宋体" w:cs="宋体"/>
          <w:color w:val="auto"/>
          <w:sz w:val="24"/>
          <w:highlight w:val="none"/>
        </w:rPr>
        <w:t>前述基准价格是指由发包人在竞争性</w:t>
      </w:r>
      <w:r>
        <w:rPr>
          <w:rStyle w:val="366"/>
          <w:rFonts w:hint="eastAsia" w:ascii="宋体" w:hAnsi="宋体" w:cs="宋体"/>
          <w:color w:val="auto"/>
          <w:sz w:val="24"/>
          <w:highlight w:val="none"/>
          <w:lang w:eastAsia="zh-CN"/>
        </w:rPr>
        <w:t>磋商</w:t>
      </w:r>
      <w:r>
        <w:rPr>
          <w:rStyle w:val="366"/>
          <w:rFonts w:hint="eastAsia" w:ascii="宋体" w:hAnsi="宋体" w:cs="宋体"/>
          <w:color w:val="auto"/>
          <w:sz w:val="24"/>
          <w:highlight w:val="none"/>
        </w:rPr>
        <w:t>文件或专用合同条款中给定的材料、工程设备的价格，该价格原则上应当按照省级或行业建设主管部门或其授权的工程造价管理机构发布的信息价编制。</w:t>
      </w:r>
    </w:p>
    <w:p w14:paraId="21775859">
      <w:pPr>
        <w:pStyle w:val="353"/>
        <w:spacing w:line="480" w:lineRule="exact"/>
        <w:ind w:firstLine="646"/>
        <w:jc w:val="left"/>
        <w:outlineLvl w:val="5"/>
        <w:rPr>
          <w:rStyle w:val="366"/>
          <w:rFonts w:ascii="宋体" w:hAnsi="宋体" w:cs="宋体"/>
          <w:color w:val="auto"/>
          <w:sz w:val="24"/>
          <w:highlight w:val="none"/>
        </w:rPr>
      </w:pPr>
      <w:r>
        <w:rPr>
          <w:rStyle w:val="366"/>
          <w:rFonts w:hint="eastAsia" w:ascii="宋体" w:hAnsi="宋体" w:cs="宋体"/>
          <w:color w:val="auto"/>
          <w:sz w:val="24"/>
          <w:highlight w:val="none"/>
        </w:rPr>
        <w:t>第3种方式：</w:t>
      </w:r>
      <w:r>
        <w:rPr>
          <w:rStyle w:val="366"/>
          <w:rFonts w:hint="eastAsia" w:ascii="宋体" w:hAnsi="宋体" w:cs="宋体"/>
          <w:color w:val="auto"/>
          <w:sz w:val="24"/>
          <w:highlight w:val="none"/>
          <w:u w:val="single"/>
        </w:rPr>
        <w:t xml:space="preserve">    无    </w:t>
      </w:r>
      <w:r>
        <w:rPr>
          <w:rStyle w:val="366"/>
          <w:rFonts w:hint="eastAsia" w:ascii="宋体" w:hAnsi="宋体" w:cs="宋体"/>
          <w:color w:val="auto"/>
          <w:sz w:val="24"/>
          <w:highlight w:val="none"/>
        </w:rPr>
        <w:t>。</w:t>
      </w:r>
    </w:p>
    <w:p w14:paraId="1C73312A">
      <w:pPr>
        <w:pStyle w:val="363"/>
        <w:spacing w:line="420" w:lineRule="exact"/>
        <w:ind w:firstLine="645"/>
        <w:jc w:val="left"/>
        <w:rPr>
          <w:rStyle w:val="348"/>
          <w:rFonts w:ascii="宋体" w:hAnsi="宋体" w:cs="宋体"/>
          <w:color w:val="auto"/>
          <w:sz w:val="24"/>
          <w:szCs w:val="24"/>
          <w:highlight w:val="none"/>
        </w:rPr>
      </w:pPr>
    </w:p>
    <w:p w14:paraId="370E4CC4">
      <w:pPr>
        <w:pStyle w:val="349"/>
        <w:spacing w:before="0" w:after="0" w:line="420" w:lineRule="exact"/>
        <w:outlineLvl w:val="2"/>
        <w:rPr>
          <w:rStyle w:val="348"/>
          <w:rFonts w:ascii="宋体" w:hAnsi="宋体" w:eastAsia="宋体" w:cs="宋体"/>
          <w:color w:val="auto"/>
          <w:sz w:val="24"/>
          <w:szCs w:val="24"/>
          <w:highlight w:val="none"/>
        </w:rPr>
      </w:pPr>
      <w:bookmarkStart w:id="727" w:name="_Toc292559915"/>
      <w:bookmarkEnd w:id="727"/>
      <w:bookmarkStart w:id="728" w:name="_Toc297123552"/>
      <w:bookmarkEnd w:id="728"/>
      <w:bookmarkStart w:id="729" w:name="_Toc296891033"/>
      <w:bookmarkEnd w:id="729"/>
      <w:bookmarkStart w:id="730" w:name="_Toc297120505"/>
      <w:bookmarkEnd w:id="730"/>
      <w:bookmarkStart w:id="731" w:name="_Toc296503205"/>
      <w:bookmarkEnd w:id="731"/>
      <w:bookmarkStart w:id="732" w:name="_Toc303539159"/>
      <w:bookmarkEnd w:id="732"/>
      <w:bookmarkStart w:id="733" w:name="_Toc296347204"/>
      <w:bookmarkEnd w:id="733"/>
      <w:bookmarkStart w:id="734" w:name="_Toc351203644"/>
      <w:bookmarkEnd w:id="734"/>
      <w:bookmarkStart w:id="735" w:name="_Toc296891245"/>
      <w:bookmarkEnd w:id="735"/>
      <w:bookmarkStart w:id="736" w:name="_Toc296944544"/>
      <w:bookmarkEnd w:id="736"/>
      <w:bookmarkStart w:id="737" w:name="_Toc300935002"/>
      <w:bookmarkEnd w:id="737"/>
      <w:bookmarkStart w:id="738" w:name="_Toc296346706"/>
      <w:bookmarkEnd w:id="738"/>
      <w:bookmarkStart w:id="739" w:name="_Toc292559410"/>
      <w:bookmarkEnd w:id="739"/>
      <w:bookmarkStart w:id="740" w:name="_Toc297048391"/>
      <w:bookmarkEnd w:id="740"/>
      <w:bookmarkStart w:id="741" w:name="_Toc297216211"/>
      <w:bookmarkEnd w:id="741"/>
      <w:bookmarkStart w:id="742" w:name="_Toc373227748"/>
      <w:bookmarkEnd w:id="742"/>
      <w:bookmarkStart w:id="743" w:name="_Toc4351"/>
      <w:bookmarkEnd w:id="743"/>
      <w:bookmarkStart w:id="744" w:name="_Toc312678040"/>
      <w:bookmarkEnd w:id="744"/>
      <w:bookmarkStart w:id="745" w:name="_Toc373478395"/>
      <w:bookmarkEnd w:id="745"/>
      <w:bookmarkStart w:id="746" w:name="_Toc304295579"/>
      <w:r>
        <w:rPr>
          <w:rStyle w:val="348"/>
          <w:rFonts w:hint="eastAsia" w:ascii="宋体" w:hAnsi="宋体" w:eastAsia="宋体" w:cs="宋体"/>
          <w:color w:val="auto"/>
          <w:sz w:val="24"/>
          <w:szCs w:val="24"/>
          <w:highlight w:val="none"/>
        </w:rPr>
        <w:t xml:space="preserve">12. </w:t>
      </w:r>
      <w:bookmarkEnd w:id="746"/>
      <w:r>
        <w:rPr>
          <w:rStyle w:val="348"/>
          <w:rFonts w:hint="eastAsia" w:ascii="宋体" w:hAnsi="宋体" w:eastAsia="宋体" w:cs="宋体"/>
          <w:color w:val="auto"/>
          <w:sz w:val="24"/>
          <w:szCs w:val="24"/>
          <w:highlight w:val="none"/>
        </w:rPr>
        <w:t>合同价格、计量与支付</w:t>
      </w:r>
    </w:p>
    <w:p w14:paraId="66911C52">
      <w:pPr>
        <w:pStyle w:val="354"/>
        <w:spacing w:line="420" w:lineRule="exact"/>
        <w:outlineLvl w:val="3"/>
        <w:rPr>
          <w:rStyle w:val="348"/>
          <w:rFonts w:ascii="宋体" w:hAnsi="宋体" w:eastAsia="宋体" w:cs="宋体"/>
          <w:color w:val="auto"/>
          <w:sz w:val="24"/>
          <w:szCs w:val="24"/>
          <w:highlight w:val="none"/>
        </w:rPr>
      </w:pPr>
      <w:bookmarkStart w:id="747" w:name="_Toc297216212"/>
      <w:bookmarkEnd w:id="747"/>
      <w:bookmarkStart w:id="748" w:name="_Toc312678041"/>
      <w:bookmarkEnd w:id="748"/>
      <w:bookmarkStart w:id="749" w:name="_Toc296347205"/>
      <w:bookmarkEnd w:id="749"/>
      <w:bookmarkStart w:id="750" w:name="_Toc297120506"/>
      <w:bookmarkEnd w:id="750"/>
      <w:bookmarkStart w:id="751" w:name="_Toc296944545"/>
      <w:bookmarkEnd w:id="751"/>
      <w:bookmarkStart w:id="752" w:name="_Toc304295580"/>
      <w:bookmarkEnd w:id="752"/>
      <w:bookmarkStart w:id="753" w:name="_Toc292559916"/>
      <w:bookmarkEnd w:id="753"/>
      <w:bookmarkStart w:id="754" w:name="_Toc297048392"/>
      <w:bookmarkEnd w:id="754"/>
      <w:bookmarkStart w:id="755" w:name="_Toc303539160"/>
      <w:bookmarkEnd w:id="755"/>
      <w:bookmarkStart w:id="756" w:name="_Toc296503206"/>
      <w:bookmarkEnd w:id="756"/>
      <w:bookmarkStart w:id="757" w:name="_Toc300935003"/>
      <w:bookmarkEnd w:id="757"/>
      <w:bookmarkStart w:id="758" w:name="_Toc389065314"/>
      <w:bookmarkEnd w:id="758"/>
      <w:bookmarkStart w:id="759" w:name="_Toc297123553"/>
      <w:bookmarkEnd w:id="759"/>
      <w:bookmarkStart w:id="760" w:name="_Toc296346707"/>
      <w:bookmarkEnd w:id="760"/>
      <w:bookmarkStart w:id="761" w:name="_Toc292559411"/>
      <w:bookmarkEnd w:id="761"/>
      <w:bookmarkStart w:id="762" w:name="_Toc373227749"/>
      <w:bookmarkEnd w:id="762"/>
      <w:bookmarkStart w:id="763" w:name="_Toc13093"/>
      <w:bookmarkEnd w:id="763"/>
      <w:bookmarkStart w:id="764" w:name="_Toc296891246"/>
      <w:bookmarkEnd w:id="764"/>
      <w:bookmarkStart w:id="765" w:name="_Toc373478396"/>
      <w:bookmarkEnd w:id="765"/>
      <w:bookmarkStart w:id="766" w:name="_Toc296891034"/>
      <w:bookmarkEnd w:id="766"/>
      <w:bookmarkStart w:id="767" w:name="_Toc267251461"/>
      <w:r>
        <w:rPr>
          <w:rStyle w:val="348"/>
          <w:rFonts w:hint="eastAsia" w:ascii="宋体" w:hAnsi="宋体" w:eastAsia="宋体" w:cs="宋体"/>
          <w:color w:val="auto"/>
          <w:sz w:val="24"/>
          <w:szCs w:val="24"/>
          <w:highlight w:val="none"/>
        </w:rPr>
        <w:t xml:space="preserve">12.1 </w:t>
      </w:r>
      <w:bookmarkEnd w:id="767"/>
      <w:r>
        <w:rPr>
          <w:rStyle w:val="348"/>
          <w:rFonts w:hint="eastAsia" w:ascii="宋体" w:hAnsi="宋体" w:eastAsia="宋体" w:cs="宋体"/>
          <w:color w:val="auto"/>
          <w:sz w:val="24"/>
          <w:szCs w:val="24"/>
          <w:highlight w:val="none"/>
        </w:rPr>
        <w:t>合同价格形式</w:t>
      </w:r>
    </w:p>
    <w:p w14:paraId="7E3F8534">
      <w:pPr>
        <w:pStyle w:val="350"/>
        <w:spacing w:line="420" w:lineRule="exact"/>
        <w:ind w:firstLine="480" w:firstLineChars="200"/>
        <w:jc w:val="left"/>
        <w:rPr>
          <w:rStyle w:val="348"/>
          <w:rFonts w:ascii="宋体" w:hAnsi="宋体" w:cs="宋体"/>
          <w:color w:val="auto"/>
          <w:sz w:val="24"/>
          <w:szCs w:val="24"/>
          <w:highlight w:val="none"/>
        </w:rPr>
      </w:pPr>
      <w:bookmarkStart w:id="768" w:name="_Toc297120507"/>
      <w:bookmarkEnd w:id="768"/>
      <w:bookmarkStart w:id="769" w:name="_Toc296503207"/>
      <w:bookmarkEnd w:id="769"/>
      <w:bookmarkStart w:id="770" w:name="_Toc304295581"/>
      <w:bookmarkEnd w:id="770"/>
      <w:bookmarkStart w:id="771" w:name="_Toc297048393"/>
      <w:bookmarkEnd w:id="771"/>
      <w:bookmarkStart w:id="772" w:name="_Toc312678042"/>
      <w:bookmarkEnd w:id="772"/>
      <w:bookmarkStart w:id="773" w:name="_Toc296891035"/>
      <w:bookmarkEnd w:id="773"/>
      <w:bookmarkStart w:id="774" w:name="_Toc389065315"/>
      <w:bookmarkEnd w:id="774"/>
      <w:bookmarkStart w:id="775" w:name="_Toc373227750"/>
      <w:bookmarkEnd w:id="775"/>
      <w:bookmarkStart w:id="776" w:name="_Toc297216213"/>
      <w:bookmarkEnd w:id="776"/>
      <w:bookmarkStart w:id="777" w:name="_Toc297123554"/>
      <w:bookmarkEnd w:id="777"/>
      <w:bookmarkStart w:id="778" w:name="_Toc296346708"/>
      <w:bookmarkEnd w:id="778"/>
      <w:bookmarkStart w:id="779" w:name="_Toc292559412"/>
      <w:bookmarkEnd w:id="779"/>
      <w:bookmarkStart w:id="780" w:name="_Toc303539161"/>
      <w:bookmarkEnd w:id="780"/>
      <w:bookmarkStart w:id="781" w:name="_Toc300935004"/>
      <w:bookmarkEnd w:id="781"/>
      <w:bookmarkStart w:id="782" w:name="_Toc296891247"/>
      <w:bookmarkEnd w:id="782"/>
      <w:bookmarkStart w:id="783" w:name="_Toc296347206"/>
      <w:bookmarkEnd w:id="783"/>
      <w:bookmarkStart w:id="784" w:name="_Toc296944546"/>
      <w:bookmarkEnd w:id="784"/>
      <w:bookmarkStart w:id="785" w:name="_Toc292559917"/>
      <w:bookmarkEnd w:id="785"/>
      <w:bookmarkStart w:id="786" w:name="_Toc373478397"/>
      <w:r>
        <w:rPr>
          <w:rStyle w:val="348"/>
          <w:rFonts w:hint="eastAsia" w:ascii="宋体" w:hAnsi="宋体" w:cs="宋体"/>
          <w:color w:val="auto"/>
          <w:sz w:val="24"/>
          <w:szCs w:val="24"/>
          <w:highlight w:val="none"/>
        </w:rPr>
        <w:t>本工程采用</w:t>
      </w:r>
      <w:bookmarkEnd w:id="786"/>
      <w:r>
        <w:rPr>
          <w:rStyle w:val="348"/>
          <w:rFonts w:hint="eastAsia" w:ascii="宋体" w:hAnsi="宋体" w:cs="宋体"/>
          <w:color w:val="auto"/>
          <w:sz w:val="24"/>
          <w:szCs w:val="24"/>
          <w:highlight w:val="none"/>
          <w:u w:val="single"/>
        </w:rPr>
        <w:t xml:space="preserve"> 固定单价 </w:t>
      </w:r>
      <w:r>
        <w:rPr>
          <w:rStyle w:val="348"/>
          <w:rFonts w:hint="eastAsia" w:ascii="宋体" w:hAnsi="宋体" w:cs="宋体"/>
          <w:color w:val="auto"/>
          <w:sz w:val="24"/>
          <w:szCs w:val="24"/>
          <w:highlight w:val="none"/>
        </w:rPr>
        <w:t>合同价格形式，合同价格包含增值税，本工程计价时采用的增值税计税方法为：☑一般计税法   □简易计税法。</w:t>
      </w:r>
    </w:p>
    <w:p w14:paraId="1F2F2286">
      <w:pPr>
        <w:pStyle w:val="350"/>
        <w:spacing w:line="420" w:lineRule="exact"/>
        <w:ind w:firstLine="480" w:firstLineChars="200"/>
        <w:jc w:val="left"/>
        <w:outlineLvl w:val="4"/>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（1）单价合同。</w:t>
      </w:r>
    </w:p>
    <w:p w14:paraId="69478CCF">
      <w:pPr>
        <w:pStyle w:val="350"/>
        <w:spacing w:line="420" w:lineRule="exact"/>
        <w:ind w:firstLine="480" w:firstLineChars="200"/>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采用综合单价合同方式时，工程量按实际结算。</w:t>
      </w:r>
    </w:p>
    <w:p w14:paraId="637F4193">
      <w:pPr>
        <w:pStyle w:val="350"/>
        <w:spacing w:line="420" w:lineRule="exact"/>
        <w:ind w:firstLine="480" w:firstLineChars="200"/>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综合单价包含的风险范围：</w:t>
      </w:r>
      <w:r>
        <w:rPr>
          <w:rStyle w:val="348"/>
          <w:rFonts w:hint="eastAsia" w:ascii="宋体" w:hAnsi="宋体" w:cs="宋体"/>
          <w:color w:val="auto"/>
          <w:sz w:val="24"/>
          <w:szCs w:val="24"/>
          <w:highlight w:val="none"/>
          <w:u w:val="single"/>
        </w:rPr>
        <w:t>除工程变更、项目特征不符、工程量清单缺项、工程量偏差、政策性调整、本工程《承包人提供主要材料和设备一览表》中约定的材料和设备价格变动风险以外的其他风险因素。</w:t>
      </w:r>
    </w:p>
    <w:p w14:paraId="3D5C5AB4">
      <w:pPr>
        <w:pStyle w:val="350"/>
        <w:spacing w:line="420" w:lineRule="exact"/>
        <w:ind w:firstLine="480" w:firstLineChars="200"/>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风险范围以外合同价格的调整方法：</w:t>
      </w:r>
    </w:p>
    <w:p w14:paraId="450F7833">
      <w:pPr>
        <w:pStyle w:val="350"/>
        <w:spacing w:line="420" w:lineRule="exact"/>
        <w:ind w:firstLine="480" w:firstLineChars="200"/>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①工程变更、项目特征不符、工程量清单缺项：按10.4.1变更估价原则的约定调整。</w:t>
      </w:r>
    </w:p>
    <w:p w14:paraId="302544F6">
      <w:pPr>
        <w:pStyle w:val="350"/>
        <w:spacing w:line="420" w:lineRule="exact"/>
        <w:ind w:firstLine="480" w:firstLineChars="200"/>
        <w:jc w:val="left"/>
        <w:outlineLvl w:val="5"/>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②工程量偏差：按1.13工程量清单错误修正的约定调整。</w:t>
      </w:r>
    </w:p>
    <w:p w14:paraId="2A8A1EEE">
      <w:pPr>
        <w:pStyle w:val="350"/>
        <w:spacing w:line="420" w:lineRule="exact"/>
        <w:ind w:firstLine="480" w:firstLineChars="200"/>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③政策性调整：按自治区住房和城乡建设厅或工程所在地住房城乡建设主管部门颁布的文件执行。</w:t>
      </w:r>
    </w:p>
    <w:p w14:paraId="4810D59E">
      <w:pPr>
        <w:pStyle w:val="350"/>
        <w:spacing w:line="420" w:lineRule="exact"/>
        <w:ind w:firstLine="480" w:firstLineChars="200"/>
        <w:jc w:val="left"/>
        <w:outlineLvl w:val="5"/>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④材料价格风险：按11.1的约定调整。</w:t>
      </w:r>
    </w:p>
    <w:p w14:paraId="0256A04C">
      <w:pPr>
        <w:pStyle w:val="363"/>
        <w:spacing w:line="420" w:lineRule="exact"/>
        <w:ind w:firstLine="480" w:firstLineChars="200"/>
        <w:jc w:val="left"/>
        <w:rPr>
          <w:rStyle w:val="348"/>
          <w:rFonts w:ascii="宋体" w:hAnsi="宋体" w:cs="宋体"/>
          <w:b/>
          <w:bCs/>
          <w:color w:val="auto"/>
          <w:kern w:val="0"/>
          <w:sz w:val="24"/>
          <w:szCs w:val="24"/>
          <w:highlight w:val="none"/>
          <w:u w:val="single"/>
        </w:rPr>
      </w:pPr>
      <w:r>
        <w:rPr>
          <w:rStyle w:val="348"/>
          <w:rFonts w:hint="eastAsia" w:ascii="宋体" w:hAnsi="宋体" w:cs="宋体"/>
          <w:color w:val="auto"/>
          <w:sz w:val="24"/>
          <w:szCs w:val="24"/>
          <w:highlight w:val="none"/>
        </w:rPr>
        <w:t>⑤其它：</w:t>
      </w:r>
      <w:r>
        <w:rPr>
          <w:rStyle w:val="348"/>
          <w:rFonts w:hint="eastAsia" w:ascii="宋体" w:hAnsi="宋体" w:cs="宋体"/>
          <w:b/>
          <w:bCs/>
          <w:color w:val="auto"/>
          <w:kern w:val="0"/>
          <w:sz w:val="24"/>
          <w:szCs w:val="24"/>
          <w:highlight w:val="none"/>
          <w:u w:val="single"/>
        </w:rPr>
        <w:t>本工程可以调整的主要材料：</w:t>
      </w:r>
      <w:r>
        <w:rPr>
          <w:rStyle w:val="348"/>
          <w:rFonts w:hint="eastAsia" w:ascii="宋体" w:hAnsi="宋体" w:cs="宋体"/>
          <w:b/>
          <w:bCs/>
          <w:color w:val="auto"/>
          <w:sz w:val="24"/>
          <w:szCs w:val="24"/>
          <w:highlight w:val="none"/>
          <w:u w:val="single"/>
        </w:rPr>
        <w:t>钢材、水泥、砂、石、商品砼、沥青砼</w:t>
      </w:r>
      <w:r>
        <w:rPr>
          <w:rStyle w:val="348"/>
          <w:rFonts w:hint="eastAsia" w:ascii="宋体" w:hAnsi="宋体" w:cs="宋体"/>
          <w:b/>
          <w:bCs/>
          <w:color w:val="auto"/>
          <w:kern w:val="0"/>
          <w:sz w:val="24"/>
          <w:szCs w:val="24"/>
          <w:highlight w:val="none"/>
          <w:u w:val="single"/>
        </w:rPr>
        <w:t>。前述材料以《南宁市建设工程造价信息》</w:t>
      </w:r>
      <w:r>
        <w:rPr>
          <w:rStyle w:val="348"/>
          <w:rFonts w:hint="eastAsia" w:ascii="宋体" w:hAnsi="宋体" w:cs="宋体"/>
          <w:b/>
          <w:bCs/>
          <w:color w:val="auto"/>
          <w:sz w:val="24"/>
          <w:szCs w:val="24"/>
          <w:highlight w:val="none"/>
          <w:u w:val="single"/>
        </w:rPr>
        <w:t>2026年1月下半月</w:t>
      </w:r>
      <w:r>
        <w:rPr>
          <w:rStyle w:val="348"/>
          <w:rFonts w:hint="eastAsia" w:ascii="宋体" w:hAnsi="宋体" w:cs="宋体"/>
          <w:b/>
          <w:bCs/>
          <w:color w:val="auto"/>
          <w:kern w:val="0"/>
          <w:sz w:val="24"/>
          <w:szCs w:val="24"/>
          <w:highlight w:val="none"/>
          <w:u w:val="single"/>
        </w:rPr>
        <w:t>发布信息价格为基准价格。</w:t>
      </w:r>
    </w:p>
    <w:p w14:paraId="13ED4C2E">
      <w:pPr>
        <w:pStyle w:val="363"/>
        <w:spacing w:line="420" w:lineRule="exact"/>
        <w:ind w:firstLine="482" w:firstLineChars="200"/>
        <w:jc w:val="left"/>
        <w:rPr>
          <w:rStyle w:val="348"/>
          <w:rFonts w:ascii="宋体" w:hAnsi="宋体" w:cs="宋体"/>
          <w:b/>
          <w:bCs/>
          <w:color w:val="auto"/>
          <w:sz w:val="24"/>
          <w:szCs w:val="24"/>
          <w:highlight w:val="none"/>
          <w:u w:val="single"/>
        </w:rPr>
      </w:pPr>
      <w:r>
        <w:rPr>
          <w:rStyle w:val="348"/>
          <w:rFonts w:hint="eastAsia" w:ascii="宋体" w:hAnsi="宋体" w:cs="宋体"/>
          <w:b/>
          <w:bCs/>
          <w:color w:val="auto"/>
          <w:sz w:val="24"/>
          <w:szCs w:val="24"/>
          <w:highlight w:val="none"/>
          <w:u w:val="single"/>
        </w:rPr>
        <w:t>对于双方在价格上有争议的材料或设备，发包方有权采取甲供材的方式进行材料或设备采购；承包方必须无条件执行且继续履行安装任务。</w:t>
      </w:r>
    </w:p>
    <w:p w14:paraId="53DBE0AA">
      <w:pPr>
        <w:pStyle w:val="363"/>
        <w:spacing w:line="420" w:lineRule="exact"/>
        <w:ind w:firstLine="482" w:firstLineChars="200"/>
        <w:jc w:val="left"/>
        <w:rPr>
          <w:rStyle w:val="348"/>
          <w:rFonts w:ascii="宋体" w:hAnsi="宋体" w:cs="宋体"/>
          <w:color w:val="auto"/>
          <w:sz w:val="24"/>
          <w:szCs w:val="24"/>
          <w:highlight w:val="none"/>
        </w:rPr>
      </w:pPr>
      <w:r>
        <w:rPr>
          <w:rStyle w:val="348"/>
          <w:rFonts w:hint="eastAsia" w:ascii="宋体" w:hAnsi="宋体" w:cs="宋体"/>
          <w:b/>
          <w:bCs/>
          <w:color w:val="auto"/>
          <w:sz w:val="24"/>
          <w:szCs w:val="24"/>
          <w:highlight w:val="none"/>
          <w:u w:val="single"/>
        </w:rPr>
        <w:t>本工程最终结算价以发包人或发包人委托的第三方审计审定为准。</w:t>
      </w:r>
    </w:p>
    <w:p w14:paraId="66127C29">
      <w:pPr>
        <w:pStyle w:val="350"/>
        <w:spacing w:line="420" w:lineRule="exact"/>
        <w:ind w:firstLine="480" w:firstLineChars="200"/>
        <w:jc w:val="left"/>
        <w:outlineLvl w:val="4"/>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（2）总价合同。</w:t>
      </w:r>
    </w:p>
    <w:p w14:paraId="79B7C81F">
      <w:pPr>
        <w:pStyle w:val="350"/>
        <w:spacing w:line="420" w:lineRule="exact"/>
        <w:ind w:firstLine="480" w:firstLineChars="200"/>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总价包含的风险范围：包含除工程变更、政策性调整、</w:t>
      </w:r>
      <w:r>
        <w:rPr>
          <w:rStyle w:val="348"/>
          <w:rFonts w:hint="eastAsia" w:ascii="宋体" w:hAnsi="宋体" w:cs="宋体"/>
          <w:color w:val="auto"/>
          <w:sz w:val="24"/>
          <w:szCs w:val="24"/>
          <w:highlight w:val="none"/>
          <w:u w:val="single"/>
        </w:rPr>
        <w:t>本工程《承包人提供主要材料和设备一览表》中约定的材料和设备价格变动风险以外的其他风险。除工程变更外，结算时不再对施工图对应的工程量重新计量</w:t>
      </w:r>
      <w:r>
        <w:rPr>
          <w:rStyle w:val="348"/>
          <w:rFonts w:hint="eastAsia" w:ascii="宋体" w:hAnsi="宋体" w:cs="宋体"/>
          <w:color w:val="auto"/>
          <w:sz w:val="24"/>
          <w:szCs w:val="24"/>
          <w:highlight w:val="none"/>
        </w:rPr>
        <w:t>。</w:t>
      </w:r>
    </w:p>
    <w:p w14:paraId="739C036C">
      <w:pPr>
        <w:pStyle w:val="350"/>
        <w:spacing w:line="420" w:lineRule="exact"/>
        <w:ind w:firstLine="480" w:firstLineChars="200"/>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风险范围以外合同价格的调整方法：</w:t>
      </w:r>
    </w:p>
    <w:p w14:paraId="77C30EFD">
      <w:pPr>
        <w:pStyle w:val="350"/>
        <w:spacing w:line="420" w:lineRule="exact"/>
        <w:ind w:firstLine="480" w:firstLineChars="200"/>
        <w:jc w:val="left"/>
        <w:outlineLvl w:val="5"/>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①工程变更：按10.4.1变更估价原则的约定调整。</w:t>
      </w:r>
    </w:p>
    <w:p w14:paraId="406EDD99">
      <w:pPr>
        <w:pStyle w:val="350"/>
        <w:spacing w:line="420" w:lineRule="exact"/>
        <w:ind w:firstLine="480" w:firstLineChars="200"/>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②政策性调整：按自治区住房城乡建设厅或工程所在地住房城乡建设主管部门颁布的文件执行。</w:t>
      </w:r>
    </w:p>
    <w:p w14:paraId="1FC27610">
      <w:pPr>
        <w:pStyle w:val="350"/>
        <w:spacing w:line="420" w:lineRule="exact"/>
        <w:ind w:firstLine="480" w:firstLineChars="200"/>
        <w:jc w:val="left"/>
        <w:outlineLvl w:val="5"/>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③材料价格风险：按11.1的约定调整。</w:t>
      </w:r>
    </w:p>
    <w:p w14:paraId="7798993D">
      <w:pPr>
        <w:pStyle w:val="350"/>
        <w:spacing w:line="420" w:lineRule="exact"/>
        <w:ind w:firstLine="480" w:firstLineChars="200"/>
        <w:jc w:val="left"/>
        <w:outlineLvl w:val="9"/>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4其它：</w:t>
      </w:r>
      <w:r>
        <w:rPr>
          <w:rStyle w:val="348"/>
          <w:rFonts w:hint="eastAsia" w:ascii="宋体" w:hAnsi="宋体" w:cs="宋体"/>
          <w:color w:val="auto"/>
          <w:sz w:val="24"/>
          <w:szCs w:val="24"/>
          <w:highlight w:val="none"/>
          <w:u w:val="single"/>
        </w:rPr>
        <w:t xml:space="preserve">    无     </w:t>
      </w:r>
      <w:r>
        <w:rPr>
          <w:rStyle w:val="348"/>
          <w:rFonts w:hint="eastAsia" w:ascii="宋体" w:hAnsi="宋体" w:cs="宋体"/>
          <w:color w:val="auto"/>
          <w:sz w:val="24"/>
          <w:szCs w:val="24"/>
          <w:highlight w:val="none"/>
        </w:rPr>
        <w:t>。</w:t>
      </w:r>
    </w:p>
    <w:p w14:paraId="264427C7">
      <w:pPr>
        <w:pStyle w:val="350"/>
        <w:spacing w:line="420" w:lineRule="exact"/>
        <w:ind w:firstLine="480" w:firstLineChars="200"/>
        <w:jc w:val="left"/>
        <w:outlineLvl w:val="9"/>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（3）其他价格方式：</w:t>
      </w:r>
      <w:r>
        <w:rPr>
          <w:rStyle w:val="348"/>
          <w:rFonts w:hint="eastAsia" w:ascii="宋体" w:hAnsi="宋体" w:cs="宋体"/>
          <w:color w:val="auto"/>
          <w:sz w:val="24"/>
          <w:szCs w:val="24"/>
          <w:highlight w:val="none"/>
          <w:u w:val="single"/>
        </w:rPr>
        <w:t xml:space="preserve">   无   </w:t>
      </w:r>
      <w:r>
        <w:rPr>
          <w:rStyle w:val="348"/>
          <w:rFonts w:hint="eastAsia" w:ascii="宋体" w:hAnsi="宋体" w:cs="宋体"/>
          <w:color w:val="auto"/>
          <w:sz w:val="24"/>
          <w:szCs w:val="24"/>
          <w:highlight w:val="none"/>
        </w:rPr>
        <w:t>。</w:t>
      </w:r>
    </w:p>
    <w:p w14:paraId="06B1FE53">
      <w:pPr>
        <w:pStyle w:val="354"/>
        <w:spacing w:line="420" w:lineRule="exact"/>
        <w:outlineLvl w:val="3"/>
        <w:rPr>
          <w:rStyle w:val="348"/>
          <w:rFonts w:ascii="宋体" w:hAnsi="宋体" w:eastAsia="宋体" w:cs="宋体"/>
          <w:color w:val="auto"/>
          <w:sz w:val="24"/>
          <w:szCs w:val="24"/>
          <w:highlight w:val="none"/>
        </w:rPr>
      </w:pPr>
      <w:bookmarkStart w:id="787" w:name="_Toc1843"/>
      <w:bookmarkEnd w:id="787"/>
      <w:r>
        <w:rPr>
          <w:rStyle w:val="348"/>
          <w:rFonts w:hint="eastAsia" w:ascii="宋体" w:hAnsi="宋体" w:eastAsia="宋体" w:cs="宋体"/>
          <w:color w:val="auto"/>
          <w:sz w:val="24"/>
          <w:szCs w:val="24"/>
          <w:highlight w:val="none"/>
        </w:rPr>
        <w:t>12.2 预付款：无</w:t>
      </w:r>
    </w:p>
    <w:p w14:paraId="0F86E94C">
      <w:pPr>
        <w:pStyle w:val="354"/>
        <w:spacing w:line="420" w:lineRule="exact"/>
        <w:outlineLvl w:val="3"/>
        <w:rPr>
          <w:rStyle w:val="348"/>
          <w:rFonts w:ascii="宋体" w:hAnsi="宋体" w:eastAsia="宋体" w:cs="宋体"/>
          <w:color w:val="auto"/>
          <w:sz w:val="24"/>
          <w:szCs w:val="24"/>
          <w:highlight w:val="none"/>
        </w:rPr>
      </w:pPr>
      <w:bookmarkStart w:id="788" w:name="_Toc373478398"/>
      <w:bookmarkEnd w:id="788"/>
      <w:bookmarkStart w:id="789" w:name="_Toc389065316"/>
      <w:bookmarkEnd w:id="789"/>
      <w:bookmarkStart w:id="790" w:name="_Toc30134"/>
      <w:bookmarkEnd w:id="790"/>
      <w:bookmarkStart w:id="791" w:name="_Toc373227751"/>
      <w:bookmarkEnd w:id="791"/>
      <w:r>
        <w:rPr>
          <w:rStyle w:val="348"/>
          <w:rFonts w:hint="eastAsia" w:ascii="宋体" w:hAnsi="宋体" w:eastAsia="宋体" w:cs="宋体"/>
          <w:color w:val="auto"/>
          <w:sz w:val="24"/>
          <w:szCs w:val="24"/>
          <w:highlight w:val="none"/>
        </w:rPr>
        <w:t>12.3 计量</w:t>
      </w:r>
    </w:p>
    <w:p w14:paraId="2C5A3166">
      <w:pPr>
        <w:pStyle w:val="350"/>
        <w:spacing w:line="420" w:lineRule="exact"/>
        <w:ind w:firstLine="480" w:firstLineChars="200"/>
        <w:jc w:val="left"/>
        <w:outlineLvl w:val="4"/>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12.3.1 计量原则</w:t>
      </w:r>
    </w:p>
    <w:p w14:paraId="1D9E3E4B">
      <w:pPr>
        <w:pStyle w:val="350"/>
        <w:spacing w:line="420" w:lineRule="exact"/>
        <w:ind w:firstLine="480" w:firstLineChars="200"/>
        <w:jc w:val="left"/>
        <w:rPr>
          <w:rStyle w:val="348"/>
          <w:rFonts w:ascii="宋体" w:hAnsi="宋体" w:cs="宋体"/>
          <w:color w:val="auto"/>
          <w:sz w:val="24"/>
          <w:szCs w:val="24"/>
          <w:highlight w:val="none"/>
          <w:u w:val="single"/>
        </w:rPr>
      </w:pPr>
      <w:r>
        <w:rPr>
          <w:rStyle w:val="348"/>
          <w:rFonts w:hint="eastAsia" w:ascii="宋体" w:hAnsi="宋体" w:cs="宋体"/>
          <w:color w:val="auto"/>
          <w:sz w:val="24"/>
          <w:szCs w:val="24"/>
          <w:highlight w:val="none"/>
        </w:rPr>
        <w:t>工程量计算规则：</w:t>
      </w:r>
      <w:r>
        <w:rPr>
          <w:rStyle w:val="348"/>
          <w:rFonts w:hint="eastAsia" w:ascii="宋体" w:hAnsi="宋体" w:cs="宋体"/>
          <w:color w:val="auto"/>
          <w:sz w:val="24"/>
          <w:szCs w:val="24"/>
          <w:highlight w:val="none"/>
          <w:u w:val="single"/>
        </w:rPr>
        <w:t>工程的计量均以《建设工程工程量清单计价规范》（GB50500－2013）及其广西壮族自治区实施细则、《建设工程工程量清单计算规范》（GB50854~50862－2013）及其广西实施细则、本工程补充项目清单为准。</w:t>
      </w:r>
    </w:p>
    <w:p w14:paraId="79BF08BE">
      <w:pPr>
        <w:pStyle w:val="350"/>
        <w:spacing w:line="420" w:lineRule="exact"/>
        <w:ind w:firstLine="480" w:firstLineChars="200"/>
        <w:jc w:val="left"/>
        <w:outlineLvl w:val="4"/>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12.3.2 计量周期</w:t>
      </w:r>
    </w:p>
    <w:p w14:paraId="325BA0B6">
      <w:pPr>
        <w:pStyle w:val="350"/>
        <w:spacing w:line="420" w:lineRule="exact"/>
        <w:ind w:firstLine="480" w:firstLineChars="200"/>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关于计量周期的约定：</w:t>
      </w:r>
      <w:r>
        <w:rPr>
          <w:rStyle w:val="348"/>
          <w:rFonts w:hint="eastAsia" w:ascii="宋体" w:hAnsi="宋体" w:cs="宋体"/>
          <w:color w:val="auto"/>
          <w:sz w:val="24"/>
          <w:szCs w:val="24"/>
          <w:highlight w:val="none"/>
          <w:u w:val="single"/>
        </w:rPr>
        <w:t>每月25日前</w:t>
      </w:r>
      <w:r>
        <w:rPr>
          <w:rStyle w:val="348"/>
          <w:rFonts w:hint="eastAsia" w:ascii="宋体" w:hAnsi="宋体" w:cs="宋体"/>
          <w:color w:val="auto"/>
          <w:sz w:val="24"/>
          <w:szCs w:val="24"/>
          <w:highlight w:val="none"/>
        </w:rPr>
        <w:t>。</w:t>
      </w:r>
    </w:p>
    <w:p w14:paraId="380CF602">
      <w:pPr>
        <w:pStyle w:val="350"/>
        <w:spacing w:line="420" w:lineRule="exact"/>
        <w:ind w:firstLine="480" w:firstLineChars="200"/>
        <w:jc w:val="left"/>
        <w:outlineLvl w:val="4"/>
        <w:rPr>
          <w:rStyle w:val="348"/>
          <w:rFonts w:ascii="宋体" w:hAnsi="宋体" w:cs="宋体"/>
          <w:color w:val="auto"/>
          <w:sz w:val="24"/>
          <w:szCs w:val="24"/>
          <w:highlight w:val="none"/>
        </w:rPr>
      </w:pPr>
      <w:bookmarkStart w:id="792" w:name="_Toc14718"/>
      <w:r>
        <w:rPr>
          <w:rStyle w:val="348"/>
          <w:rFonts w:hint="eastAsia" w:ascii="宋体" w:hAnsi="宋体" w:cs="宋体"/>
          <w:color w:val="auto"/>
          <w:sz w:val="24"/>
          <w:szCs w:val="24"/>
          <w:highlight w:val="none"/>
        </w:rPr>
        <w:t>12.3.3 单价合同的计量</w:t>
      </w:r>
      <w:bookmarkEnd w:id="792"/>
    </w:p>
    <w:p w14:paraId="02627818">
      <w:pPr>
        <w:pStyle w:val="350"/>
        <w:spacing w:line="420" w:lineRule="exact"/>
        <w:ind w:firstLine="480" w:firstLineChars="200"/>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关于单价合同计量的约定：</w:t>
      </w:r>
    </w:p>
    <w:p w14:paraId="073488D0">
      <w:pPr>
        <w:pStyle w:val="350"/>
        <w:spacing w:line="420" w:lineRule="exact"/>
        <w:ind w:firstLine="504" w:firstLineChars="210"/>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(1) 工程量清单所列的工程量，不能作为承包人按合同履行其责任依据，实际施工中发生的工程量增加或减少并不影响承包人履行合同的责任，工程结算以完成的实际工程量为准。</w:t>
      </w:r>
    </w:p>
    <w:p w14:paraId="4607B949">
      <w:pPr>
        <w:pStyle w:val="350"/>
        <w:spacing w:line="420" w:lineRule="exact"/>
        <w:ind w:firstLine="504" w:firstLineChars="210"/>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(2) 除另有规定外，工程师应按照合同约定的方式通过计量来核实确定已完成的工程量和价款，承包人应得到该价款扣除保留金后的金额。当工程师要对已完工的工程量进行计量时，应适时地通知承包人参加。</w:t>
      </w:r>
    </w:p>
    <w:p w14:paraId="04016E5F">
      <w:pPr>
        <w:pStyle w:val="350"/>
        <w:spacing w:line="420" w:lineRule="exact"/>
        <w:ind w:firstLine="480" w:firstLineChars="200"/>
        <w:jc w:val="left"/>
        <w:outlineLvl w:val="4"/>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12.3.4 总价合同的计量</w:t>
      </w:r>
    </w:p>
    <w:p w14:paraId="65833986">
      <w:pPr>
        <w:pStyle w:val="350"/>
        <w:spacing w:line="420" w:lineRule="exact"/>
        <w:ind w:firstLine="480" w:firstLineChars="200"/>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（1）总价合同计量约定：进度款按支付分解表支付</w:t>
      </w:r>
      <w:r>
        <w:rPr>
          <w:rStyle w:val="348"/>
          <w:rFonts w:hint="eastAsia" w:ascii="宋体" w:hAnsi="宋体" w:cs="宋体"/>
          <w:color w:val="auto"/>
          <w:kern w:val="0"/>
          <w:sz w:val="24"/>
          <w:szCs w:val="24"/>
          <w:highlight w:val="none"/>
        </w:rPr>
        <w:t>，</w:t>
      </w:r>
      <w:r>
        <w:rPr>
          <w:rStyle w:val="348"/>
          <w:rFonts w:hint="eastAsia" w:ascii="宋体" w:hAnsi="宋体" w:cs="宋体"/>
          <w:color w:val="auto"/>
          <w:sz w:val="24"/>
          <w:szCs w:val="24"/>
          <w:highlight w:val="none"/>
        </w:rPr>
        <w:t>支付分解表在招标完成后签合同之前制定，具体详见本专用合同条款12.4.6。</w:t>
      </w:r>
    </w:p>
    <w:p w14:paraId="623342CB">
      <w:pPr>
        <w:pStyle w:val="350"/>
        <w:spacing w:line="420" w:lineRule="exact"/>
        <w:ind w:firstLine="480" w:firstLineChars="200"/>
        <w:jc w:val="left"/>
        <w:outlineLvl w:val="4"/>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12.3.6 其他价格形式合同的计量</w:t>
      </w:r>
    </w:p>
    <w:p w14:paraId="34449860">
      <w:pPr>
        <w:pStyle w:val="350"/>
        <w:spacing w:line="420" w:lineRule="exact"/>
        <w:ind w:firstLine="480" w:firstLineChars="200"/>
        <w:jc w:val="left"/>
        <w:rPr>
          <w:rStyle w:val="348"/>
          <w:rFonts w:ascii="宋体" w:hAnsi="宋体" w:cs="宋体"/>
          <w:color w:val="auto"/>
          <w:sz w:val="24"/>
          <w:szCs w:val="24"/>
          <w:highlight w:val="none"/>
          <w:u w:val="single"/>
        </w:rPr>
      </w:pPr>
      <w:r>
        <w:rPr>
          <w:rStyle w:val="348"/>
          <w:rFonts w:hint="eastAsia" w:ascii="宋体" w:hAnsi="宋体" w:cs="宋体"/>
          <w:color w:val="auto"/>
          <w:sz w:val="24"/>
          <w:szCs w:val="24"/>
          <w:highlight w:val="none"/>
        </w:rPr>
        <w:t>其他价格形式的计量方式和程序：</w:t>
      </w:r>
      <w:r>
        <w:rPr>
          <w:rStyle w:val="348"/>
          <w:rFonts w:hint="eastAsia" w:ascii="宋体" w:hAnsi="宋体" w:cs="宋体"/>
          <w:color w:val="auto"/>
          <w:sz w:val="24"/>
          <w:szCs w:val="24"/>
          <w:highlight w:val="none"/>
          <w:u w:val="single"/>
        </w:rPr>
        <w:t xml:space="preserve">    </w:t>
      </w:r>
      <w:r>
        <w:rPr>
          <w:rStyle w:val="348"/>
          <w:rFonts w:hint="eastAsia" w:ascii="宋体" w:hAnsi="宋体" w:cs="宋体"/>
          <w:b/>
          <w:bCs/>
          <w:color w:val="auto"/>
          <w:sz w:val="24"/>
          <w:szCs w:val="24"/>
          <w:highlight w:val="none"/>
          <w:u w:val="single"/>
        </w:rPr>
        <w:t>无</w:t>
      </w:r>
      <w:r>
        <w:rPr>
          <w:rStyle w:val="348"/>
          <w:rFonts w:hint="eastAsia" w:ascii="宋体" w:hAnsi="宋体" w:cs="宋体"/>
          <w:color w:val="auto"/>
          <w:sz w:val="24"/>
          <w:szCs w:val="24"/>
          <w:highlight w:val="none"/>
          <w:u w:val="single"/>
        </w:rPr>
        <w:t xml:space="preserve">     </w:t>
      </w:r>
      <w:r>
        <w:rPr>
          <w:rStyle w:val="348"/>
          <w:rFonts w:hint="eastAsia" w:ascii="宋体" w:hAnsi="宋体" w:cs="宋体"/>
          <w:color w:val="auto"/>
          <w:sz w:val="24"/>
          <w:szCs w:val="24"/>
          <w:highlight w:val="none"/>
        </w:rPr>
        <w:t>。</w:t>
      </w:r>
    </w:p>
    <w:p w14:paraId="68CB5E9C">
      <w:pPr>
        <w:pStyle w:val="354"/>
        <w:spacing w:line="420" w:lineRule="exact"/>
        <w:outlineLvl w:val="3"/>
        <w:rPr>
          <w:rStyle w:val="348"/>
          <w:rFonts w:ascii="宋体" w:hAnsi="宋体" w:eastAsia="宋体" w:cs="宋体"/>
          <w:color w:val="auto"/>
          <w:sz w:val="24"/>
          <w:szCs w:val="24"/>
          <w:highlight w:val="none"/>
        </w:rPr>
      </w:pPr>
      <w:bookmarkStart w:id="793" w:name="_Toc23445"/>
      <w:bookmarkEnd w:id="793"/>
      <w:bookmarkStart w:id="794" w:name="_Toc389065317"/>
      <w:bookmarkEnd w:id="794"/>
      <w:bookmarkStart w:id="795" w:name="_Toc373227752"/>
      <w:bookmarkEnd w:id="795"/>
      <w:bookmarkStart w:id="796" w:name="_Toc373478399"/>
      <w:r>
        <w:rPr>
          <w:rStyle w:val="348"/>
          <w:rFonts w:hint="eastAsia" w:ascii="宋体" w:hAnsi="宋体" w:eastAsia="宋体" w:cs="宋体"/>
          <w:color w:val="auto"/>
          <w:sz w:val="24"/>
          <w:szCs w:val="24"/>
          <w:highlight w:val="none"/>
        </w:rPr>
        <w:t>12.4 工程进度款支付</w:t>
      </w:r>
      <w:bookmarkEnd w:id="796"/>
    </w:p>
    <w:p w14:paraId="2823E8F5">
      <w:pPr>
        <w:spacing w:line="400" w:lineRule="exact"/>
        <w:ind w:firstLine="480" w:firstLineChars="200"/>
        <w:jc w:val="left"/>
        <w:rPr>
          <w:rStyle w:val="348"/>
          <w:rFonts w:ascii="宋体" w:hAnsi="宋体" w:eastAsia="宋体" w:cs="宋体"/>
          <w:color w:val="auto"/>
          <w:sz w:val="24"/>
          <w:highlight w:val="none"/>
        </w:rPr>
      </w:pPr>
      <w:bookmarkStart w:id="797" w:name="_Toc297216215"/>
      <w:bookmarkEnd w:id="797"/>
      <w:bookmarkStart w:id="798" w:name="_Toc297123556"/>
      <w:bookmarkEnd w:id="798"/>
      <w:bookmarkStart w:id="799" w:name="_Toc303539163"/>
      <w:bookmarkEnd w:id="799"/>
      <w:bookmarkStart w:id="800" w:name="_Toc296944550"/>
      <w:bookmarkEnd w:id="800"/>
      <w:bookmarkStart w:id="801" w:name="_Toc296891039"/>
      <w:bookmarkEnd w:id="801"/>
      <w:bookmarkStart w:id="802" w:name="_Toc292559921"/>
      <w:bookmarkEnd w:id="802"/>
      <w:bookmarkStart w:id="803" w:name="_Toc296346712"/>
      <w:bookmarkEnd w:id="803"/>
      <w:bookmarkStart w:id="804" w:name="_Toc296503211"/>
      <w:bookmarkEnd w:id="804"/>
      <w:bookmarkStart w:id="805" w:name="_Toc297120511"/>
      <w:bookmarkEnd w:id="805"/>
      <w:bookmarkStart w:id="806" w:name="_Toc300935006"/>
      <w:bookmarkEnd w:id="806"/>
      <w:bookmarkStart w:id="807" w:name="_Toc296347210"/>
      <w:bookmarkEnd w:id="807"/>
      <w:bookmarkStart w:id="808" w:name="_Toc292559416"/>
      <w:bookmarkEnd w:id="808"/>
      <w:bookmarkStart w:id="809" w:name="_Toc296891251"/>
      <w:bookmarkEnd w:id="809"/>
      <w:bookmarkStart w:id="810" w:name="_Toc297048397"/>
      <w:r>
        <w:rPr>
          <w:rStyle w:val="348"/>
          <w:rFonts w:hint="eastAsia" w:ascii="宋体" w:hAnsi="宋体" w:eastAsia="宋体" w:cs="宋体"/>
          <w:color w:val="auto"/>
          <w:sz w:val="24"/>
          <w:highlight w:val="none"/>
        </w:rPr>
        <w:t>12.4.1关于工程进度款支付的约定</w:t>
      </w:r>
    </w:p>
    <w:p w14:paraId="1319DD68">
      <w:pPr>
        <w:spacing w:line="400" w:lineRule="exact"/>
        <w:ind w:firstLine="480" w:firstLineChars="200"/>
        <w:jc w:val="left"/>
        <w:rPr>
          <w:rStyle w:val="348"/>
          <w:rFonts w:ascii="宋体" w:hAnsi="宋体" w:eastAsia="宋体" w:cs="宋体"/>
          <w:color w:val="auto"/>
          <w:sz w:val="24"/>
          <w:highlight w:val="none"/>
        </w:rPr>
      </w:pPr>
      <w:r>
        <w:rPr>
          <w:rStyle w:val="348"/>
          <w:rFonts w:hint="eastAsia" w:ascii="宋体" w:hAnsi="宋体" w:eastAsia="宋体" w:cs="宋体"/>
          <w:color w:val="auto"/>
          <w:sz w:val="24"/>
          <w:highlight w:val="none"/>
        </w:rPr>
        <w:t>（1）本项目无预付款；</w:t>
      </w:r>
    </w:p>
    <w:p w14:paraId="26756225">
      <w:pPr>
        <w:spacing w:line="400" w:lineRule="exact"/>
        <w:ind w:firstLine="480" w:firstLineChars="200"/>
        <w:jc w:val="left"/>
        <w:rPr>
          <w:rStyle w:val="348"/>
          <w:rFonts w:ascii="宋体" w:hAnsi="宋体" w:eastAsia="宋体" w:cs="宋体"/>
          <w:color w:val="auto"/>
          <w:sz w:val="24"/>
          <w:highlight w:val="none"/>
        </w:rPr>
      </w:pPr>
      <w:r>
        <w:rPr>
          <w:rStyle w:val="348"/>
          <w:rFonts w:hint="eastAsia" w:ascii="宋体" w:hAnsi="宋体" w:eastAsia="宋体" w:cs="宋体"/>
          <w:color w:val="auto"/>
          <w:sz w:val="24"/>
          <w:highlight w:val="none"/>
        </w:rPr>
        <w:t>（2）合同内按工程计量周期内完成工程量不超过80%支付，合同内使用暂估价的按工程计量周期内完成工程量不超过60%支付；</w:t>
      </w:r>
    </w:p>
    <w:p w14:paraId="3EB6D454">
      <w:pPr>
        <w:spacing w:line="400" w:lineRule="exact"/>
        <w:ind w:firstLine="480" w:firstLineChars="200"/>
        <w:jc w:val="left"/>
        <w:rPr>
          <w:rStyle w:val="348"/>
          <w:rFonts w:ascii="宋体" w:hAnsi="宋体" w:eastAsia="宋体" w:cs="宋体"/>
          <w:color w:val="auto"/>
          <w:sz w:val="24"/>
          <w:highlight w:val="none"/>
        </w:rPr>
      </w:pPr>
      <w:r>
        <w:rPr>
          <w:rStyle w:val="348"/>
          <w:rFonts w:hint="eastAsia" w:ascii="宋体" w:hAnsi="宋体" w:eastAsia="宋体" w:cs="宋体"/>
          <w:color w:val="auto"/>
          <w:sz w:val="24"/>
          <w:highlight w:val="none"/>
        </w:rPr>
        <w:t>（3）在工程完工，经竣工验收合格后，按自治区财政相关政策规定完成审计结算前，工程进度款合同内支付金额不得超过本项目实际合同价的90%，合同内使用暂估价的工程结算累计支付金额不得超出项目实际变更的70%支付；</w:t>
      </w:r>
    </w:p>
    <w:p w14:paraId="3843CB56">
      <w:pPr>
        <w:spacing w:line="400" w:lineRule="exact"/>
        <w:ind w:firstLine="480" w:firstLineChars="200"/>
        <w:jc w:val="left"/>
        <w:rPr>
          <w:rStyle w:val="348"/>
          <w:rFonts w:ascii="宋体" w:hAnsi="宋体" w:eastAsia="宋体" w:cs="宋体"/>
          <w:color w:val="auto"/>
          <w:sz w:val="24"/>
          <w:highlight w:val="none"/>
        </w:rPr>
      </w:pPr>
      <w:r>
        <w:rPr>
          <w:rStyle w:val="348"/>
          <w:rFonts w:hint="eastAsia" w:ascii="宋体" w:hAnsi="宋体" w:eastAsia="宋体" w:cs="宋体"/>
          <w:color w:val="auto"/>
          <w:sz w:val="24"/>
          <w:highlight w:val="none"/>
        </w:rPr>
        <w:t>（4）工程完工，采购人组织项目竣工结算审计完成后（如工程最终竣工结算达到《自治区本级财政投资评审实施办法》（桂财办﹝2015﹞70号）规定的评审范围，需报财政部门审定，在自治区财政相关政策完成审计结算后），支付比例为最终结算价的97%。剩余最终结算价的3%作为项目的质保金，2年后如无质量问题，则退还质保金（无息）的50%，剩余质保金（无息）待该项目所有工程质保期满后，无质量问题，再退还。</w:t>
      </w:r>
    </w:p>
    <w:bookmarkEnd w:id="810"/>
    <w:p w14:paraId="5131F813">
      <w:pPr>
        <w:pStyle w:val="350"/>
        <w:spacing w:line="420" w:lineRule="exact"/>
        <w:ind w:firstLine="480" w:firstLineChars="200"/>
        <w:jc w:val="left"/>
        <w:outlineLvl w:val="4"/>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12.4.2 进度付款申请单的编制</w:t>
      </w:r>
    </w:p>
    <w:p w14:paraId="541193BE">
      <w:pPr>
        <w:spacing w:line="400" w:lineRule="exact"/>
        <w:ind w:firstLine="480" w:firstLineChars="200"/>
        <w:jc w:val="left"/>
        <w:rPr>
          <w:rStyle w:val="348"/>
          <w:rFonts w:ascii="宋体" w:hAnsi="宋体" w:eastAsia="宋体" w:cs="宋体"/>
          <w:color w:val="auto"/>
          <w:sz w:val="24"/>
          <w:highlight w:val="none"/>
        </w:rPr>
      </w:pPr>
      <w:r>
        <w:rPr>
          <w:rStyle w:val="348"/>
          <w:rFonts w:hint="eastAsia" w:ascii="宋体" w:hAnsi="宋体" w:eastAsia="宋体" w:cs="宋体"/>
          <w:color w:val="auto"/>
          <w:sz w:val="24"/>
          <w:highlight w:val="none"/>
        </w:rPr>
        <w:t>关于进度付款申请单编制的约定：</w:t>
      </w:r>
    </w:p>
    <w:p w14:paraId="34023B92">
      <w:pPr>
        <w:spacing w:line="400" w:lineRule="exact"/>
        <w:ind w:firstLine="480" w:firstLineChars="200"/>
        <w:jc w:val="left"/>
        <w:rPr>
          <w:rStyle w:val="348"/>
          <w:rFonts w:ascii="宋体" w:hAnsi="宋体" w:eastAsia="宋体" w:cs="宋体"/>
          <w:color w:val="auto"/>
          <w:sz w:val="24"/>
          <w:highlight w:val="none"/>
        </w:rPr>
      </w:pPr>
      <w:r>
        <w:rPr>
          <w:rStyle w:val="348"/>
          <w:rFonts w:hint="eastAsia" w:ascii="宋体" w:hAnsi="宋体" w:eastAsia="宋体" w:cs="宋体"/>
          <w:color w:val="auto"/>
          <w:sz w:val="24"/>
          <w:highlight w:val="none"/>
        </w:rPr>
        <w:t>(1)承包人必须依照付款周期，按实际发生工程量，依据合同约定进行进度付款申请。</w:t>
      </w:r>
    </w:p>
    <w:p w14:paraId="74396F3C">
      <w:pPr>
        <w:spacing w:line="400" w:lineRule="exact"/>
        <w:ind w:firstLine="480" w:firstLineChars="200"/>
        <w:jc w:val="left"/>
        <w:rPr>
          <w:rStyle w:val="348"/>
          <w:rFonts w:ascii="宋体" w:hAnsi="宋体" w:eastAsia="宋体" w:cs="宋体"/>
          <w:color w:val="auto"/>
          <w:sz w:val="24"/>
          <w:highlight w:val="none"/>
        </w:rPr>
      </w:pPr>
      <w:r>
        <w:rPr>
          <w:rStyle w:val="348"/>
          <w:rFonts w:hint="eastAsia" w:ascii="宋体" w:hAnsi="宋体" w:eastAsia="宋体" w:cs="宋体"/>
          <w:color w:val="auto"/>
          <w:sz w:val="24"/>
          <w:highlight w:val="none"/>
        </w:rPr>
        <w:t>(2)承包人必须书面列项说明已完成工程内容，计算范围。</w:t>
      </w:r>
    </w:p>
    <w:p w14:paraId="02CFFF2C">
      <w:pPr>
        <w:pStyle w:val="350"/>
        <w:spacing w:line="420" w:lineRule="exact"/>
        <w:ind w:firstLine="480" w:firstLineChars="200"/>
        <w:jc w:val="left"/>
        <w:outlineLvl w:val="4"/>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12.4.3 进度付款申请单的提交</w:t>
      </w:r>
    </w:p>
    <w:p w14:paraId="2CF5C285">
      <w:pPr>
        <w:pStyle w:val="350"/>
        <w:spacing w:line="420" w:lineRule="exact"/>
        <w:ind w:firstLine="480" w:firstLineChars="200"/>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（1）单价合同进度付款申请单提交的约定： 格式按发包人具体要求  。</w:t>
      </w:r>
    </w:p>
    <w:p w14:paraId="393B3851">
      <w:pPr>
        <w:pStyle w:val="350"/>
        <w:spacing w:line="420" w:lineRule="exact"/>
        <w:ind w:firstLine="480" w:firstLineChars="200"/>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（2）总价合同进度付款申请单提交的约定： 无  。</w:t>
      </w:r>
    </w:p>
    <w:p w14:paraId="587F0BFF">
      <w:pPr>
        <w:pStyle w:val="350"/>
        <w:spacing w:line="420" w:lineRule="exact"/>
        <w:ind w:firstLine="480" w:firstLineChars="200"/>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（3）其他价格形式合同进度付款申请单提交的约定：  无  。</w:t>
      </w:r>
    </w:p>
    <w:p w14:paraId="2082E0A7">
      <w:pPr>
        <w:pStyle w:val="350"/>
        <w:spacing w:line="420" w:lineRule="exact"/>
        <w:ind w:firstLine="480" w:firstLineChars="200"/>
        <w:jc w:val="left"/>
        <w:outlineLvl w:val="4"/>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12.4.4 进度款审核和支付</w:t>
      </w:r>
    </w:p>
    <w:p w14:paraId="31067F82">
      <w:pPr>
        <w:pStyle w:val="350"/>
        <w:spacing w:line="420" w:lineRule="exact"/>
        <w:ind w:firstLine="480" w:firstLineChars="200"/>
        <w:jc w:val="left"/>
        <w:rPr>
          <w:rStyle w:val="348"/>
          <w:rFonts w:ascii="宋体" w:hAnsi="宋体" w:cs="宋体"/>
          <w:color w:val="auto"/>
          <w:sz w:val="24"/>
          <w:szCs w:val="24"/>
          <w:highlight w:val="none"/>
          <w:u w:val="single"/>
        </w:rPr>
      </w:pPr>
      <w:r>
        <w:rPr>
          <w:rStyle w:val="348"/>
          <w:rFonts w:hint="eastAsia" w:ascii="宋体" w:hAnsi="宋体" w:cs="宋体"/>
          <w:color w:val="auto"/>
          <w:sz w:val="24"/>
          <w:szCs w:val="24"/>
          <w:highlight w:val="none"/>
        </w:rPr>
        <w:t>（1）监理人审查并报送发包人的期限：</w:t>
      </w:r>
      <w:r>
        <w:rPr>
          <w:rStyle w:val="348"/>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按通用条款执行</w:t>
      </w:r>
      <w:r>
        <w:rPr>
          <w:rStyle w:val="348"/>
          <w:rFonts w:hint="eastAsia" w:ascii="宋体" w:hAnsi="宋体" w:cs="宋体"/>
          <w:color w:val="auto"/>
          <w:sz w:val="24"/>
          <w:szCs w:val="24"/>
          <w:highlight w:val="none"/>
          <w:u w:val="single"/>
        </w:rPr>
        <w:t xml:space="preserve">     </w:t>
      </w:r>
      <w:r>
        <w:rPr>
          <w:rStyle w:val="348"/>
          <w:rFonts w:hint="eastAsia" w:ascii="宋体" w:hAnsi="宋体" w:cs="宋体"/>
          <w:color w:val="auto"/>
          <w:sz w:val="24"/>
          <w:szCs w:val="24"/>
          <w:highlight w:val="none"/>
        </w:rPr>
        <w:t>。</w:t>
      </w:r>
    </w:p>
    <w:p w14:paraId="0C5A3D62">
      <w:pPr>
        <w:pStyle w:val="350"/>
        <w:spacing w:line="420" w:lineRule="exact"/>
        <w:ind w:firstLine="480" w:firstLineChars="200"/>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发包人完成审批并签发进度款支付证书的期限：</w:t>
      </w:r>
      <w:r>
        <w:rPr>
          <w:rFonts w:hint="eastAsia" w:ascii="宋体" w:hAnsi="宋体" w:cs="宋体"/>
          <w:color w:val="auto"/>
          <w:sz w:val="24"/>
          <w:szCs w:val="24"/>
          <w:highlight w:val="none"/>
          <w:u w:val="single"/>
        </w:rPr>
        <w:t>按通用条款执行</w:t>
      </w:r>
      <w:r>
        <w:rPr>
          <w:rStyle w:val="348"/>
          <w:rFonts w:hint="eastAsia" w:ascii="宋体" w:hAnsi="宋体" w:cs="宋体"/>
          <w:color w:val="auto"/>
          <w:sz w:val="24"/>
          <w:szCs w:val="24"/>
          <w:highlight w:val="none"/>
          <w:u w:val="single"/>
        </w:rPr>
        <w:t xml:space="preserve"> </w:t>
      </w:r>
      <w:r>
        <w:rPr>
          <w:rStyle w:val="348"/>
          <w:rFonts w:hint="eastAsia" w:ascii="宋体" w:hAnsi="宋体" w:cs="宋体"/>
          <w:color w:val="auto"/>
          <w:sz w:val="24"/>
          <w:szCs w:val="24"/>
          <w:highlight w:val="none"/>
        </w:rPr>
        <w:t>。</w:t>
      </w:r>
    </w:p>
    <w:p w14:paraId="5709A1B6">
      <w:pPr>
        <w:pStyle w:val="350"/>
        <w:spacing w:line="420" w:lineRule="exact"/>
        <w:ind w:firstLine="480" w:firstLineChars="200"/>
        <w:jc w:val="left"/>
        <w:outlineLvl w:val="9"/>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（2）发包人支付进度款的期限：</w:t>
      </w:r>
      <w:r>
        <w:rPr>
          <w:rStyle w:val="348"/>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按通用条款执行</w:t>
      </w:r>
      <w:r>
        <w:rPr>
          <w:rStyle w:val="348"/>
          <w:rFonts w:hint="eastAsia" w:ascii="宋体" w:hAnsi="宋体" w:cs="宋体"/>
          <w:color w:val="auto"/>
          <w:sz w:val="24"/>
          <w:szCs w:val="24"/>
          <w:highlight w:val="none"/>
          <w:u w:val="single"/>
        </w:rPr>
        <w:t xml:space="preserve">   </w:t>
      </w:r>
      <w:r>
        <w:rPr>
          <w:rStyle w:val="348"/>
          <w:rFonts w:hint="eastAsia" w:ascii="宋体" w:hAnsi="宋体" w:cs="宋体"/>
          <w:color w:val="auto"/>
          <w:sz w:val="24"/>
          <w:szCs w:val="24"/>
          <w:highlight w:val="none"/>
        </w:rPr>
        <w:t>。</w:t>
      </w:r>
    </w:p>
    <w:p w14:paraId="2F6F8BB6">
      <w:pPr>
        <w:pStyle w:val="350"/>
        <w:spacing w:line="420" w:lineRule="exact"/>
        <w:ind w:firstLine="600" w:firstLineChars="250"/>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发包人逾期支付进度款的违约金的计算方式：</w:t>
      </w:r>
      <w:r>
        <w:rPr>
          <w:rStyle w:val="348"/>
          <w:rFonts w:hint="eastAsia" w:ascii="宋体" w:hAnsi="宋体" w:cs="宋体"/>
          <w:color w:val="auto"/>
          <w:sz w:val="24"/>
          <w:szCs w:val="24"/>
          <w:highlight w:val="none"/>
          <w:u w:val="single"/>
        </w:rPr>
        <w:t xml:space="preserve">   </w:t>
      </w:r>
      <w:r>
        <w:rPr>
          <w:rStyle w:val="348"/>
          <w:rFonts w:hint="eastAsia" w:ascii="宋体" w:hAnsi="宋体" w:cs="宋体"/>
          <w:b/>
          <w:bCs/>
          <w:color w:val="auto"/>
          <w:sz w:val="24"/>
          <w:szCs w:val="24"/>
          <w:highlight w:val="none"/>
          <w:u w:val="single"/>
        </w:rPr>
        <w:t>无</w:t>
      </w:r>
      <w:r>
        <w:rPr>
          <w:rStyle w:val="348"/>
          <w:rFonts w:hint="eastAsia" w:ascii="宋体" w:hAnsi="宋体" w:cs="宋体"/>
          <w:color w:val="auto"/>
          <w:sz w:val="24"/>
          <w:szCs w:val="24"/>
          <w:highlight w:val="none"/>
          <w:u w:val="single"/>
        </w:rPr>
        <w:t xml:space="preserve">  </w:t>
      </w:r>
      <w:r>
        <w:rPr>
          <w:rStyle w:val="348"/>
          <w:rFonts w:hint="eastAsia" w:ascii="宋体" w:hAnsi="宋体" w:cs="宋体"/>
          <w:color w:val="auto"/>
          <w:sz w:val="24"/>
          <w:szCs w:val="24"/>
          <w:highlight w:val="none"/>
        </w:rPr>
        <w:t>。</w:t>
      </w:r>
    </w:p>
    <w:p w14:paraId="50971280">
      <w:pPr>
        <w:pStyle w:val="350"/>
        <w:spacing w:line="420" w:lineRule="exact"/>
        <w:ind w:firstLine="600" w:firstLineChars="250"/>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进度款支付方式：</w:t>
      </w:r>
      <w:r>
        <w:rPr>
          <w:rFonts w:hint="eastAsia" w:ascii="宋体" w:hAnsi="宋体" w:cs="宋体"/>
          <w:color w:val="auto"/>
          <w:sz w:val="24"/>
          <w:szCs w:val="24"/>
          <w:highlight w:val="none"/>
          <w:u w:val="single"/>
        </w:rPr>
        <w:t>银行转账至本合同指定的承包人开户银行及账号内</w:t>
      </w:r>
      <w:r>
        <w:rPr>
          <w:rStyle w:val="348"/>
          <w:rFonts w:hint="eastAsia" w:ascii="宋体" w:hAnsi="宋体" w:cs="宋体"/>
          <w:color w:val="auto"/>
          <w:sz w:val="24"/>
          <w:szCs w:val="24"/>
          <w:highlight w:val="none"/>
        </w:rPr>
        <w:t>。</w:t>
      </w:r>
    </w:p>
    <w:p w14:paraId="7DB4585C">
      <w:pPr>
        <w:spacing w:line="420" w:lineRule="exact"/>
        <w:ind w:firstLine="720" w:firstLineChars="300"/>
        <w:jc w:val="left"/>
        <w:rPr>
          <w:rStyle w:val="348"/>
          <w:rFonts w:ascii="宋体" w:hAnsi="宋体" w:eastAsia="宋体" w:cs="宋体"/>
          <w:color w:val="auto"/>
          <w:sz w:val="24"/>
          <w:highlight w:val="none"/>
        </w:rPr>
      </w:pPr>
      <w:r>
        <w:rPr>
          <w:rFonts w:hint="eastAsia" w:ascii="宋体" w:hAnsi="宋体" w:eastAsia="宋体" w:cs="宋体"/>
          <w:color w:val="auto"/>
          <w:sz w:val="24"/>
          <w:highlight w:val="none"/>
        </w:rPr>
        <w:t>①承包人在发包人支付工程款前3日内提供有效的增值税专用发票给发包人，否则发包人有权拒付该笔工程款，所造成的责任由承包人负责承担且发包人不承担逾期付款的责任。</w:t>
      </w:r>
    </w:p>
    <w:p w14:paraId="53374AA6">
      <w:pPr>
        <w:pStyle w:val="350"/>
        <w:spacing w:line="420" w:lineRule="exact"/>
        <w:ind w:firstLine="600" w:firstLineChars="250"/>
        <w:jc w:val="left"/>
        <w:outlineLvl w:val="9"/>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（3） 农民工工资支付</w:t>
      </w:r>
    </w:p>
    <w:p w14:paraId="2B7B3D3C">
      <w:pPr>
        <w:pStyle w:val="350"/>
        <w:autoSpaceDE w:val="0"/>
        <w:autoSpaceDN w:val="0"/>
        <w:spacing w:line="420" w:lineRule="exact"/>
        <w:ind w:firstLine="480" w:firstLineChars="200"/>
        <w:jc w:val="left"/>
        <w:rPr>
          <w:rStyle w:val="348"/>
          <w:rFonts w:ascii="宋体" w:hAnsi="宋体" w:cs="宋体"/>
          <w:color w:val="auto"/>
          <w:kern w:val="0"/>
          <w:sz w:val="24"/>
          <w:szCs w:val="24"/>
          <w:highlight w:val="none"/>
        </w:rPr>
      </w:pPr>
      <w:r>
        <w:rPr>
          <w:rStyle w:val="348"/>
          <w:rFonts w:hint="eastAsia" w:ascii="宋体" w:hAnsi="宋体" w:cs="宋体"/>
          <w:color w:val="auto"/>
          <w:kern w:val="0"/>
          <w:sz w:val="24"/>
          <w:szCs w:val="24"/>
          <w:highlight w:val="none"/>
        </w:rPr>
        <w:t>承包人将农民工工资支付情况定期报告发包人和监理单位，并提供相应的材料接受建设行政主管部门和劳动保障行政主管部门对此事项监管。</w:t>
      </w:r>
    </w:p>
    <w:p w14:paraId="57B849AC">
      <w:pPr>
        <w:pStyle w:val="350"/>
        <w:spacing w:line="420" w:lineRule="exact"/>
        <w:ind w:firstLine="600" w:firstLineChars="250"/>
        <w:jc w:val="left"/>
        <w:outlineLvl w:val="3"/>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12.4.6 支付分解表的编制</w:t>
      </w:r>
    </w:p>
    <w:p w14:paraId="745AA1F2">
      <w:pPr>
        <w:pStyle w:val="350"/>
        <w:spacing w:line="420" w:lineRule="exact"/>
        <w:ind w:firstLine="600" w:firstLineChars="250"/>
        <w:jc w:val="left"/>
        <w:rPr>
          <w:rStyle w:val="348"/>
          <w:rFonts w:ascii="宋体" w:hAnsi="宋体" w:cs="宋体"/>
          <w:color w:val="auto"/>
          <w:sz w:val="24"/>
          <w:szCs w:val="24"/>
          <w:highlight w:val="none"/>
          <w:u w:val="single"/>
        </w:rPr>
      </w:pPr>
      <w:r>
        <w:rPr>
          <w:rStyle w:val="348"/>
          <w:rFonts w:hint="eastAsia" w:ascii="宋体" w:hAnsi="宋体" w:cs="宋体"/>
          <w:color w:val="auto"/>
          <w:sz w:val="24"/>
          <w:szCs w:val="24"/>
          <w:highlight w:val="none"/>
        </w:rPr>
        <w:t>（1）总价合同支付分解表的编制与审批：</w:t>
      </w:r>
      <w:r>
        <w:rPr>
          <w:rStyle w:val="348"/>
          <w:rFonts w:hint="eastAsia" w:ascii="宋体" w:hAnsi="宋体" w:cs="宋体"/>
          <w:color w:val="auto"/>
          <w:sz w:val="24"/>
          <w:szCs w:val="24"/>
          <w:highlight w:val="none"/>
          <w:u w:val="single"/>
        </w:rPr>
        <w:t>总价合同支付分解表在招标完成后由发包人和承包人共同编制，发包人审批，并作为本合同内容，具体详见合同附件14。</w:t>
      </w:r>
    </w:p>
    <w:p w14:paraId="1DA8D989">
      <w:pPr>
        <w:pStyle w:val="350"/>
        <w:spacing w:line="420" w:lineRule="exact"/>
        <w:ind w:firstLine="600" w:firstLineChars="250"/>
        <w:jc w:val="left"/>
        <w:rPr>
          <w:rStyle w:val="348"/>
          <w:rFonts w:ascii="宋体" w:hAnsi="宋体" w:cs="宋体"/>
          <w:color w:val="auto"/>
          <w:sz w:val="24"/>
          <w:szCs w:val="24"/>
          <w:highlight w:val="none"/>
          <w:u w:val="single"/>
        </w:rPr>
      </w:pPr>
      <w:r>
        <w:rPr>
          <w:rStyle w:val="348"/>
          <w:rFonts w:hint="eastAsia" w:ascii="宋体" w:hAnsi="宋体" w:cs="宋体"/>
          <w:color w:val="auto"/>
          <w:sz w:val="24"/>
          <w:szCs w:val="24"/>
          <w:highlight w:val="none"/>
        </w:rPr>
        <w:t>（2）单价合同的总价项目支付分解表的编制与审批：总价项目不采用支付分解表的方式计算，而按《建设工程工程量清单计价规范（GB50500-2013）广西壮族自治区实施细则》的规定执行。</w:t>
      </w:r>
    </w:p>
    <w:p w14:paraId="0CB54FEF">
      <w:pPr>
        <w:pStyle w:val="349"/>
        <w:spacing w:before="0" w:after="0" w:line="420" w:lineRule="exact"/>
        <w:outlineLvl w:val="2"/>
        <w:rPr>
          <w:rStyle w:val="348"/>
          <w:rFonts w:ascii="宋体" w:hAnsi="宋体" w:eastAsia="宋体" w:cs="宋体"/>
          <w:color w:val="auto"/>
          <w:sz w:val="24"/>
          <w:szCs w:val="24"/>
          <w:highlight w:val="none"/>
        </w:rPr>
      </w:pPr>
      <w:bookmarkStart w:id="811" w:name="_Toc292559424"/>
      <w:bookmarkEnd w:id="811"/>
      <w:bookmarkStart w:id="812" w:name="_Toc372"/>
      <w:bookmarkEnd w:id="812"/>
      <w:bookmarkStart w:id="813" w:name="_Toc296347218"/>
      <w:bookmarkEnd w:id="813"/>
      <w:bookmarkStart w:id="814" w:name="_Toc312678053"/>
      <w:bookmarkEnd w:id="814"/>
      <w:bookmarkStart w:id="815" w:name="_Toc297120519"/>
      <w:bookmarkEnd w:id="815"/>
      <w:bookmarkStart w:id="816" w:name="_Toc296346720"/>
      <w:bookmarkEnd w:id="816"/>
      <w:bookmarkStart w:id="817" w:name="_Toc303539172"/>
      <w:bookmarkEnd w:id="817"/>
      <w:bookmarkStart w:id="818" w:name="_Toc296944558"/>
      <w:bookmarkEnd w:id="818"/>
      <w:bookmarkStart w:id="819" w:name="_Toc351203645"/>
      <w:bookmarkEnd w:id="819"/>
      <w:bookmarkStart w:id="820" w:name="_Toc297048405"/>
      <w:bookmarkEnd w:id="820"/>
      <w:bookmarkStart w:id="821" w:name="_Toc373227753"/>
      <w:bookmarkEnd w:id="821"/>
      <w:bookmarkStart w:id="822" w:name="_Toc297123564"/>
      <w:bookmarkEnd w:id="822"/>
      <w:bookmarkStart w:id="823" w:name="_Toc297216223"/>
      <w:bookmarkEnd w:id="823"/>
      <w:bookmarkStart w:id="824" w:name="_Toc389065318"/>
      <w:bookmarkEnd w:id="824"/>
      <w:bookmarkStart w:id="825" w:name="_Toc292559929"/>
      <w:bookmarkEnd w:id="825"/>
      <w:bookmarkStart w:id="826" w:name="_Toc300935015"/>
      <w:bookmarkEnd w:id="826"/>
      <w:bookmarkStart w:id="827" w:name="_Toc304295593"/>
      <w:bookmarkEnd w:id="827"/>
      <w:bookmarkStart w:id="828" w:name="_Toc296503219"/>
      <w:bookmarkEnd w:id="828"/>
      <w:bookmarkStart w:id="829" w:name="_Toc373478400"/>
      <w:bookmarkEnd w:id="829"/>
      <w:bookmarkStart w:id="830" w:name="_Toc296891259"/>
      <w:bookmarkEnd w:id="830"/>
      <w:bookmarkStart w:id="831" w:name="_Toc296891047"/>
      <w:r>
        <w:rPr>
          <w:rStyle w:val="348"/>
          <w:rFonts w:hint="eastAsia" w:ascii="宋体" w:hAnsi="宋体" w:eastAsia="宋体" w:cs="宋体"/>
          <w:color w:val="auto"/>
          <w:sz w:val="24"/>
          <w:szCs w:val="24"/>
          <w:highlight w:val="none"/>
        </w:rPr>
        <w:t>13. 验收和工程试车</w:t>
      </w:r>
      <w:bookmarkEnd w:id="831"/>
    </w:p>
    <w:p w14:paraId="0251DEF5">
      <w:pPr>
        <w:pStyle w:val="354"/>
        <w:spacing w:line="420" w:lineRule="exact"/>
        <w:outlineLvl w:val="3"/>
        <w:rPr>
          <w:rStyle w:val="348"/>
          <w:rFonts w:ascii="宋体" w:hAnsi="宋体" w:eastAsia="宋体" w:cs="宋体"/>
          <w:color w:val="auto"/>
          <w:sz w:val="24"/>
          <w:szCs w:val="24"/>
          <w:highlight w:val="none"/>
        </w:rPr>
      </w:pPr>
      <w:bookmarkStart w:id="832" w:name="_Toc373227754"/>
      <w:bookmarkEnd w:id="832"/>
      <w:bookmarkStart w:id="833" w:name="_Toc1622"/>
      <w:bookmarkEnd w:id="833"/>
      <w:bookmarkStart w:id="834" w:name="_Toc389065319"/>
      <w:bookmarkEnd w:id="834"/>
      <w:bookmarkStart w:id="835" w:name="_Toc373478401"/>
      <w:bookmarkEnd w:id="835"/>
      <w:r>
        <w:rPr>
          <w:rStyle w:val="348"/>
          <w:rFonts w:hint="eastAsia" w:ascii="宋体" w:hAnsi="宋体" w:eastAsia="宋体" w:cs="宋体"/>
          <w:color w:val="auto"/>
          <w:sz w:val="24"/>
          <w:szCs w:val="24"/>
          <w:highlight w:val="none"/>
        </w:rPr>
        <w:t>13.1 分部分项工程验收</w:t>
      </w:r>
    </w:p>
    <w:p w14:paraId="7A0961CA">
      <w:pPr>
        <w:pStyle w:val="350"/>
        <w:spacing w:line="420" w:lineRule="exact"/>
        <w:ind w:firstLine="480" w:firstLineChars="200"/>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13.1.2监理人不能按时进行验收时，应提前</w:t>
      </w:r>
      <w:r>
        <w:rPr>
          <w:rStyle w:val="348"/>
          <w:rFonts w:hint="eastAsia" w:ascii="宋体" w:hAnsi="宋体" w:cs="宋体"/>
          <w:color w:val="auto"/>
          <w:sz w:val="24"/>
          <w:szCs w:val="24"/>
          <w:highlight w:val="none"/>
          <w:u w:val="single"/>
        </w:rPr>
        <w:t xml:space="preserve"> 24  </w:t>
      </w:r>
      <w:r>
        <w:rPr>
          <w:rStyle w:val="348"/>
          <w:rFonts w:hint="eastAsia" w:ascii="宋体" w:hAnsi="宋体" w:cs="宋体"/>
          <w:color w:val="auto"/>
          <w:sz w:val="24"/>
          <w:szCs w:val="24"/>
          <w:highlight w:val="none"/>
        </w:rPr>
        <w:t>小时提交书面延期要求。</w:t>
      </w:r>
    </w:p>
    <w:p w14:paraId="36A12BE3">
      <w:pPr>
        <w:pStyle w:val="350"/>
        <w:spacing w:line="420" w:lineRule="exact"/>
        <w:ind w:firstLine="480" w:firstLineChars="200"/>
        <w:jc w:val="left"/>
        <w:rPr>
          <w:rStyle w:val="348"/>
          <w:rFonts w:ascii="宋体" w:hAnsi="宋体" w:cs="宋体"/>
          <w:b/>
          <w:bCs/>
          <w:color w:val="auto"/>
          <w:sz w:val="24"/>
          <w:szCs w:val="24"/>
          <w:highlight w:val="none"/>
        </w:rPr>
      </w:pPr>
      <w:r>
        <w:rPr>
          <w:rStyle w:val="348"/>
          <w:rFonts w:hint="eastAsia" w:ascii="宋体" w:hAnsi="宋体" w:cs="宋体"/>
          <w:color w:val="auto"/>
          <w:sz w:val="24"/>
          <w:szCs w:val="24"/>
          <w:highlight w:val="none"/>
        </w:rPr>
        <w:t>关于延期最长不得超过：</w:t>
      </w:r>
      <w:r>
        <w:rPr>
          <w:rStyle w:val="348"/>
          <w:rFonts w:hint="eastAsia" w:ascii="宋体" w:hAnsi="宋体" w:cs="宋体"/>
          <w:color w:val="auto"/>
          <w:sz w:val="24"/>
          <w:szCs w:val="24"/>
          <w:highlight w:val="none"/>
          <w:u w:val="single"/>
        </w:rPr>
        <w:t xml:space="preserve">  24   </w:t>
      </w:r>
      <w:r>
        <w:rPr>
          <w:rStyle w:val="348"/>
          <w:rFonts w:hint="eastAsia" w:ascii="宋体" w:hAnsi="宋体" w:cs="宋体"/>
          <w:color w:val="auto"/>
          <w:sz w:val="24"/>
          <w:szCs w:val="24"/>
          <w:highlight w:val="none"/>
        </w:rPr>
        <w:t>小时。</w:t>
      </w:r>
    </w:p>
    <w:p w14:paraId="3BB47F49">
      <w:pPr>
        <w:pStyle w:val="354"/>
        <w:spacing w:line="420" w:lineRule="exact"/>
        <w:outlineLvl w:val="3"/>
        <w:rPr>
          <w:rStyle w:val="348"/>
          <w:rFonts w:ascii="宋体" w:hAnsi="宋体" w:eastAsia="宋体" w:cs="宋体"/>
          <w:color w:val="auto"/>
          <w:sz w:val="24"/>
          <w:szCs w:val="24"/>
          <w:highlight w:val="none"/>
        </w:rPr>
      </w:pPr>
      <w:bookmarkStart w:id="836" w:name="_Toc297216224"/>
      <w:bookmarkEnd w:id="836"/>
      <w:bookmarkStart w:id="837" w:name="_Toc389065320"/>
      <w:bookmarkEnd w:id="837"/>
      <w:bookmarkStart w:id="838" w:name="_Toc267251471"/>
      <w:bookmarkEnd w:id="838"/>
      <w:bookmarkStart w:id="839" w:name="_Toc296347222"/>
      <w:bookmarkEnd w:id="839"/>
      <w:bookmarkStart w:id="840" w:name="_Toc297120523"/>
      <w:bookmarkEnd w:id="840"/>
      <w:bookmarkStart w:id="841" w:name="_Toc304295596"/>
      <w:bookmarkEnd w:id="841"/>
      <w:bookmarkStart w:id="842" w:name="_Toc303539173"/>
      <w:bookmarkEnd w:id="842"/>
      <w:bookmarkStart w:id="843" w:name="_Toc373227755"/>
      <w:bookmarkEnd w:id="843"/>
      <w:bookmarkStart w:id="844" w:name="_Toc296346724"/>
      <w:bookmarkEnd w:id="844"/>
      <w:bookmarkStart w:id="845" w:name="_Toc292559428"/>
      <w:bookmarkEnd w:id="845"/>
      <w:bookmarkStart w:id="846" w:name="_Toc297123565"/>
      <w:bookmarkEnd w:id="846"/>
      <w:bookmarkStart w:id="847" w:name="_Toc296891051"/>
      <w:bookmarkEnd w:id="847"/>
      <w:bookmarkStart w:id="848" w:name="_Toc267251473"/>
      <w:bookmarkEnd w:id="848"/>
      <w:bookmarkStart w:id="849" w:name="_Toc312678056"/>
      <w:bookmarkEnd w:id="849"/>
      <w:bookmarkStart w:id="850" w:name="_Toc296503223"/>
      <w:bookmarkEnd w:id="850"/>
      <w:bookmarkStart w:id="851" w:name="_Toc300935016"/>
      <w:bookmarkEnd w:id="851"/>
      <w:bookmarkStart w:id="852" w:name="_Toc267251472"/>
      <w:bookmarkEnd w:id="852"/>
      <w:bookmarkStart w:id="853" w:name="_Toc267251476"/>
      <w:bookmarkEnd w:id="853"/>
      <w:bookmarkStart w:id="854" w:name="_Toc267251470"/>
      <w:bookmarkEnd w:id="854"/>
      <w:bookmarkStart w:id="855" w:name="_Toc297048409"/>
      <w:bookmarkEnd w:id="855"/>
      <w:bookmarkStart w:id="856" w:name="_Toc296891263"/>
      <w:bookmarkEnd w:id="856"/>
      <w:bookmarkStart w:id="857" w:name="_Toc267251475"/>
      <w:bookmarkEnd w:id="857"/>
      <w:bookmarkStart w:id="858" w:name="_Toc292559933"/>
      <w:bookmarkEnd w:id="858"/>
      <w:bookmarkStart w:id="859" w:name="_Toc296944562"/>
      <w:bookmarkEnd w:id="859"/>
      <w:bookmarkStart w:id="860" w:name="_Toc373478402"/>
      <w:bookmarkEnd w:id="860"/>
      <w:bookmarkStart w:id="861" w:name="_Toc23904"/>
      <w:bookmarkEnd w:id="861"/>
      <w:bookmarkStart w:id="862" w:name="_Toc267251474"/>
      <w:r>
        <w:rPr>
          <w:rStyle w:val="348"/>
          <w:rFonts w:hint="eastAsia" w:ascii="宋体" w:hAnsi="宋体" w:eastAsia="宋体" w:cs="宋体"/>
          <w:color w:val="auto"/>
          <w:sz w:val="24"/>
          <w:szCs w:val="24"/>
          <w:highlight w:val="none"/>
        </w:rPr>
        <w:t xml:space="preserve">13.2 </w:t>
      </w:r>
      <w:bookmarkEnd w:id="862"/>
      <w:r>
        <w:rPr>
          <w:rStyle w:val="348"/>
          <w:rFonts w:hint="eastAsia" w:ascii="宋体" w:hAnsi="宋体" w:eastAsia="宋体" w:cs="宋体"/>
          <w:color w:val="auto"/>
          <w:sz w:val="24"/>
          <w:szCs w:val="24"/>
          <w:highlight w:val="none"/>
        </w:rPr>
        <w:t>竣工验收</w:t>
      </w:r>
    </w:p>
    <w:p w14:paraId="3C7EC029">
      <w:pPr>
        <w:pStyle w:val="350"/>
        <w:spacing w:line="420" w:lineRule="exact"/>
        <w:ind w:firstLine="480" w:firstLineChars="200"/>
        <w:jc w:val="left"/>
        <w:outlineLvl w:val="4"/>
        <w:rPr>
          <w:rStyle w:val="348"/>
          <w:rFonts w:ascii="宋体" w:hAnsi="宋体" w:cs="宋体"/>
          <w:color w:val="auto"/>
          <w:sz w:val="24"/>
          <w:szCs w:val="24"/>
          <w:highlight w:val="none"/>
        </w:rPr>
      </w:pPr>
      <w:bookmarkStart w:id="863" w:name="_Toc280868705"/>
      <w:bookmarkEnd w:id="863"/>
      <w:bookmarkStart w:id="864" w:name="_Toc280868708"/>
      <w:bookmarkEnd w:id="864"/>
      <w:bookmarkStart w:id="865" w:name="_Toc280868704"/>
      <w:bookmarkEnd w:id="865"/>
      <w:bookmarkStart w:id="866" w:name="_Toc280868709"/>
      <w:bookmarkEnd w:id="866"/>
      <w:bookmarkStart w:id="867" w:name="_Toc280868707"/>
      <w:bookmarkEnd w:id="867"/>
      <w:bookmarkStart w:id="868" w:name="_Toc280868706"/>
      <w:bookmarkEnd w:id="868"/>
      <w:r>
        <w:rPr>
          <w:rStyle w:val="348"/>
          <w:rFonts w:hint="eastAsia" w:ascii="宋体" w:hAnsi="宋体" w:cs="宋体"/>
          <w:color w:val="auto"/>
          <w:sz w:val="24"/>
          <w:szCs w:val="24"/>
          <w:highlight w:val="none"/>
        </w:rPr>
        <w:t>13.2.1竣工验收条件</w:t>
      </w:r>
    </w:p>
    <w:p w14:paraId="676F2A02">
      <w:pPr>
        <w:pStyle w:val="350"/>
        <w:spacing w:line="420" w:lineRule="exact"/>
        <w:ind w:firstLine="480" w:firstLineChars="200"/>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（3）承包人负责整理和提交的竣工验收资料应当符合工程所在地建设行政主管部门和(或)城市建设档案管理机构有关施工资料的要求，具体内容包括：</w:t>
      </w:r>
      <w:r>
        <w:rPr>
          <w:rStyle w:val="348"/>
          <w:rFonts w:hint="eastAsia" w:ascii="宋体" w:hAnsi="宋体" w:cs="宋体"/>
          <w:color w:val="auto"/>
          <w:sz w:val="24"/>
          <w:szCs w:val="24"/>
          <w:highlight w:val="none"/>
          <w:u w:val="single"/>
        </w:rPr>
        <w:t>工程竣工资料（含竣工图）和工程竣工报告等</w:t>
      </w:r>
      <w:r>
        <w:rPr>
          <w:rStyle w:val="348"/>
          <w:rFonts w:hint="eastAsia" w:ascii="宋体" w:hAnsi="宋体" w:cs="宋体"/>
          <w:color w:val="auto"/>
          <w:sz w:val="24"/>
          <w:szCs w:val="24"/>
          <w:highlight w:val="none"/>
        </w:rPr>
        <w:t>。</w:t>
      </w:r>
    </w:p>
    <w:p w14:paraId="10E73351">
      <w:pPr>
        <w:pStyle w:val="350"/>
        <w:spacing w:line="420" w:lineRule="exact"/>
        <w:ind w:firstLine="480" w:firstLineChars="200"/>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竣工验收资料的份数：</w:t>
      </w:r>
      <w:r>
        <w:rPr>
          <w:rStyle w:val="348"/>
          <w:rFonts w:hint="eastAsia" w:ascii="宋体" w:hAnsi="宋体" w:cs="宋体"/>
          <w:color w:val="auto"/>
          <w:sz w:val="24"/>
          <w:szCs w:val="24"/>
          <w:highlight w:val="none"/>
          <w:u w:val="single"/>
        </w:rPr>
        <w:t xml:space="preserve"> 6套   </w:t>
      </w:r>
      <w:r>
        <w:rPr>
          <w:rStyle w:val="348"/>
          <w:rFonts w:hint="eastAsia" w:ascii="宋体" w:hAnsi="宋体" w:cs="宋体"/>
          <w:color w:val="auto"/>
          <w:sz w:val="24"/>
          <w:szCs w:val="24"/>
          <w:highlight w:val="none"/>
        </w:rPr>
        <w:t>。</w:t>
      </w:r>
    </w:p>
    <w:p w14:paraId="158619E8">
      <w:pPr>
        <w:pStyle w:val="350"/>
        <w:spacing w:line="420" w:lineRule="exact"/>
        <w:ind w:firstLine="480" w:firstLineChars="200"/>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承包人提供竣工图的约定：</w:t>
      </w:r>
      <w:r>
        <w:rPr>
          <w:rStyle w:val="348"/>
          <w:rFonts w:hint="eastAsia" w:ascii="宋体" w:hAnsi="宋体" w:cs="宋体"/>
          <w:color w:val="auto"/>
          <w:sz w:val="24"/>
          <w:szCs w:val="24"/>
          <w:highlight w:val="none"/>
          <w:u w:val="single"/>
        </w:rPr>
        <w:t>竣工验收正式通过后5天，提供竣工图的数量分别为6套，且必须为原件。</w:t>
      </w:r>
    </w:p>
    <w:p w14:paraId="7CEFA254">
      <w:pPr>
        <w:pStyle w:val="350"/>
        <w:spacing w:line="420" w:lineRule="exact"/>
        <w:ind w:firstLine="480" w:firstLineChars="200"/>
        <w:jc w:val="left"/>
        <w:outlineLvl w:val="4"/>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13.2.2竣工验收程序</w:t>
      </w:r>
    </w:p>
    <w:p w14:paraId="68D2F838">
      <w:pPr>
        <w:pStyle w:val="350"/>
        <w:spacing w:line="420" w:lineRule="exact"/>
        <w:ind w:firstLine="480" w:firstLineChars="200"/>
        <w:jc w:val="left"/>
        <w:rPr>
          <w:rStyle w:val="348"/>
          <w:rFonts w:ascii="宋体" w:hAnsi="宋体" w:cs="宋体"/>
          <w:color w:val="auto"/>
          <w:sz w:val="24"/>
          <w:szCs w:val="24"/>
          <w:highlight w:val="none"/>
          <w:u w:val="single"/>
        </w:rPr>
      </w:pPr>
      <w:r>
        <w:rPr>
          <w:rStyle w:val="348"/>
          <w:rFonts w:hint="eastAsia" w:ascii="宋体" w:hAnsi="宋体" w:cs="宋体"/>
          <w:color w:val="auto"/>
          <w:kern w:val="0"/>
          <w:sz w:val="24"/>
          <w:szCs w:val="24"/>
          <w:highlight w:val="none"/>
        </w:rPr>
        <w:t>关于竣工验收程序的约定：</w:t>
      </w:r>
      <w:r>
        <w:rPr>
          <w:rStyle w:val="348"/>
          <w:rFonts w:hint="eastAsia" w:ascii="宋体" w:hAnsi="宋体" w:cs="宋体"/>
          <w:color w:val="auto"/>
          <w:kern w:val="0"/>
          <w:sz w:val="24"/>
          <w:szCs w:val="24"/>
          <w:highlight w:val="none"/>
          <w:u w:val="single"/>
        </w:rPr>
        <w:t>按国家竣工验收规定及项目所在地建设行政管理部门规定要求执行</w:t>
      </w:r>
      <w:r>
        <w:rPr>
          <w:rStyle w:val="348"/>
          <w:rFonts w:hint="eastAsia" w:ascii="宋体" w:hAnsi="宋体" w:cs="宋体"/>
          <w:color w:val="auto"/>
          <w:sz w:val="24"/>
          <w:szCs w:val="24"/>
          <w:highlight w:val="none"/>
        </w:rPr>
        <w:t>。</w:t>
      </w:r>
    </w:p>
    <w:p w14:paraId="00B1727D">
      <w:pPr>
        <w:pStyle w:val="350"/>
        <w:spacing w:line="420" w:lineRule="exact"/>
        <w:ind w:firstLine="480" w:firstLineChars="200"/>
        <w:jc w:val="left"/>
        <w:rPr>
          <w:rStyle w:val="348"/>
          <w:rFonts w:ascii="宋体" w:hAnsi="宋体" w:cs="宋体"/>
          <w:color w:val="auto"/>
          <w:sz w:val="24"/>
          <w:szCs w:val="24"/>
          <w:highlight w:val="none"/>
        </w:rPr>
      </w:pPr>
      <w:r>
        <w:rPr>
          <w:rStyle w:val="348"/>
          <w:rFonts w:hint="eastAsia" w:ascii="宋体" w:hAnsi="宋体" w:cs="宋体"/>
          <w:color w:val="auto"/>
          <w:kern w:val="0"/>
          <w:sz w:val="24"/>
          <w:szCs w:val="24"/>
          <w:highlight w:val="none"/>
        </w:rPr>
        <w:t>发包人不按照本项约定组织竣工验收、颁发工程接收证书的违约金的计算方法：</w:t>
      </w:r>
      <w:r>
        <w:rPr>
          <w:rStyle w:val="348"/>
          <w:rFonts w:hint="eastAsia" w:ascii="宋体" w:hAnsi="宋体" w:cs="宋体"/>
          <w:b/>
          <w:bCs/>
          <w:color w:val="auto"/>
          <w:sz w:val="24"/>
          <w:szCs w:val="24"/>
          <w:highlight w:val="none"/>
          <w:u w:val="single"/>
        </w:rPr>
        <w:t>无</w:t>
      </w:r>
      <w:r>
        <w:rPr>
          <w:rStyle w:val="348"/>
          <w:rFonts w:hint="eastAsia" w:ascii="宋体" w:hAnsi="宋体" w:cs="宋体"/>
          <w:color w:val="auto"/>
          <w:sz w:val="24"/>
          <w:szCs w:val="24"/>
          <w:highlight w:val="none"/>
        </w:rPr>
        <w:t>。</w:t>
      </w:r>
    </w:p>
    <w:p w14:paraId="08F16D18">
      <w:pPr>
        <w:pStyle w:val="350"/>
        <w:spacing w:line="420" w:lineRule="exact"/>
        <w:ind w:firstLine="480" w:firstLineChars="200"/>
        <w:jc w:val="left"/>
        <w:outlineLvl w:val="4"/>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13.2.5移交、接收全部与部分工程</w:t>
      </w:r>
    </w:p>
    <w:p w14:paraId="1231F45E">
      <w:pPr>
        <w:pStyle w:val="350"/>
        <w:spacing w:line="420" w:lineRule="exact"/>
        <w:ind w:firstLine="480" w:firstLineChars="200"/>
        <w:jc w:val="left"/>
        <w:rPr>
          <w:rStyle w:val="348"/>
          <w:rFonts w:ascii="宋体" w:hAnsi="宋体" w:cs="宋体"/>
          <w:color w:val="auto"/>
          <w:kern w:val="0"/>
          <w:sz w:val="24"/>
          <w:szCs w:val="24"/>
          <w:highlight w:val="none"/>
        </w:rPr>
      </w:pPr>
      <w:r>
        <w:rPr>
          <w:rStyle w:val="348"/>
          <w:rFonts w:hint="eastAsia" w:ascii="宋体" w:hAnsi="宋体" w:cs="宋体"/>
          <w:color w:val="auto"/>
          <w:kern w:val="0"/>
          <w:sz w:val="24"/>
          <w:szCs w:val="24"/>
          <w:highlight w:val="none"/>
        </w:rPr>
        <w:t>承包人向发包人移交工程的期限：</w:t>
      </w:r>
      <w:r>
        <w:rPr>
          <w:rStyle w:val="348"/>
          <w:rFonts w:hint="eastAsia" w:ascii="宋体" w:hAnsi="宋体" w:cs="宋体"/>
          <w:b/>
          <w:bCs/>
          <w:color w:val="auto"/>
          <w:sz w:val="24"/>
          <w:szCs w:val="24"/>
          <w:highlight w:val="none"/>
          <w:u w:val="single"/>
        </w:rPr>
        <w:t>按通用合同条款13.2.5执行</w:t>
      </w:r>
      <w:r>
        <w:rPr>
          <w:rStyle w:val="348"/>
          <w:rFonts w:hint="eastAsia" w:ascii="宋体" w:hAnsi="宋体" w:cs="宋体"/>
          <w:color w:val="auto"/>
          <w:sz w:val="24"/>
          <w:szCs w:val="24"/>
          <w:highlight w:val="none"/>
        </w:rPr>
        <w:t>。</w:t>
      </w:r>
    </w:p>
    <w:p w14:paraId="1831FC5B">
      <w:pPr>
        <w:pStyle w:val="350"/>
        <w:spacing w:line="420" w:lineRule="exact"/>
        <w:ind w:firstLine="480" w:firstLineChars="200"/>
        <w:jc w:val="left"/>
        <w:rPr>
          <w:rStyle w:val="348"/>
          <w:rFonts w:ascii="宋体" w:hAnsi="宋体" w:cs="宋体"/>
          <w:color w:val="auto"/>
          <w:sz w:val="24"/>
          <w:szCs w:val="24"/>
          <w:highlight w:val="none"/>
          <w:u w:val="single"/>
        </w:rPr>
      </w:pPr>
      <w:r>
        <w:rPr>
          <w:rStyle w:val="348"/>
          <w:rFonts w:hint="eastAsia" w:ascii="宋体" w:hAnsi="宋体" w:cs="宋体"/>
          <w:color w:val="auto"/>
          <w:kern w:val="0"/>
          <w:sz w:val="24"/>
          <w:szCs w:val="24"/>
          <w:highlight w:val="none"/>
        </w:rPr>
        <w:t>发包人未按本合同约定接收全部或部分工程的，违约金的计算方法为：</w:t>
      </w:r>
      <w:r>
        <w:rPr>
          <w:rStyle w:val="348"/>
          <w:rFonts w:hint="eastAsia" w:ascii="宋体" w:hAnsi="宋体" w:cs="宋体"/>
          <w:b/>
          <w:bCs/>
          <w:color w:val="auto"/>
          <w:sz w:val="24"/>
          <w:szCs w:val="24"/>
          <w:highlight w:val="none"/>
          <w:u w:val="single"/>
        </w:rPr>
        <w:t>每逾期一天,发包人向承包人支付合同价款万分之四的违约金，违约金上限为：累计最高赔偿金额为合同协议书的合同价格的</w:t>
      </w:r>
      <w:r>
        <w:rPr>
          <w:rStyle w:val="348"/>
          <w:rFonts w:ascii="宋体" w:hAnsi="宋体" w:cs="宋体"/>
          <w:b/>
          <w:bCs/>
          <w:color w:val="auto"/>
          <w:sz w:val="24"/>
          <w:szCs w:val="24"/>
          <w:highlight w:val="none"/>
          <w:u w:val="single"/>
        </w:rPr>
        <w:t>5%</w:t>
      </w:r>
      <w:r>
        <w:rPr>
          <w:rStyle w:val="348"/>
          <w:rFonts w:hint="eastAsia" w:ascii="宋体" w:hAnsi="宋体" w:cs="宋体"/>
          <w:color w:val="auto"/>
          <w:sz w:val="24"/>
          <w:szCs w:val="24"/>
          <w:highlight w:val="none"/>
        </w:rPr>
        <w:t>。</w:t>
      </w:r>
    </w:p>
    <w:p w14:paraId="47EA0AFE">
      <w:pPr>
        <w:pStyle w:val="350"/>
        <w:spacing w:line="420" w:lineRule="exact"/>
        <w:ind w:firstLine="480" w:firstLineChars="200"/>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承包人未按时移交工程的，违约金的计算方法为：</w:t>
      </w:r>
      <w:r>
        <w:rPr>
          <w:rStyle w:val="348"/>
          <w:rFonts w:hint="eastAsia" w:ascii="宋体" w:hAnsi="宋体" w:cs="宋体"/>
          <w:b/>
          <w:bCs/>
          <w:color w:val="auto"/>
          <w:sz w:val="24"/>
          <w:szCs w:val="24"/>
          <w:highlight w:val="none"/>
          <w:u w:val="single"/>
        </w:rPr>
        <w:t>每逾期一天,承包人向发包人支付合同价款万分之四的违约金，违约金上限为：累计最高赔偿金额为合同协议书的合同价格的</w:t>
      </w:r>
      <w:r>
        <w:rPr>
          <w:rStyle w:val="348"/>
          <w:rFonts w:ascii="宋体" w:hAnsi="宋体" w:cs="宋体"/>
          <w:b/>
          <w:bCs/>
          <w:color w:val="auto"/>
          <w:sz w:val="24"/>
          <w:szCs w:val="24"/>
          <w:highlight w:val="none"/>
          <w:u w:val="single"/>
        </w:rPr>
        <w:t>5%</w:t>
      </w:r>
      <w:r>
        <w:rPr>
          <w:rStyle w:val="348"/>
          <w:rFonts w:hint="eastAsia" w:ascii="宋体" w:hAnsi="宋体" w:cs="宋体"/>
          <w:color w:val="auto"/>
          <w:sz w:val="24"/>
          <w:szCs w:val="24"/>
          <w:highlight w:val="none"/>
        </w:rPr>
        <w:t>。</w:t>
      </w:r>
    </w:p>
    <w:p w14:paraId="5B496354">
      <w:pPr>
        <w:pStyle w:val="354"/>
        <w:spacing w:line="420" w:lineRule="exact"/>
        <w:outlineLvl w:val="3"/>
        <w:rPr>
          <w:rStyle w:val="348"/>
          <w:rFonts w:ascii="宋体" w:hAnsi="宋体" w:eastAsia="宋体" w:cs="宋体"/>
          <w:color w:val="auto"/>
          <w:sz w:val="24"/>
          <w:szCs w:val="24"/>
          <w:highlight w:val="none"/>
        </w:rPr>
      </w:pPr>
      <w:bookmarkStart w:id="869" w:name="_Toc373478403"/>
      <w:bookmarkEnd w:id="869"/>
      <w:bookmarkStart w:id="870" w:name="_Toc2983"/>
      <w:bookmarkEnd w:id="870"/>
      <w:bookmarkStart w:id="871" w:name="_Toc373227756"/>
      <w:bookmarkEnd w:id="871"/>
      <w:bookmarkStart w:id="872" w:name="_Toc389065321"/>
      <w:r>
        <w:rPr>
          <w:rStyle w:val="348"/>
          <w:rFonts w:hint="eastAsia" w:ascii="宋体" w:hAnsi="宋体" w:eastAsia="宋体" w:cs="宋体"/>
          <w:color w:val="auto"/>
          <w:sz w:val="24"/>
          <w:szCs w:val="24"/>
          <w:highlight w:val="none"/>
        </w:rPr>
        <w:t xml:space="preserve">13.3 </w:t>
      </w:r>
      <w:bookmarkEnd w:id="872"/>
      <w:r>
        <w:rPr>
          <w:rStyle w:val="348"/>
          <w:rFonts w:hint="eastAsia" w:ascii="宋体" w:hAnsi="宋体" w:eastAsia="宋体" w:cs="宋体"/>
          <w:color w:val="auto"/>
          <w:sz w:val="24"/>
          <w:szCs w:val="24"/>
          <w:highlight w:val="none"/>
        </w:rPr>
        <w:t>工程试车</w:t>
      </w:r>
    </w:p>
    <w:p w14:paraId="4063F6FE">
      <w:pPr>
        <w:pStyle w:val="350"/>
        <w:spacing w:line="420" w:lineRule="exact"/>
        <w:ind w:firstLine="480" w:firstLineChars="200"/>
        <w:jc w:val="left"/>
        <w:outlineLvl w:val="4"/>
        <w:rPr>
          <w:rStyle w:val="348"/>
          <w:rFonts w:ascii="宋体" w:hAnsi="宋体" w:cs="宋体"/>
          <w:color w:val="auto"/>
          <w:kern w:val="0"/>
          <w:sz w:val="24"/>
          <w:szCs w:val="24"/>
          <w:highlight w:val="none"/>
        </w:rPr>
      </w:pPr>
      <w:r>
        <w:rPr>
          <w:rStyle w:val="348"/>
          <w:rFonts w:hint="eastAsia" w:ascii="宋体" w:hAnsi="宋体" w:cs="宋体"/>
          <w:color w:val="auto"/>
          <w:kern w:val="0"/>
          <w:sz w:val="24"/>
          <w:szCs w:val="24"/>
          <w:highlight w:val="none"/>
        </w:rPr>
        <w:t>13.3.1 试车程序</w:t>
      </w:r>
    </w:p>
    <w:p w14:paraId="35125F1F">
      <w:pPr>
        <w:pStyle w:val="350"/>
        <w:spacing w:line="420" w:lineRule="exact"/>
        <w:ind w:firstLine="480" w:firstLineChars="200"/>
        <w:jc w:val="left"/>
        <w:rPr>
          <w:rStyle w:val="348"/>
          <w:rFonts w:ascii="宋体" w:hAnsi="宋体" w:cs="宋体"/>
          <w:color w:val="auto"/>
          <w:sz w:val="24"/>
          <w:szCs w:val="24"/>
          <w:highlight w:val="none"/>
          <w:u w:val="single"/>
        </w:rPr>
      </w:pPr>
      <w:r>
        <w:rPr>
          <w:rStyle w:val="348"/>
          <w:rFonts w:hint="eastAsia" w:ascii="宋体" w:hAnsi="宋体" w:cs="宋体"/>
          <w:color w:val="auto"/>
          <w:kern w:val="0"/>
          <w:sz w:val="24"/>
          <w:szCs w:val="24"/>
          <w:highlight w:val="none"/>
        </w:rPr>
        <w:t>工程试车内容：</w:t>
      </w:r>
      <w:r>
        <w:rPr>
          <w:rStyle w:val="348"/>
          <w:rFonts w:hint="eastAsia" w:ascii="宋体" w:hAnsi="宋体" w:cs="宋体"/>
          <w:color w:val="auto"/>
          <w:sz w:val="24"/>
          <w:szCs w:val="24"/>
          <w:highlight w:val="none"/>
          <w:u w:val="single"/>
        </w:rPr>
        <w:t xml:space="preserve"> 无      </w:t>
      </w:r>
      <w:r>
        <w:rPr>
          <w:rStyle w:val="348"/>
          <w:rFonts w:hint="eastAsia" w:ascii="宋体" w:hAnsi="宋体" w:cs="宋体"/>
          <w:color w:val="auto"/>
          <w:sz w:val="24"/>
          <w:szCs w:val="24"/>
          <w:highlight w:val="none"/>
        </w:rPr>
        <w:t>。</w:t>
      </w:r>
    </w:p>
    <w:p w14:paraId="6C9994B6">
      <w:pPr>
        <w:pStyle w:val="350"/>
        <w:spacing w:line="420" w:lineRule="exact"/>
        <w:ind w:firstLine="480" w:firstLineChars="200"/>
        <w:jc w:val="left"/>
        <w:rPr>
          <w:rStyle w:val="348"/>
          <w:rFonts w:ascii="宋体" w:hAnsi="宋体" w:cs="宋体"/>
          <w:color w:val="auto"/>
          <w:kern w:val="0"/>
          <w:sz w:val="24"/>
          <w:szCs w:val="24"/>
          <w:highlight w:val="none"/>
        </w:rPr>
      </w:pPr>
      <w:r>
        <w:rPr>
          <w:rStyle w:val="348"/>
          <w:rFonts w:hint="eastAsia" w:ascii="宋体" w:hAnsi="宋体" w:cs="宋体"/>
          <w:color w:val="auto"/>
          <w:kern w:val="0"/>
          <w:sz w:val="24"/>
          <w:szCs w:val="24"/>
          <w:highlight w:val="none"/>
        </w:rPr>
        <w:t>（1）单机无负荷试车费用由</w:t>
      </w:r>
      <w:r>
        <w:rPr>
          <w:rStyle w:val="348"/>
          <w:rFonts w:hint="eastAsia" w:ascii="宋体" w:hAnsi="宋体" w:cs="宋体"/>
          <w:color w:val="auto"/>
          <w:sz w:val="24"/>
          <w:szCs w:val="24"/>
          <w:highlight w:val="none"/>
          <w:u w:val="single"/>
        </w:rPr>
        <w:t xml:space="preserve">          /           </w:t>
      </w:r>
      <w:r>
        <w:rPr>
          <w:rStyle w:val="348"/>
          <w:rFonts w:hint="eastAsia" w:ascii="宋体" w:hAnsi="宋体" w:cs="宋体"/>
          <w:color w:val="auto"/>
          <w:kern w:val="0"/>
          <w:sz w:val="24"/>
          <w:szCs w:val="24"/>
          <w:highlight w:val="none"/>
        </w:rPr>
        <w:t>承担；</w:t>
      </w:r>
    </w:p>
    <w:p w14:paraId="2C0D5678">
      <w:pPr>
        <w:pStyle w:val="350"/>
        <w:spacing w:line="420" w:lineRule="exact"/>
        <w:ind w:firstLine="480" w:firstLineChars="200"/>
        <w:jc w:val="left"/>
        <w:rPr>
          <w:rStyle w:val="348"/>
          <w:rFonts w:ascii="宋体" w:hAnsi="宋体" w:cs="宋体"/>
          <w:color w:val="auto"/>
          <w:kern w:val="0"/>
          <w:sz w:val="24"/>
          <w:szCs w:val="24"/>
          <w:highlight w:val="none"/>
        </w:rPr>
      </w:pPr>
      <w:r>
        <w:rPr>
          <w:rStyle w:val="348"/>
          <w:rFonts w:hint="eastAsia" w:ascii="宋体" w:hAnsi="宋体" w:cs="宋体"/>
          <w:color w:val="auto"/>
          <w:kern w:val="0"/>
          <w:sz w:val="24"/>
          <w:szCs w:val="24"/>
          <w:highlight w:val="none"/>
        </w:rPr>
        <w:t>（2）无负荷联动试车费用由</w:t>
      </w:r>
      <w:r>
        <w:rPr>
          <w:rStyle w:val="348"/>
          <w:rFonts w:hint="eastAsia" w:ascii="宋体" w:hAnsi="宋体" w:cs="宋体"/>
          <w:color w:val="auto"/>
          <w:sz w:val="24"/>
          <w:szCs w:val="24"/>
          <w:highlight w:val="none"/>
          <w:u w:val="single"/>
        </w:rPr>
        <w:t xml:space="preserve">         /            </w:t>
      </w:r>
      <w:r>
        <w:rPr>
          <w:rStyle w:val="348"/>
          <w:rFonts w:hint="eastAsia" w:ascii="宋体" w:hAnsi="宋体" w:cs="宋体"/>
          <w:color w:val="auto"/>
          <w:kern w:val="0"/>
          <w:sz w:val="24"/>
          <w:szCs w:val="24"/>
          <w:highlight w:val="none"/>
        </w:rPr>
        <w:t>承担。</w:t>
      </w:r>
    </w:p>
    <w:p w14:paraId="7A340953">
      <w:pPr>
        <w:pStyle w:val="350"/>
        <w:spacing w:line="420" w:lineRule="exact"/>
        <w:ind w:firstLine="480" w:firstLineChars="200"/>
        <w:jc w:val="left"/>
        <w:outlineLvl w:val="4"/>
        <w:rPr>
          <w:rStyle w:val="348"/>
          <w:rFonts w:ascii="宋体" w:hAnsi="宋体" w:cs="宋体"/>
          <w:color w:val="auto"/>
          <w:kern w:val="0"/>
          <w:sz w:val="24"/>
          <w:szCs w:val="24"/>
          <w:highlight w:val="none"/>
        </w:rPr>
      </w:pPr>
      <w:r>
        <w:rPr>
          <w:rStyle w:val="348"/>
          <w:rFonts w:hint="eastAsia" w:ascii="宋体" w:hAnsi="宋体" w:cs="宋体"/>
          <w:color w:val="auto"/>
          <w:kern w:val="0"/>
          <w:sz w:val="24"/>
          <w:szCs w:val="24"/>
          <w:highlight w:val="none"/>
        </w:rPr>
        <w:t>13.3.3 投料试车</w:t>
      </w:r>
    </w:p>
    <w:p w14:paraId="76A0DAE5">
      <w:pPr>
        <w:pStyle w:val="350"/>
        <w:spacing w:line="420" w:lineRule="exact"/>
        <w:ind w:firstLine="480" w:firstLineChars="200"/>
        <w:jc w:val="left"/>
        <w:rPr>
          <w:rStyle w:val="348"/>
          <w:rFonts w:ascii="宋体" w:hAnsi="宋体" w:cs="宋体"/>
          <w:color w:val="auto"/>
          <w:sz w:val="24"/>
          <w:szCs w:val="24"/>
          <w:highlight w:val="none"/>
          <w:u w:val="single"/>
        </w:rPr>
      </w:pPr>
      <w:r>
        <w:rPr>
          <w:rStyle w:val="348"/>
          <w:rFonts w:hint="eastAsia" w:ascii="宋体" w:hAnsi="宋体" w:cs="宋体"/>
          <w:color w:val="auto"/>
          <w:kern w:val="0"/>
          <w:sz w:val="24"/>
          <w:szCs w:val="24"/>
          <w:highlight w:val="none"/>
        </w:rPr>
        <w:t>关于投料试车相关事项的约定：</w:t>
      </w:r>
      <w:r>
        <w:rPr>
          <w:rStyle w:val="348"/>
          <w:rFonts w:hint="eastAsia" w:ascii="宋体" w:hAnsi="宋体" w:cs="宋体"/>
          <w:color w:val="auto"/>
          <w:sz w:val="24"/>
          <w:szCs w:val="24"/>
          <w:highlight w:val="none"/>
          <w:u w:val="single"/>
        </w:rPr>
        <w:t xml:space="preserve">     无        </w:t>
      </w:r>
      <w:r>
        <w:rPr>
          <w:rStyle w:val="348"/>
          <w:rFonts w:hint="eastAsia" w:ascii="宋体" w:hAnsi="宋体" w:cs="宋体"/>
          <w:color w:val="auto"/>
          <w:sz w:val="24"/>
          <w:szCs w:val="24"/>
          <w:highlight w:val="none"/>
        </w:rPr>
        <w:t>。</w:t>
      </w:r>
    </w:p>
    <w:p w14:paraId="2C75E08F">
      <w:pPr>
        <w:pStyle w:val="354"/>
        <w:spacing w:line="420" w:lineRule="exact"/>
        <w:outlineLvl w:val="3"/>
        <w:rPr>
          <w:rStyle w:val="348"/>
          <w:rFonts w:ascii="宋体" w:hAnsi="宋体" w:eastAsia="宋体" w:cs="宋体"/>
          <w:color w:val="auto"/>
          <w:sz w:val="24"/>
          <w:szCs w:val="24"/>
          <w:highlight w:val="none"/>
        </w:rPr>
      </w:pPr>
      <w:bookmarkStart w:id="873" w:name="_Toc31058"/>
      <w:bookmarkEnd w:id="873"/>
      <w:bookmarkStart w:id="874" w:name="_Toc373478404"/>
      <w:bookmarkEnd w:id="874"/>
      <w:bookmarkStart w:id="875" w:name="_Toc389065322"/>
      <w:bookmarkEnd w:id="875"/>
      <w:bookmarkStart w:id="876" w:name="_Toc373227757"/>
      <w:r>
        <w:rPr>
          <w:rStyle w:val="348"/>
          <w:rFonts w:hint="eastAsia" w:ascii="宋体" w:hAnsi="宋体" w:eastAsia="宋体" w:cs="宋体"/>
          <w:color w:val="auto"/>
          <w:sz w:val="24"/>
          <w:szCs w:val="24"/>
          <w:highlight w:val="none"/>
        </w:rPr>
        <w:t xml:space="preserve">13.6 </w:t>
      </w:r>
      <w:bookmarkEnd w:id="876"/>
      <w:r>
        <w:rPr>
          <w:rStyle w:val="348"/>
          <w:rFonts w:hint="eastAsia" w:ascii="宋体" w:hAnsi="宋体" w:eastAsia="宋体" w:cs="宋体"/>
          <w:color w:val="auto"/>
          <w:sz w:val="24"/>
          <w:szCs w:val="24"/>
          <w:highlight w:val="none"/>
        </w:rPr>
        <w:t>竣工退场</w:t>
      </w:r>
    </w:p>
    <w:p w14:paraId="1D249D2C">
      <w:pPr>
        <w:pStyle w:val="350"/>
        <w:spacing w:line="420" w:lineRule="exact"/>
        <w:ind w:firstLine="480" w:firstLineChars="200"/>
        <w:jc w:val="left"/>
        <w:outlineLvl w:val="4"/>
        <w:rPr>
          <w:rStyle w:val="348"/>
          <w:rFonts w:ascii="宋体" w:hAnsi="宋体" w:cs="宋体"/>
          <w:color w:val="auto"/>
          <w:kern w:val="0"/>
          <w:sz w:val="24"/>
          <w:szCs w:val="24"/>
          <w:highlight w:val="none"/>
        </w:rPr>
      </w:pPr>
      <w:bookmarkStart w:id="877" w:name="_Toc4778"/>
      <w:r>
        <w:rPr>
          <w:rStyle w:val="348"/>
          <w:rFonts w:hint="eastAsia" w:ascii="宋体" w:hAnsi="宋体" w:cs="宋体"/>
          <w:color w:val="auto"/>
          <w:kern w:val="0"/>
          <w:sz w:val="24"/>
          <w:szCs w:val="24"/>
          <w:highlight w:val="none"/>
        </w:rPr>
        <w:t>13.6.1 竣工退场</w:t>
      </w:r>
      <w:bookmarkEnd w:id="877"/>
    </w:p>
    <w:p w14:paraId="7801BC18">
      <w:pPr>
        <w:pStyle w:val="350"/>
        <w:spacing w:line="420" w:lineRule="exact"/>
        <w:ind w:firstLine="480" w:firstLineChars="200"/>
        <w:jc w:val="left"/>
        <w:rPr>
          <w:rStyle w:val="348"/>
          <w:rFonts w:ascii="宋体" w:hAnsi="宋体" w:cs="宋体"/>
          <w:color w:val="auto"/>
          <w:kern w:val="0"/>
          <w:sz w:val="24"/>
          <w:szCs w:val="24"/>
          <w:highlight w:val="none"/>
        </w:rPr>
      </w:pPr>
      <w:r>
        <w:rPr>
          <w:rStyle w:val="348"/>
          <w:rFonts w:hint="eastAsia" w:ascii="宋体" w:hAnsi="宋体" w:cs="宋体"/>
          <w:color w:val="auto"/>
          <w:kern w:val="0"/>
          <w:sz w:val="24"/>
          <w:szCs w:val="24"/>
          <w:highlight w:val="none"/>
        </w:rPr>
        <w:t>承包人完成竣工退场的期限：</w:t>
      </w:r>
      <w:r>
        <w:rPr>
          <w:rStyle w:val="348"/>
          <w:rFonts w:hint="eastAsia" w:ascii="宋体" w:hAnsi="宋体" w:cs="宋体"/>
          <w:color w:val="auto"/>
          <w:sz w:val="24"/>
          <w:szCs w:val="24"/>
          <w:highlight w:val="none"/>
          <w:u w:val="single"/>
        </w:rPr>
        <w:t xml:space="preserve"> </w:t>
      </w:r>
      <w:r>
        <w:rPr>
          <w:rStyle w:val="348"/>
          <w:rFonts w:hint="eastAsia" w:ascii="宋体" w:hAnsi="宋体" w:cs="宋体"/>
          <w:color w:val="auto"/>
          <w:kern w:val="0"/>
          <w:sz w:val="24"/>
          <w:szCs w:val="24"/>
          <w:highlight w:val="none"/>
          <w:u w:val="single"/>
        </w:rPr>
        <w:t>按发包人要求</w:t>
      </w:r>
      <w:r>
        <w:rPr>
          <w:rStyle w:val="348"/>
          <w:rFonts w:hint="eastAsia" w:ascii="宋体" w:hAnsi="宋体" w:cs="宋体"/>
          <w:color w:val="auto"/>
          <w:sz w:val="24"/>
          <w:szCs w:val="24"/>
          <w:highlight w:val="none"/>
          <w:u w:val="single"/>
        </w:rPr>
        <w:t xml:space="preserve">   </w:t>
      </w:r>
      <w:r>
        <w:rPr>
          <w:rStyle w:val="348"/>
          <w:rFonts w:hint="eastAsia" w:ascii="宋体" w:hAnsi="宋体" w:cs="宋体"/>
          <w:color w:val="auto"/>
          <w:kern w:val="0"/>
          <w:sz w:val="24"/>
          <w:szCs w:val="24"/>
          <w:highlight w:val="none"/>
        </w:rPr>
        <w:t>。</w:t>
      </w:r>
    </w:p>
    <w:p w14:paraId="01D9FE39">
      <w:pPr>
        <w:pStyle w:val="350"/>
        <w:spacing w:line="420" w:lineRule="exact"/>
        <w:ind w:firstLine="480" w:firstLineChars="200"/>
        <w:jc w:val="left"/>
        <w:rPr>
          <w:rStyle w:val="348"/>
          <w:rFonts w:ascii="宋体" w:hAnsi="宋体" w:cs="宋体"/>
          <w:color w:val="auto"/>
          <w:kern w:val="0"/>
          <w:sz w:val="24"/>
          <w:szCs w:val="24"/>
          <w:highlight w:val="none"/>
        </w:rPr>
      </w:pPr>
      <w:r>
        <w:rPr>
          <w:rStyle w:val="348"/>
          <w:rFonts w:hint="eastAsia" w:ascii="宋体" w:hAnsi="宋体" w:cs="宋体"/>
          <w:color w:val="auto"/>
          <w:sz w:val="24"/>
          <w:szCs w:val="24"/>
          <w:highlight w:val="none"/>
        </w:rPr>
        <w:t>承包人应按相关条款完工撤场，如承包人不能及时拆除或清理，发包人处承包人1万元的违约金，同时发包人将直接委托第三方强行拆除并清理，由此产生的费用（发包人仅需书面告知且加收20%的管理费）及造成发包人的损失由承包人承担。</w:t>
      </w:r>
    </w:p>
    <w:p w14:paraId="50D23808">
      <w:pPr>
        <w:pStyle w:val="349"/>
        <w:numPr>
          <w:ilvl w:val="0"/>
          <w:numId w:val="3"/>
        </w:numPr>
        <w:spacing w:before="0" w:after="0" w:line="420" w:lineRule="exact"/>
        <w:outlineLvl w:val="2"/>
        <w:rPr>
          <w:rStyle w:val="348"/>
          <w:rFonts w:ascii="宋体" w:hAnsi="宋体" w:eastAsia="宋体" w:cs="宋体"/>
          <w:color w:val="auto"/>
          <w:sz w:val="24"/>
          <w:szCs w:val="24"/>
          <w:highlight w:val="none"/>
        </w:rPr>
      </w:pPr>
      <w:bookmarkStart w:id="878" w:name="_Toc351203646"/>
      <w:bookmarkEnd w:id="878"/>
      <w:bookmarkStart w:id="879" w:name="_Toc389065323"/>
      <w:bookmarkEnd w:id="879"/>
      <w:bookmarkStart w:id="880" w:name="_Toc373227758"/>
      <w:bookmarkEnd w:id="880"/>
      <w:bookmarkStart w:id="881" w:name="_Toc20157"/>
      <w:bookmarkEnd w:id="881"/>
      <w:bookmarkStart w:id="882" w:name="_Toc373478405"/>
      <w:r>
        <w:rPr>
          <w:rStyle w:val="348"/>
          <w:rFonts w:hint="eastAsia" w:ascii="宋体" w:hAnsi="宋体" w:eastAsia="宋体" w:cs="宋体"/>
          <w:color w:val="auto"/>
          <w:sz w:val="24"/>
          <w:szCs w:val="24"/>
          <w:highlight w:val="none"/>
        </w:rPr>
        <w:t>竣工结算</w:t>
      </w:r>
      <w:bookmarkEnd w:id="882"/>
    </w:p>
    <w:p w14:paraId="15486975">
      <w:pPr>
        <w:pStyle w:val="354"/>
        <w:spacing w:line="420" w:lineRule="exact"/>
        <w:outlineLvl w:val="3"/>
        <w:rPr>
          <w:rStyle w:val="348"/>
          <w:rFonts w:ascii="宋体" w:hAnsi="宋体" w:eastAsia="宋体" w:cs="宋体"/>
          <w:color w:val="auto"/>
          <w:sz w:val="24"/>
          <w:szCs w:val="24"/>
          <w:highlight w:val="none"/>
        </w:rPr>
      </w:pPr>
      <w:bookmarkStart w:id="883" w:name="_Toc7016"/>
      <w:bookmarkEnd w:id="883"/>
      <w:bookmarkStart w:id="884" w:name="_Toc373478406"/>
      <w:bookmarkEnd w:id="884"/>
      <w:bookmarkStart w:id="885" w:name="_Toc373227759"/>
      <w:bookmarkEnd w:id="885"/>
      <w:bookmarkStart w:id="886" w:name="_Toc389065324"/>
      <w:r>
        <w:rPr>
          <w:rStyle w:val="348"/>
          <w:rFonts w:hint="eastAsia" w:ascii="宋体" w:hAnsi="宋体" w:eastAsia="宋体" w:cs="宋体"/>
          <w:color w:val="auto"/>
          <w:sz w:val="24"/>
          <w:szCs w:val="24"/>
          <w:highlight w:val="none"/>
        </w:rPr>
        <w:t xml:space="preserve">14.1 </w:t>
      </w:r>
      <w:bookmarkEnd w:id="886"/>
      <w:r>
        <w:rPr>
          <w:rStyle w:val="348"/>
          <w:rFonts w:hint="eastAsia" w:ascii="宋体" w:hAnsi="宋体" w:eastAsia="宋体" w:cs="宋体"/>
          <w:color w:val="auto"/>
          <w:sz w:val="24"/>
          <w:szCs w:val="24"/>
          <w:highlight w:val="none"/>
        </w:rPr>
        <w:t>竣工付款申请</w:t>
      </w:r>
    </w:p>
    <w:p w14:paraId="7BE4220D">
      <w:pPr>
        <w:pStyle w:val="363"/>
        <w:spacing w:line="420" w:lineRule="exact"/>
        <w:ind w:firstLine="480" w:firstLineChars="200"/>
        <w:jc w:val="left"/>
        <w:rPr>
          <w:rStyle w:val="348"/>
          <w:rFonts w:ascii="宋体" w:hAnsi="宋体" w:cs="宋体"/>
          <w:color w:val="auto"/>
          <w:sz w:val="24"/>
          <w:szCs w:val="24"/>
          <w:highlight w:val="none"/>
        </w:rPr>
      </w:pPr>
      <w:bookmarkStart w:id="887" w:name="_Toc389065325"/>
      <w:bookmarkEnd w:id="887"/>
      <w:bookmarkStart w:id="888" w:name="_Toc373478407"/>
      <w:bookmarkEnd w:id="888"/>
      <w:bookmarkStart w:id="889" w:name="_Toc373227760"/>
      <w:r>
        <w:rPr>
          <w:rStyle w:val="348"/>
          <w:rFonts w:hint="eastAsia" w:ascii="宋体" w:hAnsi="宋体" w:cs="宋体"/>
          <w:color w:val="auto"/>
          <w:sz w:val="24"/>
          <w:szCs w:val="24"/>
          <w:highlight w:val="none"/>
        </w:rPr>
        <w:t>承包人提交竣工付款申请单的期限：</w:t>
      </w:r>
      <w:bookmarkEnd w:id="889"/>
      <w:r>
        <w:rPr>
          <w:rStyle w:val="348"/>
          <w:rFonts w:hint="eastAsia" w:ascii="宋体" w:hAnsi="宋体" w:cs="宋体"/>
          <w:color w:val="auto"/>
          <w:sz w:val="24"/>
          <w:szCs w:val="24"/>
          <w:highlight w:val="none"/>
          <w:u w:val="single"/>
        </w:rPr>
        <w:t xml:space="preserve"> </w:t>
      </w:r>
      <w:r>
        <w:rPr>
          <w:rStyle w:val="348"/>
          <w:rFonts w:hint="eastAsia" w:ascii="宋体" w:hAnsi="宋体" w:cs="宋体"/>
          <w:b/>
          <w:bCs/>
          <w:color w:val="auto"/>
          <w:sz w:val="24"/>
          <w:szCs w:val="24"/>
          <w:highlight w:val="none"/>
          <w:u w:val="single"/>
        </w:rPr>
        <w:t>工程竣工经双方核对并确认结算金额28日内承包人提交</w:t>
      </w:r>
      <w:r>
        <w:rPr>
          <w:rStyle w:val="348"/>
          <w:rFonts w:hint="eastAsia" w:ascii="宋体" w:hAnsi="宋体" w:cs="宋体"/>
          <w:color w:val="auto"/>
          <w:sz w:val="24"/>
          <w:szCs w:val="24"/>
          <w:highlight w:val="none"/>
        </w:rPr>
        <w:t>竣工付款申请单</w:t>
      </w:r>
      <w:r>
        <w:rPr>
          <w:rStyle w:val="348"/>
          <w:rFonts w:hint="eastAsia" w:ascii="宋体" w:hAnsi="宋体" w:cs="宋体"/>
          <w:b/>
          <w:bCs/>
          <w:color w:val="auto"/>
          <w:sz w:val="24"/>
          <w:szCs w:val="24"/>
          <w:highlight w:val="none"/>
          <w:u w:val="single"/>
        </w:rPr>
        <w:t>给发包人</w:t>
      </w:r>
      <w:r>
        <w:rPr>
          <w:rStyle w:val="348"/>
          <w:rFonts w:hint="eastAsia" w:ascii="宋体" w:hAnsi="宋体" w:cs="宋体"/>
          <w:color w:val="auto"/>
          <w:sz w:val="24"/>
          <w:szCs w:val="24"/>
          <w:highlight w:val="none"/>
        </w:rPr>
        <w:t>。</w:t>
      </w:r>
    </w:p>
    <w:p w14:paraId="44D17DB2">
      <w:pPr>
        <w:pStyle w:val="350"/>
        <w:spacing w:line="420" w:lineRule="exact"/>
        <w:ind w:firstLine="480" w:firstLineChars="200"/>
        <w:jc w:val="left"/>
        <w:rPr>
          <w:rStyle w:val="348"/>
          <w:rFonts w:ascii="宋体" w:hAnsi="宋体" w:cs="宋体"/>
          <w:color w:val="auto"/>
          <w:sz w:val="24"/>
          <w:szCs w:val="24"/>
          <w:highlight w:val="none"/>
          <w:u w:val="single"/>
        </w:rPr>
      </w:pPr>
      <w:r>
        <w:rPr>
          <w:rStyle w:val="348"/>
          <w:rFonts w:hint="eastAsia" w:ascii="宋体" w:hAnsi="宋体" w:cs="宋体"/>
          <w:color w:val="auto"/>
          <w:sz w:val="24"/>
          <w:szCs w:val="24"/>
          <w:highlight w:val="none"/>
        </w:rPr>
        <w:t>竣工付款申请单应包括的内容：</w:t>
      </w:r>
      <w:r>
        <w:rPr>
          <w:rStyle w:val="348"/>
          <w:rFonts w:hint="eastAsia" w:ascii="宋体" w:hAnsi="宋体" w:cs="宋体"/>
          <w:b/>
          <w:bCs/>
          <w:color w:val="auto"/>
          <w:sz w:val="24"/>
          <w:szCs w:val="24"/>
          <w:highlight w:val="none"/>
          <w:u w:val="single"/>
        </w:rPr>
        <w:t xml:space="preserve">合同、响应文件、工程量计算书、结算书、签证单、竣工图等发包人要求的结算审核资料 </w:t>
      </w:r>
      <w:r>
        <w:rPr>
          <w:rStyle w:val="348"/>
          <w:rFonts w:hint="eastAsia" w:ascii="宋体" w:hAnsi="宋体" w:cs="宋体"/>
          <w:color w:val="auto"/>
          <w:sz w:val="24"/>
          <w:szCs w:val="24"/>
          <w:highlight w:val="none"/>
        </w:rPr>
        <w:t>。竣工结算款支付申请（核准）表见合同附件12。</w:t>
      </w:r>
    </w:p>
    <w:p w14:paraId="12E096D2">
      <w:pPr>
        <w:pStyle w:val="354"/>
        <w:spacing w:line="420" w:lineRule="exact"/>
        <w:outlineLvl w:val="3"/>
        <w:rPr>
          <w:rStyle w:val="348"/>
          <w:rFonts w:hint="eastAsia" w:ascii="宋体" w:hAnsi="宋体" w:eastAsia="宋体" w:cs="宋体"/>
          <w:color w:val="auto"/>
          <w:sz w:val="24"/>
          <w:szCs w:val="24"/>
          <w:highlight w:val="none"/>
        </w:rPr>
      </w:pPr>
      <w:bookmarkStart w:id="890" w:name="_Toc5653"/>
      <w:bookmarkEnd w:id="890"/>
      <w:r>
        <w:rPr>
          <w:rStyle w:val="348"/>
          <w:rFonts w:hint="eastAsia" w:ascii="宋体" w:hAnsi="宋体" w:eastAsia="宋体" w:cs="宋体"/>
          <w:color w:val="auto"/>
          <w:sz w:val="24"/>
          <w:szCs w:val="24"/>
          <w:highlight w:val="none"/>
        </w:rPr>
        <w:t>14.2 竣工结算审核</w:t>
      </w:r>
    </w:p>
    <w:p w14:paraId="6D2CDD45">
      <w:pPr>
        <w:pStyle w:val="350"/>
        <w:spacing w:line="420" w:lineRule="exact"/>
        <w:rPr>
          <w:rStyle w:val="348"/>
          <w:rFonts w:hint="eastAsia" w:ascii="宋体" w:hAnsi="宋体" w:cs="宋体"/>
          <w:color w:val="auto"/>
          <w:sz w:val="24"/>
          <w:szCs w:val="24"/>
          <w:highlight w:val="none"/>
        </w:rPr>
      </w:pPr>
      <w:r>
        <w:rPr>
          <w:rStyle w:val="348"/>
          <w:rFonts w:hint="eastAsia" w:ascii="宋体" w:hAnsi="宋体" w:cs="宋体"/>
          <w:color w:val="auto"/>
          <w:sz w:val="24"/>
          <w:szCs w:val="24"/>
          <w:highlight w:val="none"/>
        </w:rPr>
        <w:t xml:space="preserve"> </w:t>
      </w:r>
      <w:r>
        <w:rPr>
          <w:rStyle w:val="348"/>
          <w:rFonts w:ascii="宋体" w:hAnsi="宋体" w:cs="宋体"/>
          <w:color w:val="auto"/>
          <w:sz w:val="24"/>
          <w:szCs w:val="24"/>
          <w:highlight w:val="none"/>
        </w:rPr>
        <w:t xml:space="preserve">  </w:t>
      </w:r>
      <w:r>
        <w:rPr>
          <w:rStyle w:val="348"/>
          <w:rFonts w:hint="eastAsia" w:ascii="宋体" w:hAnsi="宋体" w:cs="宋体"/>
          <w:color w:val="auto"/>
          <w:sz w:val="24"/>
          <w:szCs w:val="24"/>
          <w:highlight w:val="none"/>
        </w:rPr>
        <w:t>结算审核约定：</w:t>
      </w:r>
    </w:p>
    <w:p w14:paraId="3F0A6CB6">
      <w:pPr>
        <w:pStyle w:val="350"/>
        <w:spacing w:line="420" w:lineRule="exact"/>
        <w:ind w:firstLine="480" w:firstLineChars="200"/>
        <w:rPr>
          <w:rStyle w:val="348"/>
          <w:rFonts w:hint="eastAsia" w:ascii="宋体" w:hAnsi="宋体" w:cs="宋体"/>
          <w:color w:val="auto"/>
          <w:sz w:val="24"/>
          <w:szCs w:val="24"/>
          <w:highlight w:val="none"/>
        </w:rPr>
      </w:pPr>
      <w:r>
        <w:rPr>
          <w:rStyle w:val="348"/>
          <w:rFonts w:hint="eastAsia" w:ascii="宋体" w:hAnsi="宋体" w:cs="宋体"/>
          <w:color w:val="auto"/>
          <w:sz w:val="24"/>
          <w:szCs w:val="24"/>
          <w:highlight w:val="none"/>
        </w:rPr>
        <w:t>（</w:t>
      </w:r>
      <w:r>
        <w:rPr>
          <w:rStyle w:val="348"/>
          <w:rFonts w:ascii="宋体" w:hAnsi="宋体" w:cs="宋体"/>
          <w:color w:val="auto"/>
          <w:sz w:val="24"/>
          <w:szCs w:val="24"/>
          <w:highlight w:val="none"/>
        </w:rPr>
        <w:t>1）工程竣工验收后，发包人接到承包人提交的结算报告、完整结算资料提出结算审核意见，并由发包人或发包人委托的有资质的造价咨询机构与承包人进行核对。</w:t>
      </w:r>
    </w:p>
    <w:p w14:paraId="293276B0">
      <w:pPr>
        <w:pStyle w:val="350"/>
        <w:spacing w:line="420" w:lineRule="exact"/>
        <w:ind w:firstLine="480" w:firstLineChars="200"/>
        <w:rPr>
          <w:rStyle w:val="348"/>
          <w:rFonts w:hint="eastAsia" w:ascii="宋体" w:hAnsi="宋体" w:cs="宋体"/>
          <w:color w:val="auto"/>
          <w:sz w:val="24"/>
          <w:szCs w:val="24"/>
          <w:highlight w:val="none"/>
        </w:rPr>
      </w:pPr>
      <w:r>
        <w:rPr>
          <w:rStyle w:val="348"/>
          <w:rFonts w:hint="eastAsia" w:ascii="宋体" w:hAnsi="宋体" w:cs="宋体"/>
          <w:color w:val="auto"/>
          <w:sz w:val="24"/>
          <w:szCs w:val="24"/>
          <w:highlight w:val="none"/>
        </w:rPr>
        <w:t>（</w:t>
      </w:r>
      <w:r>
        <w:rPr>
          <w:rStyle w:val="348"/>
          <w:rFonts w:ascii="宋体" w:hAnsi="宋体" w:cs="宋体"/>
          <w:color w:val="auto"/>
          <w:sz w:val="24"/>
          <w:szCs w:val="24"/>
          <w:highlight w:val="none"/>
        </w:rPr>
        <w:t>2）承包人逾期未提交完整、合格的结算资料，则发包人进行单方结算，发包人同时认为承包人放弃该阶段支付申请权利。</w:t>
      </w:r>
    </w:p>
    <w:p w14:paraId="4ECCBE26">
      <w:pPr>
        <w:pStyle w:val="350"/>
        <w:spacing w:line="420" w:lineRule="exact"/>
        <w:ind w:firstLine="480" w:firstLineChars="200"/>
        <w:rPr>
          <w:rStyle w:val="348"/>
          <w:rFonts w:hint="eastAsia" w:ascii="宋体" w:hAnsi="宋体" w:cs="宋体"/>
          <w:color w:val="auto"/>
          <w:sz w:val="24"/>
          <w:szCs w:val="24"/>
          <w:highlight w:val="none"/>
        </w:rPr>
      </w:pPr>
      <w:r>
        <w:rPr>
          <w:rStyle w:val="348"/>
          <w:rFonts w:hint="eastAsia" w:ascii="宋体" w:hAnsi="宋体" w:cs="宋体"/>
          <w:color w:val="auto"/>
          <w:sz w:val="24"/>
          <w:szCs w:val="24"/>
          <w:highlight w:val="none"/>
        </w:rPr>
        <w:t>（</w:t>
      </w:r>
      <w:r>
        <w:rPr>
          <w:rStyle w:val="348"/>
          <w:rFonts w:ascii="宋体" w:hAnsi="宋体" w:cs="宋体"/>
          <w:color w:val="auto"/>
          <w:sz w:val="24"/>
          <w:szCs w:val="24"/>
          <w:highlight w:val="none"/>
        </w:rPr>
        <w:t>3）</w:t>
      </w:r>
      <w:r>
        <w:rPr>
          <w:rStyle w:val="348"/>
          <w:rFonts w:hint="eastAsia" w:ascii="宋体" w:hAnsi="宋体" w:cs="宋体"/>
          <w:color w:val="auto"/>
          <w:sz w:val="24"/>
          <w:szCs w:val="24"/>
          <w:highlight w:val="none"/>
        </w:rPr>
        <w:t>工程结算审核服务费</w:t>
      </w:r>
      <w:r>
        <w:rPr>
          <w:rStyle w:val="348"/>
          <w:rFonts w:ascii="宋体" w:hAnsi="宋体" w:cs="宋体"/>
          <w:color w:val="auto"/>
          <w:sz w:val="24"/>
          <w:szCs w:val="24"/>
          <w:highlight w:val="none"/>
        </w:rPr>
        <w:t>:工程结算以发包人或第三方审定为准。如承包人报送的工程竣工结算总价过高，造成该结算审减率超过5%以上，则超出5%以上部分的审核费，由承包人承担，费用由发包人从承包人工程结算款中扣除。计算公式如下：</w:t>
      </w:r>
    </w:p>
    <w:p w14:paraId="6B60281B">
      <w:pPr>
        <w:pStyle w:val="350"/>
        <w:spacing w:line="420" w:lineRule="exact"/>
        <w:ind w:firstLine="480" w:firstLineChars="200"/>
        <w:rPr>
          <w:rStyle w:val="348"/>
          <w:rFonts w:hint="eastAsia" w:ascii="宋体" w:hAnsi="宋体" w:cs="宋体"/>
          <w:color w:val="auto"/>
          <w:sz w:val="24"/>
          <w:szCs w:val="24"/>
          <w:highlight w:val="none"/>
        </w:rPr>
      </w:pPr>
      <w:r>
        <w:rPr>
          <w:rStyle w:val="348"/>
          <w:rFonts w:hint="eastAsia" w:ascii="宋体" w:hAnsi="宋体" w:cs="宋体"/>
          <w:color w:val="auto"/>
          <w:sz w:val="24"/>
          <w:szCs w:val="24"/>
          <w:highlight w:val="none"/>
        </w:rPr>
        <w:t>审减率</w:t>
      </w:r>
      <w:r>
        <w:rPr>
          <w:rStyle w:val="348"/>
          <w:rFonts w:ascii="宋体" w:hAnsi="宋体" w:cs="宋体"/>
          <w:color w:val="auto"/>
          <w:sz w:val="24"/>
          <w:szCs w:val="24"/>
          <w:highlight w:val="none"/>
        </w:rPr>
        <w:t>=（送审造价-审定造价）/送审造价*100%</w:t>
      </w:r>
    </w:p>
    <w:p w14:paraId="54D975B9">
      <w:pPr>
        <w:pStyle w:val="350"/>
        <w:spacing w:line="420" w:lineRule="exact"/>
        <w:ind w:firstLine="480" w:firstLineChars="200"/>
        <w:rPr>
          <w:rStyle w:val="348"/>
          <w:rFonts w:hint="eastAsia" w:ascii="宋体" w:hAnsi="宋体" w:cs="宋体"/>
          <w:color w:val="auto"/>
          <w:sz w:val="24"/>
          <w:szCs w:val="24"/>
          <w:highlight w:val="none"/>
        </w:rPr>
      </w:pPr>
      <w:r>
        <w:rPr>
          <w:rStyle w:val="348"/>
          <w:rFonts w:hint="eastAsia" w:ascii="宋体" w:hAnsi="宋体" w:cs="宋体"/>
          <w:color w:val="auto"/>
          <w:sz w:val="24"/>
          <w:szCs w:val="24"/>
          <w:highlight w:val="none"/>
        </w:rPr>
        <w:t>承包人应承担的审核费</w:t>
      </w:r>
      <w:r>
        <w:rPr>
          <w:rStyle w:val="348"/>
          <w:rFonts w:ascii="宋体" w:hAnsi="宋体" w:cs="宋体"/>
          <w:color w:val="auto"/>
          <w:sz w:val="24"/>
          <w:szCs w:val="24"/>
          <w:highlight w:val="none"/>
        </w:rPr>
        <w:t>=（净审减额-送审额*5%）*核减效益费率</w:t>
      </w:r>
    </w:p>
    <w:p w14:paraId="772D5335">
      <w:pPr>
        <w:pStyle w:val="350"/>
        <w:spacing w:line="420" w:lineRule="exact"/>
        <w:ind w:firstLine="480" w:firstLineChars="200"/>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净审减额</w:t>
      </w:r>
      <w:r>
        <w:rPr>
          <w:rStyle w:val="348"/>
          <w:rFonts w:ascii="宋体" w:hAnsi="宋体" w:cs="宋体"/>
          <w:color w:val="auto"/>
          <w:sz w:val="24"/>
          <w:szCs w:val="24"/>
          <w:highlight w:val="none"/>
        </w:rPr>
        <w:t>=送审造价-审定造价</w:t>
      </w:r>
    </w:p>
    <w:p w14:paraId="04BF436D">
      <w:pPr>
        <w:pStyle w:val="350"/>
        <w:spacing w:line="420" w:lineRule="exact"/>
        <w:ind w:firstLine="480" w:firstLineChars="200"/>
        <w:rPr>
          <w:rStyle w:val="348"/>
          <w:rFonts w:ascii="宋体" w:hAnsi="宋体" w:cs="宋体"/>
          <w:color w:val="auto"/>
          <w:sz w:val="24"/>
          <w:szCs w:val="24"/>
          <w:highlight w:val="none"/>
        </w:rPr>
      </w:pPr>
      <w:r>
        <w:rPr>
          <w:rStyle w:val="348"/>
          <w:rFonts w:ascii="宋体" w:hAnsi="宋体" w:cs="宋体"/>
          <w:color w:val="auto"/>
          <w:sz w:val="24"/>
          <w:szCs w:val="24"/>
          <w:highlight w:val="none"/>
        </w:rPr>
        <w:t>核减效益费率根据</w:t>
      </w:r>
      <w:r>
        <w:rPr>
          <w:rStyle w:val="348"/>
          <w:rFonts w:hint="eastAsia" w:ascii="宋体" w:hAnsi="宋体" w:cs="宋体"/>
          <w:color w:val="auto"/>
          <w:sz w:val="24"/>
          <w:szCs w:val="24"/>
          <w:highlight w:val="none"/>
        </w:rPr>
        <w:t>《关于印发〈广西建设工程造价咨询服务行业收费参考标准〉的通知》（</w:t>
      </w:r>
      <w:r>
        <w:rPr>
          <w:rStyle w:val="348"/>
          <w:rFonts w:ascii="宋体" w:hAnsi="宋体" w:cs="宋体"/>
          <w:color w:val="auto"/>
          <w:sz w:val="24"/>
          <w:szCs w:val="24"/>
          <w:highlight w:val="none"/>
        </w:rPr>
        <w:t>桂价协字[2019]15号</w:t>
      </w:r>
      <w:r>
        <w:rPr>
          <w:rStyle w:val="348"/>
          <w:rFonts w:hint="eastAsia" w:ascii="宋体" w:hAnsi="宋体" w:cs="宋体"/>
          <w:color w:val="auto"/>
          <w:sz w:val="24"/>
          <w:szCs w:val="24"/>
          <w:highlight w:val="none"/>
        </w:rPr>
        <w:t>）</w:t>
      </w:r>
      <w:r>
        <w:rPr>
          <w:rStyle w:val="348"/>
          <w:rFonts w:ascii="宋体" w:hAnsi="宋体" w:cs="宋体"/>
          <w:color w:val="auto"/>
          <w:sz w:val="24"/>
          <w:szCs w:val="24"/>
          <w:highlight w:val="none"/>
        </w:rPr>
        <w:t>相关收费标准计取。</w:t>
      </w:r>
    </w:p>
    <w:p w14:paraId="06AAA1F9">
      <w:pPr>
        <w:rPr>
          <w:rFonts w:hint="eastAsia"/>
          <w:color w:val="auto"/>
          <w:highlight w:val="none"/>
        </w:rPr>
      </w:pPr>
    </w:p>
    <w:p w14:paraId="167F5B9D">
      <w:pPr>
        <w:pStyle w:val="350"/>
        <w:spacing w:line="420" w:lineRule="exact"/>
        <w:ind w:firstLine="480" w:firstLineChars="200"/>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发包人审批竣工付款申请单的期限：</w:t>
      </w:r>
    </w:p>
    <w:tbl>
      <w:tblPr>
        <w:tblStyle w:val="5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2466"/>
        <w:gridCol w:w="5967"/>
      </w:tblGrid>
      <w:tr w14:paraId="002B3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4AF72B80">
            <w:pPr>
              <w:pStyle w:val="350"/>
              <w:spacing w:line="420" w:lineRule="exact"/>
              <w:rPr>
                <w:rStyle w:val="348"/>
                <w:rFonts w:ascii="宋体" w:hAnsi="宋体" w:cs="宋体"/>
                <w:color w:val="auto"/>
                <w:sz w:val="24"/>
                <w:szCs w:val="24"/>
                <w:highlight w:val="none"/>
              </w:rPr>
            </w:pPr>
          </w:p>
        </w:tc>
        <w:tc>
          <w:tcPr>
            <w:tcW w:w="2466" w:type="dxa"/>
            <w:tcBorders>
              <w:top w:val="single" w:color="auto" w:sz="4" w:space="0"/>
              <w:left w:val="nil"/>
              <w:bottom w:val="single" w:color="auto" w:sz="4" w:space="0"/>
              <w:right w:val="single" w:color="auto" w:sz="4" w:space="0"/>
            </w:tcBorders>
            <w:noWrap w:val="0"/>
            <w:vAlign w:val="center"/>
          </w:tcPr>
          <w:p w14:paraId="7D0B31E2">
            <w:pPr>
              <w:pStyle w:val="350"/>
              <w:spacing w:line="420" w:lineRule="exact"/>
              <w:ind w:firstLine="31" w:firstLineChars="13"/>
              <w:jc w:val="center"/>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工程竣工结算报告金额</w:t>
            </w:r>
          </w:p>
        </w:tc>
        <w:tc>
          <w:tcPr>
            <w:tcW w:w="5967" w:type="dxa"/>
            <w:tcBorders>
              <w:top w:val="single" w:color="auto" w:sz="4" w:space="0"/>
              <w:left w:val="nil"/>
              <w:bottom w:val="single" w:color="auto" w:sz="4" w:space="0"/>
              <w:right w:val="single" w:color="auto" w:sz="4" w:space="0"/>
            </w:tcBorders>
            <w:noWrap w:val="0"/>
            <w:vAlign w:val="center"/>
          </w:tcPr>
          <w:p w14:paraId="59F04995">
            <w:pPr>
              <w:pStyle w:val="350"/>
              <w:spacing w:line="420" w:lineRule="exact"/>
              <w:ind w:firstLine="504" w:firstLineChars="210"/>
              <w:jc w:val="center"/>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发包人审查时间</w:t>
            </w:r>
          </w:p>
        </w:tc>
      </w:tr>
      <w:tr w14:paraId="45AA9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5AF11EAB">
            <w:pPr>
              <w:pStyle w:val="350"/>
              <w:spacing w:line="420" w:lineRule="exact"/>
              <w:jc w:val="center"/>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1</w:t>
            </w:r>
          </w:p>
        </w:tc>
        <w:tc>
          <w:tcPr>
            <w:tcW w:w="2466" w:type="dxa"/>
            <w:tcBorders>
              <w:top w:val="single" w:color="auto" w:sz="4" w:space="0"/>
              <w:left w:val="nil"/>
              <w:bottom w:val="single" w:color="auto" w:sz="4" w:space="0"/>
              <w:right w:val="single" w:color="auto" w:sz="4" w:space="0"/>
            </w:tcBorders>
            <w:noWrap w:val="0"/>
            <w:vAlign w:val="center"/>
          </w:tcPr>
          <w:p w14:paraId="475625A8">
            <w:pPr>
              <w:pStyle w:val="350"/>
              <w:spacing w:line="420" w:lineRule="exact"/>
              <w:ind w:firstLine="31" w:firstLineChars="13"/>
              <w:jc w:val="center"/>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500万元以下</w:t>
            </w:r>
          </w:p>
        </w:tc>
        <w:tc>
          <w:tcPr>
            <w:tcW w:w="5967" w:type="dxa"/>
            <w:tcBorders>
              <w:top w:val="single" w:color="auto" w:sz="4" w:space="0"/>
              <w:left w:val="nil"/>
              <w:bottom w:val="single" w:color="auto" w:sz="4" w:space="0"/>
              <w:right w:val="single" w:color="auto" w:sz="4" w:space="0"/>
            </w:tcBorders>
            <w:noWrap w:val="0"/>
            <w:vAlign w:val="center"/>
          </w:tcPr>
          <w:p w14:paraId="3F0A7321">
            <w:pPr>
              <w:pStyle w:val="350"/>
              <w:spacing w:line="420" w:lineRule="exact"/>
              <w:ind w:firstLine="504" w:firstLineChars="210"/>
              <w:jc w:val="center"/>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从接到竣工结算报告和完整的竣工结算资料之日起20天</w:t>
            </w:r>
          </w:p>
        </w:tc>
      </w:tr>
      <w:tr w14:paraId="4F82B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589B0BE4">
            <w:pPr>
              <w:pStyle w:val="350"/>
              <w:spacing w:line="420" w:lineRule="exact"/>
              <w:jc w:val="center"/>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2</w:t>
            </w:r>
          </w:p>
        </w:tc>
        <w:tc>
          <w:tcPr>
            <w:tcW w:w="2466" w:type="dxa"/>
            <w:tcBorders>
              <w:top w:val="single" w:color="auto" w:sz="4" w:space="0"/>
              <w:left w:val="nil"/>
              <w:bottom w:val="single" w:color="auto" w:sz="4" w:space="0"/>
              <w:right w:val="single" w:color="auto" w:sz="4" w:space="0"/>
            </w:tcBorders>
            <w:noWrap w:val="0"/>
            <w:vAlign w:val="center"/>
          </w:tcPr>
          <w:p w14:paraId="685A4B5D">
            <w:pPr>
              <w:pStyle w:val="350"/>
              <w:spacing w:line="420" w:lineRule="exact"/>
              <w:ind w:firstLine="31" w:firstLineChars="13"/>
              <w:jc w:val="center"/>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500万元-2000万元</w:t>
            </w:r>
          </w:p>
        </w:tc>
        <w:tc>
          <w:tcPr>
            <w:tcW w:w="5967" w:type="dxa"/>
            <w:tcBorders>
              <w:top w:val="single" w:color="auto" w:sz="4" w:space="0"/>
              <w:left w:val="nil"/>
              <w:bottom w:val="single" w:color="auto" w:sz="4" w:space="0"/>
              <w:right w:val="single" w:color="auto" w:sz="4" w:space="0"/>
            </w:tcBorders>
            <w:noWrap w:val="0"/>
            <w:vAlign w:val="center"/>
          </w:tcPr>
          <w:p w14:paraId="319F98FA">
            <w:pPr>
              <w:pStyle w:val="350"/>
              <w:spacing w:line="420" w:lineRule="exact"/>
              <w:ind w:firstLine="504" w:firstLineChars="210"/>
              <w:jc w:val="center"/>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从接到竣工结算报告和完整的竣工结算资料之日起30天</w:t>
            </w:r>
          </w:p>
        </w:tc>
      </w:tr>
      <w:tr w14:paraId="06613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5DD7D757">
            <w:pPr>
              <w:pStyle w:val="350"/>
              <w:spacing w:line="420" w:lineRule="exact"/>
              <w:jc w:val="center"/>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3</w:t>
            </w:r>
          </w:p>
        </w:tc>
        <w:tc>
          <w:tcPr>
            <w:tcW w:w="2466" w:type="dxa"/>
            <w:tcBorders>
              <w:top w:val="single" w:color="auto" w:sz="4" w:space="0"/>
              <w:left w:val="nil"/>
              <w:bottom w:val="single" w:color="auto" w:sz="4" w:space="0"/>
              <w:right w:val="single" w:color="auto" w:sz="4" w:space="0"/>
            </w:tcBorders>
            <w:noWrap w:val="0"/>
            <w:vAlign w:val="center"/>
          </w:tcPr>
          <w:p w14:paraId="2102713A">
            <w:pPr>
              <w:pStyle w:val="350"/>
              <w:spacing w:line="420" w:lineRule="exact"/>
              <w:ind w:firstLine="31" w:firstLineChars="13"/>
              <w:jc w:val="center"/>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2000万元-5000万元</w:t>
            </w:r>
          </w:p>
        </w:tc>
        <w:tc>
          <w:tcPr>
            <w:tcW w:w="5967" w:type="dxa"/>
            <w:tcBorders>
              <w:top w:val="single" w:color="auto" w:sz="4" w:space="0"/>
              <w:left w:val="nil"/>
              <w:bottom w:val="single" w:color="auto" w:sz="4" w:space="0"/>
              <w:right w:val="single" w:color="auto" w:sz="4" w:space="0"/>
            </w:tcBorders>
            <w:noWrap w:val="0"/>
            <w:vAlign w:val="center"/>
          </w:tcPr>
          <w:p w14:paraId="37D26EFA">
            <w:pPr>
              <w:pStyle w:val="350"/>
              <w:spacing w:line="420" w:lineRule="exact"/>
              <w:ind w:firstLine="504" w:firstLineChars="210"/>
              <w:jc w:val="center"/>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从接到竣工结算报告和完整的竣工结算资料之日起45天</w:t>
            </w:r>
          </w:p>
        </w:tc>
      </w:tr>
      <w:tr w14:paraId="53903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46AC48DA">
            <w:pPr>
              <w:pStyle w:val="350"/>
              <w:spacing w:line="420" w:lineRule="exact"/>
              <w:jc w:val="center"/>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4</w:t>
            </w:r>
          </w:p>
        </w:tc>
        <w:tc>
          <w:tcPr>
            <w:tcW w:w="2466" w:type="dxa"/>
            <w:tcBorders>
              <w:top w:val="single" w:color="auto" w:sz="4" w:space="0"/>
              <w:left w:val="nil"/>
              <w:bottom w:val="single" w:color="auto" w:sz="4" w:space="0"/>
              <w:right w:val="single" w:color="auto" w:sz="4" w:space="0"/>
            </w:tcBorders>
            <w:noWrap w:val="0"/>
            <w:vAlign w:val="center"/>
          </w:tcPr>
          <w:p w14:paraId="6255577F">
            <w:pPr>
              <w:pStyle w:val="350"/>
              <w:spacing w:line="420" w:lineRule="exact"/>
              <w:ind w:firstLine="31" w:firstLineChars="13"/>
              <w:jc w:val="center"/>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5000万元以上</w:t>
            </w:r>
          </w:p>
        </w:tc>
        <w:tc>
          <w:tcPr>
            <w:tcW w:w="5967" w:type="dxa"/>
            <w:tcBorders>
              <w:top w:val="single" w:color="auto" w:sz="4" w:space="0"/>
              <w:left w:val="nil"/>
              <w:bottom w:val="single" w:color="auto" w:sz="4" w:space="0"/>
              <w:right w:val="single" w:color="auto" w:sz="4" w:space="0"/>
            </w:tcBorders>
            <w:noWrap w:val="0"/>
            <w:vAlign w:val="center"/>
          </w:tcPr>
          <w:p w14:paraId="779D5DAE">
            <w:pPr>
              <w:pStyle w:val="350"/>
              <w:spacing w:line="420" w:lineRule="exact"/>
              <w:ind w:firstLine="504" w:firstLineChars="210"/>
              <w:jc w:val="center"/>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从接到竣工结算报告和完整的竣工结算资料之日起60天</w:t>
            </w:r>
          </w:p>
        </w:tc>
      </w:tr>
      <w:tr w14:paraId="6697C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0FC66561">
            <w:pPr>
              <w:pStyle w:val="350"/>
              <w:spacing w:line="420" w:lineRule="exact"/>
              <w:jc w:val="center"/>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5</w:t>
            </w:r>
          </w:p>
        </w:tc>
        <w:tc>
          <w:tcPr>
            <w:tcW w:w="2466" w:type="dxa"/>
            <w:tcBorders>
              <w:top w:val="single" w:color="auto" w:sz="4" w:space="0"/>
              <w:left w:val="nil"/>
              <w:bottom w:val="single" w:color="auto" w:sz="4" w:space="0"/>
              <w:right w:val="single" w:color="auto" w:sz="4" w:space="0"/>
            </w:tcBorders>
            <w:noWrap w:val="0"/>
            <w:vAlign w:val="center"/>
          </w:tcPr>
          <w:p w14:paraId="70AA8F23">
            <w:pPr>
              <w:pStyle w:val="350"/>
              <w:spacing w:line="420" w:lineRule="exact"/>
              <w:ind w:firstLine="31" w:firstLineChars="13"/>
              <w:jc w:val="center"/>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5000万以上每增加0.5亿(不足0.5亿不增加)</w:t>
            </w:r>
          </w:p>
        </w:tc>
        <w:tc>
          <w:tcPr>
            <w:tcW w:w="5967" w:type="dxa"/>
            <w:tcBorders>
              <w:top w:val="single" w:color="auto" w:sz="4" w:space="0"/>
              <w:left w:val="nil"/>
              <w:bottom w:val="single" w:color="auto" w:sz="4" w:space="0"/>
              <w:right w:val="single" w:color="auto" w:sz="4" w:space="0"/>
            </w:tcBorders>
            <w:noWrap w:val="0"/>
            <w:vAlign w:val="center"/>
          </w:tcPr>
          <w:p w14:paraId="24049367">
            <w:pPr>
              <w:pStyle w:val="350"/>
              <w:spacing w:line="420" w:lineRule="exact"/>
              <w:ind w:firstLine="504" w:firstLineChars="210"/>
              <w:jc w:val="center"/>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增加10天</w:t>
            </w:r>
          </w:p>
        </w:tc>
      </w:tr>
    </w:tbl>
    <w:p w14:paraId="7E15DEBA">
      <w:pPr>
        <w:pStyle w:val="350"/>
        <w:spacing w:line="420" w:lineRule="exact"/>
        <w:ind w:firstLine="480" w:firstLineChars="200"/>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因承包人提供的结算资料不完整而需要补充或承包人不按时对账耽误时间时，审查时间应相应顺延。</w:t>
      </w:r>
    </w:p>
    <w:p w14:paraId="1EC1C22E">
      <w:pPr>
        <w:pStyle w:val="350"/>
        <w:spacing w:line="420" w:lineRule="exact"/>
        <w:ind w:firstLine="470" w:firstLineChars="196"/>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竣工结算审核约定：</w:t>
      </w:r>
    </w:p>
    <w:p w14:paraId="3E46A825">
      <w:pPr>
        <w:spacing w:line="420" w:lineRule="exact"/>
        <w:ind w:firstLine="470" w:firstLineChars="196"/>
        <w:rPr>
          <w:rFonts w:ascii="宋体" w:hAnsi="宋体" w:eastAsia="宋体" w:cs="宋体"/>
          <w:bCs/>
          <w:color w:val="auto"/>
          <w:sz w:val="24"/>
          <w:highlight w:val="none"/>
          <w:u w:val="single"/>
        </w:rPr>
      </w:pPr>
      <w:r>
        <w:rPr>
          <w:rFonts w:hint="eastAsia" w:ascii="宋体" w:hAnsi="宋体" w:eastAsia="宋体" w:cs="宋体"/>
          <w:bCs/>
          <w:color w:val="auto"/>
          <w:sz w:val="24"/>
          <w:highlight w:val="none"/>
        </w:rPr>
        <w:t>非国有投资项目：</w:t>
      </w:r>
      <w:r>
        <w:rPr>
          <w:rFonts w:hint="eastAsia" w:ascii="宋体" w:hAnsi="宋体" w:eastAsia="宋体" w:cs="宋体"/>
          <w:bCs/>
          <w:color w:val="auto"/>
          <w:sz w:val="24"/>
          <w:highlight w:val="none"/>
          <w:u w:val="single"/>
        </w:rPr>
        <w:t>1、工程竣工验收报告经发包人认可后20天内，承包人向发包人递交竣工验收合格资料及完整的结算资料和报告，双方按照协议书约定的合同价款及专用条款约定的合同价调整内容，进行工程竣工结算。2、发包人收到承包人递交的竣工结算报告及结算资料之日起20天内进行审核，给予确认或者提出初审意见。发包人逾期不予审定结算的视为发包人已同意上述竣工结算报告及结算资料，并以此作为最终结算的依据。承包人应根据发包人的需要随时将竣工工程交付发包人。</w:t>
      </w:r>
    </w:p>
    <w:p w14:paraId="30AD87D7">
      <w:pPr>
        <w:pStyle w:val="350"/>
        <w:spacing w:line="420" w:lineRule="exact"/>
        <w:ind w:firstLine="470" w:firstLineChars="196"/>
        <w:rPr>
          <w:rStyle w:val="348"/>
          <w:rFonts w:ascii="宋体" w:hAnsi="宋体" w:cs="宋体"/>
          <w:color w:val="auto"/>
          <w:sz w:val="24"/>
          <w:szCs w:val="24"/>
          <w:highlight w:val="none"/>
        </w:rPr>
      </w:pPr>
      <w:r>
        <w:rPr>
          <w:rFonts w:hint="eastAsia" w:ascii="宋体" w:hAnsi="宋体" w:cs="宋体"/>
          <w:bCs/>
          <w:color w:val="auto"/>
          <w:sz w:val="24"/>
          <w:szCs w:val="24"/>
          <w:highlight w:val="none"/>
        </w:rPr>
        <w:t>国有投资项目：</w:t>
      </w:r>
      <w:r>
        <w:rPr>
          <w:rFonts w:hint="eastAsia" w:ascii="宋体" w:hAnsi="宋体" w:cs="宋体"/>
          <w:bCs/>
          <w:color w:val="auto"/>
          <w:sz w:val="24"/>
          <w:szCs w:val="24"/>
          <w:highlight w:val="none"/>
          <w:u w:val="single"/>
        </w:rPr>
        <w:t xml:space="preserve">（双方结合各地政府或有关部门管理规定进行局部调整）  </w:t>
      </w:r>
    </w:p>
    <w:p w14:paraId="5EDCE0D8">
      <w:pPr>
        <w:pStyle w:val="350"/>
        <w:spacing w:line="420" w:lineRule="exact"/>
        <w:ind w:firstLine="480" w:firstLineChars="200"/>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发包人完成竣工付款的期限：</w:t>
      </w:r>
      <w:r>
        <w:rPr>
          <w:rStyle w:val="348"/>
          <w:rFonts w:hint="eastAsia" w:ascii="宋体" w:hAnsi="宋体" w:cs="宋体"/>
          <w:b/>
          <w:bCs/>
          <w:color w:val="auto"/>
          <w:sz w:val="24"/>
          <w:szCs w:val="24"/>
          <w:highlight w:val="none"/>
          <w:u w:val="single"/>
        </w:rPr>
        <w:t xml:space="preserve">      56天内     </w:t>
      </w:r>
      <w:r>
        <w:rPr>
          <w:rStyle w:val="348"/>
          <w:rFonts w:hint="eastAsia" w:ascii="宋体" w:hAnsi="宋体" w:cs="宋体"/>
          <w:color w:val="auto"/>
          <w:sz w:val="24"/>
          <w:szCs w:val="24"/>
          <w:highlight w:val="none"/>
        </w:rPr>
        <w:t>。</w:t>
      </w:r>
    </w:p>
    <w:p w14:paraId="353548BF">
      <w:pPr>
        <w:pStyle w:val="350"/>
        <w:spacing w:line="420" w:lineRule="exact"/>
        <w:ind w:firstLine="480" w:firstLineChars="200"/>
        <w:jc w:val="left"/>
        <w:rPr>
          <w:rStyle w:val="348"/>
          <w:rFonts w:ascii="宋体" w:hAnsi="宋体" w:cs="宋体"/>
          <w:color w:val="auto"/>
          <w:sz w:val="24"/>
          <w:szCs w:val="24"/>
          <w:highlight w:val="none"/>
          <w:u w:val="single"/>
        </w:rPr>
      </w:pPr>
      <w:r>
        <w:rPr>
          <w:rStyle w:val="348"/>
          <w:rFonts w:hint="eastAsia" w:ascii="宋体" w:hAnsi="宋体" w:cs="宋体"/>
          <w:color w:val="auto"/>
          <w:sz w:val="24"/>
          <w:szCs w:val="24"/>
          <w:highlight w:val="none"/>
        </w:rPr>
        <w:t>关于竣工付款证书异议部分复核的方式和程序：</w:t>
      </w:r>
      <w:r>
        <w:rPr>
          <w:rStyle w:val="348"/>
          <w:rFonts w:hint="eastAsia" w:ascii="宋体" w:hAnsi="宋体" w:cs="宋体"/>
          <w:color w:val="auto"/>
          <w:sz w:val="24"/>
          <w:szCs w:val="24"/>
          <w:highlight w:val="none"/>
          <w:u w:val="single"/>
        </w:rPr>
        <w:t xml:space="preserve">发包人与承包人协商解决 </w:t>
      </w:r>
      <w:r>
        <w:rPr>
          <w:rStyle w:val="348"/>
          <w:rFonts w:hint="eastAsia" w:ascii="宋体" w:hAnsi="宋体" w:cs="宋体"/>
          <w:color w:val="auto"/>
          <w:sz w:val="24"/>
          <w:szCs w:val="24"/>
          <w:highlight w:val="none"/>
        </w:rPr>
        <w:t>。</w:t>
      </w:r>
    </w:p>
    <w:p w14:paraId="65B36C3D">
      <w:pPr>
        <w:pStyle w:val="354"/>
        <w:spacing w:line="420" w:lineRule="exact"/>
        <w:outlineLvl w:val="3"/>
        <w:rPr>
          <w:rStyle w:val="348"/>
          <w:rFonts w:ascii="宋体" w:hAnsi="宋体" w:eastAsia="宋体" w:cs="宋体"/>
          <w:color w:val="auto"/>
          <w:sz w:val="24"/>
          <w:szCs w:val="24"/>
          <w:highlight w:val="none"/>
        </w:rPr>
      </w:pPr>
      <w:bookmarkStart w:id="891" w:name="_Toc28081"/>
      <w:bookmarkEnd w:id="891"/>
      <w:bookmarkStart w:id="892" w:name="_Toc389065326"/>
      <w:bookmarkEnd w:id="892"/>
      <w:bookmarkStart w:id="893" w:name="_Toc373227761"/>
      <w:bookmarkEnd w:id="893"/>
      <w:bookmarkStart w:id="894" w:name="_Toc373478408"/>
      <w:r>
        <w:rPr>
          <w:rStyle w:val="348"/>
          <w:rFonts w:hint="eastAsia" w:ascii="宋体" w:hAnsi="宋体" w:eastAsia="宋体" w:cs="宋体"/>
          <w:color w:val="auto"/>
          <w:sz w:val="24"/>
          <w:szCs w:val="24"/>
          <w:highlight w:val="none"/>
        </w:rPr>
        <w:t xml:space="preserve">14.4 </w:t>
      </w:r>
      <w:bookmarkEnd w:id="894"/>
      <w:r>
        <w:rPr>
          <w:rStyle w:val="348"/>
          <w:rFonts w:hint="eastAsia" w:ascii="宋体" w:hAnsi="宋体" w:eastAsia="宋体" w:cs="宋体"/>
          <w:color w:val="auto"/>
          <w:sz w:val="24"/>
          <w:szCs w:val="24"/>
          <w:highlight w:val="none"/>
        </w:rPr>
        <w:t>最终结清</w:t>
      </w:r>
    </w:p>
    <w:p w14:paraId="18ED2AD0">
      <w:pPr>
        <w:pStyle w:val="350"/>
        <w:spacing w:line="420" w:lineRule="exact"/>
        <w:ind w:firstLine="480" w:firstLineChars="200"/>
        <w:jc w:val="left"/>
        <w:outlineLvl w:val="4"/>
        <w:rPr>
          <w:rStyle w:val="348"/>
          <w:rFonts w:ascii="宋体" w:hAnsi="宋体" w:cs="宋体"/>
          <w:color w:val="auto"/>
          <w:kern w:val="0"/>
          <w:sz w:val="24"/>
          <w:szCs w:val="24"/>
          <w:highlight w:val="none"/>
        </w:rPr>
      </w:pPr>
      <w:r>
        <w:rPr>
          <w:rStyle w:val="348"/>
          <w:rFonts w:hint="eastAsia" w:ascii="宋体" w:hAnsi="宋体" w:cs="宋体"/>
          <w:color w:val="auto"/>
          <w:kern w:val="0"/>
          <w:sz w:val="24"/>
          <w:szCs w:val="24"/>
          <w:highlight w:val="none"/>
        </w:rPr>
        <w:t>14.4.1 最终结清申请单</w:t>
      </w:r>
    </w:p>
    <w:p w14:paraId="1A1E1BA1">
      <w:pPr>
        <w:pStyle w:val="350"/>
        <w:spacing w:line="420" w:lineRule="exact"/>
        <w:ind w:firstLine="480" w:firstLineChars="200"/>
        <w:jc w:val="left"/>
        <w:rPr>
          <w:rStyle w:val="348"/>
          <w:rFonts w:ascii="宋体" w:hAnsi="宋体" w:cs="宋体"/>
          <w:color w:val="auto"/>
          <w:kern w:val="0"/>
          <w:sz w:val="24"/>
          <w:szCs w:val="24"/>
          <w:highlight w:val="none"/>
        </w:rPr>
      </w:pPr>
      <w:r>
        <w:rPr>
          <w:rStyle w:val="348"/>
          <w:rFonts w:hint="eastAsia" w:ascii="宋体" w:hAnsi="宋体" w:cs="宋体"/>
          <w:color w:val="auto"/>
          <w:kern w:val="0"/>
          <w:sz w:val="24"/>
          <w:szCs w:val="24"/>
          <w:highlight w:val="none"/>
        </w:rPr>
        <w:t>承包人提交最终结清申请单的份数：</w:t>
      </w:r>
      <w:r>
        <w:rPr>
          <w:rStyle w:val="348"/>
          <w:rFonts w:hint="eastAsia" w:ascii="宋体" w:hAnsi="宋体" w:cs="宋体"/>
          <w:color w:val="auto"/>
          <w:sz w:val="24"/>
          <w:szCs w:val="24"/>
          <w:highlight w:val="none"/>
          <w:u w:val="single"/>
        </w:rPr>
        <w:t>4份</w:t>
      </w:r>
      <w:r>
        <w:rPr>
          <w:rStyle w:val="348"/>
          <w:rFonts w:hint="eastAsia" w:ascii="宋体" w:hAnsi="宋体" w:cs="宋体"/>
          <w:color w:val="auto"/>
          <w:sz w:val="24"/>
          <w:szCs w:val="24"/>
          <w:highlight w:val="none"/>
        </w:rPr>
        <w:t>。</w:t>
      </w:r>
    </w:p>
    <w:p w14:paraId="4B8D714E">
      <w:pPr>
        <w:pStyle w:val="350"/>
        <w:spacing w:line="420" w:lineRule="exact"/>
        <w:ind w:firstLine="480" w:firstLineChars="200"/>
        <w:jc w:val="left"/>
        <w:rPr>
          <w:rStyle w:val="348"/>
          <w:rFonts w:ascii="宋体" w:hAnsi="宋体" w:cs="宋体"/>
          <w:color w:val="auto"/>
          <w:sz w:val="24"/>
          <w:szCs w:val="24"/>
          <w:highlight w:val="none"/>
        </w:rPr>
      </w:pPr>
      <w:r>
        <w:rPr>
          <w:rStyle w:val="348"/>
          <w:rFonts w:hint="eastAsia" w:ascii="宋体" w:hAnsi="宋体" w:cs="宋体"/>
          <w:color w:val="auto"/>
          <w:kern w:val="0"/>
          <w:sz w:val="24"/>
          <w:szCs w:val="24"/>
          <w:highlight w:val="none"/>
        </w:rPr>
        <w:t>承包人提交最终结算申请单的期限：</w:t>
      </w:r>
      <w:r>
        <w:rPr>
          <w:rStyle w:val="348"/>
          <w:rFonts w:hint="eastAsia" w:ascii="宋体" w:hAnsi="宋体" w:cs="宋体"/>
          <w:b/>
          <w:bCs/>
          <w:color w:val="auto"/>
          <w:sz w:val="24"/>
          <w:szCs w:val="24"/>
          <w:highlight w:val="none"/>
          <w:u w:val="single"/>
        </w:rPr>
        <w:t>按通用合同条款14.4.1执行</w:t>
      </w:r>
      <w:r>
        <w:rPr>
          <w:rStyle w:val="348"/>
          <w:rFonts w:hint="eastAsia" w:ascii="宋体" w:hAnsi="宋体" w:cs="宋体"/>
          <w:color w:val="auto"/>
          <w:sz w:val="24"/>
          <w:szCs w:val="24"/>
          <w:highlight w:val="none"/>
        </w:rPr>
        <w:t xml:space="preserve">。 </w:t>
      </w:r>
    </w:p>
    <w:p w14:paraId="4729179F">
      <w:pPr>
        <w:pStyle w:val="350"/>
        <w:spacing w:line="420" w:lineRule="exact"/>
        <w:ind w:firstLine="480" w:firstLineChars="200"/>
        <w:jc w:val="left"/>
        <w:outlineLvl w:val="4"/>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14.4.2 最终结清证书和支付</w:t>
      </w:r>
    </w:p>
    <w:p w14:paraId="192FFEDA">
      <w:pPr>
        <w:pStyle w:val="350"/>
        <w:spacing w:line="420" w:lineRule="exact"/>
        <w:ind w:firstLine="480" w:firstLineChars="200"/>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（1）发包人完成最终结清申请单的审批并颁发最终结清证书的期限：</w:t>
      </w:r>
      <w:r>
        <w:rPr>
          <w:rStyle w:val="348"/>
          <w:rFonts w:hint="eastAsia" w:ascii="宋体" w:hAnsi="宋体" w:cs="宋体"/>
          <w:color w:val="auto"/>
          <w:sz w:val="24"/>
          <w:szCs w:val="24"/>
          <w:highlight w:val="none"/>
          <w:u w:val="single"/>
        </w:rPr>
        <w:t xml:space="preserve"> </w:t>
      </w:r>
      <w:r>
        <w:rPr>
          <w:rStyle w:val="348"/>
          <w:rFonts w:hint="eastAsia" w:ascii="宋体" w:hAnsi="宋体" w:cs="宋体"/>
          <w:b/>
          <w:bCs/>
          <w:color w:val="auto"/>
          <w:sz w:val="24"/>
          <w:szCs w:val="24"/>
          <w:highlight w:val="none"/>
          <w:u w:val="single"/>
        </w:rPr>
        <w:t>按通用合同条款14.4.2执行</w:t>
      </w:r>
      <w:r>
        <w:rPr>
          <w:rStyle w:val="348"/>
          <w:rFonts w:hint="eastAsia" w:ascii="宋体" w:hAnsi="宋体" w:cs="宋体"/>
          <w:color w:val="auto"/>
          <w:sz w:val="24"/>
          <w:szCs w:val="24"/>
          <w:highlight w:val="none"/>
          <w:u w:val="single"/>
        </w:rPr>
        <w:t xml:space="preserve">  </w:t>
      </w:r>
      <w:r>
        <w:rPr>
          <w:rStyle w:val="348"/>
          <w:rFonts w:hint="eastAsia" w:ascii="宋体" w:hAnsi="宋体" w:cs="宋体"/>
          <w:color w:val="auto"/>
          <w:sz w:val="24"/>
          <w:szCs w:val="24"/>
          <w:highlight w:val="none"/>
        </w:rPr>
        <w:t>。</w:t>
      </w:r>
    </w:p>
    <w:p w14:paraId="088F8209">
      <w:pPr>
        <w:pStyle w:val="350"/>
        <w:spacing w:line="420" w:lineRule="exact"/>
        <w:ind w:firstLine="480" w:firstLineChars="200"/>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（2）发包人完成支付的期限：</w:t>
      </w:r>
      <w:r>
        <w:rPr>
          <w:rStyle w:val="348"/>
          <w:rFonts w:hint="eastAsia" w:ascii="宋体" w:hAnsi="宋体" w:cs="宋体"/>
          <w:color w:val="auto"/>
          <w:sz w:val="24"/>
          <w:szCs w:val="24"/>
          <w:highlight w:val="none"/>
          <w:u w:val="single"/>
        </w:rPr>
        <w:t xml:space="preserve"> </w:t>
      </w:r>
      <w:r>
        <w:rPr>
          <w:rStyle w:val="348"/>
          <w:rFonts w:hint="eastAsia" w:ascii="宋体" w:hAnsi="宋体" w:cs="宋体"/>
          <w:b/>
          <w:bCs/>
          <w:color w:val="auto"/>
          <w:sz w:val="24"/>
          <w:szCs w:val="24"/>
          <w:highlight w:val="none"/>
          <w:u w:val="single"/>
        </w:rPr>
        <w:t>按通用合同条款14.4.2执行</w:t>
      </w:r>
      <w:r>
        <w:rPr>
          <w:rStyle w:val="348"/>
          <w:rFonts w:hint="eastAsia" w:ascii="宋体" w:hAnsi="宋体" w:cs="宋体"/>
          <w:color w:val="auto"/>
          <w:sz w:val="24"/>
          <w:szCs w:val="24"/>
          <w:highlight w:val="none"/>
          <w:u w:val="single"/>
        </w:rPr>
        <w:t xml:space="preserve">   </w:t>
      </w:r>
      <w:r>
        <w:rPr>
          <w:rStyle w:val="348"/>
          <w:rFonts w:hint="eastAsia" w:ascii="宋体" w:hAnsi="宋体" w:cs="宋体"/>
          <w:color w:val="auto"/>
          <w:sz w:val="24"/>
          <w:szCs w:val="24"/>
          <w:highlight w:val="none"/>
        </w:rPr>
        <w:t>。</w:t>
      </w:r>
    </w:p>
    <w:p w14:paraId="40BBF1D9">
      <w:pPr>
        <w:pStyle w:val="349"/>
        <w:spacing w:before="0" w:after="0" w:line="420" w:lineRule="exact"/>
        <w:outlineLvl w:val="2"/>
        <w:rPr>
          <w:rStyle w:val="348"/>
          <w:rFonts w:ascii="宋体" w:hAnsi="宋体" w:eastAsia="宋体" w:cs="宋体"/>
          <w:color w:val="auto"/>
          <w:sz w:val="24"/>
          <w:szCs w:val="24"/>
          <w:highlight w:val="none"/>
        </w:rPr>
      </w:pPr>
      <w:bookmarkStart w:id="895" w:name="_Toc267251506"/>
      <w:bookmarkEnd w:id="895"/>
      <w:bookmarkStart w:id="896" w:name="_Toc267251483"/>
      <w:bookmarkEnd w:id="896"/>
      <w:bookmarkStart w:id="897" w:name="_Toc267251494"/>
      <w:bookmarkEnd w:id="897"/>
      <w:bookmarkStart w:id="898" w:name="_Toc267251507"/>
      <w:bookmarkEnd w:id="898"/>
      <w:bookmarkStart w:id="899" w:name="_Toc267251490"/>
      <w:bookmarkEnd w:id="899"/>
      <w:bookmarkStart w:id="900" w:name="_Toc267251491"/>
      <w:bookmarkEnd w:id="900"/>
      <w:bookmarkStart w:id="901" w:name="_Toc267251498"/>
      <w:bookmarkEnd w:id="901"/>
      <w:bookmarkStart w:id="902" w:name="_Toc267251502"/>
      <w:bookmarkEnd w:id="902"/>
      <w:bookmarkStart w:id="903" w:name="_Toc267251489"/>
      <w:bookmarkEnd w:id="903"/>
      <w:bookmarkStart w:id="904" w:name="_Toc267251497"/>
      <w:bookmarkEnd w:id="904"/>
      <w:bookmarkStart w:id="905" w:name="_Toc267251492"/>
      <w:bookmarkEnd w:id="905"/>
      <w:bookmarkStart w:id="906" w:name="_Toc373227762"/>
      <w:bookmarkEnd w:id="906"/>
      <w:bookmarkStart w:id="907" w:name="_Toc267251495"/>
      <w:bookmarkEnd w:id="907"/>
      <w:bookmarkStart w:id="908" w:name="_Toc267251488"/>
      <w:bookmarkEnd w:id="908"/>
      <w:bookmarkStart w:id="909" w:name="_Toc267251501"/>
      <w:bookmarkEnd w:id="909"/>
      <w:bookmarkStart w:id="910" w:name="_Toc267251493"/>
      <w:bookmarkEnd w:id="910"/>
      <w:bookmarkStart w:id="911" w:name="_Toc4833"/>
      <w:bookmarkEnd w:id="911"/>
      <w:bookmarkStart w:id="912" w:name="_Toc267251486"/>
      <w:bookmarkEnd w:id="912"/>
      <w:bookmarkStart w:id="913" w:name="_Toc373478409"/>
      <w:bookmarkEnd w:id="913"/>
      <w:bookmarkStart w:id="914" w:name="_Toc267251496"/>
      <w:bookmarkEnd w:id="914"/>
      <w:bookmarkStart w:id="915" w:name="_Toc267251504"/>
      <w:bookmarkEnd w:id="915"/>
      <w:bookmarkStart w:id="916" w:name="_Toc267251482"/>
      <w:bookmarkEnd w:id="916"/>
      <w:bookmarkStart w:id="917" w:name="_Toc267251503"/>
      <w:bookmarkEnd w:id="917"/>
      <w:bookmarkStart w:id="918" w:name="_Toc351203647"/>
      <w:bookmarkEnd w:id="918"/>
      <w:bookmarkStart w:id="919" w:name="_Toc267251484"/>
      <w:bookmarkEnd w:id="919"/>
      <w:bookmarkStart w:id="920" w:name="_Toc267251485"/>
      <w:bookmarkEnd w:id="920"/>
      <w:bookmarkStart w:id="921" w:name="_Toc389065327"/>
      <w:bookmarkEnd w:id="921"/>
      <w:bookmarkStart w:id="922" w:name="_Toc267251499"/>
      <w:bookmarkEnd w:id="922"/>
      <w:bookmarkStart w:id="923" w:name="_Toc267251508"/>
      <w:bookmarkEnd w:id="923"/>
      <w:r>
        <w:rPr>
          <w:rStyle w:val="348"/>
          <w:rFonts w:hint="eastAsia" w:ascii="宋体" w:hAnsi="宋体" w:eastAsia="宋体" w:cs="宋体"/>
          <w:color w:val="auto"/>
          <w:sz w:val="24"/>
          <w:szCs w:val="24"/>
          <w:highlight w:val="none"/>
        </w:rPr>
        <w:t>15. 缺陷责任期与保修</w:t>
      </w:r>
    </w:p>
    <w:p w14:paraId="7659505F">
      <w:pPr>
        <w:pStyle w:val="354"/>
        <w:spacing w:line="420" w:lineRule="exact"/>
        <w:outlineLvl w:val="3"/>
        <w:rPr>
          <w:rStyle w:val="348"/>
          <w:rFonts w:ascii="宋体" w:hAnsi="宋体" w:eastAsia="宋体" w:cs="宋体"/>
          <w:color w:val="auto"/>
          <w:sz w:val="24"/>
          <w:szCs w:val="24"/>
          <w:highlight w:val="none"/>
        </w:rPr>
      </w:pPr>
      <w:bookmarkStart w:id="924" w:name="_Toc373478410"/>
      <w:bookmarkEnd w:id="924"/>
      <w:bookmarkStart w:id="925" w:name="_Toc389065328"/>
      <w:bookmarkEnd w:id="925"/>
      <w:bookmarkStart w:id="926" w:name="_Toc373227763"/>
      <w:bookmarkEnd w:id="926"/>
      <w:bookmarkStart w:id="927" w:name="_Toc22134"/>
      <w:r>
        <w:rPr>
          <w:rStyle w:val="348"/>
          <w:rFonts w:hint="eastAsia" w:ascii="宋体" w:hAnsi="宋体" w:eastAsia="宋体" w:cs="宋体"/>
          <w:color w:val="auto"/>
          <w:sz w:val="24"/>
          <w:szCs w:val="24"/>
          <w:highlight w:val="none"/>
        </w:rPr>
        <w:t>15.2</w:t>
      </w:r>
      <w:bookmarkEnd w:id="927"/>
      <w:r>
        <w:rPr>
          <w:rStyle w:val="348"/>
          <w:rFonts w:hint="eastAsia" w:ascii="宋体" w:hAnsi="宋体" w:eastAsia="宋体" w:cs="宋体"/>
          <w:color w:val="auto"/>
          <w:sz w:val="24"/>
          <w:szCs w:val="24"/>
          <w:highlight w:val="none"/>
        </w:rPr>
        <w:t xml:space="preserve"> 缺陷责任期</w:t>
      </w:r>
    </w:p>
    <w:p w14:paraId="1D36EE0F">
      <w:pPr>
        <w:pStyle w:val="350"/>
        <w:spacing w:line="420" w:lineRule="exact"/>
        <w:ind w:firstLine="480" w:firstLineChars="200"/>
        <w:jc w:val="left"/>
        <w:rPr>
          <w:rStyle w:val="348"/>
          <w:rFonts w:ascii="宋体" w:hAnsi="宋体" w:cs="宋体"/>
          <w:color w:val="auto"/>
          <w:sz w:val="24"/>
          <w:szCs w:val="24"/>
          <w:highlight w:val="none"/>
          <w:u w:val="single"/>
        </w:rPr>
      </w:pPr>
      <w:r>
        <w:rPr>
          <w:rStyle w:val="348"/>
          <w:rFonts w:hint="eastAsia" w:ascii="宋体" w:hAnsi="宋体" w:cs="宋体"/>
          <w:color w:val="auto"/>
          <w:sz w:val="24"/>
          <w:szCs w:val="24"/>
          <w:highlight w:val="none"/>
        </w:rPr>
        <w:t>缺陷责任期的具体期限：</w:t>
      </w:r>
      <w:r>
        <w:rPr>
          <w:rStyle w:val="348"/>
          <w:rFonts w:hint="eastAsia" w:ascii="宋体" w:hAnsi="宋体" w:cs="宋体"/>
          <w:color w:val="auto"/>
          <w:sz w:val="24"/>
          <w:szCs w:val="24"/>
          <w:highlight w:val="none"/>
          <w:u w:val="single"/>
        </w:rPr>
        <w:t xml:space="preserve"> 24个月 </w:t>
      </w:r>
      <w:r>
        <w:rPr>
          <w:rStyle w:val="348"/>
          <w:rFonts w:hint="eastAsia" w:ascii="宋体" w:hAnsi="宋体" w:cs="宋体"/>
          <w:color w:val="auto"/>
          <w:sz w:val="24"/>
          <w:szCs w:val="24"/>
          <w:highlight w:val="none"/>
        </w:rPr>
        <w:t>。</w:t>
      </w:r>
    </w:p>
    <w:p w14:paraId="0020F108">
      <w:pPr>
        <w:pStyle w:val="354"/>
        <w:spacing w:line="420" w:lineRule="exact"/>
        <w:outlineLvl w:val="3"/>
        <w:rPr>
          <w:rStyle w:val="348"/>
          <w:rFonts w:ascii="宋体" w:hAnsi="宋体" w:eastAsia="宋体" w:cs="宋体"/>
          <w:color w:val="auto"/>
          <w:sz w:val="24"/>
          <w:szCs w:val="24"/>
          <w:highlight w:val="none"/>
        </w:rPr>
      </w:pPr>
      <w:bookmarkStart w:id="928" w:name="_Toc373478411"/>
      <w:bookmarkEnd w:id="928"/>
      <w:bookmarkStart w:id="929" w:name="_Toc389065329"/>
      <w:bookmarkEnd w:id="929"/>
      <w:bookmarkStart w:id="930" w:name="_Toc3258"/>
      <w:bookmarkEnd w:id="930"/>
      <w:bookmarkStart w:id="931" w:name="_Toc373227764"/>
      <w:r>
        <w:rPr>
          <w:rStyle w:val="348"/>
          <w:rFonts w:hint="eastAsia" w:ascii="宋体" w:hAnsi="宋体" w:eastAsia="宋体" w:cs="宋体"/>
          <w:color w:val="auto"/>
          <w:sz w:val="24"/>
          <w:szCs w:val="24"/>
          <w:highlight w:val="none"/>
        </w:rPr>
        <w:t xml:space="preserve">15.3 </w:t>
      </w:r>
      <w:bookmarkEnd w:id="931"/>
      <w:r>
        <w:rPr>
          <w:rStyle w:val="348"/>
          <w:rFonts w:hint="eastAsia" w:ascii="宋体" w:hAnsi="宋体" w:eastAsia="宋体" w:cs="宋体"/>
          <w:color w:val="auto"/>
          <w:sz w:val="24"/>
          <w:szCs w:val="24"/>
          <w:highlight w:val="none"/>
        </w:rPr>
        <w:t>质量保证金</w:t>
      </w:r>
    </w:p>
    <w:p w14:paraId="11025006">
      <w:pPr>
        <w:pStyle w:val="350"/>
        <w:spacing w:line="420" w:lineRule="exact"/>
        <w:ind w:firstLine="480" w:firstLineChars="200"/>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关于是否扣留质量保证金的约定：</w:t>
      </w:r>
      <w:r>
        <w:rPr>
          <w:rStyle w:val="348"/>
          <w:rFonts w:hint="eastAsia" w:ascii="宋体" w:hAnsi="宋体" w:cs="宋体"/>
          <w:color w:val="auto"/>
          <w:sz w:val="24"/>
          <w:szCs w:val="24"/>
          <w:highlight w:val="none"/>
          <w:u w:val="single"/>
        </w:rPr>
        <w:t xml:space="preserve"> 是   </w:t>
      </w:r>
      <w:r>
        <w:rPr>
          <w:rStyle w:val="348"/>
          <w:rFonts w:hint="eastAsia" w:ascii="宋体" w:hAnsi="宋体" w:cs="宋体"/>
          <w:color w:val="auto"/>
          <w:sz w:val="24"/>
          <w:szCs w:val="24"/>
          <w:highlight w:val="none"/>
        </w:rPr>
        <w:t>。</w:t>
      </w:r>
    </w:p>
    <w:p w14:paraId="42335134">
      <w:pPr>
        <w:pStyle w:val="350"/>
        <w:spacing w:line="420" w:lineRule="exact"/>
        <w:ind w:firstLine="480" w:firstLineChars="200"/>
        <w:jc w:val="left"/>
        <w:outlineLvl w:val="4"/>
        <w:rPr>
          <w:rStyle w:val="348"/>
          <w:rFonts w:ascii="宋体" w:hAnsi="宋体" w:cs="宋体"/>
          <w:color w:val="auto"/>
          <w:sz w:val="24"/>
          <w:szCs w:val="24"/>
          <w:highlight w:val="none"/>
        </w:rPr>
      </w:pPr>
      <w:bookmarkStart w:id="932" w:name="_Toc7980"/>
      <w:r>
        <w:rPr>
          <w:rStyle w:val="348"/>
          <w:rFonts w:hint="eastAsia" w:ascii="宋体" w:hAnsi="宋体" w:cs="宋体"/>
          <w:color w:val="auto"/>
          <w:sz w:val="24"/>
          <w:szCs w:val="24"/>
          <w:highlight w:val="none"/>
        </w:rPr>
        <w:t>15.3.1 承包人提供质量保证金的方式</w:t>
      </w:r>
      <w:bookmarkEnd w:id="932"/>
    </w:p>
    <w:p w14:paraId="0AFA1419">
      <w:pPr>
        <w:pStyle w:val="350"/>
        <w:spacing w:line="420" w:lineRule="exact"/>
        <w:ind w:firstLine="480" w:firstLineChars="200"/>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质量保证金采用以下第</w:t>
      </w:r>
      <w:r>
        <w:rPr>
          <w:rStyle w:val="348"/>
          <w:rFonts w:hint="eastAsia" w:ascii="宋体" w:hAnsi="宋体" w:cs="宋体"/>
          <w:color w:val="auto"/>
          <w:sz w:val="24"/>
          <w:szCs w:val="24"/>
          <w:highlight w:val="none"/>
          <w:u w:val="single"/>
        </w:rPr>
        <w:t xml:space="preserve">  （2）   </w:t>
      </w:r>
      <w:r>
        <w:rPr>
          <w:rStyle w:val="348"/>
          <w:rFonts w:hint="eastAsia" w:ascii="宋体" w:hAnsi="宋体" w:cs="宋体"/>
          <w:color w:val="auto"/>
          <w:sz w:val="24"/>
          <w:szCs w:val="24"/>
          <w:highlight w:val="none"/>
        </w:rPr>
        <w:t>种方式：</w:t>
      </w:r>
    </w:p>
    <w:p w14:paraId="2DBEA676">
      <w:pPr>
        <w:pStyle w:val="350"/>
        <w:autoSpaceDE w:val="0"/>
        <w:autoSpaceDN w:val="0"/>
        <w:spacing w:line="420" w:lineRule="exact"/>
        <w:ind w:firstLine="480" w:firstLineChars="200"/>
        <w:jc w:val="left"/>
        <w:rPr>
          <w:rStyle w:val="348"/>
          <w:rFonts w:ascii="宋体" w:hAnsi="宋体" w:cs="宋体"/>
          <w:color w:val="auto"/>
          <w:kern w:val="0"/>
          <w:sz w:val="24"/>
          <w:szCs w:val="24"/>
          <w:highlight w:val="none"/>
        </w:rPr>
      </w:pPr>
      <w:r>
        <w:rPr>
          <w:rStyle w:val="348"/>
          <w:rFonts w:hint="eastAsia" w:ascii="宋体" w:hAnsi="宋体" w:cs="宋体"/>
          <w:color w:val="auto"/>
          <w:kern w:val="0"/>
          <w:sz w:val="24"/>
          <w:szCs w:val="24"/>
          <w:highlight w:val="none"/>
        </w:rPr>
        <w:t>（1）质量保证金保函，保证金额为：</w:t>
      </w:r>
      <w:r>
        <w:rPr>
          <w:rStyle w:val="348"/>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u w:val="single"/>
        </w:rPr>
        <w:t>工程价款结算总额的3 %</w:t>
      </w:r>
      <w:r>
        <w:rPr>
          <w:rStyle w:val="348"/>
          <w:rFonts w:hint="eastAsia" w:ascii="宋体" w:hAnsi="宋体" w:cs="宋体"/>
          <w:color w:val="auto"/>
          <w:kern w:val="0"/>
          <w:sz w:val="24"/>
          <w:szCs w:val="24"/>
          <w:highlight w:val="none"/>
          <w:u w:val="single"/>
        </w:rPr>
        <w:t xml:space="preserve"> </w:t>
      </w:r>
      <w:r>
        <w:rPr>
          <w:rStyle w:val="348"/>
          <w:rFonts w:hint="eastAsia" w:ascii="宋体" w:hAnsi="宋体" w:cs="宋体"/>
          <w:color w:val="auto"/>
          <w:kern w:val="0"/>
          <w:sz w:val="24"/>
          <w:szCs w:val="24"/>
          <w:highlight w:val="none"/>
        </w:rPr>
        <w:t>；</w:t>
      </w:r>
    </w:p>
    <w:p w14:paraId="4792691A">
      <w:pPr>
        <w:pStyle w:val="350"/>
        <w:autoSpaceDE w:val="0"/>
        <w:autoSpaceDN w:val="0"/>
        <w:spacing w:line="420" w:lineRule="exact"/>
        <w:ind w:firstLine="480" w:firstLineChars="200"/>
        <w:jc w:val="left"/>
        <w:rPr>
          <w:rStyle w:val="348"/>
          <w:rFonts w:ascii="宋体" w:hAnsi="宋体" w:cs="宋体"/>
          <w:color w:val="auto"/>
          <w:kern w:val="0"/>
          <w:sz w:val="24"/>
          <w:szCs w:val="24"/>
          <w:highlight w:val="none"/>
        </w:rPr>
      </w:pPr>
      <w:r>
        <w:rPr>
          <w:rStyle w:val="348"/>
          <w:rFonts w:hint="eastAsia" w:ascii="宋体" w:hAnsi="宋体" w:cs="宋体"/>
          <w:color w:val="auto"/>
          <w:kern w:val="0"/>
          <w:sz w:val="24"/>
          <w:szCs w:val="24"/>
          <w:highlight w:val="none"/>
        </w:rPr>
        <w:t>（2）</w:t>
      </w:r>
      <w:r>
        <w:rPr>
          <w:rStyle w:val="348"/>
          <w:rFonts w:hint="eastAsia" w:ascii="宋体" w:hAnsi="宋体" w:cs="宋体"/>
          <w:color w:val="auto"/>
          <w:sz w:val="24"/>
          <w:szCs w:val="24"/>
          <w:highlight w:val="none"/>
        </w:rPr>
        <w:t>发包人按工程价款结算总额的</w:t>
      </w:r>
      <w:r>
        <w:rPr>
          <w:rStyle w:val="348"/>
          <w:rFonts w:hint="eastAsia" w:ascii="宋体" w:hAnsi="宋体" w:cs="宋体"/>
          <w:color w:val="auto"/>
          <w:sz w:val="24"/>
          <w:szCs w:val="24"/>
          <w:highlight w:val="none"/>
          <w:u w:val="single"/>
        </w:rPr>
        <w:t xml:space="preserve"> 3  </w:t>
      </w:r>
      <w:r>
        <w:rPr>
          <w:rStyle w:val="348"/>
          <w:rFonts w:hint="eastAsia" w:ascii="宋体" w:hAnsi="宋体" w:cs="宋体"/>
          <w:color w:val="auto"/>
          <w:sz w:val="24"/>
          <w:szCs w:val="24"/>
          <w:highlight w:val="none"/>
        </w:rPr>
        <w:t>%（不得超过3%）预留工程质量保修金，待缺陷责任期满后返还，是否付息及利息计算方式为：</w:t>
      </w:r>
      <w:r>
        <w:rPr>
          <w:rStyle w:val="348"/>
          <w:rFonts w:hint="eastAsia" w:ascii="宋体" w:hAnsi="宋体" w:cs="宋体"/>
          <w:color w:val="auto"/>
          <w:sz w:val="24"/>
          <w:szCs w:val="24"/>
          <w:highlight w:val="none"/>
          <w:u w:val="single"/>
        </w:rPr>
        <w:t xml:space="preserve"> 无息返还 </w:t>
      </w:r>
      <w:r>
        <w:rPr>
          <w:rStyle w:val="348"/>
          <w:rFonts w:hint="eastAsia" w:ascii="宋体" w:hAnsi="宋体" w:cs="宋体"/>
          <w:color w:val="auto"/>
          <w:kern w:val="0"/>
          <w:sz w:val="24"/>
          <w:szCs w:val="24"/>
          <w:highlight w:val="none"/>
        </w:rPr>
        <w:t>；</w:t>
      </w:r>
    </w:p>
    <w:p w14:paraId="336FA6F5">
      <w:pPr>
        <w:pStyle w:val="350"/>
        <w:spacing w:line="420" w:lineRule="exact"/>
        <w:ind w:firstLine="480" w:firstLineChars="200"/>
        <w:jc w:val="left"/>
        <w:outlineLvl w:val="5"/>
        <w:rPr>
          <w:rStyle w:val="348"/>
          <w:rFonts w:ascii="宋体" w:hAnsi="宋体" w:cs="宋体"/>
          <w:b/>
          <w:bCs/>
          <w:color w:val="auto"/>
          <w:sz w:val="24"/>
          <w:szCs w:val="24"/>
          <w:highlight w:val="none"/>
        </w:rPr>
      </w:pPr>
      <w:r>
        <w:rPr>
          <w:rStyle w:val="348"/>
          <w:rFonts w:hint="eastAsia" w:ascii="宋体" w:hAnsi="宋体" w:cs="宋体"/>
          <w:color w:val="auto"/>
          <w:kern w:val="0"/>
          <w:sz w:val="24"/>
          <w:szCs w:val="24"/>
          <w:highlight w:val="none"/>
        </w:rPr>
        <w:t>（3）其他方式：</w:t>
      </w:r>
      <w:r>
        <w:rPr>
          <w:rFonts w:hint="eastAsia" w:ascii="宋体" w:hAnsi="宋体" w:cs="宋体"/>
          <w:b/>
          <w:bCs/>
          <w:color w:val="auto"/>
          <w:sz w:val="24"/>
          <w:szCs w:val="24"/>
          <w:highlight w:val="none"/>
          <w:u w:val="single"/>
        </w:rPr>
        <w:t xml:space="preserve"> </w:t>
      </w:r>
      <w:r>
        <w:rPr>
          <w:rFonts w:hint="eastAsia" w:ascii="宋体" w:hAnsi="宋体" w:cs="宋体"/>
          <w:color w:val="auto"/>
          <w:sz w:val="24"/>
          <w:szCs w:val="24"/>
          <w:highlight w:val="none"/>
          <w:u w:val="single"/>
        </w:rPr>
        <w:t>/</w:t>
      </w:r>
      <w:r>
        <w:rPr>
          <w:rFonts w:hint="eastAsia" w:ascii="宋体" w:hAnsi="宋体" w:cs="宋体"/>
          <w:b/>
          <w:bCs/>
          <w:color w:val="auto"/>
          <w:sz w:val="24"/>
          <w:szCs w:val="24"/>
          <w:highlight w:val="none"/>
          <w:u w:val="single"/>
        </w:rPr>
        <w:t xml:space="preserve"> </w:t>
      </w:r>
      <w:r>
        <w:rPr>
          <w:rStyle w:val="348"/>
          <w:rFonts w:hint="eastAsia" w:ascii="宋体" w:hAnsi="宋体" w:cs="宋体"/>
          <w:b/>
          <w:bCs/>
          <w:color w:val="auto"/>
          <w:sz w:val="24"/>
          <w:szCs w:val="24"/>
          <w:highlight w:val="none"/>
        </w:rPr>
        <w:t>。</w:t>
      </w:r>
    </w:p>
    <w:p w14:paraId="69749133">
      <w:pPr>
        <w:pStyle w:val="350"/>
        <w:spacing w:line="420" w:lineRule="exact"/>
        <w:ind w:firstLine="480" w:firstLineChars="200"/>
        <w:jc w:val="left"/>
        <w:rPr>
          <w:rStyle w:val="348"/>
          <w:rFonts w:ascii="宋体" w:hAnsi="宋体" w:cs="宋体"/>
          <w:color w:val="auto"/>
          <w:kern w:val="0"/>
          <w:sz w:val="24"/>
          <w:szCs w:val="24"/>
          <w:highlight w:val="none"/>
          <w:u w:val="single"/>
        </w:rPr>
      </w:pPr>
      <w:r>
        <w:rPr>
          <w:rStyle w:val="348"/>
          <w:rFonts w:hint="eastAsia" w:ascii="宋体" w:hAnsi="宋体" w:cs="宋体"/>
          <w:color w:val="auto"/>
          <w:sz w:val="24"/>
          <w:szCs w:val="24"/>
          <w:highlight w:val="none"/>
        </w:rPr>
        <w:t>关于质量保证金的补充约定：</w:t>
      </w:r>
      <w:r>
        <w:rPr>
          <w:rStyle w:val="348"/>
          <w:rFonts w:hint="eastAsia" w:ascii="宋体" w:hAnsi="宋体" w:cs="宋体"/>
          <w:color w:val="auto"/>
          <w:kern w:val="0"/>
          <w:sz w:val="24"/>
          <w:szCs w:val="24"/>
          <w:highlight w:val="none"/>
          <w:u w:val="single"/>
        </w:rPr>
        <w:t xml:space="preserve">     无                    </w:t>
      </w:r>
      <w:r>
        <w:rPr>
          <w:rStyle w:val="348"/>
          <w:rFonts w:hint="eastAsia" w:ascii="宋体" w:hAnsi="宋体" w:cs="宋体"/>
          <w:color w:val="auto"/>
          <w:kern w:val="0"/>
          <w:sz w:val="24"/>
          <w:szCs w:val="24"/>
          <w:highlight w:val="none"/>
        </w:rPr>
        <w:t>。</w:t>
      </w:r>
    </w:p>
    <w:p w14:paraId="4921A446">
      <w:pPr>
        <w:pStyle w:val="354"/>
        <w:spacing w:line="420" w:lineRule="exact"/>
        <w:outlineLvl w:val="3"/>
        <w:rPr>
          <w:rStyle w:val="348"/>
          <w:rFonts w:ascii="宋体" w:hAnsi="宋体" w:eastAsia="宋体" w:cs="宋体"/>
          <w:color w:val="auto"/>
          <w:sz w:val="24"/>
          <w:szCs w:val="24"/>
          <w:highlight w:val="none"/>
        </w:rPr>
      </w:pPr>
      <w:bookmarkStart w:id="933" w:name="_Toc373478412"/>
      <w:bookmarkEnd w:id="933"/>
      <w:bookmarkStart w:id="934" w:name="_Toc389065330"/>
      <w:bookmarkEnd w:id="934"/>
      <w:bookmarkStart w:id="935" w:name="_Toc373227765"/>
      <w:bookmarkEnd w:id="935"/>
      <w:bookmarkStart w:id="936" w:name="_Toc22419"/>
      <w:r>
        <w:rPr>
          <w:rStyle w:val="348"/>
          <w:rFonts w:hint="eastAsia" w:ascii="宋体" w:hAnsi="宋体" w:eastAsia="宋体" w:cs="宋体"/>
          <w:color w:val="auto"/>
          <w:sz w:val="24"/>
          <w:szCs w:val="24"/>
          <w:highlight w:val="none"/>
        </w:rPr>
        <w:t>15.4</w:t>
      </w:r>
      <w:bookmarkEnd w:id="936"/>
      <w:r>
        <w:rPr>
          <w:rStyle w:val="348"/>
          <w:rFonts w:hint="eastAsia" w:ascii="宋体" w:hAnsi="宋体" w:eastAsia="宋体" w:cs="宋体"/>
          <w:color w:val="auto"/>
          <w:sz w:val="24"/>
          <w:szCs w:val="24"/>
          <w:highlight w:val="none"/>
        </w:rPr>
        <w:t xml:space="preserve"> 保修</w:t>
      </w:r>
    </w:p>
    <w:p w14:paraId="2F16210D">
      <w:pPr>
        <w:pStyle w:val="350"/>
        <w:spacing w:line="420" w:lineRule="exact"/>
        <w:ind w:firstLine="468" w:firstLineChars="195"/>
        <w:jc w:val="left"/>
        <w:outlineLvl w:val="4"/>
        <w:rPr>
          <w:rStyle w:val="348"/>
          <w:rFonts w:ascii="宋体" w:hAnsi="宋体" w:cs="宋体"/>
          <w:color w:val="auto"/>
          <w:sz w:val="24"/>
          <w:szCs w:val="24"/>
          <w:highlight w:val="none"/>
        </w:rPr>
      </w:pPr>
      <w:bookmarkStart w:id="937" w:name="_Toc1417"/>
      <w:r>
        <w:rPr>
          <w:rStyle w:val="348"/>
          <w:rFonts w:hint="eastAsia" w:ascii="宋体" w:hAnsi="宋体" w:cs="宋体"/>
          <w:color w:val="auto"/>
          <w:sz w:val="24"/>
          <w:szCs w:val="24"/>
          <w:highlight w:val="none"/>
        </w:rPr>
        <w:t>15.4.1 保修责任</w:t>
      </w:r>
      <w:bookmarkEnd w:id="937"/>
    </w:p>
    <w:p w14:paraId="24B66229">
      <w:pPr>
        <w:pStyle w:val="350"/>
        <w:spacing w:line="420" w:lineRule="exact"/>
        <w:ind w:firstLine="468" w:firstLineChars="195"/>
        <w:jc w:val="left"/>
        <w:rPr>
          <w:rStyle w:val="348"/>
          <w:rFonts w:ascii="宋体" w:hAnsi="宋体" w:cs="宋体"/>
          <w:color w:val="auto"/>
          <w:kern w:val="0"/>
          <w:sz w:val="24"/>
          <w:szCs w:val="24"/>
          <w:highlight w:val="none"/>
        </w:rPr>
      </w:pPr>
      <w:r>
        <w:rPr>
          <w:rStyle w:val="348"/>
          <w:rFonts w:hint="eastAsia" w:ascii="宋体" w:hAnsi="宋体" w:cs="宋体"/>
          <w:color w:val="auto"/>
          <w:sz w:val="24"/>
          <w:szCs w:val="24"/>
          <w:highlight w:val="none"/>
        </w:rPr>
        <w:t>工程保修期为：</w:t>
      </w:r>
      <w:r>
        <w:rPr>
          <w:rStyle w:val="348"/>
          <w:rFonts w:hint="eastAsia" w:ascii="宋体" w:hAnsi="宋体" w:cs="宋体"/>
          <w:color w:val="auto"/>
          <w:kern w:val="0"/>
          <w:sz w:val="24"/>
          <w:szCs w:val="24"/>
          <w:highlight w:val="none"/>
          <w:u w:val="single"/>
        </w:rPr>
        <w:t xml:space="preserve">  </w:t>
      </w:r>
      <w:r>
        <w:rPr>
          <w:rStyle w:val="348"/>
          <w:rFonts w:hint="eastAsia" w:ascii="宋体" w:hAnsi="宋体" w:cs="宋体"/>
          <w:b/>
          <w:bCs/>
          <w:color w:val="auto"/>
          <w:kern w:val="0"/>
          <w:sz w:val="24"/>
          <w:szCs w:val="24"/>
          <w:highlight w:val="none"/>
          <w:u w:val="single"/>
        </w:rPr>
        <w:t>按《工程质量保修书》</w:t>
      </w:r>
      <w:r>
        <w:rPr>
          <w:rStyle w:val="348"/>
          <w:rFonts w:hint="eastAsia" w:ascii="宋体" w:hAnsi="宋体" w:cs="宋体"/>
          <w:color w:val="auto"/>
          <w:kern w:val="0"/>
          <w:sz w:val="24"/>
          <w:szCs w:val="24"/>
          <w:highlight w:val="none"/>
          <w:u w:val="single"/>
        </w:rPr>
        <w:t xml:space="preserve">  </w:t>
      </w:r>
      <w:r>
        <w:rPr>
          <w:rStyle w:val="348"/>
          <w:rFonts w:hint="eastAsia" w:ascii="宋体" w:hAnsi="宋体" w:cs="宋体"/>
          <w:color w:val="auto"/>
          <w:kern w:val="0"/>
          <w:sz w:val="24"/>
          <w:szCs w:val="24"/>
          <w:highlight w:val="none"/>
        </w:rPr>
        <w:t>。</w:t>
      </w:r>
    </w:p>
    <w:p w14:paraId="391ED1D3">
      <w:pPr>
        <w:pStyle w:val="350"/>
        <w:spacing w:line="420" w:lineRule="exact"/>
        <w:ind w:firstLine="468" w:firstLineChars="195"/>
        <w:jc w:val="left"/>
        <w:rPr>
          <w:rStyle w:val="348"/>
          <w:rFonts w:ascii="宋体" w:hAnsi="宋体" w:cs="宋体"/>
          <w:color w:val="auto"/>
          <w:kern w:val="0"/>
          <w:sz w:val="24"/>
          <w:szCs w:val="24"/>
          <w:highlight w:val="none"/>
          <w:u w:val="single"/>
        </w:rPr>
      </w:pPr>
      <w:r>
        <w:rPr>
          <w:rStyle w:val="348"/>
          <w:rFonts w:hint="eastAsia" w:ascii="宋体" w:hAnsi="宋体" w:cs="宋体"/>
          <w:color w:val="auto"/>
          <w:sz w:val="24"/>
          <w:szCs w:val="24"/>
          <w:highlight w:val="none"/>
        </w:rPr>
        <w:t>工程保修书具体内容见合同附件2。</w:t>
      </w:r>
    </w:p>
    <w:p w14:paraId="0FC18F79">
      <w:pPr>
        <w:pStyle w:val="350"/>
        <w:spacing w:line="420" w:lineRule="exact"/>
        <w:ind w:firstLine="468" w:firstLineChars="195"/>
        <w:jc w:val="left"/>
        <w:outlineLvl w:val="4"/>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15.4.3 修复通知</w:t>
      </w:r>
    </w:p>
    <w:p w14:paraId="69FAB522">
      <w:pPr>
        <w:pStyle w:val="363"/>
        <w:autoSpaceDE w:val="0"/>
        <w:autoSpaceDN w:val="0"/>
        <w:spacing w:line="420" w:lineRule="exact"/>
        <w:ind w:firstLine="480" w:firstLineChars="200"/>
        <w:jc w:val="left"/>
        <w:rPr>
          <w:rStyle w:val="348"/>
          <w:rFonts w:ascii="宋体" w:hAnsi="宋体" w:cs="宋体"/>
          <w:color w:val="auto"/>
          <w:kern w:val="0"/>
          <w:sz w:val="24"/>
          <w:szCs w:val="24"/>
          <w:highlight w:val="none"/>
        </w:rPr>
      </w:pPr>
      <w:r>
        <w:rPr>
          <w:rStyle w:val="348"/>
          <w:rFonts w:hint="eastAsia" w:ascii="宋体" w:hAnsi="宋体" w:cs="宋体"/>
          <w:color w:val="auto"/>
          <w:kern w:val="0"/>
          <w:sz w:val="24"/>
          <w:szCs w:val="24"/>
          <w:highlight w:val="none"/>
        </w:rPr>
        <w:t>承包人收到保修通知并到达工程现场的合理时间：</w:t>
      </w:r>
      <w:r>
        <w:rPr>
          <w:rFonts w:hint="eastAsia" w:ascii="宋体" w:hAnsi="宋体" w:cs="宋体"/>
          <w:color w:val="auto"/>
          <w:kern w:val="0"/>
          <w:sz w:val="24"/>
          <w:szCs w:val="24"/>
          <w:highlight w:val="none"/>
          <w:u w:val="single"/>
          <w:lang w:bidi="ar"/>
        </w:rPr>
        <w:t>承包人应当在接到保修通知之日起 2 天内派人保修</w:t>
      </w:r>
      <w:r>
        <w:rPr>
          <w:rStyle w:val="348"/>
          <w:rFonts w:hint="eastAsia" w:ascii="宋体" w:hAnsi="宋体" w:cs="宋体"/>
          <w:b/>
          <w:bCs/>
          <w:color w:val="auto"/>
          <w:kern w:val="0"/>
          <w:sz w:val="24"/>
          <w:szCs w:val="24"/>
          <w:highlight w:val="none"/>
          <w:u w:val="single"/>
        </w:rPr>
        <w:t>。</w:t>
      </w:r>
      <w:r>
        <w:rPr>
          <w:rStyle w:val="348"/>
          <w:rFonts w:hint="eastAsia" w:ascii="宋体" w:hAnsi="宋体" w:cs="宋体"/>
          <w:color w:val="auto"/>
          <w:kern w:val="0"/>
          <w:sz w:val="24"/>
          <w:szCs w:val="24"/>
          <w:highlight w:val="none"/>
          <w:u w:val="single"/>
        </w:rPr>
        <w:t>在接到发包人书面或电话通知48小时内未能进行修补的，发包人有权直接委托他人进行抢修，费用直接从承包人的质保金中扣除，质量保证金不足以支付的，费用仍由承包人承担，且承包人在保修金不足的时候开始7天内补足所需的保修费用，否则发包人按法定程序向承包人索赔超出部分费用。</w:t>
      </w:r>
    </w:p>
    <w:p w14:paraId="7439F004">
      <w:pPr>
        <w:pStyle w:val="349"/>
        <w:spacing w:before="0" w:after="0" w:line="420" w:lineRule="exact"/>
        <w:outlineLvl w:val="2"/>
        <w:rPr>
          <w:rStyle w:val="348"/>
          <w:rFonts w:ascii="宋体" w:hAnsi="宋体" w:eastAsia="宋体" w:cs="宋体"/>
          <w:color w:val="auto"/>
          <w:sz w:val="24"/>
          <w:szCs w:val="24"/>
          <w:highlight w:val="none"/>
        </w:rPr>
      </w:pPr>
      <w:bookmarkStart w:id="938" w:name="_Toc280868717"/>
      <w:bookmarkEnd w:id="938"/>
      <w:bookmarkStart w:id="939" w:name="_Toc351203648"/>
      <w:bookmarkEnd w:id="939"/>
      <w:bookmarkStart w:id="940" w:name="_Toc280868718"/>
      <w:bookmarkEnd w:id="940"/>
      <w:bookmarkStart w:id="941" w:name="_Toc7183"/>
      <w:bookmarkEnd w:id="941"/>
      <w:bookmarkStart w:id="942" w:name="_Toc373478413"/>
      <w:bookmarkEnd w:id="942"/>
      <w:bookmarkStart w:id="943" w:name="_Toc389065331"/>
      <w:bookmarkEnd w:id="943"/>
      <w:bookmarkStart w:id="944" w:name="_Toc373227766"/>
      <w:r>
        <w:rPr>
          <w:rStyle w:val="348"/>
          <w:rFonts w:hint="eastAsia" w:ascii="宋体" w:hAnsi="宋体" w:eastAsia="宋体" w:cs="宋体"/>
          <w:color w:val="auto"/>
          <w:sz w:val="24"/>
          <w:szCs w:val="24"/>
          <w:highlight w:val="none"/>
        </w:rPr>
        <w:t xml:space="preserve">16. </w:t>
      </w:r>
      <w:bookmarkEnd w:id="944"/>
      <w:r>
        <w:rPr>
          <w:rStyle w:val="348"/>
          <w:rFonts w:hint="eastAsia" w:ascii="宋体" w:hAnsi="宋体" w:eastAsia="宋体" w:cs="宋体"/>
          <w:color w:val="auto"/>
          <w:sz w:val="24"/>
          <w:szCs w:val="24"/>
          <w:highlight w:val="none"/>
        </w:rPr>
        <w:t>违约</w:t>
      </w:r>
    </w:p>
    <w:p w14:paraId="61450B16">
      <w:pPr>
        <w:pStyle w:val="354"/>
        <w:spacing w:line="420" w:lineRule="exact"/>
        <w:outlineLvl w:val="3"/>
        <w:rPr>
          <w:rStyle w:val="348"/>
          <w:rFonts w:ascii="宋体" w:hAnsi="宋体" w:eastAsia="宋体" w:cs="宋体"/>
          <w:color w:val="auto"/>
          <w:sz w:val="24"/>
          <w:szCs w:val="24"/>
          <w:highlight w:val="none"/>
        </w:rPr>
      </w:pPr>
      <w:bookmarkStart w:id="945" w:name="_Toc373227767"/>
      <w:bookmarkEnd w:id="945"/>
      <w:bookmarkStart w:id="946" w:name="_Toc21939"/>
      <w:bookmarkEnd w:id="946"/>
      <w:bookmarkStart w:id="947" w:name="_Toc389065332"/>
      <w:bookmarkEnd w:id="947"/>
      <w:bookmarkStart w:id="948" w:name="_Toc373478414"/>
      <w:r>
        <w:rPr>
          <w:rStyle w:val="348"/>
          <w:rFonts w:hint="eastAsia" w:ascii="宋体" w:hAnsi="宋体" w:eastAsia="宋体" w:cs="宋体"/>
          <w:color w:val="auto"/>
          <w:sz w:val="24"/>
          <w:szCs w:val="24"/>
          <w:highlight w:val="none"/>
        </w:rPr>
        <w:t xml:space="preserve">16.1 </w:t>
      </w:r>
      <w:bookmarkEnd w:id="948"/>
      <w:r>
        <w:rPr>
          <w:rStyle w:val="348"/>
          <w:rFonts w:hint="eastAsia" w:ascii="宋体" w:hAnsi="宋体" w:eastAsia="宋体" w:cs="宋体"/>
          <w:color w:val="auto"/>
          <w:sz w:val="24"/>
          <w:szCs w:val="24"/>
          <w:highlight w:val="none"/>
        </w:rPr>
        <w:t>发包人违约</w:t>
      </w:r>
    </w:p>
    <w:p w14:paraId="081BC8DD">
      <w:pPr>
        <w:pStyle w:val="350"/>
        <w:spacing w:line="420" w:lineRule="exact"/>
        <w:ind w:firstLine="480" w:firstLineChars="200"/>
        <w:jc w:val="left"/>
        <w:outlineLvl w:val="4"/>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16.1.1发包人违约的情形</w:t>
      </w:r>
    </w:p>
    <w:p w14:paraId="19A204E7">
      <w:pPr>
        <w:pStyle w:val="350"/>
        <w:spacing w:line="420" w:lineRule="exact"/>
        <w:ind w:firstLine="480" w:firstLineChars="200"/>
        <w:jc w:val="left"/>
        <w:rPr>
          <w:rStyle w:val="348"/>
          <w:rFonts w:ascii="宋体" w:hAnsi="宋体" w:cs="宋体"/>
          <w:color w:val="auto"/>
          <w:kern w:val="0"/>
          <w:sz w:val="24"/>
          <w:szCs w:val="24"/>
          <w:highlight w:val="none"/>
        </w:rPr>
      </w:pPr>
      <w:r>
        <w:rPr>
          <w:rStyle w:val="348"/>
          <w:rFonts w:hint="eastAsia" w:ascii="宋体" w:hAnsi="宋体" w:cs="宋体"/>
          <w:color w:val="auto"/>
          <w:kern w:val="0"/>
          <w:sz w:val="24"/>
          <w:szCs w:val="24"/>
          <w:highlight w:val="none"/>
        </w:rPr>
        <w:t>发包人违约的其他情形：</w:t>
      </w:r>
      <w:r>
        <w:rPr>
          <w:rStyle w:val="348"/>
          <w:rFonts w:hint="eastAsia" w:ascii="宋体" w:hAnsi="宋体" w:cs="宋体"/>
          <w:color w:val="auto"/>
          <w:kern w:val="0"/>
          <w:sz w:val="24"/>
          <w:szCs w:val="24"/>
          <w:highlight w:val="none"/>
          <w:u w:val="single"/>
        </w:rPr>
        <w:t xml:space="preserve"> 按本合同专用条款执行 </w:t>
      </w:r>
      <w:r>
        <w:rPr>
          <w:rStyle w:val="348"/>
          <w:rFonts w:hint="eastAsia" w:ascii="宋体" w:hAnsi="宋体" w:cs="宋体"/>
          <w:color w:val="auto"/>
          <w:kern w:val="0"/>
          <w:sz w:val="24"/>
          <w:szCs w:val="24"/>
          <w:highlight w:val="none"/>
        </w:rPr>
        <w:t>。</w:t>
      </w:r>
    </w:p>
    <w:p w14:paraId="6FC6920D">
      <w:pPr>
        <w:pStyle w:val="350"/>
        <w:spacing w:line="420" w:lineRule="exact"/>
        <w:ind w:firstLine="480" w:firstLineChars="200"/>
        <w:jc w:val="left"/>
        <w:outlineLvl w:val="4"/>
        <w:rPr>
          <w:rStyle w:val="348"/>
          <w:rFonts w:ascii="宋体" w:hAnsi="宋体" w:cs="宋体"/>
          <w:color w:val="auto"/>
          <w:kern w:val="0"/>
          <w:sz w:val="24"/>
          <w:szCs w:val="24"/>
          <w:highlight w:val="none"/>
        </w:rPr>
      </w:pPr>
      <w:bookmarkStart w:id="949" w:name="_Toc29432"/>
      <w:r>
        <w:rPr>
          <w:rStyle w:val="348"/>
          <w:rFonts w:hint="eastAsia" w:ascii="宋体" w:hAnsi="宋体" w:cs="宋体"/>
          <w:color w:val="auto"/>
          <w:kern w:val="0"/>
          <w:sz w:val="24"/>
          <w:szCs w:val="24"/>
          <w:highlight w:val="none"/>
        </w:rPr>
        <w:t>16.1.2 发包人违约的责任</w:t>
      </w:r>
      <w:bookmarkEnd w:id="949"/>
    </w:p>
    <w:p w14:paraId="6D43E4CE">
      <w:pPr>
        <w:pStyle w:val="350"/>
        <w:spacing w:line="420" w:lineRule="exact"/>
        <w:ind w:firstLine="480" w:firstLineChars="200"/>
        <w:jc w:val="left"/>
        <w:rPr>
          <w:rStyle w:val="348"/>
          <w:rFonts w:ascii="宋体" w:hAnsi="宋体" w:cs="宋体"/>
          <w:color w:val="auto"/>
          <w:kern w:val="0"/>
          <w:sz w:val="24"/>
          <w:szCs w:val="24"/>
          <w:highlight w:val="none"/>
        </w:rPr>
      </w:pPr>
      <w:r>
        <w:rPr>
          <w:rStyle w:val="348"/>
          <w:rFonts w:hint="eastAsia" w:ascii="宋体" w:hAnsi="宋体" w:cs="宋体"/>
          <w:color w:val="auto"/>
          <w:kern w:val="0"/>
          <w:sz w:val="24"/>
          <w:szCs w:val="24"/>
          <w:highlight w:val="none"/>
        </w:rPr>
        <w:t>发包人违约责任的承担方式和计算方法：</w:t>
      </w:r>
    </w:p>
    <w:p w14:paraId="61877AAA">
      <w:pPr>
        <w:pStyle w:val="350"/>
        <w:spacing w:line="420" w:lineRule="exact"/>
        <w:ind w:firstLine="480" w:firstLineChars="200"/>
        <w:jc w:val="left"/>
        <w:rPr>
          <w:rStyle w:val="348"/>
          <w:rFonts w:ascii="宋体" w:hAnsi="宋体" w:cs="宋体"/>
          <w:color w:val="auto"/>
          <w:kern w:val="0"/>
          <w:sz w:val="24"/>
          <w:szCs w:val="24"/>
          <w:highlight w:val="none"/>
          <w:u w:val="single"/>
        </w:rPr>
      </w:pPr>
      <w:r>
        <w:rPr>
          <w:rStyle w:val="348"/>
          <w:rFonts w:hint="eastAsia" w:ascii="宋体" w:hAnsi="宋体" w:cs="宋体"/>
          <w:color w:val="auto"/>
          <w:kern w:val="0"/>
          <w:sz w:val="24"/>
          <w:szCs w:val="24"/>
          <w:highlight w:val="none"/>
        </w:rPr>
        <w:t>（1）因发包人原因未能在计划开工日期前7天内下达开工通知的违约责任：</w:t>
      </w:r>
      <w:r>
        <w:rPr>
          <w:rStyle w:val="348"/>
          <w:rFonts w:hint="eastAsia" w:ascii="宋体" w:hAnsi="宋体" w:cs="宋体"/>
          <w:color w:val="auto"/>
          <w:kern w:val="0"/>
          <w:sz w:val="24"/>
          <w:szCs w:val="24"/>
          <w:highlight w:val="none"/>
          <w:u w:val="single"/>
        </w:rPr>
        <w:t xml:space="preserve"> 顺延工期  </w:t>
      </w:r>
      <w:r>
        <w:rPr>
          <w:rStyle w:val="348"/>
          <w:rFonts w:hint="eastAsia" w:ascii="宋体" w:hAnsi="宋体" w:cs="宋体"/>
          <w:color w:val="auto"/>
          <w:kern w:val="0"/>
          <w:sz w:val="24"/>
          <w:szCs w:val="24"/>
          <w:highlight w:val="none"/>
        </w:rPr>
        <w:t>。</w:t>
      </w:r>
    </w:p>
    <w:p w14:paraId="047C2ACA">
      <w:pPr>
        <w:pStyle w:val="350"/>
        <w:spacing w:line="420" w:lineRule="exact"/>
        <w:ind w:firstLine="480" w:firstLineChars="200"/>
        <w:jc w:val="left"/>
        <w:rPr>
          <w:rStyle w:val="348"/>
          <w:rFonts w:ascii="宋体" w:hAnsi="宋体" w:cs="宋体"/>
          <w:color w:val="auto"/>
          <w:kern w:val="0"/>
          <w:sz w:val="24"/>
          <w:szCs w:val="24"/>
          <w:highlight w:val="none"/>
        </w:rPr>
      </w:pPr>
      <w:r>
        <w:rPr>
          <w:rStyle w:val="348"/>
          <w:rFonts w:hint="eastAsia" w:ascii="宋体" w:hAnsi="宋体" w:cs="宋体"/>
          <w:color w:val="auto"/>
          <w:kern w:val="0"/>
          <w:sz w:val="24"/>
          <w:szCs w:val="24"/>
          <w:highlight w:val="none"/>
        </w:rPr>
        <w:t>（2）因发包人原因未能按合同约定支付合同价款的违约责任：</w:t>
      </w:r>
      <w:r>
        <w:rPr>
          <w:rStyle w:val="348"/>
          <w:rFonts w:hint="eastAsia" w:ascii="宋体" w:hAnsi="宋体" w:cs="宋体"/>
          <w:color w:val="auto"/>
          <w:sz w:val="24"/>
          <w:szCs w:val="24"/>
          <w:highlight w:val="none"/>
          <w:u w:val="single"/>
        </w:rPr>
        <w:t>所耽误的工期相应顺延</w:t>
      </w:r>
      <w:r>
        <w:rPr>
          <w:rStyle w:val="348"/>
          <w:rFonts w:hint="eastAsia" w:ascii="宋体" w:hAnsi="宋体" w:cs="宋体"/>
          <w:color w:val="auto"/>
          <w:kern w:val="0"/>
          <w:sz w:val="24"/>
          <w:szCs w:val="24"/>
          <w:highlight w:val="none"/>
          <w:u w:val="single"/>
        </w:rPr>
        <w:t xml:space="preserve">    </w:t>
      </w:r>
      <w:r>
        <w:rPr>
          <w:rStyle w:val="348"/>
          <w:rFonts w:hint="eastAsia" w:ascii="宋体" w:hAnsi="宋体" w:cs="宋体"/>
          <w:color w:val="auto"/>
          <w:kern w:val="0"/>
          <w:sz w:val="24"/>
          <w:szCs w:val="24"/>
          <w:highlight w:val="none"/>
        </w:rPr>
        <w:t>。</w:t>
      </w:r>
    </w:p>
    <w:p w14:paraId="59DE9B53">
      <w:pPr>
        <w:pStyle w:val="350"/>
        <w:spacing w:line="420" w:lineRule="exact"/>
        <w:ind w:firstLine="480" w:firstLineChars="200"/>
        <w:jc w:val="left"/>
        <w:rPr>
          <w:rStyle w:val="348"/>
          <w:rFonts w:ascii="宋体" w:hAnsi="宋体" w:cs="宋体"/>
          <w:color w:val="auto"/>
          <w:kern w:val="0"/>
          <w:sz w:val="24"/>
          <w:szCs w:val="24"/>
          <w:highlight w:val="none"/>
        </w:rPr>
      </w:pPr>
      <w:r>
        <w:rPr>
          <w:rStyle w:val="348"/>
          <w:rFonts w:hint="eastAsia" w:ascii="宋体" w:hAnsi="宋体" w:cs="宋体"/>
          <w:color w:val="auto"/>
          <w:kern w:val="0"/>
          <w:sz w:val="24"/>
          <w:szCs w:val="24"/>
          <w:highlight w:val="none"/>
        </w:rPr>
        <w:t>（3）发包人违反第10.1款〔变更的范围〕第（2）项约定，自行实施被取消的工作或转由他人实施的违约责任：</w:t>
      </w:r>
      <w:r>
        <w:rPr>
          <w:rStyle w:val="348"/>
          <w:rFonts w:hint="eastAsia" w:ascii="宋体" w:hAnsi="宋体" w:cs="宋体"/>
          <w:color w:val="auto"/>
          <w:kern w:val="0"/>
          <w:sz w:val="24"/>
          <w:szCs w:val="24"/>
          <w:highlight w:val="none"/>
          <w:u w:val="single"/>
        </w:rPr>
        <w:t xml:space="preserve"> 另行协商  </w:t>
      </w:r>
      <w:r>
        <w:rPr>
          <w:rStyle w:val="348"/>
          <w:rFonts w:hint="eastAsia" w:ascii="宋体" w:hAnsi="宋体" w:cs="宋体"/>
          <w:color w:val="auto"/>
          <w:kern w:val="0"/>
          <w:sz w:val="24"/>
          <w:szCs w:val="24"/>
          <w:highlight w:val="none"/>
        </w:rPr>
        <w:t>。</w:t>
      </w:r>
    </w:p>
    <w:p w14:paraId="59C0FF44">
      <w:pPr>
        <w:pStyle w:val="363"/>
        <w:spacing w:line="420" w:lineRule="exact"/>
        <w:ind w:firstLine="480" w:firstLineChars="200"/>
        <w:jc w:val="left"/>
        <w:rPr>
          <w:rStyle w:val="348"/>
          <w:rFonts w:ascii="宋体" w:hAnsi="宋体" w:cs="宋体"/>
          <w:color w:val="auto"/>
          <w:kern w:val="0"/>
          <w:sz w:val="24"/>
          <w:szCs w:val="24"/>
          <w:highlight w:val="none"/>
        </w:rPr>
      </w:pPr>
      <w:r>
        <w:rPr>
          <w:rStyle w:val="348"/>
          <w:rFonts w:hint="eastAsia" w:ascii="宋体" w:hAnsi="宋体" w:cs="宋体"/>
          <w:color w:val="auto"/>
          <w:kern w:val="0"/>
          <w:sz w:val="24"/>
          <w:szCs w:val="24"/>
          <w:highlight w:val="none"/>
        </w:rPr>
        <w:t>（4）发包人提供的材料、工程设备的规格、数量或质量不符合合同约定，或因发包人的原因导致交货日期延误或交货地点变更等情况的违约责任：</w:t>
      </w:r>
      <w:r>
        <w:rPr>
          <w:rStyle w:val="348"/>
          <w:rFonts w:hint="eastAsia" w:ascii="宋体" w:hAnsi="宋体" w:cs="宋体"/>
          <w:color w:val="auto"/>
          <w:sz w:val="24"/>
          <w:szCs w:val="24"/>
          <w:highlight w:val="none"/>
          <w:u w:val="single"/>
        </w:rPr>
        <w:t>承包人的损失按实际发生计，所耽误的工期相应顺延</w:t>
      </w:r>
      <w:r>
        <w:rPr>
          <w:rStyle w:val="348"/>
          <w:rFonts w:hint="eastAsia" w:ascii="宋体" w:hAnsi="宋体" w:cs="宋体"/>
          <w:color w:val="auto"/>
          <w:kern w:val="0"/>
          <w:sz w:val="24"/>
          <w:szCs w:val="24"/>
          <w:highlight w:val="none"/>
        </w:rPr>
        <w:t>。</w:t>
      </w:r>
    </w:p>
    <w:p w14:paraId="348E7EF9">
      <w:pPr>
        <w:pStyle w:val="350"/>
        <w:spacing w:line="420" w:lineRule="exact"/>
        <w:ind w:firstLine="480" w:firstLineChars="200"/>
        <w:jc w:val="left"/>
        <w:rPr>
          <w:rStyle w:val="348"/>
          <w:rFonts w:ascii="宋体" w:hAnsi="宋体" w:cs="宋体"/>
          <w:color w:val="auto"/>
          <w:kern w:val="0"/>
          <w:sz w:val="24"/>
          <w:szCs w:val="24"/>
          <w:highlight w:val="none"/>
          <w:u w:val="single"/>
        </w:rPr>
      </w:pPr>
      <w:r>
        <w:rPr>
          <w:rStyle w:val="348"/>
          <w:rFonts w:hint="eastAsia" w:ascii="宋体" w:hAnsi="宋体" w:cs="宋体"/>
          <w:color w:val="auto"/>
          <w:kern w:val="0"/>
          <w:sz w:val="24"/>
          <w:szCs w:val="24"/>
          <w:highlight w:val="none"/>
        </w:rPr>
        <w:t>（5）因发包人违反合同约定造成暂停施工的违约责任：</w:t>
      </w:r>
      <w:r>
        <w:rPr>
          <w:rStyle w:val="348"/>
          <w:rFonts w:hint="eastAsia" w:ascii="宋体" w:hAnsi="宋体" w:cs="宋体"/>
          <w:color w:val="auto"/>
          <w:sz w:val="24"/>
          <w:szCs w:val="24"/>
          <w:highlight w:val="none"/>
          <w:u w:val="single"/>
        </w:rPr>
        <w:t>所耽误的工期相应顺延</w:t>
      </w:r>
      <w:r>
        <w:rPr>
          <w:rStyle w:val="348"/>
          <w:rFonts w:hint="eastAsia" w:ascii="宋体" w:hAnsi="宋体" w:cs="宋体"/>
          <w:color w:val="auto"/>
          <w:kern w:val="0"/>
          <w:sz w:val="24"/>
          <w:szCs w:val="24"/>
          <w:highlight w:val="none"/>
          <w:u w:val="single"/>
        </w:rPr>
        <w:t xml:space="preserve">  </w:t>
      </w:r>
      <w:r>
        <w:rPr>
          <w:rStyle w:val="348"/>
          <w:rFonts w:hint="eastAsia" w:ascii="宋体" w:hAnsi="宋体" w:cs="宋体"/>
          <w:color w:val="auto"/>
          <w:kern w:val="0"/>
          <w:sz w:val="24"/>
          <w:szCs w:val="24"/>
          <w:highlight w:val="none"/>
        </w:rPr>
        <w:t>。</w:t>
      </w:r>
    </w:p>
    <w:p w14:paraId="5DF4820E">
      <w:pPr>
        <w:pStyle w:val="350"/>
        <w:spacing w:line="420" w:lineRule="exact"/>
        <w:ind w:firstLine="480" w:firstLineChars="200"/>
        <w:jc w:val="left"/>
        <w:rPr>
          <w:rStyle w:val="348"/>
          <w:rFonts w:ascii="宋体" w:hAnsi="宋体" w:cs="宋体"/>
          <w:color w:val="auto"/>
          <w:kern w:val="0"/>
          <w:sz w:val="24"/>
          <w:szCs w:val="24"/>
          <w:highlight w:val="none"/>
        </w:rPr>
      </w:pPr>
      <w:r>
        <w:rPr>
          <w:rStyle w:val="348"/>
          <w:rFonts w:hint="eastAsia" w:ascii="宋体" w:hAnsi="宋体" w:cs="宋体"/>
          <w:color w:val="auto"/>
          <w:kern w:val="0"/>
          <w:sz w:val="24"/>
          <w:szCs w:val="24"/>
          <w:highlight w:val="none"/>
        </w:rPr>
        <w:t>（6）发包人无正当理由没有在约定期限内发出复工指示，导致承包人无法复工的违约责任：</w:t>
      </w:r>
      <w:r>
        <w:rPr>
          <w:rStyle w:val="348"/>
          <w:rFonts w:hint="eastAsia" w:ascii="宋体" w:hAnsi="宋体" w:cs="宋体"/>
          <w:color w:val="auto"/>
          <w:sz w:val="24"/>
          <w:szCs w:val="24"/>
          <w:highlight w:val="none"/>
          <w:u w:val="single"/>
        </w:rPr>
        <w:t>所耽误的工期相应顺延</w:t>
      </w:r>
      <w:r>
        <w:rPr>
          <w:rStyle w:val="348"/>
          <w:rFonts w:hint="eastAsia" w:ascii="宋体" w:hAnsi="宋体" w:cs="宋体"/>
          <w:color w:val="auto"/>
          <w:kern w:val="0"/>
          <w:sz w:val="24"/>
          <w:szCs w:val="24"/>
          <w:highlight w:val="none"/>
        </w:rPr>
        <w:t>。</w:t>
      </w:r>
    </w:p>
    <w:p w14:paraId="5F146B11">
      <w:pPr>
        <w:pStyle w:val="350"/>
        <w:spacing w:line="420" w:lineRule="exact"/>
        <w:ind w:firstLine="480" w:firstLineChars="200"/>
        <w:jc w:val="left"/>
        <w:outlineLvl w:val="5"/>
        <w:rPr>
          <w:rStyle w:val="348"/>
          <w:rFonts w:ascii="宋体" w:hAnsi="宋体" w:cs="宋体"/>
          <w:color w:val="auto"/>
          <w:kern w:val="0"/>
          <w:sz w:val="24"/>
          <w:szCs w:val="24"/>
          <w:highlight w:val="none"/>
        </w:rPr>
      </w:pPr>
      <w:r>
        <w:rPr>
          <w:rStyle w:val="348"/>
          <w:rFonts w:hint="eastAsia" w:ascii="宋体" w:hAnsi="宋体" w:cs="宋体"/>
          <w:color w:val="auto"/>
          <w:kern w:val="0"/>
          <w:sz w:val="24"/>
          <w:szCs w:val="24"/>
          <w:highlight w:val="none"/>
        </w:rPr>
        <w:t>（7）其他：</w:t>
      </w:r>
      <w:r>
        <w:rPr>
          <w:rStyle w:val="348"/>
          <w:rFonts w:hint="eastAsia" w:ascii="宋体" w:hAnsi="宋体" w:cs="宋体"/>
          <w:color w:val="auto"/>
          <w:kern w:val="0"/>
          <w:sz w:val="24"/>
          <w:szCs w:val="24"/>
          <w:highlight w:val="none"/>
          <w:u w:val="single"/>
        </w:rPr>
        <w:t xml:space="preserve">另行协商 </w:t>
      </w:r>
      <w:r>
        <w:rPr>
          <w:rStyle w:val="348"/>
          <w:rFonts w:hint="eastAsia" w:ascii="宋体" w:hAnsi="宋体" w:cs="宋体"/>
          <w:color w:val="auto"/>
          <w:kern w:val="0"/>
          <w:sz w:val="24"/>
          <w:szCs w:val="24"/>
          <w:highlight w:val="none"/>
        </w:rPr>
        <w:t>。</w:t>
      </w:r>
    </w:p>
    <w:p w14:paraId="593BB8DE">
      <w:pPr>
        <w:pStyle w:val="350"/>
        <w:spacing w:line="420" w:lineRule="exact"/>
        <w:ind w:firstLine="480" w:firstLineChars="200"/>
        <w:jc w:val="left"/>
        <w:outlineLvl w:val="4"/>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16.1.3 因发包人违约解除合同</w:t>
      </w:r>
    </w:p>
    <w:p w14:paraId="60E5335D">
      <w:pPr>
        <w:pStyle w:val="350"/>
        <w:autoSpaceDE w:val="0"/>
        <w:autoSpaceDN w:val="0"/>
        <w:spacing w:line="420" w:lineRule="exact"/>
        <w:ind w:firstLine="480" w:firstLineChars="200"/>
        <w:jc w:val="left"/>
        <w:rPr>
          <w:rStyle w:val="348"/>
          <w:rFonts w:ascii="宋体" w:hAnsi="宋体" w:cs="宋体"/>
          <w:color w:val="auto"/>
          <w:kern w:val="0"/>
          <w:sz w:val="24"/>
          <w:szCs w:val="24"/>
          <w:highlight w:val="none"/>
        </w:rPr>
      </w:pPr>
      <w:r>
        <w:rPr>
          <w:rStyle w:val="348"/>
          <w:rFonts w:hint="eastAsia" w:ascii="宋体" w:hAnsi="宋体" w:cs="宋体"/>
          <w:color w:val="auto"/>
          <w:kern w:val="0"/>
          <w:sz w:val="24"/>
          <w:szCs w:val="24"/>
          <w:highlight w:val="none"/>
        </w:rPr>
        <w:t>承包人按16.1.1项〔发包人违约的情形〕约定暂停施工满</w:t>
      </w:r>
      <w:r>
        <w:rPr>
          <w:rStyle w:val="348"/>
          <w:rFonts w:hint="eastAsia" w:ascii="宋体" w:hAnsi="宋体" w:cs="宋体"/>
          <w:color w:val="auto"/>
          <w:kern w:val="0"/>
          <w:sz w:val="24"/>
          <w:szCs w:val="24"/>
          <w:highlight w:val="none"/>
          <w:u w:val="single"/>
        </w:rPr>
        <w:t xml:space="preserve"> 28 </w:t>
      </w:r>
      <w:r>
        <w:rPr>
          <w:rStyle w:val="348"/>
          <w:rFonts w:hint="eastAsia" w:ascii="宋体" w:hAnsi="宋体" w:cs="宋体"/>
          <w:color w:val="auto"/>
          <w:kern w:val="0"/>
          <w:sz w:val="24"/>
          <w:szCs w:val="24"/>
          <w:highlight w:val="none"/>
        </w:rPr>
        <w:t>天后发包人仍不纠正其违约行为并致使合同目的不能实现的，承包人有权解除合同。</w:t>
      </w:r>
    </w:p>
    <w:p w14:paraId="59166425">
      <w:pPr>
        <w:pStyle w:val="354"/>
        <w:spacing w:line="420" w:lineRule="exact"/>
        <w:outlineLvl w:val="3"/>
        <w:rPr>
          <w:rStyle w:val="348"/>
          <w:rFonts w:ascii="宋体" w:hAnsi="宋体" w:eastAsia="宋体" w:cs="宋体"/>
          <w:color w:val="auto"/>
          <w:sz w:val="24"/>
          <w:szCs w:val="24"/>
          <w:highlight w:val="none"/>
        </w:rPr>
      </w:pPr>
      <w:bookmarkStart w:id="950" w:name="_Toc389065333"/>
      <w:bookmarkEnd w:id="950"/>
      <w:bookmarkStart w:id="951" w:name="_Toc373478415"/>
      <w:bookmarkEnd w:id="951"/>
      <w:bookmarkStart w:id="952" w:name="_Toc373227768"/>
      <w:bookmarkEnd w:id="952"/>
      <w:bookmarkStart w:id="953" w:name="_Toc28910"/>
      <w:r>
        <w:rPr>
          <w:rStyle w:val="348"/>
          <w:rFonts w:hint="eastAsia" w:ascii="宋体" w:hAnsi="宋体" w:eastAsia="宋体" w:cs="宋体"/>
          <w:color w:val="auto"/>
          <w:sz w:val="24"/>
          <w:szCs w:val="24"/>
          <w:highlight w:val="none"/>
        </w:rPr>
        <w:t xml:space="preserve">16.2 </w:t>
      </w:r>
      <w:bookmarkEnd w:id="953"/>
      <w:r>
        <w:rPr>
          <w:rStyle w:val="348"/>
          <w:rFonts w:hint="eastAsia" w:ascii="宋体" w:hAnsi="宋体" w:eastAsia="宋体" w:cs="宋体"/>
          <w:color w:val="auto"/>
          <w:sz w:val="24"/>
          <w:szCs w:val="24"/>
          <w:highlight w:val="none"/>
        </w:rPr>
        <w:t>承包人违约</w:t>
      </w:r>
    </w:p>
    <w:p w14:paraId="7095F204">
      <w:pPr>
        <w:pStyle w:val="350"/>
        <w:spacing w:line="420" w:lineRule="exact"/>
        <w:ind w:firstLine="480" w:firstLineChars="200"/>
        <w:jc w:val="left"/>
        <w:outlineLvl w:val="4"/>
        <w:rPr>
          <w:rStyle w:val="348"/>
          <w:rFonts w:ascii="宋体" w:hAnsi="宋体" w:cs="宋体"/>
          <w:color w:val="auto"/>
          <w:kern w:val="0"/>
          <w:sz w:val="24"/>
          <w:szCs w:val="24"/>
          <w:highlight w:val="none"/>
        </w:rPr>
      </w:pPr>
      <w:r>
        <w:rPr>
          <w:rStyle w:val="348"/>
          <w:rFonts w:hint="eastAsia" w:ascii="宋体" w:hAnsi="宋体" w:cs="宋体"/>
          <w:color w:val="auto"/>
          <w:kern w:val="0"/>
          <w:sz w:val="24"/>
          <w:szCs w:val="24"/>
          <w:highlight w:val="none"/>
        </w:rPr>
        <w:t>16.2.1 承包人违约的情形</w:t>
      </w:r>
    </w:p>
    <w:p w14:paraId="183911E7">
      <w:pPr>
        <w:pStyle w:val="350"/>
        <w:spacing w:line="420" w:lineRule="exact"/>
        <w:ind w:firstLine="480" w:firstLineChars="200"/>
        <w:jc w:val="left"/>
        <w:rPr>
          <w:rStyle w:val="348"/>
          <w:rFonts w:ascii="宋体" w:hAnsi="宋体" w:cs="宋体"/>
          <w:color w:val="auto"/>
          <w:kern w:val="0"/>
          <w:sz w:val="24"/>
          <w:szCs w:val="24"/>
          <w:highlight w:val="none"/>
          <w:u w:val="single"/>
        </w:rPr>
      </w:pPr>
      <w:r>
        <w:rPr>
          <w:rStyle w:val="348"/>
          <w:rFonts w:hint="eastAsia" w:ascii="宋体" w:hAnsi="宋体" w:cs="宋体"/>
          <w:color w:val="auto"/>
          <w:kern w:val="0"/>
          <w:sz w:val="24"/>
          <w:szCs w:val="24"/>
          <w:highlight w:val="none"/>
        </w:rPr>
        <w:t>承包人违约的其他情形：</w:t>
      </w:r>
      <w:r>
        <w:rPr>
          <w:rStyle w:val="348"/>
          <w:rFonts w:hint="eastAsia" w:ascii="宋体" w:hAnsi="宋体" w:cs="宋体"/>
          <w:b/>
          <w:bCs/>
          <w:color w:val="auto"/>
          <w:kern w:val="0"/>
          <w:sz w:val="24"/>
          <w:szCs w:val="24"/>
          <w:highlight w:val="none"/>
          <w:u w:val="single"/>
        </w:rPr>
        <w:t>承包人有违反相关规定的，按规定给予处罚。</w:t>
      </w:r>
    </w:p>
    <w:p w14:paraId="2F26FEE1">
      <w:pPr>
        <w:pStyle w:val="350"/>
        <w:spacing w:line="420" w:lineRule="exact"/>
        <w:ind w:firstLine="480" w:firstLineChars="200"/>
        <w:jc w:val="left"/>
        <w:outlineLvl w:val="4"/>
        <w:rPr>
          <w:rStyle w:val="348"/>
          <w:rFonts w:ascii="宋体" w:hAnsi="宋体" w:cs="宋体"/>
          <w:color w:val="auto"/>
          <w:kern w:val="0"/>
          <w:sz w:val="24"/>
          <w:szCs w:val="24"/>
          <w:highlight w:val="none"/>
        </w:rPr>
      </w:pPr>
      <w:bookmarkStart w:id="954" w:name="_Toc15495"/>
      <w:r>
        <w:rPr>
          <w:rStyle w:val="348"/>
          <w:rFonts w:hint="eastAsia" w:ascii="宋体" w:hAnsi="宋体" w:cs="宋体"/>
          <w:color w:val="auto"/>
          <w:kern w:val="0"/>
          <w:sz w:val="24"/>
          <w:szCs w:val="24"/>
          <w:highlight w:val="none"/>
        </w:rPr>
        <w:t>16.2.2承包人违约的责任</w:t>
      </w:r>
      <w:bookmarkEnd w:id="954"/>
    </w:p>
    <w:p w14:paraId="54FB976B">
      <w:pPr>
        <w:pStyle w:val="350"/>
        <w:spacing w:line="420" w:lineRule="exact"/>
        <w:ind w:firstLine="480" w:firstLineChars="200"/>
        <w:jc w:val="left"/>
        <w:rPr>
          <w:rStyle w:val="348"/>
          <w:rFonts w:ascii="宋体" w:hAnsi="宋体" w:cs="宋体"/>
          <w:color w:val="auto"/>
          <w:kern w:val="0"/>
          <w:sz w:val="24"/>
          <w:szCs w:val="24"/>
          <w:highlight w:val="none"/>
        </w:rPr>
      </w:pPr>
      <w:r>
        <w:rPr>
          <w:rStyle w:val="348"/>
          <w:rFonts w:hint="eastAsia" w:ascii="宋体" w:hAnsi="宋体" w:cs="宋体"/>
          <w:color w:val="auto"/>
          <w:kern w:val="0"/>
          <w:sz w:val="24"/>
          <w:szCs w:val="24"/>
          <w:highlight w:val="none"/>
        </w:rPr>
        <w:t>承包人违约责任的承担方式和计算方法：</w:t>
      </w:r>
    </w:p>
    <w:p w14:paraId="1D902357">
      <w:pPr>
        <w:pStyle w:val="350"/>
        <w:spacing w:line="420" w:lineRule="exact"/>
        <w:ind w:firstLine="480" w:firstLineChars="200"/>
        <w:jc w:val="left"/>
        <w:rPr>
          <w:rStyle w:val="348"/>
          <w:rFonts w:ascii="宋体" w:hAnsi="宋体" w:cs="宋体"/>
          <w:color w:val="auto"/>
          <w:kern w:val="0"/>
          <w:sz w:val="24"/>
          <w:szCs w:val="24"/>
          <w:highlight w:val="none"/>
        </w:rPr>
      </w:pPr>
      <w:r>
        <w:rPr>
          <w:rStyle w:val="348"/>
          <w:rFonts w:hint="eastAsia" w:ascii="宋体" w:hAnsi="宋体" w:cs="宋体"/>
          <w:color w:val="auto"/>
          <w:kern w:val="0"/>
          <w:sz w:val="24"/>
          <w:szCs w:val="24"/>
          <w:highlight w:val="none"/>
        </w:rPr>
        <w:t>（1）承包人未按本合同通用条款第16.2.1（2）、（3）条内容完成的，承包人无条件返工处理，修复至工程质量要求并承担相关费用，并在发包人规定的时间内完成返工，否则发包人有权扣罚该分项工程10%的工程款作为处罚。</w:t>
      </w:r>
    </w:p>
    <w:p w14:paraId="17CE43F1">
      <w:pPr>
        <w:pStyle w:val="350"/>
        <w:spacing w:line="420" w:lineRule="exact"/>
        <w:ind w:firstLine="480" w:firstLineChars="200"/>
        <w:jc w:val="left"/>
        <w:rPr>
          <w:rStyle w:val="348"/>
          <w:rFonts w:ascii="宋体" w:hAnsi="宋体" w:cs="宋体"/>
          <w:color w:val="auto"/>
          <w:kern w:val="0"/>
          <w:sz w:val="24"/>
          <w:szCs w:val="24"/>
          <w:highlight w:val="none"/>
        </w:rPr>
      </w:pPr>
      <w:r>
        <w:rPr>
          <w:rStyle w:val="348"/>
          <w:rFonts w:hint="eastAsia" w:ascii="宋体" w:hAnsi="宋体" w:cs="宋体"/>
          <w:color w:val="auto"/>
          <w:kern w:val="0"/>
          <w:sz w:val="24"/>
          <w:szCs w:val="24"/>
          <w:highlight w:val="none"/>
        </w:rPr>
        <w:t>（2）承包人有本合同通用条款第16.2.1（6）条情形的，或经监理人检验认为修复质量不合格而承包人拒绝再进行修补的，发包人将扣除承包人全部质量保修金。</w:t>
      </w:r>
    </w:p>
    <w:p w14:paraId="3D2CFF7C">
      <w:pPr>
        <w:pStyle w:val="350"/>
        <w:spacing w:line="420" w:lineRule="exact"/>
        <w:ind w:firstLine="480" w:firstLineChars="200"/>
        <w:jc w:val="left"/>
        <w:rPr>
          <w:rStyle w:val="348"/>
          <w:rFonts w:ascii="宋体" w:hAnsi="宋体" w:cs="宋体"/>
          <w:color w:val="auto"/>
          <w:kern w:val="0"/>
          <w:sz w:val="24"/>
          <w:szCs w:val="24"/>
          <w:highlight w:val="none"/>
        </w:rPr>
      </w:pPr>
      <w:r>
        <w:rPr>
          <w:rStyle w:val="348"/>
          <w:rFonts w:hint="eastAsia" w:ascii="宋体" w:hAnsi="宋体" w:cs="宋体"/>
          <w:color w:val="auto"/>
          <w:kern w:val="0"/>
          <w:sz w:val="24"/>
          <w:szCs w:val="24"/>
          <w:highlight w:val="none"/>
        </w:rPr>
        <w:t>（3）承包人有本专用合同条款3.2、3.3条违约责任的，发包人有权扣除承包人的违约金。违约金金额均在承包人的履约保证金及计量支付款内扣除。监理人预先下发含有罚款意向的指令，如承包人不及时采取措施纠正，则在指令下达后十五天下发罚款通知书（不再陈述罚款理由）。承包人履约保证金被罚款后由发包人从最后一次计量支付时扣除相应金额补足履约保证金。承包人在合同期内，完成合同规定的全部工程，且质量合格，在本工程施工竣工验收后十五天内可申请返还全部或部分罚款，返还金额由监理人审核，发包人批准。罚款金额返还时不包括银行利息。</w:t>
      </w:r>
    </w:p>
    <w:p w14:paraId="07FFCAB9">
      <w:pPr>
        <w:pStyle w:val="350"/>
        <w:spacing w:line="420" w:lineRule="exact"/>
        <w:ind w:firstLine="480" w:firstLineChars="200"/>
        <w:jc w:val="left"/>
        <w:outlineLvl w:val="4"/>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16.2.3 因承包人违约解除合同</w:t>
      </w:r>
    </w:p>
    <w:p w14:paraId="42A1A242">
      <w:pPr>
        <w:pStyle w:val="350"/>
        <w:spacing w:line="420" w:lineRule="exact"/>
        <w:ind w:firstLine="480" w:firstLineChars="200"/>
        <w:jc w:val="left"/>
        <w:rPr>
          <w:rStyle w:val="348"/>
          <w:rFonts w:ascii="宋体" w:hAnsi="宋体" w:cs="宋体"/>
          <w:color w:val="auto"/>
          <w:kern w:val="0"/>
          <w:sz w:val="24"/>
          <w:szCs w:val="24"/>
          <w:highlight w:val="none"/>
        </w:rPr>
      </w:pPr>
      <w:r>
        <w:rPr>
          <w:rStyle w:val="348"/>
          <w:rFonts w:hint="eastAsia" w:ascii="宋体" w:hAnsi="宋体" w:cs="宋体"/>
          <w:color w:val="auto"/>
          <w:kern w:val="0"/>
          <w:sz w:val="24"/>
          <w:szCs w:val="24"/>
          <w:highlight w:val="none"/>
        </w:rPr>
        <w:t>关于承包人违约解除合同的特别约定：</w:t>
      </w:r>
      <w:r>
        <w:rPr>
          <w:rStyle w:val="348"/>
          <w:rFonts w:hint="eastAsia" w:ascii="宋体" w:hAnsi="宋体" w:cs="宋体"/>
          <w:color w:val="auto"/>
          <w:kern w:val="0"/>
          <w:sz w:val="24"/>
          <w:szCs w:val="24"/>
          <w:highlight w:val="none"/>
          <w:u w:val="single"/>
        </w:rPr>
        <w:t>承包人有违反以下情况之一的，发包人有权解除合同，并没收其全部履约保证金</w:t>
      </w:r>
      <w:r>
        <w:rPr>
          <w:rStyle w:val="348"/>
          <w:rFonts w:hint="eastAsia" w:ascii="宋体" w:hAnsi="宋体" w:cs="宋体"/>
          <w:color w:val="auto"/>
          <w:kern w:val="0"/>
          <w:sz w:val="24"/>
          <w:szCs w:val="24"/>
          <w:highlight w:val="none"/>
        </w:rPr>
        <w:t>。</w:t>
      </w:r>
    </w:p>
    <w:p w14:paraId="1BDBBAD2">
      <w:pPr>
        <w:pStyle w:val="350"/>
        <w:spacing w:line="420" w:lineRule="exact"/>
        <w:ind w:firstLine="480" w:firstLineChars="200"/>
        <w:jc w:val="left"/>
        <w:rPr>
          <w:rStyle w:val="348"/>
          <w:rFonts w:ascii="宋体" w:hAnsi="宋体" w:cs="宋体"/>
          <w:color w:val="auto"/>
          <w:kern w:val="0"/>
          <w:sz w:val="24"/>
          <w:szCs w:val="24"/>
          <w:highlight w:val="none"/>
        </w:rPr>
      </w:pPr>
      <w:r>
        <w:rPr>
          <w:rStyle w:val="348"/>
          <w:rFonts w:hint="eastAsia" w:ascii="宋体" w:hAnsi="宋体" w:cs="宋体"/>
          <w:color w:val="auto"/>
          <w:kern w:val="0"/>
          <w:sz w:val="24"/>
          <w:szCs w:val="24"/>
          <w:highlight w:val="none"/>
        </w:rPr>
        <w:t>(1)承包人无正当理由不按开工通知的要求及时进场组织施工和不按签订协议书时商定的进度计划有效地开展施工准备，造成工期延误的；</w:t>
      </w:r>
    </w:p>
    <w:p w14:paraId="1D515002">
      <w:pPr>
        <w:pStyle w:val="350"/>
        <w:spacing w:line="420" w:lineRule="exact"/>
        <w:ind w:firstLine="480" w:firstLineChars="200"/>
        <w:jc w:val="left"/>
        <w:rPr>
          <w:rStyle w:val="348"/>
          <w:rFonts w:ascii="宋体" w:hAnsi="宋体" w:cs="宋体"/>
          <w:color w:val="auto"/>
          <w:kern w:val="0"/>
          <w:sz w:val="24"/>
          <w:szCs w:val="24"/>
          <w:highlight w:val="none"/>
        </w:rPr>
      </w:pPr>
      <w:r>
        <w:rPr>
          <w:rStyle w:val="348"/>
          <w:rFonts w:hint="eastAsia" w:ascii="宋体" w:hAnsi="宋体" w:cs="宋体"/>
          <w:color w:val="auto"/>
          <w:kern w:val="0"/>
          <w:sz w:val="24"/>
          <w:szCs w:val="24"/>
          <w:highlight w:val="none"/>
        </w:rPr>
        <w:t>(2)承包人违反本合同通用条款第3.5条规定私自将合同或合同的任何部分或任何权利转让给其他人，或私自将工程或工程的一部分分包出去的；</w:t>
      </w:r>
    </w:p>
    <w:p w14:paraId="574833BC">
      <w:pPr>
        <w:pStyle w:val="350"/>
        <w:spacing w:line="420" w:lineRule="exact"/>
        <w:ind w:firstLine="480" w:firstLineChars="200"/>
        <w:jc w:val="left"/>
        <w:rPr>
          <w:rStyle w:val="348"/>
          <w:rFonts w:ascii="宋体" w:hAnsi="宋体" w:cs="宋体"/>
          <w:color w:val="auto"/>
          <w:kern w:val="0"/>
          <w:sz w:val="24"/>
          <w:szCs w:val="24"/>
          <w:highlight w:val="none"/>
        </w:rPr>
      </w:pPr>
      <w:r>
        <w:rPr>
          <w:rStyle w:val="348"/>
          <w:rFonts w:hint="eastAsia" w:ascii="宋体" w:hAnsi="宋体" w:cs="宋体"/>
          <w:color w:val="auto"/>
          <w:kern w:val="0"/>
          <w:sz w:val="24"/>
          <w:szCs w:val="24"/>
          <w:highlight w:val="none"/>
        </w:rPr>
        <w:t>(3)未经监理人批准，承包人私自将已按响应文件承诺进入工地的工程设备、施工设备、临时工程或材料撤离工地的；</w:t>
      </w:r>
    </w:p>
    <w:p w14:paraId="1B6E6596">
      <w:pPr>
        <w:pStyle w:val="350"/>
        <w:spacing w:line="420" w:lineRule="exact"/>
        <w:ind w:firstLine="480" w:firstLineChars="200"/>
        <w:jc w:val="left"/>
        <w:rPr>
          <w:rStyle w:val="348"/>
          <w:rFonts w:ascii="宋体" w:hAnsi="宋体" w:cs="宋体"/>
          <w:color w:val="auto"/>
          <w:kern w:val="0"/>
          <w:sz w:val="24"/>
          <w:szCs w:val="24"/>
          <w:highlight w:val="none"/>
        </w:rPr>
      </w:pPr>
      <w:r>
        <w:rPr>
          <w:rStyle w:val="348"/>
          <w:rFonts w:hint="eastAsia" w:ascii="宋体" w:hAnsi="宋体" w:cs="宋体"/>
          <w:color w:val="auto"/>
          <w:kern w:val="0"/>
          <w:sz w:val="24"/>
          <w:szCs w:val="24"/>
          <w:highlight w:val="none"/>
        </w:rPr>
        <w:t>(4)由于承包人原因拒绝按合同进度计划及时完成合同规定的工程，而又未采取有效措施赶上进度，造成工期延误的或合同履行期间，承包人不按合同约定或核批的进度计划组织施工，经监理书面通知整改而未满足要求，经发包人书面通知3日内仍未能有效整改的”</w:t>
      </w:r>
    </w:p>
    <w:p w14:paraId="4BFAA3BD">
      <w:pPr>
        <w:pStyle w:val="350"/>
        <w:spacing w:line="420" w:lineRule="exact"/>
        <w:ind w:firstLine="480" w:firstLineChars="200"/>
        <w:rPr>
          <w:rStyle w:val="348"/>
          <w:rFonts w:ascii="宋体" w:hAnsi="宋体" w:cs="宋体"/>
          <w:color w:val="auto"/>
          <w:kern w:val="0"/>
          <w:sz w:val="24"/>
          <w:szCs w:val="24"/>
          <w:highlight w:val="none"/>
        </w:rPr>
      </w:pPr>
      <w:r>
        <w:rPr>
          <w:rStyle w:val="348"/>
          <w:rFonts w:hint="eastAsia" w:ascii="宋体" w:hAnsi="宋体" w:cs="宋体"/>
          <w:color w:val="auto"/>
          <w:kern w:val="0"/>
          <w:sz w:val="24"/>
          <w:szCs w:val="24"/>
          <w:highlight w:val="none"/>
        </w:rPr>
        <w:t>(5)承包人否认合同有效或拒绝履行合同规定的承包人义务，或由于法律、财务等原因导致承包人无法继续履行或实质上已停止履行合同的义务的；</w:t>
      </w:r>
    </w:p>
    <w:p w14:paraId="53325F97">
      <w:pPr>
        <w:pStyle w:val="350"/>
        <w:spacing w:line="420" w:lineRule="exact"/>
        <w:ind w:firstLine="480" w:firstLineChars="200"/>
        <w:rPr>
          <w:rStyle w:val="348"/>
          <w:rFonts w:ascii="宋体" w:hAnsi="宋体" w:cs="宋体"/>
          <w:color w:val="auto"/>
          <w:kern w:val="0"/>
          <w:sz w:val="24"/>
          <w:szCs w:val="24"/>
          <w:highlight w:val="none"/>
        </w:rPr>
      </w:pPr>
      <w:r>
        <w:rPr>
          <w:rStyle w:val="348"/>
          <w:rFonts w:hint="eastAsia" w:ascii="宋体" w:hAnsi="宋体" w:cs="宋体"/>
          <w:color w:val="auto"/>
          <w:kern w:val="0"/>
          <w:sz w:val="24"/>
          <w:szCs w:val="24"/>
          <w:highlight w:val="none"/>
        </w:rPr>
        <w:t>(6) 合同签订</w:t>
      </w:r>
      <w:r>
        <w:rPr>
          <w:rStyle w:val="348"/>
          <w:rFonts w:hint="eastAsia" w:ascii="宋体" w:hAnsi="宋体" w:cs="宋体"/>
          <w:color w:val="auto"/>
          <w:sz w:val="24"/>
          <w:szCs w:val="24"/>
          <w:highlight w:val="none"/>
        </w:rPr>
        <w:t>且具备法定开工条件后</w:t>
      </w:r>
      <w:r>
        <w:rPr>
          <w:rStyle w:val="348"/>
          <w:rFonts w:hint="eastAsia" w:ascii="宋体" w:hAnsi="宋体" w:cs="宋体"/>
          <w:color w:val="auto"/>
          <w:kern w:val="0"/>
          <w:sz w:val="24"/>
          <w:szCs w:val="24"/>
          <w:highlight w:val="none"/>
        </w:rPr>
        <w:t>之日起十五日内，承包人无法按合同规定及响应文件的承诺进场经监理工程师认可的该施工阶段应有的全部人员和机械的。</w:t>
      </w:r>
    </w:p>
    <w:p w14:paraId="30315C56">
      <w:pPr>
        <w:pStyle w:val="363"/>
        <w:widowControl/>
        <w:spacing w:line="420" w:lineRule="exact"/>
        <w:ind w:firstLine="420"/>
        <w:rPr>
          <w:rStyle w:val="348"/>
          <w:rFonts w:ascii="宋体" w:hAnsi="宋体" w:cs="宋体"/>
          <w:b/>
          <w:bCs/>
          <w:color w:val="auto"/>
          <w:kern w:val="0"/>
          <w:sz w:val="24"/>
          <w:szCs w:val="24"/>
          <w:highlight w:val="none"/>
        </w:rPr>
      </w:pPr>
      <w:r>
        <w:rPr>
          <w:rStyle w:val="348"/>
          <w:rFonts w:hint="eastAsia" w:ascii="宋体" w:hAnsi="宋体" w:cs="宋体"/>
          <w:b/>
          <w:bCs/>
          <w:color w:val="auto"/>
          <w:kern w:val="0"/>
          <w:sz w:val="24"/>
          <w:szCs w:val="24"/>
          <w:highlight w:val="none"/>
        </w:rPr>
        <w:t>（7）在发包人按合同约定支付工程进度款的前提下，承包人拖欠员工工资待遇导致其员工到发包方或政府部门静坐、闹事的。</w:t>
      </w:r>
    </w:p>
    <w:p w14:paraId="28096D41">
      <w:pPr>
        <w:pStyle w:val="350"/>
        <w:spacing w:line="420" w:lineRule="exact"/>
        <w:ind w:firstLine="480" w:firstLineChars="200"/>
        <w:rPr>
          <w:rStyle w:val="348"/>
          <w:rFonts w:ascii="宋体" w:hAnsi="宋体" w:cs="宋体"/>
          <w:color w:val="auto"/>
          <w:kern w:val="0"/>
          <w:sz w:val="24"/>
          <w:szCs w:val="24"/>
          <w:highlight w:val="none"/>
        </w:rPr>
      </w:pPr>
      <w:r>
        <w:rPr>
          <w:rStyle w:val="348"/>
          <w:rFonts w:hint="eastAsia" w:ascii="宋体" w:hAnsi="宋体" w:cs="宋体"/>
          <w:color w:val="auto"/>
          <w:kern w:val="0"/>
          <w:sz w:val="24"/>
          <w:szCs w:val="24"/>
          <w:highlight w:val="none"/>
        </w:rPr>
        <w:t xml:space="preserve"> </w:t>
      </w:r>
    </w:p>
    <w:p w14:paraId="6C36DAF2">
      <w:pPr>
        <w:pStyle w:val="350"/>
        <w:spacing w:line="420" w:lineRule="exact"/>
        <w:ind w:firstLine="480" w:firstLineChars="200"/>
        <w:rPr>
          <w:rStyle w:val="348"/>
          <w:rFonts w:ascii="宋体" w:hAnsi="宋体" w:cs="宋体"/>
          <w:color w:val="auto"/>
          <w:kern w:val="0"/>
          <w:sz w:val="24"/>
          <w:szCs w:val="24"/>
          <w:highlight w:val="none"/>
        </w:rPr>
      </w:pPr>
      <w:r>
        <w:rPr>
          <w:rStyle w:val="348"/>
          <w:rFonts w:hint="eastAsia" w:ascii="宋体" w:hAnsi="宋体" w:cs="宋体"/>
          <w:color w:val="auto"/>
          <w:kern w:val="0"/>
          <w:sz w:val="24"/>
          <w:szCs w:val="24"/>
          <w:highlight w:val="none"/>
        </w:rPr>
        <w:t>发包人继续使用承包人在施工现场的材料、设备、临时工程、承包人文件和由承包人或以其名义编制的其他文件的费用承担方式：</w:t>
      </w:r>
      <w:r>
        <w:rPr>
          <w:rFonts w:hint="eastAsia" w:ascii="宋体" w:hAnsi="宋体" w:cs="宋体"/>
          <w:color w:val="auto"/>
          <w:kern w:val="0"/>
          <w:sz w:val="24"/>
          <w:szCs w:val="24"/>
          <w:highlight w:val="none"/>
          <w:u w:val="single"/>
        </w:rPr>
        <w:t>发包人和承包人可协商解决费用承担问题，无法协商一致的，发包人发出清场通知之日起十日内，承包人应将施工现场的材料、设备无条件搬离，不得以任何理由拒不清场搬离，否则每延误一天承包人按工程总价款的千分之三向发包人支付逾期清场违约金</w:t>
      </w:r>
      <w:r>
        <w:rPr>
          <w:rFonts w:hint="eastAsia" w:ascii="宋体" w:hAnsi="宋体" w:cs="宋体"/>
          <w:color w:val="auto"/>
          <w:kern w:val="0"/>
          <w:sz w:val="24"/>
          <w:szCs w:val="24"/>
          <w:highlight w:val="none"/>
        </w:rPr>
        <w:t>。</w:t>
      </w:r>
    </w:p>
    <w:p w14:paraId="42680A66">
      <w:pPr>
        <w:pStyle w:val="349"/>
        <w:spacing w:before="0" w:after="0" w:line="420" w:lineRule="exact"/>
        <w:outlineLvl w:val="2"/>
        <w:rPr>
          <w:rStyle w:val="348"/>
          <w:rFonts w:ascii="宋体" w:hAnsi="宋体" w:eastAsia="宋体" w:cs="宋体"/>
          <w:color w:val="auto"/>
          <w:sz w:val="24"/>
          <w:szCs w:val="24"/>
          <w:highlight w:val="none"/>
        </w:rPr>
      </w:pPr>
      <w:bookmarkStart w:id="955" w:name="_Toc373227769"/>
      <w:bookmarkEnd w:id="955"/>
      <w:bookmarkStart w:id="956" w:name="_Toc28282"/>
      <w:bookmarkEnd w:id="956"/>
      <w:bookmarkStart w:id="957" w:name="_Toc389065334"/>
      <w:bookmarkEnd w:id="957"/>
      <w:bookmarkStart w:id="958" w:name="_Toc351203649"/>
      <w:bookmarkEnd w:id="958"/>
      <w:bookmarkStart w:id="959" w:name="_Toc373478416"/>
      <w:r>
        <w:rPr>
          <w:rStyle w:val="348"/>
          <w:rFonts w:hint="eastAsia" w:ascii="宋体" w:hAnsi="宋体" w:eastAsia="宋体" w:cs="宋体"/>
          <w:color w:val="auto"/>
          <w:sz w:val="24"/>
          <w:szCs w:val="24"/>
          <w:highlight w:val="none"/>
        </w:rPr>
        <w:t xml:space="preserve">17. </w:t>
      </w:r>
      <w:bookmarkEnd w:id="959"/>
      <w:r>
        <w:rPr>
          <w:rStyle w:val="348"/>
          <w:rFonts w:hint="eastAsia" w:ascii="宋体" w:hAnsi="宋体" w:eastAsia="宋体" w:cs="宋体"/>
          <w:color w:val="auto"/>
          <w:sz w:val="24"/>
          <w:szCs w:val="24"/>
          <w:highlight w:val="none"/>
        </w:rPr>
        <w:t xml:space="preserve">不可抗力 </w:t>
      </w:r>
    </w:p>
    <w:p w14:paraId="0107EAF0">
      <w:pPr>
        <w:pStyle w:val="354"/>
        <w:spacing w:line="420" w:lineRule="exact"/>
        <w:outlineLvl w:val="3"/>
        <w:rPr>
          <w:rStyle w:val="348"/>
          <w:rFonts w:ascii="宋体" w:hAnsi="宋体" w:eastAsia="宋体" w:cs="宋体"/>
          <w:color w:val="auto"/>
          <w:sz w:val="24"/>
          <w:szCs w:val="24"/>
          <w:highlight w:val="none"/>
        </w:rPr>
      </w:pPr>
      <w:bookmarkStart w:id="960" w:name="_Toc373478417"/>
      <w:bookmarkEnd w:id="960"/>
      <w:bookmarkStart w:id="961" w:name="_Toc389065335"/>
      <w:bookmarkEnd w:id="961"/>
      <w:bookmarkStart w:id="962" w:name="_Toc373227770"/>
      <w:bookmarkEnd w:id="962"/>
      <w:bookmarkStart w:id="963" w:name="_Toc20751"/>
      <w:r>
        <w:rPr>
          <w:rStyle w:val="348"/>
          <w:rFonts w:hint="eastAsia" w:ascii="宋体" w:hAnsi="宋体" w:eastAsia="宋体" w:cs="宋体"/>
          <w:color w:val="auto"/>
          <w:sz w:val="24"/>
          <w:szCs w:val="24"/>
          <w:highlight w:val="none"/>
        </w:rPr>
        <w:t>17.1 不可抗力的确认</w:t>
      </w:r>
      <w:bookmarkEnd w:id="963"/>
    </w:p>
    <w:p w14:paraId="6076F0EC">
      <w:pPr>
        <w:pStyle w:val="363"/>
        <w:spacing w:line="420" w:lineRule="exact"/>
        <w:ind w:firstLine="600" w:firstLineChars="250"/>
        <w:rPr>
          <w:rStyle w:val="348"/>
          <w:rFonts w:ascii="宋体" w:hAnsi="宋体" w:cs="宋体"/>
          <w:b/>
          <w:bCs/>
          <w:color w:val="auto"/>
          <w:kern w:val="0"/>
          <w:sz w:val="24"/>
          <w:szCs w:val="24"/>
          <w:highlight w:val="none"/>
        </w:rPr>
      </w:pPr>
      <w:r>
        <w:rPr>
          <w:rStyle w:val="348"/>
          <w:rFonts w:hint="eastAsia" w:ascii="宋体" w:hAnsi="宋体" w:cs="宋体"/>
          <w:color w:val="auto"/>
          <w:sz w:val="24"/>
          <w:szCs w:val="24"/>
          <w:highlight w:val="none"/>
        </w:rPr>
        <w:t>除通用合同条款约定的不可抗力事件之外，视为不可抗力的其他情形：</w:t>
      </w:r>
      <w:r>
        <w:rPr>
          <w:rStyle w:val="348"/>
          <w:rFonts w:hint="eastAsia" w:ascii="宋体" w:hAnsi="宋体" w:cs="宋体"/>
          <w:color w:val="auto"/>
          <w:kern w:val="0"/>
          <w:sz w:val="24"/>
          <w:szCs w:val="24"/>
          <w:highlight w:val="none"/>
          <w:u w:val="single"/>
        </w:rPr>
        <w:t>不可抗力的自然灾害认定标准，以政府有关部门的规定为准</w:t>
      </w:r>
      <w:r>
        <w:rPr>
          <w:rStyle w:val="348"/>
          <w:rFonts w:hint="eastAsia" w:ascii="宋体" w:hAnsi="宋体" w:cs="宋体"/>
          <w:color w:val="auto"/>
          <w:kern w:val="0"/>
          <w:sz w:val="24"/>
          <w:szCs w:val="24"/>
          <w:highlight w:val="none"/>
        </w:rPr>
        <w:t>。</w:t>
      </w:r>
    </w:p>
    <w:p w14:paraId="4E57CE13">
      <w:pPr>
        <w:pStyle w:val="354"/>
        <w:spacing w:line="420" w:lineRule="exact"/>
        <w:outlineLvl w:val="3"/>
        <w:rPr>
          <w:rStyle w:val="348"/>
          <w:rFonts w:ascii="宋体" w:hAnsi="宋体" w:eastAsia="宋体" w:cs="宋体"/>
          <w:color w:val="auto"/>
          <w:sz w:val="24"/>
          <w:szCs w:val="24"/>
          <w:highlight w:val="none"/>
        </w:rPr>
      </w:pPr>
      <w:bookmarkStart w:id="964" w:name="_Toc389065336"/>
      <w:bookmarkEnd w:id="964"/>
      <w:bookmarkStart w:id="965" w:name="_Toc373227771"/>
      <w:bookmarkEnd w:id="965"/>
      <w:bookmarkStart w:id="966" w:name="_Toc31960"/>
      <w:bookmarkEnd w:id="966"/>
      <w:bookmarkStart w:id="967" w:name="_Toc373478418"/>
      <w:r>
        <w:rPr>
          <w:rStyle w:val="348"/>
          <w:rFonts w:hint="eastAsia" w:ascii="宋体" w:hAnsi="宋体" w:eastAsia="宋体" w:cs="宋体"/>
          <w:color w:val="auto"/>
          <w:sz w:val="24"/>
          <w:szCs w:val="24"/>
          <w:highlight w:val="none"/>
        </w:rPr>
        <w:t>17.4 因不可抗力解除合同</w:t>
      </w:r>
      <w:bookmarkEnd w:id="967"/>
    </w:p>
    <w:p w14:paraId="162C8CE5">
      <w:pPr>
        <w:pStyle w:val="350"/>
        <w:spacing w:line="420" w:lineRule="exact"/>
        <w:ind w:firstLine="480" w:firstLineChars="200"/>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合同解除后，发包人应在商定或确定发包人应支付款项后</w:t>
      </w:r>
      <w:r>
        <w:rPr>
          <w:rStyle w:val="348"/>
          <w:rFonts w:hint="eastAsia" w:ascii="宋体" w:hAnsi="宋体" w:cs="宋体"/>
          <w:color w:val="auto"/>
          <w:sz w:val="24"/>
          <w:szCs w:val="24"/>
          <w:highlight w:val="none"/>
          <w:u w:val="single"/>
        </w:rPr>
        <w:t xml:space="preserve"> /   </w:t>
      </w:r>
      <w:r>
        <w:rPr>
          <w:rStyle w:val="348"/>
          <w:rFonts w:hint="eastAsia" w:ascii="宋体" w:hAnsi="宋体" w:cs="宋体"/>
          <w:color w:val="auto"/>
          <w:sz w:val="24"/>
          <w:szCs w:val="24"/>
          <w:highlight w:val="none"/>
        </w:rPr>
        <w:t>天内完成款项的支付。</w:t>
      </w:r>
    </w:p>
    <w:p w14:paraId="16BA878F">
      <w:pPr>
        <w:pStyle w:val="349"/>
        <w:spacing w:before="0" w:after="0" w:line="420" w:lineRule="exact"/>
        <w:outlineLvl w:val="2"/>
        <w:rPr>
          <w:rStyle w:val="348"/>
          <w:rFonts w:ascii="宋体" w:hAnsi="宋体" w:eastAsia="宋体" w:cs="宋体"/>
          <w:color w:val="auto"/>
          <w:sz w:val="24"/>
          <w:szCs w:val="24"/>
          <w:highlight w:val="none"/>
        </w:rPr>
      </w:pPr>
      <w:bookmarkStart w:id="968" w:name="_Toc389065337"/>
      <w:bookmarkEnd w:id="968"/>
      <w:bookmarkStart w:id="969" w:name="_Toc373227772"/>
      <w:bookmarkEnd w:id="969"/>
      <w:bookmarkStart w:id="970" w:name="_Toc3919"/>
      <w:bookmarkEnd w:id="970"/>
      <w:bookmarkStart w:id="971" w:name="_Toc351203650"/>
      <w:bookmarkEnd w:id="971"/>
      <w:bookmarkStart w:id="972" w:name="_Toc373478419"/>
      <w:r>
        <w:rPr>
          <w:rStyle w:val="348"/>
          <w:rFonts w:hint="eastAsia" w:ascii="宋体" w:hAnsi="宋体" w:eastAsia="宋体" w:cs="宋体"/>
          <w:color w:val="auto"/>
          <w:sz w:val="24"/>
          <w:szCs w:val="24"/>
          <w:highlight w:val="none"/>
        </w:rPr>
        <w:t xml:space="preserve">18. </w:t>
      </w:r>
      <w:bookmarkEnd w:id="972"/>
      <w:r>
        <w:rPr>
          <w:rStyle w:val="348"/>
          <w:rFonts w:hint="eastAsia" w:ascii="宋体" w:hAnsi="宋体" w:eastAsia="宋体" w:cs="宋体"/>
          <w:color w:val="auto"/>
          <w:sz w:val="24"/>
          <w:szCs w:val="24"/>
          <w:highlight w:val="none"/>
        </w:rPr>
        <w:t>保险</w:t>
      </w:r>
    </w:p>
    <w:p w14:paraId="28644D98">
      <w:pPr>
        <w:pStyle w:val="354"/>
        <w:spacing w:line="420" w:lineRule="exact"/>
        <w:outlineLvl w:val="3"/>
        <w:rPr>
          <w:rStyle w:val="348"/>
          <w:rFonts w:ascii="宋体" w:hAnsi="宋体" w:eastAsia="宋体" w:cs="宋体"/>
          <w:color w:val="auto"/>
          <w:sz w:val="24"/>
          <w:szCs w:val="24"/>
          <w:highlight w:val="none"/>
        </w:rPr>
      </w:pPr>
      <w:bookmarkStart w:id="973" w:name="_Toc373478420"/>
      <w:bookmarkEnd w:id="973"/>
      <w:bookmarkStart w:id="974" w:name="_Toc9503"/>
      <w:bookmarkEnd w:id="974"/>
      <w:bookmarkStart w:id="975" w:name="_Toc389065338"/>
      <w:bookmarkEnd w:id="975"/>
      <w:bookmarkStart w:id="976" w:name="_Toc373227773"/>
      <w:r>
        <w:rPr>
          <w:rStyle w:val="348"/>
          <w:rFonts w:hint="eastAsia" w:ascii="宋体" w:hAnsi="宋体" w:eastAsia="宋体" w:cs="宋体"/>
          <w:color w:val="auto"/>
          <w:sz w:val="24"/>
          <w:szCs w:val="24"/>
          <w:highlight w:val="none"/>
        </w:rPr>
        <w:t xml:space="preserve">18.1 </w:t>
      </w:r>
      <w:bookmarkEnd w:id="976"/>
      <w:r>
        <w:rPr>
          <w:rStyle w:val="348"/>
          <w:rFonts w:hint="eastAsia" w:ascii="宋体" w:hAnsi="宋体" w:eastAsia="宋体" w:cs="宋体"/>
          <w:color w:val="auto"/>
          <w:sz w:val="24"/>
          <w:szCs w:val="24"/>
          <w:highlight w:val="none"/>
        </w:rPr>
        <w:t>工程保险</w:t>
      </w:r>
    </w:p>
    <w:p w14:paraId="0A6A31A0">
      <w:pPr>
        <w:pStyle w:val="350"/>
        <w:spacing w:line="420" w:lineRule="exact"/>
        <w:ind w:firstLine="480" w:firstLineChars="200"/>
        <w:jc w:val="left"/>
        <w:rPr>
          <w:rStyle w:val="348"/>
          <w:rFonts w:ascii="宋体" w:hAnsi="宋体" w:cs="宋体"/>
          <w:color w:val="auto"/>
          <w:sz w:val="24"/>
          <w:szCs w:val="24"/>
          <w:highlight w:val="none"/>
          <w:u w:val="single"/>
        </w:rPr>
      </w:pPr>
      <w:r>
        <w:rPr>
          <w:rStyle w:val="348"/>
          <w:rFonts w:hint="eastAsia" w:ascii="宋体" w:hAnsi="宋体" w:cs="宋体"/>
          <w:color w:val="auto"/>
          <w:sz w:val="24"/>
          <w:szCs w:val="24"/>
          <w:highlight w:val="none"/>
        </w:rPr>
        <w:t>关于工程保险的特别约定：</w:t>
      </w:r>
      <w:r>
        <w:rPr>
          <w:rStyle w:val="348"/>
          <w:rFonts w:hint="eastAsia" w:ascii="宋体" w:hAnsi="宋体" w:cs="宋体"/>
          <w:color w:val="auto"/>
          <w:kern w:val="0"/>
          <w:sz w:val="24"/>
          <w:szCs w:val="24"/>
          <w:highlight w:val="none"/>
          <w:u w:val="single"/>
        </w:rPr>
        <w:t xml:space="preserve">  </w:t>
      </w:r>
      <w:r>
        <w:rPr>
          <w:rStyle w:val="348"/>
          <w:rFonts w:hint="eastAsia" w:ascii="宋体" w:hAnsi="宋体" w:cs="宋体"/>
          <w:color w:val="auto"/>
          <w:sz w:val="24"/>
          <w:szCs w:val="24"/>
          <w:highlight w:val="none"/>
          <w:u w:val="single"/>
        </w:rPr>
        <w:t>发包人可根据需要投保工程质量保险；对已投保的工程项目，承包人应积极配合保险公司开展相关工作</w:t>
      </w:r>
      <w:r>
        <w:rPr>
          <w:rStyle w:val="348"/>
          <w:rFonts w:hint="eastAsia" w:ascii="宋体" w:hAnsi="宋体" w:cs="宋体"/>
          <w:color w:val="auto"/>
          <w:kern w:val="0"/>
          <w:sz w:val="24"/>
          <w:szCs w:val="24"/>
          <w:highlight w:val="none"/>
          <w:u w:val="single"/>
        </w:rPr>
        <w:t>。</w:t>
      </w:r>
      <w:r>
        <w:rPr>
          <w:rStyle w:val="348"/>
          <w:rFonts w:hint="eastAsia" w:ascii="宋体" w:hAnsi="宋体" w:cs="宋体"/>
          <w:color w:val="auto"/>
          <w:sz w:val="24"/>
          <w:szCs w:val="24"/>
          <w:highlight w:val="none"/>
          <w:u w:val="single"/>
        </w:rPr>
        <w:t xml:space="preserve"> 承包人应购买工程一切险和第三者责任险，并承担相关费用。</w:t>
      </w:r>
    </w:p>
    <w:p w14:paraId="725D034E">
      <w:pPr>
        <w:pStyle w:val="354"/>
        <w:spacing w:line="420" w:lineRule="exact"/>
        <w:outlineLvl w:val="3"/>
        <w:rPr>
          <w:rStyle w:val="348"/>
          <w:rFonts w:ascii="宋体" w:hAnsi="宋体" w:eastAsia="宋体" w:cs="宋体"/>
          <w:color w:val="auto"/>
          <w:sz w:val="24"/>
          <w:szCs w:val="24"/>
          <w:highlight w:val="none"/>
        </w:rPr>
      </w:pPr>
      <w:bookmarkStart w:id="977" w:name="_Toc4100"/>
      <w:bookmarkEnd w:id="977"/>
      <w:bookmarkStart w:id="978" w:name="_Toc373227774"/>
      <w:bookmarkEnd w:id="978"/>
      <w:bookmarkStart w:id="979" w:name="_Toc373478421"/>
      <w:bookmarkEnd w:id="979"/>
      <w:bookmarkStart w:id="980" w:name="_Toc389065339"/>
      <w:r>
        <w:rPr>
          <w:rStyle w:val="348"/>
          <w:rFonts w:hint="eastAsia" w:ascii="宋体" w:hAnsi="宋体" w:eastAsia="宋体" w:cs="宋体"/>
          <w:color w:val="auto"/>
          <w:sz w:val="24"/>
          <w:szCs w:val="24"/>
          <w:highlight w:val="none"/>
        </w:rPr>
        <w:t xml:space="preserve">18.3 </w:t>
      </w:r>
      <w:bookmarkEnd w:id="980"/>
      <w:r>
        <w:rPr>
          <w:rStyle w:val="348"/>
          <w:rFonts w:hint="eastAsia" w:ascii="宋体" w:hAnsi="宋体" w:eastAsia="宋体" w:cs="宋体"/>
          <w:color w:val="auto"/>
          <w:sz w:val="24"/>
          <w:szCs w:val="24"/>
          <w:highlight w:val="none"/>
        </w:rPr>
        <w:t>其他保险</w:t>
      </w:r>
    </w:p>
    <w:p w14:paraId="6E1D2CBC">
      <w:pPr>
        <w:pStyle w:val="350"/>
        <w:spacing w:line="420" w:lineRule="exact"/>
        <w:ind w:firstLine="480" w:firstLineChars="200"/>
        <w:jc w:val="left"/>
        <w:rPr>
          <w:rStyle w:val="348"/>
          <w:rFonts w:ascii="宋体" w:hAnsi="宋体" w:cs="宋体"/>
          <w:color w:val="auto"/>
          <w:kern w:val="0"/>
          <w:sz w:val="24"/>
          <w:szCs w:val="24"/>
          <w:highlight w:val="none"/>
        </w:rPr>
      </w:pPr>
      <w:r>
        <w:rPr>
          <w:rStyle w:val="348"/>
          <w:rFonts w:hint="eastAsia" w:ascii="宋体" w:hAnsi="宋体" w:cs="宋体"/>
          <w:color w:val="auto"/>
          <w:sz w:val="24"/>
          <w:szCs w:val="24"/>
          <w:highlight w:val="none"/>
        </w:rPr>
        <w:t>关于其他保险的约定：</w:t>
      </w:r>
      <w:r>
        <w:rPr>
          <w:rStyle w:val="348"/>
          <w:rFonts w:hint="eastAsia" w:ascii="宋体" w:hAnsi="宋体" w:cs="宋体"/>
          <w:color w:val="auto"/>
          <w:sz w:val="24"/>
          <w:szCs w:val="24"/>
          <w:highlight w:val="none"/>
          <w:u w:val="single"/>
        </w:rPr>
        <w:t xml:space="preserve"> </w:t>
      </w:r>
      <w:r>
        <w:rPr>
          <w:rStyle w:val="348"/>
          <w:rFonts w:hint="eastAsia" w:ascii="宋体" w:hAnsi="宋体" w:cs="宋体"/>
          <w:b/>
          <w:bCs/>
          <w:color w:val="auto"/>
          <w:sz w:val="24"/>
          <w:szCs w:val="24"/>
          <w:highlight w:val="none"/>
          <w:u w:val="single"/>
        </w:rPr>
        <w:t>承包人必须为施工现场从事施工的所有作业人员和管理人员办理意外伤害保险，并支付保险费</w:t>
      </w:r>
      <w:r>
        <w:rPr>
          <w:rStyle w:val="348"/>
          <w:rFonts w:hint="eastAsia" w:ascii="宋体" w:hAnsi="宋体" w:cs="宋体"/>
          <w:color w:val="auto"/>
          <w:sz w:val="24"/>
          <w:szCs w:val="24"/>
          <w:highlight w:val="none"/>
        </w:rPr>
        <w:t>。</w:t>
      </w:r>
    </w:p>
    <w:p w14:paraId="16796C02">
      <w:pPr>
        <w:pStyle w:val="350"/>
        <w:spacing w:line="420" w:lineRule="exact"/>
        <w:ind w:firstLine="480" w:firstLineChars="200"/>
        <w:jc w:val="left"/>
        <w:rPr>
          <w:rStyle w:val="348"/>
          <w:rFonts w:ascii="宋体" w:hAnsi="宋体" w:cs="宋体"/>
          <w:color w:val="auto"/>
          <w:sz w:val="24"/>
          <w:szCs w:val="24"/>
          <w:highlight w:val="none"/>
          <w:u w:val="single"/>
        </w:rPr>
      </w:pPr>
      <w:r>
        <w:rPr>
          <w:rStyle w:val="348"/>
          <w:rFonts w:hint="eastAsia" w:ascii="宋体" w:hAnsi="宋体" w:cs="宋体"/>
          <w:color w:val="auto"/>
          <w:sz w:val="24"/>
          <w:szCs w:val="24"/>
          <w:highlight w:val="none"/>
        </w:rPr>
        <w:t>承包人是否应为其施工设备等办理财产保险：</w:t>
      </w:r>
      <w:r>
        <w:rPr>
          <w:rStyle w:val="348"/>
          <w:rFonts w:hint="eastAsia" w:ascii="宋体" w:hAnsi="宋体" w:cs="宋体"/>
          <w:color w:val="auto"/>
          <w:sz w:val="24"/>
          <w:szCs w:val="24"/>
          <w:highlight w:val="none"/>
          <w:u w:val="single"/>
        </w:rPr>
        <w:t xml:space="preserve">  承包人自行考虑       </w:t>
      </w:r>
      <w:r>
        <w:rPr>
          <w:rStyle w:val="348"/>
          <w:rFonts w:hint="eastAsia" w:ascii="宋体" w:hAnsi="宋体" w:cs="宋体"/>
          <w:color w:val="auto"/>
          <w:sz w:val="24"/>
          <w:szCs w:val="24"/>
          <w:highlight w:val="none"/>
        </w:rPr>
        <w:t>。</w:t>
      </w:r>
    </w:p>
    <w:p w14:paraId="4D5A655A">
      <w:pPr>
        <w:pStyle w:val="354"/>
        <w:spacing w:line="420" w:lineRule="exact"/>
        <w:outlineLvl w:val="3"/>
        <w:rPr>
          <w:rStyle w:val="348"/>
          <w:rFonts w:ascii="宋体" w:hAnsi="宋体" w:eastAsia="宋体" w:cs="宋体"/>
          <w:color w:val="auto"/>
          <w:sz w:val="24"/>
          <w:szCs w:val="24"/>
          <w:highlight w:val="none"/>
        </w:rPr>
      </w:pPr>
      <w:bookmarkStart w:id="981" w:name="_Toc389065340"/>
      <w:bookmarkEnd w:id="981"/>
      <w:bookmarkStart w:id="982" w:name="_Toc20108"/>
      <w:bookmarkEnd w:id="982"/>
      <w:bookmarkStart w:id="983" w:name="_Toc373478422"/>
      <w:bookmarkEnd w:id="983"/>
      <w:bookmarkStart w:id="984" w:name="_Toc373227775"/>
      <w:r>
        <w:rPr>
          <w:rStyle w:val="348"/>
          <w:rFonts w:hint="eastAsia" w:ascii="宋体" w:hAnsi="宋体" w:eastAsia="宋体" w:cs="宋体"/>
          <w:color w:val="auto"/>
          <w:sz w:val="24"/>
          <w:szCs w:val="24"/>
          <w:highlight w:val="none"/>
        </w:rPr>
        <w:t xml:space="preserve">18.7 </w:t>
      </w:r>
      <w:bookmarkEnd w:id="984"/>
      <w:r>
        <w:rPr>
          <w:rStyle w:val="348"/>
          <w:rFonts w:hint="eastAsia" w:ascii="宋体" w:hAnsi="宋体" w:eastAsia="宋体" w:cs="宋体"/>
          <w:color w:val="auto"/>
          <w:sz w:val="24"/>
          <w:szCs w:val="24"/>
          <w:highlight w:val="none"/>
        </w:rPr>
        <w:t>通知义务</w:t>
      </w:r>
    </w:p>
    <w:p w14:paraId="03DB2A59">
      <w:pPr>
        <w:pStyle w:val="350"/>
        <w:spacing w:line="420" w:lineRule="exact"/>
        <w:ind w:firstLine="480" w:firstLineChars="200"/>
        <w:jc w:val="left"/>
        <w:rPr>
          <w:rStyle w:val="348"/>
          <w:rFonts w:ascii="宋体" w:hAnsi="宋体" w:cs="宋体"/>
          <w:color w:val="auto"/>
          <w:sz w:val="24"/>
          <w:szCs w:val="24"/>
          <w:highlight w:val="none"/>
          <w:u w:val="single"/>
        </w:rPr>
      </w:pPr>
      <w:r>
        <w:rPr>
          <w:rStyle w:val="348"/>
          <w:rFonts w:hint="eastAsia" w:ascii="宋体" w:hAnsi="宋体" w:cs="宋体"/>
          <w:color w:val="auto"/>
          <w:kern w:val="0"/>
          <w:sz w:val="24"/>
          <w:szCs w:val="24"/>
          <w:highlight w:val="none"/>
        </w:rPr>
        <w:t>关于变更保险合同时的通知义务的约定：</w:t>
      </w:r>
      <w:r>
        <w:rPr>
          <w:rStyle w:val="348"/>
          <w:rFonts w:hint="eastAsia" w:ascii="宋体" w:hAnsi="宋体" w:cs="宋体"/>
          <w:color w:val="auto"/>
          <w:sz w:val="24"/>
          <w:szCs w:val="24"/>
          <w:highlight w:val="none"/>
          <w:u w:val="single"/>
        </w:rPr>
        <w:t xml:space="preserve"> </w:t>
      </w:r>
      <w:r>
        <w:rPr>
          <w:rStyle w:val="348"/>
          <w:rFonts w:hint="eastAsia" w:ascii="宋体" w:hAnsi="宋体" w:cs="宋体"/>
          <w:color w:val="auto"/>
          <w:kern w:val="0"/>
          <w:sz w:val="24"/>
          <w:szCs w:val="24"/>
          <w:highlight w:val="none"/>
          <w:u w:val="single"/>
        </w:rPr>
        <w:t>按通用条款执行</w:t>
      </w:r>
      <w:r>
        <w:rPr>
          <w:rStyle w:val="348"/>
          <w:rFonts w:hint="eastAsia" w:ascii="宋体" w:hAnsi="宋体" w:cs="宋体"/>
          <w:color w:val="auto"/>
          <w:sz w:val="24"/>
          <w:szCs w:val="24"/>
          <w:highlight w:val="none"/>
          <w:u w:val="single"/>
        </w:rPr>
        <w:t xml:space="preserve">  </w:t>
      </w:r>
      <w:r>
        <w:rPr>
          <w:rStyle w:val="348"/>
          <w:rFonts w:hint="eastAsia" w:ascii="宋体" w:hAnsi="宋体" w:cs="宋体"/>
          <w:color w:val="auto"/>
          <w:sz w:val="24"/>
          <w:szCs w:val="24"/>
          <w:highlight w:val="none"/>
        </w:rPr>
        <w:t>。</w:t>
      </w:r>
    </w:p>
    <w:p w14:paraId="6AFA016C">
      <w:pPr>
        <w:pStyle w:val="349"/>
        <w:spacing w:before="0" w:after="0" w:line="420" w:lineRule="exact"/>
        <w:outlineLvl w:val="2"/>
        <w:rPr>
          <w:rStyle w:val="348"/>
          <w:rFonts w:ascii="宋体" w:hAnsi="宋体" w:eastAsia="宋体" w:cs="宋体"/>
          <w:color w:val="auto"/>
          <w:sz w:val="24"/>
          <w:szCs w:val="24"/>
          <w:highlight w:val="none"/>
        </w:rPr>
      </w:pPr>
      <w:bookmarkStart w:id="985" w:name="_Toc18626"/>
      <w:bookmarkEnd w:id="985"/>
      <w:bookmarkStart w:id="986" w:name="_Toc351203651"/>
      <w:bookmarkEnd w:id="986"/>
      <w:bookmarkStart w:id="987" w:name="_Toc373478423"/>
      <w:bookmarkEnd w:id="987"/>
      <w:bookmarkStart w:id="988" w:name="_Toc389065341"/>
      <w:bookmarkEnd w:id="988"/>
      <w:bookmarkStart w:id="989" w:name="_Toc373227776"/>
      <w:bookmarkEnd w:id="989"/>
      <w:r>
        <w:rPr>
          <w:rStyle w:val="348"/>
          <w:rFonts w:hint="eastAsia" w:ascii="宋体" w:hAnsi="宋体" w:eastAsia="宋体" w:cs="宋体"/>
          <w:color w:val="auto"/>
          <w:sz w:val="24"/>
          <w:szCs w:val="24"/>
          <w:highlight w:val="none"/>
        </w:rPr>
        <w:t>20. 争议解决</w:t>
      </w:r>
    </w:p>
    <w:p w14:paraId="4F668B3F">
      <w:pPr>
        <w:pStyle w:val="354"/>
        <w:spacing w:line="420" w:lineRule="exact"/>
        <w:outlineLvl w:val="3"/>
        <w:rPr>
          <w:rStyle w:val="348"/>
          <w:rFonts w:ascii="宋体" w:hAnsi="宋体" w:eastAsia="宋体" w:cs="宋体"/>
          <w:color w:val="auto"/>
          <w:sz w:val="24"/>
          <w:szCs w:val="24"/>
          <w:highlight w:val="none"/>
        </w:rPr>
      </w:pPr>
      <w:bookmarkStart w:id="990" w:name="_Toc373227777"/>
      <w:bookmarkEnd w:id="990"/>
      <w:bookmarkStart w:id="991" w:name="_Toc389065342"/>
      <w:bookmarkEnd w:id="991"/>
      <w:bookmarkStart w:id="992" w:name="_Toc24166"/>
      <w:bookmarkEnd w:id="992"/>
      <w:bookmarkStart w:id="993" w:name="_Toc373478424"/>
      <w:r>
        <w:rPr>
          <w:rStyle w:val="348"/>
          <w:rFonts w:hint="eastAsia" w:ascii="宋体" w:hAnsi="宋体" w:eastAsia="宋体" w:cs="宋体"/>
          <w:color w:val="auto"/>
          <w:sz w:val="24"/>
          <w:szCs w:val="24"/>
          <w:highlight w:val="none"/>
        </w:rPr>
        <w:t xml:space="preserve">20.3 </w:t>
      </w:r>
      <w:bookmarkEnd w:id="993"/>
      <w:r>
        <w:rPr>
          <w:rStyle w:val="348"/>
          <w:rFonts w:hint="eastAsia" w:ascii="宋体" w:hAnsi="宋体" w:eastAsia="宋体" w:cs="宋体"/>
          <w:color w:val="auto"/>
          <w:sz w:val="24"/>
          <w:szCs w:val="24"/>
          <w:highlight w:val="none"/>
        </w:rPr>
        <w:t>争议评审</w:t>
      </w:r>
    </w:p>
    <w:p w14:paraId="13FCA1F7">
      <w:pPr>
        <w:pStyle w:val="350"/>
        <w:spacing w:line="420" w:lineRule="exact"/>
        <w:ind w:firstLine="360" w:firstLineChars="150"/>
        <w:jc w:val="left"/>
        <w:rPr>
          <w:rStyle w:val="348"/>
          <w:rFonts w:ascii="宋体" w:hAnsi="宋体" w:cs="宋体"/>
          <w:color w:val="auto"/>
          <w:sz w:val="24"/>
          <w:szCs w:val="24"/>
          <w:highlight w:val="none"/>
          <w:u w:val="single"/>
        </w:rPr>
      </w:pPr>
      <w:r>
        <w:rPr>
          <w:rStyle w:val="348"/>
          <w:rFonts w:hint="eastAsia" w:ascii="宋体" w:hAnsi="宋体" w:cs="宋体"/>
          <w:color w:val="auto"/>
          <w:sz w:val="24"/>
          <w:szCs w:val="24"/>
          <w:highlight w:val="none"/>
        </w:rPr>
        <w:t>合同当事人是否同意将工程争议提交争议评审小组决定：</w:t>
      </w:r>
      <w:r>
        <w:rPr>
          <w:rStyle w:val="348"/>
          <w:rFonts w:hint="eastAsia" w:ascii="宋体" w:hAnsi="宋体" w:cs="宋体"/>
          <w:color w:val="auto"/>
          <w:sz w:val="24"/>
          <w:szCs w:val="24"/>
          <w:highlight w:val="none"/>
          <w:u w:val="single"/>
        </w:rPr>
        <w:t xml:space="preserve">         /                 </w:t>
      </w:r>
      <w:r>
        <w:rPr>
          <w:rStyle w:val="348"/>
          <w:rFonts w:hint="eastAsia" w:ascii="宋体" w:hAnsi="宋体" w:cs="宋体"/>
          <w:color w:val="auto"/>
          <w:sz w:val="24"/>
          <w:szCs w:val="24"/>
          <w:highlight w:val="none"/>
        </w:rPr>
        <w:t>。</w:t>
      </w:r>
    </w:p>
    <w:p w14:paraId="30076E03">
      <w:pPr>
        <w:pStyle w:val="350"/>
        <w:spacing w:line="420" w:lineRule="exact"/>
        <w:ind w:firstLine="480" w:firstLineChars="200"/>
        <w:jc w:val="left"/>
        <w:outlineLvl w:val="4"/>
        <w:rPr>
          <w:rStyle w:val="348"/>
          <w:rFonts w:ascii="宋体" w:hAnsi="宋体" w:cs="宋体"/>
          <w:color w:val="auto"/>
          <w:sz w:val="24"/>
          <w:szCs w:val="24"/>
          <w:highlight w:val="none"/>
        </w:rPr>
      </w:pPr>
      <w:bookmarkStart w:id="994" w:name="_Toc4082"/>
      <w:r>
        <w:rPr>
          <w:rStyle w:val="348"/>
          <w:rFonts w:hint="eastAsia" w:ascii="宋体" w:hAnsi="宋体" w:cs="宋体"/>
          <w:color w:val="auto"/>
          <w:sz w:val="24"/>
          <w:szCs w:val="24"/>
          <w:highlight w:val="none"/>
        </w:rPr>
        <w:t>20.3.1 争议评审小组的确定</w:t>
      </w:r>
      <w:bookmarkEnd w:id="994"/>
    </w:p>
    <w:p w14:paraId="02C1D64F">
      <w:pPr>
        <w:pStyle w:val="350"/>
        <w:spacing w:line="420" w:lineRule="exact"/>
        <w:ind w:firstLine="480" w:firstLineChars="200"/>
        <w:jc w:val="left"/>
        <w:rPr>
          <w:rStyle w:val="348"/>
          <w:rFonts w:ascii="宋体" w:hAnsi="宋体" w:cs="宋体"/>
          <w:color w:val="auto"/>
          <w:sz w:val="24"/>
          <w:szCs w:val="24"/>
          <w:highlight w:val="none"/>
          <w:u w:val="single"/>
        </w:rPr>
      </w:pPr>
      <w:r>
        <w:rPr>
          <w:rStyle w:val="348"/>
          <w:rFonts w:hint="eastAsia" w:ascii="宋体" w:hAnsi="宋体" w:cs="宋体"/>
          <w:color w:val="auto"/>
          <w:sz w:val="24"/>
          <w:szCs w:val="24"/>
          <w:highlight w:val="none"/>
        </w:rPr>
        <w:t>争议评审小组成员的确定：</w:t>
      </w:r>
      <w:r>
        <w:rPr>
          <w:rStyle w:val="348"/>
          <w:rFonts w:hint="eastAsia" w:ascii="宋体" w:hAnsi="宋体" w:cs="宋体"/>
          <w:color w:val="auto"/>
          <w:sz w:val="24"/>
          <w:szCs w:val="24"/>
          <w:highlight w:val="none"/>
          <w:u w:val="single"/>
        </w:rPr>
        <w:t xml:space="preserve">    /                       </w:t>
      </w:r>
      <w:r>
        <w:rPr>
          <w:rStyle w:val="348"/>
          <w:rFonts w:hint="eastAsia" w:ascii="宋体" w:hAnsi="宋体" w:cs="宋体"/>
          <w:color w:val="auto"/>
          <w:sz w:val="24"/>
          <w:szCs w:val="24"/>
          <w:highlight w:val="none"/>
        </w:rPr>
        <w:t>。</w:t>
      </w:r>
    </w:p>
    <w:p w14:paraId="4C6D8076">
      <w:pPr>
        <w:pStyle w:val="350"/>
        <w:spacing w:line="420" w:lineRule="exact"/>
        <w:ind w:firstLine="480" w:firstLineChars="200"/>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选定争议评审员的期限：</w:t>
      </w:r>
      <w:r>
        <w:rPr>
          <w:rStyle w:val="348"/>
          <w:rFonts w:hint="eastAsia" w:ascii="宋体" w:hAnsi="宋体" w:cs="宋体"/>
          <w:color w:val="auto"/>
          <w:sz w:val="24"/>
          <w:szCs w:val="24"/>
          <w:highlight w:val="none"/>
          <w:u w:val="single"/>
        </w:rPr>
        <w:t xml:space="preserve">    /                         </w:t>
      </w:r>
      <w:r>
        <w:rPr>
          <w:rStyle w:val="348"/>
          <w:rFonts w:hint="eastAsia" w:ascii="宋体" w:hAnsi="宋体" w:cs="宋体"/>
          <w:color w:val="auto"/>
          <w:sz w:val="24"/>
          <w:szCs w:val="24"/>
          <w:highlight w:val="none"/>
        </w:rPr>
        <w:t>。</w:t>
      </w:r>
    </w:p>
    <w:p w14:paraId="0967A882">
      <w:pPr>
        <w:pStyle w:val="350"/>
        <w:spacing w:line="420" w:lineRule="exact"/>
        <w:ind w:firstLine="480" w:firstLineChars="200"/>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争议评审小组成员的报酬承担方式：</w:t>
      </w:r>
      <w:r>
        <w:rPr>
          <w:rStyle w:val="348"/>
          <w:rFonts w:hint="eastAsia" w:ascii="宋体" w:hAnsi="宋体" w:cs="宋体"/>
          <w:color w:val="auto"/>
          <w:sz w:val="24"/>
          <w:szCs w:val="24"/>
          <w:highlight w:val="none"/>
          <w:u w:val="single"/>
        </w:rPr>
        <w:t xml:space="preserve">      /              </w:t>
      </w:r>
      <w:r>
        <w:rPr>
          <w:rStyle w:val="348"/>
          <w:rFonts w:hint="eastAsia" w:ascii="宋体" w:hAnsi="宋体" w:cs="宋体"/>
          <w:color w:val="auto"/>
          <w:sz w:val="24"/>
          <w:szCs w:val="24"/>
          <w:highlight w:val="none"/>
        </w:rPr>
        <w:t>。</w:t>
      </w:r>
    </w:p>
    <w:p w14:paraId="69068C35">
      <w:pPr>
        <w:pStyle w:val="350"/>
        <w:spacing w:line="420" w:lineRule="exact"/>
        <w:ind w:firstLine="480" w:firstLineChars="200"/>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其他事项的约定：</w:t>
      </w:r>
      <w:r>
        <w:rPr>
          <w:rStyle w:val="348"/>
          <w:rFonts w:hint="eastAsia" w:ascii="宋体" w:hAnsi="宋体" w:cs="宋体"/>
          <w:color w:val="auto"/>
          <w:sz w:val="24"/>
          <w:szCs w:val="24"/>
          <w:highlight w:val="none"/>
          <w:u w:val="single"/>
        </w:rPr>
        <w:t xml:space="preserve">            /                        </w:t>
      </w:r>
      <w:r>
        <w:rPr>
          <w:rStyle w:val="348"/>
          <w:rFonts w:hint="eastAsia" w:ascii="宋体" w:hAnsi="宋体" w:cs="宋体"/>
          <w:color w:val="auto"/>
          <w:sz w:val="24"/>
          <w:szCs w:val="24"/>
          <w:highlight w:val="none"/>
        </w:rPr>
        <w:t>。</w:t>
      </w:r>
    </w:p>
    <w:p w14:paraId="5BFF9835">
      <w:pPr>
        <w:pStyle w:val="350"/>
        <w:autoSpaceDE w:val="0"/>
        <w:autoSpaceDN w:val="0"/>
        <w:spacing w:line="420" w:lineRule="exact"/>
        <w:ind w:firstLine="480" w:firstLineChars="200"/>
        <w:jc w:val="left"/>
        <w:outlineLvl w:val="4"/>
        <w:rPr>
          <w:rStyle w:val="348"/>
          <w:rFonts w:ascii="宋体" w:hAnsi="宋体" w:cs="宋体"/>
          <w:color w:val="auto"/>
          <w:kern w:val="0"/>
          <w:sz w:val="24"/>
          <w:szCs w:val="24"/>
          <w:highlight w:val="none"/>
        </w:rPr>
      </w:pPr>
      <w:r>
        <w:rPr>
          <w:rStyle w:val="348"/>
          <w:rFonts w:hint="eastAsia" w:ascii="宋体" w:hAnsi="宋体" w:cs="宋体"/>
          <w:color w:val="auto"/>
          <w:kern w:val="0"/>
          <w:sz w:val="24"/>
          <w:szCs w:val="24"/>
          <w:highlight w:val="none"/>
        </w:rPr>
        <w:t>20.3.2 争议评审小组的决定</w:t>
      </w:r>
    </w:p>
    <w:p w14:paraId="7452CE13">
      <w:pPr>
        <w:pStyle w:val="350"/>
        <w:spacing w:line="420" w:lineRule="exact"/>
        <w:ind w:firstLine="480" w:firstLineChars="200"/>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合同当事人关于本项的约定：</w:t>
      </w:r>
      <w:r>
        <w:rPr>
          <w:rStyle w:val="348"/>
          <w:rFonts w:hint="eastAsia" w:ascii="宋体" w:hAnsi="宋体" w:cs="宋体"/>
          <w:color w:val="auto"/>
          <w:sz w:val="24"/>
          <w:szCs w:val="24"/>
          <w:highlight w:val="none"/>
          <w:u w:val="single"/>
        </w:rPr>
        <w:t xml:space="preserve">另行商定   </w:t>
      </w:r>
      <w:r>
        <w:rPr>
          <w:rStyle w:val="348"/>
          <w:rFonts w:hint="eastAsia" w:ascii="宋体" w:hAnsi="宋体" w:cs="宋体"/>
          <w:color w:val="auto"/>
          <w:sz w:val="24"/>
          <w:szCs w:val="24"/>
          <w:highlight w:val="none"/>
        </w:rPr>
        <w:t>。</w:t>
      </w:r>
    </w:p>
    <w:p w14:paraId="26A997D4">
      <w:pPr>
        <w:pStyle w:val="354"/>
        <w:spacing w:line="420" w:lineRule="exact"/>
        <w:outlineLvl w:val="3"/>
        <w:rPr>
          <w:rStyle w:val="348"/>
          <w:rFonts w:ascii="宋体" w:hAnsi="宋体" w:eastAsia="宋体" w:cs="宋体"/>
          <w:color w:val="auto"/>
          <w:sz w:val="24"/>
          <w:szCs w:val="24"/>
          <w:highlight w:val="none"/>
        </w:rPr>
      </w:pPr>
      <w:bookmarkStart w:id="995" w:name="_Toc389065343"/>
      <w:bookmarkEnd w:id="995"/>
      <w:bookmarkStart w:id="996" w:name="_Toc24467"/>
      <w:bookmarkEnd w:id="996"/>
      <w:bookmarkStart w:id="997" w:name="_Toc373227778"/>
      <w:bookmarkEnd w:id="997"/>
      <w:bookmarkStart w:id="998" w:name="_Toc373478425"/>
      <w:r>
        <w:rPr>
          <w:rStyle w:val="348"/>
          <w:rFonts w:hint="eastAsia" w:ascii="宋体" w:hAnsi="宋体" w:eastAsia="宋体" w:cs="宋体"/>
          <w:color w:val="auto"/>
          <w:sz w:val="24"/>
          <w:szCs w:val="24"/>
          <w:highlight w:val="none"/>
        </w:rPr>
        <w:t>20.4</w:t>
      </w:r>
      <w:bookmarkEnd w:id="998"/>
      <w:r>
        <w:rPr>
          <w:rStyle w:val="348"/>
          <w:rFonts w:hint="eastAsia" w:ascii="宋体" w:hAnsi="宋体" w:eastAsia="宋体" w:cs="宋体"/>
          <w:color w:val="auto"/>
          <w:sz w:val="24"/>
          <w:szCs w:val="24"/>
          <w:highlight w:val="none"/>
        </w:rPr>
        <w:t xml:space="preserve"> 仲裁或诉讼</w:t>
      </w:r>
    </w:p>
    <w:p w14:paraId="1CB1B343">
      <w:pPr>
        <w:pStyle w:val="350"/>
        <w:spacing w:line="420" w:lineRule="exact"/>
        <w:ind w:firstLine="480" w:firstLineChars="200"/>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因合同及合同有关事项发生的争议，按下列第</w:t>
      </w:r>
      <w:r>
        <w:rPr>
          <w:rStyle w:val="348"/>
          <w:rFonts w:hint="eastAsia" w:ascii="宋体" w:hAnsi="宋体" w:cs="宋体"/>
          <w:color w:val="auto"/>
          <w:sz w:val="24"/>
          <w:szCs w:val="24"/>
          <w:highlight w:val="none"/>
          <w:u w:val="single"/>
        </w:rPr>
        <w:t xml:space="preserve"> （2） </w:t>
      </w:r>
      <w:r>
        <w:rPr>
          <w:rStyle w:val="348"/>
          <w:rFonts w:hint="eastAsia" w:ascii="宋体" w:hAnsi="宋体" w:cs="宋体"/>
          <w:color w:val="auto"/>
          <w:sz w:val="24"/>
          <w:szCs w:val="24"/>
          <w:highlight w:val="none"/>
        </w:rPr>
        <w:t>种方式解决：</w:t>
      </w:r>
    </w:p>
    <w:p w14:paraId="6C26961F">
      <w:pPr>
        <w:pStyle w:val="350"/>
        <w:spacing w:line="420" w:lineRule="exact"/>
        <w:ind w:firstLine="480" w:firstLineChars="200"/>
        <w:jc w:val="left"/>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（1）提请</w:t>
      </w:r>
      <w:r>
        <w:rPr>
          <w:rStyle w:val="348"/>
          <w:rFonts w:hint="eastAsia" w:ascii="宋体" w:hAnsi="宋体" w:cs="宋体"/>
          <w:color w:val="auto"/>
          <w:sz w:val="24"/>
          <w:szCs w:val="24"/>
          <w:highlight w:val="none"/>
          <w:u w:val="single"/>
        </w:rPr>
        <w:t xml:space="preserve">  南宁  </w:t>
      </w:r>
      <w:r>
        <w:rPr>
          <w:rStyle w:val="348"/>
          <w:rFonts w:hint="eastAsia" w:ascii="宋体" w:hAnsi="宋体" w:cs="宋体"/>
          <w:color w:val="auto"/>
          <w:sz w:val="24"/>
          <w:szCs w:val="24"/>
          <w:highlight w:val="none"/>
        </w:rPr>
        <w:t>仲裁委员会按照该会仲裁规则进行仲裁，仲裁裁决是终局的，对合同双方均有约束力。</w:t>
      </w:r>
    </w:p>
    <w:p w14:paraId="3A55EC7E">
      <w:pPr>
        <w:pStyle w:val="350"/>
        <w:spacing w:line="420" w:lineRule="exact"/>
        <w:ind w:firstLine="480" w:firstLineChars="200"/>
        <w:jc w:val="left"/>
        <w:outlineLvl w:val="4"/>
        <w:rPr>
          <w:rStyle w:val="348"/>
          <w:rFonts w:ascii="宋体" w:hAnsi="宋体" w:cs="宋体"/>
          <w:color w:val="auto"/>
          <w:sz w:val="24"/>
          <w:szCs w:val="24"/>
          <w:highlight w:val="none"/>
        </w:rPr>
      </w:pPr>
      <w:r>
        <w:rPr>
          <w:rStyle w:val="348"/>
          <w:rFonts w:hint="eastAsia" w:ascii="宋体" w:hAnsi="宋体" w:cs="宋体"/>
          <w:color w:val="auto"/>
          <w:sz w:val="24"/>
          <w:szCs w:val="24"/>
          <w:highlight w:val="none"/>
        </w:rPr>
        <w:t>（2）向</w:t>
      </w:r>
      <w:r>
        <w:rPr>
          <w:rStyle w:val="348"/>
          <w:rFonts w:hint="eastAsia" w:ascii="宋体" w:hAnsi="宋体" w:cs="宋体"/>
          <w:b/>
          <w:bCs/>
          <w:color w:val="auto"/>
          <w:sz w:val="24"/>
          <w:szCs w:val="24"/>
          <w:highlight w:val="none"/>
          <w:u w:val="single"/>
        </w:rPr>
        <w:t xml:space="preserve"> 项目所在地 </w:t>
      </w:r>
      <w:r>
        <w:rPr>
          <w:rStyle w:val="348"/>
          <w:rFonts w:hint="eastAsia" w:ascii="宋体" w:hAnsi="宋体" w:cs="宋体"/>
          <w:color w:val="auto"/>
          <w:sz w:val="24"/>
          <w:szCs w:val="24"/>
          <w:highlight w:val="none"/>
        </w:rPr>
        <w:t>人民法院起诉。</w:t>
      </w:r>
    </w:p>
    <w:p w14:paraId="6A39FBF5">
      <w:pPr>
        <w:keepNext/>
        <w:keepLines/>
        <w:spacing w:line="420" w:lineRule="exact"/>
        <w:outlineLvl w:val="2"/>
        <w:rPr>
          <w:rFonts w:ascii="宋体" w:hAnsi="宋体" w:eastAsia="宋体" w:cs="宋体"/>
          <w:b/>
          <w:bCs/>
          <w:color w:val="auto"/>
          <w:kern w:val="44"/>
          <w:sz w:val="24"/>
          <w:highlight w:val="none"/>
        </w:rPr>
      </w:pPr>
      <w:bookmarkStart w:id="999" w:name="_Toc433389716"/>
      <w:bookmarkStart w:id="1000" w:name="_Toc433131824"/>
      <w:bookmarkStart w:id="1001" w:name="_Toc433787460"/>
      <w:bookmarkStart w:id="1002" w:name="_Toc476645956"/>
      <w:bookmarkStart w:id="1003" w:name="_Toc373743696"/>
      <w:bookmarkStart w:id="1004" w:name="_Toc431192222"/>
      <w:bookmarkStart w:id="1005" w:name="_Toc454188820"/>
      <w:r>
        <w:rPr>
          <w:rFonts w:hint="eastAsia" w:ascii="宋体" w:hAnsi="宋体" w:eastAsia="宋体" w:cs="宋体"/>
          <w:b/>
          <w:bCs/>
          <w:color w:val="auto"/>
          <w:kern w:val="44"/>
          <w:sz w:val="24"/>
          <w:highlight w:val="none"/>
        </w:rPr>
        <w:t>21. 补充条款</w:t>
      </w:r>
      <w:bookmarkEnd w:id="999"/>
      <w:bookmarkEnd w:id="1000"/>
      <w:bookmarkEnd w:id="1001"/>
      <w:bookmarkEnd w:id="1002"/>
      <w:bookmarkEnd w:id="1003"/>
      <w:bookmarkEnd w:id="1004"/>
      <w:bookmarkEnd w:id="1005"/>
    </w:p>
    <w:p w14:paraId="15D20DCD">
      <w:pPr>
        <w:spacing w:line="420" w:lineRule="exact"/>
        <w:ind w:firstLine="405"/>
        <w:outlineLvl w:val="9"/>
        <w:rPr>
          <w:rFonts w:ascii="宋体" w:hAnsi="宋体" w:eastAsia="宋体" w:cs="宋体"/>
          <w:color w:val="auto"/>
          <w:sz w:val="24"/>
          <w:highlight w:val="none"/>
        </w:rPr>
      </w:pPr>
      <w:r>
        <w:rPr>
          <w:rFonts w:hint="eastAsia" w:ascii="宋体" w:hAnsi="宋体" w:eastAsia="宋体" w:cs="宋体"/>
          <w:color w:val="auto"/>
          <w:sz w:val="24"/>
          <w:highlight w:val="none"/>
        </w:rPr>
        <w:t xml:space="preserve">21.1 </w:t>
      </w:r>
      <w:r>
        <w:rPr>
          <w:rFonts w:hint="eastAsia" w:ascii="宋体" w:hAnsi="宋体" w:eastAsia="宋体" w:cs="宋体"/>
          <w:bCs/>
          <w:color w:val="auto"/>
          <w:sz w:val="24"/>
          <w:highlight w:val="none"/>
        </w:rPr>
        <w:t>凡进入本工程工作的禁止使用童工。</w:t>
      </w:r>
    </w:p>
    <w:p w14:paraId="13A34821">
      <w:pPr>
        <w:spacing w:line="420" w:lineRule="exact"/>
        <w:ind w:firstLine="480" w:firstLineChars="200"/>
        <w:outlineLvl w:val="9"/>
        <w:rPr>
          <w:rFonts w:ascii="宋体" w:hAnsi="宋体" w:eastAsia="宋体" w:cs="宋体"/>
          <w:color w:val="auto"/>
          <w:sz w:val="24"/>
          <w:highlight w:val="none"/>
        </w:rPr>
      </w:pPr>
      <w:bookmarkStart w:id="1006" w:name="_Toc476645957"/>
      <w:bookmarkStart w:id="1007" w:name="_Toc454188821"/>
      <w:r>
        <w:rPr>
          <w:rFonts w:hint="eastAsia" w:ascii="宋体" w:hAnsi="宋体" w:eastAsia="宋体" w:cs="宋体"/>
          <w:color w:val="auto"/>
          <w:sz w:val="24"/>
          <w:highlight w:val="none"/>
        </w:rPr>
        <w:t>21.2承包人拟投入本项目的所有管理人员在本项目实施过程中均不得同时在其他在建项目任职，如有违反，发包人有权扣除承包人的履约保证金。</w:t>
      </w:r>
      <w:bookmarkEnd w:id="1006"/>
      <w:bookmarkEnd w:id="1007"/>
    </w:p>
    <w:p w14:paraId="44C0E2D1">
      <w:pPr>
        <w:spacing w:line="420" w:lineRule="exact"/>
        <w:ind w:firstLine="480" w:firstLineChars="200"/>
        <w:outlineLvl w:val="9"/>
        <w:rPr>
          <w:rFonts w:ascii="宋体" w:hAnsi="宋体" w:eastAsia="宋体" w:cs="宋体"/>
          <w:color w:val="auto"/>
          <w:sz w:val="24"/>
          <w:highlight w:val="none"/>
        </w:rPr>
      </w:pPr>
      <w:r>
        <w:rPr>
          <w:rFonts w:hint="eastAsia" w:ascii="宋体" w:hAnsi="宋体" w:eastAsia="宋体" w:cs="宋体"/>
          <w:color w:val="auto"/>
          <w:sz w:val="24"/>
          <w:highlight w:val="none"/>
        </w:rPr>
        <w:t>21.3因任何一方违约致使相对方采取诉讼方式实现债权的，违约方应承担相对方为此支付的合理费用包括但不限于诉讼费、保全费、律师代理费、评估费、差旅费、公告费、拍卖费、申请执行费及其实现债权发生的其他费用等。</w:t>
      </w:r>
    </w:p>
    <w:p w14:paraId="4C5048DA">
      <w:pPr>
        <w:spacing w:line="420" w:lineRule="exact"/>
        <w:ind w:firstLine="482"/>
        <w:textAlignment w:val="baseline"/>
        <w:rPr>
          <w:rFonts w:ascii="宋体" w:hAnsi="宋体" w:eastAsia="宋体" w:cs="宋体"/>
          <w:snapToGrid w:val="0"/>
          <w:color w:val="auto"/>
          <w:sz w:val="24"/>
          <w:highlight w:val="none"/>
        </w:rPr>
      </w:pPr>
      <w:r>
        <w:rPr>
          <w:rFonts w:hint="eastAsia" w:ascii="宋体" w:hAnsi="宋体" w:eastAsia="宋体" w:cs="宋体"/>
          <w:snapToGrid w:val="0"/>
          <w:color w:val="auto"/>
          <w:sz w:val="24"/>
          <w:highlight w:val="none"/>
        </w:rPr>
        <w:t>21.4 承包人应加强对包括管理人员、分包、材料供货商等人员的管理，杜绝群体性事件的发生，本项目合同履行期间5人以上群体性事件的，每发生一次或者群体性事件每延续一天，承包人按合同金额的千分之一（按天）向发包方承担违约责任。</w:t>
      </w:r>
    </w:p>
    <w:p w14:paraId="3D03825D">
      <w:pPr>
        <w:widowControl/>
        <w:autoSpaceDE w:val="0"/>
        <w:autoSpaceDN w:val="0"/>
        <w:spacing w:line="420" w:lineRule="exact"/>
        <w:ind w:firstLine="482" w:firstLineChars="200"/>
        <w:jc w:val="left"/>
        <w:outlineLvl w:val="3"/>
        <w:rPr>
          <w:rFonts w:ascii="宋体" w:hAnsi="宋体" w:eastAsia="宋体" w:cs="宋体"/>
          <w:b/>
          <w:color w:val="auto"/>
          <w:sz w:val="24"/>
          <w:highlight w:val="none"/>
        </w:rPr>
      </w:pPr>
      <w:r>
        <w:rPr>
          <w:rFonts w:hint="eastAsia" w:ascii="宋体" w:hAnsi="宋体" w:eastAsia="宋体" w:cs="宋体"/>
          <w:b/>
          <w:color w:val="auto"/>
          <w:sz w:val="24"/>
          <w:highlight w:val="none"/>
        </w:rPr>
        <w:t>21.6 工程管理</w:t>
      </w:r>
    </w:p>
    <w:p w14:paraId="26D9D1DB">
      <w:pPr>
        <w:spacing w:line="420" w:lineRule="exact"/>
        <w:ind w:firstLine="480" w:firstLineChars="200"/>
        <w:outlineLvl w:val="9"/>
        <w:rPr>
          <w:rFonts w:ascii="宋体" w:hAnsi="宋体" w:eastAsia="宋体" w:cs="宋体"/>
          <w:color w:val="auto"/>
          <w:sz w:val="24"/>
          <w:highlight w:val="none"/>
        </w:rPr>
      </w:pPr>
      <w:r>
        <w:rPr>
          <w:rFonts w:hint="eastAsia" w:ascii="宋体" w:hAnsi="宋体" w:eastAsia="宋体" w:cs="宋体"/>
          <w:color w:val="auto"/>
          <w:sz w:val="24"/>
          <w:highlight w:val="none"/>
        </w:rPr>
        <w:t>21.6.1承包人未按本合同“施工组织”约定组织施工，投入相应的材料，设备，劳动力，发包人视其情节轻重，处以承包人不低于10000元的违约处理金。在首次支付工程进度款之前，承包人项目部须提交施工组织计划、施工进度计划及人员、机械投入计划，上述计划至少以周为单位，并加盖施工单位公章及项目经理签字确认后提交监理单位和发包人单位一周内审核。上述文件作为发包人及监理单位考核承包人项目建设进度的依据，实行不定期考核，考核达不到进度要求，经发包人代表及监理单位评判并无客观理由可以免责的，发包人可处承包人2000元/次经济处罚。</w:t>
      </w:r>
    </w:p>
    <w:p w14:paraId="71D1A998">
      <w:pPr>
        <w:spacing w:line="420" w:lineRule="exact"/>
        <w:ind w:firstLine="480" w:firstLineChars="200"/>
        <w:outlineLvl w:val="9"/>
        <w:rPr>
          <w:rFonts w:ascii="宋体" w:hAnsi="宋体" w:eastAsia="宋体" w:cs="宋体"/>
          <w:color w:val="auto"/>
          <w:sz w:val="24"/>
          <w:highlight w:val="none"/>
        </w:rPr>
      </w:pPr>
      <w:r>
        <w:rPr>
          <w:rFonts w:hint="eastAsia" w:ascii="宋体" w:hAnsi="宋体" w:eastAsia="宋体" w:cs="宋体"/>
          <w:color w:val="auto"/>
          <w:sz w:val="24"/>
          <w:highlight w:val="none"/>
        </w:rPr>
        <w:t>21.6.2承包人将所承包的工程转包，如经发现，发包人将没收承包人全部履约保证金并有权解除合同关系，承包人给发包人造成的损失由承包人承担。</w:t>
      </w:r>
    </w:p>
    <w:p w14:paraId="520EF302">
      <w:pPr>
        <w:spacing w:line="420" w:lineRule="exact"/>
        <w:ind w:firstLine="480" w:firstLineChars="200"/>
        <w:outlineLvl w:val="9"/>
        <w:rPr>
          <w:rFonts w:ascii="宋体" w:hAnsi="宋体" w:eastAsia="宋体" w:cs="宋体"/>
          <w:color w:val="auto"/>
          <w:sz w:val="24"/>
          <w:highlight w:val="none"/>
        </w:rPr>
      </w:pPr>
      <w:r>
        <w:rPr>
          <w:rFonts w:hint="eastAsia" w:ascii="宋体" w:hAnsi="宋体" w:eastAsia="宋体" w:cs="宋体"/>
          <w:color w:val="auto"/>
          <w:sz w:val="24"/>
          <w:highlight w:val="none"/>
        </w:rPr>
        <w:t>21.6.3若承包人未按国家规定发放民工工资，造成民工闹事等，发包人将处以承包人20000元/次违约处理金，且承包人还应无条件按规定发放民工工资。</w:t>
      </w:r>
    </w:p>
    <w:p w14:paraId="060168A3">
      <w:pPr>
        <w:spacing w:line="420" w:lineRule="exact"/>
        <w:ind w:firstLine="480" w:firstLineChars="200"/>
        <w:outlineLvl w:val="9"/>
        <w:rPr>
          <w:rFonts w:ascii="宋体" w:hAnsi="宋体" w:eastAsia="宋体" w:cs="宋体"/>
          <w:color w:val="auto"/>
          <w:sz w:val="24"/>
          <w:highlight w:val="none"/>
        </w:rPr>
      </w:pPr>
      <w:r>
        <w:rPr>
          <w:rFonts w:hint="eastAsia" w:ascii="宋体" w:hAnsi="宋体" w:eastAsia="宋体" w:cs="宋体"/>
          <w:color w:val="auto"/>
          <w:sz w:val="24"/>
          <w:highlight w:val="none"/>
        </w:rPr>
        <w:t>21.6.4非合同确定的承包人现场管理人员或发包人以书面形式同意认可的项目管理人员，不得进入施工现场从事现场管理工作，否则，由此造成的一切损失，均由承包人自行负责。</w:t>
      </w:r>
    </w:p>
    <w:p w14:paraId="382C9DE3">
      <w:pPr>
        <w:spacing w:line="420" w:lineRule="exact"/>
        <w:ind w:firstLine="480" w:firstLineChars="200"/>
        <w:outlineLvl w:val="9"/>
        <w:rPr>
          <w:rFonts w:ascii="宋体" w:hAnsi="宋体" w:eastAsia="宋体" w:cs="宋体"/>
          <w:color w:val="auto"/>
          <w:sz w:val="24"/>
          <w:highlight w:val="none"/>
        </w:rPr>
      </w:pPr>
      <w:r>
        <w:rPr>
          <w:rFonts w:hint="eastAsia" w:ascii="宋体" w:hAnsi="宋体" w:eastAsia="宋体" w:cs="宋体"/>
          <w:color w:val="auto"/>
          <w:sz w:val="24"/>
          <w:highlight w:val="none"/>
        </w:rPr>
        <w:t>21.6.5工程在完成工程竣工验收后，承包人应无条件将工程实物向项目业主进行移交，并立即撤出场地，其它任何事宜均与此无关，如承包人不移交，发包人将处以承包人违约处理金20000元整，且还应在十天内移交完毕；如承包人在移交后拒不撤场地，发包人将处以承包人违约处理金20000元整，且还应在三天内无条件撤出场地。</w:t>
      </w:r>
    </w:p>
    <w:p w14:paraId="627D5E8C">
      <w:pPr>
        <w:spacing w:line="420" w:lineRule="exact"/>
        <w:ind w:firstLine="480" w:firstLineChars="200"/>
        <w:outlineLvl w:val="9"/>
        <w:rPr>
          <w:rFonts w:ascii="宋体" w:hAnsi="宋体" w:eastAsia="宋体" w:cs="宋体"/>
          <w:color w:val="auto"/>
          <w:sz w:val="24"/>
          <w:highlight w:val="none"/>
        </w:rPr>
      </w:pPr>
      <w:r>
        <w:rPr>
          <w:rFonts w:hint="eastAsia" w:ascii="宋体" w:hAnsi="宋体" w:eastAsia="宋体" w:cs="宋体"/>
          <w:color w:val="auto"/>
          <w:sz w:val="24"/>
          <w:highlight w:val="none"/>
        </w:rPr>
        <w:t>21.6.6承包人在竣工验收合格之日起90天之内未能向发包人提交工程竣工结算书和全套结算资料的，发包人按竣工验收合格之日起第91天开始计算承包人的违约延期时间，并按2000元/天计算承包人的违约延期处理金。若承包人在半年内拒不提交工程竣工结算资料的，发包人有权聘请中介机构代为办理工程结算工作，相关费用由承包人支付。</w:t>
      </w:r>
    </w:p>
    <w:p w14:paraId="0A178BB5">
      <w:pPr>
        <w:spacing w:line="420" w:lineRule="exact"/>
        <w:ind w:firstLine="480" w:firstLineChars="200"/>
        <w:outlineLvl w:val="9"/>
        <w:rPr>
          <w:rFonts w:ascii="宋体" w:hAnsi="宋体" w:eastAsia="宋体" w:cs="宋体"/>
          <w:color w:val="auto"/>
          <w:sz w:val="24"/>
          <w:highlight w:val="none"/>
        </w:rPr>
      </w:pPr>
      <w:r>
        <w:rPr>
          <w:rFonts w:hint="eastAsia" w:ascii="宋体" w:hAnsi="宋体" w:eastAsia="宋体" w:cs="宋体"/>
          <w:color w:val="auto"/>
          <w:sz w:val="24"/>
          <w:highlight w:val="none"/>
        </w:rPr>
        <w:t>21.6.7承包人或承包人人员人为破坏工程成品被其它承包单位或个人现场抓获或有确凿证据的，发包人按被破坏成品恢复金额的双倍处罚承包人，处罚金额由发包人在工程结算款中直接扣除，情节严重的，报公安机关进行处理。</w:t>
      </w:r>
    </w:p>
    <w:p w14:paraId="581C9767">
      <w:pPr>
        <w:spacing w:line="420" w:lineRule="exact"/>
        <w:ind w:firstLine="480" w:firstLineChars="200"/>
        <w:outlineLvl w:val="9"/>
        <w:rPr>
          <w:rFonts w:ascii="宋体" w:hAnsi="宋体" w:eastAsia="宋体" w:cs="宋体"/>
          <w:color w:val="auto"/>
          <w:sz w:val="24"/>
          <w:highlight w:val="none"/>
        </w:rPr>
      </w:pPr>
      <w:r>
        <w:rPr>
          <w:rFonts w:hint="eastAsia" w:ascii="宋体" w:hAnsi="宋体" w:eastAsia="宋体" w:cs="宋体"/>
          <w:color w:val="auto"/>
          <w:sz w:val="24"/>
          <w:highlight w:val="none"/>
        </w:rPr>
        <w:t>21.6.8承包人或承包人人员盗取自身的工程材料和设备，被现场抓获或有确凿证据的，发包人按被盗材料和设备相应价值的双倍处罚承包人，处理金额由发包人在工程结算款中直接扣除，情节严重的，报公安机关进行处理。</w:t>
      </w:r>
    </w:p>
    <w:p w14:paraId="461A2822">
      <w:pPr>
        <w:spacing w:line="420" w:lineRule="exact"/>
        <w:ind w:firstLine="480" w:firstLineChars="200"/>
        <w:outlineLvl w:val="9"/>
        <w:rPr>
          <w:rFonts w:ascii="宋体" w:hAnsi="宋体" w:eastAsia="宋体" w:cs="宋体"/>
          <w:color w:val="auto"/>
          <w:sz w:val="24"/>
          <w:highlight w:val="none"/>
        </w:rPr>
      </w:pPr>
      <w:r>
        <w:rPr>
          <w:rFonts w:hint="eastAsia" w:ascii="宋体" w:hAnsi="宋体" w:eastAsia="宋体" w:cs="宋体"/>
          <w:color w:val="auto"/>
          <w:sz w:val="24"/>
          <w:highlight w:val="none"/>
        </w:rPr>
        <w:t>21.6.9承包人应严格按照发包人给定的运距要求到合法合规的取土点、弃土点进行土方工程的取土和弃土工作。非法弃土所产生的后果由承包人自行负责，任何情况下，本项目的土方工程出现非法取土、弃土的情况，承包人须承担全部法律责任。</w:t>
      </w:r>
    </w:p>
    <w:p w14:paraId="7BD77885">
      <w:pPr>
        <w:spacing w:line="420" w:lineRule="exact"/>
        <w:ind w:firstLine="480" w:firstLineChars="200"/>
        <w:outlineLvl w:val="9"/>
        <w:rPr>
          <w:rFonts w:ascii="宋体" w:hAnsi="宋体" w:eastAsia="宋体" w:cs="宋体"/>
          <w:color w:val="auto"/>
          <w:sz w:val="24"/>
          <w:highlight w:val="none"/>
        </w:rPr>
      </w:pPr>
      <w:r>
        <w:rPr>
          <w:rFonts w:hint="eastAsia" w:ascii="宋体" w:hAnsi="宋体" w:eastAsia="宋体" w:cs="宋体"/>
          <w:color w:val="auto"/>
          <w:sz w:val="24"/>
          <w:highlight w:val="none"/>
        </w:rPr>
        <w:t>21.6.10在不违反国家相关法律法规的前提下，承包人不按时落实发包人工地例会要求，发包人每次可处200元经济处罚，该处罚可累计，并从每期工程款中进行扣除。</w:t>
      </w:r>
    </w:p>
    <w:p w14:paraId="4698E5F3">
      <w:pPr>
        <w:spacing w:line="420" w:lineRule="exact"/>
        <w:ind w:firstLine="482" w:firstLineChars="200"/>
        <w:outlineLvl w:val="3"/>
        <w:rPr>
          <w:rFonts w:ascii="宋体" w:hAnsi="宋体" w:eastAsia="宋体" w:cs="宋体"/>
          <w:b/>
          <w:bCs/>
          <w:color w:val="auto"/>
          <w:sz w:val="24"/>
          <w:highlight w:val="none"/>
        </w:rPr>
      </w:pPr>
      <w:r>
        <w:rPr>
          <w:rFonts w:hint="eastAsia" w:ascii="宋体" w:hAnsi="宋体" w:eastAsia="宋体" w:cs="宋体"/>
          <w:b/>
          <w:bCs/>
          <w:color w:val="auto"/>
          <w:sz w:val="24"/>
          <w:highlight w:val="none"/>
        </w:rPr>
        <w:t>21.7 竣工结算</w:t>
      </w:r>
    </w:p>
    <w:p w14:paraId="53F70DC7">
      <w:pPr>
        <w:spacing w:line="420" w:lineRule="exact"/>
        <w:ind w:firstLine="480" w:firstLineChars="200"/>
        <w:outlineLvl w:val="9"/>
        <w:rPr>
          <w:rFonts w:ascii="宋体" w:hAnsi="宋体" w:eastAsia="宋体" w:cs="宋体"/>
          <w:color w:val="auto"/>
          <w:sz w:val="24"/>
          <w:highlight w:val="none"/>
        </w:rPr>
      </w:pPr>
      <w:r>
        <w:rPr>
          <w:rFonts w:hint="eastAsia" w:ascii="宋体" w:hAnsi="宋体" w:eastAsia="宋体" w:cs="宋体"/>
          <w:color w:val="auto"/>
          <w:sz w:val="24"/>
          <w:highlight w:val="none"/>
        </w:rPr>
        <w:t>21.7.1项目经审计结算后，遇到审计机关对项目进行抽查，承包人应予配合，并且按照最终审计报告出具的审计结果为最终工程结算价。对于已经支付的工程款，进行多还少补原则。</w:t>
      </w:r>
    </w:p>
    <w:p w14:paraId="34F590D7">
      <w:pPr>
        <w:spacing w:line="42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21.7.2若发生工程量增减，发包人按实施部分合同价款与承包人据实结算。</w:t>
      </w:r>
    </w:p>
    <w:p w14:paraId="01D02146">
      <w:pPr>
        <w:spacing w:line="420" w:lineRule="exact"/>
        <w:ind w:firstLine="482" w:firstLineChars="200"/>
        <w:outlineLvl w:val="3"/>
        <w:rPr>
          <w:rStyle w:val="348"/>
          <w:rFonts w:ascii="宋体" w:hAnsi="宋体" w:eastAsia="宋体" w:cs="宋体"/>
          <w:color w:val="auto"/>
          <w:highlight w:val="none"/>
        </w:rPr>
      </w:pPr>
      <w:r>
        <w:rPr>
          <w:rFonts w:hint="eastAsia" w:ascii="宋体" w:hAnsi="宋体" w:eastAsia="宋体" w:cs="宋体"/>
          <w:b/>
          <w:bCs/>
          <w:color w:val="auto"/>
          <w:sz w:val="24"/>
          <w:highlight w:val="none"/>
        </w:rPr>
        <w:t>21.8 特别提醒</w:t>
      </w:r>
    </w:p>
    <w:p w14:paraId="262293D9">
      <w:pPr>
        <w:spacing w:line="360" w:lineRule="auto"/>
        <w:ind w:firstLine="480" w:firstLineChars="200"/>
        <w:jc w:val="left"/>
        <w:rPr>
          <w:rFonts w:ascii="宋体" w:hAnsi="宋体" w:eastAsia="宋体" w:cs="宋体"/>
          <w:color w:val="auto"/>
          <w:highlight w:val="none"/>
        </w:rPr>
      </w:pPr>
      <w:bookmarkStart w:id="1008" w:name="_Toc31658"/>
      <w:bookmarkEnd w:id="1008"/>
      <w:r>
        <w:rPr>
          <w:rFonts w:hint="eastAsia" w:ascii="宋体" w:hAnsi="宋体" w:eastAsia="宋体" w:cs="宋体"/>
          <w:color w:val="auto"/>
          <w:sz w:val="24"/>
          <w:highlight w:val="none"/>
        </w:rPr>
        <w:t xml:space="preserve">   </w:t>
      </w:r>
      <w:r>
        <w:rPr>
          <w:rFonts w:hint="eastAsia" w:ascii="宋体" w:hAnsi="宋体" w:eastAsia="宋体" w:cs="宋体"/>
          <w:b/>
          <w:bCs/>
          <w:color w:val="auto"/>
          <w:sz w:val="24"/>
          <w:highlight w:val="none"/>
        </w:rPr>
        <w:t>乙方围标串标或投标响应文件存在弄虚作假的，列为不诚信行为，签订的合同无效，乙方应向甲方支付赔偿金，赔偿金比例不低于成交价（合同总金额）的20%，同时，报请财政监管部门裁决处理</w:t>
      </w:r>
      <w:r>
        <w:rPr>
          <w:rFonts w:hint="eastAsia" w:ascii="宋体" w:hAnsi="宋体" w:eastAsia="宋体" w:cs="宋体"/>
          <w:color w:val="auto"/>
          <w:highlight w:val="none"/>
        </w:rPr>
        <w:t>。</w:t>
      </w:r>
      <w:bookmarkEnd w:id="128"/>
      <w:bookmarkEnd w:id="129"/>
      <w:bookmarkEnd w:id="130"/>
      <w:bookmarkEnd w:id="131"/>
      <w:bookmarkEnd w:id="132"/>
      <w:bookmarkEnd w:id="133"/>
    </w:p>
    <w:p w14:paraId="4159EF77">
      <w:pPr>
        <w:pStyle w:val="5"/>
        <w:rPr>
          <w:rFonts w:ascii="宋体" w:hAnsi="宋体" w:eastAsia="宋体" w:cs="宋体"/>
          <w:b w:val="0"/>
          <w:bCs w:val="0"/>
          <w:color w:val="auto"/>
          <w:sz w:val="28"/>
          <w:szCs w:val="28"/>
          <w:highlight w:val="none"/>
        </w:rPr>
      </w:pPr>
      <w:bookmarkStart w:id="1009" w:name="_Toc351203652"/>
      <w:r>
        <w:rPr>
          <w:rFonts w:hint="eastAsia" w:ascii="宋体" w:hAnsi="宋体" w:eastAsia="宋体" w:cs="宋体"/>
          <w:color w:val="auto"/>
          <w:highlight w:val="none"/>
        </w:rPr>
        <w:t>附件</w:t>
      </w:r>
      <w:bookmarkEnd w:id="1009"/>
    </w:p>
    <w:p w14:paraId="056349B6">
      <w:pPr>
        <w:spacing w:line="360" w:lineRule="auto"/>
        <w:jc w:val="left"/>
        <w:rPr>
          <w:rFonts w:ascii="宋体" w:hAnsi="宋体" w:eastAsia="宋体" w:cs="宋体"/>
          <w:color w:val="auto"/>
          <w:highlight w:val="none"/>
        </w:rPr>
      </w:pPr>
      <w:r>
        <w:rPr>
          <w:rFonts w:hint="eastAsia" w:ascii="宋体" w:hAnsi="宋体" w:eastAsia="宋体" w:cs="宋体"/>
          <w:color w:val="auto"/>
          <w:highlight w:val="none"/>
        </w:rPr>
        <w:t>附件1：承包人承揽工程项目一览表</w:t>
      </w:r>
    </w:p>
    <w:p w14:paraId="19A4ECE9">
      <w:pPr>
        <w:spacing w:line="360" w:lineRule="auto"/>
        <w:jc w:val="left"/>
        <w:rPr>
          <w:rFonts w:ascii="宋体" w:hAnsi="宋体" w:eastAsia="宋体" w:cs="宋体"/>
          <w:color w:val="auto"/>
          <w:highlight w:val="none"/>
        </w:rPr>
      </w:pPr>
      <w:r>
        <w:rPr>
          <w:rFonts w:hint="eastAsia" w:ascii="宋体" w:hAnsi="宋体" w:eastAsia="宋体" w:cs="宋体"/>
          <w:color w:val="auto"/>
          <w:highlight w:val="none"/>
        </w:rPr>
        <w:t>附件2：工程质量保修书</w:t>
      </w:r>
    </w:p>
    <w:p w14:paraId="37FC8A5E">
      <w:pPr>
        <w:spacing w:line="360" w:lineRule="auto"/>
        <w:jc w:val="left"/>
        <w:rPr>
          <w:rFonts w:ascii="宋体" w:hAnsi="宋体" w:eastAsia="宋体" w:cs="宋体"/>
          <w:color w:val="auto"/>
          <w:highlight w:val="none"/>
        </w:rPr>
      </w:pPr>
      <w:r>
        <w:rPr>
          <w:rFonts w:hint="eastAsia" w:ascii="宋体" w:hAnsi="宋体" w:eastAsia="宋体" w:cs="宋体"/>
          <w:color w:val="auto"/>
          <w:highlight w:val="none"/>
        </w:rPr>
        <w:t>附件3：主要建设工程文件目录</w:t>
      </w:r>
    </w:p>
    <w:p w14:paraId="65A20A6C">
      <w:pPr>
        <w:spacing w:line="360" w:lineRule="auto"/>
        <w:jc w:val="left"/>
        <w:rPr>
          <w:rFonts w:ascii="宋体" w:hAnsi="宋体" w:eastAsia="宋体" w:cs="宋体"/>
          <w:color w:val="auto"/>
          <w:highlight w:val="none"/>
        </w:rPr>
      </w:pPr>
      <w:r>
        <w:rPr>
          <w:rFonts w:hint="eastAsia" w:ascii="宋体" w:hAnsi="宋体" w:eastAsia="宋体" w:cs="宋体"/>
          <w:color w:val="auto"/>
          <w:highlight w:val="none"/>
        </w:rPr>
        <w:t>附件4：承包人用于本工程施工的机械设备表</w:t>
      </w:r>
    </w:p>
    <w:p w14:paraId="5A25C0C5">
      <w:pPr>
        <w:spacing w:line="360" w:lineRule="auto"/>
        <w:jc w:val="left"/>
        <w:rPr>
          <w:rFonts w:ascii="宋体" w:hAnsi="宋体" w:eastAsia="宋体" w:cs="宋体"/>
          <w:color w:val="auto"/>
          <w:highlight w:val="none"/>
        </w:rPr>
      </w:pPr>
      <w:r>
        <w:rPr>
          <w:rFonts w:hint="eastAsia" w:ascii="宋体" w:hAnsi="宋体" w:eastAsia="宋体" w:cs="宋体"/>
          <w:color w:val="auto"/>
          <w:highlight w:val="none"/>
        </w:rPr>
        <w:t>附件5：承包人主要施工管理人员表</w:t>
      </w:r>
    </w:p>
    <w:p w14:paraId="3FF190D7">
      <w:pPr>
        <w:spacing w:line="360" w:lineRule="auto"/>
        <w:jc w:val="left"/>
        <w:rPr>
          <w:rFonts w:ascii="宋体" w:hAnsi="宋体" w:eastAsia="宋体" w:cs="宋体"/>
          <w:color w:val="auto"/>
          <w:highlight w:val="none"/>
        </w:rPr>
      </w:pPr>
      <w:r>
        <w:rPr>
          <w:rFonts w:hint="eastAsia" w:ascii="宋体" w:hAnsi="宋体" w:eastAsia="宋体" w:cs="宋体"/>
          <w:color w:val="auto"/>
          <w:highlight w:val="none"/>
        </w:rPr>
        <w:t>附件6：分包人主要施工管理人员表</w:t>
      </w:r>
    </w:p>
    <w:p w14:paraId="7BFB0808">
      <w:pPr>
        <w:spacing w:line="360" w:lineRule="auto"/>
        <w:jc w:val="left"/>
        <w:rPr>
          <w:rFonts w:ascii="宋体" w:hAnsi="宋体" w:eastAsia="宋体" w:cs="宋体"/>
          <w:color w:val="auto"/>
          <w:highlight w:val="none"/>
        </w:rPr>
      </w:pPr>
      <w:r>
        <w:rPr>
          <w:rFonts w:hint="eastAsia" w:ascii="宋体" w:hAnsi="宋体" w:eastAsia="宋体" w:cs="宋体"/>
          <w:color w:val="auto"/>
          <w:highlight w:val="none"/>
        </w:rPr>
        <w:t>附件7：履约担保格式（独立保函）</w:t>
      </w:r>
    </w:p>
    <w:p w14:paraId="7642C8D8">
      <w:pPr>
        <w:spacing w:line="360" w:lineRule="auto"/>
        <w:jc w:val="left"/>
        <w:rPr>
          <w:rFonts w:ascii="宋体" w:hAnsi="宋体" w:eastAsia="宋体" w:cs="宋体"/>
          <w:color w:val="auto"/>
          <w:highlight w:val="none"/>
        </w:rPr>
      </w:pPr>
      <w:r>
        <w:rPr>
          <w:rFonts w:hint="eastAsia" w:ascii="宋体" w:hAnsi="宋体" w:eastAsia="宋体" w:cs="宋体"/>
          <w:color w:val="auto"/>
          <w:highlight w:val="none"/>
        </w:rPr>
        <w:t>附件8：预付款担保格式（独立保函）</w:t>
      </w:r>
    </w:p>
    <w:p w14:paraId="5F8108D5">
      <w:pPr>
        <w:spacing w:line="360" w:lineRule="auto"/>
        <w:jc w:val="left"/>
        <w:rPr>
          <w:rFonts w:ascii="宋体" w:hAnsi="宋体" w:eastAsia="宋体" w:cs="宋体"/>
          <w:color w:val="auto"/>
          <w:highlight w:val="none"/>
        </w:rPr>
      </w:pPr>
      <w:r>
        <w:rPr>
          <w:rFonts w:hint="eastAsia" w:ascii="宋体" w:hAnsi="宋体" w:eastAsia="宋体" w:cs="宋体"/>
          <w:color w:val="auto"/>
          <w:highlight w:val="none"/>
        </w:rPr>
        <w:t>附件9：支付担保格式（独立保函）</w:t>
      </w:r>
    </w:p>
    <w:p w14:paraId="3040C542">
      <w:pPr>
        <w:spacing w:line="360" w:lineRule="auto"/>
        <w:jc w:val="left"/>
        <w:rPr>
          <w:rFonts w:ascii="宋体" w:hAnsi="宋体" w:eastAsia="宋体" w:cs="宋体"/>
          <w:color w:val="auto"/>
          <w:highlight w:val="none"/>
        </w:rPr>
      </w:pPr>
      <w:r>
        <w:rPr>
          <w:rFonts w:hint="eastAsia" w:ascii="宋体" w:hAnsi="宋体" w:eastAsia="宋体" w:cs="宋体"/>
          <w:color w:val="auto"/>
          <w:highlight w:val="none"/>
        </w:rPr>
        <w:t>附件10：预付款支付申请（核准）表</w:t>
      </w:r>
    </w:p>
    <w:p w14:paraId="269A358D">
      <w:pPr>
        <w:spacing w:line="360" w:lineRule="auto"/>
        <w:jc w:val="left"/>
        <w:rPr>
          <w:rFonts w:ascii="宋体" w:hAnsi="宋体" w:eastAsia="宋体" w:cs="宋体"/>
          <w:color w:val="auto"/>
          <w:highlight w:val="none"/>
        </w:rPr>
      </w:pPr>
      <w:r>
        <w:rPr>
          <w:rFonts w:hint="eastAsia" w:ascii="宋体" w:hAnsi="宋体" w:eastAsia="宋体" w:cs="宋体"/>
          <w:color w:val="auto"/>
          <w:highlight w:val="none"/>
        </w:rPr>
        <w:t>附件11：进度款支付申请（核准）表</w:t>
      </w:r>
    </w:p>
    <w:p w14:paraId="00EB01C5">
      <w:pPr>
        <w:spacing w:line="360" w:lineRule="auto"/>
        <w:jc w:val="left"/>
        <w:rPr>
          <w:rFonts w:ascii="宋体" w:hAnsi="宋体" w:eastAsia="宋体" w:cs="宋体"/>
          <w:color w:val="auto"/>
          <w:highlight w:val="none"/>
        </w:rPr>
      </w:pPr>
      <w:r>
        <w:rPr>
          <w:rFonts w:hint="eastAsia" w:ascii="宋体" w:hAnsi="宋体" w:eastAsia="宋体" w:cs="宋体"/>
          <w:color w:val="auto"/>
          <w:highlight w:val="none"/>
        </w:rPr>
        <w:t>附件12：竣工结算款支付申请（核准）表</w:t>
      </w:r>
    </w:p>
    <w:p w14:paraId="2B172DC1">
      <w:pPr>
        <w:spacing w:line="360" w:lineRule="auto"/>
        <w:jc w:val="left"/>
        <w:rPr>
          <w:rFonts w:ascii="宋体" w:hAnsi="宋体" w:eastAsia="宋体" w:cs="宋体"/>
          <w:color w:val="auto"/>
          <w:highlight w:val="none"/>
        </w:rPr>
      </w:pPr>
      <w:r>
        <w:rPr>
          <w:rFonts w:hint="eastAsia" w:ascii="宋体" w:hAnsi="宋体" w:eastAsia="宋体" w:cs="宋体"/>
          <w:color w:val="auto"/>
          <w:highlight w:val="none"/>
        </w:rPr>
        <w:t>附件13：最终结算款支付申请（核准）表</w:t>
      </w:r>
    </w:p>
    <w:p w14:paraId="0BCB5887">
      <w:pPr>
        <w:spacing w:line="360" w:lineRule="auto"/>
        <w:jc w:val="left"/>
        <w:rPr>
          <w:rFonts w:ascii="宋体" w:hAnsi="宋体" w:eastAsia="宋体" w:cs="宋体"/>
          <w:color w:val="auto"/>
          <w:highlight w:val="none"/>
        </w:rPr>
      </w:pPr>
      <w:r>
        <w:rPr>
          <w:rFonts w:hint="eastAsia" w:ascii="宋体" w:hAnsi="宋体" w:eastAsia="宋体" w:cs="宋体"/>
          <w:color w:val="auto"/>
          <w:highlight w:val="none"/>
        </w:rPr>
        <w:t>附件14：总价合同进度款支付分解表</w:t>
      </w:r>
    </w:p>
    <w:p w14:paraId="13DE06E9">
      <w:pPr>
        <w:spacing w:line="460" w:lineRule="exact"/>
        <w:ind w:firstLine="420" w:firstLineChars="200"/>
        <w:rPr>
          <w:rFonts w:ascii="宋体" w:hAnsi="宋体" w:eastAsia="宋体" w:cs="宋体"/>
          <w:color w:val="auto"/>
          <w:highlight w:val="none"/>
        </w:rPr>
      </w:pPr>
    </w:p>
    <w:p w14:paraId="5E7AA80C">
      <w:pPr>
        <w:spacing w:line="460" w:lineRule="exact"/>
        <w:ind w:firstLine="420" w:firstLineChars="200"/>
        <w:rPr>
          <w:rFonts w:ascii="宋体" w:hAnsi="宋体" w:eastAsia="宋体" w:cs="宋体"/>
          <w:color w:val="auto"/>
          <w:highlight w:val="none"/>
        </w:rPr>
        <w:sectPr>
          <w:pgSz w:w="11905" w:h="16838"/>
          <w:pgMar w:top="1417" w:right="1417" w:bottom="1417" w:left="1417" w:header="851" w:footer="850" w:gutter="0"/>
          <w:cols w:space="720" w:num="1"/>
          <w:docGrid w:linePitch="312" w:charSpace="0"/>
        </w:sectPr>
      </w:pPr>
    </w:p>
    <w:p w14:paraId="37A75769">
      <w:pPr>
        <w:pStyle w:val="6"/>
        <w:jc w:val="left"/>
        <w:rPr>
          <w:rFonts w:ascii="宋体" w:hAnsi="宋体" w:eastAsia="宋体" w:cs="宋体"/>
          <w:color w:val="auto"/>
          <w:sz w:val="30"/>
          <w:szCs w:val="30"/>
          <w:highlight w:val="none"/>
        </w:rPr>
      </w:pPr>
      <w:r>
        <w:rPr>
          <w:rFonts w:hint="eastAsia" w:ascii="宋体" w:hAnsi="宋体" w:eastAsia="宋体" w:cs="宋体"/>
          <w:color w:val="auto"/>
          <w:highlight w:val="none"/>
        </w:rPr>
        <w:t>附件</w:t>
      </w:r>
      <w:r>
        <w:rPr>
          <w:rFonts w:hint="eastAsia" w:ascii="宋体" w:hAnsi="宋体" w:eastAsia="宋体" w:cs="宋体"/>
          <w:color w:val="auto"/>
          <w:sz w:val="30"/>
          <w:szCs w:val="30"/>
          <w:highlight w:val="none"/>
        </w:rPr>
        <w:t>1：</w:t>
      </w:r>
    </w:p>
    <w:p w14:paraId="49CFCA98">
      <w:pPr>
        <w:spacing w:before="120" w:beforeLines="50" w:after="120" w:afterLines="50" w:line="440" w:lineRule="exact"/>
        <w:jc w:val="center"/>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承包人承揽工程项目一览表</w:t>
      </w:r>
    </w:p>
    <w:tbl>
      <w:tblPr>
        <w:tblStyle w:val="54"/>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941"/>
        <w:gridCol w:w="941"/>
        <w:gridCol w:w="1060"/>
        <w:gridCol w:w="1087"/>
        <w:gridCol w:w="551"/>
        <w:gridCol w:w="1020"/>
        <w:gridCol w:w="1394"/>
        <w:gridCol w:w="1023"/>
        <w:gridCol w:w="553"/>
        <w:gridCol w:w="552"/>
      </w:tblGrid>
      <w:tr w14:paraId="324B8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521" w:type="pct"/>
            <w:noWrap w:val="0"/>
            <w:vAlign w:val="center"/>
          </w:tcPr>
          <w:p w14:paraId="232F3D5B">
            <w:pPr>
              <w:pStyle w:val="2"/>
              <w:keepNext/>
              <w:spacing w:line="440" w:lineRule="exact"/>
              <w:ind w:left="63" w:right="63"/>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单位工程名称</w:t>
            </w:r>
          </w:p>
        </w:tc>
        <w:tc>
          <w:tcPr>
            <w:tcW w:w="521" w:type="pct"/>
            <w:noWrap w:val="0"/>
            <w:vAlign w:val="center"/>
          </w:tcPr>
          <w:p w14:paraId="5B9D999D">
            <w:pPr>
              <w:pStyle w:val="2"/>
              <w:keepNext/>
              <w:spacing w:line="440" w:lineRule="exact"/>
              <w:ind w:left="63" w:right="63"/>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建设规模</w:t>
            </w:r>
          </w:p>
        </w:tc>
        <w:tc>
          <w:tcPr>
            <w:tcW w:w="586" w:type="pct"/>
            <w:noWrap w:val="0"/>
            <w:vAlign w:val="center"/>
          </w:tcPr>
          <w:p w14:paraId="0FCE0475">
            <w:pPr>
              <w:pStyle w:val="2"/>
              <w:keepNext/>
              <w:spacing w:line="440" w:lineRule="exact"/>
              <w:ind w:left="63" w:right="63"/>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建筑面积(平方米)</w:t>
            </w:r>
          </w:p>
        </w:tc>
        <w:tc>
          <w:tcPr>
            <w:tcW w:w="601" w:type="pct"/>
            <w:noWrap w:val="0"/>
            <w:vAlign w:val="center"/>
          </w:tcPr>
          <w:p w14:paraId="7C52EECD">
            <w:pPr>
              <w:pStyle w:val="2"/>
              <w:keepNext/>
              <w:spacing w:line="440" w:lineRule="exact"/>
              <w:ind w:left="63" w:right="63"/>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结构形式</w:t>
            </w:r>
          </w:p>
        </w:tc>
        <w:tc>
          <w:tcPr>
            <w:tcW w:w="307" w:type="pct"/>
            <w:noWrap w:val="0"/>
            <w:vAlign w:val="center"/>
          </w:tcPr>
          <w:p w14:paraId="19563D6E">
            <w:pPr>
              <w:pStyle w:val="2"/>
              <w:keepNext/>
              <w:spacing w:line="440" w:lineRule="exact"/>
              <w:ind w:left="63" w:right="63"/>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层数</w:t>
            </w:r>
          </w:p>
        </w:tc>
        <w:tc>
          <w:tcPr>
            <w:tcW w:w="564" w:type="pct"/>
            <w:noWrap w:val="0"/>
            <w:vAlign w:val="center"/>
          </w:tcPr>
          <w:p w14:paraId="5E5D34B8">
            <w:pPr>
              <w:pStyle w:val="2"/>
              <w:keepNext/>
              <w:spacing w:line="440" w:lineRule="exact"/>
              <w:ind w:left="63" w:right="63"/>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生产能力</w:t>
            </w:r>
          </w:p>
        </w:tc>
        <w:tc>
          <w:tcPr>
            <w:tcW w:w="769" w:type="pct"/>
            <w:noWrap w:val="0"/>
            <w:vAlign w:val="center"/>
          </w:tcPr>
          <w:p w14:paraId="37FFAB6B">
            <w:pPr>
              <w:pStyle w:val="2"/>
              <w:keepNext/>
              <w:spacing w:line="440" w:lineRule="exact"/>
              <w:ind w:left="63" w:right="63"/>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设备安装内容</w:t>
            </w:r>
          </w:p>
        </w:tc>
        <w:tc>
          <w:tcPr>
            <w:tcW w:w="512" w:type="pct"/>
            <w:noWrap w:val="0"/>
            <w:vAlign w:val="center"/>
          </w:tcPr>
          <w:p w14:paraId="049B9FB0">
            <w:pPr>
              <w:pStyle w:val="2"/>
              <w:keepNext/>
              <w:spacing w:line="440" w:lineRule="exact"/>
              <w:ind w:left="63" w:right="63"/>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合同价格（元）</w:t>
            </w:r>
          </w:p>
        </w:tc>
        <w:tc>
          <w:tcPr>
            <w:tcW w:w="308" w:type="pct"/>
            <w:noWrap w:val="0"/>
            <w:vAlign w:val="center"/>
          </w:tcPr>
          <w:p w14:paraId="3082E0FD">
            <w:pPr>
              <w:pStyle w:val="2"/>
              <w:keepNext/>
              <w:spacing w:line="440" w:lineRule="exact"/>
              <w:ind w:left="63" w:right="63"/>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开工日期</w:t>
            </w:r>
          </w:p>
        </w:tc>
        <w:tc>
          <w:tcPr>
            <w:tcW w:w="307" w:type="pct"/>
            <w:noWrap w:val="0"/>
            <w:vAlign w:val="center"/>
          </w:tcPr>
          <w:p w14:paraId="68F74902">
            <w:pPr>
              <w:pStyle w:val="2"/>
              <w:keepNext/>
              <w:spacing w:line="440" w:lineRule="exact"/>
              <w:ind w:left="63" w:right="63"/>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竣工日期</w:t>
            </w:r>
          </w:p>
        </w:tc>
      </w:tr>
      <w:tr w14:paraId="39B04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21" w:type="pct"/>
            <w:noWrap w:val="0"/>
            <w:vAlign w:val="center"/>
          </w:tcPr>
          <w:p w14:paraId="5A0E45EE">
            <w:pPr>
              <w:pStyle w:val="2"/>
              <w:keepNext/>
              <w:spacing w:line="440" w:lineRule="exact"/>
              <w:ind w:left="63" w:right="63"/>
              <w:rPr>
                <w:rFonts w:ascii="宋体" w:hAnsi="宋体" w:eastAsia="宋体" w:cs="宋体"/>
                <w:color w:val="auto"/>
                <w:sz w:val="30"/>
                <w:szCs w:val="30"/>
                <w:highlight w:val="none"/>
              </w:rPr>
            </w:pPr>
          </w:p>
        </w:tc>
        <w:tc>
          <w:tcPr>
            <w:tcW w:w="521" w:type="pct"/>
            <w:noWrap w:val="0"/>
            <w:vAlign w:val="center"/>
          </w:tcPr>
          <w:p w14:paraId="4C9F45E2">
            <w:pPr>
              <w:pStyle w:val="2"/>
              <w:keepNext/>
              <w:spacing w:line="440" w:lineRule="exact"/>
              <w:ind w:left="63" w:right="63"/>
              <w:rPr>
                <w:rFonts w:ascii="宋体" w:hAnsi="宋体" w:eastAsia="宋体" w:cs="宋体"/>
                <w:color w:val="auto"/>
                <w:sz w:val="30"/>
                <w:szCs w:val="30"/>
                <w:highlight w:val="none"/>
              </w:rPr>
            </w:pPr>
          </w:p>
        </w:tc>
        <w:tc>
          <w:tcPr>
            <w:tcW w:w="586" w:type="pct"/>
            <w:noWrap w:val="0"/>
            <w:vAlign w:val="center"/>
          </w:tcPr>
          <w:p w14:paraId="0F18E258">
            <w:pPr>
              <w:pStyle w:val="2"/>
              <w:keepNext/>
              <w:spacing w:line="440" w:lineRule="exact"/>
              <w:ind w:left="63" w:right="63"/>
              <w:rPr>
                <w:rFonts w:ascii="宋体" w:hAnsi="宋体" w:eastAsia="宋体" w:cs="宋体"/>
                <w:color w:val="auto"/>
                <w:sz w:val="30"/>
                <w:szCs w:val="30"/>
                <w:highlight w:val="none"/>
              </w:rPr>
            </w:pPr>
          </w:p>
        </w:tc>
        <w:tc>
          <w:tcPr>
            <w:tcW w:w="601" w:type="pct"/>
            <w:noWrap w:val="0"/>
            <w:vAlign w:val="center"/>
          </w:tcPr>
          <w:p w14:paraId="65216548">
            <w:pPr>
              <w:pStyle w:val="2"/>
              <w:keepNext/>
              <w:spacing w:line="440" w:lineRule="exact"/>
              <w:ind w:left="63" w:right="63"/>
              <w:rPr>
                <w:rFonts w:ascii="宋体" w:hAnsi="宋体" w:eastAsia="宋体" w:cs="宋体"/>
                <w:color w:val="auto"/>
                <w:sz w:val="30"/>
                <w:szCs w:val="30"/>
                <w:highlight w:val="none"/>
              </w:rPr>
            </w:pPr>
          </w:p>
        </w:tc>
        <w:tc>
          <w:tcPr>
            <w:tcW w:w="307" w:type="pct"/>
            <w:noWrap w:val="0"/>
            <w:vAlign w:val="center"/>
          </w:tcPr>
          <w:p w14:paraId="1EEF3462">
            <w:pPr>
              <w:pStyle w:val="2"/>
              <w:keepNext/>
              <w:spacing w:line="440" w:lineRule="exact"/>
              <w:ind w:left="63" w:right="63"/>
              <w:rPr>
                <w:rFonts w:ascii="宋体" w:hAnsi="宋体" w:eastAsia="宋体" w:cs="宋体"/>
                <w:color w:val="auto"/>
                <w:sz w:val="30"/>
                <w:szCs w:val="30"/>
                <w:highlight w:val="none"/>
              </w:rPr>
            </w:pPr>
          </w:p>
        </w:tc>
        <w:tc>
          <w:tcPr>
            <w:tcW w:w="564" w:type="pct"/>
            <w:noWrap w:val="0"/>
            <w:vAlign w:val="center"/>
          </w:tcPr>
          <w:p w14:paraId="42D6FF00">
            <w:pPr>
              <w:pStyle w:val="2"/>
              <w:keepNext/>
              <w:spacing w:line="440" w:lineRule="exact"/>
              <w:ind w:left="63" w:right="63"/>
              <w:rPr>
                <w:rFonts w:ascii="宋体" w:hAnsi="宋体" w:eastAsia="宋体" w:cs="宋体"/>
                <w:color w:val="auto"/>
                <w:sz w:val="30"/>
                <w:szCs w:val="30"/>
                <w:highlight w:val="none"/>
              </w:rPr>
            </w:pPr>
          </w:p>
        </w:tc>
        <w:tc>
          <w:tcPr>
            <w:tcW w:w="769" w:type="pct"/>
            <w:noWrap w:val="0"/>
            <w:vAlign w:val="center"/>
          </w:tcPr>
          <w:p w14:paraId="5AE60337">
            <w:pPr>
              <w:pStyle w:val="2"/>
              <w:keepNext/>
              <w:spacing w:line="440" w:lineRule="exact"/>
              <w:ind w:left="63" w:right="63"/>
              <w:rPr>
                <w:rFonts w:ascii="宋体" w:hAnsi="宋体" w:eastAsia="宋体" w:cs="宋体"/>
                <w:color w:val="auto"/>
                <w:sz w:val="30"/>
                <w:szCs w:val="30"/>
                <w:highlight w:val="none"/>
              </w:rPr>
            </w:pPr>
          </w:p>
        </w:tc>
        <w:tc>
          <w:tcPr>
            <w:tcW w:w="512" w:type="pct"/>
            <w:noWrap w:val="0"/>
            <w:vAlign w:val="center"/>
          </w:tcPr>
          <w:p w14:paraId="163D1BAF">
            <w:pPr>
              <w:pStyle w:val="2"/>
              <w:keepNext/>
              <w:spacing w:line="440" w:lineRule="exact"/>
              <w:ind w:left="63" w:right="63"/>
              <w:rPr>
                <w:rFonts w:ascii="宋体" w:hAnsi="宋体" w:eastAsia="宋体" w:cs="宋体"/>
                <w:color w:val="auto"/>
                <w:sz w:val="30"/>
                <w:szCs w:val="30"/>
                <w:highlight w:val="none"/>
              </w:rPr>
            </w:pPr>
          </w:p>
        </w:tc>
        <w:tc>
          <w:tcPr>
            <w:tcW w:w="308" w:type="pct"/>
            <w:noWrap w:val="0"/>
            <w:vAlign w:val="center"/>
          </w:tcPr>
          <w:p w14:paraId="54844BFC">
            <w:pPr>
              <w:pStyle w:val="2"/>
              <w:keepNext/>
              <w:spacing w:line="440" w:lineRule="exact"/>
              <w:ind w:left="63" w:right="63"/>
              <w:rPr>
                <w:rFonts w:ascii="宋体" w:hAnsi="宋体" w:eastAsia="宋体" w:cs="宋体"/>
                <w:color w:val="auto"/>
                <w:sz w:val="30"/>
                <w:szCs w:val="30"/>
                <w:highlight w:val="none"/>
              </w:rPr>
            </w:pPr>
          </w:p>
        </w:tc>
        <w:tc>
          <w:tcPr>
            <w:tcW w:w="307" w:type="pct"/>
            <w:noWrap w:val="0"/>
            <w:vAlign w:val="center"/>
          </w:tcPr>
          <w:p w14:paraId="1E89ACE5">
            <w:pPr>
              <w:pStyle w:val="2"/>
              <w:keepNext/>
              <w:spacing w:line="440" w:lineRule="exact"/>
              <w:ind w:left="63" w:right="63"/>
              <w:rPr>
                <w:rFonts w:ascii="宋体" w:hAnsi="宋体" w:eastAsia="宋体" w:cs="宋体"/>
                <w:color w:val="auto"/>
                <w:sz w:val="30"/>
                <w:szCs w:val="30"/>
                <w:highlight w:val="none"/>
              </w:rPr>
            </w:pPr>
          </w:p>
        </w:tc>
      </w:tr>
      <w:tr w14:paraId="176CC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21" w:type="pct"/>
            <w:noWrap w:val="0"/>
            <w:vAlign w:val="center"/>
          </w:tcPr>
          <w:p w14:paraId="000EABC0">
            <w:pPr>
              <w:pStyle w:val="2"/>
              <w:keepNext/>
              <w:spacing w:line="440" w:lineRule="exact"/>
              <w:ind w:left="63" w:right="63"/>
              <w:rPr>
                <w:rFonts w:ascii="宋体" w:hAnsi="宋体" w:eastAsia="宋体" w:cs="宋体"/>
                <w:color w:val="auto"/>
                <w:sz w:val="30"/>
                <w:szCs w:val="30"/>
                <w:highlight w:val="none"/>
              </w:rPr>
            </w:pPr>
          </w:p>
        </w:tc>
        <w:tc>
          <w:tcPr>
            <w:tcW w:w="521" w:type="pct"/>
            <w:noWrap w:val="0"/>
            <w:vAlign w:val="center"/>
          </w:tcPr>
          <w:p w14:paraId="2B19EA34">
            <w:pPr>
              <w:pStyle w:val="2"/>
              <w:keepNext/>
              <w:spacing w:line="440" w:lineRule="exact"/>
              <w:ind w:left="63" w:right="63"/>
              <w:rPr>
                <w:rFonts w:ascii="宋体" w:hAnsi="宋体" w:eastAsia="宋体" w:cs="宋体"/>
                <w:color w:val="auto"/>
                <w:sz w:val="30"/>
                <w:szCs w:val="30"/>
                <w:highlight w:val="none"/>
              </w:rPr>
            </w:pPr>
          </w:p>
        </w:tc>
        <w:tc>
          <w:tcPr>
            <w:tcW w:w="586" w:type="pct"/>
            <w:noWrap w:val="0"/>
            <w:vAlign w:val="center"/>
          </w:tcPr>
          <w:p w14:paraId="21C95FF3">
            <w:pPr>
              <w:pStyle w:val="2"/>
              <w:keepNext/>
              <w:spacing w:line="440" w:lineRule="exact"/>
              <w:ind w:left="63" w:right="63"/>
              <w:rPr>
                <w:rFonts w:ascii="宋体" w:hAnsi="宋体" w:eastAsia="宋体" w:cs="宋体"/>
                <w:color w:val="auto"/>
                <w:sz w:val="30"/>
                <w:szCs w:val="30"/>
                <w:highlight w:val="none"/>
              </w:rPr>
            </w:pPr>
          </w:p>
        </w:tc>
        <w:tc>
          <w:tcPr>
            <w:tcW w:w="601" w:type="pct"/>
            <w:noWrap w:val="0"/>
            <w:vAlign w:val="center"/>
          </w:tcPr>
          <w:p w14:paraId="48912286">
            <w:pPr>
              <w:pStyle w:val="2"/>
              <w:keepNext/>
              <w:spacing w:line="440" w:lineRule="exact"/>
              <w:ind w:left="63" w:right="63"/>
              <w:rPr>
                <w:rFonts w:ascii="宋体" w:hAnsi="宋体" w:eastAsia="宋体" w:cs="宋体"/>
                <w:color w:val="auto"/>
                <w:sz w:val="30"/>
                <w:szCs w:val="30"/>
                <w:highlight w:val="none"/>
              </w:rPr>
            </w:pPr>
          </w:p>
        </w:tc>
        <w:tc>
          <w:tcPr>
            <w:tcW w:w="307" w:type="pct"/>
            <w:noWrap w:val="0"/>
            <w:vAlign w:val="center"/>
          </w:tcPr>
          <w:p w14:paraId="3A61836B">
            <w:pPr>
              <w:pStyle w:val="2"/>
              <w:keepNext/>
              <w:spacing w:line="440" w:lineRule="exact"/>
              <w:ind w:left="63" w:right="63"/>
              <w:rPr>
                <w:rFonts w:ascii="宋体" w:hAnsi="宋体" w:eastAsia="宋体" w:cs="宋体"/>
                <w:color w:val="auto"/>
                <w:sz w:val="30"/>
                <w:szCs w:val="30"/>
                <w:highlight w:val="none"/>
              </w:rPr>
            </w:pPr>
          </w:p>
        </w:tc>
        <w:tc>
          <w:tcPr>
            <w:tcW w:w="564" w:type="pct"/>
            <w:noWrap w:val="0"/>
            <w:vAlign w:val="center"/>
          </w:tcPr>
          <w:p w14:paraId="4528A574">
            <w:pPr>
              <w:pStyle w:val="2"/>
              <w:keepNext/>
              <w:spacing w:line="440" w:lineRule="exact"/>
              <w:ind w:left="63" w:right="63"/>
              <w:rPr>
                <w:rFonts w:ascii="宋体" w:hAnsi="宋体" w:eastAsia="宋体" w:cs="宋体"/>
                <w:color w:val="auto"/>
                <w:sz w:val="30"/>
                <w:szCs w:val="30"/>
                <w:highlight w:val="none"/>
              </w:rPr>
            </w:pPr>
          </w:p>
        </w:tc>
        <w:tc>
          <w:tcPr>
            <w:tcW w:w="769" w:type="pct"/>
            <w:noWrap w:val="0"/>
            <w:vAlign w:val="center"/>
          </w:tcPr>
          <w:p w14:paraId="1AD80139">
            <w:pPr>
              <w:pStyle w:val="2"/>
              <w:keepNext/>
              <w:spacing w:line="440" w:lineRule="exact"/>
              <w:ind w:left="63" w:right="63"/>
              <w:rPr>
                <w:rFonts w:ascii="宋体" w:hAnsi="宋体" w:eastAsia="宋体" w:cs="宋体"/>
                <w:color w:val="auto"/>
                <w:sz w:val="30"/>
                <w:szCs w:val="30"/>
                <w:highlight w:val="none"/>
              </w:rPr>
            </w:pPr>
          </w:p>
        </w:tc>
        <w:tc>
          <w:tcPr>
            <w:tcW w:w="512" w:type="pct"/>
            <w:noWrap w:val="0"/>
            <w:vAlign w:val="center"/>
          </w:tcPr>
          <w:p w14:paraId="2012EF35">
            <w:pPr>
              <w:pStyle w:val="2"/>
              <w:keepNext/>
              <w:spacing w:line="440" w:lineRule="exact"/>
              <w:ind w:left="63" w:right="63"/>
              <w:rPr>
                <w:rFonts w:ascii="宋体" w:hAnsi="宋体" w:eastAsia="宋体" w:cs="宋体"/>
                <w:color w:val="auto"/>
                <w:sz w:val="30"/>
                <w:szCs w:val="30"/>
                <w:highlight w:val="none"/>
              </w:rPr>
            </w:pPr>
          </w:p>
        </w:tc>
        <w:tc>
          <w:tcPr>
            <w:tcW w:w="308" w:type="pct"/>
            <w:noWrap w:val="0"/>
            <w:vAlign w:val="center"/>
          </w:tcPr>
          <w:p w14:paraId="34246E17">
            <w:pPr>
              <w:pStyle w:val="2"/>
              <w:keepNext/>
              <w:spacing w:line="440" w:lineRule="exact"/>
              <w:ind w:left="63" w:right="63"/>
              <w:rPr>
                <w:rFonts w:ascii="宋体" w:hAnsi="宋体" w:eastAsia="宋体" w:cs="宋体"/>
                <w:color w:val="auto"/>
                <w:sz w:val="30"/>
                <w:szCs w:val="30"/>
                <w:highlight w:val="none"/>
              </w:rPr>
            </w:pPr>
          </w:p>
        </w:tc>
        <w:tc>
          <w:tcPr>
            <w:tcW w:w="307" w:type="pct"/>
            <w:noWrap w:val="0"/>
            <w:vAlign w:val="center"/>
          </w:tcPr>
          <w:p w14:paraId="417D2D35">
            <w:pPr>
              <w:pStyle w:val="2"/>
              <w:keepNext/>
              <w:spacing w:line="440" w:lineRule="exact"/>
              <w:ind w:left="63" w:right="63"/>
              <w:rPr>
                <w:rFonts w:ascii="宋体" w:hAnsi="宋体" w:eastAsia="宋体" w:cs="宋体"/>
                <w:color w:val="auto"/>
                <w:sz w:val="30"/>
                <w:szCs w:val="30"/>
                <w:highlight w:val="none"/>
              </w:rPr>
            </w:pPr>
          </w:p>
        </w:tc>
      </w:tr>
      <w:tr w14:paraId="311AF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21" w:type="pct"/>
            <w:noWrap w:val="0"/>
            <w:vAlign w:val="center"/>
          </w:tcPr>
          <w:p w14:paraId="734CCB41">
            <w:pPr>
              <w:pStyle w:val="2"/>
              <w:keepNext/>
              <w:spacing w:line="440" w:lineRule="exact"/>
              <w:ind w:left="63" w:right="63"/>
              <w:rPr>
                <w:rFonts w:ascii="宋体" w:hAnsi="宋体" w:eastAsia="宋体" w:cs="宋体"/>
                <w:color w:val="auto"/>
                <w:sz w:val="30"/>
                <w:szCs w:val="30"/>
                <w:highlight w:val="none"/>
              </w:rPr>
            </w:pPr>
          </w:p>
        </w:tc>
        <w:tc>
          <w:tcPr>
            <w:tcW w:w="521" w:type="pct"/>
            <w:noWrap w:val="0"/>
            <w:vAlign w:val="center"/>
          </w:tcPr>
          <w:p w14:paraId="4B3D3810">
            <w:pPr>
              <w:pStyle w:val="2"/>
              <w:keepNext/>
              <w:spacing w:line="440" w:lineRule="exact"/>
              <w:ind w:left="63" w:right="63"/>
              <w:rPr>
                <w:rFonts w:ascii="宋体" w:hAnsi="宋体" w:eastAsia="宋体" w:cs="宋体"/>
                <w:color w:val="auto"/>
                <w:sz w:val="30"/>
                <w:szCs w:val="30"/>
                <w:highlight w:val="none"/>
              </w:rPr>
            </w:pPr>
          </w:p>
        </w:tc>
        <w:tc>
          <w:tcPr>
            <w:tcW w:w="586" w:type="pct"/>
            <w:noWrap w:val="0"/>
            <w:vAlign w:val="center"/>
          </w:tcPr>
          <w:p w14:paraId="5B99557D">
            <w:pPr>
              <w:pStyle w:val="2"/>
              <w:keepNext/>
              <w:spacing w:line="440" w:lineRule="exact"/>
              <w:ind w:left="63" w:right="63"/>
              <w:rPr>
                <w:rFonts w:ascii="宋体" w:hAnsi="宋体" w:eastAsia="宋体" w:cs="宋体"/>
                <w:color w:val="auto"/>
                <w:sz w:val="30"/>
                <w:szCs w:val="30"/>
                <w:highlight w:val="none"/>
              </w:rPr>
            </w:pPr>
          </w:p>
        </w:tc>
        <w:tc>
          <w:tcPr>
            <w:tcW w:w="601" w:type="pct"/>
            <w:noWrap w:val="0"/>
            <w:vAlign w:val="center"/>
          </w:tcPr>
          <w:p w14:paraId="0E94EB4D">
            <w:pPr>
              <w:pStyle w:val="2"/>
              <w:keepNext/>
              <w:spacing w:line="440" w:lineRule="exact"/>
              <w:ind w:left="63" w:right="63"/>
              <w:rPr>
                <w:rFonts w:ascii="宋体" w:hAnsi="宋体" w:eastAsia="宋体" w:cs="宋体"/>
                <w:color w:val="auto"/>
                <w:sz w:val="30"/>
                <w:szCs w:val="30"/>
                <w:highlight w:val="none"/>
              </w:rPr>
            </w:pPr>
          </w:p>
        </w:tc>
        <w:tc>
          <w:tcPr>
            <w:tcW w:w="307" w:type="pct"/>
            <w:noWrap w:val="0"/>
            <w:vAlign w:val="center"/>
          </w:tcPr>
          <w:p w14:paraId="0B3C6F71">
            <w:pPr>
              <w:pStyle w:val="2"/>
              <w:keepNext/>
              <w:spacing w:line="440" w:lineRule="exact"/>
              <w:ind w:left="63" w:right="63"/>
              <w:rPr>
                <w:rFonts w:ascii="宋体" w:hAnsi="宋体" w:eastAsia="宋体" w:cs="宋体"/>
                <w:color w:val="auto"/>
                <w:sz w:val="30"/>
                <w:szCs w:val="30"/>
                <w:highlight w:val="none"/>
              </w:rPr>
            </w:pPr>
          </w:p>
        </w:tc>
        <w:tc>
          <w:tcPr>
            <w:tcW w:w="564" w:type="pct"/>
            <w:noWrap w:val="0"/>
            <w:vAlign w:val="center"/>
          </w:tcPr>
          <w:p w14:paraId="69E9AB7F">
            <w:pPr>
              <w:pStyle w:val="2"/>
              <w:keepNext/>
              <w:spacing w:line="440" w:lineRule="exact"/>
              <w:ind w:left="63" w:right="63"/>
              <w:rPr>
                <w:rFonts w:ascii="宋体" w:hAnsi="宋体" w:eastAsia="宋体" w:cs="宋体"/>
                <w:color w:val="auto"/>
                <w:sz w:val="30"/>
                <w:szCs w:val="30"/>
                <w:highlight w:val="none"/>
              </w:rPr>
            </w:pPr>
          </w:p>
        </w:tc>
        <w:tc>
          <w:tcPr>
            <w:tcW w:w="769" w:type="pct"/>
            <w:noWrap w:val="0"/>
            <w:vAlign w:val="center"/>
          </w:tcPr>
          <w:p w14:paraId="1A6D4EA8">
            <w:pPr>
              <w:pStyle w:val="2"/>
              <w:keepNext/>
              <w:spacing w:line="440" w:lineRule="exact"/>
              <w:ind w:left="63" w:right="63"/>
              <w:rPr>
                <w:rFonts w:ascii="宋体" w:hAnsi="宋体" w:eastAsia="宋体" w:cs="宋体"/>
                <w:color w:val="auto"/>
                <w:sz w:val="30"/>
                <w:szCs w:val="30"/>
                <w:highlight w:val="none"/>
              </w:rPr>
            </w:pPr>
          </w:p>
        </w:tc>
        <w:tc>
          <w:tcPr>
            <w:tcW w:w="512" w:type="pct"/>
            <w:noWrap w:val="0"/>
            <w:vAlign w:val="center"/>
          </w:tcPr>
          <w:p w14:paraId="106A7E8F">
            <w:pPr>
              <w:pStyle w:val="2"/>
              <w:keepNext/>
              <w:spacing w:line="440" w:lineRule="exact"/>
              <w:ind w:left="63" w:right="63"/>
              <w:rPr>
                <w:rFonts w:ascii="宋体" w:hAnsi="宋体" w:eastAsia="宋体" w:cs="宋体"/>
                <w:color w:val="auto"/>
                <w:sz w:val="30"/>
                <w:szCs w:val="30"/>
                <w:highlight w:val="none"/>
              </w:rPr>
            </w:pPr>
          </w:p>
        </w:tc>
        <w:tc>
          <w:tcPr>
            <w:tcW w:w="308" w:type="pct"/>
            <w:noWrap w:val="0"/>
            <w:vAlign w:val="center"/>
          </w:tcPr>
          <w:p w14:paraId="17D02019">
            <w:pPr>
              <w:pStyle w:val="2"/>
              <w:keepNext/>
              <w:spacing w:line="440" w:lineRule="exact"/>
              <w:ind w:left="63" w:right="63"/>
              <w:rPr>
                <w:rFonts w:ascii="宋体" w:hAnsi="宋体" w:eastAsia="宋体" w:cs="宋体"/>
                <w:color w:val="auto"/>
                <w:sz w:val="30"/>
                <w:szCs w:val="30"/>
                <w:highlight w:val="none"/>
              </w:rPr>
            </w:pPr>
          </w:p>
        </w:tc>
        <w:tc>
          <w:tcPr>
            <w:tcW w:w="307" w:type="pct"/>
            <w:noWrap w:val="0"/>
            <w:vAlign w:val="center"/>
          </w:tcPr>
          <w:p w14:paraId="7A5EF308">
            <w:pPr>
              <w:pStyle w:val="2"/>
              <w:keepNext/>
              <w:spacing w:line="440" w:lineRule="exact"/>
              <w:ind w:left="63" w:right="63"/>
              <w:rPr>
                <w:rFonts w:ascii="宋体" w:hAnsi="宋体" w:eastAsia="宋体" w:cs="宋体"/>
                <w:color w:val="auto"/>
                <w:sz w:val="30"/>
                <w:szCs w:val="30"/>
                <w:highlight w:val="none"/>
              </w:rPr>
            </w:pPr>
          </w:p>
        </w:tc>
      </w:tr>
      <w:tr w14:paraId="32F19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21" w:type="pct"/>
            <w:noWrap w:val="0"/>
            <w:vAlign w:val="center"/>
          </w:tcPr>
          <w:p w14:paraId="4C0ABB42">
            <w:pPr>
              <w:pStyle w:val="2"/>
              <w:keepNext/>
              <w:spacing w:line="440" w:lineRule="exact"/>
              <w:ind w:left="63" w:right="63"/>
              <w:rPr>
                <w:rFonts w:ascii="宋体" w:hAnsi="宋体" w:eastAsia="宋体" w:cs="宋体"/>
                <w:color w:val="auto"/>
                <w:sz w:val="30"/>
                <w:szCs w:val="30"/>
                <w:highlight w:val="none"/>
              </w:rPr>
            </w:pPr>
          </w:p>
        </w:tc>
        <w:tc>
          <w:tcPr>
            <w:tcW w:w="521" w:type="pct"/>
            <w:noWrap w:val="0"/>
            <w:vAlign w:val="center"/>
          </w:tcPr>
          <w:p w14:paraId="6B5998DC">
            <w:pPr>
              <w:pStyle w:val="2"/>
              <w:keepNext/>
              <w:spacing w:line="440" w:lineRule="exact"/>
              <w:ind w:left="63" w:right="63"/>
              <w:rPr>
                <w:rFonts w:ascii="宋体" w:hAnsi="宋体" w:eastAsia="宋体" w:cs="宋体"/>
                <w:color w:val="auto"/>
                <w:sz w:val="30"/>
                <w:szCs w:val="30"/>
                <w:highlight w:val="none"/>
              </w:rPr>
            </w:pPr>
          </w:p>
        </w:tc>
        <w:tc>
          <w:tcPr>
            <w:tcW w:w="586" w:type="pct"/>
            <w:noWrap w:val="0"/>
            <w:vAlign w:val="center"/>
          </w:tcPr>
          <w:p w14:paraId="46BADBD9">
            <w:pPr>
              <w:pStyle w:val="2"/>
              <w:keepNext/>
              <w:spacing w:line="440" w:lineRule="exact"/>
              <w:ind w:left="63" w:right="63"/>
              <w:rPr>
                <w:rFonts w:ascii="宋体" w:hAnsi="宋体" w:eastAsia="宋体" w:cs="宋体"/>
                <w:color w:val="auto"/>
                <w:sz w:val="30"/>
                <w:szCs w:val="30"/>
                <w:highlight w:val="none"/>
              </w:rPr>
            </w:pPr>
          </w:p>
        </w:tc>
        <w:tc>
          <w:tcPr>
            <w:tcW w:w="601" w:type="pct"/>
            <w:noWrap w:val="0"/>
            <w:vAlign w:val="center"/>
          </w:tcPr>
          <w:p w14:paraId="5DC076B1">
            <w:pPr>
              <w:pStyle w:val="2"/>
              <w:keepNext/>
              <w:spacing w:line="440" w:lineRule="exact"/>
              <w:ind w:left="63" w:right="63"/>
              <w:rPr>
                <w:rFonts w:ascii="宋体" w:hAnsi="宋体" w:eastAsia="宋体" w:cs="宋体"/>
                <w:color w:val="auto"/>
                <w:sz w:val="30"/>
                <w:szCs w:val="30"/>
                <w:highlight w:val="none"/>
              </w:rPr>
            </w:pPr>
          </w:p>
        </w:tc>
        <w:tc>
          <w:tcPr>
            <w:tcW w:w="307" w:type="pct"/>
            <w:noWrap w:val="0"/>
            <w:vAlign w:val="center"/>
          </w:tcPr>
          <w:p w14:paraId="7E3E736E">
            <w:pPr>
              <w:pStyle w:val="2"/>
              <w:keepNext/>
              <w:spacing w:line="440" w:lineRule="exact"/>
              <w:ind w:left="63" w:right="63"/>
              <w:rPr>
                <w:rFonts w:ascii="宋体" w:hAnsi="宋体" w:eastAsia="宋体" w:cs="宋体"/>
                <w:color w:val="auto"/>
                <w:sz w:val="30"/>
                <w:szCs w:val="30"/>
                <w:highlight w:val="none"/>
              </w:rPr>
            </w:pPr>
          </w:p>
        </w:tc>
        <w:tc>
          <w:tcPr>
            <w:tcW w:w="564" w:type="pct"/>
            <w:noWrap w:val="0"/>
            <w:vAlign w:val="center"/>
          </w:tcPr>
          <w:p w14:paraId="19DEE0BA">
            <w:pPr>
              <w:pStyle w:val="2"/>
              <w:keepNext/>
              <w:spacing w:line="440" w:lineRule="exact"/>
              <w:ind w:left="63" w:right="63"/>
              <w:rPr>
                <w:rFonts w:ascii="宋体" w:hAnsi="宋体" w:eastAsia="宋体" w:cs="宋体"/>
                <w:color w:val="auto"/>
                <w:sz w:val="30"/>
                <w:szCs w:val="30"/>
                <w:highlight w:val="none"/>
              </w:rPr>
            </w:pPr>
          </w:p>
        </w:tc>
        <w:tc>
          <w:tcPr>
            <w:tcW w:w="769" w:type="pct"/>
            <w:noWrap w:val="0"/>
            <w:vAlign w:val="center"/>
          </w:tcPr>
          <w:p w14:paraId="691DBBCD">
            <w:pPr>
              <w:pStyle w:val="2"/>
              <w:keepNext/>
              <w:spacing w:line="440" w:lineRule="exact"/>
              <w:ind w:left="63" w:right="63"/>
              <w:rPr>
                <w:rFonts w:ascii="宋体" w:hAnsi="宋体" w:eastAsia="宋体" w:cs="宋体"/>
                <w:color w:val="auto"/>
                <w:sz w:val="30"/>
                <w:szCs w:val="30"/>
                <w:highlight w:val="none"/>
              </w:rPr>
            </w:pPr>
          </w:p>
        </w:tc>
        <w:tc>
          <w:tcPr>
            <w:tcW w:w="512" w:type="pct"/>
            <w:noWrap w:val="0"/>
            <w:vAlign w:val="center"/>
          </w:tcPr>
          <w:p w14:paraId="267F231F">
            <w:pPr>
              <w:pStyle w:val="2"/>
              <w:keepNext/>
              <w:spacing w:line="440" w:lineRule="exact"/>
              <w:ind w:left="63" w:right="63"/>
              <w:rPr>
                <w:rFonts w:ascii="宋体" w:hAnsi="宋体" w:eastAsia="宋体" w:cs="宋体"/>
                <w:color w:val="auto"/>
                <w:sz w:val="30"/>
                <w:szCs w:val="30"/>
                <w:highlight w:val="none"/>
              </w:rPr>
            </w:pPr>
          </w:p>
        </w:tc>
        <w:tc>
          <w:tcPr>
            <w:tcW w:w="308" w:type="pct"/>
            <w:noWrap w:val="0"/>
            <w:vAlign w:val="center"/>
          </w:tcPr>
          <w:p w14:paraId="383DE9CB">
            <w:pPr>
              <w:pStyle w:val="2"/>
              <w:keepNext/>
              <w:spacing w:line="440" w:lineRule="exact"/>
              <w:ind w:left="63" w:right="63"/>
              <w:rPr>
                <w:rFonts w:ascii="宋体" w:hAnsi="宋体" w:eastAsia="宋体" w:cs="宋体"/>
                <w:color w:val="auto"/>
                <w:sz w:val="30"/>
                <w:szCs w:val="30"/>
                <w:highlight w:val="none"/>
              </w:rPr>
            </w:pPr>
          </w:p>
        </w:tc>
        <w:tc>
          <w:tcPr>
            <w:tcW w:w="307" w:type="pct"/>
            <w:noWrap w:val="0"/>
            <w:vAlign w:val="center"/>
          </w:tcPr>
          <w:p w14:paraId="32C450D2">
            <w:pPr>
              <w:pStyle w:val="2"/>
              <w:keepNext/>
              <w:spacing w:line="440" w:lineRule="exact"/>
              <w:ind w:left="63" w:right="63"/>
              <w:rPr>
                <w:rFonts w:ascii="宋体" w:hAnsi="宋体" w:eastAsia="宋体" w:cs="宋体"/>
                <w:color w:val="auto"/>
                <w:sz w:val="30"/>
                <w:szCs w:val="30"/>
                <w:highlight w:val="none"/>
              </w:rPr>
            </w:pPr>
          </w:p>
        </w:tc>
      </w:tr>
      <w:tr w14:paraId="4E576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21" w:type="pct"/>
            <w:noWrap w:val="0"/>
            <w:vAlign w:val="center"/>
          </w:tcPr>
          <w:p w14:paraId="4749B230">
            <w:pPr>
              <w:pStyle w:val="2"/>
              <w:keepNext/>
              <w:spacing w:line="440" w:lineRule="exact"/>
              <w:ind w:left="63" w:right="63"/>
              <w:rPr>
                <w:rFonts w:ascii="宋体" w:hAnsi="宋体" w:eastAsia="宋体" w:cs="宋体"/>
                <w:color w:val="auto"/>
                <w:sz w:val="30"/>
                <w:szCs w:val="30"/>
                <w:highlight w:val="none"/>
              </w:rPr>
            </w:pPr>
          </w:p>
        </w:tc>
        <w:tc>
          <w:tcPr>
            <w:tcW w:w="521" w:type="pct"/>
            <w:noWrap w:val="0"/>
            <w:vAlign w:val="center"/>
          </w:tcPr>
          <w:p w14:paraId="3CFD2870">
            <w:pPr>
              <w:pStyle w:val="2"/>
              <w:keepNext/>
              <w:spacing w:line="440" w:lineRule="exact"/>
              <w:ind w:left="63" w:right="63"/>
              <w:rPr>
                <w:rFonts w:ascii="宋体" w:hAnsi="宋体" w:eastAsia="宋体" w:cs="宋体"/>
                <w:color w:val="auto"/>
                <w:sz w:val="30"/>
                <w:szCs w:val="30"/>
                <w:highlight w:val="none"/>
              </w:rPr>
            </w:pPr>
          </w:p>
        </w:tc>
        <w:tc>
          <w:tcPr>
            <w:tcW w:w="586" w:type="pct"/>
            <w:noWrap w:val="0"/>
            <w:vAlign w:val="center"/>
          </w:tcPr>
          <w:p w14:paraId="7CDFFA61">
            <w:pPr>
              <w:pStyle w:val="2"/>
              <w:keepNext/>
              <w:spacing w:line="440" w:lineRule="exact"/>
              <w:ind w:left="63" w:right="63"/>
              <w:rPr>
                <w:rFonts w:ascii="宋体" w:hAnsi="宋体" w:eastAsia="宋体" w:cs="宋体"/>
                <w:color w:val="auto"/>
                <w:sz w:val="30"/>
                <w:szCs w:val="30"/>
                <w:highlight w:val="none"/>
              </w:rPr>
            </w:pPr>
          </w:p>
        </w:tc>
        <w:tc>
          <w:tcPr>
            <w:tcW w:w="601" w:type="pct"/>
            <w:noWrap w:val="0"/>
            <w:vAlign w:val="center"/>
          </w:tcPr>
          <w:p w14:paraId="1BCC11E8">
            <w:pPr>
              <w:pStyle w:val="2"/>
              <w:keepNext/>
              <w:spacing w:line="440" w:lineRule="exact"/>
              <w:ind w:left="63" w:right="63"/>
              <w:rPr>
                <w:rFonts w:ascii="宋体" w:hAnsi="宋体" w:eastAsia="宋体" w:cs="宋体"/>
                <w:color w:val="auto"/>
                <w:sz w:val="30"/>
                <w:szCs w:val="30"/>
                <w:highlight w:val="none"/>
              </w:rPr>
            </w:pPr>
          </w:p>
        </w:tc>
        <w:tc>
          <w:tcPr>
            <w:tcW w:w="307" w:type="pct"/>
            <w:noWrap w:val="0"/>
            <w:vAlign w:val="center"/>
          </w:tcPr>
          <w:p w14:paraId="0AF101B8">
            <w:pPr>
              <w:pStyle w:val="2"/>
              <w:keepNext/>
              <w:spacing w:line="440" w:lineRule="exact"/>
              <w:ind w:left="63" w:right="63"/>
              <w:rPr>
                <w:rFonts w:ascii="宋体" w:hAnsi="宋体" w:eastAsia="宋体" w:cs="宋体"/>
                <w:color w:val="auto"/>
                <w:sz w:val="30"/>
                <w:szCs w:val="30"/>
                <w:highlight w:val="none"/>
              </w:rPr>
            </w:pPr>
          </w:p>
        </w:tc>
        <w:tc>
          <w:tcPr>
            <w:tcW w:w="564" w:type="pct"/>
            <w:noWrap w:val="0"/>
            <w:vAlign w:val="center"/>
          </w:tcPr>
          <w:p w14:paraId="38C9CEB5">
            <w:pPr>
              <w:pStyle w:val="2"/>
              <w:keepNext/>
              <w:spacing w:line="440" w:lineRule="exact"/>
              <w:ind w:left="63" w:right="63"/>
              <w:rPr>
                <w:rFonts w:ascii="宋体" w:hAnsi="宋体" w:eastAsia="宋体" w:cs="宋体"/>
                <w:color w:val="auto"/>
                <w:sz w:val="30"/>
                <w:szCs w:val="30"/>
                <w:highlight w:val="none"/>
              </w:rPr>
            </w:pPr>
          </w:p>
        </w:tc>
        <w:tc>
          <w:tcPr>
            <w:tcW w:w="769" w:type="pct"/>
            <w:noWrap w:val="0"/>
            <w:vAlign w:val="center"/>
          </w:tcPr>
          <w:p w14:paraId="271EA2FF">
            <w:pPr>
              <w:pStyle w:val="2"/>
              <w:keepNext/>
              <w:spacing w:line="440" w:lineRule="exact"/>
              <w:ind w:left="63" w:right="63"/>
              <w:rPr>
                <w:rFonts w:ascii="宋体" w:hAnsi="宋体" w:eastAsia="宋体" w:cs="宋体"/>
                <w:color w:val="auto"/>
                <w:sz w:val="30"/>
                <w:szCs w:val="30"/>
                <w:highlight w:val="none"/>
              </w:rPr>
            </w:pPr>
          </w:p>
        </w:tc>
        <w:tc>
          <w:tcPr>
            <w:tcW w:w="512" w:type="pct"/>
            <w:noWrap w:val="0"/>
            <w:vAlign w:val="center"/>
          </w:tcPr>
          <w:p w14:paraId="20301020">
            <w:pPr>
              <w:pStyle w:val="2"/>
              <w:keepNext/>
              <w:spacing w:line="440" w:lineRule="exact"/>
              <w:ind w:left="63" w:right="63"/>
              <w:rPr>
                <w:rFonts w:ascii="宋体" w:hAnsi="宋体" w:eastAsia="宋体" w:cs="宋体"/>
                <w:color w:val="auto"/>
                <w:sz w:val="30"/>
                <w:szCs w:val="30"/>
                <w:highlight w:val="none"/>
              </w:rPr>
            </w:pPr>
          </w:p>
        </w:tc>
        <w:tc>
          <w:tcPr>
            <w:tcW w:w="308" w:type="pct"/>
            <w:noWrap w:val="0"/>
            <w:vAlign w:val="center"/>
          </w:tcPr>
          <w:p w14:paraId="7AC3385C">
            <w:pPr>
              <w:pStyle w:val="2"/>
              <w:keepNext/>
              <w:spacing w:line="440" w:lineRule="exact"/>
              <w:ind w:left="63" w:right="63"/>
              <w:rPr>
                <w:rFonts w:ascii="宋体" w:hAnsi="宋体" w:eastAsia="宋体" w:cs="宋体"/>
                <w:color w:val="auto"/>
                <w:sz w:val="30"/>
                <w:szCs w:val="30"/>
                <w:highlight w:val="none"/>
              </w:rPr>
            </w:pPr>
          </w:p>
        </w:tc>
        <w:tc>
          <w:tcPr>
            <w:tcW w:w="307" w:type="pct"/>
            <w:noWrap w:val="0"/>
            <w:vAlign w:val="center"/>
          </w:tcPr>
          <w:p w14:paraId="3BEC03D8">
            <w:pPr>
              <w:pStyle w:val="2"/>
              <w:keepNext/>
              <w:spacing w:line="440" w:lineRule="exact"/>
              <w:ind w:left="63" w:right="63"/>
              <w:rPr>
                <w:rFonts w:ascii="宋体" w:hAnsi="宋体" w:eastAsia="宋体" w:cs="宋体"/>
                <w:color w:val="auto"/>
                <w:sz w:val="30"/>
                <w:szCs w:val="30"/>
                <w:highlight w:val="none"/>
              </w:rPr>
            </w:pPr>
          </w:p>
        </w:tc>
      </w:tr>
      <w:tr w14:paraId="148CD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21" w:type="pct"/>
            <w:noWrap w:val="0"/>
            <w:vAlign w:val="center"/>
          </w:tcPr>
          <w:p w14:paraId="115EF7BE">
            <w:pPr>
              <w:pStyle w:val="2"/>
              <w:keepNext/>
              <w:spacing w:line="440" w:lineRule="exact"/>
              <w:ind w:left="63" w:right="63"/>
              <w:rPr>
                <w:rFonts w:ascii="宋体" w:hAnsi="宋体" w:eastAsia="宋体" w:cs="宋体"/>
                <w:color w:val="auto"/>
                <w:sz w:val="30"/>
                <w:szCs w:val="30"/>
                <w:highlight w:val="none"/>
              </w:rPr>
            </w:pPr>
          </w:p>
        </w:tc>
        <w:tc>
          <w:tcPr>
            <w:tcW w:w="521" w:type="pct"/>
            <w:noWrap w:val="0"/>
            <w:vAlign w:val="center"/>
          </w:tcPr>
          <w:p w14:paraId="41BFA852">
            <w:pPr>
              <w:pStyle w:val="2"/>
              <w:keepNext/>
              <w:spacing w:line="440" w:lineRule="exact"/>
              <w:ind w:left="63" w:right="63"/>
              <w:rPr>
                <w:rFonts w:ascii="宋体" w:hAnsi="宋体" w:eastAsia="宋体" w:cs="宋体"/>
                <w:color w:val="auto"/>
                <w:sz w:val="30"/>
                <w:szCs w:val="30"/>
                <w:highlight w:val="none"/>
              </w:rPr>
            </w:pPr>
          </w:p>
        </w:tc>
        <w:tc>
          <w:tcPr>
            <w:tcW w:w="586" w:type="pct"/>
            <w:noWrap w:val="0"/>
            <w:vAlign w:val="center"/>
          </w:tcPr>
          <w:p w14:paraId="39DFA405">
            <w:pPr>
              <w:pStyle w:val="2"/>
              <w:keepNext/>
              <w:spacing w:line="440" w:lineRule="exact"/>
              <w:ind w:left="63" w:right="63"/>
              <w:rPr>
                <w:rFonts w:ascii="宋体" w:hAnsi="宋体" w:eastAsia="宋体" w:cs="宋体"/>
                <w:color w:val="auto"/>
                <w:sz w:val="30"/>
                <w:szCs w:val="30"/>
                <w:highlight w:val="none"/>
              </w:rPr>
            </w:pPr>
          </w:p>
        </w:tc>
        <w:tc>
          <w:tcPr>
            <w:tcW w:w="601" w:type="pct"/>
            <w:noWrap w:val="0"/>
            <w:vAlign w:val="center"/>
          </w:tcPr>
          <w:p w14:paraId="449891D0">
            <w:pPr>
              <w:pStyle w:val="2"/>
              <w:keepNext/>
              <w:spacing w:line="440" w:lineRule="exact"/>
              <w:ind w:left="63" w:right="63"/>
              <w:rPr>
                <w:rFonts w:ascii="宋体" w:hAnsi="宋体" w:eastAsia="宋体" w:cs="宋体"/>
                <w:color w:val="auto"/>
                <w:sz w:val="30"/>
                <w:szCs w:val="30"/>
                <w:highlight w:val="none"/>
              </w:rPr>
            </w:pPr>
          </w:p>
        </w:tc>
        <w:tc>
          <w:tcPr>
            <w:tcW w:w="307" w:type="pct"/>
            <w:noWrap w:val="0"/>
            <w:vAlign w:val="center"/>
          </w:tcPr>
          <w:p w14:paraId="0861FA2A">
            <w:pPr>
              <w:pStyle w:val="2"/>
              <w:keepNext/>
              <w:spacing w:line="440" w:lineRule="exact"/>
              <w:ind w:left="63" w:right="63"/>
              <w:rPr>
                <w:rFonts w:ascii="宋体" w:hAnsi="宋体" w:eastAsia="宋体" w:cs="宋体"/>
                <w:color w:val="auto"/>
                <w:sz w:val="30"/>
                <w:szCs w:val="30"/>
                <w:highlight w:val="none"/>
              </w:rPr>
            </w:pPr>
          </w:p>
        </w:tc>
        <w:tc>
          <w:tcPr>
            <w:tcW w:w="564" w:type="pct"/>
            <w:noWrap w:val="0"/>
            <w:vAlign w:val="center"/>
          </w:tcPr>
          <w:p w14:paraId="26977FA7">
            <w:pPr>
              <w:pStyle w:val="2"/>
              <w:keepNext/>
              <w:spacing w:line="440" w:lineRule="exact"/>
              <w:ind w:left="63" w:right="63"/>
              <w:rPr>
                <w:rFonts w:ascii="宋体" w:hAnsi="宋体" w:eastAsia="宋体" w:cs="宋体"/>
                <w:color w:val="auto"/>
                <w:sz w:val="30"/>
                <w:szCs w:val="30"/>
                <w:highlight w:val="none"/>
              </w:rPr>
            </w:pPr>
          </w:p>
        </w:tc>
        <w:tc>
          <w:tcPr>
            <w:tcW w:w="769" w:type="pct"/>
            <w:noWrap w:val="0"/>
            <w:vAlign w:val="center"/>
          </w:tcPr>
          <w:p w14:paraId="58F92048">
            <w:pPr>
              <w:pStyle w:val="2"/>
              <w:keepNext/>
              <w:spacing w:line="440" w:lineRule="exact"/>
              <w:ind w:left="63" w:right="63"/>
              <w:rPr>
                <w:rFonts w:ascii="宋体" w:hAnsi="宋体" w:eastAsia="宋体" w:cs="宋体"/>
                <w:color w:val="auto"/>
                <w:sz w:val="30"/>
                <w:szCs w:val="30"/>
                <w:highlight w:val="none"/>
              </w:rPr>
            </w:pPr>
          </w:p>
        </w:tc>
        <w:tc>
          <w:tcPr>
            <w:tcW w:w="512" w:type="pct"/>
            <w:noWrap w:val="0"/>
            <w:vAlign w:val="center"/>
          </w:tcPr>
          <w:p w14:paraId="3A983D97">
            <w:pPr>
              <w:pStyle w:val="2"/>
              <w:keepNext/>
              <w:spacing w:line="440" w:lineRule="exact"/>
              <w:ind w:left="63" w:right="63"/>
              <w:rPr>
                <w:rFonts w:ascii="宋体" w:hAnsi="宋体" w:eastAsia="宋体" w:cs="宋体"/>
                <w:color w:val="auto"/>
                <w:sz w:val="30"/>
                <w:szCs w:val="30"/>
                <w:highlight w:val="none"/>
              </w:rPr>
            </w:pPr>
          </w:p>
        </w:tc>
        <w:tc>
          <w:tcPr>
            <w:tcW w:w="308" w:type="pct"/>
            <w:noWrap w:val="0"/>
            <w:vAlign w:val="center"/>
          </w:tcPr>
          <w:p w14:paraId="29243238">
            <w:pPr>
              <w:pStyle w:val="2"/>
              <w:keepNext/>
              <w:spacing w:line="440" w:lineRule="exact"/>
              <w:ind w:left="63" w:right="63"/>
              <w:rPr>
                <w:rFonts w:ascii="宋体" w:hAnsi="宋体" w:eastAsia="宋体" w:cs="宋体"/>
                <w:color w:val="auto"/>
                <w:sz w:val="30"/>
                <w:szCs w:val="30"/>
                <w:highlight w:val="none"/>
              </w:rPr>
            </w:pPr>
          </w:p>
        </w:tc>
        <w:tc>
          <w:tcPr>
            <w:tcW w:w="307" w:type="pct"/>
            <w:noWrap w:val="0"/>
            <w:vAlign w:val="center"/>
          </w:tcPr>
          <w:p w14:paraId="5F24EF3B">
            <w:pPr>
              <w:pStyle w:val="2"/>
              <w:keepNext/>
              <w:spacing w:line="440" w:lineRule="exact"/>
              <w:ind w:left="63" w:right="63"/>
              <w:rPr>
                <w:rFonts w:ascii="宋体" w:hAnsi="宋体" w:eastAsia="宋体" w:cs="宋体"/>
                <w:color w:val="auto"/>
                <w:sz w:val="30"/>
                <w:szCs w:val="30"/>
                <w:highlight w:val="none"/>
              </w:rPr>
            </w:pPr>
          </w:p>
        </w:tc>
      </w:tr>
      <w:tr w14:paraId="3D194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21" w:type="pct"/>
            <w:noWrap w:val="0"/>
            <w:vAlign w:val="center"/>
          </w:tcPr>
          <w:p w14:paraId="23871C4E">
            <w:pPr>
              <w:pStyle w:val="2"/>
              <w:keepNext/>
              <w:spacing w:line="440" w:lineRule="exact"/>
              <w:ind w:left="63" w:right="63"/>
              <w:rPr>
                <w:rFonts w:ascii="宋体" w:hAnsi="宋体" w:eastAsia="宋体" w:cs="宋体"/>
                <w:color w:val="auto"/>
                <w:sz w:val="30"/>
                <w:szCs w:val="30"/>
                <w:highlight w:val="none"/>
              </w:rPr>
            </w:pPr>
          </w:p>
        </w:tc>
        <w:tc>
          <w:tcPr>
            <w:tcW w:w="521" w:type="pct"/>
            <w:noWrap w:val="0"/>
            <w:vAlign w:val="center"/>
          </w:tcPr>
          <w:p w14:paraId="02B92A9C">
            <w:pPr>
              <w:pStyle w:val="2"/>
              <w:keepNext/>
              <w:spacing w:line="440" w:lineRule="exact"/>
              <w:ind w:left="63" w:right="63"/>
              <w:rPr>
                <w:rFonts w:ascii="宋体" w:hAnsi="宋体" w:eastAsia="宋体" w:cs="宋体"/>
                <w:color w:val="auto"/>
                <w:sz w:val="30"/>
                <w:szCs w:val="30"/>
                <w:highlight w:val="none"/>
              </w:rPr>
            </w:pPr>
          </w:p>
        </w:tc>
        <w:tc>
          <w:tcPr>
            <w:tcW w:w="586" w:type="pct"/>
            <w:noWrap w:val="0"/>
            <w:vAlign w:val="center"/>
          </w:tcPr>
          <w:p w14:paraId="09E1176E">
            <w:pPr>
              <w:pStyle w:val="2"/>
              <w:keepNext/>
              <w:spacing w:line="440" w:lineRule="exact"/>
              <w:ind w:left="63" w:right="63"/>
              <w:rPr>
                <w:rFonts w:ascii="宋体" w:hAnsi="宋体" w:eastAsia="宋体" w:cs="宋体"/>
                <w:color w:val="auto"/>
                <w:sz w:val="30"/>
                <w:szCs w:val="30"/>
                <w:highlight w:val="none"/>
              </w:rPr>
            </w:pPr>
          </w:p>
        </w:tc>
        <w:tc>
          <w:tcPr>
            <w:tcW w:w="601" w:type="pct"/>
            <w:noWrap w:val="0"/>
            <w:vAlign w:val="center"/>
          </w:tcPr>
          <w:p w14:paraId="43B4DEC1">
            <w:pPr>
              <w:pStyle w:val="2"/>
              <w:keepNext/>
              <w:spacing w:line="440" w:lineRule="exact"/>
              <w:ind w:left="63" w:right="63"/>
              <w:rPr>
                <w:rFonts w:ascii="宋体" w:hAnsi="宋体" w:eastAsia="宋体" w:cs="宋体"/>
                <w:color w:val="auto"/>
                <w:sz w:val="30"/>
                <w:szCs w:val="30"/>
                <w:highlight w:val="none"/>
              </w:rPr>
            </w:pPr>
          </w:p>
        </w:tc>
        <w:tc>
          <w:tcPr>
            <w:tcW w:w="307" w:type="pct"/>
            <w:noWrap w:val="0"/>
            <w:vAlign w:val="center"/>
          </w:tcPr>
          <w:p w14:paraId="0EEF1945">
            <w:pPr>
              <w:pStyle w:val="2"/>
              <w:keepNext/>
              <w:spacing w:line="440" w:lineRule="exact"/>
              <w:ind w:left="63" w:right="63"/>
              <w:rPr>
                <w:rFonts w:ascii="宋体" w:hAnsi="宋体" w:eastAsia="宋体" w:cs="宋体"/>
                <w:color w:val="auto"/>
                <w:sz w:val="30"/>
                <w:szCs w:val="30"/>
                <w:highlight w:val="none"/>
              </w:rPr>
            </w:pPr>
          </w:p>
        </w:tc>
        <w:tc>
          <w:tcPr>
            <w:tcW w:w="564" w:type="pct"/>
            <w:noWrap w:val="0"/>
            <w:vAlign w:val="center"/>
          </w:tcPr>
          <w:p w14:paraId="47F841E4">
            <w:pPr>
              <w:pStyle w:val="2"/>
              <w:keepNext/>
              <w:spacing w:line="440" w:lineRule="exact"/>
              <w:ind w:left="63" w:right="63"/>
              <w:rPr>
                <w:rFonts w:ascii="宋体" w:hAnsi="宋体" w:eastAsia="宋体" w:cs="宋体"/>
                <w:color w:val="auto"/>
                <w:sz w:val="30"/>
                <w:szCs w:val="30"/>
                <w:highlight w:val="none"/>
              </w:rPr>
            </w:pPr>
          </w:p>
        </w:tc>
        <w:tc>
          <w:tcPr>
            <w:tcW w:w="769" w:type="pct"/>
            <w:noWrap w:val="0"/>
            <w:vAlign w:val="center"/>
          </w:tcPr>
          <w:p w14:paraId="137EA28B">
            <w:pPr>
              <w:pStyle w:val="2"/>
              <w:keepNext/>
              <w:spacing w:line="440" w:lineRule="exact"/>
              <w:ind w:left="63" w:right="63"/>
              <w:rPr>
                <w:rFonts w:ascii="宋体" w:hAnsi="宋体" w:eastAsia="宋体" w:cs="宋体"/>
                <w:color w:val="auto"/>
                <w:sz w:val="30"/>
                <w:szCs w:val="30"/>
                <w:highlight w:val="none"/>
              </w:rPr>
            </w:pPr>
          </w:p>
        </w:tc>
        <w:tc>
          <w:tcPr>
            <w:tcW w:w="512" w:type="pct"/>
            <w:noWrap w:val="0"/>
            <w:vAlign w:val="center"/>
          </w:tcPr>
          <w:p w14:paraId="320622DB">
            <w:pPr>
              <w:pStyle w:val="2"/>
              <w:keepNext/>
              <w:spacing w:line="440" w:lineRule="exact"/>
              <w:ind w:left="63" w:right="63"/>
              <w:rPr>
                <w:rFonts w:ascii="宋体" w:hAnsi="宋体" w:eastAsia="宋体" w:cs="宋体"/>
                <w:color w:val="auto"/>
                <w:sz w:val="30"/>
                <w:szCs w:val="30"/>
                <w:highlight w:val="none"/>
              </w:rPr>
            </w:pPr>
          </w:p>
        </w:tc>
        <w:tc>
          <w:tcPr>
            <w:tcW w:w="308" w:type="pct"/>
            <w:noWrap w:val="0"/>
            <w:vAlign w:val="center"/>
          </w:tcPr>
          <w:p w14:paraId="5B104F3A">
            <w:pPr>
              <w:pStyle w:val="2"/>
              <w:keepNext/>
              <w:spacing w:line="440" w:lineRule="exact"/>
              <w:ind w:left="63" w:right="63"/>
              <w:rPr>
                <w:rFonts w:ascii="宋体" w:hAnsi="宋体" w:eastAsia="宋体" w:cs="宋体"/>
                <w:color w:val="auto"/>
                <w:sz w:val="30"/>
                <w:szCs w:val="30"/>
                <w:highlight w:val="none"/>
              </w:rPr>
            </w:pPr>
          </w:p>
        </w:tc>
        <w:tc>
          <w:tcPr>
            <w:tcW w:w="307" w:type="pct"/>
            <w:noWrap w:val="0"/>
            <w:vAlign w:val="center"/>
          </w:tcPr>
          <w:p w14:paraId="644B7F35">
            <w:pPr>
              <w:pStyle w:val="2"/>
              <w:keepNext/>
              <w:spacing w:line="440" w:lineRule="exact"/>
              <w:ind w:left="63" w:right="63"/>
              <w:rPr>
                <w:rFonts w:ascii="宋体" w:hAnsi="宋体" w:eastAsia="宋体" w:cs="宋体"/>
                <w:color w:val="auto"/>
                <w:sz w:val="30"/>
                <w:szCs w:val="30"/>
                <w:highlight w:val="none"/>
              </w:rPr>
            </w:pPr>
          </w:p>
        </w:tc>
      </w:tr>
      <w:tr w14:paraId="729A8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21" w:type="pct"/>
            <w:noWrap w:val="0"/>
            <w:vAlign w:val="center"/>
          </w:tcPr>
          <w:p w14:paraId="0ED8016B">
            <w:pPr>
              <w:pStyle w:val="2"/>
              <w:keepNext/>
              <w:spacing w:line="440" w:lineRule="exact"/>
              <w:ind w:left="63" w:right="63"/>
              <w:rPr>
                <w:rFonts w:ascii="宋体" w:hAnsi="宋体" w:eastAsia="宋体" w:cs="宋体"/>
                <w:color w:val="auto"/>
                <w:sz w:val="30"/>
                <w:szCs w:val="30"/>
                <w:highlight w:val="none"/>
              </w:rPr>
            </w:pPr>
          </w:p>
        </w:tc>
        <w:tc>
          <w:tcPr>
            <w:tcW w:w="521" w:type="pct"/>
            <w:noWrap w:val="0"/>
            <w:vAlign w:val="center"/>
          </w:tcPr>
          <w:p w14:paraId="791E4CFA">
            <w:pPr>
              <w:pStyle w:val="2"/>
              <w:keepNext/>
              <w:spacing w:line="440" w:lineRule="exact"/>
              <w:ind w:left="63" w:right="63"/>
              <w:rPr>
                <w:rFonts w:ascii="宋体" w:hAnsi="宋体" w:eastAsia="宋体" w:cs="宋体"/>
                <w:color w:val="auto"/>
                <w:sz w:val="30"/>
                <w:szCs w:val="30"/>
                <w:highlight w:val="none"/>
              </w:rPr>
            </w:pPr>
          </w:p>
        </w:tc>
        <w:tc>
          <w:tcPr>
            <w:tcW w:w="586" w:type="pct"/>
            <w:noWrap w:val="0"/>
            <w:vAlign w:val="center"/>
          </w:tcPr>
          <w:p w14:paraId="095094AE">
            <w:pPr>
              <w:pStyle w:val="2"/>
              <w:keepNext/>
              <w:spacing w:line="440" w:lineRule="exact"/>
              <w:ind w:left="63" w:right="63"/>
              <w:rPr>
                <w:rFonts w:ascii="宋体" w:hAnsi="宋体" w:eastAsia="宋体" w:cs="宋体"/>
                <w:color w:val="auto"/>
                <w:sz w:val="30"/>
                <w:szCs w:val="30"/>
                <w:highlight w:val="none"/>
              </w:rPr>
            </w:pPr>
          </w:p>
        </w:tc>
        <w:tc>
          <w:tcPr>
            <w:tcW w:w="601" w:type="pct"/>
            <w:noWrap w:val="0"/>
            <w:vAlign w:val="center"/>
          </w:tcPr>
          <w:p w14:paraId="6F855AFD">
            <w:pPr>
              <w:pStyle w:val="2"/>
              <w:keepNext/>
              <w:spacing w:line="440" w:lineRule="exact"/>
              <w:ind w:left="63" w:right="63"/>
              <w:rPr>
                <w:rFonts w:ascii="宋体" w:hAnsi="宋体" w:eastAsia="宋体" w:cs="宋体"/>
                <w:color w:val="auto"/>
                <w:sz w:val="30"/>
                <w:szCs w:val="30"/>
                <w:highlight w:val="none"/>
              </w:rPr>
            </w:pPr>
          </w:p>
        </w:tc>
        <w:tc>
          <w:tcPr>
            <w:tcW w:w="307" w:type="pct"/>
            <w:noWrap w:val="0"/>
            <w:vAlign w:val="center"/>
          </w:tcPr>
          <w:p w14:paraId="2FC0BBD1">
            <w:pPr>
              <w:pStyle w:val="2"/>
              <w:keepNext/>
              <w:spacing w:line="440" w:lineRule="exact"/>
              <w:ind w:left="63" w:right="63"/>
              <w:rPr>
                <w:rFonts w:ascii="宋体" w:hAnsi="宋体" w:eastAsia="宋体" w:cs="宋体"/>
                <w:color w:val="auto"/>
                <w:sz w:val="30"/>
                <w:szCs w:val="30"/>
                <w:highlight w:val="none"/>
              </w:rPr>
            </w:pPr>
          </w:p>
        </w:tc>
        <w:tc>
          <w:tcPr>
            <w:tcW w:w="564" w:type="pct"/>
            <w:noWrap w:val="0"/>
            <w:vAlign w:val="center"/>
          </w:tcPr>
          <w:p w14:paraId="3927FE0A">
            <w:pPr>
              <w:pStyle w:val="2"/>
              <w:keepNext/>
              <w:spacing w:line="440" w:lineRule="exact"/>
              <w:ind w:left="63" w:right="63"/>
              <w:rPr>
                <w:rFonts w:ascii="宋体" w:hAnsi="宋体" w:eastAsia="宋体" w:cs="宋体"/>
                <w:color w:val="auto"/>
                <w:sz w:val="30"/>
                <w:szCs w:val="30"/>
                <w:highlight w:val="none"/>
              </w:rPr>
            </w:pPr>
          </w:p>
        </w:tc>
        <w:tc>
          <w:tcPr>
            <w:tcW w:w="769" w:type="pct"/>
            <w:noWrap w:val="0"/>
            <w:vAlign w:val="center"/>
          </w:tcPr>
          <w:p w14:paraId="798B8027">
            <w:pPr>
              <w:pStyle w:val="2"/>
              <w:keepNext/>
              <w:spacing w:line="440" w:lineRule="exact"/>
              <w:ind w:left="63" w:right="63"/>
              <w:rPr>
                <w:rFonts w:ascii="宋体" w:hAnsi="宋体" w:eastAsia="宋体" w:cs="宋体"/>
                <w:color w:val="auto"/>
                <w:sz w:val="30"/>
                <w:szCs w:val="30"/>
                <w:highlight w:val="none"/>
              </w:rPr>
            </w:pPr>
          </w:p>
        </w:tc>
        <w:tc>
          <w:tcPr>
            <w:tcW w:w="512" w:type="pct"/>
            <w:noWrap w:val="0"/>
            <w:vAlign w:val="center"/>
          </w:tcPr>
          <w:p w14:paraId="5A6F5CB4">
            <w:pPr>
              <w:pStyle w:val="2"/>
              <w:keepNext/>
              <w:spacing w:line="440" w:lineRule="exact"/>
              <w:ind w:left="63" w:right="63"/>
              <w:rPr>
                <w:rFonts w:ascii="宋体" w:hAnsi="宋体" w:eastAsia="宋体" w:cs="宋体"/>
                <w:color w:val="auto"/>
                <w:sz w:val="30"/>
                <w:szCs w:val="30"/>
                <w:highlight w:val="none"/>
              </w:rPr>
            </w:pPr>
          </w:p>
        </w:tc>
        <w:tc>
          <w:tcPr>
            <w:tcW w:w="308" w:type="pct"/>
            <w:noWrap w:val="0"/>
            <w:vAlign w:val="center"/>
          </w:tcPr>
          <w:p w14:paraId="4F99721A">
            <w:pPr>
              <w:pStyle w:val="2"/>
              <w:keepNext/>
              <w:spacing w:line="440" w:lineRule="exact"/>
              <w:ind w:left="63" w:right="63"/>
              <w:rPr>
                <w:rFonts w:ascii="宋体" w:hAnsi="宋体" w:eastAsia="宋体" w:cs="宋体"/>
                <w:color w:val="auto"/>
                <w:sz w:val="30"/>
                <w:szCs w:val="30"/>
                <w:highlight w:val="none"/>
              </w:rPr>
            </w:pPr>
          </w:p>
        </w:tc>
        <w:tc>
          <w:tcPr>
            <w:tcW w:w="307" w:type="pct"/>
            <w:noWrap w:val="0"/>
            <w:vAlign w:val="center"/>
          </w:tcPr>
          <w:p w14:paraId="62558C1D">
            <w:pPr>
              <w:pStyle w:val="2"/>
              <w:keepNext/>
              <w:spacing w:line="440" w:lineRule="exact"/>
              <w:ind w:left="63" w:right="63"/>
              <w:rPr>
                <w:rFonts w:ascii="宋体" w:hAnsi="宋体" w:eastAsia="宋体" w:cs="宋体"/>
                <w:color w:val="auto"/>
                <w:sz w:val="30"/>
                <w:szCs w:val="30"/>
                <w:highlight w:val="none"/>
              </w:rPr>
            </w:pPr>
          </w:p>
        </w:tc>
      </w:tr>
      <w:tr w14:paraId="72A02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21" w:type="pct"/>
            <w:noWrap w:val="0"/>
            <w:vAlign w:val="center"/>
          </w:tcPr>
          <w:p w14:paraId="75894708">
            <w:pPr>
              <w:pStyle w:val="2"/>
              <w:keepNext/>
              <w:spacing w:line="440" w:lineRule="exact"/>
              <w:ind w:left="63" w:right="63"/>
              <w:rPr>
                <w:rFonts w:ascii="宋体" w:hAnsi="宋体" w:eastAsia="宋体" w:cs="宋体"/>
                <w:color w:val="auto"/>
                <w:sz w:val="30"/>
                <w:szCs w:val="30"/>
                <w:highlight w:val="none"/>
              </w:rPr>
            </w:pPr>
          </w:p>
        </w:tc>
        <w:tc>
          <w:tcPr>
            <w:tcW w:w="521" w:type="pct"/>
            <w:noWrap w:val="0"/>
            <w:vAlign w:val="center"/>
          </w:tcPr>
          <w:p w14:paraId="2036122D">
            <w:pPr>
              <w:pStyle w:val="2"/>
              <w:keepNext/>
              <w:spacing w:line="440" w:lineRule="exact"/>
              <w:ind w:left="63" w:right="63"/>
              <w:rPr>
                <w:rFonts w:ascii="宋体" w:hAnsi="宋体" w:eastAsia="宋体" w:cs="宋体"/>
                <w:color w:val="auto"/>
                <w:sz w:val="30"/>
                <w:szCs w:val="30"/>
                <w:highlight w:val="none"/>
              </w:rPr>
            </w:pPr>
          </w:p>
        </w:tc>
        <w:tc>
          <w:tcPr>
            <w:tcW w:w="586" w:type="pct"/>
            <w:noWrap w:val="0"/>
            <w:vAlign w:val="center"/>
          </w:tcPr>
          <w:p w14:paraId="790B9045">
            <w:pPr>
              <w:pStyle w:val="2"/>
              <w:keepNext/>
              <w:spacing w:line="440" w:lineRule="exact"/>
              <w:ind w:left="63" w:right="63"/>
              <w:rPr>
                <w:rFonts w:ascii="宋体" w:hAnsi="宋体" w:eastAsia="宋体" w:cs="宋体"/>
                <w:color w:val="auto"/>
                <w:sz w:val="30"/>
                <w:szCs w:val="30"/>
                <w:highlight w:val="none"/>
              </w:rPr>
            </w:pPr>
          </w:p>
        </w:tc>
        <w:tc>
          <w:tcPr>
            <w:tcW w:w="601" w:type="pct"/>
            <w:noWrap w:val="0"/>
            <w:vAlign w:val="center"/>
          </w:tcPr>
          <w:p w14:paraId="384EA828">
            <w:pPr>
              <w:pStyle w:val="2"/>
              <w:keepNext/>
              <w:spacing w:line="440" w:lineRule="exact"/>
              <w:ind w:left="63" w:right="63"/>
              <w:rPr>
                <w:rFonts w:ascii="宋体" w:hAnsi="宋体" w:eastAsia="宋体" w:cs="宋体"/>
                <w:color w:val="auto"/>
                <w:sz w:val="30"/>
                <w:szCs w:val="30"/>
                <w:highlight w:val="none"/>
              </w:rPr>
            </w:pPr>
          </w:p>
        </w:tc>
        <w:tc>
          <w:tcPr>
            <w:tcW w:w="307" w:type="pct"/>
            <w:noWrap w:val="0"/>
            <w:vAlign w:val="center"/>
          </w:tcPr>
          <w:p w14:paraId="6EB4BD7D">
            <w:pPr>
              <w:pStyle w:val="2"/>
              <w:keepNext/>
              <w:spacing w:line="440" w:lineRule="exact"/>
              <w:ind w:left="63" w:right="63"/>
              <w:rPr>
                <w:rFonts w:ascii="宋体" w:hAnsi="宋体" w:eastAsia="宋体" w:cs="宋体"/>
                <w:color w:val="auto"/>
                <w:sz w:val="30"/>
                <w:szCs w:val="30"/>
                <w:highlight w:val="none"/>
              </w:rPr>
            </w:pPr>
          </w:p>
        </w:tc>
        <w:tc>
          <w:tcPr>
            <w:tcW w:w="564" w:type="pct"/>
            <w:noWrap w:val="0"/>
            <w:vAlign w:val="center"/>
          </w:tcPr>
          <w:p w14:paraId="20BAC17F">
            <w:pPr>
              <w:pStyle w:val="2"/>
              <w:keepNext/>
              <w:spacing w:line="440" w:lineRule="exact"/>
              <w:ind w:left="63" w:right="63"/>
              <w:rPr>
                <w:rFonts w:ascii="宋体" w:hAnsi="宋体" w:eastAsia="宋体" w:cs="宋体"/>
                <w:color w:val="auto"/>
                <w:sz w:val="30"/>
                <w:szCs w:val="30"/>
                <w:highlight w:val="none"/>
              </w:rPr>
            </w:pPr>
          </w:p>
        </w:tc>
        <w:tc>
          <w:tcPr>
            <w:tcW w:w="769" w:type="pct"/>
            <w:noWrap w:val="0"/>
            <w:vAlign w:val="center"/>
          </w:tcPr>
          <w:p w14:paraId="0D914F58">
            <w:pPr>
              <w:pStyle w:val="2"/>
              <w:keepNext/>
              <w:spacing w:line="440" w:lineRule="exact"/>
              <w:ind w:left="63" w:right="63"/>
              <w:rPr>
                <w:rFonts w:ascii="宋体" w:hAnsi="宋体" w:eastAsia="宋体" w:cs="宋体"/>
                <w:color w:val="auto"/>
                <w:sz w:val="30"/>
                <w:szCs w:val="30"/>
                <w:highlight w:val="none"/>
              </w:rPr>
            </w:pPr>
          </w:p>
        </w:tc>
        <w:tc>
          <w:tcPr>
            <w:tcW w:w="512" w:type="pct"/>
            <w:noWrap w:val="0"/>
            <w:vAlign w:val="center"/>
          </w:tcPr>
          <w:p w14:paraId="72916ED8">
            <w:pPr>
              <w:pStyle w:val="2"/>
              <w:keepNext/>
              <w:spacing w:line="440" w:lineRule="exact"/>
              <w:ind w:left="63" w:right="63"/>
              <w:rPr>
                <w:rFonts w:ascii="宋体" w:hAnsi="宋体" w:eastAsia="宋体" w:cs="宋体"/>
                <w:color w:val="auto"/>
                <w:sz w:val="30"/>
                <w:szCs w:val="30"/>
                <w:highlight w:val="none"/>
              </w:rPr>
            </w:pPr>
          </w:p>
        </w:tc>
        <w:tc>
          <w:tcPr>
            <w:tcW w:w="308" w:type="pct"/>
            <w:noWrap w:val="0"/>
            <w:vAlign w:val="center"/>
          </w:tcPr>
          <w:p w14:paraId="09F26D2B">
            <w:pPr>
              <w:pStyle w:val="2"/>
              <w:keepNext/>
              <w:spacing w:line="440" w:lineRule="exact"/>
              <w:ind w:left="63" w:right="63"/>
              <w:rPr>
                <w:rFonts w:ascii="宋体" w:hAnsi="宋体" w:eastAsia="宋体" w:cs="宋体"/>
                <w:color w:val="auto"/>
                <w:sz w:val="30"/>
                <w:szCs w:val="30"/>
                <w:highlight w:val="none"/>
              </w:rPr>
            </w:pPr>
          </w:p>
        </w:tc>
        <w:tc>
          <w:tcPr>
            <w:tcW w:w="307" w:type="pct"/>
            <w:noWrap w:val="0"/>
            <w:vAlign w:val="center"/>
          </w:tcPr>
          <w:p w14:paraId="51124172">
            <w:pPr>
              <w:pStyle w:val="2"/>
              <w:keepNext/>
              <w:spacing w:line="440" w:lineRule="exact"/>
              <w:ind w:left="63" w:right="63"/>
              <w:rPr>
                <w:rFonts w:ascii="宋体" w:hAnsi="宋体" w:eastAsia="宋体" w:cs="宋体"/>
                <w:color w:val="auto"/>
                <w:sz w:val="30"/>
                <w:szCs w:val="30"/>
                <w:highlight w:val="none"/>
              </w:rPr>
            </w:pPr>
          </w:p>
        </w:tc>
      </w:tr>
      <w:tr w14:paraId="08EA6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21" w:type="pct"/>
            <w:noWrap w:val="0"/>
            <w:vAlign w:val="center"/>
          </w:tcPr>
          <w:p w14:paraId="31A7ECE4">
            <w:pPr>
              <w:pStyle w:val="2"/>
              <w:keepNext/>
              <w:spacing w:line="440" w:lineRule="exact"/>
              <w:ind w:left="63" w:right="63"/>
              <w:rPr>
                <w:rFonts w:ascii="宋体" w:hAnsi="宋体" w:eastAsia="宋体" w:cs="宋体"/>
                <w:color w:val="auto"/>
                <w:sz w:val="30"/>
                <w:szCs w:val="30"/>
                <w:highlight w:val="none"/>
              </w:rPr>
            </w:pPr>
          </w:p>
        </w:tc>
        <w:tc>
          <w:tcPr>
            <w:tcW w:w="521" w:type="pct"/>
            <w:noWrap w:val="0"/>
            <w:vAlign w:val="center"/>
          </w:tcPr>
          <w:p w14:paraId="10977749">
            <w:pPr>
              <w:pStyle w:val="2"/>
              <w:keepNext/>
              <w:spacing w:line="440" w:lineRule="exact"/>
              <w:ind w:left="63" w:right="63"/>
              <w:rPr>
                <w:rFonts w:ascii="宋体" w:hAnsi="宋体" w:eastAsia="宋体" w:cs="宋体"/>
                <w:color w:val="auto"/>
                <w:sz w:val="30"/>
                <w:szCs w:val="30"/>
                <w:highlight w:val="none"/>
              </w:rPr>
            </w:pPr>
          </w:p>
        </w:tc>
        <w:tc>
          <w:tcPr>
            <w:tcW w:w="586" w:type="pct"/>
            <w:noWrap w:val="0"/>
            <w:vAlign w:val="center"/>
          </w:tcPr>
          <w:p w14:paraId="759C66A7">
            <w:pPr>
              <w:pStyle w:val="2"/>
              <w:keepNext/>
              <w:spacing w:line="440" w:lineRule="exact"/>
              <w:ind w:left="63" w:right="63"/>
              <w:rPr>
                <w:rFonts w:ascii="宋体" w:hAnsi="宋体" w:eastAsia="宋体" w:cs="宋体"/>
                <w:color w:val="auto"/>
                <w:sz w:val="30"/>
                <w:szCs w:val="30"/>
                <w:highlight w:val="none"/>
              </w:rPr>
            </w:pPr>
          </w:p>
        </w:tc>
        <w:tc>
          <w:tcPr>
            <w:tcW w:w="601" w:type="pct"/>
            <w:noWrap w:val="0"/>
            <w:vAlign w:val="center"/>
          </w:tcPr>
          <w:p w14:paraId="3FF607F0">
            <w:pPr>
              <w:pStyle w:val="2"/>
              <w:keepNext/>
              <w:spacing w:line="440" w:lineRule="exact"/>
              <w:ind w:left="63" w:right="63"/>
              <w:rPr>
                <w:rFonts w:ascii="宋体" w:hAnsi="宋体" w:eastAsia="宋体" w:cs="宋体"/>
                <w:color w:val="auto"/>
                <w:sz w:val="30"/>
                <w:szCs w:val="30"/>
                <w:highlight w:val="none"/>
              </w:rPr>
            </w:pPr>
          </w:p>
        </w:tc>
        <w:tc>
          <w:tcPr>
            <w:tcW w:w="307" w:type="pct"/>
            <w:noWrap w:val="0"/>
            <w:vAlign w:val="center"/>
          </w:tcPr>
          <w:p w14:paraId="4F026387">
            <w:pPr>
              <w:pStyle w:val="2"/>
              <w:keepNext/>
              <w:spacing w:line="440" w:lineRule="exact"/>
              <w:ind w:left="63" w:right="63"/>
              <w:rPr>
                <w:rFonts w:ascii="宋体" w:hAnsi="宋体" w:eastAsia="宋体" w:cs="宋体"/>
                <w:color w:val="auto"/>
                <w:sz w:val="30"/>
                <w:szCs w:val="30"/>
                <w:highlight w:val="none"/>
              </w:rPr>
            </w:pPr>
          </w:p>
        </w:tc>
        <w:tc>
          <w:tcPr>
            <w:tcW w:w="564" w:type="pct"/>
            <w:noWrap w:val="0"/>
            <w:vAlign w:val="center"/>
          </w:tcPr>
          <w:p w14:paraId="5FA63F17">
            <w:pPr>
              <w:pStyle w:val="2"/>
              <w:keepNext/>
              <w:spacing w:line="440" w:lineRule="exact"/>
              <w:ind w:left="63" w:right="63"/>
              <w:rPr>
                <w:rFonts w:ascii="宋体" w:hAnsi="宋体" w:eastAsia="宋体" w:cs="宋体"/>
                <w:color w:val="auto"/>
                <w:sz w:val="30"/>
                <w:szCs w:val="30"/>
                <w:highlight w:val="none"/>
              </w:rPr>
            </w:pPr>
          </w:p>
        </w:tc>
        <w:tc>
          <w:tcPr>
            <w:tcW w:w="769" w:type="pct"/>
            <w:noWrap w:val="0"/>
            <w:vAlign w:val="center"/>
          </w:tcPr>
          <w:p w14:paraId="7A8072CE">
            <w:pPr>
              <w:pStyle w:val="2"/>
              <w:keepNext/>
              <w:spacing w:line="440" w:lineRule="exact"/>
              <w:ind w:left="63" w:right="63"/>
              <w:rPr>
                <w:rFonts w:ascii="宋体" w:hAnsi="宋体" w:eastAsia="宋体" w:cs="宋体"/>
                <w:color w:val="auto"/>
                <w:sz w:val="30"/>
                <w:szCs w:val="30"/>
                <w:highlight w:val="none"/>
              </w:rPr>
            </w:pPr>
          </w:p>
        </w:tc>
        <w:tc>
          <w:tcPr>
            <w:tcW w:w="512" w:type="pct"/>
            <w:noWrap w:val="0"/>
            <w:vAlign w:val="center"/>
          </w:tcPr>
          <w:p w14:paraId="4CD416B3">
            <w:pPr>
              <w:pStyle w:val="2"/>
              <w:keepNext/>
              <w:spacing w:line="440" w:lineRule="exact"/>
              <w:ind w:left="63" w:right="63"/>
              <w:rPr>
                <w:rFonts w:ascii="宋体" w:hAnsi="宋体" w:eastAsia="宋体" w:cs="宋体"/>
                <w:color w:val="auto"/>
                <w:sz w:val="30"/>
                <w:szCs w:val="30"/>
                <w:highlight w:val="none"/>
              </w:rPr>
            </w:pPr>
          </w:p>
        </w:tc>
        <w:tc>
          <w:tcPr>
            <w:tcW w:w="308" w:type="pct"/>
            <w:noWrap w:val="0"/>
            <w:vAlign w:val="center"/>
          </w:tcPr>
          <w:p w14:paraId="699F5764">
            <w:pPr>
              <w:pStyle w:val="2"/>
              <w:keepNext/>
              <w:spacing w:line="440" w:lineRule="exact"/>
              <w:ind w:left="63" w:right="63"/>
              <w:rPr>
                <w:rFonts w:ascii="宋体" w:hAnsi="宋体" w:eastAsia="宋体" w:cs="宋体"/>
                <w:color w:val="auto"/>
                <w:sz w:val="30"/>
                <w:szCs w:val="30"/>
                <w:highlight w:val="none"/>
              </w:rPr>
            </w:pPr>
          </w:p>
        </w:tc>
        <w:tc>
          <w:tcPr>
            <w:tcW w:w="307" w:type="pct"/>
            <w:noWrap w:val="0"/>
            <w:vAlign w:val="center"/>
          </w:tcPr>
          <w:p w14:paraId="53B4A347">
            <w:pPr>
              <w:pStyle w:val="2"/>
              <w:keepNext/>
              <w:spacing w:line="440" w:lineRule="exact"/>
              <w:ind w:left="63" w:right="63"/>
              <w:rPr>
                <w:rFonts w:ascii="宋体" w:hAnsi="宋体" w:eastAsia="宋体" w:cs="宋体"/>
                <w:color w:val="auto"/>
                <w:sz w:val="30"/>
                <w:szCs w:val="30"/>
                <w:highlight w:val="none"/>
              </w:rPr>
            </w:pPr>
          </w:p>
        </w:tc>
      </w:tr>
    </w:tbl>
    <w:p w14:paraId="68E6A431">
      <w:pPr>
        <w:spacing w:line="460" w:lineRule="exact"/>
        <w:ind w:firstLine="420" w:firstLineChars="200"/>
        <w:rPr>
          <w:rFonts w:ascii="宋体" w:hAnsi="宋体" w:eastAsia="宋体" w:cs="宋体"/>
          <w:color w:val="auto"/>
          <w:highlight w:val="none"/>
        </w:rPr>
      </w:pPr>
    </w:p>
    <w:p w14:paraId="4A62CF00">
      <w:pPr>
        <w:spacing w:line="460" w:lineRule="exact"/>
        <w:ind w:firstLine="420" w:firstLineChars="200"/>
        <w:rPr>
          <w:rFonts w:ascii="宋体" w:hAnsi="宋体" w:eastAsia="宋体" w:cs="宋体"/>
          <w:color w:val="auto"/>
          <w:highlight w:val="none"/>
        </w:rPr>
      </w:pPr>
    </w:p>
    <w:p w14:paraId="0FEFC8A2">
      <w:pPr>
        <w:spacing w:line="460" w:lineRule="exact"/>
        <w:ind w:firstLine="420" w:firstLineChars="200"/>
        <w:rPr>
          <w:rFonts w:ascii="宋体" w:hAnsi="宋体" w:eastAsia="宋体" w:cs="宋体"/>
          <w:color w:val="auto"/>
          <w:highlight w:val="none"/>
        </w:rPr>
        <w:sectPr>
          <w:pgSz w:w="11905" w:h="16838"/>
          <w:pgMar w:top="1417" w:right="1417" w:bottom="1417" w:left="1417" w:header="851" w:footer="850" w:gutter="0"/>
          <w:cols w:space="720" w:num="1"/>
          <w:docGrid w:linePitch="312" w:charSpace="0"/>
        </w:sectPr>
      </w:pPr>
    </w:p>
    <w:p w14:paraId="0E16FB16">
      <w:pPr>
        <w:pStyle w:val="6"/>
        <w:jc w:val="left"/>
        <w:rPr>
          <w:rFonts w:ascii="宋体" w:hAnsi="宋体" w:eastAsia="宋体" w:cs="宋体"/>
          <w:color w:val="auto"/>
          <w:sz w:val="30"/>
          <w:szCs w:val="30"/>
          <w:highlight w:val="none"/>
        </w:rPr>
      </w:pPr>
      <w:r>
        <w:rPr>
          <w:rFonts w:hint="eastAsia" w:ascii="宋体" w:hAnsi="宋体" w:eastAsia="宋体" w:cs="宋体"/>
          <w:color w:val="auto"/>
          <w:highlight w:val="none"/>
        </w:rPr>
        <w:t>附件</w:t>
      </w:r>
      <w:r>
        <w:rPr>
          <w:rFonts w:hint="eastAsia" w:ascii="宋体" w:hAnsi="宋体" w:eastAsia="宋体" w:cs="宋体"/>
          <w:color w:val="auto"/>
          <w:sz w:val="30"/>
          <w:szCs w:val="30"/>
          <w:highlight w:val="none"/>
        </w:rPr>
        <w:t>2：</w:t>
      </w:r>
    </w:p>
    <w:p w14:paraId="4610F143">
      <w:pPr>
        <w:spacing w:before="120" w:beforeLines="50" w:after="120" w:afterLines="50" w:line="440" w:lineRule="exact"/>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工程质量保修书（房屋建筑工程）</w:t>
      </w:r>
    </w:p>
    <w:p w14:paraId="0F96C53E">
      <w:pPr>
        <w:spacing w:line="44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发包人（全称）：</w:t>
      </w:r>
      <w:r>
        <w:rPr>
          <w:rFonts w:hint="eastAsia" w:ascii="宋体" w:hAnsi="宋体" w:eastAsia="宋体" w:cs="宋体"/>
          <w:color w:val="auto"/>
          <w:highlight w:val="none"/>
          <w:u w:val="single"/>
        </w:rPr>
        <w:t xml:space="preserve">广西职业师范学院 </w:t>
      </w:r>
      <w:r>
        <w:rPr>
          <w:rFonts w:hint="eastAsia" w:ascii="宋体" w:hAnsi="宋体" w:eastAsia="宋体" w:cs="宋体"/>
          <w:color w:val="auto"/>
          <w:highlight w:val="none"/>
        </w:rPr>
        <w:t xml:space="preserve"> </w:t>
      </w:r>
    </w:p>
    <w:p w14:paraId="09AAAA04">
      <w:pPr>
        <w:spacing w:line="44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承包人（全称）：</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w:t>
      </w:r>
    </w:p>
    <w:p w14:paraId="47EBF18C">
      <w:pPr>
        <w:spacing w:line="440" w:lineRule="exact"/>
        <w:rPr>
          <w:rFonts w:ascii="宋体" w:hAnsi="宋体" w:eastAsia="宋体" w:cs="宋体"/>
          <w:color w:val="auto"/>
          <w:highlight w:val="none"/>
        </w:rPr>
      </w:pPr>
    </w:p>
    <w:p w14:paraId="007B6CCA">
      <w:pPr>
        <w:spacing w:line="360" w:lineRule="auto"/>
        <w:ind w:firstLine="420" w:firstLineChars="200"/>
        <w:rPr>
          <w:rFonts w:ascii="宋体" w:hAnsi="宋体" w:eastAsia="宋体" w:cs="宋体"/>
          <w:color w:val="auto"/>
          <w:highlight w:val="none"/>
        </w:rPr>
      </w:pPr>
      <w:r>
        <w:rPr>
          <w:rFonts w:hint="eastAsia" w:ascii="宋体" w:hAnsi="宋体" w:eastAsia="宋体" w:cs="宋体"/>
          <w:color w:val="auto"/>
          <w:highlight w:val="none"/>
        </w:rPr>
        <w:t>发包人和承包人根据《中华人民共和国建筑法》和《建设工程质量管理条例》，经协商一致就</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（工程全称）签订工程质量保修书。</w:t>
      </w:r>
    </w:p>
    <w:p w14:paraId="149060D2">
      <w:pPr>
        <w:spacing w:line="360" w:lineRule="auto"/>
        <w:ind w:firstLine="420" w:firstLineChars="200"/>
        <w:rPr>
          <w:rFonts w:ascii="宋体" w:hAnsi="宋体" w:eastAsia="宋体" w:cs="宋体"/>
          <w:color w:val="auto"/>
          <w:highlight w:val="none"/>
        </w:rPr>
      </w:pPr>
      <w:r>
        <w:rPr>
          <w:rFonts w:hint="eastAsia" w:ascii="宋体" w:hAnsi="宋体" w:eastAsia="宋体" w:cs="宋体"/>
          <w:color w:val="auto"/>
          <w:highlight w:val="none"/>
        </w:rPr>
        <w:t>一、工程质量保修范围和内容</w:t>
      </w:r>
    </w:p>
    <w:p w14:paraId="3FA530CC">
      <w:pPr>
        <w:spacing w:line="360" w:lineRule="auto"/>
        <w:ind w:firstLine="420" w:firstLineChars="200"/>
        <w:rPr>
          <w:rFonts w:ascii="宋体" w:hAnsi="宋体" w:eastAsia="宋体" w:cs="宋体"/>
          <w:color w:val="auto"/>
          <w:highlight w:val="none"/>
        </w:rPr>
      </w:pPr>
      <w:r>
        <w:rPr>
          <w:rFonts w:hint="eastAsia" w:ascii="宋体" w:hAnsi="宋体" w:eastAsia="宋体" w:cs="宋体"/>
          <w:color w:val="auto"/>
          <w:highlight w:val="none"/>
        </w:rPr>
        <w:t>承包人在质量保修期内，按照有关法律规定和合同约定，承担工程质量保修责任。</w:t>
      </w:r>
    </w:p>
    <w:p w14:paraId="2F92735E">
      <w:pPr>
        <w:spacing w:line="360" w:lineRule="auto"/>
        <w:ind w:firstLine="420"/>
        <w:rPr>
          <w:rFonts w:ascii="宋体" w:hAnsi="宋体" w:eastAsia="宋体" w:cs="宋体"/>
          <w:color w:val="auto"/>
          <w:highlight w:val="none"/>
        </w:rPr>
      </w:pPr>
      <w:r>
        <w:rPr>
          <w:rFonts w:hint="eastAsia" w:ascii="宋体" w:hAnsi="宋体" w:eastAsia="宋体" w:cs="宋体"/>
          <w:color w:val="auto"/>
          <w:highlight w:val="none"/>
        </w:rPr>
        <w:t>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14:paraId="6394FC09">
      <w:pPr>
        <w:spacing w:line="360" w:lineRule="auto"/>
        <w:ind w:firstLine="420"/>
        <w:rPr>
          <w:rFonts w:ascii="宋体" w:hAnsi="宋体" w:eastAsia="宋体" w:cs="宋体"/>
          <w:color w:val="auto"/>
          <w:highlight w:val="none"/>
        </w:rPr>
      </w:pPr>
      <w:r>
        <w:rPr>
          <w:rFonts w:hint="eastAsia" w:ascii="宋体" w:hAnsi="宋体" w:eastAsia="宋体" w:cs="宋体"/>
          <w:color w:val="auto"/>
          <w:highlight w:val="none"/>
          <w:u w:val="single"/>
        </w:rPr>
        <w:t xml:space="preserve"> 本合同协议书规定的承包范围内，属承包人责任造成的工程质量问题，承包人在约定的保修期内自行负责保修 </w:t>
      </w:r>
      <w:r>
        <w:rPr>
          <w:rFonts w:hint="eastAsia" w:ascii="宋体" w:hAnsi="宋体" w:eastAsia="宋体" w:cs="宋体"/>
          <w:color w:val="auto"/>
          <w:highlight w:val="none"/>
        </w:rPr>
        <w:t>。</w:t>
      </w:r>
    </w:p>
    <w:p w14:paraId="7CCF30FE">
      <w:pPr>
        <w:spacing w:line="360" w:lineRule="auto"/>
        <w:ind w:firstLine="420"/>
        <w:rPr>
          <w:rFonts w:ascii="宋体" w:hAnsi="宋体" w:eastAsia="宋体" w:cs="宋体"/>
          <w:color w:val="auto"/>
          <w:highlight w:val="none"/>
        </w:rPr>
      </w:pPr>
      <w:r>
        <w:rPr>
          <w:rFonts w:hint="eastAsia" w:ascii="宋体" w:hAnsi="宋体" w:eastAsia="宋体" w:cs="宋体"/>
          <w:color w:val="auto"/>
          <w:highlight w:val="none"/>
        </w:rPr>
        <w:t>二、质量保修期</w:t>
      </w:r>
    </w:p>
    <w:p w14:paraId="3F82DAAD">
      <w:pPr>
        <w:spacing w:line="360" w:lineRule="auto"/>
        <w:ind w:firstLine="420"/>
        <w:rPr>
          <w:rFonts w:ascii="宋体" w:hAnsi="宋体" w:eastAsia="宋体" w:cs="宋体"/>
          <w:color w:val="auto"/>
          <w:highlight w:val="none"/>
        </w:rPr>
      </w:pPr>
      <w:r>
        <w:rPr>
          <w:rFonts w:hint="eastAsia" w:ascii="宋体" w:hAnsi="宋体" w:eastAsia="宋体" w:cs="宋体"/>
          <w:color w:val="auto"/>
          <w:highlight w:val="none"/>
        </w:rPr>
        <w:t>根据《建设工程质量管理条例》及有关规定，工程的质量保修期如下：</w:t>
      </w:r>
    </w:p>
    <w:p w14:paraId="7FC77612">
      <w:pPr>
        <w:spacing w:line="360" w:lineRule="auto"/>
        <w:ind w:firstLine="420"/>
        <w:rPr>
          <w:rFonts w:ascii="宋体" w:hAnsi="宋体" w:eastAsia="宋体" w:cs="宋体"/>
          <w:color w:val="auto"/>
          <w:highlight w:val="none"/>
        </w:rPr>
      </w:pPr>
      <w:r>
        <w:rPr>
          <w:rFonts w:hint="eastAsia" w:ascii="宋体" w:hAnsi="宋体" w:eastAsia="宋体" w:cs="宋体"/>
          <w:color w:val="auto"/>
          <w:highlight w:val="none"/>
        </w:rPr>
        <w:t>1．地基基础工程和主体结构工程为设计文件规定的工程合理使用年限；</w:t>
      </w:r>
    </w:p>
    <w:p w14:paraId="3C6B7356">
      <w:pPr>
        <w:spacing w:line="360" w:lineRule="auto"/>
        <w:ind w:firstLine="420"/>
        <w:rPr>
          <w:rFonts w:ascii="宋体" w:hAnsi="宋体" w:eastAsia="宋体" w:cs="宋体"/>
          <w:color w:val="auto"/>
          <w:highlight w:val="none"/>
        </w:rPr>
      </w:pPr>
      <w:r>
        <w:rPr>
          <w:rFonts w:hint="eastAsia" w:ascii="宋体" w:hAnsi="宋体" w:eastAsia="宋体" w:cs="宋体"/>
          <w:color w:val="auto"/>
          <w:highlight w:val="none"/>
        </w:rPr>
        <w:t>2．屋面防水工程、有防水要求的卫生间、房间和外墙面的防渗为</w:t>
      </w:r>
      <w:r>
        <w:rPr>
          <w:rFonts w:hint="eastAsia" w:ascii="宋体" w:hAnsi="宋体" w:eastAsia="宋体" w:cs="宋体"/>
          <w:color w:val="auto"/>
          <w:highlight w:val="none"/>
          <w:u w:val="single"/>
        </w:rPr>
        <w:t xml:space="preserve">    5    </w:t>
      </w:r>
      <w:r>
        <w:rPr>
          <w:rFonts w:hint="eastAsia" w:ascii="宋体" w:hAnsi="宋体" w:eastAsia="宋体" w:cs="宋体"/>
          <w:color w:val="auto"/>
          <w:highlight w:val="none"/>
        </w:rPr>
        <w:t>年；</w:t>
      </w:r>
    </w:p>
    <w:p w14:paraId="11855729">
      <w:pPr>
        <w:spacing w:line="360" w:lineRule="auto"/>
        <w:ind w:firstLine="420"/>
        <w:rPr>
          <w:rFonts w:ascii="宋体" w:hAnsi="宋体" w:eastAsia="宋体" w:cs="宋体"/>
          <w:color w:val="auto"/>
          <w:highlight w:val="none"/>
        </w:rPr>
      </w:pPr>
      <w:r>
        <w:rPr>
          <w:rFonts w:hint="eastAsia" w:ascii="宋体" w:hAnsi="宋体" w:eastAsia="宋体" w:cs="宋体"/>
          <w:color w:val="auto"/>
          <w:highlight w:val="none"/>
        </w:rPr>
        <w:t>3．装修工程为</w:t>
      </w:r>
      <w:r>
        <w:rPr>
          <w:rFonts w:hint="eastAsia" w:ascii="宋体" w:hAnsi="宋体" w:eastAsia="宋体" w:cs="宋体"/>
          <w:color w:val="auto"/>
          <w:highlight w:val="none"/>
          <w:u w:val="single"/>
        </w:rPr>
        <w:t xml:space="preserve">  2     </w:t>
      </w:r>
      <w:r>
        <w:rPr>
          <w:rFonts w:hint="eastAsia" w:ascii="宋体" w:hAnsi="宋体" w:eastAsia="宋体" w:cs="宋体"/>
          <w:color w:val="auto"/>
          <w:highlight w:val="none"/>
        </w:rPr>
        <w:t>年；</w:t>
      </w:r>
    </w:p>
    <w:p w14:paraId="01BFC57D">
      <w:pPr>
        <w:spacing w:line="360" w:lineRule="auto"/>
        <w:ind w:firstLine="420"/>
        <w:rPr>
          <w:rFonts w:ascii="宋体" w:hAnsi="宋体" w:eastAsia="宋体" w:cs="宋体"/>
          <w:color w:val="auto"/>
          <w:highlight w:val="none"/>
        </w:rPr>
      </w:pPr>
      <w:r>
        <w:rPr>
          <w:rFonts w:hint="eastAsia" w:ascii="宋体" w:hAnsi="宋体" w:eastAsia="宋体" w:cs="宋体"/>
          <w:color w:val="auto"/>
          <w:highlight w:val="none"/>
        </w:rPr>
        <w:t>4．电气管线、给排水管道、设备安装工程为</w:t>
      </w:r>
      <w:r>
        <w:rPr>
          <w:rFonts w:hint="eastAsia" w:ascii="宋体" w:hAnsi="宋体" w:eastAsia="宋体" w:cs="宋体"/>
          <w:color w:val="auto"/>
          <w:highlight w:val="none"/>
          <w:u w:val="single"/>
        </w:rPr>
        <w:t xml:space="preserve">    2     </w:t>
      </w:r>
      <w:r>
        <w:rPr>
          <w:rFonts w:hint="eastAsia" w:ascii="宋体" w:hAnsi="宋体" w:eastAsia="宋体" w:cs="宋体"/>
          <w:color w:val="auto"/>
          <w:highlight w:val="none"/>
        </w:rPr>
        <w:t>年；</w:t>
      </w:r>
    </w:p>
    <w:p w14:paraId="504A1F31">
      <w:pPr>
        <w:spacing w:line="360" w:lineRule="auto"/>
        <w:ind w:firstLine="420"/>
        <w:rPr>
          <w:rFonts w:ascii="宋体" w:hAnsi="宋体" w:eastAsia="宋体" w:cs="宋体"/>
          <w:color w:val="auto"/>
          <w:highlight w:val="none"/>
        </w:rPr>
      </w:pPr>
      <w:r>
        <w:rPr>
          <w:rFonts w:hint="eastAsia" w:ascii="宋体" w:hAnsi="宋体" w:eastAsia="宋体" w:cs="宋体"/>
          <w:color w:val="auto"/>
          <w:highlight w:val="none"/>
        </w:rPr>
        <w:t>5．供热与供冷系统为</w:t>
      </w:r>
      <w:r>
        <w:rPr>
          <w:rFonts w:hint="eastAsia" w:ascii="宋体" w:hAnsi="宋体" w:eastAsia="宋体" w:cs="宋体"/>
          <w:color w:val="auto"/>
          <w:highlight w:val="none"/>
          <w:u w:val="single"/>
        </w:rPr>
        <w:t xml:space="preserve">    2     </w:t>
      </w:r>
      <w:r>
        <w:rPr>
          <w:rFonts w:hint="eastAsia" w:ascii="宋体" w:hAnsi="宋体" w:eastAsia="宋体" w:cs="宋体"/>
          <w:color w:val="auto"/>
          <w:highlight w:val="none"/>
        </w:rPr>
        <w:t>个采暖期、供冷期；</w:t>
      </w:r>
    </w:p>
    <w:p w14:paraId="29B25A72">
      <w:pPr>
        <w:spacing w:line="360" w:lineRule="auto"/>
        <w:ind w:firstLine="420"/>
        <w:rPr>
          <w:rFonts w:ascii="宋体" w:hAnsi="宋体" w:eastAsia="宋体" w:cs="宋体"/>
          <w:color w:val="auto"/>
          <w:highlight w:val="none"/>
        </w:rPr>
      </w:pPr>
      <w:r>
        <w:rPr>
          <w:rFonts w:hint="eastAsia" w:ascii="宋体" w:hAnsi="宋体" w:eastAsia="宋体" w:cs="宋体"/>
          <w:color w:val="auto"/>
          <w:highlight w:val="none"/>
        </w:rPr>
        <w:t>6．住宅小区内的给排水设施、道路等配套工程为</w:t>
      </w:r>
      <w:r>
        <w:rPr>
          <w:rFonts w:hint="eastAsia" w:ascii="宋体" w:hAnsi="宋体" w:eastAsia="宋体" w:cs="宋体"/>
          <w:color w:val="auto"/>
          <w:highlight w:val="none"/>
          <w:u w:val="single"/>
        </w:rPr>
        <w:t xml:space="preserve">   2      </w:t>
      </w:r>
      <w:r>
        <w:rPr>
          <w:rFonts w:hint="eastAsia" w:ascii="宋体" w:hAnsi="宋体" w:eastAsia="宋体" w:cs="宋体"/>
          <w:color w:val="auto"/>
          <w:highlight w:val="none"/>
        </w:rPr>
        <w:t>年；</w:t>
      </w:r>
    </w:p>
    <w:p w14:paraId="6714964B">
      <w:pPr>
        <w:spacing w:line="360" w:lineRule="auto"/>
        <w:ind w:firstLine="420"/>
        <w:rPr>
          <w:rFonts w:ascii="宋体" w:hAnsi="宋体" w:eastAsia="宋体" w:cs="宋体"/>
          <w:color w:val="auto"/>
          <w:highlight w:val="none"/>
        </w:rPr>
      </w:pPr>
      <w:r>
        <w:rPr>
          <w:rFonts w:hint="eastAsia" w:ascii="宋体" w:hAnsi="宋体" w:eastAsia="宋体" w:cs="宋体"/>
          <w:color w:val="auto"/>
          <w:highlight w:val="none"/>
        </w:rPr>
        <w:t>7．其他项目保修期限约定如下：</w:t>
      </w:r>
    </w:p>
    <w:p w14:paraId="3AEDBBAF">
      <w:pPr>
        <w:spacing w:line="360" w:lineRule="auto"/>
        <w:ind w:firstLine="420"/>
        <w:rPr>
          <w:rFonts w:ascii="宋体" w:hAnsi="宋体" w:eastAsia="宋体" w:cs="宋体"/>
          <w:color w:val="auto"/>
          <w:highlight w:val="none"/>
        </w:rPr>
      </w:pPr>
      <w:r>
        <w:rPr>
          <w:rFonts w:hint="eastAsia" w:ascii="宋体" w:hAnsi="宋体" w:eastAsia="宋体" w:cs="宋体"/>
          <w:color w:val="auto"/>
          <w:highlight w:val="none"/>
          <w:u w:val="single"/>
        </w:rPr>
        <w:t xml:space="preserve">在没有明文规定下，参照建设工程质量保修条例，双方协商为设计文件规定的该工程的合理使用年限内保修 </w:t>
      </w:r>
      <w:r>
        <w:rPr>
          <w:rFonts w:hint="eastAsia" w:ascii="宋体" w:hAnsi="宋体" w:eastAsia="宋体" w:cs="宋体"/>
          <w:color w:val="auto"/>
          <w:highlight w:val="none"/>
        </w:rPr>
        <w:t xml:space="preserve"> 。</w:t>
      </w:r>
    </w:p>
    <w:p w14:paraId="6724B028">
      <w:pPr>
        <w:spacing w:line="360" w:lineRule="auto"/>
        <w:ind w:firstLine="420"/>
        <w:rPr>
          <w:rFonts w:ascii="宋体" w:hAnsi="宋体" w:eastAsia="宋体" w:cs="宋体"/>
          <w:color w:val="auto"/>
          <w:highlight w:val="none"/>
        </w:rPr>
      </w:pPr>
      <w:r>
        <w:rPr>
          <w:rFonts w:hint="eastAsia" w:ascii="宋体" w:hAnsi="宋体" w:eastAsia="宋体" w:cs="宋体"/>
          <w:color w:val="auto"/>
          <w:highlight w:val="none"/>
        </w:rPr>
        <w:t>质量保修期自工程竣工验收合格之日起计算。</w:t>
      </w:r>
    </w:p>
    <w:p w14:paraId="36230F4B">
      <w:pPr>
        <w:spacing w:line="360" w:lineRule="auto"/>
        <w:ind w:firstLine="420"/>
        <w:rPr>
          <w:rFonts w:ascii="宋体" w:hAnsi="宋体" w:eastAsia="宋体" w:cs="宋体"/>
          <w:color w:val="auto"/>
          <w:highlight w:val="none"/>
        </w:rPr>
      </w:pPr>
      <w:r>
        <w:rPr>
          <w:rFonts w:hint="eastAsia" w:ascii="宋体" w:hAnsi="宋体" w:eastAsia="宋体" w:cs="宋体"/>
          <w:color w:val="auto"/>
          <w:highlight w:val="none"/>
        </w:rPr>
        <w:t>三、缺陷责任期</w:t>
      </w:r>
    </w:p>
    <w:p w14:paraId="3BA36964">
      <w:pPr>
        <w:spacing w:line="360" w:lineRule="auto"/>
        <w:ind w:firstLine="420"/>
        <w:rPr>
          <w:rFonts w:ascii="宋体" w:hAnsi="宋体" w:eastAsia="宋体" w:cs="宋体"/>
          <w:color w:val="auto"/>
          <w:highlight w:val="none"/>
        </w:rPr>
      </w:pPr>
      <w:r>
        <w:rPr>
          <w:rFonts w:hint="eastAsia" w:ascii="宋体" w:hAnsi="宋体" w:eastAsia="宋体" w:cs="宋体"/>
          <w:color w:val="auto"/>
          <w:highlight w:val="none"/>
        </w:rPr>
        <w:t>工程缺陷责任期为</w:t>
      </w:r>
      <w:r>
        <w:rPr>
          <w:rFonts w:hint="eastAsia" w:ascii="宋体" w:hAnsi="宋体" w:eastAsia="宋体" w:cs="宋体"/>
          <w:color w:val="auto"/>
          <w:highlight w:val="none"/>
          <w:u w:val="single"/>
        </w:rPr>
        <w:t xml:space="preserve">  24 </w:t>
      </w:r>
      <w:r>
        <w:rPr>
          <w:rFonts w:hint="eastAsia" w:ascii="宋体" w:hAnsi="宋体" w:eastAsia="宋体" w:cs="宋体"/>
          <w:color w:val="auto"/>
          <w:highlight w:val="none"/>
        </w:rPr>
        <w:t>个月（最长不超过24个月），缺陷责任期自工程竣工验收合格之日起计算。单位工程先于全部工程进行验收，单位工程缺陷责任期自单位工程验收合格之日起算。</w:t>
      </w:r>
    </w:p>
    <w:p w14:paraId="7379A651">
      <w:pPr>
        <w:spacing w:line="360" w:lineRule="auto"/>
        <w:ind w:firstLine="420"/>
        <w:rPr>
          <w:rFonts w:ascii="宋体" w:hAnsi="宋体" w:eastAsia="宋体" w:cs="宋体"/>
          <w:color w:val="auto"/>
          <w:highlight w:val="none"/>
        </w:rPr>
      </w:pPr>
      <w:r>
        <w:rPr>
          <w:rFonts w:hint="eastAsia" w:ascii="宋体" w:hAnsi="宋体" w:eastAsia="宋体" w:cs="宋体"/>
          <w:color w:val="auto"/>
          <w:highlight w:val="none"/>
        </w:rPr>
        <w:t>缺陷责任期</w:t>
      </w:r>
      <w:r>
        <w:rPr>
          <w:rFonts w:hint="eastAsia" w:ascii="宋体" w:hAnsi="宋体" w:eastAsia="宋体" w:cs="宋体"/>
          <w:color w:val="auto"/>
          <w:highlight w:val="none"/>
          <w:u w:val="single"/>
        </w:rPr>
        <w:t>满</w:t>
      </w:r>
      <w:r>
        <w:rPr>
          <w:rFonts w:hint="eastAsia" w:ascii="宋体" w:hAnsi="宋体" w:eastAsia="宋体" w:cs="宋体"/>
          <w:color w:val="auto"/>
          <w:highlight w:val="none"/>
        </w:rPr>
        <w:t>之日起</w:t>
      </w:r>
      <w:r>
        <w:rPr>
          <w:rFonts w:hint="eastAsia" w:ascii="宋体" w:hAnsi="宋体" w:eastAsia="宋体" w:cs="宋体"/>
          <w:color w:val="auto"/>
          <w:highlight w:val="none"/>
          <w:u w:val="single"/>
        </w:rPr>
        <w:t xml:space="preserve"> 14 </w:t>
      </w:r>
      <w:r>
        <w:rPr>
          <w:rFonts w:hint="eastAsia" w:ascii="宋体" w:hAnsi="宋体" w:eastAsia="宋体" w:cs="宋体"/>
          <w:color w:val="auto"/>
          <w:highlight w:val="none"/>
        </w:rPr>
        <w:t>天</w:t>
      </w:r>
      <w:r>
        <w:rPr>
          <w:rFonts w:hint="eastAsia" w:ascii="宋体" w:hAnsi="宋体" w:eastAsia="宋体" w:cs="宋体"/>
          <w:color w:val="auto"/>
          <w:highlight w:val="none"/>
          <w:u w:val="single"/>
        </w:rPr>
        <w:t>（按合同约定期限），</w:t>
      </w:r>
      <w:r>
        <w:rPr>
          <w:rFonts w:hint="eastAsia" w:ascii="宋体" w:hAnsi="宋体" w:eastAsia="宋体" w:cs="宋体"/>
          <w:color w:val="auto"/>
          <w:highlight w:val="none"/>
        </w:rPr>
        <w:t>发包人应退还剩余的质量保证金。</w:t>
      </w:r>
    </w:p>
    <w:p w14:paraId="760672E1">
      <w:pPr>
        <w:spacing w:line="360" w:lineRule="auto"/>
        <w:ind w:firstLine="420"/>
        <w:rPr>
          <w:rFonts w:ascii="宋体" w:hAnsi="宋体" w:eastAsia="宋体" w:cs="宋体"/>
          <w:color w:val="auto"/>
          <w:highlight w:val="none"/>
        </w:rPr>
      </w:pPr>
      <w:r>
        <w:rPr>
          <w:rFonts w:hint="eastAsia" w:ascii="宋体" w:hAnsi="宋体" w:eastAsia="宋体" w:cs="宋体"/>
          <w:color w:val="auto"/>
          <w:highlight w:val="none"/>
        </w:rPr>
        <w:t>四、质量保修责任</w:t>
      </w:r>
    </w:p>
    <w:p w14:paraId="2DEC60D2">
      <w:pPr>
        <w:spacing w:line="360" w:lineRule="auto"/>
        <w:ind w:left="105" w:leftChars="50" w:firstLine="430" w:firstLineChars="205"/>
        <w:rPr>
          <w:rFonts w:ascii="宋体" w:hAnsi="宋体" w:eastAsia="宋体" w:cs="宋体"/>
          <w:color w:val="auto"/>
          <w:highlight w:val="none"/>
        </w:rPr>
      </w:pPr>
      <w:r>
        <w:rPr>
          <w:rFonts w:hint="eastAsia" w:ascii="宋体" w:hAnsi="宋体" w:eastAsia="宋体" w:cs="宋体"/>
          <w:color w:val="auto"/>
          <w:highlight w:val="none"/>
        </w:rPr>
        <w:t>1．属于保修范围、内容的项目，承包人应当在接到保修通知之日起</w:t>
      </w:r>
      <w:r>
        <w:rPr>
          <w:rFonts w:hint="eastAsia" w:ascii="宋体" w:hAnsi="宋体" w:eastAsia="宋体" w:cs="宋体"/>
          <w:color w:val="auto"/>
          <w:highlight w:val="none"/>
          <w:u w:val="single"/>
        </w:rPr>
        <w:t xml:space="preserve">  2  </w:t>
      </w:r>
      <w:r>
        <w:rPr>
          <w:rFonts w:hint="eastAsia" w:ascii="宋体" w:hAnsi="宋体" w:eastAsia="宋体" w:cs="宋体"/>
          <w:color w:val="auto"/>
          <w:highlight w:val="none"/>
        </w:rPr>
        <w:t>天内派人保修。承包人不在约定期限内派人保修的，发包人可以委托他人修理，修理费用从质量保证金内扣除。</w:t>
      </w:r>
    </w:p>
    <w:p w14:paraId="0C1F859D">
      <w:pPr>
        <w:spacing w:line="360" w:lineRule="auto"/>
        <w:ind w:firstLine="420"/>
        <w:rPr>
          <w:rFonts w:ascii="宋体" w:hAnsi="宋体" w:eastAsia="宋体" w:cs="宋体"/>
          <w:color w:val="auto"/>
          <w:highlight w:val="none"/>
        </w:rPr>
      </w:pPr>
      <w:r>
        <w:rPr>
          <w:rFonts w:hint="eastAsia" w:ascii="宋体" w:hAnsi="宋体" w:eastAsia="宋体" w:cs="宋体"/>
          <w:color w:val="auto"/>
          <w:highlight w:val="none"/>
        </w:rPr>
        <w:t>2．发生紧急事故需抢修的，承包人在接到事故通知后，应当立即到达事故现场抢修。</w:t>
      </w:r>
    </w:p>
    <w:p w14:paraId="4F701533">
      <w:pPr>
        <w:spacing w:line="360" w:lineRule="auto"/>
        <w:ind w:firstLine="420"/>
        <w:rPr>
          <w:rFonts w:ascii="宋体" w:hAnsi="宋体" w:eastAsia="宋体" w:cs="宋体"/>
          <w:color w:val="auto"/>
          <w:highlight w:val="none"/>
        </w:rPr>
      </w:pPr>
      <w:r>
        <w:rPr>
          <w:rFonts w:hint="eastAsia" w:ascii="宋体" w:hAnsi="宋体" w:eastAsia="宋体" w:cs="宋体"/>
          <w:color w:val="auto"/>
          <w:highlight w:val="none"/>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6BB764BE">
      <w:pPr>
        <w:spacing w:line="360" w:lineRule="auto"/>
        <w:ind w:firstLine="420"/>
        <w:rPr>
          <w:rFonts w:ascii="宋体" w:hAnsi="宋体" w:eastAsia="宋体" w:cs="宋体"/>
          <w:color w:val="auto"/>
          <w:highlight w:val="none"/>
        </w:rPr>
      </w:pPr>
      <w:r>
        <w:rPr>
          <w:rFonts w:hint="eastAsia" w:ascii="宋体" w:hAnsi="宋体" w:eastAsia="宋体" w:cs="宋体"/>
          <w:color w:val="auto"/>
          <w:highlight w:val="none"/>
        </w:rPr>
        <w:t>4．质量保修完成后，由发包人组织验收。</w:t>
      </w:r>
    </w:p>
    <w:p w14:paraId="0602E88E">
      <w:pPr>
        <w:spacing w:line="360" w:lineRule="auto"/>
        <w:ind w:firstLine="420"/>
        <w:rPr>
          <w:rFonts w:ascii="宋体" w:hAnsi="宋体" w:eastAsia="宋体" w:cs="宋体"/>
          <w:color w:val="auto"/>
          <w:highlight w:val="none"/>
        </w:rPr>
      </w:pPr>
      <w:r>
        <w:rPr>
          <w:rFonts w:hint="eastAsia" w:ascii="宋体" w:hAnsi="宋体" w:eastAsia="宋体" w:cs="宋体"/>
          <w:color w:val="auto"/>
          <w:highlight w:val="none"/>
        </w:rPr>
        <w:t>五、保修费用</w:t>
      </w:r>
    </w:p>
    <w:p w14:paraId="1C615266">
      <w:pPr>
        <w:tabs>
          <w:tab w:val="left" w:pos="7380"/>
        </w:tabs>
        <w:spacing w:line="360" w:lineRule="auto"/>
        <w:ind w:firstLine="420"/>
        <w:rPr>
          <w:rFonts w:ascii="宋体" w:hAnsi="宋体" w:eastAsia="宋体" w:cs="宋体"/>
          <w:color w:val="auto"/>
          <w:highlight w:val="none"/>
        </w:rPr>
      </w:pPr>
      <w:r>
        <w:rPr>
          <w:rFonts w:hint="eastAsia" w:ascii="宋体" w:hAnsi="宋体" w:eastAsia="宋体" w:cs="宋体"/>
          <w:color w:val="auto"/>
          <w:highlight w:val="none"/>
        </w:rPr>
        <w:t>保修费用由造成质量缺陷的责任方承担。</w:t>
      </w:r>
    </w:p>
    <w:p w14:paraId="7497EB07">
      <w:pPr>
        <w:spacing w:line="360" w:lineRule="auto"/>
        <w:ind w:firstLine="420"/>
        <w:rPr>
          <w:rFonts w:ascii="宋体" w:hAnsi="宋体" w:eastAsia="宋体" w:cs="宋体"/>
          <w:color w:val="auto"/>
          <w:highlight w:val="none"/>
        </w:rPr>
      </w:pPr>
      <w:r>
        <w:rPr>
          <w:rFonts w:hint="eastAsia" w:ascii="宋体" w:hAnsi="宋体" w:eastAsia="宋体" w:cs="宋体"/>
          <w:color w:val="auto"/>
          <w:highlight w:val="none"/>
        </w:rPr>
        <w:t xml:space="preserve">六、双方约定的其他工程质量保修事项： </w:t>
      </w:r>
    </w:p>
    <w:p w14:paraId="49B45B83">
      <w:pPr>
        <w:spacing w:line="360" w:lineRule="auto"/>
        <w:ind w:firstLine="420" w:firstLineChars="200"/>
        <w:jc w:val="left"/>
        <w:rPr>
          <w:rFonts w:ascii="宋体" w:hAnsi="宋体" w:eastAsia="宋体" w:cs="宋体"/>
          <w:color w:val="auto"/>
          <w:highlight w:val="none"/>
          <w:u w:val="single"/>
        </w:rPr>
      </w:pPr>
      <w:r>
        <w:rPr>
          <w:rFonts w:hint="eastAsia" w:ascii="宋体" w:hAnsi="宋体" w:eastAsia="宋体" w:cs="宋体"/>
          <w:color w:val="auto"/>
          <w:highlight w:val="none"/>
          <w:u w:val="single"/>
        </w:rPr>
        <w:t xml:space="preserve">属于保修范围、内容的项目，承包人应当在接到保修通知之日 起 2 天内派人保修。发包人在保修通知中应明确要求承包人进场维修时间和维修完成的时间。 </w:t>
      </w:r>
    </w:p>
    <w:p w14:paraId="35AE6C18">
      <w:pPr>
        <w:spacing w:line="360" w:lineRule="auto"/>
        <w:ind w:firstLine="420" w:firstLineChars="200"/>
        <w:jc w:val="left"/>
        <w:rPr>
          <w:rFonts w:ascii="宋体" w:hAnsi="宋体" w:eastAsia="宋体" w:cs="宋体"/>
          <w:color w:val="auto"/>
          <w:highlight w:val="none"/>
          <w:u w:val="single"/>
        </w:rPr>
      </w:pPr>
      <w:r>
        <w:rPr>
          <w:rFonts w:hint="eastAsia" w:ascii="宋体" w:hAnsi="宋体" w:eastAsia="宋体" w:cs="宋体"/>
          <w:color w:val="auto"/>
          <w:highlight w:val="none"/>
          <w:u w:val="single"/>
        </w:rPr>
        <w:t xml:space="preserve">保修通知的方式和要求具体如下： </w:t>
      </w:r>
    </w:p>
    <w:p w14:paraId="03FDBD6C">
      <w:pPr>
        <w:spacing w:line="360" w:lineRule="auto"/>
        <w:ind w:firstLine="420" w:firstLineChars="200"/>
        <w:jc w:val="left"/>
        <w:rPr>
          <w:rFonts w:ascii="宋体" w:hAnsi="宋体" w:eastAsia="宋体" w:cs="宋体"/>
          <w:color w:val="auto"/>
          <w:highlight w:val="none"/>
          <w:u w:val="single"/>
        </w:rPr>
      </w:pPr>
      <w:r>
        <w:rPr>
          <w:rFonts w:hint="eastAsia" w:ascii="宋体" w:hAnsi="宋体" w:eastAsia="宋体" w:cs="宋体"/>
          <w:color w:val="auto"/>
          <w:highlight w:val="none"/>
          <w:u w:val="single"/>
        </w:rPr>
        <w:t xml:space="preserve">1.承包人向发包人提出竣工验收申请时，以书面形式明确其工程项目质量保修期内指定的维修负责人及承包人另行授权负责人的 24 小时服务报修电话。保修期间发包人可通过报修电话口头向承包人报修。承包人自项目工程竣工验收日起至项目工程质量保修期期满验收合格日止，保修期内如承包人明确的维修负责人及承包人另行授权负责人的 24 小时服务报修电话发生变更，承包人需次日以书面的形式告知发包人，发包人因承包人变更联系方式而未能告知承包人相关维修事宜的，造成的损失由承包人承担。 </w:t>
      </w:r>
    </w:p>
    <w:p w14:paraId="44E3A86B">
      <w:pPr>
        <w:spacing w:line="360" w:lineRule="auto"/>
        <w:ind w:firstLine="420" w:firstLineChars="200"/>
        <w:jc w:val="left"/>
        <w:rPr>
          <w:rFonts w:ascii="宋体" w:hAnsi="宋体" w:eastAsia="宋体" w:cs="宋体"/>
          <w:color w:val="auto"/>
          <w:highlight w:val="none"/>
          <w:u w:val="single"/>
        </w:rPr>
      </w:pPr>
      <w:r>
        <w:rPr>
          <w:rFonts w:hint="eastAsia" w:ascii="宋体" w:hAnsi="宋体" w:eastAsia="宋体" w:cs="宋体"/>
          <w:color w:val="auto"/>
          <w:highlight w:val="none"/>
          <w:u w:val="single"/>
        </w:rPr>
        <w:t xml:space="preserve">2.工程竣工交付使用起至保修期满，发包人通过承包人的报修电话向承包人报修。同时承包人授权的工程负责人或其委托人应于当天到发包人质量安全监管部签收保修通知。如承包人未到现场签收保修通知，由发包人次日以邮寄的方式向承包人发出书面的报修通知，邮资由承包人负责，具体由发包人直接在承包人的质量保修金中扣付。 </w:t>
      </w:r>
    </w:p>
    <w:p w14:paraId="3F05C86E">
      <w:pPr>
        <w:spacing w:line="360" w:lineRule="auto"/>
        <w:ind w:firstLine="420" w:firstLineChars="200"/>
        <w:jc w:val="left"/>
        <w:rPr>
          <w:rFonts w:ascii="宋体" w:hAnsi="宋体" w:eastAsia="宋体" w:cs="宋体"/>
          <w:color w:val="auto"/>
          <w:highlight w:val="none"/>
        </w:rPr>
      </w:pPr>
      <w:r>
        <w:rPr>
          <w:rFonts w:hint="eastAsia" w:ascii="宋体" w:hAnsi="宋体" w:eastAsia="宋体" w:cs="宋体"/>
          <w:color w:val="auto"/>
          <w:highlight w:val="none"/>
          <w:u w:val="single"/>
        </w:rPr>
        <w:t xml:space="preserve">3.对紧急抢修事故（如路面损毁、排水受阻等影响业主正常生活），发包人随时通过承包人的报修电话向承包人报修。承包人在接到事故通知后，应当立即到达事故现场抢修，并于抢修完成后二个工作日内与发包人以书面形式对通知和抢修事宜进行确认 </w:t>
      </w:r>
      <w:r>
        <w:rPr>
          <w:rFonts w:hint="eastAsia" w:ascii="宋体" w:hAnsi="宋体" w:eastAsia="宋体" w:cs="宋体"/>
          <w:color w:val="auto"/>
          <w:highlight w:val="none"/>
        </w:rPr>
        <w:t>。</w:t>
      </w:r>
    </w:p>
    <w:p w14:paraId="57025997">
      <w:pPr>
        <w:spacing w:line="360" w:lineRule="auto"/>
        <w:ind w:firstLine="399" w:firstLineChars="190"/>
        <w:rPr>
          <w:rFonts w:ascii="宋体" w:hAnsi="宋体" w:eastAsia="宋体" w:cs="宋体"/>
          <w:color w:val="auto"/>
          <w:highlight w:val="none"/>
        </w:rPr>
      </w:pPr>
      <w:r>
        <w:rPr>
          <w:rFonts w:hint="eastAsia" w:ascii="宋体" w:hAnsi="宋体" w:eastAsia="宋体" w:cs="宋体"/>
          <w:color w:val="auto"/>
          <w:highlight w:val="none"/>
        </w:rPr>
        <w:t>工程质量保修书由发包人、承包人在工程竣工验收前共同签署，作为施工合同附件，其有效期限至保修期满。</w:t>
      </w:r>
    </w:p>
    <w:p w14:paraId="37593832">
      <w:pPr>
        <w:spacing w:line="360" w:lineRule="auto"/>
        <w:ind w:firstLine="420"/>
        <w:rPr>
          <w:rFonts w:ascii="宋体" w:hAnsi="宋体" w:eastAsia="宋体" w:cs="宋体"/>
          <w:color w:val="auto"/>
          <w:highlight w:val="none"/>
        </w:rPr>
      </w:pPr>
    </w:p>
    <w:p w14:paraId="64EE2260">
      <w:pPr>
        <w:spacing w:line="360" w:lineRule="auto"/>
        <w:rPr>
          <w:rFonts w:ascii="宋体" w:hAnsi="宋体" w:eastAsia="宋体" w:cs="宋体"/>
          <w:color w:val="auto"/>
          <w:highlight w:val="none"/>
        </w:rPr>
      </w:pPr>
      <w:r>
        <w:rPr>
          <w:rFonts w:hint="eastAsia" w:ascii="宋体" w:hAnsi="宋体" w:eastAsia="宋体" w:cs="宋体"/>
          <w:color w:val="auto"/>
          <w:highlight w:val="none"/>
        </w:rPr>
        <w:t>发包人（公章）：</w:t>
      </w:r>
      <w:r>
        <w:rPr>
          <w:rFonts w:hint="eastAsia" w:ascii="宋体" w:hAnsi="宋体" w:eastAsia="宋体" w:cs="宋体"/>
          <w:color w:val="auto"/>
          <w:highlight w:val="none"/>
          <w:u w:val="single"/>
        </w:rPr>
        <w:t xml:space="preserve">         </w:t>
      </w:r>
      <w:r>
        <w:rPr>
          <w:rFonts w:hint="eastAsia" w:ascii="宋体" w:hAnsi="宋体" w:eastAsia="宋体" w:cs="宋体"/>
          <w:color w:val="auto"/>
          <w:highlight w:val="none"/>
        </w:rPr>
        <w:t xml:space="preserve">             承包人（公章）：</w:t>
      </w:r>
      <w:r>
        <w:rPr>
          <w:rFonts w:hint="eastAsia" w:ascii="宋体" w:hAnsi="宋体" w:eastAsia="宋体" w:cs="宋体"/>
          <w:color w:val="auto"/>
          <w:highlight w:val="none"/>
          <w:u w:val="single"/>
        </w:rPr>
        <w:t>          </w:t>
      </w:r>
    </w:p>
    <w:p w14:paraId="241A6D62">
      <w:pPr>
        <w:spacing w:line="360" w:lineRule="auto"/>
        <w:rPr>
          <w:rFonts w:ascii="宋体" w:hAnsi="宋体" w:eastAsia="宋体" w:cs="宋体"/>
          <w:color w:val="auto"/>
          <w:highlight w:val="none"/>
        </w:rPr>
      </w:pPr>
      <w:r>
        <w:rPr>
          <w:rFonts w:hint="eastAsia" w:ascii="宋体" w:hAnsi="宋体" w:eastAsia="宋体" w:cs="宋体"/>
          <w:color w:val="auto"/>
          <w:highlight w:val="none"/>
        </w:rPr>
        <w:t>地  址：</w:t>
      </w:r>
      <w:r>
        <w:rPr>
          <w:rFonts w:hint="eastAsia" w:ascii="宋体" w:hAnsi="宋体" w:eastAsia="宋体" w:cs="宋体"/>
          <w:color w:val="auto"/>
          <w:highlight w:val="none"/>
          <w:u w:val="single"/>
        </w:rPr>
        <w:t xml:space="preserve">       </w:t>
      </w:r>
      <w:r>
        <w:rPr>
          <w:rFonts w:hint="eastAsia" w:ascii="宋体" w:hAnsi="宋体" w:eastAsia="宋体" w:cs="宋体"/>
          <w:color w:val="auto"/>
          <w:highlight w:val="none"/>
        </w:rPr>
        <w:t xml:space="preserve">              地  址：</w:t>
      </w:r>
      <w:r>
        <w:rPr>
          <w:rFonts w:hint="eastAsia" w:ascii="宋体" w:hAnsi="宋体" w:eastAsia="宋体" w:cs="宋体"/>
          <w:color w:val="auto"/>
          <w:highlight w:val="none"/>
          <w:u w:val="single"/>
        </w:rPr>
        <w:t>      </w:t>
      </w:r>
    </w:p>
    <w:p w14:paraId="1001706B">
      <w:pPr>
        <w:spacing w:line="360" w:lineRule="auto"/>
        <w:rPr>
          <w:rFonts w:ascii="宋体" w:hAnsi="宋体" w:eastAsia="宋体" w:cs="宋体"/>
          <w:color w:val="auto"/>
          <w:highlight w:val="none"/>
        </w:rPr>
      </w:pPr>
      <w:r>
        <w:rPr>
          <w:rFonts w:hint="eastAsia" w:ascii="宋体" w:hAnsi="宋体" w:eastAsia="宋体" w:cs="宋体"/>
          <w:color w:val="auto"/>
          <w:highlight w:val="none"/>
        </w:rPr>
        <w:t>法定代表人（签字）：</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法定代表人（签字）：</w:t>
      </w:r>
      <w:r>
        <w:rPr>
          <w:rFonts w:hint="eastAsia" w:ascii="宋体" w:hAnsi="宋体" w:eastAsia="宋体" w:cs="宋体"/>
          <w:color w:val="auto"/>
          <w:highlight w:val="none"/>
          <w:u w:val="single"/>
        </w:rPr>
        <w:t>     </w:t>
      </w:r>
    </w:p>
    <w:p w14:paraId="112E64E0">
      <w:pPr>
        <w:spacing w:line="360" w:lineRule="auto"/>
        <w:rPr>
          <w:rFonts w:ascii="宋体" w:hAnsi="宋体" w:eastAsia="宋体" w:cs="宋体"/>
          <w:color w:val="auto"/>
          <w:highlight w:val="none"/>
        </w:rPr>
      </w:pPr>
      <w:r>
        <w:rPr>
          <w:rFonts w:hint="eastAsia" w:ascii="宋体" w:hAnsi="宋体" w:eastAsia="宋体" w:cs="宋体"/>
          <w:color w:val="auto"/>
          <w:highlight w:val="none"/>
        </w:rPr>
        <w:t>委托代理人（签字）：</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委托代理人（签字）：</w:t>
      </w:r>
      <w:r>
        <w:rPr>
          <w:rFonts w:hint="eastAsia" w:ascii="宋体" w:hAnsi="宋体" w:eastAsia="宋体" w:cs="宋体"/>
          <w:color w:val="auto"/>
          <w:highlight w:val="none"/>
          <w:u w:val="single"/>
        </w:rPr>
        <w:t>     </w:t>
      </w:r>
    </w:p>
    <w:p w14:paraId="0AC37843">
      <w:pPr>
        <w:spacing w:line="360" w:lineRule="auto"/>
        <w:rPr>
          <w:rFonts w:ascii="宋体" w:hAnsi="宋体" w:eastAsia="宋体" w:cs="宋体"/>
          <w:color w:val="auto"/>
          <w:highlight w:val="none"/>
        </w:rPr>
      </w:pPr>
      <w:r>
        <w:rPr>
          <w:rFonts w:hint="eastAsia" w:ascii="宋体" w:hAnsi="宋体" w:eastAsia="宋体" w:cs="宋体"/>
          <w:color w:val="auto"/>
          <w:highlight w:val="none"/>
        </w:rPr>
        <w:t>电  话：</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电  话：</w:t>
      </w:r>
      <w:r>
        <w:rPr>
          <w:rFonts w:hint="eastAsia" w:ascii="宋体" w:hAnsi="宋体" w:eastAsia="宋体" w:cs="宋体"/>
          <w:color w:val="auto"/>
          <w:highlight w:val="none"/>
          <w:u w:val="single"/>
        </w:rPr>
        <w:t>      </w:t>
      </w:r>
    </w:p>
    <w:p w14:paraId="0277BA8C">
      <w:pPr>
        <w:spacing w:line="360" w:lineRule="auto"/>
        <w:rPr>
          <w:rFonts w:ascii="宋体" w:hAnsi="宋体" w:eastAsia="宋体" w:cs="宋体"/>
          <w:color w:val="auto"/>
          <w:highlight w:val="none"/>
        </w:rPr>
      </w:pPr>
      <w:r>
        <w:rPr>
          <w:rFonts w:hint="eastAsia" w:ascii="宋体" w:hAnsi="宋体" w:eastAsia="宋体" w:cs="宋体"/>
          <w:color w:val="auto"/>
          <w:highlight w:val="none"/>
        </w:rPr>
        <w:t>传  真：</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传  真：</w:t>
      </w:r>
      <w:r>
        <w:rPr>
          <w:rFonts w:hint="eastAsia" w:ascii="宋体" w:hAnsi="宋体" w:eastAsia="宋体" w:cs="宋体"/>
          <w:color w:val="auto"/>
          <w:highlight w:val="none"/>
          <w:u w:val="single"/>
        </w:rPr>
        <w:t>    </w:t>
      </w:r>
    </w:p>
    <w:p w14:paraId="7E76FE60">
      <w:pPr>
        <w:spacing w:line="360" w:lineRule="auto"/>
        <w:rPr>
          <w:rFonts w:ascii="宋体" w:hAnsi="宋体" w:eastAsia="宋体" w:cs="宋体"/>
          <w:color w:val="auto"/>
          <w:highlight w:val="none"/>
        </w:rPr>
      </w:pPr>
      <w:r>
        <w:rPr>
          <w:rFonts w:hint="eastAsia" w:ascii="宋体" w:hAnsi="宋体" w:eastAsia="宋体" w:cs="宋体"/>
          <w:color w:val="auto"/>
          <w:highlight w:val="none"/>
        </w:rPr>
        <w:t>开户银行：</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开户银行：</w:t>
      </w:r>
      <w:r>
        <w:rPr>
          <w:rFonts w:hint="eastAsia" w:ascii="宋体" w:hAnsi="宋体" w:eastAsia="宋体" w:cs="宋体"/>
          <w:color w:val="auto"/>
          <w:highlight w:val="none"/>
          <w:u w:val="single"/>
        </w:rPr>
        <w:t>  </w:t>
      </w:r>
    </w:p>
    <w:p w14:paraId="6E3AC14A">
      <w:pPr>
        <w:tabs>
          <w:tab w:val="left" w:pos="2880"/>
          <w:tab w:val="left" w:pos="3060"/>
          <w:tab w:val="left" w:pos="4500"/>
        </w:tabs>
        <w:spacing w:line="360" w:lineRule="auto"/>
        <w:rPr>
          <w:rFonts w:ascii="宋体" w:hAnsi="宋体" w:eastAsia="宋体" w:cs="宋体"/>
          <w:color w:val="auto"/>
          <w:highlight w:val="none"/>
        </w:rPr>
      </w:pPr>
      <w:r>
        <w:rPr>
          <w:rFonts w:hint="eastAsia" w:ascii="宋体" w:hAnsi="宋体" w:eastAsia="宋体" w:cs="宋体"/>
          <w:color w:val="auto"/>
          <w:highlight w:val="none"/>
        </w:rPr>
        <w:t>账  号：</w:t>
      </w:r>
      <w:r>
        <w:rPr>
          <w:rFonts w:hint="eastAsia" w:ascii="宋体" w:hAnsi="宋体" w:eastAsia="宋体" w:cs="宋体"/>
          <w:color w:val="auto"/>
          <w:highlight w:val="none"/>
          <w:u w:val="single"/>
        </w:rPr>
        <w:t xml:space="preserve">          </w:t>
      </w:r>
      <w:r>
        <w:rPr>
          <w:rFonts w:hint="eastAsia" w:ascii="宋体" w:hAnsi="宋体" w:eastAsia="宋体" w:cs="宋体"/>
          <w:color w:val="auto"/>
          <w:highlight w:val="none"/>
        </w:rPr>
        <w:t xml:space="preserve">              账  号：</w:t>
      </w:r>
      <w:r>
        <w:rPr>
          <w:rFonts w:hint="eastAsia" w:ascii="宋体" w:hAnsi="宋体" w:eastAsia="宋体" w:cs="宋体"/>
          <w:color w:val="auto"/>
          <w:highlight w:val="none"/>
          <w:u w:val="single"/>
        </w:rPr>
        <w:t>    </w:t>
      </w:r>
    </w:p>
    <w:p w14:paraId="1E8ECEF4">
      <w:pPr>
        <w:tabs>
          <w:tab w:val="left" w:pos="7200"/>
          <w:tab w:val="left" w:pos="7380"/>
          <w:tab w:val="left" w:pos="7560"/>
        </w:tabs>
        <w:spacing w:line="360" w:lineRule="auto"/>
        <w:rPr>
          <w:rFonts w:ascii="宋体" w:hAnsi="宋体" w:eastAsia="宋体" w:cs="宋体"/>
          <w:color w:val="auto"/>
          <w:highlight w:val="none"/>
        </w:rPr>
      </w:pPr>
      <w:r>
        <w:rPr>
          <w:rFonts w:hint="eastAsia" w:ascii="宋体" w:hAnsi="宋体" w:eastAsia="宋体" w:cs="宋体"/>
          <w:color w:val="auto"/>
          <w:highlight w:val="none"/>
        </w:rPr>
        <w:t>邮政编码：</w:t>
      </w:r>
      <w:r>
        <w:rPr>
          <w:rFonts w:hint="eastAsia" w:ascii="宋体" w:hAnsi="宋体" w:eastAsia="宋体" w:cs="宋体"/>
          <w:color w:val="auto"/>
          <w:highlight w:val="none"/>
          <w:u w:val="single"/>
        </w:rPr>
        <w:t xml:space="preserve">       </w:t>
      </w:r>
      <w:r>
        <w:rPr>
          <w:rFonts w:hint="eastAsia" w:ascii="宋体" w:hAnsi="宋体" w:eastAsia="宋体" w:cs="宋体"/>
          <w:color w:val="auto"/>
          <w:highlight w:val="none"/>
        </w:rPr>
        <w:t xml:space="preserve">              邮政编码：</w:t>
      </w:r>
      <w:r>
        <w:rPr>
          <w:rFonts w:hint="eastAsia" w:ascii="宋体" w:hAnsi="宋体" w:eastAsia="宋体" w:cs="宋体"/>
          <w:color w:val="auto"/>
          <w:highlight w:val="none"/>
          <w:u w:val="single"/>
        </w:rPr>
        <w:t>   </w:t>
      </w:r>
    </w:p>
    <w:p w14:paraId="5C5151DA">
      <w:pPr>
        <w:spacing w:before="120" w:beforeLines="50" w:after="120" w:afterLines="50" w:line="440" w:lineRule="exact"/>
        <w:jc w:val="center"/>
        <w:rPr>
          <w:rFonts w:ascii="宋体" w:hAnsi="宋体" w:eastAsia="宋体" w:cs="宋体"/>
          <w:color w:val="auto"/>
          <w:sz w:val="32"/>
          <w:szCs w:val="32"/>
          <w:highlight w:val="none"/>
        </w:rPr>
      </w:pPr>
    </w:p>
    <w:p w14:paraId="455E4A7F">
      <w:pPr>
        <w:pStyle w:val="6"/>
        <w:jc w:val="left"/>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br w:type="page"/>
      </w:r>
      <w:r>
        <w:rPr>
          <w:rFonts w:hint="eastAsia" w:ascii="宋体" w:hAnsi="宋体" w:eastAsia="宋体" w:cs="宋体"/>
          <w:color w:val="auto"/>
          <w:highlight w:val="none"/>
        </w:rPr>
        <w:t>附件</w:t>
      </w:r>
      <w:r>
        <w:rPr>
          <w:rFonts w:hint="eastAsia" w:ascii="宋体" w:hAnsi="宋体" w:eastAsia="宋体" w:cs="宋体"/>
          <w:color w:val="auto"/>
          <w:sz w:val="30"/>
          <w:szCs w:val="30"/>
          <w:highlight w:val="none"/>
        </w:rPr>
        <w:t>3：</w:t>
      </w:r>
    </w:p>
    <w:p w14:paraId="53BC6A47">
      <w:pPr>
        <w:spacing w:before="120" w:beforeLines="50" w:after="120" w:afterLines="50" w:line="440" w:lineRule="exact"/>
        <w:jc w:val="center"/>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主要建设工程文件目录</w:t>
      </w:r>
    </w:p>
    <w:tbl>
      <w:tblPr>
        <w:tblStyle w:val="54"/>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953"/>
        <w:gridCol w:w="1276"/>
        <w:gridCol w:w="1450"/>
        <w:gridCol w:w="1243"/>
        <w:gridCol w:w="1450"/>
        <w:gridCol w:w="1667"/>
      </w:tblGrid>
      <w:tr w14:paraId="0A64EA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953" w:type="dxa"/>
            <w:tcBorders>
              <w:top w:val="single" w:color="auto" w:sz="12" w:space="0"/>
              <w:bottom w:val="double" w:color="auto" w:sz="6" w:space="0"/>
            </w:tcBorders>
            <w:noWrap w:val="0"/>
            <w:vAlign w:val="center"/>
          </w:tcPr>
          <w:p w14:paraId="1013A7D1">
            <w:pPr>
              <w:pStyle w:val="2"/>
              <w:keepNext/>
              <w:spacing w:line="440" w:lineRule="exact"/>
              <w:ind w:left="63" w:right="63"/>
              <w:rPr>
                <w:rFonts w:ascii="宋体" w:hAnsi="宋体" w:eastAsia="宋体" w:cs="宋体"/>
                <w:color w:val="auto"/>
                <w:sz w:val="28"/>
                <w:szCs w:val="30"/>
                <w:highlight w:val="none"/>
              </w:rPr>
            </w:pPr>
            <w:r>
              <w:rPr>
                <w:rFonts w:hint="eastAsia" w:ascii="宋体" w:hAnsi="宋体" w:eastAsia="宋体" w:cs="宋体"/>
                <w:color w:val="auto"/>
                <w:sz w:val="28"/>
                <w:szCs w:val="30"/>
                <w:highlight w:val="none"/>
              </w:rPr>
              <w:t>文件名称</w:t>
            </w:r>
          </w:p>
        </w:tc>
        <w:tc>
          <w:tcPr>
            <w:tcW w:w="1276" w:type="dxa"/>
            <w:tcBorders>
              <w:top w:val="single" w:color="auto" w:sz="12" w:space="0"/>
              <w:bottom w:val="double" w:color="auto" w:sz="6" w:space="0"/>
            </w:tcBorders>
            <w:noWrap w:val="0"/>
            <w:vAlign w:val="center"/>
          </w:tcPr>
          <w:p w14:paraId="2A383533">
            <w:pPr>
              <w:pStyle w:val="2"/>
              <w:keepNext/>
              <w:spacing w:line="440" w:lineRule="exact"/>
              <w:ind w:left="63" w:right="63"/>
              <w:rPr>
                <w:rFonts w:ascii="宋体" w:hAnsi="宋体" w:eastAsia="宋体" w:cs="宋体"/>
                <w:color w:val="auto"/>
                <w:sz w:val="28"/>
                <w:szCs w:val="30"/>
                <w:highlight w:val="none"/>
              </w:rPr>
            </w:pPr>
            <w:r>
              <w:rPr>
                <w:rFonts w:hint="eastAsia" w:ascii="宋体" w:hAnsi="宋体" w:eastAsia="宋体" w:cs="宋体"/>
                <w:color w:val="auto"/>
                <w:sz w:val="28"/>
                <w:szCs w:val="30"/>
                <w:highlight w:val="none"/>
              </w:rPr>
              <w:t>套数</w:t>
            </w:r>
          </w:p>
        </w:tc>
        <w:tc>
          <w:tcPr>
            <w:tcW w:w="1450" w:type="dxa"/>
            <w:tcBorders>
              <w:top w:val="single" w:color="auto" w:sz="12" w:space="0"/>
              <w:bottom w:val="double" w:color="auto" w:sz="6" w:space="0"/>
            </w:tcBorders>
            <w:noWrap w:val="0"/>
            <w:vAlign w:val="center"/>
          </w:tcPr>
          <w:p w14:paraId="33BA4D78">
            <w:pPr>
              <w:pStyle w:val="2"/>
              <w:keepNext/>
              <w:spacing w:line="440" w:lineRule="exact"/>
              <w:ind w:left="63" w:right="63"/>
              <w:rPr>
                <w:rFonts w:ascii="宋体" w:hAnsi="宋体" w:eastAsia="宋体" w:cs="宋体"/>
                <w:color w:val="auto"/>
                <w:sz w:val="28"/>
                <w:szCs w:val="30"/>
                <w:highlight w:val="none"/>
              </w:rPr>
            </w:pPr>
            <w:r>
              <w:rPr>
                <w:rFonts w:hint="eastAsia" w:ascii="宋体" w:hAnsi="宋体" w:eastAsia="宋体" w:cs="宋体"/>
                <w:color w:val="auto"/>
                <w:sz w:val="28"/>
                <w:szCs w:val="30"/>
                <w:highlight w:val="none"/>
              </w:rPr>
              <w:t>费用（元）</w:t>
            </w:r>
          </w:p>
        </w:tc>
        <w:tc>
          <w:tcPr>
            <w:tcW w:w="1243" w:type="dxa"/>
            <w:tcBorders>
              <w:top w:val="single" w:color="auto" w:sz="12" w:space="0"/>
              <w:bottom w:val="double" w:color="auto" w:sz="6" w:space="0"/>
            </w:tcBorders>
            <w:noWrap w:val="0"/>
            <w:vAlign w:val="center"/>
          </w:tcPr>
          <w:p w14:paraId="0F79769C">
            <w:pPr>
              <w:pStyle w:val="2"/>
              <w:keepNext/>
              <w:spacing w:line="440" w:lineRule="exact"/>
              <w:ind w:left="63" w:right="63"/>
              <w:rPr>
                <w:rFonts w:ascii="宋体" w:hAnsi="宋体" w:eastAsia="宋体" w:cs="宋体"/>
                <w:color w:val="auto"/>
                <w:sz w:val="28"/>
                <w:szCs w:val="30"/>
                <w:highlight w:val="none"/>
              </w:rPr>
            </w:pPr>
            <w:r>
              <w:rPr>
                <w:rFonts w:hint="eastAsia" w:ascii="宋体" w:hAnsi="宋体" w:eastAsia="宋体" w:cs="宋体"/>
                <w:color w:val="auto"/>
                <w:sz w:val="28"/>
                <w:szCs w:val="30"/>
                <w:highlight w:val="none"/>
              </w:rPr>
              <w:t>质量</w:t>
            </w:r>
          </w:p>
        </w:tc>
        <w:tc>
          <w:tcPr>
            <w:tcW w:w="1450" w:type="dxa"/>
            <w:tcBorders>
              <w:top w:val="single" w:color="auto" w:sz="12" w:space="0"/>
              <w:bottom w:val="double" w:color="auto" w:sz="6" w:space="0"/>
            </w:tcBorders>
            <w:noWrap w:val="0"/>
            <w:vAlign w:val="top"/>
          </w:tcPr>
          <w:p w14:paraId="0516F3A7">
            <w:pPr>
              <w:spacing w:line="440" w:lineRule="exact"/>
              <w:jc w:val="center"/>
              <w:rPr>
                <w:rFonts w:ascii="宋体" w:hAnsi="宋体" w:eastAsia="宋体" w:cs="宋体"/>
                <w:color w:val="auto"/>
                <w:sz w:val="28"/>
                <w:szCs w:val="30"/>
                <w:highlight w:val="none"/>
              </w:rPr>
            </w:pPr>
            <w:r>
              <w:rPr>
                <w:rFonts w:hint="eastAsia" w:ascii="宋体" w:hAnsi="宋体" w:eastAsia="宋体" w:cs="宋体"/>
                <w:color w:val="auto"/>
                <w:sz w:val="28"/>
                <w:szCs w:val="30"/>
                <w:highlight w:val="none"/>
              </w:rPr>
              <w:t>移交时间</w:t>
            </w:r>
          </w:p>
        </w:tc>
        <w:tc>
          <w:tcPr>
            <w:tcW w:w="1667" w:type="dxa"/>
            <w:tcBorders>
              <w:top w:val="single" w:color="auto" w:sz="12" w:space="0"/>
              <w:bottom w:val="double" w:color="auto" w:sz="6" w:space="0"/>
            </w:tcBorders>
            <w:noWrap w:val="0"/>
            <w:vAlign w:val="top"/>
          </w:tcPr>
          <w:p w14:paraId="67A4B09E">
            <w:pPr>
              <w:spacing w:line="440" w:lineRule="exact"/>
              <w:jc w:val="center"/>
              <w:rPr>
                <w:rFonts w:ascii="宋体" w:hAnsi="宋体" w:eastAsia="宋体" w:cs="宋体"/>
                <w:color w:val="auto"/>
                <w:sz w:val="28"/>
                <w:szCs w:val="30"/>
                <w:highlight w:val="none"/>
              </w:rPr>
            </w:pPr>
            <w:r>
              <w:rPr>
                <w:rFonts w:hint="eastAsia" w:ascii="宋体" w:hAnsi="宋体" w:eastAsia="宋体" w:cs="宋体"/>
                <w:color w:val="auto"/>
                <w:sz w:val="28"/>
                <w:szCs w:val="30"/>
                <w:highlight w:val="none"/>
              </w:rPr>
              <w:t>责任人</w:t>
            </w:r>
          </w:p>
        </w:tc>
      </w:tr>
      <w:tr w14:paraId="25B51D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double" w:color="auto" w:sz="6" w:space="0"/>
              <w:bottom w:val="single" w:color="auto" w:sz="6" w:space="0"/>
            </w:tcBorders>
            <w:noWrap w:val="0"/>
            <w:vAlign w:val="center"/>
          </w:tcPr>
          <w:p w14:paraId="44573022">
            <w:pPr>
              <w:pStyle w:val="2"/>
              <w:keepNext/>
              <w:spacing w:line="440" w:lineRule="exact"/>
              <w:ind w:left="63" w:right="63"/>
              <w:rPr>
                <w:rFonts w:ascii="宋体" w:hAnsi="宋体" w:eastAsia="宋体" w:cs="宋体"/>
                <w:color w:val="auto"/>
                <w:sz w:val="30"/>
                <w:szCs w:val="30"/>
                <w:highlight w:val="none"/>
              </w:rPr>
            </w:pPr>
          </w:p>
        </w:tc>
        <w:tc>
          <w:tcPr>
            <w:tcW w:w="1276" w:type="dxa"/>
            <w:tcBorders>
              <w:top w:val="double" w:color="auto" w:sz="6" w:space="0"/>
              <w:bottom w:val="single" w:color="auto" w:sz="6" w:space="0"/>
            </w:tcBorders>
            <w:noWrap w:val="0"/>
            <w:vAlign w:val="center"/>
          </w:tcPr>
          <w:p w14:paraId="18F3B8FE">
            <w:pPr>
              <w:pStyle w:val="2"/>
              <w:keepNext/>
              <w:spacing w:line="440" w:lineRule="exact"/>
              <w:ind w:left="63" w:right="63"/>
              <w:rPr>
                <w:rFonts w:ascii="宋体" w:hAnsi="宋体" w:eastAsia="宋体" w:cs="宋体"/>
                <w:color w:val="auto"/>
                <w:sz w:val="30"/>
                <w:szCs w:val="30"/>
                <w:highlight w:val="none"/>
              </w:rPr>
            </w:pPr>
          </w:p>
        </w:tc>
        <w:tc>
          <w:tcPr>
            <w:tcW w:w="1450" w:type="dxa"/>
            <w:tcBorders>
              <w:top w:val="double" w:color="auto" w:sz="6" w:space="0"/>
              <w:bottom w:val="single" w:color="auto" w:sz="6" w:space="0"/>
            </w:tcBorders>
            <w:noWrap w:val="0"/>
            <w:vAlign w:val="center"/>
          </w:tcPr>
          <w:p w14:paraId="36043F72">
            <w:pPr>
              <w:pStyle w:val="2"/>
              <w:keepNext/>
              <w:spacing w:line="440" w:lineRule="exact"/>
              <w:ind w:left="63" w:right="63"/>
              <w:rPr>
                <w:rFonts w:ascii="宋体" w:hAnsi="宋体" w:eastAsia="宋体" w:cs="宋体"/>
                <w:color w:val="auto"/>
                <w:sz w:val="30"/>
                <w:szCs w:val="30"/>
                <w:highlight w:val="none"/>
              </w:rPr>
            </w:pPr>
          </w:p>
        </w:tc>
        <w:tc>
          <w:tcPr>
            <w:tcW w:w="1243" w:type="dxa"/>
            <w:tcBorders>
              <w:top w:val="double" w:color="auto" w:sz="6" w:space="0"/>
              <w:bottom w:val="single" w:color="auto" w:sz="6" w:space="0"/>
            </w:tcBorders>
            <w:noWrap w:val="0"/>
            <w:vAlign w:val="center"/>
          </w:tcPr>
          <w:p w14:paraId="39761DAE">
            <w:pPr>
              <w:pStyle w:val="2"/>
              <w:keepNext/>
              <w:spacing w:line="440" w:lineRule="exact"/>
              <w:ind w:left="63" w:right="63"/>
              <w:rPr>
                <w:rFonts w:ascii="宋体" w:hAnsi="宋体" w:eastAsia="宋体" w:cs="宋体"/>
                <w:color w:val="auto"/>
                <w:sz w:val="30"/>
                <w:szCs w:val="30"/>
                <w:highlight w:val="none"/>
              </w:rPr>
            </w:pPr>
          </w:p>
        </w:tc>
        <w:tc>
          <w:tcPr>
            <w:tcW w:w="1450" w:type="dxa"/>
            <w:tcBorders>
              <w:top w:val="double" w:color="auto" w:sz="6" w:space="0"/>
              <w:bottom w:val="single" w:color="auto" w:sz="6" w:space="0"/>
            </w:tcBorders>
            <w:noWrap w:val="0"/>
            <w:vAlign w:val="center"/>
          </w:tcPr>
          <w:p w14:paraId="22D5ECD6">
            <w:pPr>
              <w:pStyle w:val="2"/>
              <w:keepNext/>
              <w:spacing w:line="440" w:lineRule="exact"/>
              <w:ind w:left="63" w:right="63"/>
              <w:rPr>
                <w:rFonts w:ascii="宋体" w:hAnsi="宋体" w:eastAsia="宋体" w:cs="宋体"/>
                <w:color w:val="auto"/>
                <w:sz w:val="30"/>
                <w:szCs w:val="30"/>
                <w:highlight w:val="none"/>
              </w:rPr>
            </w:pPr>
          </w:p>
        </w:tc>
        <w:tc>
          <w:tcPr>
            <w:tcW w:w="1667" w:type="dxa"/>
            <w:tcBorders>
              <w:top w:val="double" w:color="auto" w:sz="6" w:space="0"/>
              <w:bottom w:val="single" w:color="auto" w:sz="6" w:space="0"/>
            </w:tcBorders>
            <w:noWrap w:val="0"/>
            <w:vAlign w:val="center"/>
          </w:tcPr>
          <w:p w14:paraId="2809B0CA">
            <w:pPr>
              <w:pStyle w:val="2"/>
              <w:keepNext/>
              <w:spacing w:line="440" w:lineRule="exact"/>
              <w:ind w:left="63" w:right="63"/>
              <w:rPr>
                <w:rFonts w:ascii="宋体" w:hAnsi="宋体" w:eastAsia="宋体" w:cs="宋体"/>
                <w:color w:val="auto"/>
                <w:sz w:val="30"/>
                <w:szCs w:val="30"/>
                <w:highlight w:val="none"/>
              </w:rPr>
            </w:pPr>
          </w:p>
        </w:tc>
      </w:tr>
      <w:tr w14:paraId="4CD404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567" w:hRule="atLeast"/>
          <w:jc w:val="center"/>
        </w:trPr>
        <w:tc>
          <w:tcPr>
            <w:tcW w:w="1953" w:type="dxa"/>
            <w:tcBorders>
              <w:top w:val="nil"/>
            </w:tcBorders>
            <w:noWrap w:val="0"/>
            <w:vAlign w:val="center"/>
          </w:tcPr>
          <w:p w14:paraId="3FC56E46">
            <w:pPr>
              <w:pStyle w:val="2"/>
              <w:keepNext/>
              <w:spacing w:line="440" w:lineRule="exact"/>
              <w:ind w:left="63" w:right="63"/>
              <w:rPr>
                <w:rFonts w:ascii="宋体" w:hAnsi="宋体" w:eastAsia="宋体" w:cs="宋体"/>
                <w:color w:val="auto"/>
                <w:sz w:val="30"/>
                <w:szCs w:val="30"/>
                <w:highlight w:val="none"/>
              </w:rPr>
            </w:pPr>
          </w:p>
        </w:tc>
        <w:tc>
          <w:tcPr>
            <w:tcW w:w="1276" w:type="dxa"/>
            <w:tcBorders>
              <w:top w:val="nil"/>
            </w:tcBorders>
            <w:noWrap w:val="0"/>
            <w:vAlign w:val="center"/>
          </w:tcPr>
          <w:p w14:paraId="507F3996">
            <w:pPr>
              <w:pStyle w:val="2"/>
              <w:keepNext/>
              <w:spacing w:line="440" w:lineRule="exact"/>
              <w:ind w:left="63" w:right="63"/>
              <w:rPr>
                <w:rFonts w:ascii="宋体" w:hAnsi="宋体" w:eastAsia="宋体" w:cs="宋体"/>
                <w:color w:val="auto"/>
                <w:sz w:val="30"/>
                <w:szCs w:val="30"/>
                <w:highlight w:val="none"/>
              </w:rPr>
            </w:pPr>
          </w:p>
        </w:tc>
        <w:tc>
          <w:tcPr>
            <w:tcW w:w="1450" w:type="dxa"/>
            <w:tcBorders>
              <w:top w:val="nil"/>
            </w:tcBorders>
            <w:noWrap w:val="0"/>
            <w:vAlign w:val="center"/>
          </w:tcPr>
          <w:p w14:paraId="27C855FB">
            <w:pPr>
              <w:pStyle w:val="2"/>
              <w:keepNext/>
              <w:spacing w:line="440" w:lineRule="exact"/>
              <w:ind w:left="63" w:right="63"/>
              <w:rPr>
                <w:rFonts w:ascii="宋体" w:hAnsi="宋体" w:eastAsia="宋体" w:cs="宋体"/>
                <w:color w:val="auto"/>
                <w:sz w:val="30"/>
                <w:szCs w:val="30"/>
                <w:highlight w:val="none"/>
              </w:rPr>
            </w:pPr>
          </w:p>
        </w:tc>
        <w:tc>
          <w:tcPr>
            <w:tcW w:w="1243" w:type="dxa"/>
            <w:tcBorders>
              <w:top w:val="nil"/>
            </w:tcBorders>
            <w:noWrap w:val="0"/>
            <w:vAlign w:val="center"/>
          </w:tcPr>
          <w:p w14:paraId="41BC7C83">
            <w:pPr>
              <w:pStyle w:val="2"/>
              <w:keepNext/>
              <w:spacing w:line="440" w:lineRule="exact"/>
              <w:ind w:left="63" w:right="63"/>
              <w:rPr>
                <w:rFonts w:ascii="宋体" w:hAnsi="宋体" w:eastAsia="宋体" w:cs="宋体"/>
                <w:color w:val="auto"/>
                <w:sz w:val="30"/>
                <w:szCs w:val="30"/>
                <w:highlight w:val="none"/>
              </w:rPr>
            </w:pPr>
          </w:p>
        </w:tc>
        <w:tc>
          <w:tcPr>
            <w:tcW w:w="1450" w:type="dxa"/>
            <w:tcBorders>
              <w:top w:val="nil"/>
            </w:tcBorders>
            <w:noWrap w:val="0"/>
            <w:vAlign w:val="center"/>
          </w:tcPr>
          <w:p w14:paraId="12BD79C8">
            <w:pPr>
              <w:pStyle w:val="2"/>
              <w:keepNext/>
              <w:spacing w:line="440" w:lineRule="exact"/>
              <w:ind w:left="63" w:right="63"/>
              <w:rPr>
                <w:rFonts w:ascii="宋体" w:hAnsi="宋体" w:eastAsia="宋体" w:cs="宋体"/>
                <w:color w:val="auto"/>
                <w:sz w:val="30"/>
                <w:szCs w:val="30"/>
                <w:highlight w:val="none"/>
              </w:rPr>
            </w:pPr>
          </w:p>
        </w:tc>
        <w:tc>
          <w:tcPr>
            <w:tcW w:w="1667" w:type="dxa"/>
            <w:tcBorders>
              <w:top w:val="nil"/>
            </w:tcBorders>
            <w:noWrap w:val="0"/>
            <w:vAlign w:val="center"/>
          </w:tcPr>
          <w:p w14:paraId="5B04DD76">
            <w:pPr>
              <w:pStyle w:val="2"/>
              <w:keepNext/>
              <w:spacing w:line="440" w:lineRule="exact"/>
              <w:ind w:left="63" w:right="63"/>
              <w:rPr>
                <w:rFonts w:ascii="宋体" w:hAnsi="宋体" w:eastAsia="宋体" w:cs="宋体"/>
                <w:color w:val="auto"/>
                <w:sz w:val="30"/>
                <w:szCs w:val="30"/>
                <w:highlight w:val="none"/>
              </w:rPr>
            </w:pPr>
          </w:p>
        </w:tc>
      </w:tr>
      <w:tr w14:paraId="082261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127A221B">
            <w:pPr>
              <w:pStyle w:val="2"/>
              <w:keepNext/>
              <w:spacing w:line="440" w:lineRule="exact"/>
              <w:ind w:left="63" w:right="63"/>
              <w:rPr>
                <w:rFonts w:ascii="宋体" w:hAnsi="宋体" w:eastAsia="宋体" w:cs="宋体"/>
                <w:color w:val="auto"/>
                <w:sz w:val="30"/>
                <w:szCs w:val="30"/>
                <w:highlight w:val="none"/>
              </w:rPr>
            </w:pPr>
          </w:p>
        </w:tc>
        <w:tc>
          <w:tcPr>
            <w:tcW w:w="1276" w:type="dxa"/>
            <w:noWrap w:val="0"/>
            <w:vAlign w:val="center"/>
          </w:tcPr>
          <w:p w14:paraId="1B6746B7">
            <w:pPr>
              <w:pStyle w:val="2"/>
              <w:keepNext/>
              <w:spacing w:line="440" w:lineRule="exact"/>
              <w:ind w:left="63" w:right="63"/>
              <w:rPr>
                <w:rFonts w:ascii="宋体" w:hAnsi="宋体" w:eastAsia="宋体" w:cs="宋体"/>
                <w:color w:val="auto"/>
                <w:sz w:val="30"/>
                <w:szCs w:val="30"/>
                <w:highlight w:val="none"/>
              </w:rPr>
            </w:pPr>
          </w:p>
        </w:tc>
        <w:tc>
          <w:tcPr>
            <w:tcW w:w="1450" w:type="dxa"/>
            <w:noWrap w:val="0"/>
            <w:vAlign w:val="center"/>
          </w:tcPr>
          <w:p w14:paraId="1B864E2F">
            <w:pPr>
              <w:pStyle w:val="2"/>
              <w:keepNext/>
              <w:spacing w:line="440" w:lineRule="exact"/>
              <w:ind w:left="63" w:right="63"/>
              <w:rPr>
                <w:rFonts w:ascii="宋体" w:hAnsi="宋体" w:eastAsia="宋体" w:cs="宋体"/>
                <w:color w:val="auto"/>
                <w:sz w:val="30"/>
                <w:szCs w:val="30"/>
                <w:highlight w:val="none"/>
              </w:rPr>
            </w:pPr>
          </w:p>
        </w:tc>
        <w:tc>
          <w:tcPr>
            <w:tcW w:w="1243" w:type="dxa"/>
            <w:noWrap w:val="0"/>
            <w:vAlign w:val="center"/>
          </w:tcPr>
          <w:p w14:paraId="608FBC1E">
            <w:pPr>
              <w:pStyle w:val="2"/>
              <w:keepNext/>
              <w:spacing w:line="440" w:lineRule="exact"/>
              <w:ind w:left="63" w:right="63"/>
              <w:rPr>
                <w:rFonts w:ascii="宋体" w:hAnsi="宋体" w:eastAsia="宋体" w:cs="宋体"/>
                <w:color w:val="auto"/>
                <w:sz w:val="30"/>
                <w:szCs w:val="30"/>
                <w:highlight w:val="none"/>
              </w:rPr>
            </w:pPr>
          </w:p>
        </w:tc>
        <w:tc>
          <w:tcPr>
            <w:tcW w:w="1450" w:type="dxa"/>
            <w:noWrap w:val="0"/>
            <w:vAlign w:val="center"/>
          </w:tcPr>
          <w:p w14:paraId="5C6E4ADE">
            <w:pPr>
              <w:pStyle w:val="2"/>
              <w:keepNext/>
              <w:spacing w:line="440" w:lineRule="exact"/>
              <w:ind w:left="63" w:right="63"/>
              <w:rPr>
                <w:rFonts w:ascii="宋体" w:hAnsi="宋体" w:eastAsia="宋体" w:cs="宋体"/>
                <w:color w:val="auto"/>
                <w:sz w:val="30"/>
                <w:szCs w:val="30"/>
                <w:highlight w:val="none"/>
              </w:rPr>
            </w:pPr>
          </w:p>
        </w:tc>
        <w:tc>
          <w:tcPr>
            <w:tcW w:w="1667" w:type="dxa"/>
            <w:noWrap w:val="0"/>
            <w:vAlign w:val="center"/>
          </w:tcPr>
          <w:p w14:paraId="7AF066F5">
            <w:pPr>
              <w:pStyle w:val="2"/>
              <w:keepNext/>
              <w:spacing w:line="440" w:lineRule="exact"/>
              <w:ind w:left="63" w:right="63"/>
              <w:rPr>
                <w:rFonts w:ascii="宋体" w:hAnsi="宋体" w:eastAsia="宋体" w:cs="宋体"/>
                <w:color w:val="auto"/>
                <w:sz w:val="30"/>
                <w:szCs w:val="30"/>
                <w:highlight w:val="none"/>
              </w:rPr>
            </w:pPr>
          </w:p>
        </w:tc>
      </w:tr>
      <w:tr w14:paraId="31FEB6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7231DA45">
            <w:pPr>
              <w:pStyle w:val="2"/>
              <w:keepNext/>
              <w:spacing w:line="440" w:lineRule="exact"/>
              <w:ind w:left="63" w:right="63"/>
              <w:rPr>
                <w:rFonts w:ascii="宋体" w:hAnsi="宋体" w:eastAsia="宋体" w:cs="宋体"/>
                <w:color w:val="auto"/>
                <w:sz w:val="30"/>
                <w:szCs w:val="30"/>
                <w:highlight w:val="none"/>
              </w:rPr>
            </w:pPr>
          </w:p>
        </w:tc>
        <w:tc>
          <w:tcPr>
            <w:tcW w:w="1276" w:type="dxa"/>
            <w:noWrap w:val="0"/>
            <w:vAlign w:val="center"/>
          </w:tcPr>
          <w:p w14:paraId="67CA7092">
            <w:pPr>
              <w:pStyle w:val="2"/>
              <w:keepNext/>
              <w:spacing w:line="440" w:lineRule="exact"/>
              <w:ind w:left="63" w:right="63"/>
              <w:rPr>
                <w:rFonts w:ascii="宋体" w:hAnsi="宋体" w:eastAsia="宋体" w:cs="宋体"/>
                <w:color w:val="auto"/>
                <w:sz w:val="30"/>
                <w:szCs w:val="30"/>
                <w:highlight w:val="none"/>
              </w:rPr>
            </w:pPr>
          </w:p>
        </w:tc>
        <w:tc>
          <w:tcPr>
            <w:tcW w:w="1450" w:type="dxa"/>
            <w:noWrap w:val="0"/>
            <w:vAlign w:val="center"/>
          </w:tcPr>
          <w:p w14:paraId="799289DC">
            <w:pPr>
              <w:pStyle w:val="2"/>
              <w:keepNext/>
              <w:spacing w:line="440" w:lineRule="exact"/>
              <w:ind w:left="63" w:right="63"/>
              <w:rPr>
                <w:rFonts w:ascii="宋体" w:hAnsi="宋体" w:eastAsia="宋体" w:cs="宋体"/>
                <w:color w:val="auto"/>
                <w:sz w:val="30"/>
                <w:szCs w:val="30"/>
                <w:highlight w:val="none"/>
              </w:rPr>
            </w:pPr>
          </w:p>
        </w:tc>
        <w:tc>
          <w:tcPr>
            <w:tcW w:w="1243" w:type="dxa"/>
            <w:noWrap w:val="0"/>
            <w:vAlign w:val="center"/>
          </w:tcPr>
          <w:p w14:paraId="3C363D59">
            <w:pPr>
              <w:pStyle w:val="2"/>
              <w:keepNext/>
              <w:spacing w:line="440" w:lineRule="exact"/>
              <w:ind w:left="63" w:right="63"/>
              <w:rPr>
                <w:rFonts w:ascii="宋体" w:hAnsi="宋体" w:eastAsia="宋体" w:cs="宋体"/>
                <w:color w:val="auto"/>
                <w:sz w:val="30"/>
                <w:szCs w:val="30"/>
                <w:highlight w:val="none"/>
              </w:rPr>
            </w:pPr>
          </w:p>
        </w:tc>
        <w:tc>
          <w:tcPr>
            <w:tcW w:w="1450" w:type="dxa"/>
            <w:noWrap w:val="0"/>
            <w:vAlign w:val="center"/>
          </w:tcPr>
          <w:p w14:paraId="33CCF9AF">
            <w:pPr>
              <w:pStyle w:val="2"/>
              <w:keepNext/>
              <w:spacing w:line="440" w:lineRule="exact"/>
              <w:ind w:left="63" w:right="63"/>
              <w:rPr>
                <w:rFonts w:ascii="宋体" w:hAnsi="宋体" w:eastAsia="宋体" w:cs="宋体"/>
                <w:color w:val="auto"/>
                <w:sz w:val="30"/>
                <w:szCs w:val="30"/>
                <w:highlight w:val="none"/>
              </w:rPr>
            </w:pPr>
          </w:p>
        </w:tc>
        <w:tc>
          <w:tcPr>
            <w:tcW w:w="1667" w:type="dxa"/>
            <w:noWrap w:val="0"/>
            <w:vAlign w:val="center"/>
          </w:tcPr>
          <w:p w14:paraId="7657C976">
            <w:pPr>
              <w:pStyle w:val="2"/>
              <w:keepNext/>
              <w:spacing w:line="440" w:lineRule="exact"/>
              <w:ind w:left="63" w:right="63"/>
              <w:rPr>
                <w:rFonts w:ascii="宋体" w:hAnsi="宋体" w:eastAsia="宋体" w:cs="宋体"/>
                <w:color w:val="auto"/>
                <w:sz w:val="30"/>
                <w:szCs w:val="30"/>
                <w:highlight w:val="none"/>
              </w:rPr>
            </w:pPr>
          </w:p>
        </w:tc>
      </w:tr>
      <w:tr w14:paraId="525C6FE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567" w:hRule="atLeast"/>
          <w:jc w:val="center"/>
        </w:trPr>
        <w:tc>
          <w:tcPr>
            <w:tcW w:w="1953" w:type="dxa"/>
            <w:noWrap w:val="0"/>
            <w:vAlign w:val="center"/>
          </w:tcPr>
          <w:p w14:paraId="0BBA6B30">
            <w:pPr>
              <w:pStyle w:val="2"/>
              <w:keepNext/>
              <w:spacing w:line="440" w:lineRule="exact"/>
              <w:ind w:left="63" w:right="63"/>
              <w:rPr>
                <w:rFonts w:ascii="宋体" w:hAnsi="宋体" w:eastAsia="宋体" w:cs="宋体"/>
                <w:color w:val="auto"/>
                <w:sz w:val="30"/>
                <w:szCs w:val="30"/>
                <w:highlight w:val="none"/>
              </w:rPr>
            </w:pPr>
          </w:p>
        </w:tc>
        <w:tc>
          <w:tcPr>
            <w:tcW w:w="1276" w:type="dxa"/>
            <w:noWrap w:val="0"/>
            <w:vAlign w:val="center"/>
          </w:tcPr>
          <w:p w14:paraId="23B9A492">
            <w:pPr>
              <w:pStyle w:val="2"/>
              <w:keepNext/>
              <w:spacing w:line="440" w:lineRule="exact"/>
              <w:ind w:left="63" w:right="63"/>
              <w:rPr>
                <w:rFonts w:ascii="宋体" w:hAnsi="宋体" w:eastAsia="宋体" w:cs="宋体"/>
                <w:color w:val="auto"/>
                <w:sz w:val="30"/>
                <w:szCs w:val="30"/>
                <w:highlight w:val="none"/>
              </w:rPr>
            </w:pPr>
          </w:p>
        </w:tc>
        <w:tc>
          <w:tcPr>
            <w:tcW w:w="1450" w:type="dxa"/>
            <w:noWrap w:val="0"/>
            <w:vAlign w:val="center"/>
          </w:tcPr>
          <w:p w14:paraId="29A58629">
            <w:pPr>
              <w:pStyle w:val="2"/>
              <w:keepNext/>
              <w:spacing w:line="440" w:lineRule="exact"/>
              <w:ind w:left="63" w:right="63"/>
              <w:rPr>
                <w:rFonts w:ascii="宋体" w:hAnsi="宋体" w:eastAsia="宋体" w:cs="宋体"/>
                <w:color w:val="auto"/>
                <w:sz w:val="30"/>
                <w:szCs w:val="30"/>
                <w:highlight w:val="none"/>
              </w:rPr>
            </w:pPr>
          </w:p>
        </w:tc>
        <w:tc>
          <w:tcPr>
            <w:tcW w:w="1243" w:type="dxa"/>
            <w:noWrap w:val="0"/>
            <w:vAlign w:val="center"/>
          </w:tcPr>
          <w:p w14:paraId="50C5AA52">
            <w:pPr>
              <w:pStyle w:val="2"/>
              <w:keepNext/>
              <w:spacing w:line="440" w:lineRule="exact"/>
              <w:ind w:left="63" w:right="63"/>
              <w:rPr>
                <w:rFonts w:ascii="宋体" w:hAnsi="宋体" w:eastAsia="宋体" w:cs="宋体"/>
                <w:color w:val="auto"/>
                <w:sz w:val="30"/>
                <w:szCs w:val="30"/>
                <w:highlight w:val="none"/>
              </w:rPr>
            </w:pPr>
          </w:p>
        </w:tc>
        <w:tc>
          <w:tcPr>
            <w:tcW w:w="1450" w:type="dxa"/>
            <w:noWrap w:val="0"/>
            <w:vAlign w:val="center"/>
          </w:tcPr>
          <w:p w14:paraId="189C63D4">
            <w:pPr>
              <w:pStyle w:val="2"/>
              <w:keepNext/>
              <w:spacing w:line="440" w:lineRule="exact"/>
              <w:ind w:left="63" w:right="63"/>
              <w:rPr>
                <w:rFonts w:ascii="宋体" w:hAnsi="宋体" w:eastAsia="宋体" w:cs="宋体"/>
                <w:color w:val="auto"/>
                <w:sz w:val="30"/>
                <w:szCs w:val="30"/>
                <w:highlight w:val="none"/>
              </w:rPr>
            </w:pPr>
          </w:p>
        </w:tc>
        <w:tc>
          <w:tcPr>
            <w:tcW w:w="1667" w:type="dxa"/>
            <w:noWrap w:val="0"/>
            <w:vAlign w:val="center"/>
          </w:tcPr>
          <w:p w14:paraId="0F4D764F">
            <w:pPr>
              <w:pStyle w:val="2"/>
              <w:keepNext/>
              <w:spacing w:line="440" w:lineRule="exact"/>
              <w:ind w:left="63" w:right="63"/>
              <w:rPr>
                <w:rFonts w:ascii="宋体" w:hAnsi="宋体" w:eastAsia="宋体" w:cs="宋体"/>
                <w:color w:val="auto"/>
                <w:sz w:val="30"/>
                <w:szCs w:val="30"/>
                <w:highlight w:val="none"/>
              </w:rPr>
            </w:pPr>
          </w:p>
        </w:tc>
      </w:tr>
      <w:tr w14:paraId="46E60E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181C95D1">
            <w:pPr>
              <w:pStyle w:val="2"/>
              <w:keepNext/>
              <w:spacing w:line="440" w:lineRule="exact"/>
              <w:ind w:left="63" w:right="63"/>
              <w:rPr>
                <w:rFonts w:ascii="宋体" w:hAnsi="宋体" w:eastAsia="宋体" w:cs="宋体"/>
                <w:color w:val="auto"/>
                <w:sz w:val="30"/>
                <w:szCs w:val="30"/>
                <w:highlight w:val="none"/>
              </w:rPr>
            </w:pPr>
          </w:p>
        </w:tc>
        <w:tc>
          <w:tcPr>
            <w:tcW w:w="1276" w:type="dxa"/>
            <w:noWrap w:val="0"/>
            <w:vAlign w:val="center"/>
          </w:tcPr>
          <w:p w14:paraId="173F418B">
            <w:pPr>
              <w:pStyle w:val="2"/>
              <w:keepNext/>
              <w:spacing w:line="440" w:lineRule="exact"/>
              <w:ind w:left="63" w:right="63"/>
              <w:rPr>
                <w:rFonts w:ascii="宋体" w:hAnsi="宋体" w:eastAsia="宋体" w:cs="宋体"/>
                <w:color w:val="auto"/>
                <w:sz w:val="30"/>
                <w:szCs w:val="30"/>
                <w:highlight w:val="none"/>
              </w:rPr>
            </w:pPr>
          </w:p>
        </w:tc>
        <w:tc>
          <w:tcPr>
            <w:tcW w:w="1450" w:type="dxa"/>
            <w:noWrap w:val="0"/>
            <w:vAlign w:val="center"/>
          </w:tcPr>
          <w:p w14:paraId="42FB7CB3">
            <w:pPr>
              <w:pStyle w:val="2"/>
              <w:keepNext/>
              <w:spacing w:line="440" w:lineRule="exact"/>
              <w:ind w:left="63" w:right="63"/>
              <w:rPr>
                <w:rFonts w:ascii="宋体" w:hAnsi="宋体" w:eastAsia="宋体" w:cs="宋体"/>
                <w:color w:val="auto"/>
                <w:sz w:val="30"/>
                <w:szCs w:val="30"/>
                <w:highlight w:val="none"/>
              </w:rPr>
            </w:pPr>
          </w:p>
        </w:tc>
        <w:tc>
          <w:tcPr>
            <w:tcW w:w="1243" w:type="dxa"/>
            <w:noWrap w:val="0"/>
            <w:vAlign w:val="center"/>
          </w:tcPr>
          <w:p w14:paraId="2D33F4B0">
            <w:pPr>
              <w:pStyle w:val="2"/>
              <w:keepNext/>
              <w:spacing w:line="440" w:lineRule="exact"/>
              <w:ind w:left="63" w:right="63"/>
              <w:rPr>
                <w:rFonts w:ascii="宋体" w:hAnsi="宋体" w:eastAsia="宋体" w:cs="宋体"/>
                <w:color w:val="auto"/>
                <w:sz w:val="30"/>
                <w:szCs w:val="30"/>
                <w:highlight w:val="none"/>
              </w:rPr>
            </w:pPr>
          </w:p>
        </w:tc>
        <w:tc>
          <w:tcPr>
            <w:tcW w:w="1450" w:type="dxa"/>
            <w:noWrap w:val="0"/>
            <w:vAlign w:val="center"/>
          </w:tcPr>
          <w:p w14:paraId="3EF638F8">
            <w:pPr>
              <w:pStyle w:val="2"/>
              <w:keepNext/>
              <w:spacing w:line="440" w:lineRule="exact"/>
              <w:ind w:left="63" w:right="63"/>
              <w:rPr>
                <w:rFonts w:ascii="宋体" w:hAnsi="宋体" w:eastAsia="宋体" w:cs="宋体"/>
                <w:color w:val="auto"/>
                <w:sz w:val="30"/>
                <w:szCs w:val="30"/>
                <w:highlight w:val="none"/>
              </w:rPr>
            </w:pPr>
          </w:p>
        </w:tc>
        <w:tc>
          <w:tcPr>
            <w:tcW w:w="1667" w:type="dxa"/>
            <w:noWrap w:val="0"/>
            <w:vAlign w:val="center"/>
          </w:tcPr>
          <w:p w14:paraId="3A7DFADB">
            <w:pPr>
              <w:pStyle w:val="2"/>
              <w:keepNext/>
              <w:spacing w:line="440" w:lineRule="exact"/>
              <w:ind w:left="63" w:right="63"/>
              <w:rPr>
                <w:rFonts w:ascii="宋体" w:hAnsi="宋体" w:eastAsia="宋体" w:cs="宋体"/>
                <w:color w:val="auto"/>
                <w:sz w:val="30"/>
                <w:szCs w:val="30"/>
                <w:highlight w:val="none"/>
              </w:rPr>
            </w:pPr>
          </w:p>
        </w:tc>
      </w:tr>
      <w:tr w14:paraId="030933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70BC4732">
            <w:pPr>
              <w:pStyle w:val="2"/>
              <w:keepNext/>
              <w:spacing w:line="440" w:lineRule="exact"/>
              <w:ind w:left="63" w:right="63"/>
              <w:rPr>
                <w:rFonts w:ascii="宋体" w:hAnsi="宋体" w:eastAsia="宋体" w:cs="宋体"/>
                <w:color w:val="auto"/>
                <w:sz w:val="30"/>
                <w:szCs w:val="30"/>
                <w:highlight w:val="none"/>
              </w:rPr>
            </w:pPr>
          </w:p>
        </w:tc>
        <w:tc>
          <w:tcPr>
            <w:tcW w:w="1276" w:type="dxa"/>
            <w:noWrap w:val="0"/>
            <w:vAlign w:val="center"/>
          </w:tcPr>
          <w:p w14:paraId="3B1AB1C1">
            <w:pPr>
              <w:pStyle w:val="2"/>
              <w:keepNext/>
              <w:spacing w:line="440" w:lineRule="exact"/>
              <w:ind w:left="63" w:right="63"/>
              <w:rPr>
                <w:rFonts w:ascii="宋体" w:hAnsi="宋体" w:eastAsia="宋体" w:cs="宋体"/>
                <w:color w:val="auto"/>
                <w:sz w:val="30"/>
                <w:szCs w:val="30"/>
                <w:highlight w:val="none"/>
              </w:rPr>
            </w:pPr>
          </w:p>
        </w:tc>
        <w:tc>
          <w:tcPr>
            <w:tcW w:w="1450" w:type="dxa"/>
            <w:noWrap w:val="0"/>
            <w:vAlign w:val="center"/>
          </w:tcPr>
          <w:p w14:paraId="2D198EDB">
            <w:pPr>
              <w:pStyle w:val="2"/>
              <w:keepNext/>
              <w:spacing w:line="440" w:lineRule="exact"/>
              <w:ind w:left="63" w:right="63"/>
              <w:rPr>
                <w:rFonts w:ascii="宋体" w:hAnsi="宋体" w:eastAsia="宋体" w:cs="宋体"/>
                <w:color w:val="auto"/>
                <w:sz w:val="30"/>
                <w:szCs w:val="30"/>
                <w:highlight w:val="none"/>
              </w:rPr>
            </w:pPr>
          </w:p>
        </w:tc>
        <w:tc>
          <w:tcPr>
            <w:tcW w:w="1243" w:type="dxa"/>
            <w:noWrap w:val="0"/>
            <w:vAlign w:val="center"/>
          </w:tcPr>
          <w:p w14:paraId="4634F4D1">
            <w:pPr>
              <w:pStyle w:val="2"/>
              <w:keepNext/>
              <w:spacing w:line="440" w:lineRule="exact"/>
              <w:ind w:left="63" w:right="63"/>
              <w:rPr>
                <w:rFonts w:ascii="宋体" w:hAnsi="宋体" w:eastAsia="宋体" w:cs="宋体"/>
                <w:color w:val="auto"/>
                <w:sz w:val="30"/>
                <w:szCs w:val="30"/>
                <w:highlight w:val="none"/>
              </w:rPr>
            </w:pPr>
          </w:p>
        </w:tc>
        <w:tc>
          <w:tcPr>
            <w:tcW w:w="1450" w:type="dxa"/>
            <w:noWrap w:val="0"/>
            <w:vAlign w:val="center"/>
          </w:tcPr>
          <w:p w14:paraId="5AC49F2C">
            <w:pPr>
              <w:pStyle w:val="2"/>
              <w:keepNext/>
              <w:spacing w:line="440" w:lineRule="exact"/>
              <w:ind w:left="63" w:right="63"/>
              <w:rPr>
                <w:rFonts w:ascii="宋体" w:hAnsi="宋体" w:eastAsia="宋体" w:cs="宋体"/>
                <w:color w:val="auto"/>
                <w:sz w:val="30"/>
                <w:szCs w:val="30"/>
                <w:highlight w:val="none"/>
              </w:rPr>
            </w:pPr>
          </w:p>
        </w:tc>
        <w:tc>
          <w:tcPr>
            <w:tcW w:w="1667" w:type="dxa"/>
            <w:noWrap w:val="0"/>
            <w:vAlign w:val="center"/>
          </w:tcPr>
          <w:p w14:paraId="4BDD442B">
            <w:pPr>
              <w:pStyle w:val="2"/>
              <w:keepNext/>
              <w:spacing w:line="440" w:lineRule="exact"/>
              <w:ind w:left="63" w:right="63"/>
              <w:rPr>
                <w:rFonts w:ascii="宋体" w:hAnsi="宋体" w:eastAsia="宋体" w:cs="宋体"/>
                <w:color w:val="auto"/>
                <w:sz w:val="30"/>
                <w:szCs w:val="30"/>
                <w:highlight w:val="none"/>
              </w:rPr>
            </w:pPr>
          </w:p>
        </w:tc>
      </w:tr>
      <w:tr w14:paraId="3AF3F5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567" w:hRule="atLeast"/>
          <w:jc w:val="center"/>
        </w:trPr>
        <w:tc>
          <w:tcPr>
            <w:tcW w:w="1953" w:type="dxa"/>
            <w:noWrap w:val="0"/>
            <w:vAlign w:val="center"/>
          </w:tcPr>
          <w:p w14:paraId="1FB77C5C">
            <w:pPr>
              <w:pStyle w:val="2"/>
              <w:keepNext/>
              <w:spacing w:line="440" w:lineRule="exact"/>
              <w:ind w:left="63" w:right="63"/>
              <w:rPr>
                <w:rFonts w:ascii="宋体" w:hAnsi="宋体" w:eastAsia="宋体" w:cs="宋体"/>
                <w:color w:val="auto"/>
                <w:sz w:val="30"/>
                <w:szCs w:val="30"/>
                <w:highlight w:val="none"/>
              </w:rPr>
            </w:pPr>
          </w:p>
        </w:tc>
        <w:tc>
          <w:tcPr>
            <w:tcW w:w="1276" w:type="dxa"/>
            <w:noWrap w:val="0"/>
            <w:vAlign w:val="center"/>
          </w:tcPr>
          <w:p w14:paraId="7617CA64">
            <w:pPr>
              <w:pStyle w:val="2"/>
              <w:keepNext/>
              <w:spacing w:line="440" w:lineRule="exact"/>
              <w:ind w:left="63" w:right="63"/>
              <w:rPr>
                <w:rFonts w:ascii="宋体" w:hAnsi="宋体" w:eastAsia="宋体" w:cs="宋体"/>
                <w:color w:val="auto"/>
                <w:sz w:val="30"/>
                <w:szCs w:val="30"/>
                <w:highlight w:val="none"/>
              </w:rPr>
            </w:pPr>
          </w:p>
        </w:tc>
        <w:tc>
          <w:tcPr>
            <w:tcW w:w="1450" w:type="dxa"/>
            <w:noWrap w:val="0"/>
            <w:vAlign w:val="center"/>
          </w:tcPr>
          <w:p w14:paraId="32DEDF6E">
            <w:pPr>
              <w:pStyle w:val="2"/>
              <w:keepNext/>
              <w:spacing w:line="440" w:lineRule="exact"/>
              <w:ind w:left="63" w:right="63"/>
              <w:rPr>
                <w:rFonts w:ascii="宋体" w:hAnsi="宋体" w:eastAsia="宋体" w:cs="宋体"/>
                <w:color w:val="auto"/>
                <w:sz w:val="30"/>
                <w:szCs w:val="30"/>
                <w:highlight w:val="none"/>
              </w:rPr>
            </w:pPr>
          </w:p>
        </w:tc>
        <w:tc>
          <w:tcPr>
            <w:tcW w:w="1243" w:type="dxa"/>
            <w:noWrap w:val="0"/>
            <w:vAlign w:val="center"/>
          </w:tcPr>
          <w:p w14:paraId="07C003AB">
            <w:pPr>
              <w:pStyle w:val="2"/>
              <w:keepNext/>
              <w:spacing w:line="440" w:lineRule="exact"/>
              <w:ind w:left="63" w:right="63"/>
              <w:rPr>
                <w:rFonts w:ascii="宋体" w:hAnsi="宋体" w:eastAsia="宋体" w:cs="宋体"/>
                <w:color w:val="auto"/>
                <w:sz w:val="30"/>
                <w:szCs w:val="30"/>
                <w:highlight w:val="none"/>
              </w:rPr>
            </w:pPr>
          </w:p>
        </w:tc>
        <w:tc>
          <w:tcPr>
            <w:tcW w:w="1450" w:type="dxa"/>
            <w:noWrap w:val="0"/>
            <w:vAlign w:val="center"/>
          </w:tcPr>
          <w:p w14:paraId="3FB71F47">
            <w:pPr>
              <w:pStyle w:val="2"/>
              <w:keepNext/>
              <w:spacing w:line="440" w:lineRule="exact"/>
              <w:ind w:left="63" w:right="63"/>
              <w:rPr>
                <w:rFonts w:ascii="宋体" w:hAnsi="宋体" w:eastAsia="宋体" w:cs="宋体"/>
                <w:color w:val="auto"/>
                <w:sz w:val="30"/>
                <w:szCs w:val="30"/>
                <w:highlight w:val="none"/>
              </w:rPr>
            </w:pPr>
          </w:p>
        </w:tc>
        <w:tc>
          <w:tcPr>
            <w:tcW w:w="1667" w:type="dxa"/>
            <w:noWrap w:val="0"/>
            <w:vAlign w:val="center"/>
          </w:tcPr>
          <w:p w14:paraId="7275968B">
            <w:pPr>
              <w:pStyle w:val="2"/>
              <w:keepNext/>
              <w:spacing w:line="440" w:lineRule="exact"/>
              <w:ind w:left="63" w:right="63"/>
              <w:rPr>
                <w:rFonts w:ascii="宋体" w:hAnsi="宋体" w:eastAsia="宋体" w:cs="宋体"/>
                <w:color w:val="auto"/>
                <w:sz w:val="30"/>
                <w:szCs w:val="30"/>
                <w:highlight w:val="none"/>
              </w:rPr>
            </w:pPr>
          </w:p>
        </w:tc>
      </w:tr>
      <w:tr w14:paraId="0E0F7A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567" w:hRule="atLeast"/>
          <w:jc w:val="center"/>
        </w:trPr>
        <w:tc>
          <w:tcPr>
            <w:tcW w:w="1953" w:type="dxa"/>
            <w:noWrap w:val="0"/>
            <w:vAlign w:val="top"/>
          </w:tcPr>
          <w:p w14:paraId="430A1227">
            <w:pPr>
              <w:rPr>
                <w:rFonts w:ascii="宋体" w:hAnsi="宋体" w:eastAsia="宋体" w:cs="宋体"/>
                <w:color w:val="auto"/>
                <w:sz w:val="30"/>
                <w:szCs w:val="30"/>
                <w:highlight w:val="none"/>
              </w:rPr>
            </w:pPr>
          </w:p>
        </w:tc>
        <w:tc>
          <w:tcPr>
            <w:tcW w:w="1276" w:type="dxa"/>
            <w:noWrap w:val="0"/>
            <w:vAlign w:val="top"/>
          </w:tcPr>
          <w:p w14:paraId="5B2CB8C6">
            <w:pPr>
              <w:rPr>
                <w:rFonts w:ascii="宋体" w:hAnsi="宋体" w:eastAsia="宋体" w:cs="宋体"/>
                <w:color w:val="auto"/>
                <w:sz w:val="30"/>
                <w:szCs w:val="30"/>
                <w:highlight w:val="none"/>
              </w:rPr>
            </w:pPr>
          </w:p>
        </w:tc>
        <w:tc>
          <w:tcPr>
            <w:tcW w:w="1450" w:type="dxa"/>
            <w:noWrap w:val="0"/>
            <w:vAlign w:val="top"/>
          </w:tcPr>
          <w:p w14:paraId="6A346663">
            <w:pPr>
              <w:rPr>
                <w:rFonts w:ascii="宋体" w:hAnsi="宋体" w:eastAsia="宋体" w:cs="宋体"/>
                <w:color w:val="auto"/>
                <w:sz w:val="30"/>
                <w:szCs w:val="30"/>
                <w:highlight w:val="none"/>
              </w:rPr>
            </w:pPr>
          </w:p>
        </w:tc>
        <w:tc>
          <w:tcPr>
            <w:tcW w:w="1243" w:type="dxa"/>
            <w:noWrap w:val="0"/>
            <w:vAlign w:val="top"/>
          </w:tcPr>
          <w:p w14:paraId="1633A653">
            <w:pPr>
              <w:rPr>
                <w:rFonts w:ascii="宋体" w:hAnsi="宋体" w:eastAsia="宋体" w:cs="宋体"/>
                <w:color w:val="auto"/>
                <w:sz w:val="30"/>
                <w:szCs w:val="30"/>
                <w:highlight w:val="none"/>
              </w:rPr>
            </w:pPr>
          </w:p>
        </w:tc>
        <w:tc>
          <w:tcPr>
            <w:tcW w:w="1450" w:type="dxa"/>
            <w:noWrap w:val="0"/>
            <w:vAlign w:val="top"/>
          </w:tcPr>
          <w:p w14:paraId="691444B2">
            <w:pPr>
              <w:rPr>
                <w:rFonts w:ascii="宋体" w:hAnsi="宋体" w:eastAsia="宋体" w:cs="宋体"/>
                <w:color w:val="auto"/>
                <w:sz w:val="30"/>
                <w:szCs w:val="30"/>
                <w:highlight w:val="none"/>
              </w:rPr>
            </w:pPr>
          </w:p>
        </w:tc>
        <w:tc>
          <w:tcPr>
            <w:tcW w:w="1667" w:type="dxa"/>
            <w:noWrap w:val="0"/>
            <w:vAlign w:val="top"/>
          </w:tcPr>
          <w:p w14:paraId="44E74529">
            <w:pPr>
              <w:rPr>
                <w:rFonts w:ascii="宋体" w:hAnsi="宋体" w:eastAsia="宋体" w:cs="宋体"/>
                <w:color w:val="auto"/>
                <w:sz w:val="30"/>
                <w:szCs w:val="30"/>
                <w:highlight w:val="none"/>
              </w:rPr>
            </w:pPr>
          </w:p>
        </w:tc>
      </w:tr>
      <w:tr w14:paraId="0473C8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19FA809C">
            <w:pPr>
              <w:pStyle w:val="2"/>
              <w:keepNext/>
              <w:spacing w:line="440" w:lineRule="exact"/>
              <w:ind w:left="63" w:right="63"/>
              <w:rPr>
                <w:rFonts w:ascii="宋体" w:hAnsi="宋体" w:eastAsia="宋体" w:cs="宋体"/>
                <w:color w:val="auto"/>
                <w:sz w:val="30"/>
                <w:szCs w:val="30"/>
                <w:highlight w:val="none"/>
              </w:rPr>
            </w:pPr>
          </w:p>
        </w:tc>
        <w:tc>
          <w:tcPr>
            <w:tcW w:w="1276" w:type="dxa"/>
            <w:noWrap w:val="0"/>
            <w:vAlign w:val="center"/>
          </w:tcPr>
          <w:p w14:paraId="7866B997">
            <w:pPr>
              <w:pStyle w:val="2"/>
              <w:keepNext/>
              <w:spacing w:line="440" w:lineRule="exact"/>
              <w:ind w:left="63" w:right="63"/>
              <w:rPr>
                <w:rFonts w:ascii="宋体" w:hAnsi="宋体" w:eastAsia="宋体" w:cs="宋体"/>
                <w:color w:val="auto"/>
                <w:sz w:val="30"/>
                <w:szCs w:val="30"/>
                <w:highlight w:val="none"/>
              </w:rPr>
            </w:pPr>
          </w:p>
        </w:tc>
        <w:tc>
          <w:tcPr>
            <w:tcW w:w="1450" w:type="dxa"/>
            <w:noWrap w:val="0"/>
            <w:vAlign w:val="center"/>
          </w:tcPr>
          <w:p w14:paraId="2984BF49">
            <w:pPr>
              <w:pStyle w:val="2"/>
              <w:keepNext/>
              <w:spacing w:line="440" w:lineRule="exact"/>
              <w:ind w:left="63" w:right="63"/>
              <w:rPr>
                <w:rFonts w:ascii="宋体" w:hAnsi="宋体" w:eastAsia="宋体" w:cs="宋体"/>
                <w:color w:val="auto"/>
                <w:sz w:val="30"/>
                <w:szCs w:val="30"/>
                <w:highlight w:val="none"/>
              </w:rPr>
            </w:pPr>
          </w:p>
        </w:tc>
        <w:tc>
          <w:tcPr>
            <w:tcW w:w="1243" w:type="dxa"/>
            <w:noWrap w:val="0"/>
            <w:vAlign w:val="center"/>
          </w:tcPr>
          <w:p w14:paraId="15C854A6">
            <w:pPr>
              <w:pStyle w:val="2"/>
              <w:keepNext/>
              <w:spacing w:line="440" w:lineRule="exact"/>
              <w:ind w:left="63" w:right="63"/>
              <w:rPr>
                <w:rFonts w:ascii="宋体" w:hAnsi="宋体" w:eastAsia="宋体" w:cs="宋体"/>
                <w:color w:val="auto"/>
                <w:sz w:val="30"/>
                <w:szCs w:val="30"/>
                <w:highlight w:val="none"/>
              </w:rPr>
            </w:pPr>
          </w:p>
        </w:tc>
        <w:tc>
          <w:tcPr>
            <w:tcW w:w="1450" w:type="dxa"/>
            <w:noWrap w:val="0"/>
            <w:vAlign w:val="center"/>
          </w:tcPr>
          <w:p w14:paraId="50607E8E">
            <w:pPr>
              <w:pStyle w:val="2"/>
              <w:keepNext/>
              <w:spacing w:line="440" w:lineRule="exact"/>
              <w:ind w:left="63" w:right="63"/>
              <w:rPr>
                <w:rFonts w:ascii="宋体" w:hAnsi="宋体" w:eastAsia="宋体" w:cs="宋体"/>
                <w:color w:val="auto"/>
                <w:sz w:val="30"/>
                <w:szCs w:val="30"/>
                <w:highlight w:val="none"/>
              </w:rPr>
            </w:pPr>
          </w:p>
        </w:tc>
        <w:tc>
          <w:tcPr>
            <w:tcW w:w="1667" w:type="dxa"/>
            <w:noWrap w:val="0"/>
            <w:vAlign w:val="center"/>
          </w:tcPr>
          <w:p w14:paraId="0EB63F70">
            <w:pPr>
              <w:pStyle w:val="2"/>
              <w:keepNext/>
              <w:spacing w:line="440" w:lineRule="exact"/>
              <w:ind w:left="63" w:right="63"/>
              <w:rPr>
                <w:rFonts w:ascii="宋体" w:hAnsi="宋体" w:eastAsia="宋体" w:cs="宋体"/>
                <w:color w:val="auto"/>
                <w:sz w:val="30"/>
                <w:szCs w:val="30"/>
                <w:highlight w:val="none"/>
              </w:rPr>
            </w:pPr>
          </w:p>
        </w:tc>
      </w:tr>
      <w:tr w14:paraId="33E8BCD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056E191D">
            <w:pPr>
              <w:rPr>
                <w:rFonts w:ascii="宋体" w:hAnsi="宋体" w:eastAsia="宋体" w:cs="宋体"/>
                <w:color w:val="auto"/>
                <w:sz w:val="30"/>
                <w:szCs w:val="30"/>
                <w:highlight w:val="none"/>
              </w:rPr>
            </w:pPr>
          </w:p>
        </w:tc>
        <w:tc>
          <w:tcPr>
            <w:tcW w:w="1276" w:type="dxa"/>
            <w:noWrap w:val="0"/>
            <w:vAlign w:val="top"/>
          </w:tcPr>
          <w:p w14:paraId="38564008">
            <w:pPr>
              <w:rPr>
                <w:rFonts w:ascii="宋体" w:hAnsi="宋体" w:eastAsia="宋体" w:cs="宋体"/>
                <w:color w:val="auto"/>
                <w:sz w:val="30"/>
                <w:szCs w:val="30"/>
                <w:highlight w:val="none"/>
              </w:rPr>
            </w:pPr>
          </w:p>
        </w:tc>
        <w:tc>
          <w:tcPr>
            <w:tcW w:w="1450" w:type="dxa"/>
            <w:noWrap w:val="0"/>
            <w:vAlign w:val="top"/>
          </w:tcPr>
          <w:p w14:paraId="6FB9B8E7">
            <w:pPr>
              <w:rPr>
                <w:rFonts w:ascii="宋体" w:hAnsi="宋体" w:eastAsia="宋体" w:cs="宋体"/>
                <w:color w:val="auto"/>
                <w:sz w:val="30"/>
                <w:szCs w:val="30"/>
                <w:highlight w:val="none"/>
              </w:rPr>
            </w:pPr>
          </w:p>
        </w:tc>
        <w:tc>
          <w:tcPr>
            <w:tcW w:w="1243" w:type="dxa"/>
            <w:noWrap w:val="0"/>
            <w:vAlign w:val="top"/>
          </w:tcPr>
          <w:p w14:paraId="769DD549">
            <w:pPr>
              <w:rPr>
                <w:rFonts w:ascii="宋体" w:hAnsi="宋体" w:eastAsia="宋体" w:cs="宋体"/>
                <w:color w:val="auto"/>
                <w:sz w:val="30"/>
                <w:szCs w:val="30"/>
                <w:highlight w:val="none"/>
              </w:rPr>
            </w:pPr>
          </w:p>
        </w:tc>
        <w:tc>
          <w:tcPr>
            <w:tcW w:w="1450" w:type="dxa"/>
            <w:noWrap w:val="0"/>
            <w:vAlign w:val="top"/>
          </w:tcPr>
          <w:p w14:paraId="057BB3FB">
            <w:pPr>
              <w:rPr>
                <w:rFonts w:ascii="宋体" w:hAnsi="宋体" w:eastAsia="宋体" w:cs="宋体"/>
                <w:color w:val="auto"/>
                <w:sz w:val="30"/>
                <w:szCs w:val="30"/>
                <w:highlight w:val="none"/>
              </w:rPr>
            </w:pPr>
          </w:p>
        </w:tc>
        <w:tc>
          <w:tcPr>
            <w:tcW w:w="1667" w:type="dxa"/>
            <w:noWrap w:val="0"/>
            <w:vAlign w:val="top"/>
          </w:tcPr>
          <w:p w14:paraId="5C3E759F">
            <w:pPr>
              <w:rPr>
                <w:rFonts w:ascii="宋体" w:hAnsi="宋体" w:eastAsia="宋体" w:cs="宋体"/>
                <w:color w:val="auto"/>
                <w:sz w:val="30"/>
                <w:szCs w:val="30"/>
                <w:highlight w:val="none"/>
              </w:rPr>
            </w:pPr>
          </w:p>
        </w:tc>
      </w:tr>
      <w:tr w14:paraId="66095D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41C8A9C7">
            <w:pPr>
              <w:rPr>
                <w:rFonts w:ascii="宋体" w:hAnsi="宋体" w:eastAsia="宋体" w:cs="宋体"/>
                <w:color w:val="auto"/>
                <w:sz w:val="30"/>
                <w:szCs w:val="30"/>
                <w:highlight w:val="none"/>
              </w:rPr>
            </w:pPr>
          </w:p>
        </w:tc>
        <w:tc>
          <w:tcPr>
            <w:tcW w:w="1276" w:type="dxa"/>
            <w:noWrap w:val="0"/>
            <w:vAlign w:val="top"/>
          </w:tcPr>
          <w:p w14:paraId="7E086750">
            <w:pPr>
              <w:rPr>
                <w:rFonts w:ascii="宋体" w:hAnsi="宋体" w:eastAsia="宋体" w:cs="宋体"/>
                <w:color w:val="auto"/>
                <w:sz w:val="30"/>
                <w:szCs w:val="30"/>
                <w:highlight w:val="none"/>
              </w:rPr>
            </w:pPr>
          </w:p>
        </w:tc>
        <w:tc>
          <w:tcPr>
            <w:tcW w:w="1450" w:type="dxa"/>
            <w:noWrap w:val="0"/>
            <w:vAlign w:val="top"/>
          </w:tcPr>
          <w:p w14:paraId="5ACAD66F">
            <w:pPr>
              <w:rPr>
                <w:rFonts w:ascii="宋体" w:hAnsi="宋体" w:eastAsia="宋体" w:cs="宋体"/>
                <w:color w:val="auto"/>
                <w:sz w:val="30"/>
                <w:szCs w:val="30"/>
                <w:highlight w:val="none"/>
              </w:rPr>
            </w:pPr>
          </w:p>
        </w:tc>
        <w:tc>
          <w:tcPr>
            <w:tcW w:w="1243" w:type="dxa"/>
            <w:noWrap w:val="0"/>
            <w:vAlign w:val="top"/>
          </w:tcPr>
          <w:p w14:paraId="10B57C92">
            <w:pPr>
              <w:rPr>
                <w:rFonts w:ascii="宋体" w:hAnsi="宋体" w:eastAsia="宋体" w:cs="宋体"/>
                <w:color w:val="auto"/>
                <w:sz w:val="30"/>
                <w:szCs w:val="30"/>
                <w:highlight w:val="none"/>
              </w:rPr>
            </w:pPr>
          </w:p>
        </w:tc>
        <w:tc>
          <w:tcPr>
            <w:tcW w:w="1450" w:type="dxa"/>
            <w:noWrap w:val="0"/>
            <w:vAlign w:val="top"/>
          </w:tcPr>
          <w:p w14:paraId="5107B827">
            <w:pPr>
              <w:rPr>
                <w:rFonts w:ascii="宋体" w:hAnsi="宋体" w:eastAsia="宋体" w:cs="宋体"/>
                <w:color w:val="auto"/>
                <w:sz w:val="30"/>
                <w:szCs w:val="30"/>
                <w:highlight w:val="none"/>
              </w:rPr>
            </w:pPr>
          </w:p>
        </w:tc>
        <w:tc>
          <w:tcPr>
            <w:tcW w:w="1667" w:type="dxa"/>
            <w:noWrap w:val="0"/>
            <w:vAlign w:val="top"/>
          </w:tcPr>
          <w:p w14:paraId="4F232FAA">
            <w:pPr>
              <w:rPr>
                <w:rFonts w:ascii="宋体" w:hAnsi="宋体" w:eastAsia="宋体" w:cs="宋体"/>
                <w:color w:val="auto"/>
                <w:sz w:val="30"/>
                <w:szCs w:val="30"/>
                <w:highlight w:val="none"/>
              </w:rPr>
            </w:pPr>
          </w:p>
        </w:tc>
      </w:tr>
      <w:tr w14:paraId="1E9167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5FB11789">
            <w:pPr>
              <w:rPr>
                <w:rFonts w:ascii="宋体" w:hAnsi="宋体" w:eastAsia="宋体" w:cs="宋体"/>
                <w:color w:val="auto"/>
                <w:sz w:val="30"/>
                <w:szCs w:val="30"/>
                <w:highlight w:val="none"/>
              </w:rPr>
            </w:pPr>
          </w:p>
        </w:tc>
        <w:tc>
          <w:tcPr>
            <w:tcW w:w="1276" w:type="dxa"/>
            <w:noWrap w:val="0"/>
            <w:vAlign w:val="top"/>
          </w:tcPr>
          <w:p w14:paraId="0EAE082D">
            <w:pPr>
              <w:rPr>
                <w:rFonts w:ascii="宋体" w:hAnsi="宋体" w:eastAsia="宋体" w:cs="宋体"/>
                <w:color w:val="auto"/>
                <w:sz w:val="30"/>
                <w:szCs w:val="30"/>
                <w:highlight w:val="none"/>
              </w:rPr>
            </w:pPr>
          </w:p>
        </w:tc>
        <w:tc>
          <w:tcPr>
            <w:tcW w:w="1450" w:type="dxa"/>
            <w:noWrap w:val="0"/>
            <w:vAlign w:val="top"/>
          </w:tcPr>
          <w:p w14:paraId="44B293E9">
            <w:pPr>
              <w:rPr>
                <w:rFonts w:ascii="宋体" w:hAnsi="宋体" w:eastAsia="宋体" w:cs="宋体"/>
                <w:color w:val="auto"/>
                <w:sz w:val="30"/>
                <w:szCs w:val="30"/>
                <w:highlight w:val="none"/>
              </w:rPr>
            </w:pPr>
          </w:p>
        </w:tc>
        <w:tc>
          <w:tcPr>
            <w:tcW w:w="1243" w:type="dxa"/>
            <w:noWrap w:val="0"/>
            <w:vAlign w:val="top"/>
          </w:tcPr>
          <w:p w14:paraId="646FFFBB">
            <w:pPr>
              <w:rPr>
                <w:rFonts w:ascii="宋体" w:hAnsi="宋体" w:eastAsia="宋体" w:cs="宋体"/>
                <w:color w:val="auto"/>
                <w:sz w:val="30"/>
                <w:szCs w:val="30"/>
                <w:highlight w:val="none"/>
              </w:rPr>
            </w:pPr>
          </w:p>
        </w:tc>
        <w:tc>
          <w:tcPr>
            <w:tcW w:w="1450" w:type="dxa"/>
            <w:noWrap w:val="0"/>
            <w:vAlign w:val="top"/>
          </w:tcPr>
          <w:p w14:paraId="75EF79D1">
            <w:pPr>
              <w:rPr>
                <w:rFonts w:ascii="宋体" w:hAnsi="宋体" w:eastAsia="宋体" w:cs="宋体"/>
                <w:color w:val="auto"/>
                <w:sz w:val="30"/>
                <w:szCs w:val="30"/>
                <w:highlight w:val="none"/>
              </w:rPr>
            </w:pPr>
          </w:p>
        </w:tc>
        <w:tc>
          <w:tcPr>
            <w:tcW w:w="1667" w:type="dxa"/>
            <w:noWrap w:val="0"/>
            <w:vAlign w:val="top"/>
          </w:tcPr>
          <w:p w14:paraId="58834441">
            <w:pPr>
              <w:rPr>
                <w:rFonts w:ascii="宋体" w:hAnsi="宋体" w:eastAsia="宋体" w:cs="宋体"/>
                <w:color w:val="auto"/>
                <w:sz w:val="30"/>
                <w:szCs w:val="30"/>
                <w:highlight w:val="none"/>
              </w:rPr>
            </w:pPr>
          </w:p>
        </w:tc>
      </w:tr>
      <w:tr w14:paraId="1514AD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18A1D189">
            <w:pPr>
              <w:rPr>
                <w:rFonts w:ascii="宋体" w:hAnsi="宋体" w:eastAsia="宋体" w:cs="宋体"/>
                <w:color w:val="auto"/>
                <w:sz w:val="30"/>
                <w:szCs w:val="30"/>
                <w:highlight w:val="none"/>
              </w:rPr>
            </w:pPr>
          </w:p>
        </w:tc>
        <w:tc>
          <w:tcPr>
            <w:tcW w:w="1276" w:type="dxa"/>
            <w:noWrap w:val="0"/>
            <w:vAlign w:val="top"/>
          </w:tcPr>
          <w:p w14:paraId="7A5A2E6E">
            <w:pPr>
              <w:rPr>
                <w:rFonts w:ascii="宋体" w:hAnsi="宋体" w:eastAsia="宋体" w:cs="宋体"/>
                <w:color w:val="auto"/>
                <w:sz w:val="30"/>
                <w:szCs w:val="30"/>
                <w:highlight w:val="none"/>
              </w:rPr>
            </w:pPr>
          </w:p>
        </w:tc>
        <w:tc>
          <w:tcPr>
            <w:tcW w:w="1450" w:type="dxa"/>
            <w:noWrap w:val="0"/>
            <w:vAlign w:val="top"/>
          </w:tcPr>
          <w:p w14:paraId="457064D3">
            <w:pPr>
              <w:rPr>
                <w:rFonts w:ascii="宋体" w:hAnsi="宋体" w:eastAsia="宋体" w:cs="宋体"/>
                <w:color w:val="auto"/>
                <w:sz w:val="30"/>
                <w:szCs w:val="30"/>
                <w:highlight w:val="none"/>
              </w:rPr>
            </w:pPr>
          </w:p>
        </w:tc>
        <w:tc>
          <w:tcPr>
            <w:tcW w:w="1243" w:type="dxa"/>
            <w:noWrap w:val="0"/>
            <w:vAlign w:val="top"/>
          </w:tcPr>
          <w:p w14:paraId="207C4159">
            <w:pPr>
              <w:rPr>
                <w:rFonts w:ascii="宋体" w:hAnsi="宋体" w:eastAsia="宋体" w:cs="宋体"/>
                <w:color w:val="auto"/>
                <w:sz w:val="30"/>
                <w:szCs w:val="30"/>
                <w:highlight w:val="none"/>
              </w:rPr>
            </w:pPr>
          </w:p>
        </w:tc>
        <w:tc>
          <w:tcPr>
            <w:tcW w:w="1450" w:type="dxa"/>
            <w:noWrap w:val="0"/>
            <w:vAlign w:val="top"/>
          </w:tcPr>
          <w:p w14:paraId="7C2D186B">
            <w:pPr>
              <w:rPr>
                <w:rFonts w:ascii="宋体" w:hAnsi="宋体" w:eastAsia="宋体" w:cs="宋体"/>
                <w:color w:val="auto"/>
                <w:sz w:val="30"/>
                <w:szCs w:val="30"/>
                <w:highlight w:val="none"/>
              </w:rPr>
            </w:pPr>
          </w:p>
        </w:tc>
        <w:tc>
          <w:tcPr>
            <w:tcW w:w="1667" w:type="dxa"/>
            <w:noWrap w:val="0"/>
            <w:vAlign w:val="top"/>
          </w:tcPr>
          <w:p w14:paraId="67E2FDF8">
            <w:pPr>
              <w:rPr>
                <w:rFonts w:ascii="宋体" w:hAnsi="宋体" w:eastAsia="宋体" w:cs="宋体"/>
                <w:color w:val="auto"/>
                <w:sz w:val="30"/>
                <w:szCs w:val="30"/>
                <w:highlight w:val="none"/>
              </w:rPr>
            </w:pPr>
          </w:p>
        </w:tc>
      </w:tr>
      <w:tr w14:paraId="2F06CF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4049E59F">
            <w:pPr>
              <w:rPr>
                <w:rFonts w:ascii="宋体" w:hAnsi="宋体" w:eastAsia="宋体" w:cs="宋体"/>
                <w:color w:val="auto"/>
                <w:sz w:val="30"/>
                <w:szCs w:val="30"/>
                <w:highlight w:val="none"/>
              </w:rPr>
            </w:pPr>
          </w:p>
        </w:tc>
        <w:tc>
          <w:tcPr>
            <w:tcW w:w="1276" w:type="dxa"/>
            <w:noWrap w:val="0"/>
            <w:vAlign w:val="top"/>
          </w:tcPr>
          <w:p w14:paraId="7F168715">
            <w:pPr>
              <w:rPr>
                <w:rFonts w:ascii="宋体" w:hAnsi="宋体" w:eastAsia="宋体" w:cs="宋体"/>
                <w:color w:val="auto"/>
                <w:sz w:val="30"/>
                <w:szCs w:val="30"/>
                <w:highlight w:val="none"/>
              </w:rPr>
            </w:pPr>
          </w:p>
        </w:tc>
        <w:tc>
          <w:tcPr>
            <w:tcW w:w="1450" w:type="dxa"/>
            <w:noWrap w:val="0"/>
            <w:vAlign w:val="top"/>
          </w:tcPr>
          <w:p w14:paraId="0B93BA22">
            <w:pPr>
              <w:rPr>
                <w:rFonts w:ascii="宋体" w:hAnsi="宋体" w:eastAsia="宋体" w:cs="宋体"/>
                <w:color w:val="auto"/>
                <w:sz w:val="30"/>
                <w:szCs w:val="30"/>
                <w:highlight w:val="none"/>
              </w:rPr>
            </w:pPr>
          </w:p>
        </w:tc>
        <w:tc>
          <w:tcPr>
            <w:tcW w:w="1243" w:type="dxa"/>
            <w:noWrap w:val="0"/>
            <w:vAlign w:val="top"/>
          </w:tcPr>
          <w:p w14:paraId="74873C10">
            <w:pPr>
              <w:rPr>
                <w:rFonts w:ascii="宋体" w:hAnsi="宋体" w:eastAsia="宋体" w:cs="宋体"/>
                <w:color w:val="auto"/>
                <w:sz w:val="30"/>
                <w:szCs w:val="30"/>
                <w:highlight w:val="none"/>
              </w:rPr>
            </w:pPr>
          </w:p>
        </w:tc>
        <w:tc>
          <w:tcPr>
            <w:tcW w:w="1450" w:type="dxa"/>
            <w:noWrap w:val="0"/>
            <w:vAlign w:val="top"/>
          </w:tcPr>
          <w:p w14:paraId="7CE45296">
            <w:pPr>
              <w:rPr>
                <w:rFonts w:ascii="宋体" w:hAnsi="宋体" w:eastAsia="宋体" w:cs="宋体"/>
                <w:color w:val="auto"/>
                <w:sz w:val="30"/>
                <w:szCs w:val="30"/>
                <w:highlight w:val="none"/>
              </w:rPr>
            </w:pPr>
          </w:p>
        </w:tc>
        <w:tc>
          <w:tcPr>
            <w:tcW w:w="1667" w:type="dxa"/>
            <w:noWrap w:val="0"/>
            <w:vAlign w:val="top"/>
          </w:tcPr>
          <w:p w14:paraId="18CBFF1E">
            <w:pPr>
              <w:rPr>
                <w:rFonts w:ascii="宋体" w:hAnsi="宋体" w:eastAsia="宋体" w:cs="宋体"/>
                <w:color w:val="auto"/>
                <w:sz w:val="30"/>
                <w:szCs w:val="30"/>
                <w:highlight w:val="none"/>
              </w:rPr>
            </w:pPr>
          </w:p>
        </w:tc>
      </w:tr>
      <w:tr w14:paraId="60C98F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66B682F1">
            <w:pPr>
              <w:rPr>
                <w:rFonts w:ascii="宋体" w:hAnsi="宋体" w:eastAsia="宋体" w:cs="宋体"/>
                <w:color w:val="auto"/>
                <w:sz w:val="30"/>
                <w:szCs w:val="30"/>
                <w:highlight w:val="none"/>
              </w:rPr>
            </w:pPr>
          </w:p>
        </w:tc>
        <w:tc>
          <w:tcPr>
            <w:tcW w:w="1276" w:type="dxa"/>
            <w:noWrap w:val="0"/>
            <w:vAlign w:val="top"/>
          </w:tcPr>
          <w:p w14:paraId="7B92C304">
            <w:pPr>
              <w:rPr>
                <w:rFonts w:ascii="宋体" w:hAnsi="宋体" w:eastAsia="宋体" w:cs="宋体"/>
                <w:color w:val="auto"/>
                <w:sz w:val="30"/>
                <w:szCs w:val="30"/>
                <w:highlight w:val="none"/>
              </w:rPr>
            </w:pPr>
          </w:p>
        </w:tc>
        <w:tc>
          <w:tcPr>
            <w:tcW w:w="1450" w:type="dxa"/>
            <w:noWrap w:val="0"/>
            <w:vAlign w:val="top"/>
          </w:tcPr>
          <w:p w14:paraId="50618A68">
            <w:pPr>
              <w:rPr>
                <w:rFonts w:ascii="宋体" w:hAnsi="宋体" w:eastAsia="宋体" w:cs="宋体"/>
                <w:color w:val="auto"/>
                <w:sz w:val="30"/>
                <w:szCs w:val="30"/>
                <w:highlight w:val="none"/>
              </w:rPr>
            </w:pPr>
          </w:p>
        </w:tc>
        <w:tc>
          <w:tcPr>
            <w:tcW w:w="1243" w:type="dxa"/>
            <w:noWrap w:val="0"/>
            <w:vAlign w:val="top"/>
          </w:tcPr>
          <w:p w14:paraId="43D6FCA8">
            <w:pPr>
              <w:rPr>
                <w:rFonts w:ascii="宋体" w:hAnsi="宋体" w:eastAsia="宋体" w:cs="宋体"/>
                <w:color w:val="auto"/>
                <w:sz w:val="30"/>
                <w:szCs w:val="30"/>
                <w:highlight w:val="none"/>
              </w:rPr>
            </w:pPr>
          </w:p>
        </w:tc>
        <w:tc>
          <w:tcPr>
            <w:tcW w:w="1450" w:type="dxa"/>
            <w:noWrap w:val="0"/>
            <w:vAlign w:val="top"/>
          </w:tcPr>
          <w:p w14:paraId="1E063A24">
            <w:pPr>
              <w:rPr>
                <w:rFonts w:ascii="宋体" w:hAnsi="宋体" w:eastAsia="宋体" w:cs="宋体"/>
                <w:color w:val="auto"/>
                <w:sz w:val="30"/>
                <w:szCs w:val="30"/>
                <w:highlight w:val="none"/>
              </w:rPr>
            </w:pPr>
          </w:p>
        </w:tc>
        <w:tc>
          <w:tcPr>
            <w:tcW w:w="1667" w:type="dxa"/>
            <w:noWrap w:val="0"/>
            <w:vAlign w:val="top"/>
          </w:tcPr>
          <w:p w14:paraId="1CAA0BAF">
            <w:pPr>
              <w:rPr>
                <w:rFonts w:ascii="宋体" w:hAnsi="宋体" w:eastAsia="宋体" w:cs="宋体"/>
                <w:color w:val="auto"/>
                <w:sz w:val="30"/>
                <w:szCs w:val="30"/>
                <w:highlight w:val="none"/>
              </w:rPr>
            </w:pPr>
          </w:p>
        </w:tc>
      </w:tr>
      <w:tr w14:paraId="46C1FA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3BBF5E7F">
            <w:pPr>
              <w:rPr>
                <w:rFonts w:ascii="宋体" w:hAnsi="宋体" w:eastAsia="宋体" w:cs="宋体"/>
                <w:color w:val="auto"/>
                <w:sz w:val="30"/>
                <w:szCs w:val="30"/>
                <w:highlight w:val="none"/>
              </w:rPr>
            </w:pPr>
          </w:p>
        </w:tc>
        <w:tc>
          <w:tcPr>
            <w:tcW w:w="1276" w:type="dxa"/>
            <w:noWrap w:val="0"/>
            <w:vAlign w:val="top"/>
          </w:tcPr>
          <w:p w14:paraId="2EA658A4">
            <w:pPr>
              <w:rPr>
                <w:rFonts w:ascii="宋体" w:hAnsi="宋体" w:eastAsia="宋体" w:cs="宋体"/>
                <w:color w:val="auto"/>
                <w:sz w:val="30"/>
                <w:szCs w:val="30"/>
                <w:highlight w:val="none"/>
              </w:rPr>
            </w:pPr>
          </w:p>
        </w:tc>
        <w:tc>
          <w:tcPr>
            <w:tcW w:w="1450" w:type="dxa"/>
            <w:noWrap w:val="0"/>
            <w:vAlign w:val="top"/>
          </w:tcPr>
          <w:p w14:paraId="2F9F5890">
            <w:pPr>
              <w:rPr>
                <w:rFonts w:ascii="宋体" w:hAnsi="宋体" w:eastAsia="宋体" w:cs="宋体"/>
                <w:color w:val="auto"/>
                <w:sz w:val="30"/>
                <w:szCs w:val="30"/>
                <w:highlight w:val="none"/>
              </w:rPr>
            </w:pPr>
          </w:p>
        </w:tc>
        <w:tc>
          <w:tcPr>
            <w:tcW w:w="1243" w:type="dxa"/>
            <w:noWrap w:val="0"/>
            <w:vAlign w:val="top"/>
          </w:tcPr>
          <w:p w14:paraId="7D863E8A">
            <w:pPr>
              <w:rPr>
                <w:rFonts w:ascii="宋体" w:hAnsi="宋体" w:eastAsia="宋体" w:cs="宋体"/>
                <w:color w:val="auto"/>
                <w:sz w:val="30"/>
                <w:szCs w:val="30"/>
                <w:highlight w:val="none"/>
              </w:rPr>
            </w:pPr>
          </w:p>
        </w:tc>
        <w:tc>
          <w:tcPr>
            <w:tcW w:w="1450" w:type="dxa"/>
            <w:noWrap w:val="0"/>
            <w:vAlign w:val="top"/>
          </w:tcPr>
          <w:p w14:paraId="52D25213">
            <w:pPr>
              <w:rPr>
                <w:rFonts w:ascii="宋体" w:hAnsi="宋体" w:eastAsia="宋体" w:cs="宋体"/>
                <w:color w:val="auto"/>
                <w:sz w:val="30"/>
                <w:szCs w:val="30"/>
                <w:highlight w:val="none"/>
              </w:rPr>
            </w:pPr>
          </w:p>
        </w:tc>
        <w:tc>
          <w:tcPr>
            <w:tcW w:w="1667" w:type="dxa"/>
            <w:noWrap w:val="0"/>
            <w:vAlign w:val="top"/>
          </w:tcPr>
          <w:p w14:paraId="3178880D">
            <w:pPr>
              <w:rPr>
                <w:rFonts w:ascii="宋体" w:hAnsi="宋体" w:eastAsia="宋体" w:cs="宋体"/>
                <w:color w:val="auto"/>
                <w:sz w:val="30"/>
                <w:szCs w:val="30"/>
                <w:highlight w:val="none"/>
              </w:rPr>
            </w:pPr>
          </w:p>
        </w:tc>
      </w:tr>
      <w:tr w14:paraId="610A0F6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1A9E8A94">
            <w:pPr>
              <w:rPr>
                <w:rFonts w:ascii="宋体" w:hAnsi="宋体" w:eastAsia="宋体" w:cs="宋体"/>
                <w:color w:val="auto"/>
                <w:sz w:val="30"/>
                <w:szCs w:val="30"/>
                <w:highlight w:val="none"/>
              </w:rPr>
            </w:pPr>
          </w:p>
        </w:tc>
        <w:tc>
          <w:tcPr>
            <w:tcW w:w="1276" w:type="dxa"/>
            <w:noWrap w:val="0"/>
            <w:vAlign w:val="top"/>
          </w:tcPr>
          <w:p w14:paraId="0CF495D3">
            <w:pPr>
              <w:rPr>
                <w:rFonts w:ascii="宋体" w:hAnsi="宋体" w:eastAsia="宋体" w:cs="宋体"/>
                <w:color w:val="auto"/>
                <w:sz w:val="30"/>
                <w:szCs w:val="30"/>
                <w:highlight w:val="none"/>
              </w:rPr>
            </w:pPr>
          </w:p>
        </w:tc>
        <w:tc>
          <w:tcPr>
            <w:tcW w:w="1450" w:type="dxa"/>
            <w:noWrap w:val="0"/>
            <w:vAlign w:val="top"/>
          </w:tcPr>
          <w:p w14:paraId="58DDF185">
            <w:pPr>
              <w:rPr>
                <w:rFonts w:ascii="宋体" w:hAnsi="宋体" w:eastAsia="宋体" w:cs="宋体"/>
                <w:color w:val="auto"/>
                <w:sz w:val="30"/>
                <w:szCs w:val="30"/>
                <w:highlight w:val="none"/>
              </w:rPr>
            </w:pPr>
          </w:p>
        </w:tc>
        <w:tc>
          <w:tcPr>
            <w:tcW w:w="1243" w:type="dxa"/>
            <w:noWrap w:val="0"/>
            <w:vAlign w:val="top"/>
          </w:tcPr>
          <w:p w14:paraId="7694C425">
            <w:pPr>
              <w:rPr>
                <w:rFonts w:ascii="宋体" w:hAnsi="宋体" w:eastAsia="宋体" w:cs="宋体"/>
                <w:color w:val="auto"/>
                <w:sz w:val="30"/>
                <w:szCs w:val="30"/>
                <w:highlight w:val="none"/>
              </w:rPr>
            </w:pPr>
          </w:p>
        </w:tc>
        <w:tc>
          <w:tcPr>
            <w:tcW w:w="1450" w:type="dxa"/>
            <w:noWrap w:val="0"/>
            <w:vAlign w:val="top"/>
          </w:tcPr>
          <w:p w14:paraId="63A522D3">
            <w:pPr>
              <w:rPr>
                <w:rFonts w:ascii="宋体" w:hAnsi="宋体" w:eastAsia="宋体" w:cs="宋体"/>
                <w:color w:val="auto"/>
                <w:sz w:val="30"/>
                <w:szCs w:val="30"/>
                <w:highlight w:val="none"/>
              </w:rPr>
            </w:pPr>
          </w:p>
        </w:tc>
        <w:tc>
          <w:tcPr>
            <w:tcW w:w="1667" w:type="dxa"/>
            <w:noWrap w:val="0"/>
            <w:vAlign w:val="top"/>
          </w:tcPr>
          <w:p w14:paraId="65AE8588">
            <w:pPr>
              <w:rPr>
                <w:rFonts w:ascii="宋体" w:hAnsi="宋体" w:eastAsia="宋体" w:cs="宋体"/>
                <w:color w:val="auto"/>
                <w:sz w:val="30"/>
                <w:szCs w:val="30"/>
                <w:highlight w:val="none"/>
              </w:rPr>
            </w:pPr>
          </w:p>
        </w:tc>
      </w:tr>
      <w:tr w14:paraId="18267D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1734512B">
            <w:pPr>
              <w:rPr>
                <w:rFonts w:ascii="宋体" w:hAnsi="宋体" w:eastAsia="宋体" w:cs="宋体"/>
                <w:color w:val="auto"/>
                <w:sz w:val="30"/>
                <w:szCs w:val="30"/>
                <w:highlight w:val="none"/>
              </w:rPr>
            </w:pPr>
          </w:p>
        </w:tc>
        <w:tc>
          <w:tcPr>
            <w:tcW w:w="1276" w:type="dxa"/>
            <w:noWrap w:val="0"/>
            <w:vAlign w:val="top"/>
          </w:tcPr>
          <w:p w14:paraId="6D76F911">
            <w:pPr>
              <w:rPr>
                <w:rFonts w:ascii="宋体" w:hAnsi="宋体" w:eastAsia="宋体" w:cs="宋体"/>
                <w:color w:val="auto"/>
                <w:sz w:val="30"/>
                <w:szCs w:val="30"/>
                <w:highlight w:val="none"/>
              </w:rPr>
            </w:pPr>
          </w:p>
        </w:tc>
        <w:tc>
          <w:tcPr>
            <w:tcW w:w="1450" w:type="dxa"/>
            <w:noWrap w:val="0"/>
            <w:vAlign w:val="top"/>
          </w:tcPr>
          <w:p w14:paraId="717FF39E">
            <w:pPr>
              <w:rPr>
                <w:rFonts w:ascii="宋体" w:hAnsi="宋体" w:eastAsia="宋体" w:cs="宋体"/>
                <w:color w:val="auto"/>
                <w:sz w:val="30"/>
                <w:szCs w:val="30"/>
                <w:highlight w:val="none"/>
              </w:rPr>
            </w:pPr>
          </w:p>
        </w:tc>
        <w:tc>
          <w:tcPr>
            <w:tcW w:w="1243" w:type="dxa"/>
            <w:noWrap w:val="0"/>
            <w:vAlign w:val="top"/>
          </w:tcPr>
          <w:p w14:paraId="17CF5215">
            <w:pPr>
              <w:rPr>
                <w:rFonts w:ascii="宋体" w:hAnsi="宋体" w:eastAsia="宋体" w:cs="宋体"/>
                <w:color w:val="auto"/>
                <w:sz w:val="30"/>
                <w:szCs w:val="30"/>
                <w:highlight w:val="none"/>
              </w:rPr>
            </w:pPr>
          </w:p>
        </w:tc>
        <w:tc>
          <w:tcPr>
            <w:tcW w:w="1450" w:type="dxa"/>
            <w:noWrap w:val="0"/>
            <w:vAlign w:val="top"/>
          </w:tcPr>
          <w:p w14:paraId="4D46366B">
            <w:pPr>
              <w:rPr>
                <w:rFonts w:ascii="宋体" w:hAnsi="宋体" w:eastAsia="宋体" w:cs="宋体"/>
                <w:color w:val="auto"/>
                <w:sz w:val="30"/>
                <w:szCs w:val="30"/>
                <w:highlight w:val="none"/>
              </w:rPr>
            </w:pPr>
          </w:p>
        </w:tc>
        <w:tc>
          <w:tcPr>
            <w:tcW w:w="1667" w:type="dxa"/>
            <w:noWrap w:val="0"/>
            <w:vAlign w:val="top"/>
          </w:tcPr>
          <w:p w14:paraId="1670BF95">
            <w:pPr>
              <w:rPr>
                <w:rFonts w:ascii="宋体" w:hAnsi="宋体" w:eastAsia="宋体" w:cs="宋体"/>
                <w:color w:val="auto"/>
                <w:sz w:val="30"/>
                <w:szCs w:val="30"/>
                <w:highlight w:val="none"/>
              </w:rPr>
            </w:pPr>
          </w:p>
        </w:tc>
      </w:tr>
    </w:tbl>
    <w:p w14:paraId="4ECD858C">
      <w:pPr>
        <w:spacing w:line="440" w:lineRule="exact"/>
        <w:rPr>
          <w:rFonts w:ascii="宋体" w:hAnsi="宋体" w:eastAsia="宋体" w:cs="宋体"/>
          <w:color w:val="auto"/>
          <w:sz w:val="30"/>
          <w:szCs w:val="30"/>
          <w:highlight w:val="none"/>
        </w:rPr>
      </w:pPr>
    </w:p>
    <w:p w14:paraId="303FE386">
      <w:pPr>
        <w:pStyle w:val="6"/>
        <w:jc w:val="left"/>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br w:type="page"/>
      </w:r>
      <w:r>
        <w:rPr>
          <w:rFonts w:hint="eastAsia" w:ascii="宋体" w:hAnsi="宋体" w:eastAsia="宋体" w:cs="宋体"/>
          <w:color w:val="auto"/>
          <w:highlight w:val="none"/>
        </w:rPr>
        <w:t>附件</w:t>
      </w:r>
      <w:r>
        <w:rPr>
          <w:rFonts w:hint="eastAsia" w:ascii="宋体" w:hAnsi="宋体" w:eastAsia="宋体" w:cs="宋体"/>
          <w:color w:val="auto"/>
          <w:sz w:val="30"/>
          <w:szCs w:val="30"/>
          <w:highlight w:val="none"/>
        </w:rPr>
        <w:t>4：</w:t>
      </w:r>
    </w:p>
    <w:p w14:paraId="426F2253">
      <w:pPr>
        <w:spacing w:before="120" w:beforeLines="50" w:after="120" w:afterLines="50" w:line="440" w:lineRule="exact"/>
        <w:jc w:val="center"/>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承包人用于本工程施工的机械设备表</w:t>
      </w:r>
    </w:p>
    <w:tbl>
      <w:tblPr>
        <w:tblStyle w:val="5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162"/>
        <w:gridCol w:w="1418"/>
        <w:gridCol w:w="850"/>
        <w:gridCol w:w="1058"/>
        <w:gridCol w:w="880"/>
        <w:gridCol w:w="1020"/>
        <w:gridCol w:w="1480"/>
        <w:gridCol w:w="1020"/>
        <w:gridCol w:w="921"/>
      </w:tblGrid>
      <w:tr w14:paraId="6FB52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162" w:type="dxa"/>
            <w:noWrap w:val="0"/>
            <w:vAlign w:val="center"/>
          </w:tcPr>
          <w:p w14:paraId="4FEBC214">
            <w:pPr>
              <w:pStyle w:val="2"/>
              <w:keepNext/>
              <w:spacing w:line="440" w:lineRule="exact"/>
              <w:ind w:left="63" w:right="63"/>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序号</w:t>
            </w:r>
          </w:p>
        </w:tc>
        <w:tc>
          <w:tcPr>
            <w:tcW w:w="1418" w:type="dxa"/>
            <w:noWrap w:val="0"/>
            <w:vAlign w:val="center"/>
          </w:tcPr>
          <w:p w14:paraId="28423C13">
            <w:pPr>
              <w:pStyle w:val="2"/>
              <w:keepNext/>
              <w:spacing w:line="440" w:lineRule="exact"/>
              <w:ind w:left="63" w:right="63"/>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机械或设备名称</w:t>
            </w:r>
          </w:p>
        </w:tc>
        <w:tc>
          <w:tcPr>
            <w:tcW w:w="850" w:type="dxa"/>
            <w:noWrap w:val="0"/>
            <w:vAlign w:val="center"/>
          </w:tcPr>
          <w:p w14:paraId="5583F06A">
            <w:pPr>
              <w:pStyle w:val="2"/>
              <w:keepNext/>
              <w:spacing w:line="440" w:lineRule="exact"/>
              <w:ind w:left="63" w:right="63"/>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规格型号</w:t>
            </w:r>
          </w:p>
        </w:tc>
        <w:tc>
          <w:tcPr>
            <w:tcW w:w="1058" w:type="dxa"/>
            <w:noWrap w:val="0"/>
            <w:vAlign w:val="center"/>
          </w:tcPr>
          <w:p w14:paraId="5F79CFD3">
            <w:pPr>
              <w:pStyle w:val="2"/>
              <w:keepNext/>
              <w:spacing w:line="440" w:lineRule="exact"/>
              <w:ind w:left="63" w:right="63"/>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数量</w:t>
            </w:r>
          </w:p>
        </w:tc>
        <w:tc>
          <w:tcPr>
            <w:tcW w:w="880" w:type="dxa"/>
            <w:noWrap w:val="0"/>
            <w:vAlign w:val="center"/>
          </w:tcPr>
          <w:p w14:paraId="14D2F8E0">
            <w:pPr>
              <w:pStyle w:val="2"/>
              <w:keepNext/>
              <w:spacing w:line="440" w:lineRule="exact"/>
              <w:ind w:left="63" w:right="63"/>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产地</w:t>
            </w:r>
          </w:p>
        </w:tc>
        <w:tc>
          <w:tcPr>
            <w:tcW w:w="1020" w:type="dxa"/>
            <w:noWrap w:val="0"/>
            <w:vAlign w:val="center"/>
          </w:tcPr>
          <w:p w14:paraId="6CD1DC09">
            <w:pPr>
              <w:pStyle w:val="2"/>
              <w:keepNext/>
              <w:spacing w:line="440" w:lineRule="exact"/>
              <w:ind w:left="63" w:right="63"/>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制造年份</w:t>
            </w:r>
          </w:p>
        </w:tc>
        <w:tc>
          <w:tcPr>
            <w:tcW w:w="1480" w:type="dxa"/>
            <w:noWrap w:val="0"/>
            <w:vAlign w:val="center"/>
          </w:tcPr>
          <w:p w14:paraId="2893EB79">
            <w:pPr>
              <w:pStyle w:val="2"/>
              <w:keepNext/>
              <w:spacing w:line="440" w:lineRule="exact"/>
              <w:ind w:left="63" w:right="63"/>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额定功率（kW）</w:t>
            </w:r>
          </w:p>
        </w:tc>
        <w:tc>
          <w:tcPr>
            <w:tcW w:w="1020" w:type="dxa"/>
            <w:noWrap w:val="0"/>
            <w:vAlign w:val="center"/>
          </w:tcPr>
          <w:p w14:paraId="3F00E5F8">
            <w:pPr>
              <w:pStyle w:val="2"/>
              <w:keepNext/>
              <w:spacing w:line="440" w:lineRule="exact"/>
              <w:ind w:left="63" w:right="63"/>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生产能力</w:t>
            </w:r>
          </w:p>
        </w:tc>
        <w:tc>
          <w:tcPr>
            <w:tcW w:w="921" w:type="dxa"/>
            <w:noWrap w:val="0"/>
            <w:vAlign w:val="center"/>
          </w:tcPr>
          <w:p w14:paraId="7D1455E2">
            <w:pPr>
              <w:pStyle w:val="2"/>
              <w:keepNext/>
              <w:spacing w:line="440" w:lineRule="exact"/>
              <w:ind w:left="63" w:right="63"/>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备注</w:t>
            </w:r>
          </w:p>
        </w:tc>
      </w:tr>
      <w:tr w14:paraId="7A3E4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2BAD6287">
            <w:pPr>
              <w:pStyle w:val="2"/>
              <w:keepNext/>
              <w:spacing w:line="440" w:lineRule="exact"/>
              <w:ind w:left="63" w:right="63"/>
              <w:rPr>
                <w:rFonts w:ascii="宋体" w:hAnsi="宋体" w:eastAsia="宋体" w:cs="宋体"/>
                <w:color w:val="auto"/>
                <w:sz w:val="30"/>
                <w:szCs w:val="30"/>
                <w:highlight w:val="none"/>
              </w:rPr>
            </w:pPr>
          </w:p>
        </w:tc>
        <w:tc>
          <w:tcPr>
            <w:tcW w:w="1418" w:type="dxa"/>
            <w:noWrap w:val="0"/>
            <w:vAlign w:val="center"/>
          </w:tcPr>
          <w:p w14:paraId="7856674B">
            <w:pPr>
              <w:pStyle w:val="2"/>
              <w:keepNext/>
              <w:spacing w:line="440" w:lineRule="exact"/>
              <w:ind w:left="63" w:right="63"/>
              <w:rPr>
                <w:rFonts w:ascii="宋体" w:hAnsi="宋体" w:eastAsia="宋体" w:cs="宋体"/>
                <w:color w:val="auto"/>
                <w:sz w:val="30"/>
                <w:szCs w:val="30"/>
                <w:highlight w:val="none"/>
              </w:rPr>
            </w:pPr>
          </w:p>
        </w:tc>
        <w:tc>
          <w:tcPr>
            <w:tcW w:w="850" w:type="dxa"/>
            <w:noWrap w:val="0"/>
            <w:vAlign w:val="center"/>
          </w:tcPr>
          <w:p w14:paraId="6CF45D25">
            <w:pPr>
              <w:pStyle w:val="2"/>
              <w:keepNext/>
              <w:spacing w:line="440" w:lineRule="exact"/>
              <w:ind w:left="63" w:right="63"/>
              <w:rPr>
                <w:rFonts w:ascii="宋体" w:hAnsi="宋体" w:eastAsia="宋体" w:cs="宋体"/>
                <w:color w:val="auto"/>
                <w:sz w:val="30"/>
                <w:szCs w:val="30"/>
                <w:highlight w:val="none"/>
              </w:rPr>
            </w:pPr>
          </w:p>
        </w:tc>
        <w:tc>
          <w:tcPr>
            <w:tcW w:w="1058" w:type="dxa"/>
            <w:noWrap w:val="0"/>
            <w:vAlign w:val="center"/>
          </w:tcPr>
          <w:p w14:paraId="756BA5E7">
            <w:pPr>
              <w:pStyle w:val="2"/>
              <w:keepNext/>
              <w:spacing w:line="440" w:lineRule="exact"/>
              <w:ind w:left="63" w:right="63"/>
              <w:rPr>
                <w:rFonts w:ascii="宋体" w:hAnsi="宋体" w:eastAsia="宋体" w:cs="宋体"/>
                <w:color w:val="auto"/>
                <w:sz w:val="30"/>
                <w:szCs w:val="30"/>
                <w:highlight w:val="none"/>
              </w:rPr>
            </w:pPr>
          </w:p>
        </w:tc>
        <w:tc>
          <w:tcPr>
            <w:tcW w:w="880" w:type="dxa"/>
            <w:noWrap w:val="0"/>
            <w:vAlign w:val="center"/>
          </w:tcPr>
          <w:p w14:paraId="6CBD52C1">
            <w:pPr>
              <w:pStyle w:val="2"/>
              <w:keepNext/>
              <w:spacing w:line="440" w:lineRule="exact"/>
              <w:ind w:left="63" w:right="63"/>
              <w:rPr>
                <w:rFonts w:ascii="宋体" w:hAnsi="宋体" w:eastAsia="宋体" w:cs="宋体"/>
                <w:color w:val="auto"/>
                <w:sz w:val="30"/>
                <w:szCs w:val="30"/>
                <w:highlight w:val="none"/>
              </w:rPr>
            </w:pPr>
          </w:p>
        </w:tc>
        <w:tc>
          <w:tcPr>
            <w:tcW w:w="1020" w:type="dxa"/>
            <w:noWrap w:val="0"/>
            <w:vAlign w:val="center"/>
          </w:tcPr>
          <w:p w14:paraId="36E639E4">
            <w:pPr>
              <w:pStyle w:val="2"/>
              <w:keepNext/>
              <w:spacing w:line="440" w:lineRule="exact"/>
              <w:ind w:left="63" w:right="63"/>
              <w:rPr>
                <w:rFonts w:ascii="宋体" w:hAnsi="宋体" w:eastAsia="宋体" w:cs="宋体"/>
                <w:color w:val="auto"/>
                <w:sz w:val="30"/>
                <w:szCs w:val="30"/>
                <w:highlight w:val="none"/>
              </w:rPr>
            </w:pPr>
          </w:p>
        </w:tc>
        <w:tc>
          <w:tcPr>
            <w:tcW w:w="1480" w:type="dxa"/>
            <w:noWrap w:val="0"/>
            <w:vAlign w:val="center"/>
          </w:tcPr>
          <w:p w14:paraId="5C2E5065">
            <w:pPr>
              <w:pStyle w:val="2"/>
              <w:keepNext/>
              <w:spacing w:line="440" w:lineRule="exact"/>
              <w:ind w:left="63" w:right="63"/>
              <w:rPr>
                <w:rFonts w:ascii="宋体" w:hAnsi="宋体" w:eastAsia="宋体" w:cs="宋体"/>
                <w:color w:val="auto"/>
                <w:sz w:val="30"/>
                <w:szCs w:val="30"/>
                <w:highlight w:val="none"/>
              </w:rPr>
            </w:pPr>
          </w:p>
        </w:tc>
        <w:tc>
          <w:tcPr>
            <w:tcW w:w="1020" w:type="dxa"/>
            <w:noWrap w:val="0"/>
            <w:vAlign w:val="center"/>
          </w:tcPr>
          <w:p w14:paraId="4E4C9E19">
            <w:pPr>
              <w:pStyle w:val="2"/>
              <w:keepNext/>
              <w:spacing w:line="440" w:lineRule="exact"/>
              <w:ind w:left="63" w:right="63"/>
              <w:rPr>
                <w:rFonts w:ascii="宋体" w:hAnsi="宋体" w:eastAsia="宋体" w:cs="宋体"/>
                <w:color w:val="auto"/>
                <w:sz w:val="30"/>
                <w:szCs w:val="30"/>
                <w:highlight w:val="none"/>
              </w:rPr>
            </w:pPr>
          </w:p>
        </w:tc>
        <w:tc>
          <w:tcPr>
            <w:tcW w:w="921" w:type="dxa"/>
            <w:noWrap w:val="0"/>
            <w:vAlign w:val="center"/>
          </w:tcPr>
          <w:p w14:paraId="30976566">
            <w:pPr>
              <w:pStyle w:val="2"/>
              <w:keepNext/>
              <w:spacing w:line="440" w:lineRule="exact"/>
              <w:ind w:left="63" w:right="63"/>
              <w:rPr>
                <w:rFonts w:ascii="宋体" w:hAnsi="宋体" w:eastAsia="宋体" w:cs="宋体"/>
                <w:color w:val="auto"/>
                <w:sz w:val="30"/>
                <w:szCs w:val="30"/>
                <w:highlight w:val="none"/>
              </w:rPr>
            </w:pPr>
          </w:p>
        </w:tc>
      </w:tr>
      <w:tr w14:paraId="7ABFD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211644E9">
            <w:pPr>
              <w:pStyle w:val="2"/>
              <w:keepNext/>
              <w:spacing w:line="440" w:lineRule="exact"/>
              <w:ind w:left="63" w:right="63"/>
              <w:rPr>
                <w:rFonts w:ascii="宋体" w:hAnsi="宋体" w:eastAsia="宋体" w:cs="宋体"/>
                <w:color w:val="auto"/>
                <w:sz w:val="30"/>
                <w:szCs w:val="30"/>
                <w:highlight w:val="none"/>
              </w:rPr>
            </w:pPr>
          </w:p>
        </w:tc>
        <w:tc>
          <w:tcPr>
            <w:tcW w:w="1418" w:type="dxa"/>
            <w:noWrap w:val="0"/>
            <w:vAlign w:val="center"/>
          </w:tcPr>
          <w:p w14:paraId="729D0CEB">
            <w:pPr>
              <w:pStyle w:val="2"/>
              <w:keepNext/>
              <w:spacing w:line="440" w:lineRule="exact"/>
              <w:ind w:left="63" w:right="63"/>
              <w:rPr>
                <w:rFonts w:ascii="宋体" w:hAnsi="宋体" w:eastAsia="宋体" w:cs="宋体"/>
                <w:color w:val="auto"/>
                <w:sz w:val="30"/>
                <w:szCs w:val="30"/>
                <w:highlight w:val="none"/>
              </w:rPr>
            </w:pPr>
          </w:p>
        </w:tc>
        <w:tc>
          <w:tcPr>
            <w:tcW w:w="850" w:type="dxa"/>
            <w:noWrap w:val="0"/>
            <w:vAlign w:val="center"/>
          </w:tcPr>
          <w:p w14:paraId="6EBF6C63">
            <w:pPr>
              <w:pStyle w:val="2"/>
              <w:keepNext/>
              <w:spacing w:line="440" w:lineRule="exact"/>
              <w:ind w:left="63" w:right="63"/>
              <w:rPr>
                <w:rFonts w:ascii="宋体" w:hAnsi="宋体" w:eastAsia="宋体" w:cs="宋体"/>
                <w:color w:val="auto"/>
                <w:sz w:val="30"/>
                <w:szCs w:val="30"/>
                <w:highlight w:val="none"/>
              </w:rPr>
            </w:pPr>
          </w:p>
        </w:tc>
        <w:tc>
          <w:tcPr>
            <w:tcW w:w="1058" w:type="dxa"/>
            <w:noWrap w:val="0"/>
            <w:vAlign w:val="center"/>
          </w:tcPr>
          <w:p w14:paraId="2A1DE7CC">
            <w:pPr>
              <w:pStyle w:val="2"/>
              <w:keepNext/>
              <w:spacing w:line="440" w:lineRule="exact"/>
              <w:ind w:left="63" w:right="63"/>
              <w:rPr>
                <w:rFonts w:ascii="宋体" w:hAnsi="宋体" w:eastAsia="宋体" w:cs="宋体"/>
                <w:color w:val="auto"/>
                <w:sz w:val="30"/>
                <w:szCs w:val="30"/>
                <w:highlight w:val="none"/>
              </w:rPr>
            </w:pPr>
          </w:p>
        </w:tc>
        <w:tc>
          <w:tcPr>
            <w:tcW w:w="880" w:type="dxa"/>
            <w:noWrap w:val="0"/>
            <w:vAlign w:val="center"/>
          </w:tcPr>
          <w:p w14:paraId="4E1E40EA">
            <w:pPr>
              <w:pStyle w:val="2"/>
              <w:keepNext/>
              <w:spacing w:line="440" w:lineRule="exact"/>
              <w:ind w:left="63" w:right="63"/>
              <w:rPr>
                <w:rFonts w:ascii="宋体" w:hAnsi="宋体" w:eastAsia="宋体" w:cs="宋体"/>
                <w:color w:val="auto"/>
                <w:sz w:val="30"/>
                <w:szCs w:val="30"/>
                <w:highlight w:val="none"/>
              </w:rPr>
            </w:pPr>
          </w:p>
        </w:tc>
        <w:tc>
          <w:tcPr>
            <w:tcW w:w="1020" w:type="dxa"/>
            <w:noWrap w:val="0"/>
            <w:vAlign w:val="center"/>
          </w:tcPr>
          <w:p w14:paraId="665A3C41">
            <w:pPr>
              <w:pStyle w:val="2"/>
              <w:keepNext/>
              <w:spacing w:line="440" w:lineRule="exact"/>
              <w:ind w:left="63" w:right="63"/>
              <w:rPr>
                <w:rFonts w:ascii="宋体" w:hAnsi="宋体" w:eastAsia="宋体" w:cs="宋体"/>
                <w:color w:val="auto"/>
                <w:sz w:val="30"/>
                <w:szCs w:val="30"/>
                <w:highlight w:val="none"/>
              </w:rPr>
            </w:pPr>
          </w:p>
        </w:tc>
        <w:tc>
          <w:tcPr>
            <w:tcW w:w="1480" w:type="dxa"/>
            <w:noWrap w:val="0"/>
            <w:vAlign w:val="center"/>
          </w:tcPr>
          <w:p w14:paraId="42C8E7F8">
            <w:pPr>
              <w:pStyle w:val="2"/>
              <w:keepNext/>
              <w:spacing w:line="440" w:lineRule="exact"/>
              <w:ind w:left="63" w:right="63"/>
              <w:rPr>
                <w:rFonts w:ascii="宋体" w:hAnsi="宋体" w:eastAsia="宋体" w:cs="宋体"/>
                <w:color w:val="auto"/>
                <w:sz w:val="30"/>
                <w:szCs w:val="30"/>
                <w:highlight w:val="none"/>
              </w:rPr>
            </w:pPr>
          </w:p>
        </w:tc>
        <w:tc>
          <w:tcPr>
            <w:tcW w:w="1020" w:type="dxa"/>
            <w:noWrap w:val="0"/>
            <w:vAlign w:val="center"/>
          </w:tcPr>
          <w:p w14:paraId="54CCDF54">
            <w:pPr>
              <w:pStyle w:val="2"/>
              <w:keepNext/>
              <w:spacing w:line="440" w:lineRule="exact"/>
              <w:ind w:left="63" w:right="63"/>
              <w:rPr>
                <w:rFonts w:ascii="宋体" w:hAnsi="宋体" w:eastAsia="宋体" w:cs="宋体"/>
                <w:color w:val="auto"/>
                <w:sz w:val="30"/>
                <w:szCs w:val="30"/>
                <w:highlight w:val="none"/>
              </w:rPr>
            </w:pPr>
          </w:p>
        </w:tc>
        <w:tc>
          <w:tcPr>
            <w:tcW w:w="921" w:type="dxa"/>
            <w:noWrap w:val="0"/>
            <w:vAlign w:val="center"/>
          </w:tcPr>
          <w:p w14:paraId="4ABB4551">
            <w:pPr>
              <w:pStyle w:val="2"/>
              <w:keepNext/>
              <w:spacing w:line="440" w:lineRule="exact"/>
              <w:ind w:left="63" w:right="63"/>
              <w:rPr>
                <w:rFonts w:ascii="宋体" w:hAnsi="宋体" w:eastAsia="宋体" w:cs="宋体"/>
                <w:color w:val="auto"/>
                <w:sz w:val="30"/>
                <w:szCs w:val="30"/>
                <w:highlight w:val="none"/>
              </w:rPr>
            </w:pPr>
          </w:p>
        </w:tc>
      </w:tr>
      <w:tr w14:paraId="7A06E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62F6F28A">
            <w:pPr>
              <w:pStyle w:val="2"/>
              <w:keepNext/>
              <w:spacing w:line="440" w:lineRule="exact"/>
              <w:ind w:left="63" w:right="63"/>
              <w:rPr>
                <w:rFonts w:ascii="宋体" w:hAnsi="宋体" w:eastAsia="宋体" w:cs="宋体"/>
                <w:color w:val="auto"/>
                <w:sz w:val="30"/>
                <w:szCs w:val="30"/>
                <w:highlight w:val="none"/>
              </w:rPr>
            </w:pPr>
          </w:p>
        </w:tc>
        <w:tc>
          <w:tcPr>
            <w:tcW w:w="1418" w:type="dxa"/>
            <w:noWrap w:val="0"/>
            <w:vAlign w:val="center"/>
          </w:tcPr>
          <w:p w14:paraId="41103F55">
            <w:pPr>
              <w:pStyle w:val="2"/>
              <w:keepNext/>
              <w:spacing w:line="440" w:lineRule="exact"/>
              <w:ind w:left="63" w:right="63"/>
              <w:rPr>
                <w:rFonts w:ascii="宋体" w:hAnsi="宋体" w:eastAsia="宋体" w:cs="宋体"/>
                <w:color w:val="auto"/>
                <w:sz w:val="30"/>
                <w:szCs w:val="30"/>
                <w:highlight w:val="none"/>
              </w:rPr>
            </w:pPr>
          </w:p>
        </w:tc>
        <w:tc>
          <w:tcPr>
            <w:tcW w:w="850" w:type="dxa"/>
            <w:noWrap w:val="0"/>
            <w:vAlign w:val="center"/>
          </w:tcPr>
          <w:p w14:paraId="112E9E05">
            <w:pPr>
              <w:pStyle w:val="2"/>
              <w:keepNext/>
              <w:spacing w:line="440" w:lineRule="exact"/>
              <w:ind w:left="63" w:right="63"/>
              <w:rPr>
                <w:rFonts w:ascii="宋体" w:hAnsi="宋体" w:eastAsia="宋体" w:cs="宋体"/>
                <w:color w:val="auto"/>
                <w:sz w:val="30"/>
                <w:szCs w:val="30"/>
                <w:highlight w:val="none"/>
              </w:rPr>
            </w:pPr>
          </w:p>
        </w:tc>
        <w:tc>
          <w:tcPr>
            <w:tcW w:w="1058" w:type="dxa"/>
            <w:noWrap w:val="0"/>
            <w:vAlign w:val="center"/>
          </w:tcPr>
          <w:p w14:paraId="34DEFDF5">
            <w:pPr>
              <w:pStyle w:val="2"/>
              <w:keepNext/>
              <w:spacing w:line="440" w:lineRule="exact"/>
              <w:ind w:left="63" w:right="63"/>
              <w:rPr>
                <w:rFonts w:ascii="宋体" w:hAnsi="宋体" w:eastAsia="宋体" w:cs="宋体"/>
                <w:color w:val="auto"/>
                <w:sz w:val="30"/>
                <w:szCs w:val="30"/>
                <w:highlight w:val="none"/>
              </w:rPr>
            </w:pPr>
          </w:p>
        </w:tc>
        <w:tc>
          <w:tcPr>
            <w:tcW w:w="880" w:type="dxa"/>
            <w:noWrap w:val="0"/>
            <w:vAlign w:val="center"/>
          </w:tcPr>
          <w:p w14:paraId="6EF49C10">
            <w:pPr>
              <w:pStyle w:val="2"/>
              <w:keepNext/>
              <w:spacing w:line="440" w:lineRule="exact"/>
              <w:ind w:left="63" w:right="63"/>
              <w:rPr>
                <w:rFonts w:ascii="宋体" w:hAnsi="宋体" w:eastAsia="宋体" w:cs="宋体"/>
                <w:color w:val="auto"/>
                <w:sz w:val="30"/>
                <w:szCs w:val="30"/>
                <w:highlight w:val="none"/>
              </w:rPr>
            </w:pPr>
          </w:p>
        </w:tc>
        <w:tc>
          <w:tcPr>
            <w:tcW w:w="1020" w:type="dxa"/>
            <w:noWrap w:val="0"/>
            <w:vAlign w:val="center"/>
          </w:tcPr>
          <w:p w14:paraId="267195FB">
            <w:pPr>
              <w:pStyle w:val="2"/>
              <w:keepNext/>
              <w:spacing w:line="440" w:lineRule="exact"/>
              <w:ind w:left="63" w:right="63"/>
              <w:rPr>
                <w:rFonts w:ascii="宋体" w:hAnsi="宋体" w:eastAsia="宋体" w:cs="宋体"/>
                <w:color w:val="auto"/>
                <w:sz w:val="30"/>
                <w:szCs w:val="30"/>
                <w:highlight w:val="none"/>
              </w:rPr>
            </w:pPr>
          </w:p>
        </w:tc>
        <w:tc>
          <w:tcPr>
            <w:tcW w:w="1480" w:type="dxa"/>
            <w:noWrap w:val="0"/>
            <w:vAlign w:val="center"/>
          </w:tcPr>
          <w:p w14:paraId="60B07CE6">
            <w:pPr>
              <w:pStyle w:val="2"/>
              <w:keepNext/>
              <w:spacing w:line="440" w:lineRule="exact"/>
              <w:ind w:left="63" w:right="63"/>
              <w:rPr>
                <w:rFonts w:ascii="宋体" w:hAnsi="宋体" w:eastAsia="宋体" w:cs="宋体"/>
                <w:color w:val="auto"/>
                <w:sz w:val="30"/>
                <w:szCs w:val="30"/>
                <w:highlight w:val="none"/>
              </w:rPr>
            </w:pPr>
          </w:p>
        </w:tc>
        <w:tc>
          <w:tcPr>
            <w:tcW w:w="1020" w:type="dxa"/>
            <w:noWrap w:val="0"/>
            <w:vAlign w:val="center"/>
          </w:tcPr>
          <w:p w14:paraId="680022F3">
            <w:pPr>
              <w:pStyle w:val="2"/>
              <w:keepNext/>
              <w:spacing w:line="440" w:lineRule="exact"/>
              <w:ind w:left="63" w:right="63"/>
              <w:rPr>
                <w:rFonts w:ascii="宋体" w:hAnsi="宋体" w:eastAsia="宋体" w:cs="宋体"/>
                <w:color w:val="auto"/>
                <w:sz w:val="30"/>
                <w:szCs w:val="30"/>
                <w:highlight w:val="none"/>
              </w:rPr>
            </w:pPr>
          </w:p>
        </w:tc>
        <w:tc>
          <w:tcPr>
            <w:tcW w:w="921" w:type="dxa"/>
            <w:noWrap w:val="0"/>
            <w:vAlign w:val="center"/>
          </w:tcPr>
          <w:p w14:paraId="07A88C52">
            <w:pPr>
              <w:pStyle w:val="2"/>
              <w:keepNext/>
              <w:spacing w:line="440" w:lineRule="exact"/>
              <w:ind w:left="63" w:right="63"/>
              <w:rPr>
                <w:rFonts w:ascii="宋体" w:hAnsi="宋体" w:eastAsia="宋体" w:cs="宋体"/>
                <w:color w:val="auto"/>
                <w:sz w:val="30"/>
                <w:szCs w:val="30"/>
                <w:highlight w:val="none"/>
              </w:rPr>
            </w:pPr>
          </w:p>
        </w:tc>
      </w:tr>
      <w:tr w14:paraId="18F19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4F20380C">
            <w:pPr>
              <w:pStyle w:val="2"/>
              <w:keepNext/>
              <w:spacing w:line="440" w:lineRule="exact"/>
              <w:ind w:left="63" w:right="63"/>
              <w:rPr>
                <w:rFonts w:ascii="宋体" w:hAnsi="宋体" w:eastAsia="宋体" w:cs="宋体"/>
                <w:color w:val="auto"/>
                <w:sz w:val="30"/>
                <w:szCs w:val="30"/>
                <w:highlight w:val="none"/>
              </w:rPr>
            </w:pPr>
          </w:p>
        </w:tc>
        <w:tc>
          <w:tcPr>
            <w:tcW w:w="1418" w:type="dxa"/>
            <w:noWrap w:val="0"/>
            <w:vAlign w:val="center"/>
          </w:tcPr>
          <w:p w14:paraId="7EC1D2DC">
            <w:pPr>
              <w:pStyle w:val="2"/>
              <w:keepNext/>
              <w:spacing w:line="440" w:lineRule="exact"/>
              <w:ind w:left="63" w:right="63"/>
              <w:rPr>
                <w:rFonts w:ascii="宋体" w:hAnsi="宋体" w:eastAsia="宋体" w:cs="宋体"/>
                <w:color w:val="auto"/>
                <w:sz w:val="30"/>
                <w:szCs w:val="30"/>
                <w:highlight w:val="none"/>
              </w:rPr>
            </w:pPr>
          </w:p>
        </w:tc>
        <w:tc>
          <w:tcPr>
            <w:tcW w:w="850" w:type="dxa"/>
            <w:noWrap w:val="0"/>
            <w:vAlign w:val="center"/>
          </w:tcPr>
          <w:p w14:paraId="58B4E628">
            <w:pPr>
              <w:pStyle w:val="2"/>
              <w:keepNext/>
              <w:spacing w:line="440" w:lineRule="exact"/>
              <w:ind w:left="63" w:right="63"/>
              <w:rPr>
                <w:rFonts w:ascii="宋体" w:hAnsi="宋体" w:eastAsia="宋体" w:cs="宋体"/>
                <w:color w:val="auto"/>
                <w:sz w:val="30"/>
                <w:szCs w:val="30"/>
                <w:highlight w:val="none"/>
              </w:rPr>
            </w:pPr>
          </w:p>
        </w:tc>
        <w:tc>
          <w:tcPr>
            <w:tcW w:w="1058" w:type="dxa"/>
            <w:noWrap w:val="0"/>
            <w:vAlign w:val="center"/>
          </w:tcPr>
          <w:p w14:paraId="460E11FA">
            <w:pPr>
              <w:pStyle w:val="2"/>
              <w:keepNext/>
              <w:spacing w:line="440" w:lineRule="exact"/>
              <w:ind w:left="63" w:right="63"/>
              <w:rPr>
                <w:rFonts w:ascii="宋体" w:hAnsi="宋体" w:eastAsia="宋体" w:cs="宋体"/>
                <w:color w:val="auto"/>
                <w:sz w:val="30"/>
                <w:szCs w:val="30"/>
                <w:highlight w:val="none"/>
              </w:rPr>
            </w:pPr>
          </w:p>
        </w:tc>
        <w:tc>
          <w:tcPr>
            <w:tcW w:w="880" w:type="dxa"/>
            <w:noWrap w:val="0"/>
            <w:vAlign w:val="center"/>
          </w:tcPr>
          <w:p w14:paraId="4D278294">
            <w:pPr>
              <w:pStyle w:val="2"/>
              <w:keepNext/>
              <w:spacing w:line="440" w:lineRule="exact"/>
              <w:ind w:left="63" w:right="63"/>
              <w:rPr>
                <w:rFonts w:ascii="宋体" w:hAnsi="宋体" w:eastAsia="宋体" w:cs="宋体"/>
                <w:color w:val="auto"/>
                <w:sz w:val="30"/>
                <w:szCs w:val="30"/>
                <w:highlight w:val="none"/>
              </w:rPr>
            </w:pPr>
          </w:p>
        </w:tc>
        <w:tc>
          <w:tcPr>
            <w:tcW w:w="1020" w:type="dxa"/>
            <w:noWrap w:val="0"/>
            <w:vAlign w:val="center"/>
          </w:tcPr>
          <w:p w14:paraId="171B7558">
            <w:pPr>
              <w:pStyle w:val="2"/>
              <w:keepNext/>
              <w:spacing w:line="440" w:lineRule="exact"/>
              <w:ind w:left="63" w:right="63"/>
              <w:rPr>
                <w:rFonts w:ascii="宋体" w:hAnsi="宋体" w:eastAsia="宋体" w:cs="宋体"/>
                <w:color w:val="auto"/>
                <w:sz w:val="30"/>
                <w:szCs w:val="30"/>
                <w:highlight w:val="none"/>
              </w:rPr>
            </w:pPr>
          </w:p>
        </w:tc>
        <w:tc>
          <w:tcPr>
            <w:tcW w:w="1480" w:type="dxa"/>
            <w:noWrap w:val="0"/>
            <w:vAlign w:val="center"/>
          </w:tcPr>
          <w:p w14:paraId="392D1FC2">
            <w:pPr>
              <w:pStyle w:val="2"/>
              <w:keepNext/>
              <w:spacing w:line="440" w:lineRule="exact"/>
              <w:ind w:left="63" w:right="63"/>
              <w:rPr>
                <w:rFonts w:ascii="宋体" w:hAnsi="宋体" w:eastAsia="宋体" w:cs="宋体"/>
                <w:color w:val="auto"/>
                <w:sz w:val="30"/>
                <w:szCs w:val="30"/>
                <w:highlight w:val="none"/>
              </w:rPr>
            </w:pPr>
          </w:p>
        </w:tc>
        <w:tc>
          <w:tcPr>
            <w:tcW w:w="1020" w:type="dxa"/>
            <w:noWrap w:val="0"/>
            <w:vAlign w:val="center"/>
          </w:tcPr>
          <w:p w14:paraId="5AFB3175">
            <w:pPr>
              <w:pStyle w:val="2"/>
              <w:keepNext/>
              <w:spacing w:line="440" w:lineRule="exact"/>
              <w:ind w:left="63" w:right="63"/>
              <w:rPr>
                <w:rFonts w:ascii="宋体" w:hAnsi="宋体" w:eastAsia="宋体" w:cs="宋体"/>
                <w:color w:val="auto"/>
                <w:sz w:val="30"/>
                <w:szCs w:val="30"/>
                <w:highlight w:val="none"/>
              </w:rPr>
            </w:pPr>
          </w:p>
        </w:tc>
        <w:tc>
          <w:tcPr>
            <w:tcW w:w="921" w:type="dxa"/>
            <w:noWrap w:val="0"/>
            <w:vAlign w:val="center"/>
          </w:tcPr>
          <w:p w14:paraId="20A21042">
            <w:pPr>
              <w:pStyle w:val="2"/>
              <w:keepNext/>
              <w:spacing w:line="440" w:lineRule="exact"/>
              <w:ind w:left="63" w:right="63"/>
              <w:rPr>
                <w:rFonts w:ascii="宋体" w:hAnsi="宋体" w:eastAsia="宋体" w:cs="宋体"/>
                <w:color w:val="auto"/>
                <w:sz w:val="30"/>
                <w:szCs w:val="30"/>
                <w:highlight w:val="none"/>
              </w:rPr>
            </w:pPr>
          </w:p>
        </w:tc>
      </w:tr>
      <w:tr w14:paraId="178BC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027211B0">
            <w:pPr>
              <w:pStyle w:val="2"/>
              <w:keepNext/>
              <w:spacing w:line="440" w:lineRule="exact"/>
              <w:ind w:left="63" w:right="63"/>
              <w:rPr>
                <w:rFonts w:ascii="宋体" w:hAnsi="宋体" w:eastAsia="宋体" w:cs="宋体"/>
                <w:color w:val="auto"/>
                <w:sz w:val="30"/>
                <w:szCs w:val="30"/>
                <w:highlight w:val="none"/>
              </w:rPr>
            </w:pPr>
          </w:p>
        </w:tc>
        <w:tc>
          <w:tcPr>
            <w:tcW w:w="1418" w:type="dxa"/>
            <w:noWrap w:val="0"/>
            <w:vAlign w:val="center"/>
          </w:tcPr>
          <w:p w14:paraId="0313E1C4">
            <w:pPr>
              <w:pStyle w:val="2"/>
              <w:keepNext/>
              <w:spacing w:line="440" w:lineRule="exact"/>
              <w:ind w:left="63" w:right="63"/>
              <w:rPr>
                <w:rFonts w:ascii="宋体" w:hAnsi="宋体" w:eastAsia="宋体" w:cs="宋体"/>
                <w:color w:val="auto"/>
                <w:sz w:val="30"/>
                <w:szCs w:val="30"/>
                <w:highlight w:val="none"/>
              </w:rPr>
            </w:pPr>
          </w:p>
        </w:tc>
        <w:tc>
          <w:tcPr>
            <w:tcW w:w="850" w:type="dxa"/>
            <w:noWrap w:val="0"/>
            <w:vAlign w:val="center"/>
          </w:tcPr>
          <w:p w14:paraId="5602226F">
            <w:pPr>
              <w:pStyle w:val="2"/>
              <w:keepNext/>
              <w:spacing w:line="440" w:lineRule="exact"/>
              <w:ind w:left="63" w:right="63"/>
              <w:rPr>
                <w:rFonts w:ascii="宋体" w:hAnsi="宋体" w:eastAsia="宋体" w:cs="宋体"/>
                <w:color w:val="auto"/>
                <w:sz w:val="30"/>
                <w:szCs w:val="30"/>
                <w:highlight w:val="none"/>
              </w:rPr>
            </w:pPr>
          </w:p>
        </w:tc>
        <w:tc>
          <w:tcPr>
            <w:tcW w:w="1058" w:type="dxa"/>
            <w:noWrap w:val="0"/>
            <w:vAlign w:val="center"/>
          </w:tcPr>
          <w:p w14:paraId="777CFC8B">
            <w:pPr>
              <w:pStyle w:val="2"/>
              <w:keepNext/>
              <w:spacing w:line="440" w:lineRule="exact"/>
              <w:ind w:left="63" w:right="63"/>
              <w:rPr>
                <w:rFonts w:ascii="宋体" w:hAnsi="宋体" w:eastAsia="宋体" w:cs="宋体"/>
                <w:color w:val="auto"/>
                <w:sz w:val="30"/>
                <w:szCs w:val="30"/>
                <w:highlight w:val="none"/>
              </w:rPr>
            </w:pPr>
          </w:p>
        </w:tc>
        <w:tc>
          <w:tcPr>
            <w:tcW w:w="880" w:type="dxa"/>
            <w:noWrap w:val="0"/>
            <w:vAlign w:val="center"/>
          </w:tcPr>
          <w:p w14:paraId="6452BE19">
            <w:pPr>
              <w:pStyle w:val="2"/>
              <w:keepNext/>
              <w:spacing w:line="440" w:lineRule="exact"/>
              <w:ind w:left="63" w:right="63"/>
              <w:rPr>
                <w:rFonts w:ascii="宋体" w:hAnsi="宋体" w:eastAsia="宋体" w:cs="宋体"/>
                <w:color w:val="auto"/>
                <w:sz w:val="30"/>
                <w:szCs w:val="30"/>
                <w:highlight w:val="none"/>
              </w:rPr>
            </w:pPr>
          </w:p>
        </w:tc>
        <w:tc>
          <w:tcPr>
            <w:tcW w:w="1020" w:type="dxa"/>
            <w:noWrap w:val="0"/>
            <w:vAlign w:val="center"/>
          </w:tcPr>
          <w:p w14:paraId="2E102769">
            <w:pPr>
              <w:pStyle w:val="2"/>
              <w:keepNext/>
              <w:spacing w:line="440" w:lineRule="exact"/>
              <w:ind w:left="63" w:right="63"/>
              <w:rPr>
                <w:rFonts w:ascii="宋体" w:hAnsi="宋体" w:eastAsia="宋体" w:cs="宋体"/>
                <w:color w:val="auto"/>
                <w:sz w:val="30"/>
                <w:szCs w:val="30"/>
                <w:highlight w:val="none"/>
              </w:rPr>
            </w:pPr>
          </w:p>
        </w:tc>
        <w:tc>
          <w:tcPr>
            <w:tcW w:w="1480" w:type="dxa"/>
            <w:noWrap w:val="0"/>
            <w:vAlign w:val="center"/>
          </w:tcPr>
          <w:p w14:paraId="56716ED1">
            <w:pPr>
              <w:pStyle w:val="2"/>
              <w:keepNext/>
              <w:spacing w:line="440" w:lineRule="exact"/>
              <w:ind w:left="63" w:right="63"/>
              <w:rPr>
                <w:rFonts w:ascii="宋体" w:hAnsi="宋体" w:eastAsia="宋体" w:cs="宋体"/>
                <w:color w:val="auto"/>
                <w:sz w:val="30"/>
                <w:szCs w:val="30"/>
                <w:highlight w:val="none"/>
              </w:rPr>
            </w:pPr>
          </w:p>
        </w:tc>
        <w:tc>
          <w:tcPr>
            <w:tcW w:w="1020" w:type="dxa"/>
            <w:noWrap w:val="0"/>
            <w:vAlign w:val="center"/>
          </w:tcPr>
          <w:p w14:paraId="0E515A5E">
            <w:pPr>
              <w:pStyle w:val="2"/>
              <w:keepNext/>
              <w:spacing w:line="440" w:lineRule="exact"/>
              <w:ind w:left="63" w:right="63"/>
              <w:rPr>
                <w:rFonts w:ascii="宋体" w:hAnsi="宋体" w:eastAsia="宋体" w:cs="宋体"/>
                <w:color w:val="auto"/>
                <w:sz w:val="30"/>
                <w:szCs w:val="30"/>
                <w:highlight w:val="none"/>
              </w:rPr>
            </w:pPr>
          </w:p>
        </w:tc>
        <w:tc>
          <w:tcPr>
            <w:tcW w:w="921" w:type="dxa"/>
            <w:noWrap w:val="0"/>
            <w:vAlign w:val="center"/>
          </w:tcPr>
          <w:p w14:paraId="003F71B1">
            <w:pPr>
              <w:pStyle w:val="2"/>
              <w:keepNext/>
              <w:spacing w:line="440" w:lineRule="exact"/>
              <w:ind w:left="63" w:right="63"/>
              <w:rPr>
                <w:rFonts w:ascii="宋体" w:hAnsi="宋体" w:eastAsia="宋体" w:cs="宋体"/>
                <w:color w:val="auto"/>
                <w:sz w:val="30"/>
                <w:szCs w:val="30"/>
                <w:highlight w:val="none"/>
              </w:rPr>
            </w:pPr>
          </w:p>
        </w:tc>
      </w:tr>
      <w:tr w14:paraId="4322A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77A84437">
            <w:pPr>
              <w:pStyle w:val="2"/>
              <w:keepNext/>
              <w:spacing w:line="440" w:lineRule="exact"/>
              <w:ind w:left="63" w:right="63"/>
              <w:rPr>
                <w:rFonts w:ascii="宋体" w:hAnsi="宋体" w:eastAsia="宋体" w:cs="宋体"/>
                <w:color w:val="auto"/>
                <w:sz w:val="30"/>
                <w:szCs w:val="30"/>
                <w:highlight w:val="none"/>
              </w:rPr>
            </w:pPr>
          </w:p>
        </w:tc>
        <w:tc>
          <w:tcPr>
            <w:tcW w:w="1418" w:type="dxa"/>
            <w:noWrap w:val="0"/>
            <w:vAlign w:val="center"/>
          </w:tcPr>
          <w:p w14:paraId="4F90309E">
            <w:pPr>
              <w:pStyle w:val="2"/>
              <w:keepNext/>
              <w:spacing w:line="440" w:lineRule="exact"/>
              <w:ind w:left="63" w:right="63"/>
              <w:rPr>
                <w:rFonts w:ascii="宋体" w:hAnsi="宋体" w:eastAsia="宋体" w:cs="宋体"/>
                <w:color w:val="auto"/>
                <w:sz w:val="30"/>
                <w:szCs w:val="30"/>
                <w:highlight w:val="none"/>
              </w:rPr>
            </w:pPr>
          </w:p>
        </w:tc>
        <w:tc>
          <w:tcPr>
            <w:tcW w:w="850" w:type="dxa"/>
            <w:noWrap w:val="0"/>
            <w:vAlign w:val="center"/>
          </w:tcPr>
          <w:p w14:paraId="0477369E">
            <w:pPr>
              <w:pStyle w:val="2"/>
              <w:keepNext/>
              <w:spacing w:line="440" w:lineRule="exact"/>
              <w:ind w:left="63" w:right="63"/>
              <w:rPr>
                <w:rFonts w:ascii="宋体" w:hAnsi="宋体" w:eastAsia="宋体" w:cs="宋体"/>
                <w:color w:val="auto"/>
                <w:sz w:val="30"/>
                <w:szCs w:val="30"/>
                <w:highlight w:val="none"/>
              </w:rPr>
            </w:pPr>
          </w:p>
        </w:tc>
        <w:tc>
          <w:tcPr>
            <w:tcW w:w="1058" w:type="dxa"/>
            <w:noWrap w:val="0"/>
            <w:vAlign w:val="center"/>
          </w:tcPr>
          <w:p w14:paraId="0672182F">
            <w:pPr>
              <w:pStyle w:val="2"/>
              <w:keepNext/>
              <w:spacing w:line="440" w:lineRule="exact"/>
              <w:ind w:left="63" w:right="63"/>
              <w:rPr>
                <w:rFonts w:ascii="宋体" w:hAnsi="宋体" w:eastAsia="宋体" w:cs="宋体"/>
                <w:color w:val="auto"/>
                <w:sz w:val="30"/>
                <w:szCs w:val="30"/>
                <w:highlight w:val="none"/>
              </w:rPr>
            </w:pPr>
          </w:p>
        </w:tc>
        <w:tc>
          <w:tcPr>
            <w:tcW w:w="880" w:type="dxa"/>
            <w:noWrap w:val="0"/>
            <w:vAlign w:val="center"/>
          </w:tcPr>
          <w:p w14:paraId="0416BEF9">
            <w:pPr>
              <w:pStyle w:val="2"/>
              <w:keepNext/>
              <w:spacing w:line="440" w:lineRule="exact"/>
              <w:ind w:left="63" w:right="63"/>
              <w:rPr>
                <w:rFonts w:ascii="宋体" w:hAnsi="宋体" w:eastAsia="宋体" w:cs="宋体"/>
                <w:color w:val="auto"/>
                <w:sz w:val="30"/>
                <w:szCs w:val="30"/>
                <w:highlight w:val="none"/>
              </w:rPr>
            </w:pPr>
          </w:p>
        </w:tc>
        <w:tc>
          <w:tcPr>
            <w:tcW w:w="1020" w:type="dxa"/>
            <w:noWrap w:val="0"/>
            <w:vAlign w:val="center"/>
          </w:tcPr>
          <w:p w14:paraId="1CA8634D">
            <w:pPr>
              <w:pStyle w:val="2"/>
              <w:keepNext/>
              <w:spacing w:line="440" w:lineRule="exact"/>
              <w:ind w:left="63" w:right="63"/>
              <w:rPr>
                <w:rFonts w:ascii="宋体" w:hAnsi="宋体" w:eastAsia="宋体" w:cs="宋体"/>
                <w:color w:val="auto"/>
                <w:sz w:val="30"/>
                <w:szCs w:val="30"/>
                <w:highlight w:val="none"/>
              </w:rPr>
            </w:pPr>
          </w:p>
        </w:tc>
        <w:tc>
          <w:tcPr>
            <w:tcW w:w="1480" w:type="dxa"/>
            <w:noWrap w:val="0"/>
            <w:vAlign w:val="center"/>
          </w:tcPr>
          <w:p w14:paraId="0D7066F6">
            <w:pPr>
              <w:pStyle w:val="2"/>
              <w:keepNext/>
              <w:spacing w:line="440" w:lineRule="exact"/>
              <w:ind w:left="63" w:right="63"/>
              <w:rPr>
                <w:rFonts w:ascii="宋体" w:hAnsi="宋体" w:eastAsia="宋体" w:cs="宋体"/>
                <w:color w:val="auto"/>
                <w:sz w:val="30"/>
                <w:szCs w:val="30"/>
                <w:highlight w:val="none"/>
              </w:rPr>
            </w:pPr>
          </w:p>
        </w:tc>
        <w:tc>
          <w:tcPr>
            <w:tcW w:w="1020" w:type="dxa"/>
            <w:noWrap w:val="0"/>
            <w:vAlign w:val="center"/>
          </w:tcPr>
          <w:p w14:paraId="65114AFC">
            <w:pPr>
              <w:pStyle w:val="2"/>
              <w:keepNext/>
              <w:spacing w:line="440" w:lineRule="exact"/>
              <w:ind w:left="63" w:right="63"/>
              <w:rPr>
                <w:rFonts w:ascii="宋体" w:hAnsi="宋体" w:eastAsia="宋体" w:cs="宋体"/>
                <w:color w:val="auto"/>
                <w:sz w:val="30"/>
                <w:szCs w:val="30"/>
                <w:highlight w:val="none"/>
              </w:rPr>
            </w:pPr>
          </w:p>
        </w:tc>
        <w:tc>
          <w:tcPr>
            <w:tcW w:w="921" w:type="dxa"/>
            <w:noWrap w:val="0"/>
            <w:vAlign w:val="center"/>
          </w:tcPr>
          <w:p w14:paraId="49C7F019">
            <w:pPr>
              <w:pStyle w:val="2"/>
              <w:keepNext/>
              <w:spacing w:line="440" w:lineRule="exact"/>
              <w:ind w:left="63" w:right="63"/>
              <w:rPr>
                <w:rFonts w:ascii="宋体" w:hAnsi="宋体" w:eastAsia="宋体" w:cs="宋体"/>
                <w:color w:val="auto"/>
                <w:sz w:val="30"/>
                <w:szCs w:val="30"/>
                <w:highlight w:val="none"/>
              </w:rPr>
            </w:pPr>
          </w:p>
        </w:tc>
      </w:tr>
      <w:tr w14:paraId="19E35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2EBBAC53">
            <w:pPr>
              <w:pStyle w:val="2"/>
              <w:keepNext/>
              <w:spacing w:line="440" w:lineRule="exact"/>
              <w:ind w:left="63" w:right="63"/>
              <w:rPr>
                <w:rFonts w:ascii="宋体" w:hAnsi="宋体" w:eastAsia="宋体" w:cs="宋体"/>
                <w:color w:val="auto"/>
                <w:sz w:val="30"/>
                <w:szCs w:val="30"/>
                <w:highlight w:val="none"/>
              </w:rPr>
            </w:pPr>
          </w:p>
        </w:tc>
        <w:tc>
          <w:tcPr>
            <w:tcW w:w="1418" w:type="dxa"/>
            <w:noWrap w:val="0"/>
            <w:vAlign w:val="center"/>
          </w:tcPr>
          <w:p w14:paraId="00976CED">
            <w:pPr>
              <w:pStyle w:val="2"/>
              <w:keepNext/>
              <w:spacing w:line="440" w:lineRule="exact"/>
              <w:ind w:left="63" w:right="63"/>
              <w:rPr>
                <w:rFonts w:ascii="宋体" w:hAnsi="宋体" w:eastAsia="宋体" w:cs="宋体"/>
                <w:color w:val="auto"/>
                <w:sz w:val="30"/>
                <w:szCs w:val="30"/>
                <w:highlight w:val="none"/>
              </w:rPr>
            </w:pPr>
          </w:p>
        </w:tc>
        <w:tc>
          <w:tcPr>
            <w:tcW w:w="850" w:type="dxa"/>
            <w:noWrap w:val="0"/>
            <w:vAlign w:val="center"/>
          </w:tcPr>
          <w:p w14:paraId="401C5329">
            <w:pPr>
              <w:pStyle w:val="2"/>
              <w:keepNext/>
              <w:spacing w:line="440" w:lineRule="exact"/>
              <w:ind w:left="63" w:right="63"/>
              <w:rPr>
                <w:rFonts w:ascii="宋体" w:hAnsi="宋体" w:eastAsia="宋体" w:cs="宋体"/>
                <w:color w:val="auto"/>
                <w:sz w:val="30"/>
                <w:szCs w:val="30"/>
                <w:highlight w:val="none"/>
              </w:rPr>
            </w:pPr>
          </w:p>
        </w:tc>
        <w:tc>
          <w:tcPr>
            <w:tcW w:w="1058" w:type="dxa"/>
            <w:noWrap w:val="0"/>
            <w:vAlign w:val="center"/>
          </w:tcPr>
          <w:p w14:paraId="62026C67">
            <w:pPr>
              <w:pStyle w:val="2"/>
              <w:keepNext/>
              <w:spacing w:line="440" w:lineRule="exact"/>
              <w:ind w:left="63" w:right="63"/>
              <w:rPr>
                <w:rFonts w:ascii="宋体" w:hAnsi="宋体" w:eastAsia="宋体" w:cs="宋体"/>
                <w:color w:val="auto"/>
                <w:sz w:val="30"/>
                <w:szCs w:val="30"/>
                <w:highlight w:val="none"/>
              </w:rPr>
            </w:pPr>
          </w:p>
        </w:tc>
        <w:tc>
          <w:tcPr>
            <w:tcW w:w="880" w:type="dxa"/>
            <w:noWrap w:val="0"/>
            <w:vAlign w:val="center"/>
          </w:tcPr>
          <w:p w14:paraId="1E068A3A">
            <w:pPr>
              <w:pStyle w:val="2"/>
              <w:keepNext/>
              <w:spacing w:line="440" w:lineRule="exact"/>
              <w:ind w:left="63" w:right="63"/>
              <w:rPr>
                <w:rFonts w:ascii="宋体" w:hAnsi="宋体" w:eastAsia="宋体" w:cs="宋体"/>
                <w:color w:val="auto"/>
                <w:sz w:val="30"/>
                <w:szCs w:val="30"/>
                <w:highlight w:val="none"/>
              </w:rPr>
            </w:pPr>
          </w:p>
        </w:tc>
        <w:tc>
          <w:tcPr>
            <w:tcW w:w="1020" w:type="dxa"/>
            <w:noWrap w:val="0"/>
            <w:vAlign w:val="center"/>
          </w:tcPr>
          <w:p w14:paraId="3B028B86">
            <w:pPr>
              <w:pStyle w:val="2"/>
              <w:keepNext/>
              <w:spacing w:line="440" w:lineRule="exact"/>
              <w:ind w:left="63" w:right="63"/>
              <w:rPr>
                <w:rFonts w:ascii="宋体" w:hAnsi="宋体" w:eastAsia="宋体" w:cs="宋体"/>
                <w:color w:val="auto"/>
                <w:sz w:val="30"/>
                <w:szCs w:val="30"/>
                <w:highlight w:val="none"/>
              </w:rPr>
            </w:pPr>
          </w:p>
        </w:tc>
        <w:tc>
          <w:tcPr>
            <w:tcW w:w="1480" w:type="dxa"/>
            <w:noWrap w:val="0"/>
            <w:vAlign w:val="center"/>
          </w:tcPr>
          <w:p w14:paraId="0FC951A7">
            <w:pPr>
              <w:pStyle w:val="2"/>
              <w:keepNext/>
              <w:spacing w:line="440" w:lineRule="exact"/>
              <w:ind w:left="63" w:right="63"/>
              <w:rPr>
                <w:rFonts w:ascii="宋体" w:hAnsi="宋体" w:eastAsia="宋体" w:cs="宋体"/>
                <w:color w:val="auto"/>
                <w:sz w:val="30"/>
                <w:szCs w:val="30"/>
                <w:highlight w:val="none"/>
              </w:rPr>
            </w:pPr>
          </w:p>
        </w:tc>
        <w:tc>
          <w:tcPr>
            <w:tcW w:w="1020" w:type="dxa"/>
            <w:noWrap w:val="0"/>
            <w:vAlign w:val="center"/>
          </w:tcPr>
          <w:p w14:paraId="271CE87F">
            <w:pPr>
              <w:pStyle w:val="2"/>
              <w:keepNext/>
              <w:spacing w:line="440" w:lineRule="exact"/>
              <w:ind w:left="63" w:right="63"/>
              <w:rPr>
                <w:rFonts w:ascii="宋体" w:hAnsi="宋体" w:eastAsia="宋体" w:cs="宋体"/>
                <w:color w:val="auto"/>
                <w:sz w:val="30"/>
                <w:szCs w:val="30"/>
                <w:highlight w:val="none"/>
              </w:rPr>
            </w:pPr>
          </w:p>
        </w:tc>
        <w:tc>
          <w:tcPr>
            <w:tcW w:w="921" w:type="dxa"/>
            <w:noWrap w:val="0"/>
            <w:vAlign w:val="center"/>
          </w:tcPr>
          <w:p w14:paraId="3D322C7F">
            <w:pPr>
              <w:pStyle w:val="2"/>
              <w:keepNext/>
              <w:spacing w:line="440" w:lineRule="exact"/>
              <w:ind w:left="63" w:right="63"/>
              <w:rPr>
                <w:rFonts w:ascii="宋体" w:hAnsi="宋体" w:eastAsia="宋体" w:cs="宋体"/>
                <w:color w:val="auto"/>
                <w:sz w:val="30"/>
                <w:szCs w:val="30"/>
                <w:highlight w:val="none"/>
              </w:rPr>
            </w:pPr>
          </w:p>
        </w:tc>
      </w:tr>
      <w:tr w14:paraId="6FF67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60777D70">
            <w:pPr>
              <w:pStyle w:val="2"/>
              <w:keepNext/>
              <w:spacing w:line="440" w:lineRule="exact"/>
              <w:ind w:left="63" w:right="63"/>
              <w:rPr>
                <w:rFonts w:ascii="宋体" w:hAnsi="宋体" w:eastAsia="宋体" w:cs="宋体"/>
                <w:color w:val="auto"/>
                <w:sz w:val="30"/>
                <w:szCs w:val="30"/>
                <w:highlight w:val="none"/>
              </w:rPr>
            </w:pPr>
          </w:p>
        </w:tc>
        <w:tc>
          <w:tcPr>
            <w:tcW w:w="1418" w:type="dxa"/>
            <w:noWrap w:val="0"/>
            <w:vAlign w:val="center"/>
          </w:tcPr>
          <w:p w14:paraId="0A0FFC10">
            <w:pPr>
              <w:pStyle w:val="2"/>
              <w:keepNext/>
              <w:spacing w:line="440" w:lineRule="exact"/>
              <w:ind w:left="63" w:right="63"/>
              <w:rPr>
                <w:rFonts w:ascii="宋体" w:hAnsi="宋体" w:eastAsia="宋体" w:cs="宋体"/>
                <w:color w:val="auto"/>
                <w:sz w:val="30"/>
                <w:szCs w:val="30"/>
                <w:highlight w:val="none"/>
              </w:rPr>
            </w:pPr>
          </w:p>
        </w:tc>
        <w:tc>
          <w:tcPr>
            <w:tcW w:w="850" w:type="dxa"/>
            <w:noWrap w:val="0"/>
            <w:vAlign w:val="center"/>
          </w:tcPr>
          <w:p w14:paraId="4616389E">
            <w:pPr>
              <w:pStyle w:val="2"/>
              <w:keepNext/>
              <w:spacing w:line="440" w:lineRule="exact"/>
              <w:ind w:left="63" w:right="63"/>
              <w:rPr>
                <w:rFonts w:ascii="宋体" w:hAnsi="宋体" w:eastAsia="宋体" w:cs="宋体"/>
                <w:color w:val="auto"/>
                <w:sz w:val="30"/>
                <w:szCs w:val="30"/>
                <w:highlight w:val="none"/>
              </w:rPr>
            </w:pPr>
          </w:p>
        </w:tc>
        <w:tc>
          <w:tcPr>
            <w:tcW w:w="1058" w:type="dxa"/>
            <w:noWrap w:val="0"/>
            <w:vAlign w:val="center"/>
          </w:tcPr>
          <w:p w14:paraId="43D0A583">
            <w:pPr>
              <w:pStyle w:val="2"/>
              <w:keepNext/>
              <w:spacing w:line="440" w:lineRule="exact"/>
              <w:ind w:left="63" w:right="63"/>
              <w:rPr>
                <w:rFonts w:ascii="宋体" w:hAnsi="宋体" w:eastAsia="宋体" w:cs="宋体"/>
                <w:color w:val="auto"/>
                <w:sz w:val="30"/>
                <w:szCs w:val="30"/>
                <w:highlight w:val="none"/>
              </w:rPr>
            </w:pPr>
          </w:p>
        </w:tc>
        <w:tc>
          <w:tcPr>
            <w:tcW w:w="880" w:type="dxa"/>
            <w:noWrap w:val="0"/>
            <w:vAlign w:val="center"/>
          </w:tcPr>
          <w:p w14:paraId="425CA66F">
            <w:pPr>
              <w:pStyle w:val="2"/>
              <w:keepNext/>
              <w:spacing w:line="440" w:lineRule="exact"/>
              <w:ind w:left="63" w:right="63"/>
              <w:rPr>
                <w:rFonts w:ascii="宋体" w:hAnsi="宋体" w:eastAsia="宋体" w:cs="宋体"/>
                <w:color w:val="auto"/>
                <w:sz w:val="30"/>
                <w:szCs w:val="30"/>
                <w:highlight w:val="none"/>
              </w:rPr>
            </w:pPr>
          </w:p>
        </w:tc>
        <w:tc>
          <w:tcPr>
            <w:tcW w:w="1020" w:type="dxa"/>
            <w:noWrap w:val="0"/>
            <w:vAlign w:val="center"/>
          </w:tcPr>
          <w:p w14:paraId="3D602257">
            <w:pPr>
              <w:pStyle w:val="2"/>
              <w:keepNext/>
              <w:spacing w:line="440" w:lineRule="exact"/>
              <w:ind w:left="63" w:right="63"/>
              <w:rPr>
                <w:rFonts w:ascii="宋体" w:hAnsi="宋体" w:eastAsia="宋体" w:cs="宋体"/>
                <w:color w:val="auto"/>
                <w:sz w:val="30"/>
                <w:szCs w:val="30"/>
                <w:highlight w:val="none"/>
              </w:rPr>
            </w:pPr>
          </w:p>
        </w:tc>
        <w:tc>
          <w:tcPr>
            <w:tcW w:w="1480" w:type="dxa"/>
            <w:noWrap w:val="0"/>
            <w:vAlign w:val="center"/>
          </w:tcPr>
          <w:p w14:paraId="5C94B7BC">
            <w:pPr>
              <w:pStyle w:val="2"/>
              <w:keepNext/>
              <w:spacing w:line="440" w:lineRule="exact"/>
              <w:ind w:left="63" w:right="63"/>
              <w:rPr>
                <w:rFonts w:ascii="宋体" w:hAnsi="宋体" w:eastAsia="宋体" w:cs="宋体"/>
                <w:color w:val="auto"/>
                <w:sz w:val="30"/>
                <w:szCs w:val="30"/>
                <w:highlight w:val="none"/>
              </w:rPr>
            </w:pPr>
          </w:p>
        </w:tc>
        <w:tc>
          <w:tcPr>
            <w:tcW w:w="1020" w:type="dxa"/>
            <w:noWrap w:val="0"/>
            <w:vAlign w:val="center"/>
          </w:tcPr>
          <w:p w14:paraId="5331EEF2">
            <w:pPr>
              <w:pStyle w:val="2"/>
              <w:keepNext/>
              <w:spacing w:line="440" w:lineRule="exact"/>
              <w:ind w:left="63" w:right="63"/>
              <w:rPr>
                <w:rFonts w:ascii="宋体" w:hAnsi="宋体" w:eastAsia="宋体" w:cs="宋体"/>
                <w:color w:val="auto"/>
                <w:sz w:val="30"/>
                <w:szCs w:val="30"/>
                <w:highlight w:val="none"/>
              </w:rPr>
            </w:pPr>
          </w:p>
        </w:tc>
        <w:tc>
          <w:tcPr>
            <w:tcW w:w="921" w:type="dxa"/>
            <w:noWrap w:val="0"/>
            <w:vAlign w:val="center"/>
          </w:tcPr>
          <w:p w14:paraId="7F7EFD23">
            <w:pPr>
              <w:pStyle w:val="2"/>
              <w:keepNext/>
              <w:spacing w:line="440" w:lineRule="exact"/>
              <w:ind w:left="63" w:right="63"/>
              <w:rPr>
                <w:rFonts w:ascii="宋体" w:hAnsi="宋体" w:eastAsia="宋体" w:cs="宋体"/>
                <w:color w:val="auto"/>
                <w:sz w:val="30"/>
                <w:szCs w:val="30"/>
                <w:highlight w:val="none"/>
              </w:rPr>
            </w:pPr>
          </w:p>
        </w:tc>
      </w:tr>
      <w:tr w14:paraId="7517B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66E4F98A">
            <w:pPr>
              <w:rPr>
                <w:rFonts w:ascii="宋体" w:hAnsi="宋体" w:eastAsia="宋体" w:cs="宋体"/>
                <w:color w:val="auto"/>
                <w:sz w:val="30"/>
                <w:szCs w:val="30"/>
                <w:highlight w:val="none"/>
              </w:rPr>
            </w:pPr>
          </w:p>
        </w:tc>
        <w:tc>
          <w:tcPr>
            <w:tcW w:w="1418" w:type="dxa"/>
            <w:noWrap w:val="0"/>
            <w:vAlign w:val="top"/>
          </w:tcPr>
          <w:p w14:paraId="649DFB5E">
            <w:pPr>
              <w:rPr>
                <w:rFonts w:ascii="宋体" w:hAnsi="宋体" w:eastAsia="宋体" w:cs="宋体"/>
                <w:color w:val="auto"/>
                <w:sz w:val="30"/>
                <w:szCs w:val="30"/>
                <w:highlight w:val="none"/>
              </w:rPr>
            </w:pPr>
          </w:p>
        </w:tc>
        <w:tc>
          <w:tcPr>
            <w:tcW w:w="850" w:type="dxa"/>
            <w:noWrap w:val="0"/>
            <w:vAlign w:val="top"/>
          </w:tcPr>
          <w:p w14:paraId="2A1F61DD">
            <w:pPr>
              <w:rPr>
                <w:rFonts w:ascii="宋体" w:hAnsi="宋体" w:eastAsia="宋体" w:cs="宋体"/>
                <w:color w:val="auto"/>
                <w:sz w:val="30"/>
                <w:szCs w:val="30"/>
                <w:highlight w:val="none"/>
              </w:rPr>
            </w:pPr>
          </w:p>
        </w:tc>
        <w:tc>
          <w:tcPr>
            <w:tcW w:w="1058" w:type="dxa"/>
            <w:noWrap w:val="0"/>
            <w:vAlign w:val="top"/>
          </w:tcPr>
          <w:p w14:paraId="598063EC">
            <w:pPr>
              <w:rPr>
                <w:rFonts w:ascii="宋体" w:hAnsi="宋体" w:eastAsia="宋体" w:cs="宋体"/>
                <w:color w:val="auto"/>
                <w:sz w:val="30"/>
                <w:szCs w:val="30"/>
                <w:highlight w:val="none"/>
              </w:rPr>
            </w:pPr>
          </w:p>
        </w:tc>
        <w:tc>
          <w:tcPr>
            <w:tcW w:w="880" w:type="dxa"/>
            <w:noWrap w:val="0"/>
            <w:vAlign w:val="top"/>
          </w:tcPr>
          <w:p w14:paraId="232CF3B3">
            <w:pPr>
              <w:rPr>
                <w:rFonts w:ascii="宋体" w:hAnsi="宋体" w:eastAsia="宋体" w:cs="宋体"/>
                <w:color w:val="auto"/>
                <w:sz w:val="30"/>
                <w:szCs w:val="30"/>
                <w:highlight w:val="none"/>
              </w:rPr>
            </w:pPr>
          </w:p>
        </w:tc>
        <w:tc>
          <w:tcPr>
            <w:tcW w:w="1020" w:type="dxa"/>
            <w:noWrap w:val="0"/>
            <w:vAlign w:val="top"/>
          </w:tcPr>
          <w:p w14:paraId="5BA9A4C3">
            <w:pPr>
              <w:rPr>
                <w:rFonts w:ascii="宋体" w:hAnsi="宋体" w:eastAsia="宋体" w:cs="宋体"/>
                <w:color w:val="auto"/>
                <w:sz w:val="30"/>
                <w:szCs w:val="30"/>
                <w:highlight w:val="none"/>
              </w:rPr>
            </w:pPr>
          </w:p>
        </w:tc>
        <w:tc>
          <w:tcPr>
            <w:tcW w:w="1480" w:type="dxa"/>
            <w:noWrap w:val="0"/>
            <w:vAlign w:val="top"/>
          </w:tcPr>
          <w:p w14:paraId="5086BB34">
            <w:pPr>
              <w:rPr>
                <w:rFonts w:ascii="宋体" w:hAnsi="宋体" w:eastAsia="宋体" w:cs="宋体"/>
                <w:color w:val="auto"/>
                <w:sz w:val="30"/>
                <w:szCs w:val="30"/>
                <w:highlight w:val="none"/>
              </w:rPr>
            </w:pPr>
          </w:p>
        </w:tc>
        <w:tc>
          <w:tcPr>
            <w:tcW w:w="1020" w:type="dxa"/>
            <w:noWrap w:val="0"/>
            <w:vAlign w:val="top"/>
          </w:tcPr>
          <w:p w14:paraId="241C52E2">
            <w:pPr>
              <w:rPr>
                <w:rFonts w:ascii="宋体" w:hAnsi="宋体" w:eastAsia="宋体" w:cs="宋体"/>
                <w:color w:val="auto"/>
                <w:sz w:val="30"/>
                <w:szCs w:val="30"/>
                <w:highlight w:val="none"/>
              </w:rPr>
            </w:pPr>
          </w:p>
        </w:tc>
        <w:tc>
          <w:tcPr>
            <w:tcW w:w="921" w:type="dxa"/>
            <w:noWrap w:val="0"/>
            <w:vAlign w:val="top"/>
          </w:tcPr>
          <w:p w14:paraId="52B0D818">
            <w:pPr>
              <w:rPr>
                <w:rFonts w:ascii="宋体" w:hAnsi="宋体" w:eastAsia="宋体" w:cs="宋体"/>
                <w:color w:val="auto"/>
                <w:sz w:val="30"/>
                <w:szCs w:val="30"/>
                <w:highlight w:val="none"/>
              </w:rPr>
            </w:pPr>
          </w:p>
        </w:tc>
      </w:tr>
      <w:tr w14:paraId="3A180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2FF49029">
            <w:pPr>
              <w:pStyle w:val="2"/>
              <w:keepNext/>
              <w:spacing w:line="440" w:lineRule="exact"/>
              <w:ind w:left="63" w:right="63"/>
              <w:rPr>
                <w:rFonts w:ascii="宋体" w:hAnsi="宋体" w:eastAsia="宋体" w:cs="宋体"/>
                <w:color w:val="auto"/>
                <w:sz w:val="30"/>
                <w:szCs w:val="30"/>
                <w:highlight w:val="none"/>
              </w:rPr>
            </w:pPr>
          </w:p>
        </w:tc>
        <w:tc>
          <w:tcPr>
            <w:tcW w:w="1418" w:type="dxa"/>
            <w:noWrap w:val="0"/>
            <w:vAlign w:val="center"/>
          </w:tcPr>
          <w:p w14:paraId="3EDBBB15">
            <w:pPr>
              <w:pStyle w:val="2"/>
              <w:keepNext/>
              <w:spacing w:line="440" w:lineRule="exact"/>
              <w:ind w:left="63" w:right="63"/>
              <w:rPr>
                <w:rFonts w:ascii="宋体" w:hAnsi="宋体" w:eastAsia="宋体" w:cs="宋体"/>
                <w:color w:val="auto"/>
                <w:sz w:val="30"/>
                <w:szCs w:val="30"/>
                <w:highlight w:val="none"/>
              </w:rPr>
            </w:pPr>
          </w:p>
        </w:tc>
        <w:tc>
          <w:tcPr>
            <w:tcW w:w="850" w:type="dxa"/>
            <w:noWrap w:val="0"/>
            <w:vAlign w:val="center"/>
          </w:tcPr>
          <w:p w14:paraId="4E8D178A">
            <w:pPr>
              <w:pStyle w:val="2"/>
              <w:keepNext/>
              <w:spacing w:line="440" w:lineRule="exact"/>
              <w:ind w:left="63" w:right="63"/>
              <w:rPr>
                <w:rFonts w:ascii="宋体" w:hAnsi="宋体" w:eastAsia="宋体" w:cs="宋体"/>
                <w:color w:val="auto"/>
                <w:sz w:val="30"/>
                <w:szCs w:val="30"/>
                <w:highlight w:val="none"/>
              </w:rPr>
            </w:pPr>
          </w:p>
        </w:tc>
        <w:tc>
          <w:tcPr>
            <w:tcW w:w="1058" w:type="dxa"/>
            <w:noWrap w:val="0"/>
            <w:vAlign w:val="center"/>
          </w:tcPr>
          <w:p w14:paraId="041D57A1">
            <w:pPr>
              <w:pStyle w:val="2"/>
              <w:keepNext/>
              <w:spacing w:line="440" w:lineRule="exact"/>
              <w:ind w:left="63" w:right="63"/>
              <w:rPr>
                <w:rFonts w:ascii="宋体" w:hAnsi="宋体" w:eastAsia="宋体" w:cs="宋体"/>
                <w:color w:val="auto"/>
                <w:sz w:val="30"/>
                <w:szCs w:val="30"/>
                <w:highlight w:val="none"/>
              </w:rPr>
            </w:pPr>
          </w:p>
        </w:tc>
        <w:tc>
          <w:tcPr>
            <w:tcW w:w="880" w:type="dxa"/>
            <w:noWrap w:val="0"/>
            <w:vAlign w:val="center"/>
          </w:tcPr>
          <w:p w14:paraId="2F9CB3D4">
            <w:pPr>
              <w:pStyle w:val="2"/>
              <w:keepNext/>
              <w:spacing w:line="440" w:lineRule="exact"/>
              <w:ind w:left="63" w:right="63"/>
              <w:rPr>
                <w:rFonts w:ascii="宋体" w:hAnsi="宋体" w:eastAsia="宋体" w:cs="宋体"/>
                <w:color w:val="auto"/>
                <w:sz w:val="30"/>
                <w:szCs w:val="30"/>
                <w:highlight w:val="none"/>
              </w:rPr>
            </w:pPr>
          </w:p>
        </w:tc>
        <w:tc>
          <w:tcPr>
            <w:tcW w:w="1020" w:type="dxa"/>
            <w:noWrap w:val="0"/>
            <w:vAlign w:val="center"/>
          </w:tcPr>
          <w:p w14:paraId="08A6890C">
            <w:pPr>
              <w:pStyle w:val="2"/>
              <w:keepNext/>
              <w:spacing w:line="440" w:lineRule="exact"/>
              <w:ind w:left="63" w:right="63"/>
              <w:rPr>
                <w:rFonts w:ascii="宋体" w:hAnsi="宋体" w:eastAsia="宋体" w:cs="宋体"/>
                <w:color w:val="auto"/>
                <w:sz w:val="30"/>
                <w:szCs w:val="30"/>
                <w:highlight w:val="none"/>
              </w:rPr>
            </w:pPr>
          </w:p>
        </w:tc>
        <w:tc>
          <w:tcPr>
            <w:tcW w:w="1480" w:type="dxa"/>
            <w:noWrap w:val="0"/>
            <w:vAlign w:val="center"/>
          </w:tcPr>
          <w:p w14:paraId="4A5FB3AF">
            <w:pPr>
              <w:pStyle w:val="2"/>
              <w:keepNext/>
              <w:spacing w:line="440" w:lineRule="exact"/>
              <w:ind w:left="63" w:right="63"/>
              <w:rPr>
                <w:rFonts w:ascii="宋体" w:hAnsi="宋体" w:eastAsia="宋体" w:cs="宋体"/>
                <w:color w:val="auto"/>
                <w:sz w:val="30"/>
                <w:szCs w:val="30"/>
                <w:highlight w:val="none"/>
              </w:rPr>
            </w:pPr>
          </w:p>
        </w:tc>
        <w:tc>
          <w:tcPr>
            <w:tcW w:w="1020" w:type="dxa"/>
            <w:noWrap w:val="0"/>
            <w:vAlign w:val="center"/>
          </w:tcPr>
          <w:p w14:paraId="1549C0D8">
            <w:pPr>
              <w:pStyle w:val="2"/>
              <w:keepNext/>
              <w:spacing w:line="440" w:lineRule="exact"/>
              <w:ind w:left="63" w:right="63"/>
              <w:rPr>
                <w:rFonts w:ascii="宋体" w:hAnsi="宋体" w:eastAsia="宋体" w:cs="宋体"/>
                <w:color w:val="auto"/>
                <w:sz w:val="30"/>
                <w:szCs w:val="30"/>
                <w:highlight w:val="none"/>
              </w:rPr>
            </w:pPr>
          </w:p>
        </w:tc>
        <w:tc>
          <w:tcPr>
            <w:tcW w:w="921" w:type="dxa"/>
            <w:noWrap w:val="0"/>
            <w:vAlign w:val="center"/>
          </w:tcPr>
          <w:p w14:paraId="66E23FB8">
            <w:pPr>
              <w:pStyle w:val="2"/>
              <w:keepNext/>
              <w:spacing w:line="440" w:lineRule="exact"/>
              <w:ind w:left="63" w:right="63"/>
              <w:rPr>
                <w:rFonts w:ascii="宋体" w:hAnsi="宋体" w:eastAsia="宋体" w:cs="宋体"/>
                <w:color w:val="auto"/>
                <w:sz w:val="30"/>
                <w:szCs w:val="30"/>
                <w:highlight w:val="none"/>
              </w:rPr>
            </w:pPr>
          </w:p>
        </w:tc>
      </w:tr>
      <w:tr w14:paraId="3CB54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68646FA3">
            <w:pPr>
              <w:rPr>
                <w:rFonts w:ascii="宋体" w:hAnsi="宋体" w:eastAsia="宋体" w:cs="宋体"/>
                <w:color w:val="auto"/>
                <w:sz w:val="30"/>
                <w:szCs w:val="30"/>
                <w:highlight w:val="none"/>
              </w:rPr>
            </w:pPr>
          </w:p>
        </w:tc>
        <w:tc>
          <w:tcPr>
            <w:tcW w:w="1418" w:type="dxa"/>
            <w:noWrap w:val="0"/>
            <w:vAlign w:val="top"/>
          </w:tcPr>
          <w:p w14:paraId="43C39FE1">
            <w:pPr>
              <w:rPr>
                <w:rFonts w:ascii="宋体" w:hAnsi="宋体" w:eastAsia="宋体" w:cs="宋体"/>
                <w:color w:val="auto"/>
                <w:sz w:val="30"/>
                <w:szCs w:val="30"/>
                <w:highlight w:val="none"/>
              </w:rPr>
            </w:pPr>
          </w:p>
        </w:tc>
        <w:tc>
          <w:tcPr>
            <w:tcW w:w="850" w:type="dxa"/>
            <w:noWrap w:val="0"/>
            <w:vAlign w:val="top"/>
          </w:tcPr>
          <w:p w14:paraId="33231F64">
            <w:pPr>
              <w:rPr>
                <w:rFonts w:ascii="宋体" w:hAnsi="宋体" w:eastAsia="宋体" w:cs="宋体"/>
                <w:color w:val="auto"/>
                <w:sz w:val="30"/>
                <w:szCs w:val="30"/>
                <w:highlight w:val="none"/>
              </w:rPr>
            </w:pPr>
          </w:p>
        </w:tc>
        <w:tc>
          <w:tcPr>
            <w:tcW w:w="1058" w:type="dxa"/>
            <w:noWrap w:val="0"/>
            <w:vAlign w:val="top"/>
          </w:tcPr>
          <w:p w14:paraId="6B3019D5">
            <w:pPr>
              <w:rPr>
                <w:rFonts w:ascii="宋体" w:hAnsi="宋体" w:eastAsia="宋体" w:cs="宋体"/>
                <w:color w:val="auto"/>
                <w:sz w:val="30"/>
                <w:szCs w:val="30"/>
                <w:highlight w:val="none"/>
              </w:rPr>
            </w:pPr>
          </w:p>
        </w:tc>
        <w:tc>
          <w:tcPr>
            <w:tcW w:w="880" w:type="dxa"/>
            <w:noWrap w:val="0"/>
            <w:vAlign w:val="top"/>
          </w:tcPr>
          <w:p w14:paraId="6301D3FF">
            <w:pPr>
              <w:rPr>
                <w:rFonts w:ascii="宋体" w:hAnsi="宋体" w:eastAsia="宋体" w:cs="宋体"/>
                <w:color w:val="auto"/>
                <w:sz w:val="30"/>
                <w:szCs w:val="30"/>
                <w:highlight w:val="none"/>
              </w:rPr>
            </w:pPr>
          </w:p>
        </w:tc>
        <w:tc>
          <w:tcPr>
            <w:tcW w:w="1020" w:type="dxa"/>
            <w:noWrap w:val="0"/>
            <w:vAlign w:val="top"/>
          </w:tcPr>
          <w:p w14:paraId="1E6DB54A">
            <w:pPr>
              <w:rPr>
                <w:rFonts w:ascii="宋体" w:hAnsi="宋体" w:eastAsia="宋体" w:cs="宋体"/>
                <w:color w:val="auto"/>
                <w:sz w:val="30"/>
                <w:szCs w:val="30"/>
                <w:highlight w:val="none"/>
              </w:rPr>
            </w:pPr>
          </w:p>
        </w:tc>
        <w:tc>
          <w:tcPr>
            <w:tcW w:w="1480" w:type="dxa"/>
            <w:noWrap w:val="0"/>
            <w:vAlign w:val="top"/>
          </w:tcPr>
          <w:p w14:paraId="58DFC53E">
            <w:pPr>
              <w:rPr>
                <w:rFonts w:ascii="宋体" w:hAnsi="宋体" w:eastAsia="宋体" w:cs="宋体"/>
                <w:color w:val="auto"/>
                <w:sz w:val="30"/>
                <w:szCs w:val="30"/>
                <w:highlight w:val="none"/>
              </w:rPr>
            </w:pPr>
          </w:p>
        </w:tc>
        <w:tc>
          <w:tcPr>
            <w:tcW w:w="1020" w:type="dxa"/>
            <w:noWrap w:val="0"/>
            <w:vAlign w:val="top"/>
          </w:tcPr>
          <w:p w14:paraId="0AEDDAFA">
            <w:pPr>
              <w:rPr>
                <w:rFonts w:ascii="宋体" w:hAnsi="宋体" w:eastAsia="宋体" w:cs="宋体"/>
                <w:color w:val="auto"/>
                <w:sz w:val="30"/>
                <w:szCs w:val="30"/>
                <w:highlight w:val="none"/>
              </w:rPr>
            </w:pPr>
          </w:p>
        </w:tc>
        <w:tc>
          <w:tcPr>
            <w:tcW w:w="921" w:type="dxa"/>
            <w:noWrap w:val="0"/>
            <w:vAlign w:val="top"/>
          </w:tcPr>
          <w:p w14:paraId="7798ACDB">
            <w:pPr>
              <w:rPr>
                <w:rFonts w:ascii="宋体" w:hAnsi="宋体" w:eastAsia="宋体" w:cs="宋体"/>
                <w:color w:val="auto"/>
                <w:sz w:val="30"/>
                <w:szCs w:val="30"/>
                <w:highlight w:val="none"/>
              </w:rPr>
            </w:pPr>
          </w:p>
        </w:tc>
      </w:tr>
      <w:tr w14:paraId="5E068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6A582502">
            <w:pPr>
              <w:rPr>
                <w:rFonts w:ascii="宋体" w:hAnsi="宋体" w:eastAsia="宋体" w:cs="宋体"/>
                <w:color w:val="auto"/>
                <w:sz w:val="30"/>
                <w:szCs w:val="30"/>
                <w:highlight w:val="none"/>
              </w:rPr>
            </w:pPr>
          </w:p>
        </w:tc>
        <w:tc>
          <w:tcPr>
            <w:tcW w:w="1418" w:type="dxa"/>
            <w:noWrap w:val="0"/>
            <w:vAlign w:val="top"/>
          </w:tcPr>
          <w:p w14:paraId="5A7ED8E3">
            <w:pPr>
              <w:rPr>
                <w:rFonts w:ascii="宋体" w:hAnsi="宋体" w:eastAsia="宋体" w:cs="宋体"/>
                <w:color w:val="auto"/>
                <w:sz w:val="30"/>
                <w:szCs w:val="30"/>
                <w:highlight w:val="none"/>
              </w:rPr>
            </w:pPr>
          </w:p>
        </w:tc>
        <w:tc>
          <w:tcPr>
            <w:tcW w:w="850" w:type="dxa"/>
            <w:noWrap w:val="0"/>
            <w:vAlign w:val="top"/>
          </w:tcPr>
          <w:p w14:paraId="39EFD41B">
            <w:pPr>
              <w:rPr>
                <w:rFonts w:ascii="宋体" w:hAnsi="宋体" w:eastAsia="宋体" w:cs="宋体"/>
                <w:color w:val="auto"/>
                <w:sz w:val="30"/>
                <w:szCs w:val="30"/>
                <w:highlight w:val="none"/>
              </w:rPr>
            </w:pPr>
          </w:p>
        </w:tc>
        <w:tc>
          <w:tcPr>
            <w:tcW w:w="1058" w:type="dxa"/>
            <w:noWrap w:val="0"/>
            <w:vAlign w:val="top"/>
          </w:tcPr>
          <w:p w14:paraId="7ACAD0C0">
            <w:pPr>
              <w:rPr>
                <w:rFonts w:ascii="宋体" w:hAnsi="宋体" w:eastAsia="宋体" w:cs="宋体"/>
                <w:color w:val="auto"/>
                <w:sz w:val="30"/>
                <w:szCs w:val="30"/>
                <w:highlight w:val="none"/>
              </w:rPr>
            </w:pPr>
          </w:p>
        </w:tc>
        <w:tc>
          <w:tcPr>
            <w:tcW w:w="880" w:type="dxa"/>
            <w:noWrap w:val="0"/>
            <w:vAlign w:val="top"/>
          </w:tcPr>
          <w:p w14:paraId="0BEB1199">
            <w:pPr>
              <w:rPr>
                <w:rFonts w:ascii="宋体" w:hAnsi="宋体" w:eastAsia="宋体" w:cs="宋体"/>
                <w:color w:val="auto"/>
                <w:sz w:val="30"/>
                <w:szCs w:val="30"/>
                <w:highlight w:val="none"/>
              </w:rPr>
            </w:pPr>
          </w:p>
        </w:tc>
        <w:tc>
          <w:tcPr>
            <w:tcW w:w="1020" w:type="dxa"/>
            <w:noWrap w:val="0"/>
            <w:vAlign w:val="top"/>
          </w:tcPr>
          <w:p w14:paraId="3A1772AE">
            <w:pPr>
              <w:rPr>
                <w:rFonts w:ascii="宋体" w:hAnsi="宋体" w:eastAsia="宋体" w:cs="宋体"/>
                <w:color w:val="auto"/>
                <w:sz w:val="30"/>
                <w:szCs w:val="30"/>
                <w:highlight w:val="none"/>
              </w:rPr>
            </w:pPr>
          </w:p>
        </w:tc>
        <w:tc>
          <w:tcPr>
            <w:tcW w:w="1480" w:type="dxa"/>
            <w:noWrap w:val="0"/>
            <w:vAlign w:val="top"/>
          </w:tcPr>
          <w:p w14:paraId="3696F485">
            <w:pPr>
              <w:rPr>
                <w:rFonts w:ascii="宋体" w:hAnsi="宋体" w:eastAsia="宋体" w:cs="宋体"/>
                <w:color w:val="auto"/>
                <w:sz w:val="30"/>
                <w:szCs w:val="30"/>
                <w:highlight w:val="none"/>
              </w:rPr>
            </w:pPr>
          </w:p>
        </w:tc>
        <w:tc>
          <w:tcPr>
            <w:tcW w:w="1020" w:type="dxa"/>
            <w:noWrap w:val="0"/>
            <w:vAlign w:val="top"/>
          </w:tcPr>
          <w:p w14:paraId="0285FAA0">
            <w:pPr>
              <w:rPr>
                <w:rFonts w:ascii="宋体" w:hAnsi="宋体" w:eastAsia="宋体" w:cs="宋体"/>
                <w:color w:val="auto"/>
                <w:sz w:val="30"/>
                <w:szCs w:val="30"/>
                <w:highlight w:val="none"/>
              </w:rPr>
            </w:pPr>
          </w:p>
        </w:tc>
        <w:tc>
          <w:tcPr>
            <w:tcW w:w="921" w:type="dxa"/>
            <w:noWrap w:val="0"/>
            <w:vAlign w:val="top"/>
          </w:tcPr>
          <w:p w14:paraId="6D2B3C86">
            <w:pPr>
              <w:rPr>
                <w:rFonts w:ascii="宋体" w:hAnsi="宋体" w:eastAsia="宋体" w:cs="宋体"/>
                <w:color w:val="auto"/>
                <w:sz w:val="30"/>
                <w:szCs w:val="30"/>
                <w:highlight w:val="none"/>
              </w:rPr>
            </w:pPr>
          </w:p>
        </w:tc>
      </w:tr>
      <w:tr w14:paraId="73087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440E6280">
            <w:pPr>
              <w:rPr>
                <w:rFonts w:ascii="宋体" w:hAnsi="宋体" w:eastAsia="宋体" w:cs="宋体"/>
                <w:color w:val="auto"/>
                <w:sz w:val="30"/>
                <w:szCs w:val="30"/>
                <w:highlight w:val="none"/>
              </w:rPr>
            </w:pPr>
          </w:p>
        </w:tc>
        <w:tc>
          <w:tcPr>
            <w:tcW w:w="1418" w:type="dxa"/>
            <w:noWrap w:val="0"/>
            <w:vAlign w:val="top"/>
          </w:tcPr>
          <w:p w14:paraId="7D7EA689">
            <w:pPr>
              <w:rPr>
                <w:rFonts w:ascii="宋体" w:hAnsi="宋体" w:eastAsia="宋体" w:cs="宋体"/>
                <w:color w:val="auto"/>
                <w:sz w:val="30"/>
                <w:szCs w:val="30"/>
                <w:highlight w:val="none"/>
              </w:rPr>
            </w:pPr>
          </w:p>
        </w:tc>
        <w:tc>
          <w:tcPr>
            <w:tcW w:w="850" w:type="dxa"/>
            <w:noWrap w:val="0"/>
            <w:vAlign w:val="top"/>
          </w:tcPr>
          <w:p w14:paraId="20BCB63E">
            <w:pPr>
              <w:rPr>
                <w:rFonts w:ascii="宋体" w:hAnsi="宋体" w:eastAsia="宋体" w:cs="宋体"/>
                <w:color w:val="auto"/>
                <w:sz w:val="30"/>
                <w:szCs w:val="30"/>
                <w:highlight w:val="none"/>
              </w:rPr>
            </w:pPr>
          </w:p>
        </w:tc>
        <w:tc>
          <w:tcPr>
            <w:tcW w:w="1058" w:type="dxa"/>
            <w:noWrap w:val="0"/>
            <w:vAlign w:val="top"/>
          </w:tcPr>
          <w:p w14:paraId="209964B9">
            <w:pPr>
              <w:rPr>
                <w:rFonts w:ascii="宋体" w:hAnsi="宋体" w:eastAsia="宋体" w:cs="宋体"/>
                <w:color w:val="auto"/>
                <w:sz w:val="30"/>
                <w:szCs w:val="30"/>
                <w:highlight w:val="none"/>
              </w:rPr>
            </w:pPr>
          </w:p>
        </w:tc>
        <w:tc>
          <w:tcPr>
            <w:tcW w:w="880" w:type="dxa"/>
            <w:noWrap w:val="0"/>
            <w:vAlign w:val="top"/>
          </w:tcPr>
          <w:p w14:paraId="5CB03B3D">
            <w:pPr>
              <w:rPr>
                <w:rFonts w:ascii="宋体" w:hAnsi="宋体" w:eastAsia="宋体" w:cs="宋体"/>
                <w:color w:val="auto"/>
                <w:sz w:val="30"/>
                <w:szCs w:val="30"/>
                <w:highlight w:val="none"/>
              </w:rPr>
            </w:pPr>
          </w:p>
        </w:tc>
        <w:tc>
          <w:tcPr>
            <w:tcW w:w="1020" w:type="dxa"/>
            <w:noWrap w:val="0"/>
            <w:vAlign w:val="top"/>
          </w:tcPr>
          <w:p w14:paraId="64EF928B">
            <w:pPr>
              <w:rPr>
                <w:rFonts w:ascii="宋体" w:hAnsi="宋体" w:eastAsia="宋体" w:cs="宋体"/>
                <w:color w:val="auto"/>
                <w:sz w:val="30"/>
                <w:szCs w:val="30"/>
                <w:highlight w:val="none"/>
              </w:rPr>
            </w:pPr>
          </w:p>
        </w:tc>
        <w:tc>
          <w:tcPr>
            <w:tcW w:w="1480" w:type="dxa"/>
            <w:noWrap w:val="0"/>
            <w:vAlign w:val="top"/>
          </w:tcPr>
          <w:p w14:paraId="187B9CC2">
            <w:pPr>
              <w:rPr>
                <w:rFonts w:ascii="宋体" w:hAnsi="宋体" w:eastAsia="宋体" w:cs="宋体"/>
                <w:color w:val="auto"/>
                <w:sz w:val="30"/>
                <w:szCs w:val="30"/>
                <w:highlight w:val="none"/>
              </w:rPr>
            </w:pPr>
          </w:p>
        </w:tc>
        <w:tc>
          <w:tcPr>
            <w:tcW w:w="1020" w:type="dxa"/>
            <w:noWrap w:val="0"/>
            <w:vAlign w:val="top"/>
          </w:tcPr>
          <w:p w14:paraId="66F1389B">
            <w:pPr>
              <w:rPr>
                <w:rFonts w:ascii="宋体" w:hAnsi="宋体" w:eastAsia="宋体" w:cs="宋体"/>
                <w:color w:val="auto"/>
                <w:sz w:val="30"/>
                <w:szCs w:val="30"/>
                <w:highlight w:val="none"/>
              </w:rPr>
            </w:pPr>
          </w:p>
        </w:tc>
        <w:tc>
          <w:tcPr>
            <w:tcW w:w="921" w:type="dxa"/>
            <w:noWrap w:val="0"/>
            <w:vAlign w:val="top"/>
          </w:tcPr>
          <w:p w14:paraId="4044B523">
            <w:pPr>
              <w:rPr>
                <w:rFonts w:ascii="宋体" w:hAnsi="宋体" w:eastAsia="宋体" w:cs="宋体"/>
                <w:color w:val="auto"/>
                <w:sz w:val="30"/>
                <w:szCs w:val="30"/>
                <w:highlight w:val="none"/>
              </w:rPr>
            </w:pPr>
          </w:p>
        </w:tc>
      </w:tr>
      <w:tr w14:paraId="65CED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40A62BFE">
            <w:pPr>
              <w:rPr>
                <w:rFonts w:ascii="宋体" w:hAnsi="宋体" w:eastAsia="宋体" w:cs="宋体"/>
                <w:color w:val="auto"/>
                <w:sz w:val="30"/>
                <w:szCs w:val="30"/>
                <w:highlight w:val="none"/>
              </w:rPr>
            </w:pPr>
          </w:p>
        </w:tc>
        <w:tc>
          <w:tcPr>
            <w:tcW w:w="1418" w:type="dxa"/>
            <w:noWrap w:val="0"/>
            <w:vAlign w:val="top"/>
          </w:tcPr>
          <w:p w14:paraId="7A356AE7">
            <w:pPr>
              <w:rPr>
                <w:rFonts w:ascii="宋体" w:hAnsi="宋体" w:eastAsia="宋体" w:cs="宋体"/>
                <w:color w:val="auto"/>
                <w:sz w:val="30"/>
                <w:szCs w:val="30"/>
                <w:highlight w:val="none"/>
              </w:rPr>
            </w:pPr>
          </w:p>
        </w:tc>
        <w:tc>
          <w:tcPr>
            <w:tcW w:w="850" w:type="dxa"/>
            <w:noWrap w:val="0"/>
            <w:vAlign w:val="top"/>
          </w:tcPr>
          <w:p w14:paraId="296973DF">
            <w:pPr>
              <w:rPr>
                <w:rFonts w:ascii="宋体" w:hAnsi="宋体" w:eastAsia="宋体" w:cs="宋体"/>
                <w:color w:val="auto"/>
                <w:sz w:val="30"/>
                <w:szCs w:val="30"/>
                <w:highlight w:val="none"/>
              </w:rPr>
            </w:pPr>
          </w:p>
        </w:tc>
        <w:tc>
          <w:tcPr>
            <w:tcW w:w="1058" w:type="dxa"/>
            <w:noWrap w:val="0"/>
            <w:vAlign w:val="top"/>
          </w:tcPr>
          <w:p w14:paraId="2432320E">
            <w:pPr>
              <w:rPr>
                <w:rFonts w:ascii="宋体" w:hAnsi="宋体" w:eastAsia="宋体" w:cs="宋体"/>
                <w:color w:val="auto"/>
                <w:sz w:val="30"/>
                <w:szCs w:val="30"/>
                <w:highlight w:val="none"/>
              </w:rPr>
            </w:pPr>
          </w:p>
        </w:tc>
        <w:tc>
          <w:tcPr>
            <w:tcW w:w="880" w:type="dxa"/>
            <w:noWrap w:val="0"/>
            <w:vAlign w:val="top"/>
          </w:tcPr>
          <w:p w14:paraId="4DF68CE5">
            <w:pPr>
              <w:rPr>
                <w:rFonts w:ascii="宋体" w:hAnsi="宋体" w:eastAsia="宋体" w:cs="宋体"/>
                <w:color w:val="auto"/>
                <w:sz w:val="30"/>
                <w:szCs w:val="30"/>
                <w:highlight w:val="none"/>
              </w:rPr>
            </w:pPr>
          </w:p>
        </w:tc>
        <w:tc>
          <w:tcPr>
            <w:tcW w:w="1020" w:type="dxa"/>
            <w:noWrap w:val="0"/>
            <w:vAlign w:val="top"/>
          </w:tcPr>
          <w:p w14:paraId="737F709E">
            <w:pPr>
              <w:rPr>
                <w:rFonts w:ascii="宋体" w:hAnsi="宋体" w:eastAsia="宋体" w:cs="宋体"/>
                <w:color w:val="auto"/>
                <w:sz w:val="30"/>
                <w:szCs w:val="30"/>
                <w:highlight w:val="none"/>
              </w:rPr>
            </w:pPr>
          </w:p>
        </w:tc>
        <w:tc>
          <w:tcPr>
            <w:tcW w:w="1480" w:type="dxa"/>
            <w:noWrap w:val="0"/>
            <w:vAlign w:val="top"/>
          </w:tcPr>
          <w:p w14:paraId="4C16951F">
            <w:pPr>
              <w:rPr>
                <w:rFonts w:ascii="宋体" w:hAnsi="宋体" w:eastAsia="宋体" w:cs="宋体"/>
                <w:color w:val="auto"/>
                <w:sz w:val="30"/>
                <w:szCs w:val="30"/>
                <w:highlight w:val="none"/>
              </w:rPr>
            </w:pPr>
          </w:p>
        </w:tc>
        <w:tc>
          <w:tcPr>
            <w:tcW w:w="1020" w:type="dxa"/>
            <w:noWrap w:val="0"/>
            <w:vAlign w:val="top"/>
          </w:tcPr>
          <w:p w14:paraId="5B40DC73">
            <w:pPr>
              <w:rPr>
                <w:rFonts w:ascii="宋体" w:hAnsi="宋体" w:eastAsia="宋体" w:cs="宋体"/>
                <w:color w:val="auto"/>
                <w:sz w:val="30"/>
                <w:szCs w:val="30"/>
                <w:highlight w:val="none"/>
              </w:rPr>
            </w:pPr>
          </w:p>
        </w:tc>
        <w:tc>
          <w:tcPr>
            <w:tcW w:w="921" w:type="dxa"/>
            <w:noWrap w:val="0"/>
            <w:vAlign w:val="top"/>
          </w:tcPr>
          <w:p w14:paraId="4FF94234">
            <w:pPr>
              <w:rPr>
                <w:rFonts w:ascii="宋体" w:hAnsi="宋体" w:eastAsia="宋体" w:cs="宋体"/>
                <w:color w:val="auto"/>
                <w:sz w:val="30"/>
                <w:szCs w:val="30"/>
                <w:highlight w:val="none"/>
              </w:rPr>
            </w:pPr>
          </w:p>
        </w:tc>
      </w:tr>
      <w:tr w14:paraId="75BA4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3A979B56">
            <w:pPr>
              <w:rPr>
                <w:rFonts w:ascii="宋体" w:hAnsi="宋体" w:eastAsia="宋体" w:cs="宋体"/>
                <w:color w:val="auto"/>
                <w:sz w:val="30"/>
                <w:szCs w:val="30"/>
                <w:highlight w:val="none"/>
              </w:rPr>
            </w:pPr>
          </w:p>
        </w:tc>
        <w:tc>
          <w:tcPr>
            <w:tcW w:w="1418" w:type="dxa"/>
            <w:noWrap w:val="0"/>
            <w:vAlign w:val="top"/>
          </w:tcPr>
          <w:p w14:paraId="219D118A">
            <w:pPr>
              <w:rPr>
                <w:rFonts w:ascii="宋体" w:hAnsi="宋体" w:eastAsia="宋体" w:cs="宋体"/>
                <w:color w:val="auto"/>
                <w:sz w:val="30"/>
                <w:szCs w:val="30"/>
                <w:highlight w:val="none"/>
              </w:rPr>
            </w:pPr>
          </w:p>
        </w:tc>
        <w:tc>
          <w:tcPr>
            <w:tcW w:w="850" w:type="dxa"/>
            <w:noWrap w:val="0"/>
            <w:vAlign w:val="top"/>
          </w:tcPr>
          <w:p w14:paraId="62F97D53">
            <w:pPr>
              <w:rPr>
                <w:rFonts w:ascii="宋体" w:hAnsi="宋体" w:eastAsia="宋体" w:cs="宋体"/>
                <w:color w:val="auto"/>
                <w:sz w:val="30"/>
                <w:szCs w:val="30"/>
                <w:highlight w:val="none"/>
              </w:rPr>
            </w:pPr>
          </w:p>
        </w:tc>
        <w:tc>
          <w:tcPr>
            <w:tcW w:w="1058" w:type="dxa"/>
            <w:noWrap w:val="0"/>
            <w:vAlign w:val="top"/>
          </w:tcPr>
          <w:p w14:paraId="5BFAB2EE">
            <w:pPr>
              <w:rPr>
                <w:rFonts w:ascii="宋体" w:hAnsi="宋体" w:eastAsia="宋体" w:cs="宋体"/>
                <w:color w:val="auto"/>
                <w:sz w:val="30"/>
                <w:szCs w:val="30"/>
                <w:highlight w:val="none"/>
              </w:rPr>
            </w:pPr>
          </w:p>
        </w:tc>
        <w:tc>
          <w:tcPr>
            <w:tcW w:w="880" w:type="dxa"/>
            <w:noWrap w:val="0"/>
            <w:vAlign w:val="top"/>
          </w:tcPr>
          <w:p w14:paraId="3134D43B">
            <w:pPr>
              <w:rPr>
                <w:rFonts w:ascii="宋体" w:hAnsi="宋体" w:eastAsia="宋体" w:cs="宋体"/>
                <w:color w:val="auto"/>
                <w:sz w:val="30"/>
                <w:szCs w:val="30"/>
                <w:highlight w:val="none"/>
              </w:rPr>
            </w:pPr>
          </w:p>
        </w:tc>
        <w:tc>
          <w:tcPr>
            <w:tcW w:w="1020" w:type="dxa"/>
            <w:noWrap w:val="0"/>
            <w:vAlign w:val="top"/>
          </w:tcPr>
          <w:p w14:paraId="196932FA">
            <w:pPr>
              <w:rPr>
                <w:rFonts w:ascii="宋体" w:hAnsi="宋体" w:eastAsia="宋体" w:cs="宋体"/>
                <w:color w:val="auto"/>
                <w:sz w:val="30"/>
                <w:szCs w:val="30"/>
                <w:highlight w:val="none"/>
              </w:rPr>
            </w:pPr>
          </w:p>
        </w:tc>
        <w:tc>
          <w:tcPr>
            <w:tcW w:w="1480" w:type="dxa"/>
            <w:noWrap w:val="0"/>
            <w:vAlign w:val="top"/>
          </w:tcPr>
          <w:p w14:paraId="1DE24843">
            <w:pPr>
              <w:rPr>
                <w:rFonts w:ascii="宋体" w:hAnsi="宋体" w:eastAsia="宋体" w:cs="宋体"/>
                <w:color w:val="auto"/>
                <w:sz w:val="30"/>
                <w:szCs w:val="30"/>
                <w:highlight w:val="none"/>
              </w:rPr>
            </w:pPr>
          </w:p>
        </w:tc>
        <w:tc>
          <w:tcPr>
            <w:tcW w:w="1020" w:type="dxa"/>
            <w:noWrap w:val="0"/>
            <w:vAlign w:val="top"/>
          </w:tcPr>
          <w:p w14:paraId="3061CFAE">
            <w:pPr>
              <w:rPr>
                <w:rFonts w:ascii="宋体" w:hAnsi="宋体" w:eastAsia="宋体" w:cs="宋体"/>
                <w:color w:val="auto"/>
                <w:sz w:val="30"/>
                <w:szCs w:val="30"/>
                <w:highlight w:val="none"/>
              </w:rPr>
            </w:pPr>
          </w:p>
        </w:tc>
        <w:tc>
          <w:tcPr>
            <w:tcW w:w="921" w:type="dxa"/>
            <w:noWrap w:val="0"/>
            <w:vAlign w:val="top"/>
          </w:tcPr>
          <w:p w14:paraId="64432FEA">
            <w:pPr>
              <w:rPr>
                <w:rFonts w:ascii="宋体" w:hAnsi="宋体" w:eastAsia="宋体" w:cs="宋体"/>
                <w:color w:val="auto"/>
                <w:sz w:val="30"/>
                <w:szCs w:val="30"/>
                <w:highlight w:val="none"/>
              </w:rPr>
            </w:pPr>
          </w:p>
        </w:tc>
      </w:tr>
      <w:tr w14:paraId="7736D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74BCDC5A">
            <w:pPr>
              <w:rPr>
                <w:rFonts w:ascii="宋体" w:hAnsi="宋体" w:eastAsia="宋体" w:cs="宋体"/>
                <w:color w:val="auto"/>
                <w:sz w:val="30"/>
                <w:szCs w:val="30"/>
                <w:highlight w:val="none"/>
              </w:rPr>
            </w:pPr>
          </w:p>
        </w:tc>
        <w:tc>
          <w:tcPr>
            <w:tcW w:w="1418" w:type="dxa"/>
            <w:noWrap w:val="0"/>
            <w:vAlign w:val="top"/>
          </w:tcPr>
          <w:p w14:paraId="5B56481A">
            <w:pPr>
              <w:rPr>
                <w:rFonts w:ascii="宋体" w:hAnsi="宋体" w:eastAsia="宋体" w:cs="宋体"/>
                <w:color w:val="auto"/>
                <w:sz w:val="30"/>
                <w:szCs w:val="30"/>
                <w:highlight w:val="none"/>
              </w:rPr>
            </w:pPr>
          </w:p>
        </w:tc>
        <w:tc>
          <w:tcPr>
            <w:tcW w:w="850" w:type="dxa"/>
            <w:noWrap w:val="0"/>
            <w:vAlign w:val="top"/>
          </w:tcPr>
          <w:p w14:paraId="2545350C">
            <w:pPr>
              <w:rPr>
                <w:rFonts w:ascii="宋体" w:hAnsi="宋体" w:eastAsia="宋体" w:cs="宋体"/>
                <w:color w:val="auto"/>
                <w:sz w:val="30"/>
                <w:szCs w:val="30"/>
                <w:highlight w:val="none"/>
              </w:rPr>
            </w:pPr>
          </w:p>
        </w:tc>
        <w:tc>
          <w:tcPr>
            <w:tcW w:w="1058" w:type="dxa"/>
            <w:noWrap w:val="0"/>
            <w:vAlign w:val="top"/>
          </w:tcPr>
          <w:p w14:paraId="01740EA1">
            <w:pPr>
              <w:rPr>
                <w:rFonts w:ascii="宋体" w:hAnsi="宋体" w:eastAsia="宋体" w:cs="宋体"/>
                <w:color w:val="auto"/>
                <w:sz w:val="30"/>
                <w:szCs w:val="30"/>
                <w:highlight w:val="none"/>
              </w:rPr>
            </w:pPr>
          </w:p>
        </w:tc>
        <w:tc>
          <w:tcPr>
            <w:tcW w:w="880" w:type="dxa"/>
            <w:noWrap w:val="0"/>
            <w:vAlign w:val="top"/>
          </w:tcPr>
          <w:p w14:paraId="07351AEF">
            <w:pPr>
              <w:rPr>
                <w:rFonts w:ascii="宋体" w:hAnsi="宋体" w:eastAsia="宋体" w:cs="宋体"/>
                <w:color w:val="auto"/>
                <w:sz w:val="30"/>
                <w:szCs w:val="30"/>
                <w:highlight w:val="none"/>
              </w:rPr>
            </w:pPr>
          </w:p>
        </w:tc>
        <w:tc>
          <w:tcPr>
            <w:tcW w:w="1020" w:type="dxa"/>
            <w:noWrap w:val="0"/>
            <w:vAlign w:val="top"/>
          </w:tcPr>
          <w:p w14:paraId="23A1DAC8">
            <w:pPr>
              <w:rPr>
                <w:rFonts w:ascii="宋体" w:hAnsi="宋体" w:eastAsia="宋体" w:cs="宋体"/>
                <w:color w:val="auto"/>
                <w:sz w:val="30"/>
                <w:szCs w:val="30"/>
                <w:highlight w:val="none"/>
              </w:rPr>
            </w:pPr>
          </w:p>
        </w:tc>
        <w:tc>
          <w:tcPr>
            <w:tcW w:w="1480" w:type="dxa"/>
            <w:noWrap w:val="0"/>
            <w:vAlign w:val="top"/>
          </w:tcPr>
          <w:p w14:paraId="34D722A5">
            <w:pPr>
              <w:rPr>
                <w:rFonts w:ascii="宋体" w:hAnsi="宋体" w:eastAsia="宋体" w:cs="宋体"/>
                <w:color w:val="auto"/>
                <w:sz w:val="30"/>
                <w:szCs w:val="30"/>
                <w:highlight w:val="none"/>
              </w:rPr>
            </w:pPr>
          </w:p>
        </w:tc>
        <w:tc>
          <w:tcPr>
            <w:tcW w:w="1020" w:type="dxa"/>
            <w:noWrap w:val="0"/>
            <w:vAlign w:val="top"/>
          </w:tcPr>
          <w:p w14:paraId="5FE7AF4E">
            <w:pPr>
              <w:rPr>
                <w:rFonts w:ascii="宋体" w:hAnsi="宋体" w:eastAsia="宋体" w:cs="宋体"/>
                <w:color w:val="auto"/>
                <w:sz w:val="30"/>
                <w:szCs w:val="30"/>
                <w:highlight w:val="none"/>
              </w:rPr>
            </w:pPr>
          </w:p>
        </w:tc>
        <w:tc>
          <w:tcPr>
            <w:tcW w:w="921" w:type="dxa"/>
            <w:noWrap w:val="0"/>
            <w:vAlign w:val="top"/>
          </w:tcPr>
          <w:p w14:paraId="09674CB2">
            <w:pPr>
              <w:rPr>
                <w:rFonts w:ascii="宋体" w:hAnsi="宋体" w:eastAsia="宋体" w:cs="宋体"/>
                <w:color w:val="auto"/>
                <w:sz w:val="30"/>
                <w:szCs w:val="30"/>
                <w:highlight w:val="none"/>
              </w:rPr>
            </w:pPr>
          </w:p>
        </w:tc>
      </w:tr>
      <w:tr w14:paraId="41E38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07B93142">
            <w:pPr>
              <w:rPr>
                <w:rFonts w:ascii="宋体" w:hAnsi="宋体" w:eastAsia="宋体" w:cs="宋体"/>
                <w:color w:val="auto"/>
                <w:sz w:val="30"/>
                <w:szCs w:val="30"/>
                <w:highlight w:val="none"/>
              </w:rPr>
            </w:pPr>
          </w:p>
        </w:tc>
        <w:tc>
          <w:tcPr>
            <w:tcW w:w="1418" w:type="dxa"/>
            <w:noWrap w:val="0"/>
            <w:vAlign w:val="top"/>
          </w:tcPr>
          <w:p w14:paraId="5E9E20D4">
            <w:pPr>
              <w:rPr>
                <w:rFonts w:ascii="宋体" w:hAnsi="宋体" w:eastAsia="宋体" w:cs="宋体"/>
                <w:color w:val="auto"/>
                <w:sz w:val="30"/>
                <w:szCs w:val="30"/>
                <w:highlight w:val="none"/>
              </w:rPr>
            </w:pPr>
          </w:p>
        </w:tc>
        <w:tc>
          <w:tcPr>
            <w:tcW w:w="850" w:type="dxa"/>
            <w:noWrap w:val="0"/>
            <w:vAlign w:val="top"/>
          </w:tcPr>
          <w:p w14:paraId="3F83CDBF">
            <w:pPr>
              <w:rPr>
                <w:rFonts w:ascii="宋体" w:hAnsi="宋体" w:eastAsia="宋体" w:cs="宋体"/>
                <w:color w:val="auto"/>
                <w:sz w:val="30"/>
                <w:szCs w:val="30"/>
                <w:highlight w:val="none"/>
              </w:rPr>
            </w:pPr>
          </w:p>
        </w:tc>
        <w:tc>
          <w:tcPr>
            <w:tcW w:w="1058" w:type="dxa"/>
            <w:noWrap w:val="0"/>
            <w:vAlign w:val="top"/>
          </w:tcPr>
          <w:p w14:paraId="16585EB1">
            <w:pPr>
              <w:rPr>
                <w:rFonts w:ascii="宋体" w:hAnsi="宋体" w:eastAsia="宋体" w:cs="宋体"/>
                <w:color w:val="auto"/>
                <w:sz w:val="30"/>
                <w:szCs w:val="30"/>
                <w:highlight w:val="none"/>
              </w:rPr>
            </w:pPr>
          </w:p>
        </w:tc>
        <w:tc>
          <w:tcPr>
            <w:tcW w:w="880" w:type="dxa"/>
            <w:noWrap w:val="0"/>
            <w:vAlign w:val="top"/>
          </w:tcPr>
          <w:p w14:paraId="4F23AFD9">
            <w:pPr>
              <w:rPr>
                <w:rFonts w:ascii="宋体" w:hAnsi="宋体" w:eastAsia="宋体" w:cs="宋体"/>
                <w:color w:val="auto"/>
                <w:sz w:val="30"/>
                <w:szCs w:val="30"/>
                <w:highlight w:val="none"/>
              </w:rPr>
            </w:pPr>
          </w:p>
        </w:tc>
        <w:tc>
          <w:tcPr>
            <w:tcW w:w="1020" w:type="dxa"/>
            <w:noWrap w:val="0"/>
            <w:vAlign w:val="top"/>
          </w:tcPr>
          <w:p w14:paraId="1534303D">
            <w:pPr>
              <w:rPr>
                <w:rFonts w:ascii="宋体" w:hAnsi="宋体" w:eastAsia="宋体" w:cs="宋体"/>
                <w:color w:val="auto"/>
                <w:sz w:val="30"/>
                <w:szCs w:val="30"/>
                <w:highlight w:val="none"/>
              </w:rPr>
            </w:pPr>
          </w:p>
        </w:tc>
        <w:tc>
          <w:tcPr>
            <w:tcW w:w="1480" w:type="dxa"/>
            <w:noWrap w:val="0"/>
            <w:vAlign w:val="top"/>
          </w:tcPr>
          <w:p w14:paraId="0EB4B2BD">
            <w:pPr>
              <w:rPr>
                <w:rFonts w:ascii="宋体" w:hAnsi="宋体" w:eastAsia="宋体" w:cs="宋体"/>
                <w:color w:val="auto"/>
                <w:sz w:val="30"/>
                <w:szCs w:val="30"/>
                <w:highlight w:val="none"/>
              </w:rPr>
            </w:pPr>
          </w:p>
        </w:tc>
        <w:tc>
          <w:tcPr>
            <w:tcW w:w="1020" w:type="dxa"/>
            <w:noWrap w:val="0"/>
            <w:vAlign w:val="top"/>
          </w:tcPr>
          <w:p w14:paraId="782AB55C">
            <w:pPr>
              <w:rPr>
                <w:rFonts w:ascii="宋体" w:hAnsi="宋体" w:eastAsia="宋体" w:cs="宋体"/>
                <w:color w:val="auto"/>
                <w:sz w:val="30"/>
                <w:szCs w:val="30"/>
                <w:highlight w:val="none"/>
              </w:rPr>
            </w:pPr>
          </w:p>
        </w:tc>
        <w:tc>
          <w:tcPr>
            <w:tcW w:w="921" w:type="dxa"/>
            <w:noWrap w:val="0"/>
            <w:vAlign w:val="top"/>
          </w:tcPr>
          <w:p w14:paraId="57D30C63">
            <w:pPr>
              <w:rPr>
                <w:rFonts w:ascii="宋体" w:hAnsi="宋体" w:eastAsia="宋体" w:cs="宋体"/>
                <w:color w:val="auto"/>
                <w:sz w:val="30"/>
                <w:szCs w:val="30"/>
                <w:highlight w:val="none"/>
              </w:rPr>
            </w:pPr>
          </w:p>
        </w:tc>
      </w:tr>
      <w:tr w14:paraId="3DF36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29E25362">
            <w:pPr>
              <w:rPr>
                <w:rFonts w:ascii="宋体" w:hAnsi="宋体" w:eastAsia="宋体" w:cs="宋体"/>
                <w:color w:val="auto"/>
                <w:sz w:val="30"/>
                <w:szCs w:val="30"/>
                <w:highlight w:val="none"/>
              </w:rPr>
            </w:pPr>
          </w:p>
        </w:tc>
        <w:tc>
          <w:tcPr>
            <w:tcW w:w="1418" w:type="dxa"/>
            <w:noWrap w:val="0"/>
            <w:vAlign w:val="top"/>
          </w:tcPr>
          <w:p w14:paraId="5E6C98C0">
            <w:pPr>
              <w:rPr>
                <w:rFonts w:ascii="宋体" w:hAnsi="宋体" w:eastAsia="宋体" w:cs="宋体"/>
                <w:color w:val="auto"/>
                <w:sz w:val="30"/>
                <w:szCs w:val="30"/>
                <w:highlight w:val="none"/>
              </w:rPr>
            </w:pPr>
          </w:p>
        </w:tc>
        <w:tc>
          <w:tcPr>
            <w:tcW w:w="850" w:type="dxa"/>
            <w:noWrap w:val="0"/>
            <w:vAlign w:val="top"/>
          </w:tcPr>
          <w:p w14:paraId="7BD10803">
            <w:pPr>
              <w:rPr>
                <w:rFonts w:ascii="宋体" w:hAnsi="宋体" w:eastAsia="宋体" w:cs="宋体"/>
                <w:color w:val="auto"/>
                <w:sz w:val="30"/>
                <w:szCs w:val="30"/>
                <w:highlight w:val="none"/>
              </w:rPr>
            </w:pPr>
          </w:p>
        </w:tc>
        <w:tc>
          <w:tcPr>
            <w:tcW w:w="1058" w:type="dxa"/>
            <w:noWrap w:val="0"/>
            <w:vAlign w:val="top"/>
          </w:tcPr>
          <w:p w14:paraId="2427B636">
            <w:pPr>
              <w:rPr>
                <w:rFonts w:ascii="宋体" w:hAnsi="宋体" w:eastAsia="宋体" w:cs="宋体"/>
                <w:color w:val="auto"/>
                <w:sz w:val="30"/>
                <w:szCs w:val="30"/>
                <w:highlight w:val="none"/>
              </w:rPr>
            </w:pPr>
          </w:p>
        </w:tc>
        <w:tc>
          <w:tcPr>
            <w:tcW w:w="880" w:type="dxa"/>
            <w:noWrap w:val="0"/>
            <w:vAlign w:val="top"/>
          </w:tcPr>
          <w:p w14:paraId="01A25622">
            <w:pPr>
              <w:rPr>
                <w:rFonts w:ascii="宋体" w:hAnsi="宋体" w:eastAsia="宋体" w:cs="宋体"/>
                <w:color w:val="auto"/>
                <w:sz w:val="30"/>
                <w:szCs w:val="30"/>
                <w:highlight w:val="none"/>
              </w:rPr>
            </w:pPr>
          </w:p>
        </w:tc>
        <w:tc>
          <w:tcPr>
            <w:tcW w:w="1020" w:type="dxa"/>
            <w:noWrap w:val="0"/>
            <w:vAlign w:val="top"/>
          </w:tcPr>
          <w:p w14:paraId="755CFB70">
            <w:pPr>
              <w:rPr>
                <w:rFonts w:ascii="宋体" w:hAnsi="宋体" w:eastAsia="宋体" w:cs="宋体"/>
                <w:color w:val="auto"/>
                <w:sz w:val="30"/>
                <w:szCs w:val="30"/>
                <w:highlight w:val="none"/>
              </w:rPr>
            </w:pPr>
          </w:p>
        </w:tc>
        <w:tc>
          <w:tcPr>
            <w:tcW w:w="1480" w:type="dxa"/>
            <w:noWrap w:val="0"/>
            <w:vAlign w:val="top"/>
          </w:tcPr>
          <w:p w14:paraId="6B75298E">
            <w:pPr>
              <w:rPr>
                <w:rFonts w:ascii="宋体" w:hAnsi="宋体" w:eastAsia="宋体" w:cs="宋体"/>
                <w:color w:val="auto"/>
                <w:sz w:val="30"/>
                <w:szCs w:val="30"/>
                <w:highlight w:val="none"/>
              </w:rPr>
            </w:pPr>
          </w:p>
        </w:tc>
        <w:tc>
          <w:tcPr>
            <w:tcW w:w="1020" w:type="dxa"/>
            <w:noWrap w:val="0"/>
            <w:vAlign w:val="top"/>
          </w:tcPr>
          <w:p w14:paraId="4052B14E">
            <w:pPr>
              <w:rPr>
                <w:rFonts w:ascii="宋体" w:hAnsi="宋体" w:eastAsia="宋体" w:cs="宋体"/>
                <w:color w:val="auto"/>
                <w:sz w:val="30"/>
                <w:szCs w:val="30"/>
                <w:highlight w:val="none"/>
              </w:rPr>
            </w:pPr>
          </w:p>
        </w:tc>
        <w:tc>
          <w:tcPr>
            <w:tcW w:w="921" w:type="dxa"/>
            <w:noWrap w:val="0"/>
            <w:vAlign w:val="top"/>
          </w:tcPr>
          <w:p w14:paraId="76557BF5">
            <w:pPr>
              <w:rPr>
                <w:rFonts w:ascii="宋体" w:hAnsi="宋体" w:eastAsia="宋体" w:cs="宋体"/>
                <w:color w:val="auto"/>
                <w:sz w:val="30"/>
                <w:szCs w:val="30"/>
                <w:highlight w:val="none"/>
              </w:rPr>
            </w:pPr>
          </w:p>
        </w:tc>
      </w:tr>
      <w:tr w14:paraId="265C5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2125978E">
            <w:pPr>
              <w:rPr>
                <w:rFonts w:ascii="宋体" w:hAnsi="宋体" w:eastAsia="宋体" w:cs="宋体"/>
                <w:color w:val="auto"/>
                <w:sz w:val="30"/>
                <w:szCs w:val="30"/>
                <w:highlight w:val="none"/>
              </w:rPr>
            </w:pPr>
          </w:p>
        </w:tc>
        <w:tc>
          <w:tcPr>
            <w:tcW w:w="1418" w:type="dxa"/>
            <w:noWrap w:val="0"/>
            <w:vAlign w:val="top"/>
          </w:tcPr>
          <w:p w14:paraId="7A062696">
            <w:pPr>
              <w:rPr>
                <w:rFonts w:ascii="宋体" w:hAnsi="宋体" w:eastAsia="宋体" w:cs="宋体"/>
                <w:color w:val="auto"/>
                <w:sz w:val="30"/>
                <w:szCs w:val="30"/>
                <w:highlight w:val="none"/>
              </w:rPr>
            </w:pPr>
          </w:p>
        </w:tc>
        <w:tc>
          <w:tcPr>
            <w:tcW w:w="850" w:type="dxa"/>
            <w:noWrap w:val="0"/>
            <w:vAlign w:val="top"/>
          </w:tcPr>
          <w:p w14:paraId="655D7F65">
            <w:pPr>
              <w:rPr>
                <w:rFonts w:ascii="宋体" w:hAnsi="宋体" w:eastAsia="宋体" w:cs="宋体"/>
                <w:color w:val="auto"/>
                <w:sz w:val="30"/>
                <w:szCs w:val="30"/>
                <w:highlight w:val="none"/>
              </w:rPr>
            </w:pPr>
          </w:p>
        </w:tc>
        <w:tc>
          <w:tcPr>
            <w:tcW w:w="1058" w:type="dxa"/>
            <w:noWrap w:val="0"/>
            <w:vAlign w:val="top"/>
          </w:tcPr>
          <w:p w14:paraId="3CE11627">
            <w:pPr>
              <w:rPr>
                <w:rFonts w:ascii="宋体" w:hAnsi="宋体" w:eastAsia="宋体" w:cs="宋体"/>
                <w:color w:val="auto"/>
                <w:sz w:val="30"/>
                <w:szCs w:val="30"/>
                <w:highlight w:val="none"/>
              </w:rPr>
            </w:pPr>
          </w:p>
        </w:tc>
        <w:tc>
          <w:tcPr>
            <w:tcW w:w="880" w:type="dxa"/>
            <w:noWrap w:val="0"/>
            <w:vAlign w:val="top"/>
          </w:tcPr>
          <w:p w14:paraId="3FF74252">
            <w:pPr>
              <w:rPr>
                <w:rFonts w:ascii="宋体" w:hAnsi="宋体" w:eastAsia="宋体" w:cs="宋体"/>
                <w:color w:val="auto"/>
                <w:sz w:val="30"/>
                <w:szCs w:val="30"/>
                <w:highlight w:val="none"/>
              </w:rPr>
            </w:pPr>
          </w:p>
        </w:tc>
        <w:tc>
          <w:tcPr>
            <w:tcW w:w="1020" w:type="dxa"/>
            <w:noWrap w:val="0"/>
            <w:vAlign w:val="top"/>
          </w:tcPr>
          <w:p w14:paraId="7E5AF6F0">
            <w:pPr>
              <w:rPr>
                <w:rFonts w:ascii="宋体" w:hAnsi="宋体" w:eastAsia="宋体" w:cs="宋体"/>
                <w:color w:val="auto"/>
                <w:sz w:val="30"/>
                <w:szCs w:val="30"/>
                <w:highlight w:val="none"/>
              </w:rPr>
            </w:pPr>
          </w:p>
        </w:tc>
        <w:tc>
          <w:tcPr>
            <w:tcW w:w="1480" w:type="dxa"/>
            <w:noWrap w:val="0"/>
            <w:vAlign w:val="top"/>
          </w:tcPr>
          <w:p w14:paraId="62FEB5A8">
            <w:pPr>
              <w:rPr>
                <w:rFonts w:ascii="宋体" w:hAnsi="宋体" w:eastAsia="宋体" w:cs="宋体"/>
                <w:color w:val="auto"/>
                <w:sz w:val="30"/>
                <w:szCs w:val="30"/>
                <w:highlight w:val="none"/>
              </w:rPr>
            </w:pPr>
          </w:p>
        </w:tc>
        <w:tc>
          <w:tcPr>
            <w:tcW w:w="1020" w:type="dxa"/>
            <w:noWrap w:val="0"/>
            <w:vAlign w:val="top"/>
          </w:tcPr>
          <w:p w14:paraId="7983DABA">
            <w:pPr>
              <w:rPr>
                <w:rFonts w:ascii="宋体" w:hAnsi="宋体" w:eastAsia="宋体" w:cs="宋体"/>
                <w:color w:val="auto"/>
                <w:sz w:val="30"/>
                <w:szCs w:val="30"/>
                <w:highlight w:val="none"/>
              </w:rPr>
            </w:pPr>
          </w:p>
        </w:tc>
        <w:tc>
          <w:tcPr>
            <w:tcW w:w="921" w:type="dxa"/>
            <w:noWrap w:val="0"/>
            <w:vAlign w:val="top"/>
          </w:tcPr>
          <w:p w14:paraId="3CF1B203">
            <w:pPr>
              <w:rPr>
                <w:rFonts w:ascii="宋体" w:hAnsi="宋体" w:eastAsia="宋体" w:cs="宋体"/>
                <w:color w:val="auto"/>
                <w:sz w:val="30"/>
                <w:szCs w:val="30"/>
                <w:highlight w:val="none"/>
              </w:rPr>
            </w:pPr>
          </w:p>
        </w:tc>
      </w:tr>
    </w:tbl>
    <w:p w14:paraId="6FF7091C">
      <w:pPr>
        <w:spacing w:line="440" w:lineRule="exact"/>
        <w:rPr>
          <w:rFonts w:ascii="宋体" w:hAnsi="宋体" w:eastAsia="宋体" w:cs="宋体"/>
          <w:color w:val="auto"/>
          <w:sz w:val="30"/>
          <w:szCs w:val="30"/>
          <w:highlight w:val="none"/>
        </w:rPr>
        <w:sectPr>
          <w:pgSz w:w="11905" w:h="16838"/>
          <w:pgMar w:top="1417" w:right="1417" w:bottom="1417" w:left="1417" w:header="851" w:footer="850" w:gutter="0"/>
          <w:cols w:space="720" w:num="1"/>
          <w:docGrid w:linePitch="312" w:charSpace="0"/>
        </w:sectPr>
      </w:pPr>
    </w:p>
    <w:p w14:paraId="6496C183">
      <w:pPr>
        <w:pStyle w:val="6"/>
        <w:jc w:val="left"/>
        <w:rPr>
          <w:rFonts w:ascii="宋体" w:hAnsi="宋体" w:eastAsia="宋体" w:cs="宋体"/>
          <w:color w:val="auto"/>
          <w:sz w:val="30"/>
          <w:szCs w:val="30"/>
          <w:highlight w:val="none"/>
        </w:rPr>
      </w:pPr>
      <w:r>
        <w:rPr>
          <w:rFonts w:hint="eastAsia" w:ascii="宋体" w:hAnsi="宋体" w:eastAsia="宋体" w:cs="宋体"/>
          <w:color w:val="auto"/>
          <w:highlight w:val="none"/>
        </w:rPr>
        <w:t>附</w:t>
      </w:r>
      <w:bookmarkStart w:id="1010" w:name="_Toc296891268"/>
      <w:bookmarkStart w:id="1011" w:name="_Toc296944567"/>
      <w:bookmarkStart w:id="1012" w:name="_Toc296347227"/>
      <w:bookmarkStart w:id="1013" w:name="_Toc296891056"/>
      <w:bookmarkStart w:id="1014" w:name="_Toc267261699"/>
      <w:bookmarkStart w:id="1015" w:name="_Toc296503228"/>
      <w:bookmarkStart w:id="1016" w:name="_Toc296346729"/>
      <w:r>
        <w:rPr>
          <w:rFonts w:hint="eastAsia" w:ascii="宋体" w:hAnsi="宋体" w:eastAsia="宋体" w:cs="宋体"/>
          <w:color w:val="auto"/>
          <w:highlight w:val="none"/>
        </w:rPr>
        <w:t>件</w:t>
      </w:r>
      <w:r>
        <w:rPr>
          <w:rFonts w:hint="eastAsia" w:ascii="宋体" w:hAnsi="宋体" w:eastAsia="宋体" w:cs="宋体"/>
          <w:color w:val="auto"/>
          <w:sz w:val="30"/>
          <w:szCs w:val="30"/>
          <w:highlight w:val="none"/>
        </w:rPr>
        <w:t>5：</w:t>
      </w:r>
    </w:p>
    <w:bookmarkEnd w:id="1010"/>
    <w:bookmarkEnd w:id="1011"/>
    <w:bookmarkEnd w:id="1012"/>
    <w:bookmarkEnd w:id="1013"/>
    <w:bookmarkEnd w:id="1014"/>
    <w:bookmarkEnd w:id="1015"/>
    <w:bookmarkEnd w:id="1016"/>
    <w:p w14:paraId="4A7E3DE4">
      <w:pPr>
        <w:spacing w:before="120" w:beforeLines="50" w:after="120" w:afterLines="50" w:line="440" w:lineRule="exact"/>
        <w:jc w:val="center"/>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承包人主要施工管理人员表</w:t>
      </w:r>
    </w:p>
    <w:tbl>
      <w:tblPr>
        <w:tblStyle w:val="5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871"/>
        <w:gridCol w:w="1418"/>
        <w:gridCol w:w="1134"/>
        <w:gridCol w:w="1134"/>
        <w:gridCol w:w="4252"/>
      </w:tblGrid>
      <w:tr w14:paraId="35062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4FDD267F">
            <w:pPr>
              <w:pStyle w:val="2"/>
              <w:keepNext/>
              <w:spacing w:line="440" w:lineRule="exact"/>
              <w:ind w:left="63" w:right="63"/>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名    称</w:t>
            </w:r>
          </w:p>
        </w:tc>
        <w:tc>
          <w:tcPr>
            <w:tcW w:w="1418" w:type="dxa"/>
            <w:noWrap w:val="0"/>
            <w:vAlign w:val="center"/>
          </w:tcPr>
          <w:p w14:paraId="6A32D91D">
            <w:pPr>
              <w:pStyle w:val="2"/>
              <w:keepNext/>
              <w:spacing w:line="440" w:lineRule="exact"/>
              <w:ind w:left="63" w:right="63"/>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姓名</w:t>
            </w:r>
          </w:p>
        </w:tc>
        <w:tc>
          <w:tcPr>
            <w:tcW w:w="1134" w:type="dxa"/>
            <w:noWrap w:val="0"/>
            <w:vAlign w:val="center"/>
          </w:tcPr>
          <w:p w14:paraId="2D7FC13D">
            <w:pPr>
              <w:pStyle w:val="2"/>
              <w:keepNext/>
              <w:spacing w:line="440" w:lineRule="exact"/>
              <w:ind w:left="63" w:right="63"/>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职务</w:t>
            </w:r>
          </w:p>
        </w:tc>
        <w:tc>
          <w:tcPr>
            <w:tcW w:w="1134" w:type="dxa"/>
            <w:noWrap w:val="0"/>
            <w:vAlign w:val="center"/>
          </w:tcPr>
          <w:p w14:paraId="2C180BE4">
            <w:pPr>
              <w:pStyle w:val="2"/>
              <w:keepNext/>
              <w:spacing w:line="440" w:lineRule="exact"/>
              <w:ind w:left="63" w:right="63"/>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职称</w:t>
            </w:r>
          </w:p>
        </w:tc>
        <w:tc>
          <w:tcPr>
            <w:tcW w:w="4252" w:type="dxa"/>
            <w:noWrap w:val="0"/>
            <w:vAlign w:val="center"/>
          </w:tcPr>
          <w:p w14:paraId="0687611C">
            <w:pPr>
              <w:pStyle w:val="2"/>
              <w:keepNext/>
              <w:spacing w:line="440" w:lineRule="exact"/>
              <w:ind w:right="63"/>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计划进场时间</w:t>
            </w:r>
          </w:p>
        </w:tc>
      </w:tr>
      <w:tr w14:paraId="651F0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noWrap w:val="0"/>
            <w:vAlign w:val="center"/>
          </w:tcPr>
          <w:p w14:paraId="24C20B61">
            <w:pPr>
              <w:pStyle w:val="2"/>
              <w:keepNext/>
              <w:spacing w:line="440" w:lineRule="exact"/>
              <w:ind w:left="63" w:right="63"/>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一、总部人员</w:t>
            </w:r>
          </w:p>
        </w:tc>
      </w:tr>
      <w:tr w14:paraId="294BC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396DE0D6">
            <w:pPr>
              <w:pStyle w:val="2"/>
              <w:keepNext/>
              <w:spacing w:line="440" w:lineRule="exact"/>
              <w:ind w:left="63" w:right="63"/>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项目主管</w:t>
            </w:r>
          </w:p>
        </w:tc>
        <w:tc>
          <w:tcPr>
            <w:tcW w:w="1418" w:type="dxa"/>
            <w:noWrap w:val="0"/>
            <w:vAlign w:val="center"/>
          </w:tcPr>
          <w:p w14:paraId="3BA6579F">
            <w:pPr>
              <w:pStyle w:val="2"/>
              <w:keepNext/>
              <w:spacing w:line="440" w:lineRule="exact"/>
              <w:ind w:left="63" w:right="63"/>
              <w:rPr>
                <w:rFonts w:ascii="宋体" w:hAnsi="宋体" w:eastAsia="宋体" w:cs="宋体"/>
                <w:color w:val="auto"/>
                <w:sz w:val="28"/>
                <w:szCs w:val="28"/>
                <w:highlight w:val="none"/>
              </w:rPr>
            </w:pPr>
          </w:p>
        </w:tc>
        <w:tc>
          <w:tcPr>
            <w:tcW w:w="1134" w:type="dxa"/>
            <w:noWrap w:val="0"/>
            <w:vAlign w:val="center"/>
          </w:tcPr>
          <w:p w14:paraId="4E085B85">
            <w:pPr>
              <w:pStyle w:val="2"/>
              <w:keepNext/>
              <w:spacing w:line="440" w:lineRule="exact"/>
              <w:ind w:left="63" w:right="63"/>
              <w:rPr>
                <w:rFonts w:ascii="宋体" w:hAnsi="宋体" w:eastAsia="宋体" w:cs="宋体"/>
                <w:color w:val="auto"/>
                <w:sz w:val="30"/>
                <w:szCs w:val="30"/>
                <w:highlight w:val="none"/>
              </w:rPr>
            </w:pPr>
          </w:p>
        </w:tc>
        <w:tc>
          <w:tcPr>
            <w:tcW w:w="1134" w:type="dxa"/>
            <w:noWrap w:val="0"/>
            <w:vAlign w:val="center"/>
          </w:tcPr>
          <w:p w14:paraId="14B03727">
            <w:pPr>
              <w:pStyle w:val="2"/>
              <w:keepNext/>
              <w:spacing w:line="440" w:lineRule="exact"/>
              <w:ind w:left="63" w:right="63"/>
              <w:rPr>
                <w:rFonts w:ascii="宋体" w:hAnsi="宋体" w:eastAsia="宋体" w:cs="宋体"/>
                <w:color w:val="auto"/>
                <w:sz w:val="30"/>
                <w:szCs w:val="30"/>
                <w:highlight w:val="none"/>
              </w:rPr>
            </w:pPr>
          </w:p>
        </w:tc>
        <w:tc>
          <w:tcPr>
            <w:tcW w:w="4252" w:type="dxa"/>
            <w:noWrap w:val="0"/>
            <w:vAlign w:val="center"/>
          </w:tcPr>
          <w:p w14:paraId="26843908">
            <w:pPr>
              <w:pStyle w:val="2"/>
              <w:keepNext/>
              <w:spacing w:line="440" w:lineRule="exact"/>
              <w:ind w:left="63" w:right="63"/>
              <w:rPr>
                <w:rFonts w:ascii="宋体" w:hAnsi="宋体" w:eastAsia="宋体" w:cs="宋体"/>
                <w:color w:val="auto"/>
                <w:sz w:val="30"/>
                <w:szCs w:val="30"/>
                <w:highlight w:val="none"/>
              </w:rPr>
            </w:pPr>
          </w:p>
        </w:tc>
      </w:tr>
      <w:tr w14:paraId="57A78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0D842445">
            <w:pPr>
              <w:pStyle w:val="2"/>
              <w:keepNext/>
              <w:spacing w:line="440" w:lineRule="exact"/>
              <w:ind w:left="63" w:right="63"/>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其他人员</w:t>
            </w:r>
          </w:p>
        </w:tc>
        <w:tc>
          <w:tcPr>
            <w:tcW w:w="1418" w:type="dxa"/>
            <w:noWrap w:val="0"/>
            <w:vAlign w:val="center"/>
          </w:tcPr>
          <w:p w14:paraId="421C54ED">
            <w:pPr>
              <w:pStyle w:val="2"/>
              <w:keepNext/>
              <w:spacing w:line="440" w:lineRule="exact"/>
              <w:ind w:left="63" w:right="63"/>
              <w:rPr>
                <w:rFonts w:ascii="宋体" w:hAnsi="宋体" w:eastAsia="宋体" w:cs="宋体"/>
                <w:color w:val="auto"/>
                <w:sz w:val="28"/>
                <w:szCs w:val="28"/>
                <w:highlight w:val="none"/>
              </w:rPr>
            </w:pPr>
          </w:p>
        </w:tc>
        <w:tc>
          <w:tcPr>
            <w:tcW w:w="1134" w:type="dxa"/>
            <w:noWrap w:val="0"/>
            <w:vAlign w:val="center"/>
          </w:tcPr>
          <w:p w14:paraId="096BC4E1">
            <w:pPr>
              <w:pStyle w:val="2"/>
              <w:keepNext/>
              <w:spacing w:line="440" w:lineRule="exact"/>
              <w:ind w:left="63" w:right="63"/>
              <w:rPr>
                <w:rFonts w:ascii="宋体" w:hAnsi="宋体" w:eastAsia="宋体" w:cs="宋体"/>
                <w:color w:val="auto"/>
                <w:sz w:val="30"/>
                <w:szCs w:val="30"/>
                <w:highlight w:val="none"/>
              </w:rPr>
            </w:pPr>
          </w:p>
        </w:tc>
        <w:tc>
          <w:tcPr>
            <w:tcW w:w="1134" w:type="dxa"/>
            <w:noWrap w:val="0"/>
            <w:vAlign w:val="center"/>
          </w:tcPr>
          <w:p w14:paraId="65124789">
            <w:pPr>
              <w:pStyle w:val="2"/>
              <w:keepNext/>
              <w:spacing w:line="440" w:lineRule="exact"/>
              <w:ind w:left="63" w:right="63"/>
              <w:rPr>
                <w:rFonts w:ascii="宋体" w:hAnsi="宋体" w:eastAsia="宋体" w:cs="宋体"/>
                <w:color w:val="auto"/>
                <w:sz w:val="30"/>
                <w:szCs w:val="30"/>
                <w:highlight w:val="none"/>
              </w:rPr>
            </w:pPr>
          </w:p>
        </w:tc>
        <w:tc>
          <w:tcPr>
            <w:tcW w:w="4252" w:type="dxa"/>
            <w:noWrap w:val="0"/>
            <w:vAlign w:val="center"/>
          </w:tcPr>
          <w:p w14:paraId="4028B5BC">
            <w:pPr>
              <w:pStyle w:val="2"/>
              <w:keepNext/>
              <w:spacing w:line="440" w:lineRule="exact"/>
              <w:ind w:left="63" w:right="63"/>
              <w:rPr>
                <w:rFonts w:ascii="宋体" w:hAnsi="宋体" w:eastAsia="宋体" w:cs="宋体"/>
                <w:color w:val="auto"/>
                <w:sz w:val="30"/>
                <w:szCs w:val="30"/>
                <w:highlight w:val="none"/>
              </w:rPr>
            </w:pPr>
          </w:p>
        </w:tc>
      </w:tr>
      <w:tr w14:paraId="76C03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417C99EF">
            <w:pPr>
              <w:pStyle w:val="2"/>
              <w:keepNext/>
              <w:spacing w:line="440" w:lineRule="exact"/>
              <w:ind w:left="63" w:right="63"/>
              <w:rPr>
                <w:rFonts w:ascii="宋体" w:hAnsi="宋体" w:eastAsia="宋体" w:cs="宋体"/>
                <w:color w:val="auto"/>
                <w:sz w:val="28"/>
                <w:szCs w:val="28"/>
                <w:highlight w:val="none"/>
              </w:rPr>
            </w:pPr>
          </w:p>
        </w:tc>
        <w:tc>
          <w:tcPr>
            <w:tcW w:w="1418" w:type="dxa"/>
            <w:noWrap w:val="0"/>
            <w:vAlign w:val="center"/>
          </w:tcPr>
          <w:p w14:paraId="7A461F44">
            <w:pPr>
              <w:pStyle w:val="2"/>
              <w:keepNext/>
              <w:spacing w:line="440" w:lineRule="exact"/>
              <w:ind w:left="63" w:right="63"/>
              <w:rPr>
                <w:rFonts w:ascii="宋体" w:hAnsi="宋体" w:eastAsia="宋体" w:cs="宋体"/>
                <w:color w:val="auto"/>
                <w:sz w:val="28"/>
                <w:szCs w:val="28"/>
                <w:highlight w:val="none"/>
              </w:rPr>
            </w:pPr>
          </w:p>
        </w:tc>
        <w:tc>
          <w:tcPr>
            <w:tcW w:w="1134" w:type="dxa"/>
            <w:noWrap w:val="0"/>
            <w:vAlign w:val="center"/>
          </w:tcPr>
          <w:p w14:paraId="6AA36AE8">
            <w:pPr>
              <w:pStyle w:val="2"/>
              <w:keepNext/>
              <w:spacing w:line="440" w:lineRule="exact"/>
              <w:ind w:left="63" w:right="63"/>
              <w:rPr>
                <w:rFonts w:ascii="宋体" w:hAnsi="宋体" w:eastAsia="宋体" w:cs="宋体"/>
                <w:color w:val="auto"/>
                <w:sz w:val="30"/>
                <w:szCs w:val="30"/>
                <w:highlight w:val="none"/>
              </w:rPr>
            </w:pPr>
          </w:p>
        </w:tc>
        <w:tc>
          <w:tcPr>
            <w:tcW w:w="1134" w:type="dxa"/>
            <w:noWrap w:val="0"/>
            <w:vAlign w:val="center"/>
          </w:tcPr>
          <w:p w14:paraId="2D7BD631">
            <w:pPr>
              <w:pStyle w:val="2"/>
              <w:keepNext/>
              <w:spacing w:line="440" w:lineRule="exact"/>
              <w:ind w:left="63" w:right="63"/>
              <w:rPr>
                <w:rFonts w:ascii="宋体" w:hAnsi="宋体" w:eastAsia="宋体" w:cs="宋体"/>
                <w:color w:val="auto"/>
                <w:sz w:val="30"/>
                <w:szCs w:val="30"/>
                <w:highlight w:val="none"/>
              </w:rPr>
            </w:pPr>
          </w:p>
        </w:tc>
        <w:tc>
          <w:tcPr>
            <w:tcW w:w="4252" w:type="dxa"/>
            <w:noWrap w:val="0"/>
            <w:vAlign w:val="center"/>
          </w:tcPr>
          <w:p w14:paraId="1E09DB05">
            <w:pPr>
              <w:pStyle w:val="2"/>
              <w:keepNext/>
              <w:spacing w:line="440" w:lineRule="exact"/>
              <w:ind w:left="63" w:right="63"/>
              <w:rPr>
                <w:rFonts w:ascii="宋体" w:hAnsi="宋体" w:eastAsia="宋体" w:cs="宋体"/>
                <w:color w:val="auto"/>
                <w:sz w:val="30"/>
                <w:szCs w:val="30"/>
                <w:highlight w:val="none"/>
              </w:rPr>
            </w:pPr>
          </w:p>
        </w:tc>
      </w:tr>
      <w:tr w14:paraId="4E41B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0C457B6D">
            <w:pPr>
              <w:pStyle w:val="2"/>
              <w:keepNext/>
              <w:spacing w:line="440" w:lineRule="exact"/>
              <w:ind w:left="63" w:right="63"/>
              <w:rPr>
                <w:rFonts w:ascii="宋体" w:hAnsi="宋体" w:eastAsia="宋体" w:cs="宋体"/>
                <w:color w:val="auto"/>
                <w:sz w:val="28"/>
                <w:szCs w:val="28"/>
                <w:highlight w:val="none"/>
              </w:rPr>
            </w:pPr>
          </w:p>
        </w:tc>
        <w:tc>
          <w:tcPr>
            <w:tcW w:w="1418" w:type="dxa"/>
            <w:noWrap w:val="0"/>
            <w:vAlign w:val="center"/>
          </w:tcPr>
          <w:p w14:paraId="60B24EBB">
            <w:pPr>
              <w:pStyle w:val="2"/>
              <w:keepNext/>
              <w:spacing w:line="440" w:lineRule="exact"/>
              <w:ind w:left="63" w:right="63"/>
              <w:rPr>
                <w:rFonts w:ascii="宋体" w:hAnsi="宋体" w:eastAsia="宋体" w:cs="宋体"/>
                <w:color w:val="auto"/>
                <w:sz w:val="28"/>
                <w:szCs w:val="28"/>
                <w:highlight w:val="none"/>
              </w:rPr>
            </w:pPr>
          </w:p>
        </w:tc>
        <w:tc>
          <w:tcPr>
            <w:tcW w:w="1134" w:type="dxa"/>
            <w:noWrap w:val="0"/>
            <w:vAlign w:val="center"/>
          </w:tcPr>
          <w:p w14:paraId="78DB22E1">
            <w:pPr>
              <w:pStyle w:val="2"/>
              <w:keepNext/>
              <w:spacing w:line="440" w:lineRule="exact"/>
              <w:ind w:left="63" w:right="63"/>
              <w:rPr>
                <w:rFonts w:ascii="宋体" w:hAnsi="宋体" w:eastAsia="宋体" w:cs="宋体"/>
                <w:color w:val="auto"/>
                <w:sz w:val="30"/>
                <w:szCs w:val="30"/>
                <w:highlight w:val="none"/>
              </w:rPr>
            </w:pPr>
          </w:p>
        </w:tc>
        <w:tc>
          <w:tcPr>
            <w:tcW w:w="1134" w:type="dxa"/>
            <w:noWrap w:val="0"/>
            <w:vAlign w:val="center"/>
          </w:tcPr>
          <w:p w14:paraId="52579907">
            <w:pPr>
              <w:pStyle w:val="2"/>
              <w:keepNext/>
              <w:spacing w:line="440" w:lineRule="exact"/>
              <w:ind w:left="63" w:right="63"/>
              <w:rPr>
                <w:rFonts w:ascii="宋体" w:hAnsi="宋体" w:eastAsia="宋体" w:cs="宋体"/>
                <w:color w:val="auto"/>
                <w:sz w:val="30"/>
                <w:szCs w:val="30"/>
                <w:highlight w:val="none"/>
              </w:rPr>
            </w:pPr>
          </w:p>
        </w:tc>
        <w:tc>
          <w:tcPr>
            <w:tcW w:w="4252" w:type="dxa"/>
            <w:noWrap w:val="0"/>
            <w:vAlign w:val="center"/>
          </w:tcPr>
          <w:p w14:paraId="63BE9FC3">
            <w:pPr>
              <w:pStyle w:val="2"/>
              <w:keepNext/>
              <w:spacing w:line="440" w:lineRule="exact"/>
              <w:ind w:left="63" w:right="63"/>
              <w:rPr>
                <w:rFonts w:ascii="宋体" w:hAnsi="宋体" w:eastAsia="宋体" w:cs="宋体"/>
                <w:color w:val="auto"/>
                <w:sz w:val="30"/>
                <w:szCs w:val="30"/>
                <w:highlight w:val="none"/>
              </w:rPr>
            </w:pPr>
          </w:p>
        </w:tc>
      </w:tr>
      <w:tr w14:paraId="2B434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noWrap w:val="0"/>
            <w:vAlign w:val="center"/>
          </w:tcPr>
          <w:p w14:paraId="56CD7AEC">
            <w:pPr>
              <w:pStyle w:val="2"/>
              <w:keepNext/>
              <w:spacing w:line="440" w:lineRule="exact"/>
              <w:ind w:left="63" w:right="63"/>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二、现场人员</w:t>
            </w:r>
          </w:p>
        </w:tc>
      </w:tr>
      <w:tr w14:paraId="0F441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6F6D38DD">
            <w:pPr>
              <w:pStyle w:val="2"/>
              <w:keepNext/>
              <w:spacing w:line="440" w:lineRule="exact"/>
              <w:ind w:left="63" w:right="63"/>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项目经理</w:t>
            </w:r>
          </w:p>
        </w:tc>
        <w:tc>
          <w:tcPr>
            <w:tcW w:w="1418" w:type="dxa"/>
            <w:noWrap w:val="0"/>
            <w:vAlign w:val="center"/>
          </w:tcPr>
          <w:p w14:paraId="43B02A3C">
            <w:pPr>
              <w:pStyle w:val="2"/>
              <w:keepNext/>
              <w:spacing w:line="440" w:lineRule="exact"/>
              <w:ind w:left="63" w:right="63"/>
              <w:rPr>
                <w:rFonts w:ascii="宋体" w:hAnsi="宋体" w:eastAsia="宋体" w:cs="宋体"/>
                <w:color w:val="auto"/>
                <w:sz w:val="28"/>
                <w:szCs w:val="28"/>
                <w:highlight w:val="none"/>
              </w:rPr>
            </w:pPr>
          </w:p>
        </w:tc>
        <w:tc>
          <w:tcPr>
            <w:tcW w:w="1134" w:type="dxa"/>
            <w:noWrap w:val="0"/>
            <w:vAlign w:val="center"/>
          </w:tcPr>
          <w:p w14:paraId="022B2DDB">
            <w:pPr>
              <w:pStyle w:val="2"/>
              <w:keepNext/>
              <w:spacing w:line="440" w:lineRule="exact"/>
              <w:ind w:left="63" w:right="63"/>
              <w:rPr>
                <w:rFonts w:ascii="宋体" w:hAnsi="宋体" w:eastAsia="宋体" w:cs="宋体"/>
                <w:color w:val="auto"/>
                <w:sz w:val="30"/>
                <w:szCs w:val="30"/>
                <w:highlight w:val="none"/>
              </w:rPr>
            </w:pPr>
          </w:p>
        </w:tc>
        <w:tc>
          <w:tcPr>
            <w:tcW w:w="1134" w:type="dxa"/>
            <w:noWrap w:val="0"/>
            <w:vAlign w:val="center"/>
          </w:tcPr>
          <w:p w14:paraId="232CBDC1">
            <w:pPr>
              <w:pStyle w:val="2"/>
              <w:keepNext/>
              <w:spacing w:line="440" w:lineRule="exact"/>
              <w:ind w:left="63" w:right="63"/>
              <w:rPr>
                <w:rFonts w:ascii="宋体" w:hAnsi="宋体" w:eastAsia="宋体" w:cs="宋体"/>
                <w:color w:val="auto"/>
                <w:sz w:val="30"/>
                <w:szCs w:val="30"/>
                <w:highlight w:val="none"/>
              </w:rPr>
            </w:pPr>
          </w:p>
        </w:tc>
        <w:tc>
          <w:tcPr>
            <w:tcW w:w="4252" w:type="dxa"/>
            <w:noWrap w:val="0"/>
            <w:vAlign w:val="center"/>
          </w:tcPr>
          <w:p w14:paraId="288D7D6B">
            <w:pPr>
              <w:pStyle w:val="2"/>
              <w:keepNext/>
              <w:spacing w:line="440" w:lineRule="exact"/>
              <w:ind w:left="63" w:right="63"/>
              <w:rPr>
                <w:rFonts w:ascii="宋体" w:hAnsi="宋体" w:eastAsia="宋体" w:cs="宋体"/>
                <w:color w:val="auto"/>
                <w:sz w:val="30"/>
                <w:szCs w:val="30"/>
                <w:highlight w:val="none"/>
              </w:rPr>
            </w:pPr>
          </w:p>
        </w:tc>
      </w:tr>
      <w:tr w14:paraId="0C54C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431B9917">
            <w:pPr>
              <w:pStyle w:val="2"/>
              <w:keepNext/>
              <w:spacing w:line="440" w:lineRule="exact"/>
              <w:ind w:left="63" w:right="63"/>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项目副经理</w:t>
            </w:r>
          </w:p>
        </w:tc>
        <w:tc>
          <w:tcPr>
            <w:tcW w:w="1418" w:type="dxa"/>
            <w:noWrap w:val="0"/>
            <w:vAlign w:val="center"/>
          </w:tcPr>
          <w:p w14:paraId="316F12F7">
            <w:pPr>
              <w:pStyle w:val="2"/>
              <w:keepNext/>
              <w:spacing w:line="440" w:lineRule="exact"/>
              <w:ind w:left="63" w:right="63"/>
              <w:rPr>
                <w:rFonts w:ascii="宋体" w:hAnsi="宋体" w:eastAsia="宋体" w:cs="宋体"/>
                <w:color w:val="auto"/>
                <w:sz w:val="28"/>
                <w:szCs w:val="28"/>
                <w:highlight w:val="none"/>
              </w:rPr>
            </w:pPr>
          </w:p>
        </w:tc>
        <w:tc>
          <w:tcPr>
            <w:tcW w:w="1134" w:type="dxa"/>
            <w:noWrap w:val="0"/>
            <w:vAlign w:val="center"/>
          </w:tcPr>
          <w:p w14:paraId="6207788E">
            <w:pPr>
              <w:pStyle w:val="2"/>
              <w:keepNext/>
              <w:spacing w:line="440" w:lineRule="exact"/>
              <w:ind w:left="63" w:right="63"/>
              <w:rPr>
                <w:rFonts w:ascii="宋体" w:hAnsi="宋体" w:eastAsia="宋体" w:cs="宋体"/>
                <w:color w:val="auto"/>
                <w:sz w:val="30"/>
                <w:szCs w:val="30"/>
                <w:highlight w:val="none"/>
              </w:rPr>
            </w:pPr>
          </w:p>
        </w:tc>
        <w:tc>
          <w:tcPr>
            <w:tcW w:w="1134" w:type="dxa"/>
            <w:noWrap w:val="0"/>
            <w:vAlign w:val="center"/>
          </w:tcPr>
          <w:p w14:paraId="43468357">
            <w:pPr>
              <w:pStyle w:val="2"/>
              <w:keepNext/>
              <w:spacing w:line="440" w:lineRule="exact"/>
              <w:ind w:left="63" w:right="63"/>
              <w:rPr>
                <w:rFonts w:ascii="宋体" w:hAnsi="宋体" w:eastAsia="宋体" w:cs="宋体"/>
                <w:color w:val="auto"/>
                <w:sz w:val="30"/>
                <w:szCs w:val="30"/>
                <w:highlight w:val="none"/>
              </w:rPr>
            </w:pPr>
          </w:p>
        </w:tc>
        <w:tc>
          <w:tcPr>
            <w:tcW w:w="4252" w:type="dxa"/>
            <w:noWrap w:val="0"/>
            <w:vAlign w:val="center"/>
          </w:tcPr>
          <w:p w14:paraId="54C8492B">
            <w:pPr>
              <w:pStyle w:val="2"/>
              <w:keepNext/>
              <w:spacing w:line="440" w:lineRule="exact"/>
              <w:ind w:left="63" w:right="63"/>
              <w:rPr>
                <w:rFonts w:ascii="宋体" w:hAnsi="宋体" w:eastAsia="宋体" w:cs="宋体"/>
                <w:color w:val="auto"/>
                <w:sz w:val="30"/>
                <w:szCs w:val="30"/>
                <w:highlight w:val="none"/>
              </w:rPr>
            </w:pPr>
          </w:p>
        </w:tc>
      </w:tr>
      <w:tr w14:paraId="1E9AC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0A9C66C1">
            <w:pPr>
              <w:pStyle w:val="2"/>
              <w:keepNext/>
              <w:spacing w:line="440" w:lineRule="exact"/>
              <w:ind w:left="63" w:right="63"/>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技术负责人</w:t>
            </w:r>
          </w:p>
        </w:tc>
        <w:tc>
          <w:tcPr>
            <w:tcW w:w="1418" w:type="dxa"/>
            <w:noWrap w:val="0"/>
            <w:vAlign w:val="center"/>
          </w:tcPr>
          <w:p w14:paraId="1AE3E725">
            <w:pPr>
              <w:pStyle w:val="2"/>
              <w:keepNext/>
              <w:spacing w:line="440" w:lineRule="exact"/>
              <w:ind w:left="63" w:right="63"/>
              <w:rPr>
                <w:rFonts w:ascii="宋体" w:hAnsi="宋体" w:eastAsia="宋体" w:cs="宋体"/>
                <w:color w:val="auto"/>
                <w:sz w:val="28"/>
                <w:szCs w:val="28"/>
                <w:highlight w:val="none"/>
              </w:rPr>
            </w:pPr>
          </w:p>
        </w:tc>
        <w:tc>
          <w:tcPr>
            <w:tcW w:w="1134" w:type="dxa"/>
            <w:noWrap w:val="0"/>
            <w:vAlign w:val="center"/>
          </w:tcPr>
          <w:p w14:paraId="2D84F566">
            <w:pPr>
              <w:pStyle w:val="2"/>
              <w:keepNext/>
              <w:spacing w:line="440" w:lineRule="exact"/>
              <w:ind w:left="63" w:right="63"/>
              <w:rPr>
                <w:rFonts w:ascii="宋体" w:hAnsi="宋体" w:eastAsia="宋体" w:cs="宋体"/>
                <w:color w:val="auto"/>
                <w:sz w:val="30"/>
                <w:szCs w:val="30"/>
                <w:highlight w:val="none"/>
              </w:rPr>
            </w:pPr>
          </w:p>
        </w:tc>
        <w:tc>
          <w:tcPr>
            <w:tcW w:w="1134" w:type="dxa"/>
            <w:noWrap w:val="0"/>
            <w:vAlign w:val="center"/>
          </w:tcPr>
          <w:p w14:paraId="0C2004E5">
            <w:pPr>
              <w:pStyle w:val="2"/>
              <w:keepNext/>
              <w:spacing w:line="440" w:lineRule="exact"/>
              <w:ind w:left="63" w:right="63"/>
              <w:rPr>
                <w:rFonts w:ascii="宋体" w:hAnsi="宋体" w:eastAsia="宋体" w:cs="宋体"/>
                <w:color w:val="auto"/>
                <w:sz w:val="30"/>
                <w:szCs w:val="30"/>
                <w:highlight w:val="none"/>
              </w:rPr>
            </w:pPr>
          </w:p>
        </w:tc>
        <w:tc>
          <w:tcPr>
            <w:tcW w:w="4252" w:type="dxa"/>
            <w:noWrap w:val="0"/>
            <w:vAlign w:val="center"/>
          </w:tcPr>
          <w:p w14:paraId="5620D095">
            <w:pPr>
              <w:pStyle w:val="2"/>
              <w:keepNext/>
              <w:spacing w:line="440" w:lineRule="exact"/>
              <w:ind w:left="63" w:right="63"/>
              <w:rPr>
                <w:rFonts w:ascii="宋体" w:hAnsi="宋体" w:eastAsia="宋体" w:cs="宋体"/>
                <w:color w:val="auto"/>
                <w:sz w:val="30"/>
                <w:szCs w:val="30"/>
                <w:highlight w:val="none"/>
              </w:rPr>
            </w:pPr>
          </w:p>
        </w:tc>
      </w:tr>
      <w:tr w14:paraId="5AA4D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0157237B">
            <w:pPr>
              <w:pStyle w:val="2"/>
              <w:keepNext/>
              <w:spacing w:line="440" w:lineRule="exact"/>
              <w:ind w:left="63" w:right="63"/>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造价管理</w:t>
            </w:r>
          </w:p>
        </w:tc>
        <w:tc>
          <w:tcPr>
            <w:tcW w:w="1418" w:type="dxa"/>
            <w:noWrap w:val="0"/>
            <w:vAlign w:val="center"/>
          </w:tcPr>
          <w:p w14:paraId="48669302">
            <w:pPr>
              <w:pStyle w:val="2"/>
              <w:keepNext/>
              <w:spacing w:line="440" w:lineRule="exact"/>
              <w:ind w:left="63" w:right="63"/>
              <w:rPr>
                <w:rFonts w:ascii="宋体" w:hAnsi="宋体" w:eastAsia="宋体" w:cs="宋体"/>
                <w:color w:val="auto"/>
                <w:sz w:val="28"/>
                <w:szCs w:val="28"/>
                <w:highlight w:val="none"/>
              </w:rPr>
            </w:pPr>
          </w:p>
        </w:tc>
        <w:tc>
          <w:tcPr>
            <w:tcW w:w="1134" w:type="dxa"/>
            <w:noWrap w:val="0"/>
            <w:vAlign w:val="center"/>
          </w:tcPr>
          <w:p w14:paraId="6EC2FDAC">
            <w:pPr>
              <w:pStyle w:val="2"/>
              <w:keepNext/>
              <w:spacing w:line="440" w:lineRule="exact"/>
              <w:ind w:left="63" w:right="63"/>
              <w:rPr>
                <w:rFonts w:ascii="宋体" w:hAnsi="宋体" w:eastAsia="宋体" w:cs="宋体"/>
                <w:color w:val="auto"/>
                <w:sz w:val="30"/>
                <w:szCs w:val="30"/>
                <w:highlight w:val="none"/>
              </w:rPr>
            </w:pPr>
          </w:p>
        </w:tc>
        <w:tc>
          <w:tcPr>
            <w:tcW w:w="1134" w:type="dxa"/>
            <w:noWrap w:val="0"/>
            <w:vAlign w:val="center"/>
          </w:tcPr>
          <w:p w14:paraId="4923FED3">
            <w:pPr>
              <w:pStyle w:val="2"/>
              <w:keepNext/>
              <w:spacing w:line="440" w:lineRule="exact"/>
              <w:ind w:left="63" w:right="63"/>
              <w:rPr>
                <w:rFonts w:ascii="宋体" w:hAnsi="宋体" w:eastAsia="宋体" w:cs="宋体"/>
                <w:color w:val="auto"/>
                <w:sz w:val="30"/>
                <w:szCs w:val="30"/>
                <w:highlight w:val="none"/>
              </w:rPr>
            </w:pPr>
          </w:p>
        </w:tc>
        <w:tc>
          <w:tcPr>
            <w:tcW w:w="4252" w:type="dxa"/>
            <w:noWrap w:val="0"/>
            <w:vAlign w:val="center"/>
          </w:tcPr>
          <w:p w14:paraId="501BF947">
            <w:pPr>
              <w:pStyle w:val="2"/>
              <w:keepNext/>
              <w:spacing w:line="440" w:lineRule="exact"/>
              <w:ind w:left="63" w:right="63"/>
              <w:rPr>
                <w:rFonts w:ascii="宋体" w:hAnsi="宋体" w:eastAsia="宋体" w:cs="宋体"/>
                <w:color w:val="auto"/>
                <w:sz w:val="30"/>
                <w:szCs w:val="30"/>
                <w:highlight w:val="none"/>
              </w:rPr>
            </w:pPr>
          </w:p>
        </w:tc>
      </w:tr>
      <w:tr w14:paraId="380B9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47826D7E">
            <w:pPr>
              <w:pStyle w:val="2"/>
              <w:keepNext/>
              <w:spacing w:line="440" w:lineRule="exact"/>
              <w:ind w:left="63" w:right="63"/>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质量管理</w:t>
            </w:r>
          </w:p>
        </w:tc>
        <w:tc>
          <w:tcPr>
            <w:tcW w:w="1418" w:type="dxa"/>
            <w:noWrap w:val="0"/>
            <w:vAlign w:val="center"/>
          </w:tcPr>
          <w:p w14:paraId="113EB756">
            <w:pPr>
              <w:pStyle w:val="2"/>
              <w:keepNext/>
              <w:spacing w:line="440" w:lineRule="exact"/>
              <w:ind w:left="63" w:right="63"/>
              <w:rPr>
                <w:rFonts w:ascii="宋体" w:hAnsi="宋体" w:eastAsia="宋体" w:cs="宋体"/>
                <w:color w:val="auto"/>
                <w:sz w:val="28"/>
                <w:szCs w:val="28"/>
                <w:highlight w:val="none"/>
              </w:rPr>
            </w:pPr>
          </w:p>
        </w:tc>
        <w:tc>
          <w:tcPr>
            <w:tcW w:w="1134" w:type="dxa"/>
            <w:noWrap w:val="0"/>
            <w:vAlign w:val="center"/>
          </w:tcPr>
          <w:p w14:paraId="379F3CBF">
            <w:pPr>
              <w:pStyle w:val="2"/>
              <w:keepNext/>
              <w:spacing w:line="440" w:lineRule="exact"/>
              <w:ind w:left="63" w:right="63"/>
              <w:rPr>
                <w:rFonts w:ascii="宋体" w:hAnsi="宋体" w:eastAsia="宋体" w:cs="宋体"/>
                <w:color w:val="auto"/>
                <w:sz w:val="30"/>
                <w:szCs w:val="30"/>
                <w:highlight w:val="none"/>
              </w:rPr>
            </w:pPr>
          </w:p>
        </w:tc>
        <w:tc>
          <w:tcPr>
            <w:tcW w:w="1134" w:type="dxa"/>
            <w:noWrap w:val="0"/>
            <w:vAlign w:val="center"/>
          </w:tcPr>
          <w:p w14:paraId="7A0FD8A6">
            <w:pPr>
              <w:pStyle w:val="2"/>
              <w:keepNext/>
              <w:spacing w:line="440" w:lineRule="exact"/>
              <w:ind w:left="63" w:right="63"/>
              <w:rPr>
                <w:rFonts w:ascii="宋体" w:hAnsi="宋体" w:eastAsia="宋体" w:cs="宋体"/>
                <w:color w:val="auto"/>
                <w:sz w:val="30"/>
                <w:szCs w:val="30"/>
                <w:highlight w:val="none"/>
              </w:rPr>
            </w:pPr>
          </w:p>
        </w:tc>
        <w:tc>
          <w:tcPr>
            <w:tcW w:w="4252" w:type="dxa"/>
            <w:noWrap w:val="0"/>
            <w:vAlign w:val="center"/>
          </w:tcPr>
          <w:p w14:paraId="2E0EAE07">
            <w:pPr>
              <w:pStyle w:val="2"/>
              <w:keepNext/>
              <w:spacing w:line="440" w:lineRule="exact"/>
              <w:ind w:left="63" w:right="63"/>
              <w:rPr>
                <w:rFonts w:ascii="宋体" w:hAnsi="宋体" w:eastAsia="宋体" w:cs="宋体"/>
                <w:color w:val="auto"/>
                <w:sz w:val="30"/>
                <w:szCs w:val="30"/>
                <w:highlight w:val="none"/>
              </w:rPr>
            </w:pPr>
          </w:p>
        </w:tc>
      </w:tr>
      <w:tr w14:paraId="1D110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333D6D11">
            <w:pPr>
              <w:pStyle w:val="2"/>
              <w:keepNext/>
              <w:spacing w:line="440" w:lineRule="exact"/>
              <w:ind w:left="63" w:right="63"/>
              <w:rPr>
                <w:rFonts w:ascii="宋体" w:hAnsi="宋体" w:eastAsia="宋体" w:cs="宋体"/>
                <w:color w:val="auto"/>
                <w:sz w:val="28"/>
                <w:szCs w:val="28"/>
                <w:highlight w:val="none"/>
              </w:rPr>
            </w:pPr>
          </w:p>
        </w:tc>
        <w:tc>
          <w:tcPr>
            <w:tcW w:w="1418" w:type="dxa"/>
            <w:noWrap w:val="0"/>
            <w:vAlign w:val="center"/>
          </w:tcPr>
          <w:p w14:paraId="59C73706">
            <w:pPr>
              <w:pStyle w:val="2"/>
              <w:keepNext/>
              <w:spacing w:line="440" w:lineRule="exact"/>
              <w:ind w:left="63" w:right="63"/>
              <w:rPr>
                <w:rFonts w:ascii="宋体" w:hAnsi="宋体" w:eastAsia="宋体" w:cs="宋体"/>
                <w:color w:val="auto"/>
                <w:sz w:val="28"/>
                <w:szCs w:val="28"/>
                <w:highlight w:val="none"/>
              </w:rPr>
            </w:pPr>
          </w:p>
        </w:tc>
        <w:tc>
          <w:tcPr>
            <w:tcW w:w="1134" w:type="dxa"/>
            <w:noWrap w:val="0"/>
            <w:vAlign w:val="center"/>
          </w:tcPr>
          <w:p w14:paraId="3CC04C11">
            <w:pPr>
              <w:pStyle w:val="2"/>
              <w:keepNext/>
              <w:spacing w:line="440" w:lineRule="exact"/>
              <w:ind w:left="63" w:right="63"/>
              <w:rPr>
                <w:rFonts w:ascii="宋体" w:hAnsi="宋体" w:eastAsia="宋体" w:cs="宋体"/>
                <w:color w:val="auto"/>
                <w:sz w:val="30"/>
                <w:szCs w:val="30"/>
                <w:highlight w:val="none"/>
              </w:rPr>
            </w:pPr>
          </w:p>
        </w:tc>
        <w:tc>
          <w:tcPr>
            <w:tcW w:w="1134" w:type="dxa"/>
            <w:noWrap w:val="0"/>
            <w:vAlign w:val="center"/>
          </w:tcPr>
          <w:p w14:paraId="1F68246C">
            <w:pPr>
              <w:pStyle w:val="2"/>
              <w:keepNext/>
              <w:spacing w:line="440" w:lineRule="exact"/>
              <w:ind w:left="63" w:right="63"/>
              <w:rPr>
                <w:rFonts w:ascii="宋体" w:hAnsi="宋体" w:eastAsia="宋体" w:cs="宋体"/>
                <w:color w:val="auto"/>
                <w:sz w:val="30"/>
                <w:szCs w:val="30"/>
                <w:highlight w:val="none"/>
              </w:rPr>
            </w:pPr>
          </w:p>
        </w:tc>
        <w:tc>
          <w:tcPr>
            <w:tcW w:w="4252" w:type="dxa"/>
            <w:noWrap w:val="0"/>
            <w:vAlign w:val="center"/>
          </w:tcPr>
          <w:p w14:paraId="5F63BE74">
            <w:pPr>
              <w:pStyle w:val="2"/>
              <w:keepNext/>
              <w:spacing w:line="440" w:lineRule="exact"/>
              <w:ind w:left="63" w:right="63"/>
              <w:rPr>
                <w:rFonts w:ascii="宋体" w:hAnsi="宋体" w:eastAsia="宋体" w:cs="宋体"/>
                <w:color w:val="auto"/>
                <w:sz w:val="30"/>
                <w:szCs w:val="30"/>
                <w:highlight w:val="none"/>
              </w:rPr>
            </w:pPr>
          </w:p>
        </w:tc>
      </w:tr>
      <w:tr w14:paraId="17608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60FEC606">
            <w:pPr>
              <w:pStyle w:val="2"/>
              <w:keepNext/>
              <w:spacing w:line="440" w:lineRule="exact"/>
              <w:ind w:left="63" w:right="63"/>
              <w:rPr>
                <w:rFonts w:ascii="宋体" w:hAnsi="宋体" w:eastAsia="宋体" w:cs="宋体"/>
                <w:color w:val="auto"/>
                <w:sz w:val="28"/>
                <w:szCs w:val="28"/>
                <w:highlight w:val="none"/>
              </w:rPr>
            </w:pPr>
          </w:p>
        </w:tc>
        <w:tc>
          <w:tcPr>
            <w:tcW w:w="1418" w:type="dxa"/>
            <w:noWrap w:val="0"/>
            <w:vAlign w:val="center"/>
          </w:tcPr>
          <w:p w14:paraId="64F6E63E">
            <w:pPr>
              <w:pStyle w:val="2"/>
              <w:keepNext/>
              <w:spacing w:line="440" w:lineRule="exact"/>
              <w:ind w:left="63" w:right="63"/>
              <w:rPr>
                <w:rFonts w:ascii="宋体" w:hAnsi="宋体" w:eastAsia="宋体" w:cs="宋体"/>
                <w:color w:val="auto"/>
                <w:sz w:val="28"/>
                <w:szCs w:val="28"/>
                <w:highlight w:val="none"/>
              </w:rPr>
            </w:pPr>
          </w:p>
        </w:tc>
        <w:tc>
          <w:tcPr>
            <w:tcW w:w="1134" w:type="dxa"/>
            <w:noWrap w:val="0"/>
            <w:vAlign w:val="center"/>
          </w:tcPr>
          <w:p w14:paraId="7CA56C01">
            <w:pPr>
              <w:pStyle w:val="2"/>
              <w:keepNext/>
              <w:spacing w:line="440" w:lineRule="exact"/>
              <w:ind w:left="63" w:right="63"/>
              <w:rPr>
                <w:rFonts w:ascii="宋体" w:hAnsi="宋体" w:eastAsia="宋体" w:cs="宋体"/>
                <w:color w:val="auto"/>
                <w:sz w:val="30"/>
                <w:szCs w:val="30"/>
                <w:highlight w:val="none"/>
              </w:rPr>
            </w:pPr>
          </w:p>
        </w:tc>
        <w:tc>
          <w:tcPr>
            <w:tcW w:w="1134" w:type="dxa"/>
            <w:noWrap w:val="0"/>
            <w:vAlign w:val="center"/>
          </w:tcPr>
          <w:p w14:paraId="408AC784">
            <w:pPr>
              <w:pStyle w:val="2"/>
              <w:keepNext/>
              <w:spacing w:line="440" w:lineRule="exact"/>
              <w:ind w:left="63" w:right="63"/>
              <w:rPr>
                <w:rFonts w:ascii="宋体" w:hAnsi="宋体" w:eastAsia="宋体" w:cs="宋体"/>
                <w:color w:val="auto"/>
                <w:sz w:val="30"/>
                <w:szCs w:val="30"/>
                <w:highlight w:val="none"/>
              </w:rPr>
            </w:pPr>
          </w:p>
        </w:tc>
        <w:tc>
          <w:tcPr>
            <w:tcW w:w="4252" w:type="dxa"/>
            <w:noWrap w:val="0"/>
            <w:vAlign w:val="center"/>
          </w:tcPr>
          <w:p w14:paraId="3B08D1A3">
            <w:pPr>
              <w:pStyle w:val="2"/>
              <w:keepNext/>
              <w:spacing w:line="440" w:lineRule="exact"/>
              <w:ind w:left="63" w:right="63"/>
              <w:rPr>
                <w:rFonts w:ascii="宋体" w:hAnsi="宋体" w:eastAsia="宋体" w:cs="宋体"/>
                <w:color w:val="auto"/>
                <w:sz w:val="30"/>
                <w:szCs w:val="30"/>
                <w:highlight w:val="none"/>
              </w:rPr>
            </w:pPr>
          </w:p>
        </w:tc>
      </w:tr>
      <w:tr w14:paraId="21D2B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4028AFAB">
            <w:pPr>
              <w:pStyle w:val="2"/>
              <w:keepNext/>
              <w:spacing w:line="440" w:lineRule="exact"/>
              <w:ind w:left="63" w:right="63"/>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材料管理</w:t>
            </w:r>
          </w:p>
        </w:tc>
        <w:tc>
          <w:tcPr>
            <w:tcW w:w="1418" w:type="dxa"/>
            <w:noWrap w:val="0"/>
            <w:vAlign w:val="center"/>
          </w:tcPr>
          <w:p w14:paraId="08C5CAF2">
            <w:pPr>
              <w:pStyle w:val="2"/>
              <w:keepNext/>
              <w:spacing w:line="440" w:lineRule="exact"/>
              <w:ind w:left="63" w:right="63"/>
              <w:rPr>
                <w:rFonts w:ascii="宋体" w:hAnsi="宋体" w:eastAsia="宋体" w:cs="宋体"/>
                <w:color w:val="auto"/>
                <w:sz w:val="28"/>
                <w:szCs w:val="28"/>
                <w:highlight w:val="none"/>
              </w:rPr>
            </w:pPr>
          </w:p>
        </w:tc>
        <w:tc>
          <w:tcPr>
            <w:tcW w:w="1134" w:type="dxa"/>
            <w:noWrap w:val="0"/>
            <w:vAlign w:val="center"/>
          </w:tcPr>
          <w:p w14:paraId="7BE058D2">
            <w:pPr>
              <w:pStyle w:val="2"/>
              <w:keepNext/>
              <w:spacing w:line="440" w:lineRule="exact"/>
              <w:ind w:left="63" w:right="63"/>
              <w:rPr>
                <w:rFonts w:ascii="宋体" w:hAnsi="宋体" w:eastAsia="宋体" w:cs="宋体"/>
                <w:color w:val="auto"/>
                <w:sz w:val="30"/>
                <w:szCs w:val="30"/>
                <w:highlight w:val="none"/>
              </w:rPr>
            </w:pPr>
          </w:p>
        </w:tc>
        <w:tc>
          <w:tcPr>
            <w:tcW w:w="1134" w:type="dxa"/>
            <w:noWrap w:val="0"/>
            <w:vAlign w:val="center"/>
          </w:tcPr>
          <w:p w14:paraId="5A286C5D">
            <w:pPr>
              <w:pStyle w:val="2"/>
              <w:keepNext/>
              <w:spacing w:line="440" w:lineRule="exact"/>
              <w:ind w:left="63" w:right="63"/>
              <w:rPr>
                <w:rFonts w:ascii="宋体" w:hAnsi="宋体" w:eastAsia="宋体" w:cs="宋体"/>
                <w:color w:val="auto"/>
                <w:sz w:val="30"/>
                <w:szCs w:val="30"/>
                <w:highlight w:val="none"/>
              </w:rPr>
            </w:pPr>
          </w:p>
        </w:tc>
        <w:tc>
          <w:tcPr>
            <w:tcW w:w="4252" w:type="dxa"/>
            <w:noWrap w:val="0"/>
            <w:vAlign w:val="center"/>
          </w:tcPr>
          <w:p w14:paraId="7FB26AC9">
            <w:pPr>
              <w:pStyle w:val="2"/>
              <w:keepNext/>
              <w:spacing w:line="440" w:lineRule="exact"/>
              <w:ind w:left="63" w:right="63"/>
              <w:rPr>
                <w:rFonts w:ascii="宋体" w:hAnsi="宋体" w:eastAsia="宋体" w:cs="宋体"/>
                <w:color w:val="auto"/>
                <w:sz w:val="30"/>
                <w:szCs w:val="30"/>
                <w:highlight w:val="none"/>
              </w:rPr>
            </w:pPr>
          </w:p>
        </w:tc>
      </w:tr>
      <w:tr w14:paraId="1C1AB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6FD939E7">
            <w:pPr>
              <w:pStyle w:val="2"/>
              <w:keepNext/>
              <w:spacing w:line="440" w:lineRule="exact"/>
              <w:ind w:left="63" w:right="63"/>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计划管理</w:t>
            </w:r>
          </w:p>
        </w:tc>
        <w:tc>
          <w:tcPr>
            <w:tcW w:w="1418" w:type="dxa"/>
            <w:noWrap w:val="0"/>
            <w:vAlign w:val="center"/>
          </w:tcPr>
          <w:p w14:paraId="6E4ED89C">
            <w:pPr>
              <w:pStyle w:val="2"/>
              <w:keepNext/>
              <w:spacing w:line="440" w:lineRule="exact"/>
              <w:ind w:left="63" w:right="63"/>
              <w:rPr>
                <w:rFonts w:ascii="宋体" w:hAnsi="宋体" w:eastAsia="宋体" w:cs="宋体"/>
                <w:color w:val="auto"/>
                <w:sz w:val="28"/>
                <w:szCs w:val="28"/>
                <w:highlight w:val="none"/>
              </w:rPr>
            </w:pPr>
          </w:p>
        </w:tc>
        <w:tc>
          <w:tcPr>
            <w:tcW w:w="1134" w:type="dxa"/>
            <w:noWrap w:val="0"/>
            <w:vAlign w:val="center"/>
          </w:tcPr>
          <w:p w14:paraId="0770472D">
            <w:pPr>
              <w:pStyle w:val="2"/>
              <w:keepNext/>
              <w:spacing w:line="440" w:lineRule="exact"/>
              <w:ind w:left="63" w:right="63"/>
              <w:rPr>
                <w:rFonts w:ascii="宋体" w:hAnsi="宋体" w:eastAsia="宋体" w:cs="宋体"/>
                <w:color w:val="auto"/>
                <w:sz w:val="30"/>
                <w:szCs w:val="30"/>
                <w:highlight w:val="none"/>
              </w:rPr>
            </w:pPr>
          </w:p>
        </w:tc>
        <w:tc>
          <w:tcPr>
            <w:tcW w:w="1134" w:type="dxa"/>
            <w:noWrap w:val="0"/>
            <w:vAlign w:val="center"/>
          </w:tcPr>
          <w:p w14:paraId="089F1FDE">
            <w:pPr>
              <w:pStyle w:val="2"/>
              <w:keepNext/>
              <w:spacing w:line="440" w:lineRule="exact"/>
              <w:ind w:left="63" w:right="63"/>
              <w:rPr>
                <w:rFonts w:ascii="宋体" w:hAnsi="宋体" w:eastAsia="宋体" w:cs="宋体"/>
                <w:color w:val="auto"/>
                <w:sz w:val="30"/>
                <w:szCs w:val="30"/>
                <w:highlight w:val="none"/>
              </w:rPr>
            </w:pPr>
          </w:p>
        </w:tc>
        <w:tc>
          <w:tcPr>
            <w:tcW w:w="4252" w:type="dxa"/>
            <w:noWrap w:val="0"/>
            <w:vAlign w:val="center"/>
          </w:tcPr>
          <w:p w14:paraId="58F2448E">
            <w:pPr>
              <w:pStyle w:val="2"/>
              <w:keepNext/>
              <w:spacing w:line="440" w:lineRule="exact"/>
              <w:ind w:left="63" w:right="63"/>
              <w:rPr>
                <w:rFonts w:ascii="宋体" w:hAnsi="宋体" w:eastAsia="宋体" w:cs="宋体"/>
                <w:color w:val="auto"/>
                <w:sz w:val="30"/>
                <w:szCs w:val="30"/>
                <w:highlight w:val="none"/>
              </w:rPr>
            </w:pPr>
          </w:p>
        </w:tc>
      </w:tr>
      <w:tr w14:paraId="19E54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74D49E19">
            <w:pPr>
              <w:pStyle w:val="2"/>
              <w:keepNext/>
              <w:spacing w:line="440" w:lineRule="exact"/>
              <w:ind w:left="63" w:right="63"/>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安全管理</w:t>
            </w:r>
          </w:p>
        </w:tc>
        <w:tc>
          <w:tcPr>
            <w:tcW w:w="1418" w:type="dxa"/>
            <w:noWrap w:val="0"/>
            <w:vAlign w:val="center"/>
          </w:tcPr>
          <w:p w14:paraId="3F36F1B6">
            <w:pPr>
              <w:pStyle w:val="2"/>
              <w:keepNext/>
              <w:spacing w:line="440" w:lineRule="exact"/>
              <w:ind w:left="63" w:right="63"/>
              <w:rPr>
                <w:rFonts w:ascii="宋体" w:hAnsi="宋体" w:eastAsia="宋体" w:cs="宋体"/>
                <w:color w:val="auto"/>
                <w:sz w:val="28"/>
                <w:szCs w:val="28"/>
                <w:highlight w:val="none"/>
              </w:rPr>
            </w:pPr>
          </w:p>
        </w:tc>
        <w:tc>
          <w:tcPr>
            <w:tcW w:w="1134" w:type="dxa"/>
            <w:noWrap w:val="0"/>
            <w:vAlign w:val="center"/>
          </w:tcPr>
          <w:p w14:paraId="23E03BDA">
            <w:pPr>
              <w:pStyle w:val="2"/>
              <w:keepNext/>
              <w:spacing w:line="440" w:lineRule="exact"/>
              <w:ind w:left="63" w:right="63"/>
              <w:rPr>
                <w:rFonts w:ascii="宋体" w:hAnsi="宋体" w:eastAsia="宋体" w:cs="宋体"/>
                <w:color w:val="auto"/>
                <w:sz w:val="30"/>
                <w:szCs w:val="30"/>
                <w:highlight w:val="none"/>
              </w:rPr>
            </w:pPr>
          </w:p>
        </w:tc>
        <w:tc>
          <w:tcPr>
            <w:tcW w:w="1134" w:type="dxa"/>
            <w:noWrap w:val="0"/>
            <w:vAlign w:val="center"/>
          </w:tcPr>
          <w:p w14:paraId="3489A629">
            <w:pPr>
              <w:pStyle w:val="2"/>
              <w:keepNext/>
              <w:spacing w:line="440" w:lineRule="exact"/>
              <w:ind w:left="63" w:right="63"/>
              <w:rPr>
                <w:rFonts w:ascii="宋体" w:hAnsi="宋体" w:eastAsia="宋体" w:cs="宋体"/>
                <w:color w:val="auto"/>
                <w:sz w:val="30"/>
                <w:szCs w:val="30"/>
                <w:highlight w:val="none"/>
              </w:rPr>
            </w:pPr>
          </w:p>
        </w:tc>
        <w:tc>
          <w:tcPr>
            <w:tcW w:w="4252" w:type="dxa"/>
            <w:noWrap w:val="0"/>
            <w:vAlign w:val="center"/>
          </w:tcPr>
          <w:p w14:paraId="128CC5B2">
            <w:pPr>
              <w:pStyle w:val="2"/>
              <w:keepNext/>
              <w:spacing w:line="440" w:lineRule="exact"/>
              <w:ind w:left="63" w:right="63"/>
              <w:rPr>
                <w:rFonts w:ascii="宋体" w:hAnsi="宋体" w:eastAsia="宋体" w:cs="宋体"/>
                <w:color w:val="auto"/>
                <w:sz w:val="30"/>
                <w:szCs w:val="30"/>
                <w:highlight w:val="none"/>
              </w:rPr>
            </w:pPr>
          </w:p>
        </w:tc>
      </w:tr>
      <w:tr w14:paraId="26757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7C274CC4">
            <w:pPr>
              <w:pStyle w:val="2"/>
              <w:keepNext/>
              <w:spacing w:line="440" w:lineRule="exact"/>
              <w:ind w:left="63" w:right="63"/>
              <w:rPr>
                <w:rFonts w:ascii="宋体" w:hAnsi="宋体" w:eastAsia="宋体" w:cs="宋体"/>
                <w:color w:val="auto"/>
                <w:sz w:val="28"/>
                <w:szCs w:val="28"/>
                <w:highlight w:val="none"/>
              </w:rPr>
            </w:pPr>
          </w:p>
        </w:tc>
        <w:tc>
          <w:tcPr>
            <w:tcW w:w="1418" w:type="dxa"/>
            <w:noWrap w:val="0"/>
            <w:vAlign w:val="center"/>
          </w:tcPr>
          <w:p w14:paraId="43B9B43F">
            <w:pPr>
              <w:pStyle w:val="2"/>
              <w:keepNext/>
              <w:spacing w:line="440" w:lineRule="exact"/>
              <w:ind w:left="63" w:right="63"/>
              <w:rPr>
                <w:rFonts w:ascii="宋体" w:hAnsi="宋体" w:eastAsia="宋体" w:cs="宋体"/>
                <w:color w:val="auto"/>
                <w:sz w:val="28"/>
                <w:szCs w:val="28"/>
                <w:highlight w:val="none"/>
              </w:rPr>
            </w:pPr>
          </w:p>
        </w:tc>
        <w:tc>
          <w:tcPr>
            <w:tcW w:w="1134" w:type="dxa"/>
            <w:noWrap w:val="0"/>
            <w:vAlign w:val="center"/>
          </w:tcPr>
          <w:p w14:paraId="30635E9B">
            <w:pPr>
              <w:pStyle w:val="2"/>
              <w:keepNext/>
              <w:spacing w:line="440" w:lineRule="exact"/>
              <w:ind w:left="63" w:right="63"/>
              <w:rPr>
                <w:rFonts w:ascii="宋体" w:hAnsi="宋体" w:eastAsia="宋体" w:cs="宋体"/>
                <w:color w:val="auto"/>
                <w:sz w:val="30"/>
                <w:szCs w:val="30"/>
                <w:highlight w:val="none"/>
              </w:rPr>
            </w:pPr>
          </w:p>
        </w:tc>
        <w:tc>
          <w:tcPr>
            <w:tcW w:w="1134" w:type="dxa"/>
            <w:noWrap w:val="0"/>
            <w:vAlign w:val="center"/>
          </w:tcPr>
          <w:p w14:paraId="63D8A31A">
            <w:pPr>
              <w:pStyle w:val="2"/>
              <w:keepNext/>
              <w:spacing w:line="440" w:lineRule="exact"/>
              <w:ind w:left="63" w:right="63"/>
              <w:rPr>
                <w:rFonts w:ascii="宋体" w:hAnsi="宋体" w:eastAsia="宋体" w:cs="宋体"/>
                <w:color w:val="auto"/>
                <w:sz w:val="30"/>
                <w:szCs w:val="30"/>
                <w:highlight w:val="none"/>
              </w:rPr>
            </w:pPr>
          </w:p>
        </w:tc>
        <w:tc>
          <w:tcPr>
            <w:tcW w:w="4252" w:type="dxa"/>
            <w:noWrap w:val="0"/>
            <w:vAlign w:val="center"/>
          </w:tcPr>
          <w:p w14:paraId="71788A73">
            <w:pPr>
              <w:pStyle w:val="2"/>
              <w:keepNext/>
              <w:spacing w:line="440" w:lineRule="exact"/>
              <w:ind w:left="63" w:right="63"/>
              <w:rPr>
                <w:rFonts w:ascii="宋体" w:hAnsi="宋体" w:eastAsia="宋体" w:cs="宋体"/>
                <w:color w:val="auto"/>
                <w:sz w:val="30"/>
                <w:szCs w:val="30"/>
                <w:highlight w:val="none"/>
              </w:rPr>
            </w:pPr>
          </w:p>
        </w:tc>
      </w:tr>
      <w:tr w14:paraId="707B5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29C24893">
            <w:pPr>
              <w:pStyle w:val="2"/>
              <w:keepNext/>
              <w:spacing w:line="440" w:lineRule="exact"/>
              <w:ind w:left="63" w:right="63"/>
              <w:rPr>
                <w:rFonts w:ascii="宋体" w:hAnsi="宋体" w:eastAsia="宋体" w:cs="宋体"/>
                <w:color w:val="auto"/>
                <w:sz w:val="28"/>
                <w:szCs w:val="28"/>
                <w:highlight w:val="none"/>
              </w:rPr>
            </w:pPr>
          </w:p>
        </w:tc>
        <w:tc>
          <w:tcPr>
            <w:tcW w:w="1418" w:type="dxa"/>
            <w:noWrap w:val="0"/>
            <w:vAlign w:val="center"/>
          </w:tcPr>
          <w:p w14:paraId="7B1F72ED">
            <w:pPr>
              <w:pStyle w:val="2"/>
              <w:keepNext/>
              <w:spacing w:line="440" w:lineRule="exact"/>
              <w:ind w:left="63" w:right="63"/>
              <w:rPr>
                <w:rFonts w:ascii="宋体" w:hAnsi="宋体" w:eastAsia="宋体" w:cs="宋体"/>
                <w:color w:val="auto"/>
                <w:sz w:val="28"/>
                <w:szCs w:val="28"/>
                <w:highlight w:val="none"/>
              </w:rPr>
            </w:pPr>
          </w:p>
        </w:tc>
        <w:tc>
          <w:tcPr>
            <w:tcW w:w="1134" w:type="dxa"/>
            <w:noWrap w:val="0"/>
            <w:vAlign w:val="center"/>
          </w:tcPr>
          <w:p w14:paraId="1C522D84">
            <w:pPr>
              <w:pStyle w:val="2"/>
              <w:keepNext/>
              <w:spacing w:line="440" w:lineRule="exact"/>
              <w:ind w:left="63" w:right="63"/>
              <w:rPr>
                <w:rFonts w:ascii="宋体" w:hAnsi="宋体" w:eastAsia="宋体" w:cs="宋体"/>
                <w:color w:val="auto"/>
                <w:sz w:val="30"/>
                <w:szCs w:val="30"/>
                <w:highlight w:val="none"/>
              </w:rPr>
            </w:pPr>
          </w:p>
        </w:tc>
        <w:tc>
          <w:tcPr>
            <w:tcW w:w="1134" w:type="dxa"/>
            <w:noWrap w:val="0"/>
            <w:vAlign w:val="center"/>
          </w:tcPr>
          <w:p w14:paraId="0FC73494">
            <w:pPr>
              <w:pStyle w:val="2"/>
              <w:keepNext/>
              <w:spacing w:line="440" w:lineRule="exact"/>
              <w:ind w:left="63" w:right="63"/>
              <w:rPr>
                <w:rFonts w:ascii="宋体" w:hAnsi="宋体" w:eastAsia="宋体" w:cs="宋体"/>
                <w:color w:val="auto"/>
                <w:sz w:val="30"/>
                <w:szCs w:val="30"/>
                <w:highlight w:val="none"/>
              </w:rPr>
            </w:pPr>
          </w:p>
        </w:tc>
        <w:tc>
          <w:tcPr>
            <w:tcW w:w="4252" w:type="dxa"/>
            <w:noWrap w:val="0"/>
            <w:vAlign w:val="center"/>
          </w:tcPr>
          <w:p w14:paraId="63B88859">
            <w:pPr>
              <w:pStyle w:val="2"/>
              <w:keepNext/>
              <w:spacing w:line="440" w:lineRule="exact"/>
              <w:ind w:left="63" w:right="63"/>
              <w:rPr>
                <w:rFonts w:ascii="宋体" w:hAnsi="宋体" w:eastAsia="宋体" w:cs="宋体"/>
                <w:color w:val="auto"/>
                <w:sz w:val="30"/>
                <w:szCs w:val="30"/>
                <w:highlight w:val="none"/>
              </w:rPr>
            </w:pPr>
          </w:p>
        </w:tc>
      </w:tr>
      <w:tr w14:paraId="748A9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12764888">
            <w:pPr>
              <w:pStyle w:val="2"/>
              <w:keepNext/>
              <w:spacing w:line="440" w:lineRule="exact"/>
              <w:ind w:left="63" w:right="63"/>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其他人员</w:t>
            </w:r>
          </w:p>
        </w:tc>
        <w:tc>
          <w:tcPr>
            <w:tcW w:w="1418" w:type="dxa"/>
            <w:noWrap w:val="0"/>
            <w:vAlign w:val="center"/>
          </w:tcPr>
          <w:p w14:paraId="75382880">
            <w:pPr>
              <w:pStyle w:val="2"/>
              <w:keepNext/>
              <w:spacing w:line="440" w:lineRule="exact"/>
              <w:ind w:left="63" w:right="63"/>
              <w:rPr>
                <w:rFonts w:ascii="宋体" w:hAnsi="宋体" w:eastAsia="宋体" w:cs="宋体"/>
                <w:color w:val="auto"/>
                <w:sz w:val="28"/>
                <w:szCs w:val="28"/>
                <w:highlight w:val="none"/>
              </w:rPr>
            </w:pPr>
          </w:p>
        </w:tc>
        <w:tc>
          <w:tcPr>
            <w:tcW w:w="1134" w:type="dxa"/>
            <w:noWrap w:val="0"/>
            <w:vAlign w:val="center"/>
          </w:tcPr>
          <w:p w14:paraId="68D1E6CF">
            <w:pPr>
              <w:pStyle w:val="2"/>
              <w:keepNext/>
              <w:spacing w:line="440" w:lineRule="exact"/>
              <w:ind w:left="63" w:right="63"/>
              <w:rPr>
                <w:rFonts w:ascii="宋体" w:hAnsi="宋体" w:eastAsia="宋体" w:cs="宋体"/>
                <w:color w:val="auto"/>
                <w:sz w:val="30"/>
                <w:szCs w:val="30"/>
                <w:highlight w:val="none"/>
              </w:rPr>
            </w:pPr>
          </w:p>
        </w:tc>
        <w:tc>
          <w:tcPr>
            <w:tcW w:w="1134" w:type="dxa"/>
            <w:noWrap w:val="0"/>
            <w:vAlign w:val="center"/>
          </w:tcPr>
          <w:p w14:paraId="4D8783A1">
            <w:pPr>
              <w:pStyle w:val="2"/>
              <w:keepNext/>
              <w:spacing w:line="440" w:lineRule="exact"/>
              <w:ind w:left="63" w:right="63"/>
              <w:rPr>
                <w:rFonts w:ascii="宋体" w:hAnsi="宋体" w:eastAsia="宋体" w:cs="宋体"/>
                <w:color w:val="auto"/>
                <w:sz w:val="30"/>
                <w:szCs w:val="30"/>
                <w:highlight w:val="none"/>
              </w:rPr>
            </w:pPr>
          </w:p>
        </w:tc>
        <w:tc>
          <w:tcPr>
            <w:tcW w:w="4252" w:type="dxa"/>
            <w:noWrap w:val="0"/>
            <w:vAlign w:val="center"/>
          </w:tcPr>
          <w:p w14:paraId="1FFB5E47">
            <w:pPr>
              <w:pStyle w:val="2"/>
              <w:keepNext/>
              <w:spacing w:line="440" w:lineRule="exact"/>
              <w:ind w:left="63" w:right="63"/>
              <w:rPr>
                <w:rFonts w:ascii="宋体" w:hAnsi="宋体" w:eastAsia="宋体" w:cs="宋体"/>
                <w:color w:val="auto"/>
                <w:sz w:val="30"/>
                <w:szCs w:val="30"/>
                <w:highlight w:val="none"/>
              </w:rPr>
            </w:pPr>
          </w:p>
        </w:tc>
      </w:tr>
      <w:tr w14:paraId="46273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21DCB268">
            <w:pPr>
              <w:pStyle w:val="2"/>
              <w:keepNext/>
              <w:spacing w:line="440" w:lineRule="exact"/>
              <w:ind w:left="63" w:right="63"/>
              <w:rPr>
                <w:rFonts w:ascii="宋体" w:hAnsi="宋体" w:eastAsia="宋体" w:cs="宋体"/>
                <w:color w:val="auto"/>
                <w:sz w:val="28"/>
                <w:szCs w:val="28"/>
                <w:highlight w:val="none"/>
              </w:rPr>
            </w:pPr>
          </w:p>
        </w:tc>
        <w:tc>
          <w:tcPr>
            <w:tcW w:w="1418" w:type="dxa"/>
            <w:noWrap w:val="0"/>
            <w:vAlign w:val="center"/>
          </w:tcPr>
          <w:p w14:paraId="2E57A247">
            <w:pPr>
              <w:pStyle w:val="2"/>
              <w:keepNext/>
              <w:spacing w:line="440" w:lineRule="exact"/>
              <w:ind w:left="63" w:right="63"/>
              <w:rPr>
                <w:rFonts w:ascii="宋体" w:hAnsi="宋体" w:eastAsia="宋体" w:cs="宋体"/>
                <w:color w:val="auto"/>
                <w:sz w:val="28"/>
                <w:szCs w:val="28"/>
                <w:highlight w:val="none"/>
              </w:rPr>
            </w:pPr>
          </w:p>
        </w:tc>
        <w:tc>
          <w:tcPr>
            <w:tcW w:w="1134" w:type="dxa"/>
            <w:noWrap w:val="0"/>
            <w:vAlign w:val="center"/>
          </w:tcPr>
          <w:p w14:paraId="41865E88">
            <w:pPr>
              <w:pStyle w:val="2"/>
              <w:keepNext/>
              <w:spacing w:line="440" w:lineRule="exact"/>
              <w:ind w:left="63" w:right="63"/>
              <w:rPr>
                <w:rFonts w:ascii="宋体" w:hAnsi="宋体" w:eastAsia="宋体" w:cs="宋体"/>
                <w:color w:val="auto"/>
                <w:sz w:val="30"/>
                <w:szCs w:val="30"/>
                <w:highlight w:val="none"/>
              </w:rPr>
            </w:pPr>
          </w:p>
        </w:tc>
        <w:tc>
          <w:tcPr>
            <w:tcW w:w="1134" w:type="dxa"/>
            <w:noWrap w:val="0"/>
            <w:vAlign w:val="center"/>
          </w:tcPr>
          <w:p w14:paraId="04349A3B">
            <w:pPr>
              <w:pStyle w:val="2"/>
              <w:keepNext/>
              <w:spacing w:line="440" w:lineRule="exact"/>
              <w:ind w:left="63" w:right="63"/>
              <w:rPr>
                <w:rFonts w:ascii="宋体" w:hAnsi="宋体" w:eastAsia="宋体" w:cs="宋体"/>
                <w:color w:val="auto"/>
                <w:sz w:val="30"/>
                <w:szCs w:val="30"/>
                <w:highlight w:val="none"/>
              </w:rPr>
            </w:pPr>
          </w:p>
        </w:tc>
        <w:tc>
          <w:tcPr>
            <w:tcW w:w="4252" w:type="dxa"/>
            <w:noWrap w:val="0"/>
            <w:vAlign w:val="center"/>
          </w:tcPr>
          <w:p w14:paraId="0AA0C982">
            <w:pPr>
              <w:pStyle w:val="2"/>
              <w:keepNext/>
              <w:spacing w:line="440" w:lineRule="exact"/>
              <w:ind w:left="63" w:right="63"/>
              <w:rPr>
                <w:rFonts w:ascii="宋体" w:hAnsi="宋体" w:eastAsia="宋体" w:cs="宋体"/>
                <w:color w:val="auto"/>
                <w:sz w:val="30"/>
                <w:szCs w:val="30"/>
                <w:highlight w:val="none"/>
              </w:rPr>
            </w:pPr>
          </w:p>
        </w:tc>
      </w:tr>
      <w:tr w14:paraId="3A408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1263B957">
            <w:pPr>
              <w:pStyle w:val="2"/>
              <w:keepNext/>
              <w:spacing w:line="440" w:lineRule="exact"/>
              <w:ind w:left="63" w:right="63"/>
              <w:rPr>
                <w:rFonts w:ascii="宋体" w:hAnsi="宋体" w:eastAsia="宋体" w:cs="宋体"/>
                <w:color w:val="auto"/>
                <w:sz w:val="28"/>
                <w:szCs w:val="28"/>
                <w:highlight w:val="none"/>
              </w:rPr>
            </w:pPr>
          </w:p>
        </w:tc>
        <w:tc>
          <w:tcPr>
            <w:tcW w:w="1418" w:type="dxa"/>
            <w:noWrap w:val="0"/>
            <w:vAlign w:val="center"/>
          </w:tcPr>
          <w:p w14:paraId="419B7C30">
            <w:pPr>
              <w:pStyle w:val="2"/>
              <w:keepNext/>
              <w:spacing w:line="440" w:lineRule="exact"/>
              <w:ind w:left="63" w:right="63"/>
              <w:rPr>
                <w:rFonts w:ascii="宋体" w:hAnsi="宋体" w:eastAsia="宋体" w:cs="宋体"/>
                <w:color w:val="auto"/>
                <w:sz w:val="28"/>
                <w:szCs w:val="28"/>
                <w:highlight w:val="none"/>
              </w:rPr>
            </w:pPr>
          </w:p>
        </w:tc>
        <w:tc>
          <w:tcPr>
            <w:tcW w:w="1134" w:type="dxa"/>
            <w:noWrap w:val="0"/>
            <w:vAlign w:val="center"/>
          </w:tcPr>
          <w:p w14:paraId="33038840">
            <w:pPr>
              <w:pStyle w:val="2"/>
              <w:keepNext/>
              <w:spacing w:line="440" w:lineRule="exact"/>
              <w:ind w:left="63" w:right="63"/>
              <w:rPr>
                <w:rFonts w:ascii="宋体" w:hAnsi="宋体" w:eastAsia="宋体" w:cs="宋体"/>
                <w:color w:val="auto"/>
                <w:sz w:val="30"/>
                <w:szCs w:val="30"/>
                <w:highlight w:val="none"/>
              </w:rPr>
            </w:pPr>
          </w:p>
        </w:tc>
        <w:tc>
          <w:tcPr>
            <w:tcW w:w="1134" w:type="dxa"/>
            <w:noWrap w:val="0"/>
            <w:vAlign w:val="center"/>
          </w:tcPr>
          <w:p w14:paraId="546D4E77">
            <w:pPr>
              <w:pStyle w:val="2"/>
              <w:keepNext/>
              <w:spacing w:line="440" w:lineRule="exact"/>
              <w:ind w:left="63" w:right="63"/>
              <w:rPr>
                <w:rFonts w:ascii="宋体" w:hAnsi="宋体" w:eastAsia="宋体" w:cs="宋体"/>
                <w:color w:val="auto"/>
                <w:sz w:val="30"/>
                <w:szCs w:val="30"/>
                <w:highlight w:val="none"/>
              </w:rPr>
            </w:pPr>
          </w:p>
        </w:tc>
        <w:tc>
          <w:tcPr>
            <w:tcW w:w="4252" w:type="dxa"/>
            <w:noWrap w:val="0"/>
            <w:vAlign w:val="center"/>
          </w:tcPr>
          <w:p w14:paraId="543CE9C4">
            <w:pPr>
              <w:pStyle w:val="2"/>
              <w:keepNext/>
              <w:spacing w:line="440" w:lineRule="exact"/>
              <w:ind w:left="63" w:right="63"/>
              <w:rPr>
                <w:rFonts w:ascii="宋体" w:hAnsi="宋体" w:eastAsia="宋体" w:cs="宋体"/>
                <w:color w:val="auto"/>
                <w:sz w:val="30"/>
                <w:szCs w:val="30"/>
                <w:highlight w:val="none"/>
              </w:rPr>
            </w:pPr>
          </w:p>
        </w:tc>
      </w:tr>
      <w:tr w14:paraId="7D88D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49F2A12F">
            <w:pPr>
              <w:pStyle w:val="2"/>
              <w:keepNext/>
              <w:spacing w:line="440" w:lineRule="exact"/>
              <w:ind w:left="63" w:right="63"/>
              <w:rPr>
                <w:rFonts w:ascii="宋体" w:hAnsi="宋体" w:eastAsia="宋体" w:cs="宋体"/>
                <w:color w:val="auto"/>
                <w:sz w:val="28"/>
                <w:szCs w:val="28"/>
                <w:highlight w:val="none"/>
              </w:rPr>
            </w:pPr>
          </w:p>
        </w:tc>
        <w:tc>
          <w:tcPr>
            <w:tcW w:w="1418" w:type="dxa"/>
            <w:noWrap w:val="0"/>
            <w:vAlign w:val="center"/>
          </w:tcPr>
          <w:p w14:paraId="28B8BD75">
            <w:pPr>
              <w:pStyle w:val="2"/>
              <w:keepNext/>
              <w:spacing w:line="440" w:lineRule="exact"/>
              <w:ind w:left="63" w:right="63"/>
              <w:rPr>
                <w:rFonts w:ascii="宋体" w:hAnsi="宋体" w:eastAsia="宋体" w:cs="宋体"/>
                <w:color w:val="auto"/>
                <w:sz w:val="28"/>
                <w:szCs w:val="28"/>
                <w:highlight w:val="none"/>
              </w:rPr>
            </w:pPr>
          </w:p>
        </w:tc>
        <w:tc>
          <w:tcPr>
            <w:tcW w:w="1134" w:type="dxa"/>
            <w:noWrap w:val="0"/>
            <w:vAlign w:val="center"/>
          </w:tcPr>
          <w:p w14:paraId="1305713B">
            <w:pPr>
              <w:pStyle w:val="2"/>
              <w:keepNext/>
              <w:spacing w:line="440" w:lineRule="exact"/>
              <w:ind w:left="63" w:right="63"/>
              <w:rPr>
                <w:rFonts w:ascii="宋体" w:hAnsi="宋体" w:eastAsia="宋体" w:cs="宋体"/>
                <w:color w:val="auto"/>
                <w:sz w:val="30"/>
                <w:szCs w:val="30"/>
                <w:highlight w:val="none"/>
              </w:rPr>
            </w:pPr>
          </w:p>
        </w:tc>
        <w:tc>
          <w:tcPr>
            <w:tcW w:w="1134" w:type="dxa"/>
            <w:noWrap w:val="0"/>
            <w:vAlign w:val="center"/>
          </w:tcPr>
          <w:p w14:paraId="6714A505">
            <w:pPr>
              <w:pStyle w:val="2"/>
              <w:keepNext/>
              <w:spacing w:line="440" w:lineRule="exact"/>
              <w:ind w:left="63" w:right="63"/>
              <w:rPr>
                <w:rFonts w:ascii="宋体" w:hAnsi="宋体" w:eastAsia="宋体" w:cs="宋体"/>
                <w:color w:val="auto"/>
                <w:sz w:val="30"/>
                <w:szCs w:val="30"/>
                <w:highlight w:val="none"/>
              </w:rPr>
            </w:pPr>
          </w:p>
        </w:tc>
        <w:tc>
          <w:tcPr>
            <w:tcW w:w="4252" w:type="dxa"/>
            <w:noWrap w:val="0"/>
            <w:vAlign w:val="center"/>
          </w:tcPr>
          <w:p w14:paraId="49239A6E">
            <w:pPr>
              <w:pStyle w:val="2"/>
              <w:keepNext/>
              <w:spacing w:line="440" w:lineRule="exact"/>
              <w:ind w:left="63" w:right="63"/>
              <w:rPr>
                <w:rFonts w:ascii="宋体" w:hAnsi="宋体" w:eastAsia="宋体" w:cs="宋体"/>
                <w:color w:val="auto"/>
                <w:sz w:val="30"/>
                <w:szCs w:val="30"/>
                <w:highlight w:val="none"/>
              </w:rPr>
            </w:pPr>
          </w:p>
        </w:tc>
      </w:tr>
      <w:tr w14:paraId="67B89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4EE55737">
            <w:pPr>
              <w:pStyle w:val="2"/>
              <w:keepNext/>
              <w:spacing w:line="440" w:lineRule="exact"/>
              <w:ind w:left="63" w:right="63"/>
              <w:rPr>
                <w:rFonts w:ascii="宋体" w:hAnsi="宋体" w:eastAsia="宋体" w:cs="宋体"/>
                <w:color w:val="auto"/>
                <w:sz w:val="28"/>
                <w:szCs w:val="28"/>
                <w:highlight w:val="none"/>
              </w:rPr>
            </w:pPr>
          </w:p>
        </w:tc>
        <w:tc>
          <w:tcPr>
            <w:tcW w:w="1418" w:type="dxa"/>
            <w:noWrap w:val="0"/>
            <w:vAlign w:val="center"/>
          </w:tcPr>
          <w:p w14:paraId="720287DC">
            <w:pPr>
              <w:pStyle w:val="2"/>
              <w:keepNext/>
              <w:spacing w:line="440" w:lineRule="exact"/>
              <w:ind w:left="63" w:right="63"/>
              <w:rPr>
                <w:rFonts w:ascii="宋体" w:hAnsi="宋体" w:eastAsia="宋体" w:cs="宋体"/>
                <w:color w:val="auto"/>
                <w:sz w:val="28"/>
                <w:szCs w:val="28"/>
                <w:highlight w:val="none"/>
              </w:rPr>
            </w:pPr>
          </w:p>
        </w:tc>
        <w:tc>
          <w:tcPr>
            <w:tcW w:w="1134" w:type="dxa"/>
            <w:noWrap w:val="0"/>
            <w:vAlign w:val="center"/>
          </w:tcPr>
          <w:p w14:paraId="7442FF39">
            <w:pPr>
              <w:pStyle w:val="2"/>
              <w:keepNext/>
              <w:spacing w:line="440" w:lineRule="exact"/>
              <w:ind w:left="63" w:right="63"/>
              <w:rPr>
                <w:rFonts w:ascii="宋体" w:hAnsi="宋体" w:eastAsia="宋体" w:cs="宋体"/>
                <w:color w:val="auto"/>
                <w:sz w:val="30"/>
                <w:szCs w:val="30"/>
                <w:highlight w:val="none"/>
              </w:rPr>
            </w:pPr>
          </w:p>
        </w:tc>
        <w:tc>
          <w:tcPr>
            <w:tcW w:w="1134" w:type="dxa"/>
            <w:noWrap w:val="0"/>
            <w:vAlign w:val="center"/>
          </w:tcPr>
          <w:p w14:paraId="18A0A14C">
            <w:pPr>
              <w:pStyle w:val="2"/>
              <w:keepNext/>
              <w:spacing w:line="440" w:lineRule="exact"/>
              <w:ind w:left="63" w:right="63"/>
              <w:rPr>
                <w:rFonts w:ascii="宋体" w:hAnsi="宋体" w:eastAsia="宋体" w:cs="宋体"/>
                <w:color w:val="auto"/>
                <w:sz w:val="30"/>
                <w:szCs w:val="30"/>
                <w:highlight w:val="none"/>
              </w:rPr>
            </w:pPr>
          </w:p>
        </w:tc>
        <w:tc>
          <w:tcPr>
            <w:tcW w:w="4252" w:type="dxa"/>
            <w:noWrap w:val="0"/>
            <w:vAlign w:val="center"/>
          </w:tcPr>
          <w:p w14:paraId="304C12D2">
            <w:pPr>
              <w:pStyle w:val="2"/>
              <w:keepNext/>
              <w:spacing w:line="440" w:lineRule="exact"/>
              <w:ind w:left="63" w:right="63"/>
              <w:rPr>
                <w:rFonts w:ascii="宋体" w:hAnsi="宋体" w:eastAsia="宋体" w:cs="宋体"/>
                <w:color w:val="auto"/>
                <w:sz w:val="30"/>
                <w:szCs w:val="30"/>
                <w:highlight w:val="none"/>
              </w:rPr>
            </w:pPr>
          </w:p>
        </w:tc>
      </w:tr>
      <w:tr w14:paraId="32E54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7DEF7191">
            <w:pPr>
              <w:pStyle w:val="2"/>
              <w:keepNext/>
              <w:spacing w:line="440" w:lineRule="exact"/>
              <w:ind w:left="63" w:right="63"/>
              <w:rPr>
                <w:rFonts w:ascii="宋体" w:hAnsi="宋体" w:eastAsia="宋体" w:cs="宋体"/>
                <w:color w:val="auto"/>
                <w:sz w:val="28"/>
                <w:szCs w:val="28"/>
                <w:highlight w:val="none"/>
              </w:rPr>
            </w:pPr>
          </w:p>
        </w:tc>
        <w:tc>
          <w:tcPr>
            <w:tcW w:w="1418" w:type="dxa"/>
            <w:noWrap w:val="0"/>
            <w:vAlign w:val="center"/>
          </w:tcPr>
          <w:p w14:paraId="5646F5A5">
            <w:pPr>
              <w:pStyle w:val="2"/>
              <w:keepNext/>
              <w:spacing w:line="440" w:lineRule="exact"/>
              <w:ind w:left="63" w:right="63"/>
              <w:rPr>
                <w:rFonts w:ascii="宋体" w:hAnsi="宋体" w:eastAsia="宋体" w:cs="宋体"/>
                <w:color w:val="auto"/>
                <w:sz w:val="28"/>
                <w:szCs w:val="28"/>
                <w:highlight w:val="none"/>
              </w:rPr>
            </w:pPr>
          </w:p>
        </w:tc>
        <w:tc>
          <w:tcPr>
            <w:tcW w:w="1134" w:type="dxa"/>
            <w:noWrap w:val="0"/>
            <w:vAlign w:val="center"/>
          </w:tcPr>
          <w:p w14:paraId="16DBF945">
            <w:pPr>
              <w:pStyle w:val="2"/>
              <w:keepNext/>
              <w:spacing w:line="440" w:lineRule="exact"/>
              <w:ind w:left="63" w:right="63"/>
              <w:rPr>
                <w:rFonts w:ascii="宋体" w:hAnsi="宋体" w:eastAsia="宋体" w:cs="宋体"/>
                <w:color w:val="auto"/>
                <w:sz w:val="30"/>
                <w:szCs w:val="30"/>
                <w:highlight w:val="none"/>
              </w:rPr>
            </w:pPr>
          </w:p>
        </w:tc>
        <w:tc>
          <w:tcPr>
            <w:tcW w:w="1134" w:type="dxa"/>
            <w:noWrap w:val="0"/>
            <w:vAlign w:val="center"/>
          </w:tcPr>
          <w:p w14:paraId="66468B1A">
            <w:pPr>
              <w:pStyle w:val="2"/>
              <w:keepNext/>
              <w:spacing w:line="440" w:lineRule="exact"/>
              <w:ind w:left="63" w:right="63"/>
              <w:rPr>
                <w:rFonts w:ascii="宋体" w:hAnsi="宋体" w:eastAsia="宋体" w:cs="宋体"/>
                <w:color w:val="auto"/>
                <w:sz w:val="30"/>
                <w:szCs w:val="30"/>
                <w:highlight w:val="none"/>
              </w:rPr>
            </w:pPr>
          </w:p>
        </w:tc>
        <w:tc>
          <w:tcPr>
            <w:tcW w:w="4252" w:type="dxa"/>
            <w:noWrap w:val="0"/>
            <w:vAlign w:val="center"/>
          </w:tcPr>
          <w:p w14:paraId="5BD5A397">
            <w:pPr>
              <w:pStyle w:val="2"/>
              <w:keepNext/>
              <w:spacing w:line="440" w:lineRule="exact"/>
              <w:ind w:left="63" w:right="63"/>
              <w:rPr>
                <w:rFonts w:ascii="宋体" w:hAnsi="宋体" w:eastAsia="宋体" w:cs="宋体"/>
                <w:color w:val="auto"/>
                <w:sz w:val="30"/>
                <w:szCs w:val="30"/>
                <w:highlight w:val="none"/>
              </w:rPr>
            </w:pPr>
          </w:p>
        </w:tc>
      </w:tr>
    </w:tbl>
    <w:p w14:paraId="1AF3AFCB">
      <w:pPr>
        <w:pStyle w:val="6"/>
        <w:jc w:val="left"/>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br w:type="page"/>
      </w:r>
      <w:r>
        <w:rPr>
          <w:rFonts w:hint="eastAsia" w:ascii="宋体" w:hAnsi="宋体" w:eastAsia="宋体" w:cs="宋体"/>
          <w:color w:val="auto"/>
          <w:highlight w:val="none"/>
        </w:rPr>
        <w:t>附</w:t>
      </w:r>
      <w:bookmarkStart w:id="1017" w:name="_Toc296944568"/>
      <w:bookmarkStart w:id="1018" w:name="_Toc296347228"/>
      <w:bookmarkStart w:id="1019" w:name="_Toc296503229"/>
      <w:bookmarkStart w:id="1020" w:name="_Toc296346730"/>
      <w:bookmarkStart w:id="1021" w:name="_Toc296891269"/>
      <w:bookmarkStart w:id="1022" w:name="_Toc296891057"/>
      <w:r>
        <w:rPr>
          <w:rFonts w:hint="eastAsia" w:ascii="宋体" w:hAnsi="宋体" w:eastAsia="宋体" w:cs="宋体"/>
          <w:color w:val="auto"/>
          <w:highlight w:val="none"/>
        </w:rPr>
        <w:t>件</w:t>
      </w:r>
      <w:r>
        <w:rPr>
          <w:rFonts w:hint="eastAsia" w:ascii="宋体" w:hAnsi="宋体" w:eastAsia="宋体" w:cs="宋体"/>
          <w:color w:val="auto"/>
          <w:sz w:val="30"/>
          <w:szCs w:val="30"/>
          <w:highlight w:val="none"/>
        </w:rPr>
        <w:t>6：</w:t>
      </w:r>
    </w:p>
    <w:bookmarkEnd w:id="1017"/>
    <w:bookmarkEnd w:id="1018"/>
    <w:bookmarkEnd w:id="1019"/>
    <w:bookmarkEnd w:id="1020"/>
    <w:bookmarkEnd w:id="1021"/>
    <w:bookmarkEnd w:id="1022"/>
    <w:p w14:paraId="5B588EE7">
      <w:pPr>
        <w:spacing w:before="120" w:beforeLines="50" w:after="120" w:afterLines="50" w:line="440" w:lineRule="exact"/>
        <w:jc w:val="center"/>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分包人主要施工管理人员表</w:t>
      </w:r>
    </w:p>
    <w:tbl>
      <w:tblPr>
        <w:tblStyle w:val="5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871"/>
        <w:gridCol w:w="1418"/>
        <w:gridCol w:w="1134"/>
        <w:gridCol w:w="1134"/>
        <w:gridCol w:w="4252"/>
      </w:tblGrid>
      <w:tr w14:paraId="0217B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4A3C8B2A">
            <w:pPr>
              <w:pStyle w:val="2"/>
              <w:keepNext/>
              <w:spacing w:line="440" w:lineRule="exact"/>
              <w:ind w:left="63" w:right="63"/>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名    称</w:t>
            </w:r>
          </w:p>
        </w:tc>
        <w:tc>
          <w:tcPr>
            <w:tcW w:w="1418" w:type="dxa"/>
            <w:noWrap w:val="0"/>
            <w:vAlign w:val="center"/>
          </w:tcPr>
          <w:p w14:paraId="02644B8C">
            <w:pPr>
              <w:pStyle w:val="2"/>
              <w:keepNext/>
              <w:spacing w:line="440" w:lineRule="exact"/>
              <w:ind w:left="63" w:right="63"/>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姓名</w:t>
            </w:r>
          </w:p>
        </w:tc>
        <w:tc>
          <w:tcPr>
            <w:tcW w:w="1134" w:type="dxa"/>
            <w:noWrap w:val="0"/>
            <w:vAlign w:val="center"/>
          </w:tcPr>
          <w:p w14:paraId="4F2CA573">
            <w:pPr>
              <w:pStyle w:val="2"/>
              <w:keepNext/>
              <w:spacing w:line="440" w:lineRule="exact"/>
              <w:ind w:left="63" w:right="63"/>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职务</w:t>
            </w:r>
          </w:p>
        </w:tc>
        <w:tc>
          <w:tcPr>
            <w:tcW w:w="1134" w:type="dxa"/>
            <w:noWrap w:val="0"/>
            <w:vAlign w:val="center"/>
          </w:tcPr>
          <w:p w14:paraId="64818AC0">
            <w:pPr>
              <w:pStyle w:val="2"/>
              <w:keepNext/>
              <w:spacing w:line="440" w:lineRule="exact"/>
              <w:ind w:left="63" w:right="63"/>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职称</w:t>
            </w:r>
          </w:p>
        </w:tc>
        <w:tc>
          <w:tcPr>
            <w:tcW w:w="4252" w:type="dxa"/>
            <w:noWrap w:val="0"/>
            <w:vAlign w:val="center"/>
          </w:tcPr>
          <w:p w14:paraId="102E66D9">
            <w:pPr>
              <w:pStyle w:val="2"/>
              <w:keepNext/>
              <w:spacing w:line="440" w:lineRule="exact"/>
              <w:ind w:left="63" w:right="63"/>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主要资历、经验及承担过的项目</w:t>
            </w:r>
          </w:p>
        </w:tc>
      </w:tr>
      <w:tr w14:paraId="6D546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noWrap w:val="0"/>
            <w:vAlign w:val="center"/>
          </w:tcPr>
          <w:p w14:paraId="27D5974E">
            <w:pPr>
              <w:pStyle w:val="2"/>
              <w:keepNext/>
              <w:spacing w:line="440" w:lineRule="exact"/>
              <w:ind w:left="63" w:right="63"/>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一、总部人员</w:t>
            </w:r>
          </w:p>
        </w:tc>
      </w:tr>
      <w:tr w14:paraId="7747A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5E272A29">
            <w:pPr>
              <w:pStyle w:val="2"/>
              <w:keepNext/>
              <w:spacing w:line="440" w:lineRule="exact"/>
              <w:ind w:left="63" w:right="63"/>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项目主管</w:t>
            </w:r>
          </w:p>
        </w:tc>
        <w:tc>
          <w:tcPr>
            <w:tcW w:w="1418" w:type="dxa"/>
            <w:noWrap w:val="0"/>
            <w:vAlign w:val="center"/>
          </w:tcPr>
          <w:p w14:paraId="753AEBBB">
            <w:pPr>
              <w:pStyle w:val="2"/>
              <w:keepNext/>
              <w:spacing w:line="440" w:lineRule="exact"/>
              <w:ind w:left="63" w:right="63"/>
              <w:rPr>
                <w:rFonts w:ascii="宋体" w:hAnsi="宋体" w:eastAsia="宋体" w:cs="宋体"/>
                <w:color w:val="auto"/>
                <w:sz w:val="28"/>
                <w:szCs w:val="28"/>
                <w:highlight w:val="none"/>
              </w:rPr>
            </w:pPr>
          </w:p>
        </w:tc>
        <w:tc>
          <w:tcPr>
            <w:tcW w:w="1134" w:type="dxa"/>
            <w:noWrap w:val="0"/>
            <w:vAlign w:val="center"/>
          </w:tcPr>
          <w:p w14:paraId="5BA25482">
            <w:pPr>
              <w:pStyle w:val="2"/>
              <w:keepNext/>
              <w:spacing w:line="440" w:lineRule="exact"/>
              <w:ind w:left="63" w:right="63"/>
              <w:rPr>
                <w:rFonts w:ascii="宋体" w:hAnsi="宋体" w:eastAsia="宋体" w:cs="宋体"/>
                <w:color w:val="auto"/>
                <w:sz w:val="30"/>
                <w:szCs w:val="30"/>
                <w:highlight w:val="none"/>
              </w:rPr>
            </w:pPr>
          </w:p>
        </w:tc>
        <w:tc>
          <w:tcPr>
            <w:tcW w:w="1134" w:type="dxa"/>
            <w:noWrap w:val="0"/>
            <w:vAlign w:val="center"/>
          </w:tcPr>
          <w:p w14:paraId="7CE792B7">
            <w:pPr>
              <w:pStyle w:val="2"/>
              <w:keepNext/>
              <w:spacing w:line="440" w:lineRule="exact"/>
              <w:ind w:left="63" w:right="63"/>
              <w:rPr>
                <w:rFonts w:ascii="宋体" w:hAnsi="宋体" w:eastAsia="宋体" w:cs="宋体"/>
                <w:color w:val="auto"/>
                <w:sz w:val="30"/>
                <w:szCs w:val="30"/>
                <w:highlight w:val="none"/>
              </w:rPr>
            </w:pPr>
          </w:p>
        </w:tc>
        <w:tc>
          <w:tcPr>
            <w:tcW w:w="4252" w:type="dxa"/>
            <w:noWrap w:val="0"/>
            <w:vAlign w:val="center"/>
          </w:tcPr>
          <w:p w14:paraId="1B8BD833">
            <w:pPr>
              <w:pStyle w:val="2"/>
              <w:keepNext/>
              <w:spacing w:line="440" w:lineRule="exact"/>
              <w:ind w:left="63" w:right="63"/>
              <w:rPr>
                <w:rFonts w:ascii="宋体" w:hAnsi="宋体" w:eastAsia="宋体" w:cs="宋体"/>
                <w:color w:val="auto"/>
                <w:sz w:val="30"/>
                <w:szCs w:val="30"/>
                <w:highlight w:val="none"/>
              </w:rPr>
            </w:pPr>
          </w:p>
        </w:tc>
      </w:tr>
      <w:tr w14:paraId="77277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1FFB7233">
            <w:pPr>
              <w:pStyle w:val="2"/>
              <w:keepNext/>
              <w:spacing w:line="440" w:lineRule="exact"/>
              <w:ind w:left="63" w:right="63"/>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其他人员</w:t>
            </w:r>
          </w:p>
        </w:tc>
        <w:tc>
          <w:tcPr>
            <w:tcW w:w="1418" w:type="dxa"/>
            <w:noWrap w:val="0"/>
            <w:vAlign w:val="center"/>
          </w:tcPr>
          <w:p w14:paraId="681DCD09">
            <w:pPr>
              <w:pStyle w:val="2"/>
              <w:keepNext/>
              <w:spacing w:line="440" w:lineRule="exact"/>
              <w:ind w:left="63" w:right="63"/>
              <w:rPr>
                <w:rFonts w:ascii="宋体" w:hAnsi="宋体" w:eastAsia="宋体" w:cs="宋体"/>
                <w:color w:val="auto"/>
                <w:sz w:val="28"/>
                <w:szCs w:val="28"/>
                <w:highlight w:val="none"/>
              </w:rPr>
            </w:pPr>
          </w:p>
        </w:tc>
        <w:tc>
          <w:tcPr>
            <w:tcW w:w="1134" w:type="dxa"/>
            <w:noWrap w:val="0"/>
            <w:vAlign w:val="center"/>
          </w:tcPr>
          <w:p w14:paraId="163E6B8E">
            <w:pPr>
              <w:pStyle w:val="2"/>
              <w:keepNext/>
              <w:spacing w:line="440" w:lineRule="exact"/>
              <w:ind w:left="63" w:right="63"/>
              <w:rPr>
                <w:rFonts w:ascii="宋体" w:hAnsi="宋体" w:eastAsia="宋体" w:cs="宋体"/>
                <w:color w:val="auto"/>
                <w:sz w:val="30"/>
                <w:szCs w:val="30"/>
                <w:highlight w:val="none"/>
              </w:rPr>
            </w:pPr>
          </w:p>
        </w:tc>
        <w:tc>
          <w:tcPr>
            <w:tcW w:w="1134" w:type="dxa"/>
            <w:noWrap w:val="0"/>
            <w:vAlign w:val="center"/>
          </w:tcPr>
          <w:p w14:paraId="531F0154">
            <w:pPr>
              <w:pStyle w:val="2"/>
              <w:keepNext/>
              <w:spacing w:line="440" w:lineRule="exact"/>
              <w:ind w:left="63" w:right="63"/>
              <w:rPr>
                <w:rFonts w:ascii="宋体" w:hAnsi="宋体" w:eastAsia="宋体" w:cs="宋体"/>
                <w:color w:val="auto"/>
                <w:sz w:val="30"/>
                <w:szCs w:val="30"/>
                <w:highlight w:val="none"/>
              </w:rPr>
            </w:pPr>
          </w:p>
        </w:tc>
        <w:tc>
          <w:tcPr>
            <w:tcW w:w="4252" w:type="dxa"/>
            <w:noWrap w:val="0"/>
            <w:vAlign w:val="center"/>
          </w:tcPr>
          <w:p w14:paraId="3DAA278C">
            <w:pPr>
              <w:pStyle w:val="2"/>
              <w:keepNext/>
              <w:spacing w:line="440" w:lineRule="exact"/>
              <w:ind w:left="63" w:right="63"/>
              <w:rPr>
                <w:rFonts w:ascii="宋体" w:hAnsi="宋体" w:eastAsia="宋体" w:cs="宋体"/>
                <w:color w:val="auto"/>
                <w:sz w:val="30"/>
                <w:szCs w:val="30"/>
                <w:highlight w:val="none"/>
              </w:rPr>
            </w:pPr>
          </w:p>
        </w:tc>
      </w:tr>
      <w:tr w14:paraId="11FDB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6038D8F7">
            <w:pPr>
              <w:pStyle w:val="2"/>
              <w:keepNext/>
              <w:spacing w:line="440" w:lineRule="exact"/>
              <w:ind w:left="63" w:right="63"/>
              <w:rPr>
                <w:rFonts w:ascii="宋体" w:hAnsi="宋体" w:eastAsia="宋体" w:cs="宋体"/>
                <w:color w:val="auto"/>
                <w:sz w:val="28"/>
                <w:szCs w:val="28"/>
                <w:highlight w:val="none"/>
              </w:rPr>
            </w:pPr>
          </w:p>
        </w:tc>
        <w:tc>
          <w:tcPr>
            <w:tcW w:w="1418" w:type="dxa"/>
            <w:noWrap w:val="0"/>
            <w:vAlign w:val="center"/>
          </w:tcPr>
          <w:p w14:paraId="490B16DB">
            <w:pPr>
              <w:pStyle w:val="2"/>
              <w:keepNext/>
              <w:spacing w:line="440" w:lineRule="exact"/>
              <w:ind w:left="63" w:right="63"/>
              <w:rPr>
                <w:rFonts w:ascii="宋体" w:hAnsi="宋体" w:eastAsia="宋体" w:cs="宋体"/>
                <w:color w:val="auto"/>
                <w:sz w:val="28"/>
                <w:szCs w:val="28"/>
                <w:highlight w:val="none"/>
              </w:rPr>
            </w:pPr>
          </w:p>
        </w:tc>
        <w:tc>
          <w:tcPr>
            <w:tcW w:w="1134" w:type="dxa"/>
            <w:noWrap w:val="0"/>
            <w:vAlign w:val="center"/>
          </w:tcPr>
          <w:p w14:paraId="05254E95">
            <w:pPr>
              <w:pStyle w:val="2"/>
              <w:keepNext/>
              <w:spacing w:line="440" w:lineRule="exact"/>
              <w:ind w:left="63" w:right="63"/>
              <w:rPr>
                <w:rFonts w:ascii="宋体" w:hAnsi="宋体" w:eastAsia="宋体" w:cs="宋体"/>
                <w:color w:val="auto"/>
                <w:sz w:val="30"/>
                <w:szCs w:val="30"/>
                <w:highlight w:val="none"/>
              </w:rPr>
            </w:pPr>
          </w:p>
        </w:tc>
        <w:tc>
          <w:tcPr>
            <w:tcW w:w="1134" w:type="dxa"/>
            <w:noWrap w:val="0"/>
            <w:vAlign w:val="center"/>
          </w:tcPr>
          <w:p w14:paraId="67035E0E">
            <w:pPr>
              <w:pStyle w:val="2"/>
              <w:keepNext/>
              <w:spacing w:line="440" w:lineRule="exact"/>
              <w:ind w:left="63" w:right="63"/>
              <w:rPr>
                <w:rFonts w:ascii="宋体" w:hAnsi="宋体" w:eastAsia="宋体" w:cs="宋体"/>
                <w:color w:val="auto"/>
                <w:sz w:val="30"/>
                <w:szCs w:val="30"/>
                <w:highlight w:val="none"/>
              </w:rPr>
            </w:pPr>
          </w:p>
        </w:tc>
        <w:tc>
          <w:tcPr>
            <w:tcW w:w="4252" w:type="dxa"/>
            <w:noWrap w:val="0"/>
            <w:vAlign w:val="center"/>
          </w:tcPr>
          <w:p w14:paraId="745F2926">
            <w:pPr>
              <w:pStyle w:val="2"/>
              <w:keepNext/>
              <w:spacing w:line="440" w:lineRule="exact"/>
              <w:ind w:left="63" w:right="63"/>
              <w:rPr>
                <w:rFonts w:ascii="宋体" w:hAnsi="宋体" w:eastAsia="宋体" w:cs="宋体"/>
                <w:color w:val="auto"/>
                <w:sz w:val="30"/>
                <w:szCs w:val="30"/>
                <w:highlight w:val="none"/>
              </w:rPr>
            </w:pPr>
          </w:p>
        </w:tc>
      </w:tr>
      <w:tr w14:paraId="6BAC6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4C143792">
            <w:pPr>
              <w:pStyle w:val="2"/>
              <w:keepNext/>
              <w:spacing w:line="440" w:lineRule="exact"/>
              <w:ind w:left="63" w:right="63"/>
              <w:rPr>
                <w:rFonts w:ascii="宋体" w:hAnsi="宋体" w:eastAsia="宋体" w:cs="宋体"/>
                <w:color w:val="auto"/>
                <w:sz w:val="28"/>
                <w:szCs w:val="28"/>
                <w:highlight w:val="none"/>
              </w:rPr>
            </w:pPr>
          </w:p>
        </w:tc>
        <w:tc>
          <w:tcPr>
            <w:tcW w:w="1418" w:type="dxa"/>
            <w:noWrap w:val="0"/>
            <w:vAlign w:val="center"/>
          </w:tcPr>
          <w:p w14:paraId="4060EC36">
            <w:pPr>
              <w:pStyle w:val="2"/>
              <w:keepNext/>
              <w:spacing w:line="440" w:lineRule="exact"/>
              <w:ind w:left="63" w:right="63"/>
              <w:rPr>
                <w:rFonts w:ascii="宋体" w:hAnsi="宋体" w:eastAsia="宋体" w:cs="宋体"/>
                <w:color w:val="auto"/>
                <w:sz w:val="28"/>
                <w:szCs w:val="28"/>
                <w:highlight w:val="none"/>
              </w:rPr>
            </w:pPr>
          </w:p>
        </w:tc>
        <w:tc>
          <w:tcPr>
            <w:tcW w:w="1134" w:type="dxa"/>
            <w:noWrap w:val="0"/>
            <w:vAlign w:val="center"/>
          </w:tcPr>
          <w:p w14:paraId="493D9AFA">
            <w:pPr>
              <w:pStyle w:val="2"/>
              <w:keepNext/>
              <w:spacing w:line="440" w:lineRule="exact"/>
              <w:ind w:left="63" w:right="63"/>
              <w:rPr>
                <w:rFonts w:ascii="宋体" w:hAnsi="宋体" w:eastAsia="宋体" w:cs="宋体"/>
                <w:color w:val="auto"/>
                <w:sz w:val="30"/>
                <w:szCs w:val="30"/>
                <w:highlight w:val="none"/>
              </w:rPr>
            </w:pPr>
          </w:p>
        </w:tc>
        <w:tc>
          <w:tcPr>
            <w:tcW w:w="1134" w:type="dxa"/>
            <w:noWrap w:val="0"/>
            <w:vAlign w:val="center"/>
          </w:tcPr>
          <w:p w14:paraId="6259655A">
            <w:pPr>
              <w:pStyle w:val="2"/>
              <w:keepNext/>
              <w:spacing w:line="440" w:lineRule="exact"/>
              <w:ind w:left="63" w:right="63"/>
              <w:rPr>
                <w:rFonts w:ascii="宋体" w:hAnsi="宋体" w:eastAsia="宋体" w:cs="宋体"/>
                <w:color w:val="auto"/>
                <w:sz w:val="30"/>
                <w:szCs w:val="30"/>
                <w:highlight w:val="none"/>
              </w:rPr>
            </w:pPr>
          </w:p>
        </w:tc>
        <w:tc>
          <w:tcPr>
            <w:tcW w:w="4252" w:type="dxa"/>
            <w:noWrap w:val="0"/>
            <w:vAlign w:val="center"/>
          </w:tcPr>
          <w:p w14:paraId="09559A15">
            <w:pPr>
              <w:pStyle w:val="2"/>
              <w:keepNext/>
              <w:spacing w:line="440" w:lineRule="exact"/>
              <w:ind w:left="63" w:right="63"/>
              <w:rPr>
                <w:rFonts w:ascii="宋体" w:hAnsi="宋体" w:eastAsia="宋体" w:cs="宋体"/>
                <w:color w:val="auto"/>
                <w:sz w:val="30"/>
                <w:szCs w:val="30"/>
                <w:highlight w:val="none"/>
              </w:rPr>
            </w:pPr>
          </w:p>
        </w:tc>
      </w:tr>
      <w:tr w14:paraId="4FC4F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noWrap w:val="0"/>
            <w:vAlign w:val="center"/>
          </w:tcPr>
          <w:p w14:paraId="38C55812">
            <w:pPr>
              <w:pStyle w:val="2"/>
              <w:keepNext/>
              <w:spacing w:line="440" w:lineRule="exact"/>
              <w:ind w:left="63" w:right="63"/>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二、现场人员</w:t>
            </w:r>
          </w:p>
        </w:tc>
      </w:tr>
      <w:tr w14:paraId="56AB9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0AF97936">
            <w:pPr>
              <w:pStyle w:val="2"/>
              <w:keepNext/>
              <w:spacing w:line="440" w:lineRule="exact"/>
              <w:ind w:left="63" w:right="63"/>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项目经理</w:t>
            </w:r>
          </w:p>
        </w:tc>
        <w:tc>
          <w:tcPr>
            <w:tcW w:w="1418" w:type="dxa"/>
            <w:noWrap w:val="0"/>
            <w:vAlign w:val="center"/>
          </w:tcPr>
          <w:p w14:paraId="0018AB5D">
            <w:pPr>
              <w:pStyle w:val="2"/>
              <w:keepNext/>
              <w:spacing w:line="440" w:lineRule="exact"/>
              <w:ind w:left="63" w:right="63"/>
              <w:rPr>
                <w:rFonts w:ascii="宋体" w:hAnsi="宋体" w:eastAsia="宋体" w:cs="宋体"/>
                <w:color w:val="auto"/>
                <w:sz w:val="28"/>
                <w:szCs w:val="28"/>
                <w:highlight w:val="none"/>
              </w:rPr>
            </w:pPr>
          </w:p>
        </w:tc>
        <w:tc>
          <w:tcPr>
            <w:tcW w:w="1134" w:type="dxa"/>
            <w:noWrap w:val="0"/>
            <w:vAlign w:val="center"/>
          </w:tcPr>
          <w:p w14:paraId="25D194E7">
            <w:pPr>
              <w:pStyle w:val="2"/>
              <w:keepNext/>
              <w:spacing w:line="440" w:lineRule="exact"/>
              <w:ind w:left="63" w:right="63"/>
              <w:rPr>
                <w:rFonts w:ascii="宋体" w:hAnsi="宋体" w:eastAsia="宋体" w:cs="宋体"/>
                <w:color w:val="auto"/>
                <w:sz w:val="30"/>
                <w:szCs w:val="30"/>
                <w:highlight w:val="none"/>
              </w:rPr>
            </w:pPr>
          </w:p>
        </w:tc>
        <w:tc>
          <w:tcPr>
            <w:tcW w:w="1134" w:type="dxa"/>
            <w:noWrap w:val="0"/>
            <w:vAlign w:val="center"/>
          </w:tcPr>
          <w:p w14:paraId="43607A7C">
            <w:pPr>
              <w:pStyle w:val="2"/>
              <w:keepNext/>
              <w:spacing w:line="440" w:lineRule="exact"/>
              <w:ind w:left="63" w:right="63"/>
              <w:rPr>
                <w:rFonts w:ascii="宋体" w:hAnsi="宋体" w:eastAsia="宋体" w:cs="宋体"/>
                <w:color w:val="auto"/>
                <w:sz w:val="30"/>
                <w:szCs w:val="30"/>
                <w:highlight w:val="none"/>
              </w:rPr>
            </w:pPr>
          </w:p>
        </w:tc>
        <w:tc>
          <w:tcPr>
            <w:tcW w:w="4252" w:type="dxa"/>
            <w:noWrap w:val="0"/>
            <w:vAlign w:val="center"/>
          </w:tcPr>
          <w:p w14:paraId="375FD1E8">
            <w:pPr>
              <w:pStyle w:val="2"/>
              <w:keepNext/>
              <w:spacing w:line="440" w:lineRule="exact"/>
              <w:ind w:left="63" w:right="63"/>
              <w:rPr>
                <w:rFonts w:ascii="宋体" w:hAnsi="宋体" w:eastAsia="宋体" w:cs="宋体"/>
                <w:color w:val="auto"/>
                <w:sz w:val="30"/>
                <w:szCs w:val="30"/>
                <w:highlight w:val="none"/>
              </w:rPr>
            </w:pPr>
          </w:p>
        </w:tc>
      </w:tr>
      <w:tr w14:paraId="1CAE5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1E9F48FF">
            <w:pPr>
              <w:pStyle w:val="2"/>
              <w:keepNext/>
              <w:spacing w:line="440" w:lineRule="exact"/>
              <w:ind w:left="63" w:right="63"/>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项目副经理</w:t>
            </w:r>
          </w:p>
        </w:tc>
        <w:tc>
          <w:tcPr>
            <w:tcW w:w="1418" w:type="dxa"/>
            <w:noWrap w:val="0"/>
            <w:vAlign w:val="center"/>
          </w:tcPr>
          <w:p w14:paraId="70EC9A59">
            <w:pPr>
              <w:pStyle w:val="2"/>
              <w:keepNext/>
              <w:spacing w:line="440" w:lineRule="exact"/>
              <w:ind w:left="63" w:right="63"/>
              <w:rPr>
                <w:rFonts w:ascii="宋体" w:hAnsi="宋体" w:eastAsia="宋体" w:cs="宋体"/>
                <w:color w:val="auto"/>
                <w:sz w:val="28"/>
                <w:szCs w:val="28"/>
                <w:highlight w:val="none"/>
              </w:rPr>
            </w:pPr>
          </w:p>
        </w:tc>
        <w:tc>
          <w:tcPr>
            <w:tcW w:w="1134" w:type="dxa"/>
            <w:noWrap w:val="0"/>
            <w:vAlign w:val="center"/>
          </w:tcPr>
          <w:p w14:paraId="1636FE95">
            <w:pPr>
              <w:pStyle w:val="2"/>
              <w:keepNext/>
              <w:spacing w:line="440" w:lineRule="exact"/>
              <w:ind w:left="63" w:right="63"/>
              <w:rPr>
                <w:rFonts w:ascii="宋体" w:hAnsi="宋体" w:eastAsia="宋体" w:cs="宋体"/>
                <w:color w:val="auto"/>
                <w:sz w:val="30"/>
                <w:szCs w:val="30"/>
                <w:highlight w:val="none"/>
              </w:rPr>
            </w:pPr>
          </w:p>
        </w:tc>
        <w:tc>
          <w:tcPr>
            <w:tcW w:w="1134" w:type="dxa"/>
            <w:noWrap w:val="0"/>
            <w:vAlign w:val="center"/>
          </w:tcPr>
          <w:p w14:paraId="3D9BED62">
            <w:pPr>
              <w:pStyle w:val="2"/>
              <w:keepNext/>
              <w:spacing w:line="440" w:lineRule="exact"/>
              <w:ind w:left="63" w:right="63"/>
              <w:rPr>
                <w:rFonts w:ascii="宋体" w:hAnsi="宋体" w:eastAsia="宋体" w:cs="宋体"/>
                <w:color w:val="auto"/>
                <w:sz w:val="30"/>
                <w:szCs w:val="30"/>
                <w:highlight w:val="none"/>
              </w:rPr>
            </w:pPr>
          </w:p>
        </w:tc>
        <w:tc>
          <w:tcPr>
            <w:tcW w:w="4252" w:type="dxa"/>
            <w:noWrap w:val="0"/>
            <w:vAlign w:val="center"/>
          </w:tcPr>
          <w:p w14:paraId="0432BEF8">
            <w:pPr>
              <w:pStyle w:val="2"/>
              <w:keepNext/>
              <w:spacing w:line="440" w:lineRule="exact"/>
              <w:ind w:left="63" w:right="63"/>
              <w:rPr>
                <w:rFonts w:ascii="宋体" w:hAnsi="宋体" w:eastAsia="宋体" w:cs="宋体"/>
                <w:color w:val="auto"/>
                <w:sz w:val="30"/>
                <w:szCs w:val="30"/>
                <w:highlight w:val="none"/>
              </w:rPr>
            </w:pPr>
          </w:p>
        </w:tc>
      </w:tr>
      <w:tr w14:paraId="04B77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4510F1A1">
            <w:pPr>
              <w:pStyle w:val="2"/>
              <w:keepNext/>
              <w:spacing w:line="440" w:lineRule="exact"/>
              <w:ind w:left="63" w:right="63"/>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技术负责人</w:t>
            </w:r>
          </w:p>
        </w:tc>
        <w:tc>
          <w:tcPr>
            <w:tcW w:w="1418" w:type="dxa"/>
            <w:noWrap w:val="0"/>
            <w:vAlign w:val="center"/>
          </w:tcPr>
          <w:p w14:paraId="520022C6">
            <w:pPr>
              <w:pStyle w:val="2"/>
              <w:keepNext/>
              <w:spacing w:line="440" w:lineRule="exact"/>
              <w:ind w:left="63" w:right="63"/>
              <w:rPr>
                <w:rFonts w:ascii="宋体" w:hAnsi="宋体" w:eastAsia="宋体" w:cs="宋体"/>
                <w:color w:val="auto"/>
                <w:sz w:val="28"/>
                <w:szCs w:val="28"/>
                <w:highlight w:val="none"/>
              </w:rPr>
            </w:pPr>
          </w:p>
        </w:tc>
        <w:tc>
          <w:tcPr>
            <w:tcW w:w="1134" w:type="dxa"/>
            <w:noWrap w:val="0"/>
            <w:vAlign w:val="center"/>
          </w:tcPr>
          <w:p w14:paraId="63C0D033">
            <w:pPr>
              <w:pStyle w:val="2"/>
              <w:keepNext/>
              <w:spacing w:line="440" w:lineRule="exact"/>
              <w:ind w:left="63" w:right="63"/>
              <w:rPr>
                <w:rFonts w:ascii="宋体" w:hAnsi="宋体" w:eastAsia="宋体" w:cs="宋体"/>
                <w:color w:val="auto"/>
                <w:sz w:val="30"/>
                <w:szCs w:val="30"/>
                <w:highlight w:val="none"/>
              </w:rPr>
            </w:pPr>
          </w:p>
        </w:tc>
        <w:tc>
          <w:tcPr>
            <w:tcW w:w="1134" w:type="dxa"/>
            <w:noWrap w:val="0"/>
            <w:vAlign w:val="center"/>
          </w:tcPr>
          <w:p w14:paraId="028426E0">
            <w:pPr>
              <w:pStyle w:val="2"/>
              <w:keepNext/>
              <w:spacing w:line="440" w:lineRule="exact"/>
              <w:ind w:left="63" w:right="63"/>
              <w:rPr>
                <w:rFonts w:ascii="宋体" w:hAnsi="宋体" w:eastAsia="宋体" w:cs="宋体"/>
                <w:color w:val="auto"/>
                <w:sz w:val="30"/>
                <w:szCs w:val="30"/>
                <w:highlight w:val="none"/>
              </w:rPr>
            </w:pPr>
          </w:p>
        </w:tc>
        <w:tc>
          <w:tcPr>
            <w:tcW w:w="4252" w:type="dxa"/>
            <w:noWrap w:val="0"/>
            <w:vAlign w:val="center"/>
          </w:tcPr>
          <w:p w14:paraId="3A1AC5DF">
            <w:pPr>
              <w:pStyle w:val="2"/>
              <w:keepNext/>
              <w:spacing w:line="440" w:lineRule="exact"/>
              <w:ind w:left="63" w:right="63"/>
              <w:rPr>
                <w:rFonts w:ascii="宋体" w:hAnsi="宋体" w:eastAsia="宋体" w:cs="宋体"/>
                <w:color w:val="auto"/>
                <w:sz w:val="30"/>
                <w:szCs w:val="30"/>
                <w:highlight w:val="none"/>
              </w:rPr>
            </w:pPr>
          </w:p>
        </w:tc>
      </w:tr>
      <w:tr w14:paraId="13051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32B3A954">
            <w:pPr>
              <w:pStyle w:val="2"/>
              <w:keepNext/>
              <w:spacing w:line="440" w:lineRule="exact"/>
              <w:ind w:left="63" w:right="63"/>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造价管理</w:t>
            </w:r>
          </w:p>
        </w:tc>
        <w:tc>
          <w:tcPr>
            <w:tcW w:w="1418" w:type="dxa"/>
            <w:noWrap w:val="0"/>
            <w:vAlign w:val="center"/>
          </w:tcPr>
          <w:p w14:paraId="06D9177E">
            <w:pPr>
              <w:pStyle w:val="2"/>
              <w:keepNext/>
              <w:spacing w:line="440" w:lineRule="exact"/>
              <w:ind w:left="63" w:right="63"/>
              <w:rPr>
                <w:rFonts w:ascii="宋体" w:hAnsi="宋体" w:eastAsia="宋体" w:cs="宋体"/>
                <w:color w:val="auto"/>
                <w:sz w:val="28"/>
                <w:szCs w:val="28"/>
                <w:highlight w:val="none"/>
              </w:rPr>
            </w:pPr>
          </w:p>
        </w:tc>
        <w:tc>
          <w:tcPr>
            <w:tcW w:w="1134" w:type="dxa"/>
            <w:noWrap w:val="0"/>
            <w:vAlign w:val="center"/>
          </w:tcPr>
          <w:p w14:paraId="769C63DD">
            <w:pPr>
              <w:pStyle w:val="2"/>
              <w:keepNext/>
              <w:spacing w:line="440" w:lineRule="exact"/>
              <w:ind w:left="63" w:right="63"/>
              <w:rPr>
                <w:rFonts w:ascii="宋体" w:hAnsi="宋体" w:eastAsia="宋体" w:cs="宋体"/>
                <w:color w:val="auto"/>
                <w:sz w:val="30"/>
                <w:szCs w:val="30"/>
                <w:highlight w:val="none"/>
              </w:rPr>
            </w:pPr>
          </w:p>
        </w:tc>
        <w:tc>
          <w:tcPr>
            <w:tcW w:w="1134" w:type="dxa"/>
            <w:noWrap w:val="0"/>
            <w:vAlign w:val="center"/>
          </w:tcPr>
          <w:p w14:paraId="22858105">
            <w:pPr>
              <w:pStyle w:val="2"/>
              <w:keepNext/>
              <w:spacing w:line="440" w:lineRule="exact"/>
              <w:ind w:left="63" w:right="63"/>
              <w:rPr>
                <w:rFonts w:ascii="宋体" w:hAnsi="宋体" w:eastAsia="宋体" w:cs="宋体"/>
                <w:color w:val="auto"/>
                <w:sz w:val="30"/>
                <w:szCs w:val="30"/>
                <w:highlight w:val="none"/>
              </w:rPr>
            </w:pPr>
          </w:p>
        </w:tc>
        <w:tc>
          <w:tcPr>
            <w:tcW w:w="4252" w:type="dxa"/>
            <w:noWrap w:val="0"/>
            <w:vAlign w:val="center"/>
          </w:tcPr>
          <w:p w14:paraId="06FE3884">
            <w:pPr>
              <w:pStyle w:val="2"/>
              <w:keepNext/>
              <w:spacing w:line="440" w:lineRule="exact"/>
              <w:ind w:left="63" w:right="63"/>
              <w:rPr>
                <w:rFonts w:ascii="宋体" w:hAnsi="宋体" w:eastAsia="宋体" w:cs="宋体"/>
                <w:color w:val="auto"/>
                <w:sz w:val="30"/>
                <w:szCs w:val="30"/>
                <w:highlight w:val="none"/>
              </w:rPr>
            </w:pPr>
          </w:p>
        </w:tc>
      </w:tr>
      <w:tr w14:paraId="48105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326E093E">
            <w:pPr>
              <w:pStyle w:val="2"/>
              <w:keepNext/>
              <w:spacing w:line="440" w:lineRule="exact"/>
              <w:ind w:left="63" w:right="63"/>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质量管理</w:t>
            </w:r>
          </w:p>
        </w:tc>
        <w:tc>
          <w:tcPr>
            <w:tcW w:w="1418" w:type="dxa"/>
            <w:noWrap w:val="0"/>
            <w:vAlign w:val="center"/>
          </w:tcPr>
          <w:p w14:paraId="6A70BCDA">
            <w:pPr>
              <w:pStyle w:val="2"/>
              <w:keepNext/>
              <w:spacing w:line="440" w:lineRule="exact"/>
              <w:ind w:left="63" w:right="63"/>
              <w:rPr>
                <w:rFonts w:ascii="宋体" w:hAnsi="宋体" w:eastAsia="宋体" w:cs="宋体"/>
                <w:color w:val="auto"/>
                <w:sz w:val="28"/>
                <w:szCs w:val="28"/>
                <w:highlight w:val="none"/>
              </w:rPr>
            </w:pPr>
          </w:p>
        </w:tc>
        <w:tc>
          <w:tcPr>
            <w:tcW w:w="1134" w:type="dxa"/>
            <w:noWrap w:val="0"/>
            <w:vAlign w:val="center"/>
          </w:tcPr>
          <w:p w14:paraId="2D6A592B">
            <w:pPr>
              <w:pStyle w:val="2"/>
              <w:keepNext/>
              <w:spacing w:line="440" w:lineRule="exact"/>
              <w:ind w:left="63" w:right="63"/>
              <w:rPr>
                <w:rFonts w:ascii="宋体" w:hAnsi="宋体" w:eastAsia="宋体" w:cs="宋体"/>
                <w:color w:val="auto"/>
                <w:sz w:val="30"/>
                <w:szCs w:val="30"/>
                <w:highlight w:val="none"/>
              </w:rPr>
            </w:pPr>
          </w:p>
        </w:tc>
        <w:tc>
          <w:tcPr>
            <w:tcW w:w="1134" w:type="dxa"/>
            <w:noWrap w:val="0"/>
            <w:vAlign w:val="center"/>
          </w:tcPr>
          <w:p w14:paraId="742DC1F1">
            <w:pPr>
              <w:pStyle w:val="2"/>
              <w:keepNext/>
              <w:spacing w:line="440" w:lineRule="exact"/>
              <w:ind w:left="63" w:right="63"/>
              <w:rPr>
                <w:rFonts w:ascii="宋体" w:hAnsi="宋体" w:eastAsia="宋体" w:cs="宋体"/>
                <w:color w:val="auto"/>
                <w:sz w:val="30"/>
                <w:szCs w:val="30"/>
                <w:highlight w:val="none"/>
              </w:rPr>
            </w:pPr>
          </w:p>
        </w:tc>
        <w:tc>
          <w:tcPr>
            <w:tcW w:w="4252" w:type="dxa"/>
            <w:noWrap w:val="0"/>
            <w:vAlign w:val="center"/>
          </w:tcPr>
          <w:p w14:paraId="4D35096E">
            <w:pPr>
              <w:pStyle w:val="2"/>
              <w:keepNext/>
              <w:spacing w:line="440" w:lineRule="exact"/>
              <w:ind w:left="63" w:right="63"/>
              <w:rPr>
                <w:rFonts w:ascii="宋体" w:hAnsi="宋体" w:eastAsia="宋体" w:cs="宋体"/>
                <w:color w:val="auto"/>
                <w:sz w:val="30"/>
                <w:szCs w:val="30"/>
                <w:highlight w:val="none"/>
              </w:rPr>
            </w:pPr>
          </w:p>
        </w:tc>
      </w:tr>
      <w:tr w14:paraId="1623E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6778C1A5">
            <w:pPr>
              <w:pStyle w:val="2"/>
              <w:keepNext/>
              <w:spacing w:line="440" w:lineRule="exact"/>
              <w:ind w:left="63" w:right="63"/>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材料管理</w:t>
            </w:r>
          </w:p>
        </w:tc>
        <w:tc>
          <w:tcPr>
            <w:tcW w:w="1418" w:type="dxa"/>
            <w:noWrap w:val="0"/>
            <w:vAlign w:val="center"/>
          </w:tcPr>
          <w:p w14:paraId="0490C97C">
            <w:pPr>
              <w:pStyle w:val="2"/>
              <w:keepNext/>
              <w:spacing w:line="440" w:lineRule="exact"/>
              <w:ind w:left="63" w:right="63"/>
              <w:rPr>
                <w:rFonts w:ascii="宋体" w:hAnsi="宋体" w:eastAsia="宋体" w:cs="宋体"/>
                <w:color w:val="auto"/>
                <w:sz w:val="28"/>
                <w:szCs w:val="28"/>
                <w:highlight w:val="none"/>
              </w:rPr>
            </w:pPr>
          </w:p>
        </w:tc>
        <w:tc>
          <w:tcPr>
            <w:tcW w:w="1134" w:type="dxa"/>
            <w:noWrap w:val="0"/>
            <w:vAlign w:val="center"/>
          </w:tcPr>
          <w:p w14:paraId="61CB6ABF">
            <w:pPr>
              <w:pStyle w:val="2"/>
              <w:keepNext/>
              <w:spacing w:line="440" w:lineRule="exact"/>
              <w:ind w:left="63" w:right="63"/>
              <w:rPr>
                <w:rFonts w:ascii="宋体" w:hAnsi="宋体" w:eastAsia="宋体" w:cs="宋体"/>
                <w:color w:val="auto"/>
                <w:sz w:val="30"/>
                <w:szCs w:val="30"/>
                <w:highlight w:val="none"/>
              </w:rPr>
            </w:pPr>
          </w:p>
        </w:tc>
        <w:tc>
          <w:tcPr>
            <w:tcW w:w="1134" w:type="dxa"/>
            <w:noWrap w:val="0"/>
            <w:vAlign w:val="center"/>
          </w:tcPr>
          <w:p w14:paraId="79FBC22E">
            <w:pPr>
              <w:pStyle w:val="2"/>
              <w:keepNext/>
              <w:spacing w:line="440" w:lineRule="exact"/>
              <w:ind w:left="63" w:right="63"/>
              <w:rPr>
                <w:rFonts w:ascii="宋体" w:hAnsi="宋体" w:eastAsia="宋体" w:cs="宋体"/>
                <w:color w:val="auto"/>
                <w:sz w:val="30"/>
                <w:szCs w:val="30"/>
                <w:highlight w:val="none"/>
              </w:rPr>
            </w:pPr>
          </w:p>
        </w:tc>
        <w:tc>
          <w:tcPr>
            <w:tcW w:w="4252" w:type="dxa"/>
            <w:noWrap w:val="0"/>
            <w:vAlign w:val="center"/>
          </w:tcPr>
          <w:p w14:paraId="1BC24EE0">
            <w:pPr>
              <w:pStyle w:val="2"/>
              <w:keepNext/>
              <w:spacing w:line="440" w:lineRule="exact"/>
              <w:ind w:left="63" w:right="63"/>
              <w:rPr>
                <w:rFonts w:ascii="宋体" w:hAnsi="宋体" w:eastAsia="宋体" w:cs="宋体"/>
                <w:color w:val="auto"/>
                <w:sz w:val="30"/>
                <w:szCs w:val="30"/>
                <w:highlight w:val="none"/>
              </w:rPr>
            </w:pPr>
          </w:p>
        </w:tc>
      </w:tr>
      <w:tr w14:paraId="31449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2F903620">
            <w:pPr>
              <w:pStyle w:val="2"/>
              <w:keepNext/>
              <w:spacing w:line="440" w:lineRule="exact"/>
              <w:ind w:left="63" w:right="63"/>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计划管理</w:t>
            </w:r>
          </w:p>
        </w:tc>
        <w:tc>
          <w:tcPr>
            <w:tcW w:w="1418" w:type="dxa"/>
            <w:noWrap w:val="0"/>
            <w:vAlign w:val="center"/>
          </w:tcPr>
          <w:p w14:paraId="0F808515">
            <w:pPr>
              <w:pStyle w:val="2"/>
              <w:keepNext/>
              <w:spacing w:line="440" w:lineRule="exact"/>
              <w:ind w:left="63" w:right="63"/>
              <w:rPr>
                <w:rFonts w:ascii="宋体" w:hAnsi="宋体" w:eastAsia="宋体" w:cs="宋体"/>
                <w:color w:val="auto"/>
                <w:sz w:val="28"/>
                <w:szCs w:val="28"/>
                <w:highlight w:val="none"/>
              </w:rPr>
            </w:pPr>
          </w:p>
        </w:tc>
        <w:tc>
          <w:tcPr>
            <w:tcW w:w="1134" w:type="dxa"/>
            <w:noWrap w:val="0"/>
            <w:vAlign w:val="center"/>
          </w:tcPr>
          <w:p w14:paraId="18EA5C44">
            <w:pPr>
              <w:pStyle w:val="2"/>
              <w:keepNext/>
              <w:spacing w:line="440" w:lineRule="exact"/>
              <w:ind w:left="63" w:right="63"/>
              <w:rPr>
                <w:rFonts w:ascii="宋体" w:hAnsi="宋体" w:eastAsia="宋体" w:cs="宋体"/>
                <w:color w:val="auto"/>
                <w:sz w:val="30"/>
                <w:szCs w:val="30"/>
                <w:highlight w:val="none"/>
              </w:rPr>
            </w:pPr>
          </w:p>
        </w:tc>
        <w:tc>
          <w:tcPr>
            <w:tcW w:w="1134" w:type="dxa"/>
            <w:noWrap w:val="0"/>
            <w:vAlign w:val="center"/>
          </w:tcPr>
          <w:p w14:paraId="4A40CC7C">
            <w:pPr>
              <w:pStyle w:val="2"/>
              <w:keepNext/>
              <w:spacing w:line="440" w:lineRule="exact"/>
              <w:ind w:left="63" w:right="63"/>
              <w:rPr>
                <w:rFonts w:ascii="宋体" w:hAnsi="宋体" w:eastAsia="宋体" w:cs="宋体"/>
                <w:color w:val="auto"/>
                <w:sz w:val="30"/>
                <w:szCs w:val="30"/>
                <w:highlight w:val="none"/>
              </w:rPr>
            </w:pPr>
          </w:p>
        </w:tc>
        <w:tc>
          <w:tcPr>
            <w:tcW w:w="4252" w:type="dxa"/>
            <w:noWrap w:val="0"/>
            <w:vAlign w:val="center"/>
          </w:tcPr>
          <w:p w14:paraId="5FC635DA">
            <w:pPr>
              <w:pStyle w:val="2"/>
              <w:keepNext/>
              <w:spacing w:line="440" w:lineRule="exact"/>
              <w:ind w:left="63" w:right="63"/>
              <w:rPr>
                <w:rFonts w:ascii="宋体" w:hAnsi="宋体" w:eastAsia="宋体" w:cs="宋体"/>
                <w:color w:val="auto"/>
                <w:sz w:val="30"/>
                <w:szCs w:val="30"/>
                <w:highlight w:val="none"/>
              </w:rPr>
            </w:pPr>
          </w:p>
        </w:tc>
      </w:tr>
      <w:tr w14:paraId="39716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5924A3A6">
            <w:pPr>
              <w:pStyle w:val="2"/>
              <w:keepNext/>
              <w:spacing w:line="440" w:lineRule="exact"/>
              <w:ind w:left="63" w:right="63"/>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安全管理</w:t>
            </w:r>
          </w:p>
        </w:tc>
        <w:tc>
          <w:tcPr>
            <w:tcW w:w="1418" w:type="dxa"/>
            <w:noWrap w:val="0"/>
            <w:vAlign w:val="center"/>
          </w:tcPr>
          <w:p w14:paraId="064D6975">
            <w:pPr>
              <w:pStyle w:val="2"/>
              <w:keepNext/>
              <w:spacing w:line="440" w:lineRule="exact"/>
              <w:ind w:left="63" w:right="63"/>
              <w:rPr>
                <w:rFonts w:ascii="宋体" w:hAnsi="宋体" w:eastAsia="宋体" w:cs="宋体"/>
                <w:color w:val="auto"/>
                <w:sz w:val="28"/>
                <w:szCs w:val="28"/>
                <w:highlight w:val="none"/>
              </w:rPr>
            </w:pPr>
          </w:p>
        </w:tc>
        <w:tc>
          <w:tcPr>
            <w:tcW w:w="1134" w:type="dxa"/>
            <w:noWrap w:val="0"/>
            <w:vAlign w:val="center"/>
          </w:tcPr>
          <w:p w14:paraId="586383F2">
            <w:pPr>
              <w:pStyle w:val="2"/>
              <w:keepNext/>
              <w:spacing w:line="440" w:lineRule="exact"/>
              <w:ind w:left="63" w:right="63"/>
              <w:rPr>
                <w:rFonts w:ascii="宋体" w:hAnsi="宋体" w:eastAsia="宋体" w:cs="宋体"/>
                <w:color w:val="auto"/>
                <w:sz w:val="30"/>
                <w:szCs w:val="30"/>
                <w:highlight w:val="none"/>
              </w:rPr>
            </w:pPr>
          </w:p>
        </w:tc>
        <w:tc>
          <w:tcPr>
            <w:tcW w:w="1134" w:type="dxa"/>
            <w:noWrap w:val="0"/>
            <w:vAlign w:val="center"/>
          </w:tcPr>
          <w:p w14:paraId="1F1DD601">
            <w:pPr>
              <w:pStyle w:val="2"/>
              <w:keepNext/>
              <w:spacing w:line="440" w:lineRule="exact"/>
              <w:ind w:left="63" w:right="63"/>
              <w:rPr>
                <w:rFonts w:ascii="宋体" w:hAnsi="宋体" w:eastAsia="宋体" w:cs="宋体"/>
                <w:color w:val="auto"/>
                <w:sz w:val="30"/>
                <w:szCs w:val="30"/>
                <w:highlight w:val="none"/>
              </w:rPr>
            </w:pPr>
          </w:p>
        </w:tc>
        <w:tc>
          <w:tcPr>
            <w:tcW w:w="4252" w:type="dxa"/>
            <w:noWrap w:val="0"/>
            <w:vAlign w:val="center"/>
          </w:tcPr>
          <w:p w14:paraId="71F2EC83">
            <w:pPr>
              <w:pStyle w:val="2"/>
              <w:keepNext/>
              <w:spacing w:line="440" w:lineRule="exact"/>
              <w:ind w:left="63" w:right="63"/>
              <w:rPr>
                <w:rFonts w:ascii="宋体" w:hAnsi="宋体" w:eastAsia="宋体" w:cs="宋体"/>
                <w:color w:val="auto"/>
                <w:sz w:val="30"/>
                <w:szCs w:val="30"/>
                <w:highlight w:val="none"/>
              </w:rPr>
            </w:pPr>
          </w:p>
        </w:tc>
      </w:tr>
      <w:tr w14:paraId="6E0F0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580DA23D">
            <w:pPr>
              <w:pStyle w:val="2"/>
              <w:keepNext/>
              <w:spacing w:line="440" w:lineRule="exact"/>
              <w:ind w:left="63" w:right="63"/>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其他人员</w:t>
            </w:r>
          </w:p>
        </w:tc>
        <w:tc>
          <w:tcPr>
            <w:tcW w:w="1418" w:type="dxa"/>
            <w:noWrap w:val="0"/>
            <w:vAlign w:val="center"/>
          </w:tcPr>
          <w:p w14:paraId="5A0D6D2D">
            <w:pPr>
              <w:pStyle w:val="2"/>
              <w:keepNext/>
              <w:spacing w:line="440" w:lineRule="exact"/>
              <w:ind w:left="63" w:right="63"/>
              <w:rPr>
                <w:rFonts w:ascii="宋体" w:hAnsi="宋体" w:eastAsia="宋体" w:cs="宋体"/>
                <w:color w:val="auto"/>
                <w:sz w:val="28"/>
                <w:szCs w:val="28"/>
                <w:highlight w:val="none"/>
              </w:rPr>
            </w:pPr>
          </w:p>
        </w:tc>
        <w:tc>
          <w:tcPr>
            <w:tcW w:w="1134" w:type="dxa"/>
            <w:noWrap w:val="0"/>
            <w:vAlign w:val="center"/>
          </w:tcPr>
          <w:p w14:paraId="43341AD4">
            <w:pPr>
              <w:pStyle w:val="2"/>
              <w:keepNext/>
              <w:spacing w:line="440" w:lineRule="exact"/>
              <w:ind w:left="63" w:right="63"/>
              <w:rPr>
                <w:rFonts w:ascii="宋体" w:hAnsi="宋体" w:eastAsia="宋体" w:cs="宋体"/>
                <w:color w:val="auto"/>
                <w:sz w:val="30"/>
                <w:szCs w:val="30"/>
                <w:highlight w:val="none"/>
              </w:rPr>
            </w:pPr>
          </w:p>
        </w:tc>
        <w:tc>
          <w:tcPr>
            <w:tcW w:w="1134" w:type="dxa"/>
            <w:noWrap w:val="0"/>
            <w:vAlign w:val="center"/>
          </w:tcPr>
          <w:p w14:paraId="49C10FC0">
            <w:pPr>
              <w:pStyle w:val="2"/>
              <w:keepNext/>
              <w:spacing w:line="440" w:lineRule="exact"/>
              <w:ind w:left="63" w:right="63"/>
              <w:rPr>
                <w:rFonts w:ascii="宋体" w:hAnsi="宋体" w:eastAsia="宋体" w:cs="宋体"/>
                <w:color w:val="auto"/>
                <w:sz w:val="30"/>
                <w:szCs w:val="30"/>
                <w:highlight w:val="none"/>
              </w:rPr>
            </w:pPr>
          </w:p>
        </w:tc>
        <w:tc>
          <w:tcPr>
            <w:tcW w:w="4252" w:type="dxa"/>
            <w:noWrap w:val="0"/>
            <w:vAlign w:val="center"/>
          </w:tcPr>
          <w:p w14:paraId="060D68E3">
            <w:pPr>
              <w:pStyle w:val="2"/>
              <w:keepNext/>
              <w:spacing w:line="440" w:lineRule="exact"/>
              <w:ind w:left="63" w:right="63"/>
              <w:rPr>
                <w:rFonts w:ascii="宋体" w:hAnsi="宋体" w:eastAsia="宋体" w:cs="宋体"/>
                <w:color w:val="auto"/>
                <w:sz w:val="30"/>
                <w:szCs w:val="30"/>
                <w:highlight w:val="none"/>
              </w:rPr>
            </w:pPr>
          </w:p>
        </w:tc>
      </w:tr>
      <w:tr w14:paraId="13B9D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7EFD6E38">
            <w:pPr>
              <w:pStyle w:val="2"/>
              <w:keepNext/>
              <w:spacing w:line="440" w:lineRule="exact"/>
              <w:ind w:left="63" w:right="63"/>
              <w:rPr>
                <w:rFonts w:ascii="宋体" w:hAnsi="宋体" w:eastAsia="宋体" w:cs="宋体"/>
                <w:color w:val="auto"/>
                <w:sz w:val="28"/>
                <w:szCs w:val="28"/>
                <w:highlight w:val="none"/>
              </w:rPr>
            </w:pPr>
          </w:p>
        </w:tc>
        <w:tc>
          <w:tcPr>
            <w:tcW w:w="1418" w:type="dxa"/>
            <w:noWrap w:val="0"/>
            <w:vAlign w:val="center"/>
          </w:tcPr>
          <w:p w14:paraId="1647EF9D">
            <w:pPr>
              <w:pStyle w:val="2"/>
              <w:keepNext/>
              <w:spacing w:line="440" w:lineRule="exact"/>
              <w:ind w:left="63" w:right="63"/>
              <w:rPr>
                <w:rFonts w:ascii="宋体" w:hAnsi="宋体" w:eastAsia="宋体" w:cs="宋体"/>
                <w:color w:val="auto"/>
                <w:sz w:val="28"/>
                <w:szCs w:val="28"/>
                <w:highlight w:val="none"/>
              </w:rPr>
            </w:pPr>
          </w:p>
        </w:tc>
        <w:tc>
          <w:tcPr>
            <w:tcW w:w="1134" w:type="dxa"/>
            <w:noWrap w:val="0"/>
            <w:vAlign w:val="center"/>
          </w:tcPr>
          <w:p w14:paraId="7ED6464B">
            <w:pPr>
              <w:pStyle w:val="2"/>
              <w:keepNext/>
              <w:spacing w:line="440" w:lineRule="exact"/>
              <w:ind w:left="63" w:right="63"/>
              <w:rPr>
                <w:rFonts w:ascii="宋体" w:hAnsi="宋体" w:eastAsia="宋体" w:cs="宋体"/>
                <w:color w:val="auto"/>
                <w:sz w:val="30"/>
                <w:szCs w:val="30"/>
                <w:highlight w:val="none"/>
              </w:rPr>
            </w:pPr>
          </w:p>
        </w:tc>
        <w:tc>
          <w:tcPr>
            <w:tcW w:w="1134" w:type="dxa"/>
            <w:noWrap w:val="0"/>
            <w:vAlign w:val="center"/>
          </w:tcPr>
          <w:p w14:paraId="6FA2A8B3">
            <w:pPr>
              <w:pStyle w:val="2"/>
              <w:keepNext/>
              <w:spacing w:line="440" w:lineRule="exact"/>
              <w:ind w:left="63" w:right="63"/>
              <w:rPr>
                <w:rFonts w:ascii="宋体" w:hAnsi="宋体" w:eastAsia="宋体" w:cs="宋体"/>
                <w:color w:val="auto"/>
                <w:sz w:val="30"/>
                <w:szCs w:val="30"/>
                <w:highlight w:val="none"/>
              </w:rPr>
            </w:pPr>
          </w:p>
        </w:tc>
        <w:tc>
          <w:tcPr>
            <w:tcW w:w="4252" w:type="dxa"/>
            <w:noWrap w:val="0"/>
            <w:vAlign w:val="center"/>
          </w:tcPr>
          <w:p w14:paraId="46E32354">
            <w:pPr>
              <w:pStyle w:val="2"/>
              <w:keepNext/>
              <w:spacing w:line="440" w:lineRule="exact"/>
              <w:ind w:left="63" w:right="63"/>
              <w:rPr>
                <w:rFonts w:ascii="宋体" w:hAnsi="宋体" w:eastAsia="宋体" w:cs="宋体"/>
                <w:color w:val="auto"/>
                <w:sz w:val="30"/>
                <w:szCs w:val="30"/>
                <w:highlight w:val="none"/>
              </w:rPr>
            </w:pPr>
          </w:p>
        </w:tc>
      </w:tr>
      <w:tr w14:paraId="4F7F5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2803FB10">
            <w:pPr>
              <w:pStyle w:val="2"/>
              <w:keepNext/>
              <w:spacing w:line="440" w:lineRule="exact"/>
              <w:ind w:left="63" w:right="63"/>
              <w:rPr>
                <w:rFonts w:ascii="宋体" w:hAnsi="宋体" w:eastAsia="宋体" w:cs="宋体"/>
                <w:color w:val="auto"/>
                <w:sz w:val="28"/>
                <w:szCs w:val="28"/>
                <w:highlight w:val="none"/>
              </w:rPr>
            </w:pPr>
          </w:p>
        </w:tc>
        <w:tc>
          <w:tcPr>
            <w:tcW w:w="1418" w:type="dxa"/>
            <w:noWrap w:val="0"/>
            <w:vAlign w:val="center"/>
          </w:tcPr>
          <w:p w14:paraId="795EB3E8">
            <w:pPr>
              <w:pStyle w:val="2"/>
              <w:keepNext/>
              <w:spacing w:line="440" w:lineRule="exact"/>
              <w:ind w:left="63" w:right="63"/>
              <w:rPr>
                <w:rFonts w:ascii="宋体" w:hAnsi="宋体" w:eastAsia="宋体" w:cs="宋体"/>
                <w:color w:val="auto"/>
                <w:sz w:val="28"/>
                <w:szCs w:val="28"/>
                <w:highlight w:val="none"/>
              </w:rPr>
            </w:pPr>
          </w:p>
        </w:tc>
        <w:tc>
          <w:tcPr>
            <w:tcW w:w="1134" w:type="dxa"/>
            <w:noWrap w:val="0"/>
            <w:vAlign w:val="center"/>
          </w:tcPr>
          <w:p w14:paraId="6B5E0E16">
            <w:pPr>
              <w:pStyle w:val="2"/>
              <w:keepNext/>
              <w:spacing w:line="440" w:lineRule="exact"/>
              <w:ind w:left="63" w:right="63"/>
              <w:rPr>
                <w:rFonts w:ascii="宋体" w:hAnsi="宋体" w:eastAsia="宋体" w:cs="宋体"/>
                <w:color w:val="auto"/>
                <w:sz w:val="30"/>
                <w:szCs w:val="30"/>
                <w:highlight w:val="none"/>
              </w:rPr>
            </w:pPr>
          </w:p>
        </w:tc>
        <w:tc>
          <w:tcPr>
            <w:tcW w:w="1134" w:type="dxa"/>
            <w:noWrap w:val="0"/>
            <w:vAlign w:val="center"/>
          </w:tcPr>
          <w:p w14:paraId="6DEE4B52">
            <w:pPr>
              <w:pStyle w:val="2"/>
              <w:keepNext/>
              <w:spacing w:line="440" w:lineRule="exact"/>
              <w:ind w:left="63" w:right="63"/>
              <w:rPr>
                <w:rFonts w:ascii="宋体" w:hAnsi="宋体" w:eastAsia="宋体" w:cs="宋体"/>
                <w:color w:val="auto"/>
                <w:sz w:val="30"/>
                <w:szCs w:val="30"/>
                <w:highlight w:val="none"/>
              </w:rPr>
            </w:pPr>
          </w:p>
        </w:tc>
        <w:tc>
          <w:tcPr>
            <w:tcW w:w="4252" w:type="dxa"/>
            <w:noWrap w:val="0"/>
            <w:vAlign w:val="center"/>
          </w:tcPr>
          <w:p w14:paraId="491BDA3B">
            <w:pPr>
              <w:pStyle w:val="2"/>
              <w:keepNext/>
              <w:spacing w:line="440" w:lineRule="exact"/>
              <w:ind w:left="63" w:right="63"/>
              <w:rPr>
                <w:rFonts w:ascii="宋体" w:hAnsi="宋体" w:eastAsia="宋体" w:cs="宋体"/>
                <w:color w:val="auto"/>
                <w:sz w:val="30"/>
                <w:szCs w:val="30"/>
                <w:highlight w:val="none"/>
              </w:rPr>
            </w:pPr>
          </w:p>
        </w:tc>
      </w:tr>
      <w:tr w14:paraId="5E6BE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5F9367AF">
            <w:pPr>
              <w:pStyle w:val="2"/>
              <w:keepNext/>
              <w:spacing w:line="440" w:lineRule="exact"/>
              <w:ind w:left="63" w:right="63"/>
              <w:rPr>
                <w:rFonts w:ascii="宋体" w:hAnsi="宋体" w:eastAsia="宋体" w:cs="宋体"/>
                <w:color w:val="auto"/>
                <w:sz w:val="28"/>
                <w:szCs w:val="28"/>
                <w:highlight w:val="none"/>
              </w:rPr>
            </w:pPr>
          </w:p>
        </w:tc>
        <w:tc>
          <w:tcPr>
            <w:tcW w:w="1418" w:type="dxa"/>
            <w:noWrap w:val="0"/>
            <w:vAlign w:val="center"/>
          </w:tcPr>
          <w:p w14:paraId="1A46FC25">
            <w:pPr>
              <w:pStyle w:val="2"/>
              <w:keepNext/>
              <w:spacing w:line="440" w:lineRule="exact"/>
              <w:ind w:left="63" w:right="63"/>
              <w:rPr>
                <w:rFonts w:ascii="宋体" w:hAnsi="宋体" w:eastAsia="宋体" w:cs="宋体"/>
                <w:color w:val="auto"/>
                <w:sz w:val="28"/>
                <w:szCs w:val="28"/>
                <w:highlight w:val="none"/>
              </w:rPr>
            </w:pPr>
          </w:p>
        </w:tc>
        <w:tc>
          <w:tcPr>
            <w:tcW w:w="1134" w:type="dxa"/>
            <w:noWrap w:val="0"/>
            <w:vAlign w:val="center"/>
          </w:tcPr>
          <w:p w14:paraId="373396B4">
            <w:pPr>
              <w:pStyle w:val="2"/>
              <w:keepNext/>
              <w:spacing w:line="440" w:lineRule="exact"/>
              <w:ind w:left="63" w:right="63"/>
              <w:rPr>
                <w:rFonts w:ascii="宋体" w:hAnsi="宋体" w:eastAsia="宋体" w:cs="宋体"/>
                <w:color w:val="auto"/>
                <w:sz w:val="30"/>
                <w:szCs w:val="30"/>
                <w:highlight w:val="none"/>
              </w:rPr>
            </w:pPr>
          </w:p>
        </w:tc>
        <w:tc>
          <w:tcPr>
            <w:tcW w:w="1134" w:type="dxa"/>
            <w:noWrap w:val="0"/>
            <w:vAlign w:val="center"/>
          </w:tcPr>
          <w:p w14:paraId="2BA4A23B">
            <w:pPr>
              <w:pStyle w:val="2"/>
              <w:keepNext/>
              <w:spacing w:line="440" w:lineRule="exact"/>
              <w:ind w:left="63" w:right="63"/>
              <w:rPr>
                <w:rFonts w:ascii="宋体" w:hAnsi="宋体" w:eastAsia="宋体" w:cs="宋体"/>
                <w:color w:val="auto"/>
                <w:sz w:val="30"/>
                <w:szCs w:val="30"/>
                <w:highlight w:val="none"/>
              </w:rPr>
            </w:pPr>
          </w:p>
        </w:tc>
        <w:tc>
          <w:tcPr>
            <w:tcW w:w="4252" w:type="dxa"/>
            <w:noWrap w:val="0"/>
            <w:vAlign w:val="center"/>
          </w:tcPr>
          <w:p w14:paraId="2474FEA9">
            <w:pPr>
              <w:pStyle w:val="2"/>
              <w:keepNext/>
              <w:spacing w:line="440" w:lineRule="exact"/>
              <w:ind w:left="63" w:right="63"/>
              <w:rPr>
                <w:rFonts w:ascii="宋体" w:hAnsi="宋体" w:eastAsia="宋体" w:cs="宋体"/>
                <w:color w:val="auto"/>
                <w:sz w:val="30"/>
                <w:szCs w:val="30"/>
                <w:highlight w:val="none"/>
              </w:rPr>
            </w:pPr>
          </w:p>
        </w:tc>
      </w:tr>
      <w:tr w14:paraId="7650D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0446A2CD">
            <w:pPr>
              <w:pStyle w:val="2"/>
              <w:keepNext/>
              <w:spacing w:line="440" w:lineRule="exact"/>
              <w:ind w:left="63" w:right="63"/>
              <w:rPr>
                <w:rFonts w:ascii="宋体" w:hAnsi="宋体" w:eastAsia="宋体" w:cs="宋体"/>
                <w:color w:val="auto"/>
                <w:sz w:val="28"/>
                <w:szCs w:val="28"/>
                <w:highlight w:val="none"/>
              </w:rPr>
            </w:pPr>
          </w:p>
        </w:tc>
        <w:tc>
          <w:tcPr>
            <w:tcW w:w="1418" w:type="dxa"/>
            <w:noWrap w:val="0"/>
            <w:vAlign w:val="center"/>
          </w:tcPr>
          <w:p w14:paraId="760F732F">
            <w:pPr>
              <w:pStyle w:val="2"/>
              <w:keepNext/>
              <w:spacing w:line="440" w:lineRule="exact"/>
              <w:ind w:left="63" w:right="63"/>
              <w:rPr>
                <w:rFonts w:ascii="宋体" w:hAnsi="宋体" w:eastAsia="宋体" w:cs="宋体"/>
                <w:color w:val="auto"/>
                <w:sz w:val="28"/>
                <w:szCs w:val="28"/>
                <w:highlight w:val="none"/>
              </w:rPr>
            </w:pPr>
          </w:p>
        </w:tc>
        <w:tc>
          <w:tcPr>
            <w:tcW w:w="1134" w:type="dxa"/>
            <w:noWrap w:val="0"/>
            <w:vAlign w:val="center"/>
          </w:tcPr>
          <w:p w14:paraId="6860934C">
            <w:pPr>
              <w:pStyle w:val="2"/>
              <w:keepNext/>
              <w:spacing w:line="440" w:lineRule="exact"/>
              <w:ind w:left="63" w:right="63"/>
              <w:rPr>
                <w:rFonts w:ascii="宋体" w:hAnsi="宋体" w:eastAsia="宋体" w:cs="宋体"/>
                <w:color w:val="auto"/>
                <w:sz w:val="30"/>
                <w:szCs w:val="30"/>
                <w:highlight w:val="none"/>
              </w:rPr>
            </w:pPr>
          </w:p>
        </w:tc>
        <w:tc>
          <w:tcPr>
            <w:tcW w:w="1134" w:type="dxa"/>
            <w:noWrap w:val="0"/>
            <w:vAlign w:val="center"/>
          </w:tcPr>
          <w:p w14:paraId="60F29F8A">
            <w:pPr>
              <w:pStyle w:val="2"/>
              <w:keepNext/>
              <w:spacing w:line="440" w:lineRule="exact"/>
              <w:ind w:left="63" w:right="63"/>
              <w:rPr>
                <w:rFonts w:ascii="宋体" w:hAnsi="宋体" w:eastAsia="宋体" w:cs="宋体"/>
                <w:color w:val="auto"/>
                <w:sz w:val="30"/>
                <w:szCs w:val="30"/>
                <w:highlight w:val="none"/>
              </w:rPr>
            </w:pPr>
          </w:p>
        </w:tc>
        <w:tc>
          <w:tcPr>
            <w:tcW w:w="4252" w:type="dxa"/>
            <w:noWrap w:val="0"/>
            <w:vAlign w:val="center"/>
          </w:tcPr>
          <w:p w14:paraId="48B10EF1">
            <w:pPr>
              <w:pStyle w:val="2"/>
              <w:keepNext/>
              <w:spacing w:line="440" w:lineRule="exact"/>
              <w:ind w:left="63" w:right="63"/>
              <w:rPr>
                <w:rFonts w:ascii="宋体" w:hAnsi="宋体" w:eastAsia="宋体" w:cs="宋体"/>
                <w:color w:val="auto"/>
                <w:sz w:val="30"/>
                <w:szCs w:val="30"/>
                <w:highlight w:val="none"/>
              </w:rPr>
            </w:pPr>
          </w:p>
        </w:tc>
      </w:tr>
      <w:tr w14:paraId="3C925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0C6C790B">
            <w:pPr>
              <w:pStyle w:val="2"/>
              <w:keepNext/>
              <w:spacing w:line="440" w:lineRule="exact"/>
              <w:ind w:left="63" w:right="63"/>
              <w:rPr>
                <w:rFonts w:ascii="宋体" w:hAnsi="宋体" w:eastAsia="宋体" w:cs="宋体"/>
                <w:color w:val="auto"/>
                <w:sz w:val="28"/>
                <w:szCs w:val="28"/>
                <w:highlight w:val="none"/>
              </w:rPr>
            </w:pPr>
          </w:p>
        </w:tc>
        <w:tc>
          <w:tcPr>
            <w:tcW w:w="1418" w:type="dxa"/>
            <w:noWrap w:val="0"/>
            <w:vAlign w:val="center"/>
          </w:tcPr>
          <w:p w14:paraId="167E251D">
            <w:pPr>
              <w:pStyle w:val="2"/>
              <w:keepNext/>
              <w:spacing w:line="440" w:lineRule="exact"/>
              <w:ind w:left="63" w:right="63"/>
              <w:rPr>
                <w:rFonts w:ascii="宋体" w:hAnsi="宋体" w:eastAsia="宋体" w:cs="宋体"/>
                <w:color w:val="auto"/>
                <w:sz w:val="28"/>
                <w:szCs w:val="28"/>
                <w:highlight w:val="none"/>
              </w:rPr>
            </w:pPr>
          </w:p>
        </w:tc>
        <w:tc>
          <w:tcPr>
            <w:tcW w:w="1134" w:type="dxa"/>
            <w:noWrap w:val="0"/>
            <w:vAlign w:val="center"/>
          </w:tcPr>
          <w:p w14:paraId="47045312">
            <w:pPr>
              <w:pStyle w:val="2"/>
              <w:keepNext/>
              <w:spacing w:line="440" w:lineRule="exact"/>
              <w:ind w:left="63" w:right="63"/>
              <w:rPr>
                <w:rFonts w:ascii="宋体" w:hAnsi="宋体" w:eastAsia="宋体" w:cs="宋体"/>
                <w:color w:val="auto"/>
                <w:sz w:val="30"/>
                <w:szCs w:val="30"/>
                <w:highlight w:val="none"/>
              </w:rPr>
            </w:pPr>
          </w:p>
        </w:tc>
        <w:tc>
          <w:tcPr>
            <w:tcW w:w="1134" w:type="dxa"/>
            <w:noWrap w:val="0"/>
            <w:vAlign w:val="center"/>
          </w:tcPr>
          <w:p w14:paraId="37E6E153">
            <w:pPr>
              <w:pStyle w:val="2"/>
              <w:keepNext/>
              <w:spacing w:line="440" w:lineRule="exact"/>
              <w:ind w:left="63" w:right="63"/>
              <w:rPr>
                <w:rFonts w:ascii="宋体" w:hAnsi="宋体" w:eastAsia="宋体" w:cs="宋体"/>
                <w:color w:val="auto"/>
                <w:sz w:val="30"/>
                <w:szCs w:val="30"/>
                <w:highlight w:val="none"/>
              </w:rPr>
            </w:pPr>
          </w:p>
        </w:tc>
        <w:tc>
          <w:tcPr>
            <w:tcW w:w="4252" w:type="dxa"/>
            <w:noWrap w:val="0"/>
            <w:vAlign w:val="center"/>
          </w:tcPr>
          <w:p w14:paraId="0D59B9EF">
            <w:pPr>
              <w:pStyle w:val="2"/>
              <w:keepNext/>
              <w:spacing w:line="440" w:lineRule="exact"/>
              <w:ind w:left="63" w:right="63"/>
              <w:rPr>
                <w:rFonts w:ascii="宋体" w:hAnsi="宋体" w:eastAsia="宋体" w:cs="宋体"/>
                <w:color w:val="auto"/>
                <w:sz w:val="30"/>
                <w:szCs w:val="30"/>
                <w:highlight w:val="none"/>
              </w:rPr>
            </w:pPr>
          </w:p>
        </w:tc>
      </w:tr>
    </w:tbl>
    <w:p w14:paraId="5B9D8686">
      <w:pPr>
        <w:pStyle w:val="6"/>
        <w:jc w:val="left"/>
        <w:rPr>
          <w:rFonts w:ascii="宋体" w:hAnsi="宋体" w:eastAsia="宋体" w:cs="宋体"/>
          <w:color w:val="auto"/>
          <w:sz w:val="32"/>
          <w:szCs w:val="32"/>
          <w:highlight w:val="none"/>
        </w:rPr>
      </w:pPr>
      <w:r>
        <w:rPr>
          <w:rFonts w:hint="eastAsia" w:ascii="宋体" w:hAnsi="宋体" w:eastAsia="宋体" w:cs="宋体"/>
          <w:color w:val="auto"/>
          <w:sz w:val="30"/>
          <w:szCs w:val="30"/>
          <w:highlight w:val="none"/>
        </w:rPr>
        <w:br w:type="page"/>
      </w:r>
      <w:bookmarkStart w:id="1023" w:name="_Toc267261701"/>
      <w:r>
        <w:rPr>
          <w:rFonts w:hint="eastAsia" w:ascii="宋体" w:hAnsi="宋体" w:eastAsia="宋体" w:cs="宋体"/>
          <w:color w:val="auto"/>
          <w:highlight w:val="none"/>
        </w:rPr>
        <w:t>附件</w:t>
      </w:r>
      <w:r>
        <w:rPr>
          <w:rFonts w:hint="eastAsia" w:ascii="宋体" w:hAnsi="宋体" w:eastAsia="宋体" w:cs="宋体"/>
          <w:color w:val="auto"/>
          <w:sz w:val="32"/>
          <w:szCs w:val="32"/>
          <w:highlight w:val="none"/>
        </w:rPr>
        <w:t>7</w:t>
      </w:r>
    </w:p>
    <w:p w14:paraId="7237A6F8">
      <w:pPr>
        <w:spacing w:line="360" w:lineRule="auto"/>
        <w:jc w:val="left"/>
        <w:rPr>
          <w:rFonts w:ascii="宋体" w:hAnsi="宋体" w:eastAsia="宋体" w:cs="宋体"/>
          <w:b/>
          <w:bCs/>
          <w:color w:val="auto"/>
          <w:sz w:val="32"/>
          <w:szCs w:val="32"/>
          <w:highlight w:val="none"/>
        </w:rPr>
      </w:pPr>
    </w:p>
    <w:p w14:paraId="0744CB96">
      <w:pPr>
        <w:spacing w:line="360" w:lineRule="auto"/>
        <w:jc w:val="cente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履约保函示范文本</w:t>
      </w:r>
    </w:p>
    <w:p w14:paraId="5C2D4685">
      <w:pPr>
        <w:spacing w:line="360" w:lineRule="auto"/>
        <w:jc w:val="center"/>
        <w:rPr>
          <w:rFonts w:ascii="宋体" w:hAnsi="宋体" w:eastAsia="宋体" w:cs="宋体"/>
          <w:color w:val="auto"/>
          <w:highlight w:val="none"/>
        </w:rPr>
      </w:pPr>
      <w:r>
        <w:rPr>
          <w:rFonts w:hint="eastAsia" w:ascii="宋体" w:hAnsi="宋体" w:eastAsia="宋体" w:cs="宋体"/>
          <w:b/>
          <w:bCs/>
          <w:color w:val="auto"/>
          <w:sz w:val="32"/>
          <w:szCs w:val="32"/>
          <w:highlight w:val="none"/>
        </w:rPr>
        <w:t>（独立保函）</w:t>
      </w:r>
    </w:p>
    <w:p w14:paraId="5020A199">
      <w:pPr>
        <w:keepNext w:val="0"/>
        <w:keepLines w:val="0"/>
        <w:widowControl/>
        <w:suppressLineNumbers w:val="0"/>
        <w:jc w:val="left"/>
        <w:rPr>
          <w:color w:val="auto"/>
          <w:highlight w:val="none"/>
        </w:rPr>
      </w:pPr>
      <w:r>
        <w:rPr>
          <w:rStyle w:val="57"/>
          <w:rFonts w:ascii="宋体" w:hAnsi="宋体" w:eastAsia="宋体" w:cs="宋体"/>
          <w:color w:val="auto"/>
          <w:kern w:val="0"/>
          <w:sz w:val="24"/>
          <w:szCs w:val="24"/>
          <w:highlight w:val="none"/>
          <w:lang w:val="en-US" w:eastAsia="zh-CN" w:bidi="ar"/>
        </w:rPr>
        <w:t>编号：________________________</w:t>
      </w:r>
    </w:p>
    <w:p w14:paraId="24712190">
      <w:pPr>
        <w:keepNext w:val="0"/>
        <w:keepLines w:val="0"/>
        <w:widowControl/>
        <w:suppressLineNumbers w:val="0"/>
        <w:jc w:val="left"/>
        <w:rPr>
          <w:color w:val="auto"/>
          <w:highlight w:val="none"/>
        </w:rPr>
      </w:pPr>
      <w:r>
        <w:rPr>
          <w:rStyle w:val="57"/>
          <w:rFonts w:ascii="宋体" w:hAnsi="宋体" w:eastAsia="宋体" w:cs="宋体"/>
          <w:color w:val="auto"/>
          <w:kern w:val="0"/>
          <w:sz w:val="24"/>
          <w:szCs w:val="24"/>
          <w:highlight w:val="none"/>
          <w:lang w:val="en-US" w:eastAsia="zh-CN" w:bidi="ar"/>
        </w:rPr>
        <w:t>申请人（承包人）：________________________</w:t>
      </w:r>
    </w:p>
    <w:p w14:paraId="4959E8B1">
      <w:pPr>
        <w:keepNext w:val="0"/>
        <w:keepLines w:val="0"/>
        <w:widowControl/>
        <w:suppressLineNumbers w:val="0"/>
        <w:jc w:val="left"/>
        <w:rPr>
          <w:color w:val="auto"/>
          <w:highlight w:val="none"/>
        </w:rPr>
      </w:pPr>
      <w:r>
        <w:rPr>
          <w:rFonts w:ascii="宋体" w:hAnsi="宋体" w:eastAsia="宋体" w:cs="宋体"/>
          <w:color w:val="auto"/>
          <w:kern w:val="0"/>
          <w:sz w:val="24"/>
          <w:szCs w:val="24"/>
          <w:highlight w:val="none"/>
          <w:lang w:val="en-US" w:eastAsia="zh-CN" w:bidi="ar"/>
        </w:rPr>
        <w:t>地 址：________________________</w:t>
      </w:r>
    </w:p>
    <w:p w14:paraId="4A928579">
      <w:pPr>
        <w:keepNext w:val="0"/>
        <w:keepLines w:val="0"/>
        <w:widowControl/>
        <w:suppressLineNumbers w:val="0"/>
        <w:jc w:val="left"/>
        <w:rPr>
          <w:color w:val="auto"/>
          <w:highlight w:val="none"/>
        </w:rPr>
      </w:pPr>
      <w:r>
        <w:rPr>
          <w:rStyle w:val="57"/>
          <w:rFonts w:ascii="宋体" w:hAnsi="宋体" w:eastAsia="宋体" w:cs="宋体"/>
          <w:color w:val="auto"/>
          <w:kern w:val="0"/>
          <w:sz w:val="24"/>
          <w:szCs w:val="24"/>
          <w:highlight w:val="none"/>
          <w:lang w:val="en-US" w:eastAsia="zh-CN" w:bidi="ar"/>
        </w:rPr>
        <w:t>受益人（发包人）：________________________</w:t>
      </w:r>
    </w:p>
    <w:p w14:paraId="258BC054">
      <w:pPr>
        <w:keepNext w:val="0"/>
        <w:keepLines w:val="0"/>
        <w:widowControl/>
        <w:suppressLineNumbers w:val="0"/>
        <w:jc w:val="left"/>
        <w:rPr>
          <w:color w:val="auto"/>
          <w:highlight w:val="none"/>
        </w:rPr>
      </w:pPr>
      <w:r>
        <w:rPr>
          <w:rFonts w:ascii="宋体" w:hAnsi="宋体" w:eastAsia="宋体" w:cs="宋体"/>
          <w:color w:val="auto"/>
          <w:kern w:val="0"/>
          <w:sz w:val="24"/>
          <w:szCs w:val="24"/>
          <w:highlight w:val="none"/>
          <w:lang w:val="en-US" w:eastAsia="zh-CN" w:bidi="ar"/>
        </w:rPr>
        <w:t>地 址：________________________</w:t>
      </w:r>
    </w:p>
    <w:p w14:paraId="6E334DD4">
      <w:pPr>
        <w:keepNext w:val="0"/>
        <w:keepLines w:val="0"/>
        <w:widowControl/>
        <w:suppressLineNumbers w:val="0"/>
        <w:jc w:val="left"/>
        <w:rPr>
          <w:color w:val="auto"/>
          <w:highlight w:val="none"/>
        </w:rPr>
      </w:pPr>
      <w:r>
        <w:rPr>
          <w:rStyle w:val="57"/>
          <w:rFonts w:ascii="宋体" w:hAnsi="宋体" w:eastAsia="宋体" w:cs="宋体"/>
          <w:color w:val="auto"/>
          <w:kern w:val="0"/>
          <w:sz w:val="24"/>
          <w:szCs w:val="24"/>
          <w:highlight w:val="none"/>
          <w:lang w:val="en-US" w:eastAsia="zh-CN" w:bidi="ar"/>
        </w:rPr>
        <w:t>开立人（保函出具机构）：________________________</w:t>
      </w:r>
    </w:p>
    <w:p w14:paraId="643E1E95">
      <w:pPr>
        <w:keepNext w:val="0"/>
        <w:keepLines w:val="0"/>
        <w:widowControl/>
        <w:suppressLineNumbers w:val="0"/>
        <w:jc w:val="left"/>
        <w:rPr>
          <w:color w:val="auto"/>
          <w:highlight w:val="none"/>
        </w:rPr>
      </w:pPr>
      <w:r>
        <w:rPr>
          <w:rFonts w:ascii="宋体" w:hAnsi="宋体" w:eastAsia="宋体" w:cs="宋体"/>
          <w:color w:val="auto"/>
          <w:kern w:val="0"/>
          <w:sz w:val="24"/>
          <w:szCs w:val="24"/>
          <w:highlight w:val="none"/>
          <w:lang w:val="en-US" w:eastAsia="zh-CN" w:bidi="ar"/>
        </w:rPr>
        <w:t>地 址：________________________</w:t>
      </w:r>
    </w:p>
    <w:p w14:paraId="74D23C1A">
      <w:pPr>
        <w:keepNext w:val="0"/>
        <w:keepLines w:val="0"/>
        <w:widowControl/>
        <w:suppressLineNumbers w:val="0"/>
        <w:jc w:val="left"/>
        <w:rPr>
          <w:color w:val="auto"/>
          <w:highlight w:val="none"/>
        </w:rPr>
      </w:pPr>
    </w:p>
    <w:p w14:paraId="73D136AD">
      <w:pPr>
        <w:keepNext w:val="0"/>
        <w:keepLines w:val="0"/>
        <w:widowControl/>
        <w:suppressLineNumbers w:val="0"/>
        <w:jc w:val="left"/>
        <w:rPr>
          <w:color w:val="auto"/>
          <w:highlight w:val="none"/>
        </w:rPr>
      </w:pPr>
      <w:r>
        <w:rPr>
          <w:rStyle w:val="57"/>
          <w:rFonts w:ascii="宋体" w:hAnsi="宋体" w:eastAsia="宋体" w:cs="宋体"/>
          <w:color w:val="auto"/>
          <w:kern w:val="0"/>
          <w:sz w:val="24"/>
          <w:szCs w:val="24"/>
          <w:highlight w:val="none"/>
          <w:lang w:val="en-US" w:eastAsia="zh-CN" w:bidi="ar"/>
        </w:rPr>
        <w:t>致：________________________（受益人名称）</w:t>
      </w:r>
    </w:p>
    <w:p w14:paraId="1B2787F8">
      <w:pPr>
        <w:keepNext w:val="0"/>
        <w:keepLines w:val="0"/>
        <w:widowControl/>
        <w:suppressLineNumbers w:val="0"/>
        <w:jc w:val="left"/>
        <w:rPr>
          <w:color w:val="auto"/>
          <w:highlight w:val="none"/>
        </w:rPr>
      </w:pPr>
      <w:r>
        <w:rPr>
          <w:rFonts w:ascii="宋体" w:hAnsi="宋体" w:eastAsia="宋体" w:cs="宋体"/>
          <w:color w:val="auto"/>
          <w:kern w:val="0"/>
          <w:sz w:val="24"/>
          <w:szCs w:val="24"/>
          <w:highlight w:val="none"/>
          <w:lang w:val="en-US" w:eastAsia="zh-CN" w:bidi="ar"/>
        </w:rPr>
        <w:t>鉴于贵方（以下简称“受益人”）与________________________（以下简称“申请人”）于______年____月____日，就________________________工程项目施工及相关事宜，签订《________________________》（合同编号：____________，以下简称“基础合同”）。申请人为基础合同项下承包人，贵方为基础合同项下发包人。应申请人申请，我方（开立人）自愿为申请人履行基础合同义务提供</w:t>
      </w:r>
      <w:r>
        <w:rPr>
          <w:rStyle w:val="57"/>
          <w:rFonts w:ascii="宋体" w:hAnsi="宋体" w:eastAsia="宋体" w:cs="宋体"/>
          <w:color w:val="auto"/>
          <w:kern w:val="0"/>
          <w:sz w:val="24"/>
          <w:szCs w:val="24"/>
          <w:highlight w:val="none"/>
          <w:lang w:val="en-US" w:eastAsia="zh-CN" w:bidi="ar"/>
        </w:rPr>
        <w:t>不可撤销、不可转让、见索即付</w:t>
      </w:r>
      <w:r>
        <w:rPr>
          <w:rFonts w:ascii="宋体" w:hAnsi="宋体" w:eastAsia="宋体" w:cs="宋体"/>
          <w:color w:val="auto"/>
          <w:kern w:val="0"/>
          <w:sz w:val="24"/>
          <w:szCs w:val="24"/>
          <w:highlight w:val="none"/>
          <w:lang w:val="en-US" w:eastAsia="zh-CN" w:bidi="ar"/>
        </w:rPr>
        <w:t>的独立履约保函，本保函独立于基础合同，法律效力独立存续。现将相关事项明确如下：</w:t>
      </w:r>
    </w:p>
    <w:p w14:paraId="635A6C01">
      <w:pPr>
        <w:keepNext w:val="0"/>
        <w:keepLines w:val="0"/>
        <w:widowControl/>
        <w:suppressLineNumbers w:val="0"/>
        <w:jc w:val="left"/>
        <w:rPr>
          <w:color w:val="auto"/>
          <w:highlight w:val="none"/>
        </w:rPr>
      </w:pPr>
      <w:r>
        <w:rPr>
          <w:rStyle w:val="57"/>
          <w:rFonts w:ascii="宋体" w:hAnsi="宋体" w:eastAsia="宋体" w:cs="宋体"/>
          <w:color w:val="auto"/>
          <w:kern w:val="0"/>
          <w:sz w:val="24"/>
          <w:szCs w:val="24"/>
          <w:highlight w:val="none"/>
          <w:lang w:val="en-US" w:eastAsia="zh-CN" w:bidi="ar"/>
        </w:rPr>
        <w:t>一、保函担保范围</w:t>
      </w:r>
    </w:p>
    <w:p w14:paraId="7F1006AA">
      <w:pPr>
        <w:keepNext w:val="0"/>
        <w:keepLines w:val="0"/>
        <w:widowControl/>
        <w:suppressLineNumbers w:val="0"/>
        <w:jc w:val="left"/>
        <w:rPr>
          <w:color w:val="auto"/>
          <w:highlight w:val="none"/>
        </w:rPr>
      </w:pPr>
      <w:r>
        <w:rPr>
          <w:rFonts w:ascii="宋体" w:hAnsi="宋体" w:eastAsia="宋体" w:cs="宋体"/>
          <w:color w:val="auto"/>
          <w:kern w:val="0"/>
          <w:sz w:val="24"/>
          <w:szCs w:val="24"/>
          <w:highlight w:val="none"/>
          <w:lang w:val="en-US" w:eastAsia="zh-CN" w:bidi="ar"/>
        </w:rPr>
        <w:t>本保函用于担保申请人全面、合规履行基础合同约定的施工建设、质量管控、工期进度、安全文明施工、缺陷修复、售后保障等全部合同义务。若申请人出现违约情形，我方对申请人应承担的工程违约金、损失赔偿金、逾期罚金、返工整改费用，以及贵方为实现债权产生的律师费、诉讼费、保全费、鉴定费、差旅费等全部费用承担担保责任。</w:t>
      </w:r>
    </w:p>
    <w:p w14:paraId="2C48EB9C">
      <w:pPr>
        <w:keepNext w:val="0"/>
        <w:keepLines w:val="0"/>
        <w:widowControl/>
        <w:suppressLineNumbers w:val="0"/>
        <w:jc w:val="left"/>
        <w:rPr>
          <w:color w:val="auto"/>
          <w:highlight w:val="none"/>
        </w:rPr>
      </w:pPr>
      <w:r>
        <w:rPr>
          <w:rStyle w:val="57"/>
          <w:rFonts w:ascii="宋体" w:hAnsi="宋体" w:eastAsia="宋体" w:cs="宋体"/>
          <w:color w:val="auto"/>
          <w:kern w:val="0"/>
          <w:sz w:val="24"/>
          <w:szCs w:val="24"/>
          <w:highlight w:val="none"/>
          <w:lang w:val="en-US" w:eastAsia="zh-CN" w:bidi="ar"/>
        </w:rPr>
        <w:t>二、保函担保金额</w:t>
      </w:r>
    </w:p>
    <w:p w14:paraId="7A6897E8">
      <w:pPr>
        <w:keepNext w:val="0"/>
        <w:keepLines w:val="0"/>
        <w:widowControl/>
        <w:suppressLineNumbers w:val="0"/>
        <w:jc w:val="left"/>
        <w:rPr>
          <w:color w:val="auto"/>
          <w:highlight w:val="none"/>
        </w:rPr>
      </w:pPr>
      <w:r>
        <w:rPr>
          <w:rFonts w:ascii="宋体" w:hAnsi="宋体" w:eastAsia="宋体" w:cs="宋体"/>
          <w:color w:val="auto"/>
          <w:kern w:val="0"/>
          <w:sz w:val="24"/>
          <w:szCs w:val="24"/>
          <w:highlight w:val="none"/>
          <w:lang w:val="en-US" w:eastAsia="zh-CN" w:bidi="ar"/>
        </w:rPr>
        <w:t>本保函最高担保金额为人民币（大写）________________________元整（¥____________元）。我方承担的担保责任以本保函最高金额为上限，超出部分不予承担。</w:t>
      </w:r>
    </w:p>
    <w:p w14:paraId="7F2116BE">
      <w:pPr>
        <w:keepNext w:val="0"/>
        <w:keepLines w:val="0"/>
        <w:widowControl/>
        <w:suppressLineNumbers w:val="0"/>
        <w:jc w:val="left"/>
        <w:rPr>
          <w:color w:val="auto"/>
          <w:highlight w:val="none"/>
        </w:rPr>
      </w:pPr>
      <w:r>
        <w:rPr>
          <w:rStyle w:val="57"/>
          <w:rFonts w:ascii="宋体" w:hAnsi="宋体" w:eastAsia="宋体" w:cs="宋体"/>
          <w:color w:val="auto"/>
          <w:kern w:val="0"/>
          <w:sz w:val="24"/>
          <w:szCs w:val="24"/>
          <w:highlight w:val="none"/>
          <w:lang w:val="en-US" w:eastAsia="zh-CN" w:bidi="ar"/>
        </w:rPr>
        <w:t>三、保函有效期限</w:t>
      </w:r>
    </w:p>
    <w:p w14:paraId="64989DF9">
      <w:pPr>
        <w:keepNext w:val="0"/>
        <w:keepLines w:val="0"/>
        <w:widowControl/>
        <w:suppressLineNumbers w:val="0"/>
        <w:jc w:val="left"/>
        <w:rPr>
          <w:color w:val="auto"/>
          <w:highlight w:val="none"/>
        </w:rPr>
      </w:pPr>
      <w:r>
        <w:rPr>
          <w:rFonts w:ascii="宋体" w:hAnsi="宋体" w:eastAsia="宋体" w:cs="宋体"/>
          <w:color w:val="auto"/>
          <w:kern w:val="0"/>
          <w:sz w:val="24"/>
          <w:szCs w:val="24"/>
          <w:highlight w:val="none"/>
          <w:lang w:val="en-US" w:eastAsia="zh-CN" w:bidi="ar"/>
        </w:rPr>
        <w:t>本保函自开立盖章之日起生效，有效期至基础合同约定的工程缺陷责任期届满后______日止，</w:t>
      </w:r>
      <w:r>
        <w:rPr>
          <w:rStyle w:val="57"/>
          <w:rFonts w:ascii="宋体" w:hAnsi="宋体" w:eastAsia="宋体" w:cs="宋体"/>
          <w:color w:val="auto"/>
          <w:kern w:val="0"/>
          <w:sz w:val="24"/>
          <w:szCs w:val="24"/>
          <w:highlight w:val="none"/>
          <w:lang w:val="en-US" w:eastAsia="zh-CN" w:bidi="ar"/>
        </w:rPr>
        <w:t>保函最迟到期日不超过______年____月____日</w:t>
      </w:r>
      <w:r>
        <w:rPr>
          <w:rFonts w:ascii="宋体" w:hAnsi="宋体" w:eastAsia="宋体" w:cs="宋体"/>
          <w:color w:val="auto"/>
          <w:kern w:val="0"/>
          <w:sz w:val="24"/>
          <w:szCs w:val="24"/>
          <w:highlight w:val="none"/>
          <w:lang w:val="en-US" w:eastAsia="zh-CN" w:bidi="ar"/>
        </w:rPr>
        <w:t>。保函有效期内，本保函持续有效；有效期届满，我方担保责任自动终止。</w:t>
      </w:r>
    </w:p>
    <w:p w14:paraId="660F30B7">
      <w:pPr>
        <w:keepNext w:val="0"/>
        <w:keepLines w:val="0"/>
        <w:widowControl/>
        <w:suppressLineNumbers w:val="0"/>
        <w:jc w:val="left"/>
        <w:rPr>
          <w:color w:val="auto"/>
          <w:highlight w:val="none"/>
        </w:rPr>
      </w:pPr>
      <w:r>
        <w:rPr>
          <w:rStyle w:val="57"/>
          <w:rFonts w:ascii="宋体" w:hAnsi="宋体" w:eastAsia="宋体" w:cs="宋体"/>
          <w:color w:val="auto"/>
          <w:kern w:val="0"/>
          <w:sz w:val="24"/>
          <w:szCs w:val="24"/>
          <w:highlight w:val="none"/>
          <w:lang w:val="en-US" w:eastAsia="zh-CN" w:bidi="ar"/>
        </w:rPr>
        <w:t>四、赔付承诺与索赔规则</w:t>
      </w:r>
    </w:p>
    <w:p w14:paraId="28838247">
      <w:pPr>
        <w:keepNext w:val="0"/>
        <w:keepLines w:val="0"/>
        <w:widowControl/>
        <w:suppressLineNumbers w:val="0"/>
        <w:jc w:val="left"/>
        <w:rPr>
          <w:color w:val="auto"/>
          <w:highlight w:val="none"/>
        </w:rPr>
      </w:pPr>
      <w:r>
        <w:rPr>
          <w:rFonts w:ascii="宋体" w:hAnsi="宋体" w:eastAsia="宋体" w:cs="宋体"/>
          <w:color w:val="auto"/>
          <w:kern w:val="0"/>
          <w:sz w:val="24"/>
          <w:szCs w:val="24"/>
          <w:highlight w:val="none"/>
          <w:lang w:val="en-US" w:eastAsia="zh-CN" w:bidi="ar"/>
        </w:rPr>
        <w:t>我方承诺，在本保函有效期内，收到贵方符合下列全部要求的书面付款索赔通知后______个工作日内，无条件、无抗辩地向贵方支付对应索赔款项：</w:t>
      </w:r>
    </w:p>
    <w:p w14:paraId="0092B537">
      <w:pPr>
        <w:keepNext w:val="0"/>
        <w:keepLines w:val="0"/>
        <w:widowControl/>
        <w:suppressLineNumbers w:val="0"/>
        <w:jc w:val="left"/>
        <w:rPr>
          <w:color w:val="auto"/>
          <w:highlight w:val="none"/>
        </w:rPr>
      </w:pPr>
      <w:r>
        <w:rPr>
          <w:rFonts w:ascii="宋体" w:hAnsi="宋体" w:eastAsia="宋体" w:cs="宋体"/>
          <w:color w:val="auto"/>
          <w:kern w:val="0"/>
          <w:sz w:val="24"/>
          <w:szCs w:val="24"/>
          <w:highlight w:val="none"/>
          <w:lang w:val="en-US" w:eastAsia="zh-CN" w:bidi="ar"/>
        </w:rPr>
        <w:t>（一）索赔书面通知送达时间在本保函有效期限内；</w:t>
      </w:r>
    </w:p>
    <w:p w14:paraId="75ED4FE4">
      <w:pPr>
        <w:keepNext w:val="0"/>
        <w:keepLines w:val="0"/>
        <w:widowControl/>
        <w:suppressLineNumbers w:val="0"/>
        <w:jc w:val="left"/>
        <w:rPr>
          <w:color w:val="auto"/>
          <w:highlight w:val="none"/>
        </w:rPr>
      </w:pPr>
      <w:r>
        <w:rPr>
          <w:rFonts w:ascii="宋体" w:hAnsi="宋体" w:eastAsia="宋体" w:cs="宋体"/>
          <w:color w:val="auto"/>
          <w:kern w:val="0"/>
          <w:sz w:val="24"/>
          <w:szCs w:val="24"/>
          <w:highlight w:val="none"/>
          <w:lang w:val="en-US" w:eastAsia="zh-CN" w:bidi="ar"/>
        </w:rPr>
        <w:t>（二）书面通知明确载明具体索赔金额；</w:t>
      </w:r>
    </w:p>
    <w:p w14:paraId="00C2509A">
      <w:pPr>
        <w:keepNext w:val="0"/>
        <w:keepLines w:val="0"/>
        <w:widowControl/>
        <w:suppressLineNumbers w:val="0"/>
        <w:jc w:val="left"/>
        <w:rPr>
          <w:color w:val="auto"/>
          <w:highlight w:val="none"/>
        </w:rPr>
      </w:pPr>
      <w:r>
        <w:rPr>
          <w:rFonts w:ascii="宋体" w:hAnsi="宋体" w:eastAsia="宋体" w:cs="宋体"/>
          <w:color w:val="auto"/>
          <w:kern w:val="0"/>
          <w:sz w:val="24"/>
          <w:szCs w:val="24"/>
          <w:highlight w:val="none"/>
          <w:lang w:val="en-US" w:eastAsia="zh-CN" w:bidi="ar"/>
        </w:rPr>
        <w:t>（三）书面通知明确载明申请人具体违约条款、违约事实及对应违约内容；</w:t>
      </w:r>
    </w:p>
    <w:p w14:paraId="424F560C">
      <w:pPr>
        <w:keepNext w:val="0"/>
        <w:keepLines w:val="0"/>
        <w:widowControl/>
        <w:suppressLineNumbers w:val="0"/>
        <w:jc w:val="left"/>
        <w:rPr>
          <w:color w:val="auto"/>
          <w:highlight w:val="none"/>
        </w:rPr>
      </w:pPr>
      <w:r>
        <w:rPr>
          <w:rFonts w:ascii="宋体" w:hAnsi="宋体" w:eastAsia="宋体" w:cs="宋体"/>
          <w:color w:val="auto"/>
          <w:kern w:val="0"/>
          <w:sz w:val="24"/>
          <w:szCs w:val="24"/>
          <w:highlight w:val="none"/>
          <w:lang w:val="en-US" w:eastAsia="zh-CN" w:bidi="ar"/>
        </w:rPr>
        <w:t>（四）书面通知声明不存在法定及合同约定的可免除申请人、开立人担保责任的情形；</w:t>
      </w:r>
    </w:p>
    <w:p w14:paraId="733375FF">
      <w:pPr>
        <w:keepNext w:val="0"/>
        <w:keepLines w:val="0"/>
        <w:widowControl/>
        <w:suppressLineNumbers w:val="0"/>
        <w:jc w:val="left"/>
        <w:rPr>
          <w:color w:val="auto"/>
          <w:highlight w:val="none"/>
        </w:rPr>
      </w:pPr>
      <w:r>
        <w:rPr>
          <w:rFonts w:ascii="宋体" w:hAnsi="宋体" w:eastAsia="宋体" w:cs="宋体"/>
          <w:color w:val="auto"/>
          <w:kern w:val="0"/>
          <w:sz w:val="24"/>
          <w:szCs w:val="24"/>
          <w:highlight w:val="none"/>
          <w:lang w:val="en-US" w:eastAsia="zh-CN" w:bidi="ar"/>
        </w:rPr>
        <w:t>（五）索赔文书统一送达地址：________________________。</w:t>
      </w:r>
    </w:p>
    <w:p w14:paraId="098CE7E4">
      <w:pPr>
        <w:keepNext w:val="0"/>
        <w:keepLines w:val="0"/>
        <w:widowControl/>
        <w:suppressLineNumbers w:val="0"/>
        <w:jc w:val="left"/>
        <w:rPr>
          <w:color w:val="auto"/>
          <w:highlight w:val="none"/>
        </w:rPr>
      </w:pPr>
      <w:r>
        <w:rPr>
          <w:rFonts w:ascii="宋体" w:hAnsi="宋体" w:eastAsia="宋体" w:cs="宋体"/>
          <w:color w:val="auto"/>
          <w:kern w:val="0"/>
          <w:sz w:val="24"/>
          <w:szCs w:val="24"/>
          <w:highlight w:val="none"/>
          <w:lang w:val="en-US" w:eastAsia="zh-CN" w:bidi="ar"/>
        </w:rPr>
        <w:t>贵方出具的索赔书面通知，须由法定代表人（负责人）或正式授权代理人签字，并加盖受益人单位公章，方为有效索赔凭证。我方仅对合规有效索赔凭证承担赔付责任，不介入贵方与申请人的合同纠纷及事实争议。</w:t>
      </w:r>
    </w:p>
    <w:p w14:paraId="3B225E39">
      <w:pPr>
        <w:keepNext w:val="0"/>
        <w:keepLines w:val="0"/>
        <w:widowControl/>
        <w:suppressLineNumbers w:val="0"/>
        <w:jc w:val="left"/>
        <w:rPr>
          <w:color w:val="auto"/>
          <w:highlight w:val="none"/>
        </w:rPr>
      </w:pPr>
      <w:r>
        <w:rPr>
          <w:rStyle w:val="57"/>
          <w:rFonts w:ascii="宋体" w:hAnsi="宋体" w:eastAsia="宋体" w:cs="宋体"/>
          <w:color w:val="auto"/>
          <w:kern w:val="0"/>
          <w:sz w:val="24"/>
          <w:szCs w:val="24"/>
          <w:highlight w:val="none"/>
          <w:lang w:val="en-US" w:eastAsia="zh-CN" w:bidi="ar"/>
        </w:rPr>
        <w:t>五、保函权利限制</w:t>
      </w:r>
    </w:p>
    <w:p w14:paraId="2B514380">
      <w:pPr>
        <w:keepNext w:val="0"/>
        <w:keepLines w:val="0"/>
        <w:widowControl/>
        <w:suppressLineNumbers w:val="0"/>
        <w:jc w:val="left"/>
        <w:rPr>
          <w:color w:val="auto"/>
          <w:highlight w:val="none"/>
        </w:rPr>
      </w:pPr>
      <w:r>
        <w:rPr>
          <w:rFonts w:ascii="宋体" w:hAnsi="宋体" w:eastAsia="宋体" w:cs="宋体"/>
          <w:color w:val="auto"/>
          <w:kern w:val="0"/>
          <w:sz w:val="24"/>
          <w:szCs w:val="24"/>
          <w:highlight w:val="none"/>
          <w:lang w:val="en-US" w:eastAsia="zh-CN" w:bidi="ar"/>
        </w:rPr>
        <w:t>本保函项下所有权利、权益不得转让、不得质押、不得设定任何担保或其他权利负担。未经我方书面同意，贵方擅自转让、处置本保函权利的，对我方不产生任何法律效力，我方不承担任何赔付及担保责任。</w:t>
      </w:r>
    </w:p>
    <w:p w14:paraId="41887406">
      <w:pPr>
        <w:keepNext w:val="0"/>
        <w:keepLines w:val="0"/>
        <w:widowControl/>
        <w:suppressLineNumbers w:val="0"/>
        <w:jc w:val="left"/>
        <w:rPr>
          <w:color w:val="auto"/>
          <w:highlight w:val="none"/>
        </w:rPr>
      </w:pPr>
      <w:r>
        <w:rPr>
          <w:rStyle w:val="57"/>
          <w:rFonts w:ascii="宋体" w:hAnsi="宋体" w:eastAsia="宋体" w:cs="宋体"/>
          <w:color w:val="auto"/>
          <w:kern w:val="0"/>
          <w:sz w:val="24"/>
          <w:szCs w:val="24"/>
          <w:highlight w:val="none"/>
          <w:lang w:val="en-US" w:eastAsia="zh-CN" w:bidi="ar"/>
        </w:rPr>
        <w:t>六、保函独立性条款</w:t>
      </w:r>
    </w:p>
    <w:p w14:paraId="285425DC">
      <w:pPr>
        <w:keepNext w:val="0"/>
        <w:keepLines w:val="0"/>
        <w:widowControl/>
        <w:suppressLineNumbers w:val="0"/>
        <w:jc w:val="left"/>
        <w:rPr>
          <w:color w:val="auto"/>
          <w:highlight w:val="none"/>
        </w:rPr>
      </w:pPr>
      <w:r>
        <w:rPr>
          <w:rFonts w:ascii="宋体" w:hAnsi="宋体" w:eastAsia="宋体" w:cs="宋体"/>
          <w:color w:val="auto"/>
          <w:kern w:val="0"/>
          <w:sz w:val="24"/>
          <w:szCs w:val="24"/>
          <w:highlight w:val="none"/>
          <w:lang w:val="en-US" w:eastAsia="zh-CN" w:bidi="ar"/>
        </w:rPr>
        <w:t>本保函为独立保函，其效力不受基础合同约束。基础合同不成立、未生效、无效、被撤销、被解除、变更或终止，或申请人与受益人发生合同纠纷、履约争议的，</w:t>
      </w:r>
      <w:r>
        <w:rPr>
          <w:rStyle w:val="57"/>
          <w:rFonts w:ascii="宋体" w:hAnsi="宋体" w:eastAsia="宋体" w:cs="宋体"/>
          <w:color w:val="auto"/>
          <w:kern w:val="0"/>
          <w:sz w:val="24"/>
          <w:szCs w:val="24"/>
          <w:highlight w:val="none"/>
          <w:lang w:val="en-US" w:eastAsia="zh-CN" w:bidi="ar"/>
        </w:rPr>
        <w:t>均不影响本保函的独立法律效力</w:t>
      </w:r>
      <w:r>
        <w:rPr>
          <w:rFonts w:ascii="宋体" w:hAnsi="宋体" w:eastAsia="宋体" w:cs="宋体"/>
          <w:color w:val="auto"/>
          <w:kern w:val="0"/>
          <w:sz w:val="24"/>
          <w:szCs w:val="24"/>
          <w:highlight w:val="none"/>
          <w:lang w:val="en-US" w:eastAsia="zh-CN" w:bidi="ar"/>
        </w:rPr>
        <w:t>，我方仍应按本保函约定承担担保及赔付责任。</w:t>
      </w:r>
    </w:p>
    <w:p w14:paraId="688638DB">
      <w:pPr>
        <w:keepNext w:val="0"/>
        <w:keepLines w:val="0"/>
        <w:widowControl/>
        <w:suppressLineNumbers w:val="0"/>
        <w:jc w:val="left"/>
        <w:rPr>
          <w:color w:val="auto"/>
          <w:highlight w:val="none"/>
        </w:rPr>
      </w:pPr>
      <w:r>
        <w:rPr>
          <w:rStyle w:val="57"/>
          <w:rFonts w:ascii="宋体" w:hAnsi="宋体" w:eastAsia="宋体" w:cs="宋体"/>
          <w:color w:val="auto"/>
          <w:kern w:val="0"/>
          <w:sz w:val="24"/>
          <w:szCs w:val="24"/>
          <w:highlight w:val="none"/>
          <w:lang w:val="en-US" w:eastAsia="zh-CN" w:bidi="ar"/>
        </w:rPr>
        <w:t>七、保函正本退还与责任终止</w:t>
      </w:r>
    </w:p>
    <w:p w14:paraId="5BB66BB5">
      <w:pPr>
        <w:keepNext w:val="0"/>
        <w:keepLines w:val="0"/>
        <w:widowControl/>
        <w:suppressLineNumbers w:val="0"/>
        <w:jc w:val="left"/>
        <w:rPr>
          <w:color w:val="auto"/>
          <w:highlight w:val="none"/>
        </w:rPr>
      </w:pPr>
      <w:r>
        <w:rPr>
          <w:rFonts w:ascii="宋体" w:hAnsi="宋体" w:eastAsia="宋体" w:cs="宋体"/>
          <w:color w:val="auto"/>
          <w:kern w:val="0"/>
          <w:sz w:val="24"/>
          <w:szCs w:val="24"/>
          <w:highlight w:val="none"/>
          <w:lang w:val="en-US" w:eastAsia="zh-CN" w:bidi="ar"/>
        </w:rPr>
        <w:t>本保函有效期届满后，贵方应在7个工作日内将本保函正本完整退回我方办理注销手续。</w:t>
      </w:r>
      <w:r>
        <w:rPr>
          <w:rStyle w:val="57"/>
          <w:rFonts w:ascii="宋体" w:hAnsi="宋体" w:eastAsia="宋体" w:cs="宋体"/>
          <w:color w:val="auto"/>
          <w:kern w:val="0"/>
          <w:sz w:val="24"/>
          <w:szCs w:val="24"/>
          <w:highlight w:val="none"/>
          <w:lang w:val="en-US" w:eastAsia="zh-CN" w:bidi="ar"/>
        </w:rPr>
        <w:t>无论正本是否退回、是否注销，我方在本保函项下的全部担保责任，自保函有效期届满之日起自动终止</w:t>
      </w:r>
      <w:r>
        <w:rPr>
          <w:rFonts w:ascii="宋体" w:hAnsi="宋体" w:eastAsia="宋体" w:cs="宋体"/>
          <w:color w:val="auto"/>
          <w:kern w:val="0"/>
          <w:sz w:val="24"/>
          <w:szCs w:val="24"/>
          <w:highlight w:val="none"/>
          <w:lang w:val="en-US" w:eastAsia="zh-CN" w:bidi="ar"/>
        </w:rPr>
        <w:t>，后续不再承担任何赔付义务。</w:t>
      </w:r>
    </w:p>
    <w:p w14:paraId="3DE8DA36">
      <w:pPr>
        <w:keepNext w:val="0"/>
        <w:keepLines w:val="0"/>
        <w:widowControl/>
        <w:suppressLineNumbers w:val="0"/>
        <w:jc w:val="left"/>
        <w:rPr>
          <w:color w:val="auto"/>
          <w:highlight w:val="none"/>
        </w:rPr>
      </w:pPr>
      <w:r>
        <w:rPr>
          <w:rStyle w:val="57"/>
          <w:rFonts w:ascii="宋体" w:hAnsi="宋体" w:eastAsia="宋体" w:cs="宋体"/>
          <w:color w:val="auto"/>
          <w:kern w:val="0"/>
          <w:sz w:val="24"/>
          <w:szCs w:val="24"/>
          <w:highlight w:val="none"/>
          <w:lang w:val="en-US" w:eastAsia="zh-CN" w:bidi="ar"/>
        </w:rPr>
        <w:t>八、法律适用与争议解决</w:t>
      </w:r>
    </w:p>
    <w:p w14:paraId="43C65079">
      <w:pPr>
        <w:keepNext w:val="0"/>
        <w:keepLines w:val="0"/>
        <w:widowControl/>
        <w:suppressLineNumbers w:val="0"/>
        <w:jc w:val="left"/>
        <w:rPr>
          <w:color w:val="auto"/>
          <w:highlight w:val="none"/>
        </w:rPr>
      </w:pPr>
      <w:r>
        <w:rPr>
          <w:rFonts w:ascii="宋体" w:hAnsi="宋体" w:eastAsia="宋体" w:cs="宋体"/>
          <w:color w:val="auto"/>
          <w:kern w:val="0"/>
          <w:sz w:val="24"/>
          <w:szCs w:val="24"/>
          <w:highlight w:val="none"/>
          <w:lang w:val="en-US" w:eastAsia="zh-CN" w:bidi="ar"/>
        </w:rPr>
        <w:t>本保函的订立、效力、履行、解释及争议解决，均适用</w:t>
      </w:r>
      <w:r>
        <w:rPr>
          <w:rStyle w:val="57"/>
          <w:rFonts w:ascii="宋体" w:hAnsi="宋体" w:eastAsia="宋体" w:cs="宋体"/>
          <w:color w:val="auto"/>
          <w:kern w:val="0"/>
          <w:sz w:val="24"/>
          <w:szCs w:val="24"/>
          <w:highlight w:val="none"/>
          <w:lang w:val="en-US" w:eastAsia="zh-CN" w:bidi="ar"/>
        </w:rPr>
        <w:t>中华人民共和国法律</w:t>
      </w:r>
      <w:r>
        <w:rPr>
          <w:rFonts w:ascii="宋体" w:hAnsi="宋体" w:eastAsia="宋体" w:cs="宋体"/>
          <w:color w:val="auto"/>
          <w:kern w:val="0"/>
          <w:sz w:val="24"/>
          <w:szCs w:val="24"/>
          <w:highlight w:val="none"/>
          <w:lang w:val="en-US" w:eastAsia="zh-CN" w:bidi="ar"/>
        </w:rPr>
        <w:t>。因本保函产生的一切争议，各方应友好协商解决；协商不成的，统一由</w:t>
      </w:r>
      <w:r>
        <w:rPr>
          <w:rFonts w:hint="eastAsia" w:ascii="宋体" w:hAnsi="宋体" w:eastAsia="宋体" w:cs="宋体"/>
          <w:b/>
          <w:bCs/>
          <w:color w:val="auto"/>
          <w:kern w:val="0"/>
          <w:sz w:val="24"/>
          <w:szCs w:val="24"/>
          <w:highlight w:val="none"/>
          <w:u w:val="single"/>
          <w:lang w:val="en-US" w:eastAsia="zh-CN" w:bidi="ar"/>
        </w:rPr>
        <w:t>受益人所在地</w:t>
      </w:r>
      <w:r>
        <w:rPr>
          <w:rFonts w:hint="eastAsia" w:ascii="宋体" w:hAnsi="宋体" w:eastAsia="宋体" w:cs="宋体"/>
          <w:color w:val="auto"/>
          <w:kern w:val="0"/>
          <w:sz w:val="24"/>
          <w:szCs w:val="24"/>
          <w:highlight w:val="none"/>
          <w:lang w:val="en-US" w:eastAsia="zh-CN" w:bidi="ar"/>
        </w:rPr>
        <w:t>的</w:t>
      </w:r>
      <w:r>
        <w:rPr>
          <w:rFonts w:ascii="宋体" w:hAnsi="宋体" w:eastAsia="宋体" w:cs="宋体"/>
          <w:color w:val="auto"/>
          <w:kern w:val="0"/>
          <w:sz w:val="24"/>
          <w:szCs w:val="24"/>
          <w:highlight w:val="none"/>
          <w:lang w:val="en-US" w:eastAsia="zh-CN" w:bidi="ar"/>
        </w:rPr>
        <w:t>人民法院管辖裁判。</w:t>
      </w:r>
    </w:p>
    <w:p w14:paraId="7FEEC092">
      <w:pPr>
        <w:keepNext w:val="0"/>
        <w:keepLines w:val="0"/>
        <w:widowControl/>
        <w:suppressLineNumbers w:val="0"/>
        <w:jc w:val="left"/>
        <w:rPr>
          <w:color w:val="auto"/>
          <w:highlight w:val="none"/>
        </w:rPr>
      </w:pPr>
      <w:r>
        <w:rPr>
          <w:rStyle w:val="57"/>
          <w:rFonts w:ascii="宋体" w:hAnsi="宋体" w:eastAsia="宋体" w:cs="宋体"/>
          <w:color w:val="auto"/>
          <w:kern w:val="0"/>
          <w:sz w:val="24"/>
          <w:szCs w:val="24"/>
          <w:highlight w:val="none"/>
          <w:lang w:val="en-US" w:eastAsia="zh-CN" w:bidi="ar"/>
        </w:rPr>
        <w:t>九、生效约定</w:t>
      </w:r>
    </w:p>
    <w:p w14:paraId="710E8655">
      <w:pPr>
        <w:keepNext w:val="0"/>
        <w:keepLines w:val="0"/>
        <w:widowControl/>
        <w:suppressLineNumbers w:val="0"/>
        <w:jc w:val="left"/>
        <w:rPr>
          <w:color w:val="auto"/>
          <w:highlight w:val="none"/>
        </w:rPr>
      </w:pPr>
      <w:r>
        <w:rPr>
          <w:rFonts w:ascii="宋体" w:hAnsi="宋体" w:eastAsia="宋体" w:cs="宋体"/>
          <w:color w:val="auto"/>
          <w:kern w:val="0"/>
          <w:sz w:val="24"/>
          <w:szCs w:val="24"/>
          <w:highlight w:val="none"/>
          <w:lang w:val="en-US" w:eastAsia="zh-CN" w:bidi="ar"/>
        </w:rPr>
        <w:t>本保函自开立人法定代表人（或授权代表）签字并加盖单位公章之日起生效。本保函一式______份，申请人、受益人、开立人各执相应份数，具有同等法律效力。</w:t>
      </w:r>
    </w:p>
    <w:p w14:paraId="60CD03FB">
      <w:pPr>
        <w:keepNext w:val="0"/>
        <w:keepLines w:val="0"/>
        <w:widowControl/>
        <w:suppressLineNumbers w:val="0"/>
        <w:jc w:val="left"/>
        <w:rPr>
          <w:color w:val="auto"/>
          <w:highlight w:val="none"/>
        </w:rPr>
      </w:pPr>
    </w:p>
    <w:p w14:paraId="032A28AA">
      <w:pPr>
        <w:keepNext w:val="0"/>
        <w:keepLines w:val="0"/>
        <w:widowControl/>
        <w:suppressLineNumbers w:val="0"/>
        <w:jc w:val="left"/>
        <w:rPr>
          <w:color w:val="auto"/>
          <w:highlight w:val="none"/>
        </w:rPr>
      </w:pPr>
      <w:r>
        <w:rPr>
          <w:rStyle w:val="57"/>
          <w:rFonts w:ascii="宋体" w:hAnsi="宋体" w:eastAsia="宋体" w:cs="宋体"/>
          <w:color w:val="auto"/>
          <w:kern w:val="0"/>
          <w:sz w:val="24"/>
          <w:szCs w:val="24"/>
          <w:highlight w:val="none"/>
          <w:lang w:val="en-US" w:eastAsia="zh-CN" w:bidi="ar"/>
        </w:rPr>
        <w:t>开立人（公章）：________________________</w:t>
      </w:r>
    </w:p>
    <w:p w14:paraId="5E8037FC">
      <w:pPr>
        <w:keepNext w:val="0"/>
        <w:keepLines w:val="0"/>
        <w:widowControl/>
        <w:suppressLineNumbers w:val="0"/>
        <w:jc w:val="left"/>
        <w:rPr>
          <w:color w:val="auto"/>
          <w:highlight w:val="none"/>
        </w:rPr>
      </w:pPr>
      <w:r>
        <w:rPr>
          <w:rStyle w:val="57"/>
          <w:rFonts w:ascii="宋体" w:hAnsi="宋体" w:eastAsia="宋体" w:cs="宋体"/>
          <w:color w:val="auto"/>
          <w:kern w:val="0"/>
          <w:sz w:val="24"/>
          <w:szCs w:val="24"/>
          <w:highlight w:val="none"/>
          <w:lang w:val="en-US" w:eastAsia="zh-CN" w:bidi="ar"/>
        </w:rPr>
        <w:t>法定代表人/授权代表（签字）：________________________</w:t>
      </w:r>
    </w:p>
    <w:p w14:paraId="3C65AC4A">
      <w:pPr>
        <w:keepNext w:val="0"/>
        <w:keepLines w:val="0"/>
        <w:widowControl/>
        <w:suppressLineNumbers w:val="0"/>
        <w:jc w:val="left"/>
        <w:rPr>
          <w:color w:val="auto"/>
          <w:highlight w:val="none"/>
        </w:rPr>
      </w:pPr>
      <w:r>
        <w:rPr>
          <w:rFonts w:ascii="宋体" w:hAnsi="宋体" w:eastAsia="宋体" w:cs="宋体"/>
          <w:color w:val="auto"/>
          <w:kern w:val="0"/>
          <w:sz w:val="24"/>
          <w:szCs w:val="24"/>
          <w:highlight w:val="none"/>
          <w:lang w:val="en-US" w:eastAsia="zh-CN" w:bidi="ar"/>
        </w:rPr>
        <w:t>地 址：________________________</w:t>
      </w:r>
    </w:p>
    <w:p w14:paraId="547D82D1">
      <w:pPr>
        <w:keepNext w:val="0"/>
        <w:keepLines w:val="0"/>
        <w:widowControl/>
        <w:suppressLineNumbers w:val="0"/>
        <w:jc w:val="left"/>
        <w:rPr>
          <w:color w:val="auto"/>
          <w:highlight w:val="none"/>
        </w:rPr>
      </w:pPr>
      <w:r>
        <w:rPr>
          <w:rFonts w:ascii="宋体" w:hAnsi="宋体" w:eastAsia="宋体" w:cs="宋体"/>
          <w:color w:val="auto"/>
          <w:kern w:val="0"/>
          <w:sz w:val="24"/>
          <w:szCs w:val="24"/>
          <w:highlight w:val="none"/>
          <w:lang w:val="en-US" w:eastAsia="zh-CN" w:bidi="ar"/>
        </w:rPr>
        <w:t>邮政编码：________________________</w:t>
      </w:r>
    </w:p>
    <w:p w14:paraId="385AB781">
      <w:pPr>
        <w:keepNext w:val="0"/>
        <w:keepLines w:val="0"/>
        <w:widowControl/>
        <w:suppressLineNumbers w:val="0"/>
        <w:jc w:val="left"/>
        <w:rPr>
          <w:color w:val="auto"/>
          <w:highlight w:val="none"/>
        </w:rPr>
      </w:pPr>
      <w:r>
        <w:rPr>
          <w:rFonts w:ascii="宋体" w:hAnsi="宋体" w:eastAsia="宋体" w:cs="宋体"/>
          <w:color w:val="auto"/>
          <w:kern w:val="0"/>
          <w:sz w:val="24"/>
          <w:szCs w:val="24"/>
          <w:highlight w:val="none"/>
          <w:lang w:val="en-US" w:eastAsia="zh-CN" w:bidi="ar"/>
        </w:rPr>
        <w:t>联系电话：________________________</w:t>
      </w:r>
    </w:p>
    <w:p w14:paraId="583D3C34">
      <w:pPr>
        <w:keepNext w:val="0"/>
        <w:keepLines w:val="0"/>
        <w:widowControl/>
        <w:suppressLineNumbers w:val="0"/>
        <w:jc w:val="left"/>
        <w:rPr>
          <w:color w:val="auto"/>
          <w:highlight w:val="none"/>
        </w:rPr>
      </w:pPr>
      <w:r>
        <w:rPr>
          <w:rFonts w:ascii="宋体" w:hAnsi="宋体" w:eastAsia="宋体" w:cs="宋体"/>
          <w:color w:val="auto"/>
          <w:kern w:val="0"/>
          <w:sz w:val="24"/>
          <w:szCs w:val="24"/>
          <w:highlight w:val="none"/>
          <w:lang w:val="en-US" w:eastAsia="zh-CN" w:bidi="ar"/>
        </w:rPr>
        <w:t>传 真：________________________</w:t>
      </w:r>
    </w:p>
    <w:p w14:paraId="47EF3042">
      <w:pPr>
        <w:keepNext w:val="0"/>
        <w:keepLines w:val="0"/>
        <w:widowControl/>
        <w:suppressLineNumbers w:val="0"/>
        <w:jc w:val="left"/>
        <w:rPr>
          <w:color w:val="auto"/>
          <w:highlight w:val="none"/>
        </w:rPr>
      </w:pPr>
      <w:r>
        <w:rPr>
          <w:rFonts w:ascii="宋体" w:hAnsi="宋体" w:eastAsia="宋体" w:cs="宋体"/>
          <w:color w:val="auto"/>
          <w:kern w:val="0"/>
          <w:sz w:val="24"/>
          <w:szCs w:val="24"/>
          <w:highlight w:val="none"/>
          <w:lang w:val="en-US" w:eastAsia="zh-CN" w:bidi="ar"/>
        </w:rPr>
        <w:t>开立日期：______年____月____日</w:t>
      </w:r>
    </w:p>
    <w:p w14:paraId="18A49BAD">
      <w:pPr>
        <w:spacing w:line="360" w:lineRule="auto"/>
        <w:jc w:val="left"/>
        <w:rPr>
          <w:rFonts w:ascii="宋体" w:hAnsi="宋体" w:eastAsia="宋体" w:cs="宋体"/>
          <w:color w:val="auto"/>
          <w:sz w:val="30"/>
          <w:szCs w:val="30"/>
          <w:highlight w:val="none"/>
        </w:rPr>
      </w:pPr>
    </w:p>
    <w:p w14:paraId="78155C4E">
      <w:pPr>
        <w:rPr>
          <w:rFonts w:ascii="宋体" w:hAnsi="宋体" w:eastAsia="宋体" w:cs="宋体"/>
          <w:color w:val="auto"/>
          <w:highlight w:val="none"/>
        </w:rPr>
      </w:pPr>
      <w:r>
        <w:rPr>
          <w:rFonts w:hint="eastAsia" w:ascii="宋体" w:hAnsi="宋体" w:eastAsia="宋体" w:cs="宋体"/>
          <w:color w:val="auto"/>
          <w:highlight w:val="none"/>
        </w:rPr>
        <w:br w:type="page"/>
      </w:r>
      <w:bookmarkStart w:id="1024" w:name="_Toc296891059"/>
      <w:bookmarkStart w:id="1025" w:name="_Toc296891271"/>
      <w:bookmarkStart w:id="1026" w:name="_Toc296503231"/>
      <w:bookmarkStart w:id="1027" w:name="_Toc296944570"/>
      <w:bookmarkStart w:id="1028" w:name="_Toc296346732"/>
      <w:bookmarkStart w:id="1029" w:name="_Toc296347230"/>
    </w:p>
    <w:bookmarkEnd w:id="1023"/>
    <w:bookmarkEnd w:id="1024"/>
    <w:bookmarkEnd w:id="1025"/>
    <w:bookmarkEnd w:id="1026"/>
    <w:bookmarkEnd w:id="1027"/>
    <w:bookmarkEnd w:id="1028"/>
    <w:bookmarkEnd w:id="1029"/>
    <w:p w14:paraId="21801D4E">
      <w:pPr>
        <w:pStyle w:val="6"/>
        <w:jc w:val="left"/>
        <w:rPr>
          <w:rFonts w:ascii="宋体" w:hAnsi="宋体" w:eastAsia="宋体" w:cs="宋体"/>
          <w:color w:val="auto"/>
          <w:sz w:val="32"/>
          <w:szCs w:val="32"/>
          <w:highlight w:val="none"/>
        </w:rPr>
      </w:pPr>
      <w:r>
        <w:rPr>
          <w:rFonts w:hint="eastAsia" w:ascii="宋体" w:hAnsi="宋体" w:eastAsia="宋体" w:cs="宋体"/>
          <w:color w:val="auto"/>
          <w:highlight w:val="none"/>
        </w:rPr>
        <w:t>附件</w:t>
      </w:r>
      <w:r>
        <w:rPr>
          <w:rFonts w:hint="eastAsia" w:ascii="宋体" w:hAnsi="宋体" w:eastAsia="宋体" w:cs="宋体"/>
          <w:color w:val="auto"/>
          <w:sz w:val="30"/>
          <w:szCs w:val="30"/>
          <w:highlight w:val="none"/>
        </w:rPr>
        <w:t>8：</w:t>
      </w:r>
    </w:p>
    <w:p w14:paraId="3687B90A">
      <w:pPr>
        <w:spacing w:line="360" w:lineRule="auto"/>
        <w:jc w:val="left"/>
        <w:rPr>
          <w:rFonts w:ascii="宋体" w:hAnsi="宋体" w:eastAsia="宋体" w:cs="宋体"/>
          <w:b/>
          <w:bCs/>
          <w:color w:val="auto"/>
          <w:sz w:val="32"/>
          <w:szCs w:val="32"/>
          <w:highlight w:val="none"/>
        </w:rPr>
      </w:pPr>
    </w:p>
    <w:p w14:paraId="3C3E32BD">
      <w:pPr>
        <w:spacing w:line="360" w:lineRule="auto"/>
        <w:jc w:val="cente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预付款保函示范文本</w:t>
      </w:r>
    </w:p>
    <w:p w14:paraId="784B14D8">
      <w:pPr>
        <w:spacing w:line="360" w:lineRule="auto"/>
        <w:jc w:val="cente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（独立保函）</w:t>
      </w:r>
    </w:p>
    <w:p w14:paraId="1D6929CF">
      <w:pPr>
        <w:wordWrap w:val="0"/>
        <w:spacing w:line="360" w:lineRule="auto"/>
        <w:jc w:val="right"/>
        <w:rPr>
          <w:rFonts w:ascii="宋体" w:hAnsi="宋体" w:eastAsia="宋体" w:cs="宋体"/>
          <w:color w:val="auto"/>
          <w:highlight w:val="none"/>
        </w:rPr>
      </w:pPr>
      <w:r>
        <w:rPr>
          <w:rFonts w:hint="eastAsia" w:ascii="宋体" w:hAnsi="宋体" w:eastAsia="宋体" w:cs="宋体"/>
          <w:color w:val="auto"/>
          <w:highlight w:val="none"/>
        </w:rPr>
        <w:t xml:space="preserve">编号：           </w:t>
      </w:r>
    </w:p>
    <w:p w14:paraId="0823C965">
      <w:pPr>
        <w:spacing w:line="360" w:lineRule="auto"/>
        <w:rPr>
          <w:rFonts w:ascii="宋体" w:hAnsi="宋体" w:eastAsia="宋体" w:cs="宋体"/>
          <w:color w:val="auto"/>
          <w:sz w:val="24"/>
          <w:highlight w:val="none"/>
        </w:rPr>
      </w:pPr>
    </w:p>
    <w:p w14:paraId="4F1E7A85">
      <w:pPr>
        <w:spacing w:line="360" w:lineRule="auto"/>
        <w:rPr>
          <w:rFonts w:ascii="宋体" w:hAnsi="宋体" w:eastAsia="宋体" w:cs="宋体"/>
          <w:color w:val="auto"/>
          <w:sz w:val="24"/>
          <w:highlight w:val="none"/>
        </w:rPr>
      </w:pPr>
      <w:r>
        <w:rPr>
          <w:rFonts w:hint="eastAsia" w:ascii="宋体" w:hAnsi="宋体" w:eastAsia="宋体" w:cs="宋体"/>
          <w:color w:val="auto"/>
          <w:sz w:val="24"/>
          <w:highlight w:val="none"/>
        </w:rPr>
        <w:t>申请人：</w:t>
      </w:r>
    </w:p>
    <w:p w14:paraId="414A35E0">
      <w:pPr>
        <w:spacing w:line="360" w:lineRule="auto"/>
        <w:rPr>
          <w:rFonts w:ascii="宋体" w:hAnsi="宋体" w:eastAsia="宋体" w:cs="宋体"/>
          <w:color w:val="auto"/>
          <w:sz w:val="24"/>
          <w:highlight w:val="none"/>
        </w:rPr>
      </w:pPr>
      <w:r>
        <w:rPr>
          <w:rFonts w:hint="eastAsia" w:ascii="宋体" w:hAnsi="宋体" w:eastAsia="宋体" w:cs="宋体"/>
          <w:color w:val="auto"/>
          <w:sz w:val="24"/>
          <w:highlight w:val="none"/>
        </w:rPr>
        <w:t xml:space="preserve">  地址：</w:t>
      </w:r>
    </w:p>
    <w:p w14:paraId="596E99BB">
      <w:pPr>
        <w:spacing w:line="360" w:lineRule="auto"/>
        <w:rPr>
          <w:rFonts w:ascii="宋体" w:hAnsi="宋体" w:eastAsia="宋体" w:cs="宋体"/>
          <w:color w:val="auto"/>
          <w:sz w:val="24"/>
          <w:highlight w:val="none"/>
        </w:rPr>
      </w:pPr>
      <w:r>
        <w:rPr>
          <w:rFonts w:hint="eastAsia" w:ascii="宋体" w:hAnsi="宋体" w:eastAsia="宋体" w:cs="宋体"/>
          <w:color w:val="auto"/>
          <w:sz w:val="24"/>
          <w:highlight w:val="none"/>
        </w:rPr>
        <w:t>受益人：</w:t>
      </w:r>
    </w:p>
    <w:p w14:paraId="33D7682E">
      <w:pPr>
        <w:spacing w:line="360" w:lineRule="auto"/>
        <w:rPr>
          <w:rFonts w:ascii="宋体" w:hAnsi="宋体" w:eastAsia="宋体" w:cs="宋体"/>
          <w:color w:val="auto"/>
          <w:sz w:val="24"/>
          <w:highlight w:val="none"/>
        </w:rPr>
      </w:pPr>
      <w:r>
        <w:rPr>
          <w:rFonts w:hint="eastAsia" w:ascii="宋体" w:hAnsi="宋体" w:eastAsia="宋体" w:cs="宋体"/>
          <w:color w:val="auto"/>
          <w:sz w:val="24"/>
          <w:highlight w:val="none"/>
        </w:rPr>
        <w:t xml:space="preserve">  地址：</w:t>
      </w:r>
    </w:p>
    <w:p w14:paraId="1B7E799B">
      <w:pPr>
        <w:spacing w:line="360" w:lineRule="auto"/>
        <w:rPr>
          <w:rFonts w:ascii="宋体" w:hAnsi="宋体" w:eastAsia="宋体" w:cs="宋体"/>
          <w:color w:val="auto"/>
          <w:sz w:val="24"/>
          <w:highlight w:val="none"/>
        </w:rPr>
      </w:pPr>
      <w:r>
        <w:rPr>
          <w:rFonts w:hint="eastAsia" w:ascii="宋体" w:hAnsi="宋体" w:eastAsia="宋体" w:cs="宋体"/>
          <w:color w:val="auto"/>
          <w:sz w:val="24"/>
          <w:highlight w:val="none"/>
        </w:rPr>
        <w:t>开立人：</w:t>
      </w:r>
    </w:p>
    <w:p w14:paraId="29674904">
      <w:pPr>
        <w:spacing w:line="360" w:lineRule="auto"/>
        <w:rPr>
          <w:rFonts w:ascii="宋体" w:hAnsi="宋体" w:eastAsia="宋体" w:cs="宋体"/>
          <w:color w:val="auto"/>
          <w:sz w:val="24"/>
          <w:highlight w:val="none"/>
        </w:rPr>
      </w:pPr>
      <w:r>
        <w:rPr>
          <w:rFonts w:hint="eastAsia" w:ascii="宋体" w:hAnsi="宋体" w:eastAsia="宋体" w:cs="宋体"/>
          <w:color w:val="auto"/>
          <w:sz w:val="24"/>
          <w:highlight w:val="none"/>
        </w:rPr>
        <w:t xml:space="preserve">  地址：</w:t>
      </w:r>
    </w:p>
    <w:p w14:paraId="39CAA81C">
      <w:pPr>
        <w:spacing w:line="360" w:lineRule="auto"/>
        <w:rPr>
          <w:rFonts w:ascii="宋体" w:hAnsi="宋体" w:eastAsia="宋体" w:cs="宋体"/>
          <w:color w:val="auto"/>
          <w:sz w:val="24"/>
          <w:highlight w:val="none"/>
        </w:rPr>
      </w:pPr>
      <w:r>
        <w:rPr>
          <w:rFonts w:hint="eastAsia" w:ascii="宋体" w:hAnsi="宋体" w:eastAsia="宋体" w:cs="宋体"/>
          <w:color w:val="auto"/>
          <w:sz w:val="24"/>
          <w:highlight w:val="none"/>
        </w:rPr>
        <w:t xml:space="preserve"> </w:t>
      </w:r>
    </w:p>
    <w:p w14:paraId="26BA2E24">
      <w:pPr>
        <w:spacing w:line="360" w:lineRule="auto"/>
        <w:rPr>
          <w:rFonts w:ascii="宋体" w:hAnsi="宋体" w:eastAsia="宋体" w:cs="宋体"/>
          <w:color w:val="auto"/>
          <w:sz w:val="24"/>
          <w:highlight w:val="none"/>
        </w:rPr>
      </w:pP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 xml:space="preserve">（受益人名称）： </w:t>
      </w:r>
    </w:p>
    <w:p w14:paraId="064F1CDF">
      <w:pPr>
        <w:spacing w:line="360"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鉴于</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（以下简称“受益人”）与</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（以下简称“申请人”）于</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年</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月</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日就</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工程（以下简称“本工程”）施工和有关事项协商一致共同签订</w:t>
      </w:r>
      <w:r>
        <w:rPr>
          <w:rFonts w:hint="eastAsia" w:ascii="宋体" w:hAnsi="宋体" w:eastAsia="宋体" w:cs="宋体"/>
          <w:color w:val="auto"/>
          <w:sz w:val="24"/>
          <w:highlight w:val="none"/>
          <w:u w:val="single"/>
        </w:rPr>
        <w:t>《        》</w:t>
      </w:r>
      <w:r>
        <w:rPr>
          <w:rFonts w:hint="eastAsia" w:ascii="宋体" w:hAnsi="宋体" w:eastAsia="宋体" w:cs="宋体"/>
          <w:color w:val="auto"/>
          <w:sz w:val="24"/>
          <w:highlight w:val="none"/>
        </w:rPr>
        <w:t xml:space="preserve">（以下简称“基础合同”），我方（即“开立人”）根据主合同了解到申请人为主合同项下之承包人，受益人为主合同项下之发包人，基于申请人的请求，我方同意就申请人按照合同约定正确和合理地为合同目的使用预付款，向贵方提供不可撤销、不可转让的见索即付独立保函（以下简称“本保函”）。 </w:t>
      </w:r>
    </w:p>
    <w:p w14:paraId="0C43B566">
      <w:pPr>
        <w:spacing w:line="360"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一、本保函担保范围：申请人未按照合同约定正确和合理地为合同目的使用预付款，应当向贵方承担的违约责任和赔偿因此造成的损失、利息、律师费、诉讼费用等实现债权的费用。</w:t>
      </w:r>
    </w:p>
    <w:p w14:paraId="025983E3">
      <w:pPr>
        <w:spacing w:line="360"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二、本保函担保金额最高不超过人民币（大写）</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元（¥</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 xml:space="preserve">）。 </w:t>
      </w:r>
    </w:p>
    <w:p w14:paraId="37EEB28C">
      <w:pPr>
        <w:spacing w:line="360"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三、本保函有效期自开立之日起至发包人全额扣回预付款后</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日止，最迟不超过</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年</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月</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日。</w:t>
      </w:r>
    </w:p>
    <w:p w14:paraId="1A279A41">
      <w:pPr>
        <w:spacing w:line="360"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四、我方承诺，在收到受益人发来的书面付款通知后的</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日内无条件支付，前述书面付款通知即为付款要求之单据，且应满足以下要求：</w:t>
      </w:r>
    </w:p>
    <w:p w14:paraId="6C76712F">
      <w:pPr>
        <w:spacing w:line="360"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（1）付款通知到达的日期在本保函的有效期内；</w:t>
      </w:r>
    </w:p>
    <w:p w14:paraId="5948C7B3">
      <w:pPr>
        <w:spacing w:line="360"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（2）载明要求支付的金额；</w:t>
      </w:r>
    </w:p>
    <w:p w14:paraId="28D7D695">
      <w:pPr>
        <w:spacing w:line="360"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（3）载明申请人违反合同义务的条款和内容；</w:t>
      </w:r>
    </w:p>
    <w:p w14:paraId="38BBCCB2">
      <w:pPr>
        <w:spacing w:line="360"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（4）声明不存在合同文件约定或我国法律规定免除申请人或开立人支付责任的情形；</w:t>
      </w:r>
    </w:p>
    <w:p w14:paraId="6F3C8898">
      <w:pPr>
        <w:spacing w:line="360"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（5）付款通知应在本保函有效期内到达的地址是：</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0DE0FF67">
      <w:pPr>
        <w:spacing w:line="360"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受益人发出的书面付款通知应由其为鉴明受益人的法定代表人（负责人）或授权代理人签字并加盖公章。</w:t>
      </w:r>
    </w:p>
    <w:p w14:paraId="633489EA">
      <w:pPr>
        <w:spacing w:line="360"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 xml:space="preserve">五、本保函项下的权利不得转让，不得设定担保。贵方未经我方书面同意转 让本保函或其项下任何权利，对我方不发生法律效力。 </w:t>
      </w:r>
    </w:p>
    <w:p w14:paraId="15DC6340">
      <w:pPr>
        <w:spacing w:line="360"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 xml:space="preserve">六、与本保函有关的基础合同不成立、不生效、无效、被撤销、被解除，不影响本保函的独立有效。 </w:t>
      </w:r>
    </w:p>
    <w:p w14:paraId="0E99E85F">
      <w:pPr>
        <w:spacing w:line="360"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 xml:space="preserve">七、贵方应在本保函到期后的七日内将本保函正本退回我方注销，但是不论贵方是否按此要求将本保函正本退回我方，我方在本保函项下的义务和责任均在保函有效期到期后自动消灭。 </w:t>
      </w:r>
    </w:p>
    <w:p w14:paraId="3CF7C05C">
      <w:pPr>
        <w:spacing w:line="360"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八、本保函适用的法律为中华人民共和国法律，争议裁判管辖地为中华人民共和国</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 xml:space="preserve">。 </w:t>
      </w:r>
    </w:p>
    <w:p w14:paraId="7ACC48A5">
      <w:pPr>
        <w:spacing w:line="360"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 xml:space="preserve">九、本保函自我方法定代表人或授权代表签字并加盖公章之日起生效。 </w:t>
      </w:r>
    </w:p>
    <w:p w14:paraId="793D4B80">
      <w:pPr>
        <w:spacing w:line="360" w:lineRule="auto"/>
        <w:ind w:firstLine="480" w:firstLineChars="200"/>
        <w:rPr>
          <w:rFonts w:ascii="宋体" w:hAnsi="宋体" w:eastAsia="宋体" w:cs="宋体"/>
          <w:color w:val="auto"/>
          <w:sz w:val="24"/>
          <w:highlight w:val="none"/>
        </w:rPr>
      </w:pPr>
    </w:p>
    <w:p w14:paraId="04A86706">
      <w:pPr>
        <w:spacing w:line="360" w:lineRule="auto"/>
        <w:ind w:firstLine="480" w:firstLineChars="200"/>
        <w:rPr>
          <w:rFonts w:ascii="宋体" w:hAnsi="宋体" w:eastAsia="宋体" w:cs="宋体"/>
          <w:color w:val="auto"/>
          <w:sz w:val="24"/>
          <w:highlight w:val="none"/>
        </w:rPr>
      </w:pPr>
    </w:p>
    <w:p w14:paraId="5536FDFE">
      <w:pPr>
        <w:spacing w:line="360"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 xml:space="preserve">开 立 人：                              （公章） </w:t>
      </w:r>
    </w:p>
    <w:p w14:paraId="3EC166FF">
      <w:pPr>
        <w:spacing w:line="360"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 xml:space="preserve">法定代表人（或授权代表）：               （签字） </w:t>
      </w:r>
    </w:p>
    <w:p w14:paraId="349466D3">
      <w:pPr>
        <w:spacing w:line="360"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 xml:space="preserve">地    址：                                       </w:t>
      </w:r>
    </w:p>
    <w:p w14:paraId="18142950">
      <w:pPr>
        <w:spacing w:line="360"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 xml:space="preserve">邮政编码：                 </w:t>
      </w:r>
    </w:p>
    <w:p w14:paraId="72F90DF8">
      <w:pPr>
        <w:spacing w:line="360"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 xml:space="preserve">电    话：                 </w:t>
      </w:r>
    </w:p>
    <w:p w14:paraId="5E4755A8">
      <w:pPr>
        <w:spacing w:line="360"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 xml:space="preserve">传    真：                 </w:t>
      </w:r>
    </w:p>
    <w:p w14:paraId="4C3CA0EC">
      <w:pPr>
        <w:rPr>
          <w:rFonts w:ascii="宋体" w:hAnsi="宋体" w:eastAsia="宋体" w:cs="宋体"/>
          <w:color w:val="auto"/>
          <w:highlight w:val="none"/>
        </w:rPr>
      </w:pPr>
      <w:r>
        <w:rPr>
          <w:rFonts w:hint="eastAsia" w:ascii="宋体" w:hAnsi="宋体" w:eastAsia="宋体" w:cs="宋体"/>
          <w:color w:val="auto"/>
          <w:sz w:val="24"/>
          <w:highlight w:val="none"/>
        </w:rPr>
        <w:t xml:space="preserve">    开立时间：      年      月        日</w:t>
      </w:r>
    </w:p>
    <w:p w14:paraId="72FC020A">
      <w:pPr>
        <w:spacing w:line="360" w:lineRule="auto"/>
        <w:jc w:val="center"/>
        <w:rPr>
          <w:rFonts w:ascii="宋体" w:hAnsi="宋体" w:eastAsia="宋体" w:cs="宋体"/>
          <w:b/>
          <w:bCs/>
          <w:color w:val="auto"/>
          <w:sz w:val="32"/>
          <w:szCs w:val="32"/>
          <w:highlight w:val="none"/>
        </w:rPr>
      </w:pPr>
    </w:p>
    <w:p w14:paraId="68269DB9">
      <w:pPr>
        <w:spacing w:line="360" w:lineRule="auto"/>
        <w:jc w:val="left"/>
        <w:rPr>
          <w:rFonts w:ascii="宋体" w:hAnsi="宋体" w:eastAsia="宋体" w:cs="宋体"/>
          <w:b/>
          <w:bCs/>
          <w:color w:val="auto"/>
          <w:sz w:val="32"/>
          <w:szCs w:val="32"/>
          <w:highlight w:val="none"/>
        </w:rPr>
      </w:pPr>
    </w:p>
    <w:p w14:paraId="16AD408E">
      <w:pPr>
        <w:pStyle w:val="6"/>
        <w:jc w:val="left"/>
        <w:rPr>
          <w:rFonts w:ascii="宋体" w:hAnsi="宋体" w:eastAsia="宋体" w:cs="宋体"/>
          <w:color w:val="auto"/>
          <w:sz w:val="30"/>
          <w:szCs w:val="30"/>
          <w:highlight w:val="none"/>
        </w:rPr>
      </w:pPr>
      <w:r>
        <w:rPr>
          <w:rFonts w:hint="eastAsia" w:ascii="宋体" w:hAnsi="宋体" w:eastAsia="宋体" w:cs="宋体"/>
          <w:color w:val="auto"/>
          <w:highlight w:val="none"/>
        </w:rPr>
        <w:br w:type="page"/>
      </w:r>
      <w:r>
        <w:rPr>
          <w:rFonts w:hint="eastAsia" w:ascii="宋体" w:hAnsi="宋体" w:eastAsia="宋体" w:cs="宋体"/>
          <w:color w:val="auto"/>
          <w:highlight w:val="none"/>
        </w:rPr>
        <w:t>附件</w:t>
      </w:r>
      <w:r>
        <w:rPr>
          <w:rFonts w:hint="eastAsia" w:ascii="宋体" w:hAnsi="宋体" w:eastAsia="宋体" w:cs="宋体"/>
          <w:color w:val="auto"/>
          <w:sz w:val="30"/>
          <w:szCs w:val="30"/>
          <w:highlight w:val="none"/>
        </w:rPr>
        <w:t>9：</w:t>
      </w:r>
    </w:p>
    <w:p w14:paraId="197ED093">
      <w:pPr>
        <w:spacing w:line="360" w:lineRule="auto"/>
        <w:jc w:val="left"/>
        <w:rPr>
          <w:rFonts w:ascii="宋体" w:hAnsi="宋体" w:eastAsia="宋体" w:cs="宋体"/>
          <w:b/>
          <w:bCs/>
          <w:color w:val="auto"/>
          <w:sz w:val="32"/>
          <w:szCs w:val="32"/>
          <w:highlight w:val="none"/>
        </w:rPr>
      </w:pPr>
    </w:p>
    <w:p w14:paraId="7B29F360">
      <w:pPr>
        <w:spacing w:line="360" w:lineRule="auto"/>
        <w:jc w:val="cente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支付保函示范文本</w:t>
      </w:r>
    </w:p>
    <w:p w14:paraId="27B9E32C">
      <w:pPr>
        <w:spacing w:line="360" w:lineRule="auto"/>
        <w:jc w:val="cente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（独立保函）</w:t>
      </w:r>
    </w:p>
    <w:p w14:paraId="078C17EF">
      <w:pPr>
        <w:wordWrap w:val="0"/>
        <w:spacing w:line="360" w:lineRule="auto"/>
        <w:jc w:val="right"/>
        <w:rPr>
          <w:rFonts w:ascii="宋体" w:hAnsi="宋体" w:eastAsia="宋体" w:cs="宋体"/>
          <w:color w:val="auto"/>
          <w:highlight w:val="none"/>
        </w:rPr>
      </w:pPr>
      <w:r>
        <w:rPr>
          <w:rFonts w:hint="eastAsia" w:ascii="宋体" w:hAnsi="宋体" w:eastAsia="宋体" w:cs="宋体"/>
          <w:color w:val="auto"/>
          <w:highlight w:val="none"/>
        </w:rPr>
        <w:t xml:space="preserve">编号：           </w:t>
      </w:r>
    </w:p>
    <w:p w14:paraId="32E9F443">
      <w:pPr>
        <w:spacing w:line="360" w:lineRule="auto"/>
        <w:rPr>
          <w:rFonts w:ascii="宋体" w:hAnsi="宋体" w:eastAsia="宋体" w:cs="宋体"/>
          <w:color w:val="auto"/>
          <w:sz w:val="24"/>
          <w:highlight w:val="none"/>
        </w:rPr>
      </w:pPr>
      <w:r>
        <w:rPr>
          <w:rFonts w:hint="eastAsia" w:ascii="宋体" w:hAnsi="宋体" w:eastAsia="宋体" w:cs="宋体"/>
          <w:color w:val="auto"/>
          <w:sz w:val="24"/>
          <w:highlight w:val="none"/>
        </w:rPr>
        <w:t>申请人：</w:t>
      </w:r>
    </w:p>
    <w:p w14:paraId="7FBF933D">
      <w:pPr>
        <w:spacing w:line="360" w:lineRule="auto"/>
        <w:rPr>
          <w:rFonts w:ascii="宋体" w:hAnsi="宋体" w:eastAsia="宋体" w:cs="宋体"/>
          <w:color w:val="auto"/>
          <w:sz w:val="24"/>
          <w:highlight w:val="none"/>
        </w:rPr>
      </w:pPr>
      <w:r>
        <w:rPr>
          <w:rFonts w:hint="eastAsia" w:ascii="宋体" w:hAnsi="宋体" w:eastAsia="宋体" w:cs="宋体"/>
          <w:color w:val="auto"/>
          <w:sz w:val="24"/>
          <w:highlight w:val="none"/>
        </w:rPr>
        <w:t xml:space="preserve">  地址：</w:t>
      </w:r>
    </w:p>
    <w:p w14:paraId="502E1816">
      <w:pPr>
        <w:spacing w:line="360" w:lineRule="auto"/>
        <w:rPr>
          <w:rFonts w:ascii="宋体" w:hAnsi="宋体" w:eastAsia="宋体" w:cs="宋体"/>
          <w:color w:val="auto"/>
          <w:sz w:val="24"/>
          <w:highlight w:val="none"/>
        </w:rPr>
      </w:pPr>
      <w:r>
        <w:rPr>
          <w:rFonts w:hint="eastAsia" w:ascii="宋体" w:hAnsi="宋体" w:eastAsia="宋体" w:cs="宋体"/>
          <w:color w:val="auto"/>
          <w:sz w:val="24"/>
          <w:highlight w:val="none"/>
        </w:rPr>
        <w:t>受益人：</w:t>
      </w:r>
    </w:p>
    <w:p w14:paraId="77A19781">
      <w:pPr>
        <w:spacing w:line="360" w:lineRule="auto"/>
        <w:rPr>
          <w:rFonts w:ascii="宋体" w:hAnsi="宋体" w:eastAsia="宋体" w:cs="宋体"/>
          <w:color w:val="auto"/>
          <w:sz w:val="24"/>
          <w:highlight w:val="none"/>
        </w:rPr>
      </w:pPr>
      <w:r>
        <w:rPr>
          <w:rFonts w:hint="eastAsia" w:ascii="宋体" w:hAnsi="宋体" w:eastAsia="宋体" w:cs="宋体"/>
          <w:color w:val="auto"/>
          <w:sz w:val="24"/>
          <w:highlight w:val="none"/>
        </w:rPr>
        <w:t xml:space="preserve">  地址：</w:t>
      </w:r>
    </w:p>
    <w:p w14:paraId="55A4739E">
      <w:pPr>
        <w:spacing w:line="360" w:lineRule="auto"/>
        <w:rPr>
          <w:rFonts w:ascii="宋体" w:hAnsi="宋体" w:eastAsia="宋体" w:cs="宋体"/>
          <w:color w:val="auto"/>
          <w:sz w:val="24"/>
          <w:highlight w:val="none"/>
        </w:rPr>
      </w:pPr>
      <w:r>
        <w:rPr>
          <w:rFonts w:hint="eastAsia" w:ascii="宋体" w:hAnsi="宋体" w:eastAsia="宋体" w:cs="宋体"/>
          <w:color w:val="auto"/>
          <w:sz w:val="24"/>
          <w:highlight w:val="none"/>
        </w:rPr>
        <w:t>开立人：</w:t>
      </w:r>
    </w:p>
    <w:p w14:paraId="6C9A93D8">
      <w:pPr>
        <w:spacing w:line="360" w:lineRule="auto"/>
        <w:rPr>
          <w:rFonts w:ascii="宋体" w:hAnsi="宋体" w:eastAsia="宋体" w:cs="宋体"/>
          <w:color w:val="auto"/>
          <w:sz w:val="24"/>
          <w:highlight w:val="none"/>
        </w:rPr>
      </w:pPr>
      <w:r>
        <w:rPr>
          <w:rFonts w:hint="eastAsia" w:ascii="宋体" w:hAnsi="宋体" w:eastAsia="宋体" w:cs="宋体"/>
          <w:color w:val="auto"/>
          <w:sz w:val="24"/>
          <w:highlight w:val="none"/>
        </w:rPr>
        <w:t xml:space="preserve">  地址：</w:t>
      </w:r>
    </w:p>
    <w:p w14:paraId="65B36976">
      <w:pPr>
        <w:spacing w:line="360" w:lineRule="auto"/>
        <w:rPr>
          <w:rFonts w:ascii="宋体" w:hAnsi="宋体" w:eastAsia="宋体" w:cs="宋体"/>
          <w:color w:val="auto"/>
          <w:sz w:val="24"/>
          <w:highlight w:val="none"/>
        </w:rPr>
      </w:pPr>
      <w:r>
        <w:rPr>
          <w:rFonts w:hint="eastAsia" w:ascii="宋体" w:hAnsi="宋体" w:eastAsia="宋体" w:cs="宋体"/>
          <w:color w:val="auto"/>
          <w:sz w:val="24"/>
          <w:highlight w:val="none"/>
        </w:rPr>
        <w:t xml:space="preserve"> </w:t>
      </w:r>
    </w:p>
    <w:p w14:paraId="3155A1CF">
      <w:pPr>
        <w:spacing w:line="360" w:lineRule="auto"/>
        <w:rPr>
          <w:rFonts w:ascii="宋体" w:hAnsi="宋体" w:eastAsia="宋体" w:cs="宋体"/>
          <w:color w:val="auto"/>
          <w:sz w:val="24"/>
          <w:highlight w:val="none"/>
        </w:rPr>
      </w:pPr>
      <w:bookmarkStart w:id="1030" w:name="_Hlk40355074"/>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 xml:space="preserve">（受益人名称）： </w:t>
      </w:r>
    </w:p>
    <w:bookmarkEnd w:id="1030"/>
    <w:p w14:paraId="3A98C284">
      <w:pPr>
        <w:spacing w:line="360"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鉴于</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（以下简称“受益人”）与</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（以下简称“申请人”）于</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年</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月</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日就</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工程（以下简称“本工程”）施工和有关事项协商一致共同签订</w:t>
      </w:r>
      <w:r>
        <w:rPr>
          <w:rFonts w:hint="eastAsia" w:ascii="宋体" w:hAnsi="宋体" w:eastAsia="宋体" w:cs="宋体"/>
          <w:color w:val="auto"/>
          <w:sz w:val="24"/>
          <w:highlight w:val="none"/>
          <w:u w:val="single"/>
        </w:rPr>
        <w:t>《        》</w:t>
      </w:r>
      <w:r>
        <w:rPr>
          <w:rFonts w:hint="eastAsia" w:ascii="宋体" w:hAnsi="宋体" w:eastAsia="宋体" w:cs="宋体"/>
          <w:color w:val="auto"/>
          <w:sz w:val="24"/>
          <w:highlight w:val="none"/>
        </w:rPr>
        <w:t xml:space="preserve">（以下简称基础合同”），我方（即“开立人”）根据基础合同了解到申请人为基础合同项下之发包人，受益人为基础合同项下之承包人，基于申请人的请求，我方同意就申请人履行与贵方签订的基础合同项下的工程款（指基础合同约定的除工程质量保修金以外的工程款）付款义务，向贵方提供不可撤销、不可转让的见索即付独立保函（以下简称“本保函”）。 </w:t>
      </w:r>
    </w:p>
    <w:p w14:paraId="4B4199AC">
      <w:pPr>
        <w:spacing w:line="360"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一、本保函担保范围：申请人未履行基础合同约定的工程款支付义务，应当向贵方承担的违约责任和赔偿因此造成的损失、利息、律师费、诉讼费用等实现债权的费用。</w:t>
      </w:r>
    </w:p>
    <w:p w14:paraId="6081D174">
      <w:pPr>
        <w:spacing w:line="360"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二、本保函担保金额最高不超过人民币（大写）</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元（¥</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 xml:space="preserve">）。 </w:t>
      </w:r>
    </w:p>
    <w:p w14:paraId="35B6E60D">
      <w:pPr>
        <w:spacing w:line="360"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三、本保函有效期自开立之日起至基础合同约定的除工程质量保修金以外的全部工程结算款项支付之日后</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日止，最迟不超过</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年</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月</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 xml:space="preserve">日。 </w:t>
      </w:r>
    </w:p>
    <w:p w14:paraId="525A3617">
      <w:pPr>
        <w:spacing w:line="360" w:lineRule="auto"/>
        <w:ind w:firstLine="480"/>
        <w:rPr>
          <w:rFonts w:ascii="宋体" w:hAnsi="宋体" w:eastAsia="宋体" w:cs="宋体"/>
          <w:color w:val="auto"/>
          <w:sz w:val="24"/>
          <w:highlight w:val="none"/>
        </w:rPr>
      </w:pPr>
      <w:r>
        <w:rPr>
          <w:rFonts w:hint="eastAsia" w:ascii="宋体" w:hAnsi="宋体" w:eastAsia="宋体" w:cs="宋体"/>
          <w:color w:val="auto"/>
          <w:sz w:val="24"/>
          <w:highlight w:val="none"/>
        </w:rPr>
        <w:t>四、我方承诺，在收到受益人发来的书面付款通知后的</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日内无条件支付，前述书面付款通知即为付款要求之单据，且应满足以下要求：</w:t>
      </w:r>
    </w:p>
    <w:p w14:paraId="70C3E3C5">
      <w:pPr>
        <w:spacing w:line="360"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（1）付款通知到达的日期在本保函的有效期内；</w:t>
      </w:r>
    </w:p>
    <w:p w14:paraId="0662B9E1">
      <w:pPr>
        <w:spacing w:line="360"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（2）载明要求支付的金额；</w:t>
      </w:r>
    </w:p>
    <w:p w14:paraId="37F131B5">
      <w:pPr>
        <w:spacing w:line="360"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（3）载明申请人违反合同义务的条款和内容；</w:t>
      </w:r>
    </w:p>
    <w:p w14:paraId="5A2AFC29">
      <w:pPr>
        <w:spacing w:line="360"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（4）声明不存在合同文件约定或我国法律规定免除申请人或开立人支付责任的情形；</w:t>
      </w:r>
    </w:p>
    <w:p w14:paraId="75BA6F93">
      <w:pPr>
        <w:spacing w:line="360"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（5）付款通知应在本保函有效期内到达的地址是：</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183E0B41">
      <w:pPr>
        <w:spacing w:line="360"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受益人发出的书面付款通知应由其为鉴明受益人的法定代表人（负责人）或授权代理人签字并加盖公章。</w:t>
      </w:r>
    </w:p>
    <w:p w14:paraId="7903F7FB">
      <w:pPr>
        <w:spacing w:line="360"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 xml:space="preserve">五、本保函项下的权利不得转让，不得设定担保。贵方未经我方书面同意转 让本保函或其项下任何权利，对我方不发生法律效力。 </w:t>
      </w:r>
    </w:p>
    <w:p w14:paraId="1AD8D7AA">
      <w:pPr>
        <w:spacing w:line="360"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 xml:space="preserve">六、与本保函有关的基础合同不成立、不生效、无效、被撤销、被解除，不影响本保函的独立有效。 </w:t>
      </w:r>
    </w:p>
    <w:p w14:paraId="0E38597E">
      <w:pPr>
        <w:spacing w:line="360"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 xml:space="preserve">七、贵方应在本保函到期后的七日内将本保函正本退回我方注销，但是不论贵方是否按此要求将本保函正本退回我方，我方在本保函项下的义务和责任均在保函有效期到期后自动消灭。 </w:t>
      </w:r>
    </w:p>
    <w:p w14:paraId="5F380215">
      <w:pPr>
        <w:spacing w:line="360"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八、本保函适用的法律为中华人民共和国法律，争议裁判管辖地为中华人民共和国</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 xml:space="preserve">。 </w:t>
      </w:r>
    </w:p>
    <w:p w14:paraId="77BF36B1">
      <w:pPr>
        <w:spacing w:line="360"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九、本保函自我方法定代表人</w:t>
      </w:r>
      <w:bookmarkStart w:id="1031" w:name="_Hlk58487855"/>
      <w:r>
        <w:rPr>
          <w:rFonts w:hint="eastAsia" w:ascii="宋体" w:hAnsi="宋体" w:eastAsia="宋体" w:cs="宋体"/>
          <w:color w:val="auto"/>
          <w:sz w:val="24"/>
          <w:highlight w:val="none"/>
        </w:rPr>
        <w:t>或授权代表</w:t>
      </w:r>
      <w:bookmarkEnd w:id="1031"/>
      <w:r>
        <w:rPr>
          <w:rFonts w:hint="eastAsia" w:ascii="宋体" w:hAnsi="宋体" w:eastAsia="宋体" w:cs="宋体"/>
          <w:color w:val="auto"/>
          <w:sz w:val="24"/>
          <w:highlight w:val="none"/>
        </w:rPr>
        <w:t xml:space="preserve">签字并加盖公章之日起生效。 </w:t>
      </w:r>
    </w:p>
    <w:p w14:paraId="04694364">
      <w:pPr>
        <w:spacing w:line="360" w:lineRule="auto"/>
        <w:ind w:firstLine="480" w:firstLineChars="200"/>
        <w:rPr>
          <w:rFonts w:ascii="宋体" w:hAnsi="宋体" w:eastAsia="宋体" w:cs="宋体"/>
          <w:color w:val="auto"/>
          <w:sz w:val="24"/>
          <w:highlight w:val="none"/>
        </w:rPr>
      </w:pPr>
    </w:p>
    <w:p w14:paraId="14B01D06">
      <w:pPr>
        <w:spacing w:line="360" w:lineRule="auto"/>
        <w:ind w:firstLine="480" w:firstLineChars="200"/>
        <w:rPr>
          <w:rFonts w:ascii="宋体" w:hAnsi="宋体" w:eastAsia="宋体" w:cs="宋体"/>
          <w:color w:val="auto"/>
          <w:sz w:val="24"/>
          <w:highlight w:val="none"/>
        </w:rPr>
      </w:pPr>
    </w:p>
    <w:p w14:paraId="7A8C1C2A">
      <w:pPr>
        <w:spacing w:line="360"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 xml:space="preserve">开 立 人：                              （公章） </w:t>
      </w:r>
    </w:p>
    <w:p w14:paraId="2DBE55DE">
      <w:pPr>
        <w:spacing w:line="360"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 xml:space="preserve">法定代表人（或授权代表）：               （签字） </w:t>
      </w:r>
    </w:p>
    <w:p w14:paraId="76170163">
      <w:pPr>
        <w:spacing w:line="360"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 xml:space="preserve">地    址：                                       </w:t>
      </w:r>
    </w:p>
    <w:p w14:paraId="37EA7FE4">
      <w:pPr>
        <w:spacing w:line="360"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 xml:space="preserve">邮政编码：                 </w:t>
      </w:r>
    </w:p>
    <w:p w14:paraId="595F9063">
      <w:pPr>
        <w:spacing w:line="360"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 xml:space="preserve">电    话：                 </w:t>
      </w:r>
    </w:p>
    <w:p w14:paraId="78B0277E">
      <w:pPr>
        <w:spacing w:line="360"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 xml:space="preserve">传    真：                 </w:t>
      </w:r>
    </w:p>
    <w:p w14:paraId="1CC66406">
      <w:pPr>
        <w:spacing w:line="360"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开立时间：      年      月        日</w:t>
      </w:r>
    </w:p>
    <w:p w14:paraId="083D1BCD">
      <w:pPr>
        <w:spacing w:line="360" w:lineRule="auto"/>
        <w:ind w:firstLine="480" w:firstLineChars="200"/>
        <w:rPr>
          <w:rFonts w:ascii="宋体" w:hAnsi="宋体" w:eastAsia="宋体" w:cs="宋体"/>
          <w:color w:val="auto"/>
          <w:sz w:val="24"/>
          <w:highlight w:val="none"/>
        </w:rPr>
      </w:pPr>
    </w:p>
    <w:p w14:paraId="347B6C55">
      <w:pPr>
        <w:spacing w:line="360" w:lineRule="auto"/>
        <w:ind w:firstLine="420" w:firstLineChars="200"/>
        <w:rPr>
          <w:rFonts w:ascii="宋体" w:hAnsi="宋体" w:eastAsia="宋体" w:cs="宋体"/>
          <w:color w:val="auto"/>
          <w:sz w:val="24"/>
          <w:highlight w:val="none"/>
        </w:rPr>
      </w:pPr>
      <w:r>
        <w:rPr>
          <w:rFonts w:hint="eastAsia" w:ascii="宋体" w:hAnsi="宋体" w:eastAsia="宋体" w:cs="宋体"/>
          <w:color w:val="auto"/>
          <w:highlight w:val="none"/>
        </w:rPr>
        <w:br w:type="page"/>
      </w:r>
    </w:p>
    <w:p w14:paraId="54B2FBB9">
      <w:pPr>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附件10：</w:t>
      </w:r>
    </w:p>
    <w:p w14:paraId="418F218F">
      <w:pPr>
        <w:jc w:val="center"/>
        <w:rPr>
          <w:rFonts w:ascii="宋体" w:hAnsi="宋体" w:eastAsia="宋体" w:cs="宋体"/>
          <w:b/>
          <w:color w:val="auto"/>
          <w:sz w:val="36"/>
          <w:szCs w:val="36"/>
          <w:highlight w:val="none"/>
        </w:rPr>
      </w:pPr>
      <w:r>
        <w:rPr>
          <w:rFonts w:hint="eastAsia" w:ascii="宋体" w:hAnsi="宋体" w:eastAsia="宋体" w:cs="宋体"/>
          <w:b/>
          <w:color w:val="auto"/>
          <w:sz w:val="36"/>
          <w:szCs w:val="36"/>
          <w:highlight w:val="none"/>
        </w:rPr>
        <w:t>预付款支付申请（核准）表</w:t>
      </w:r>
    </w:p>
    <w:p w14:paraId="6A8A8D47">
      <w:pPr>
        <w:rPr>
          <w:rFonts w:ascii="宋体" w:hAnsi="宋体" w:eastAsia="宋体" w:cs="宋体"/>
          <w:color w:val="auto"/>
          <w:sz w:val="24"/>
          <w:highlight w:val="none"/>
        </w:rPr>
      </w:pPr>
      <w:r>
        <w:rPr>
          <w:rFonts w:hint="eastAsia" w:ascii="宋体" w:hAnsi="宋体" w:eastAsia="宋体" w:cs="宋体"/>
          <w:color w:val="auto"/>
          <w:sz w:val="24"/>
          <w:highlight w:val="none"/>
        </w:rPr>
        <w:t>工程名称：                                             编号：</w:t>
      </w:r>
    </w:p>
    <w:tbl>
      <w:tblPr>
        <w:tblStyle w:val="54"/>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88"/>
        <w:gridCol w:w="4697"/>
      </w:tblGrid>
      <w:tr w14:paraId="54C3D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8" w:hRule="atLeast"/>
          <w:jc w:val="center"/>
        </w:trPr>
        <w:tc>
          <w:tcPr>
            <w:tcW w:w="9072" w:type="dxa"/>
            <w:gridSpan w:val="2"/>
            <w:noWrap w:val="0"/>
            <w:vAlign w:val="top"/>
          </w:tcPr>
          <w:p w14:paraId="49289638">
            <w:pPr>
              <w:spacing w:line="480" w:lineRule="exact"/>
              <w:ind w:left="525" w:leftChars="149" w:hanging="212" w:hangingChars="101"/>
              <w:rPr>
                <w:rFonts w:ascii="宋体" w:hAnsi="宋体" w:eastAsia="宋体" w:cs="宋体"/>
                <w:color w:val="auto"/>
                <w:highlight w:val="none"/>
                <w:u w:val="single"/>
              </w:rPr>
            </w:pPr>
            <w:r>
              <w:rPr>
                <w:rFonts w:hint="eastAsia" w:ascii="宋体" w:hAnsi="宋体" w:eastAsia="宋体" w:cs="宋体"/>
                <w:color w:val="auto"/>
                <w:highlight w:val="none"/>
              </w:rPr>
              <w:t>致：</w:t>
            </w:r>
            <w:r>
              <w:rPr>
                <w:rFonts w:hint="eastAsia" w:ascii="宋体" w:hAnsi="宋体" w:eastAsia="宋体" w:cs="宋体"/>
                <w:color w:val="auto"/>
                <w:highlight w:val="none"/>
                <w:u w:val="single"/>
              </w:rPr>
              <w:t xml:space="preserve">                                   （发包人全称）</w:t>
            </w:r>
          </w:p>
          <w:p w14:paraId="6CF8E537">
            <w:pPr>
              <w:spacing w:line="400" w:lineRule="exact"/>
              <w:ind w:left="-4" w:leftChars="-2" w:firstLine="315" w:firstLineChars="150"/>
              <w:rPr>
                <w:rFonts w:ascii="宋体" w:hAnsi="宋体" w:eastAsia="宋体" w:cs="宋体"/>
                <w:color w:val="auto"/>
                <w:highlight w:val="none"/>
              </w:rPr>
            </w:pPr>
            <w:r>
              <w:rPr>
                <w:rFonts w:hint="eastAsia" w:ascii="宋体" w:hAnsi="宋体" w:eastAsia="宋体" w:cs="宋体"/>
                <w:color w:val="auto"/>
                <w:highlight w:val="none"/>
              </w:rPr>
              <w:t>我方根据施工合同的约定，现申请支付工程预付款额为(大写)</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元，(小写)</w:t>
            </w:r>
          </w:p>
          <w:p w14:paraId="09E40CF0">
            <w:pPr>
              <w:spacing w:line="400" w:lineRule="exact"/>
              <w:rPr>
                <w:rFonts w:ascii="宋体" w:hAnsi="宋体" w:eastAsia="宋体" w:cs="宋体"/>
                <w:color w:val="auto"/>
                <w:highlight w:val="none"/>
              </w:rPr>
            </w:pP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元，请予核准。</w:t>
            </w:r>
          </w:p>
          <w:tbl>
            <w:tblPr>
              <w:tblStyle w:val="54"/>
              <w:tblpPr w:leftFromText="180" w:rightFromText="180" w:vertAnchor="page" w:horzAnchor="margin" w:tblpY="1309"/>
              <w:tblOverlap w:val="never"/>
              <w:tblW w:w="89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5"/>
              <w:gridCol w:w="3340"/>
              <w:gridCol w:w="1764"/>
              <w:gridCol w:w="2240"/>
              <w:gridCol w:w="1080"/>
            </w:tblGrid>
            <w:tr w14:paraId="1ABE4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535" w:type="dxa"/>
                  <w:noWrap w:val="0"/>
                  <w:vAlign w:val="center"/>
                </w:tcPr>
                <w:p w14:paraId="287B979A">
                  <w:pPr>
                    <w:spacing w:line="280" w:lineRule="exact"/>
                    <w:jc w:val="center"/>
                    <w:rPr>
                      <w:rFonts w:ascii="宋体" w:hAnsi="宋体" w:eastAsia="宋体" w:cs="宋体"/>
                      <w:color w:val="auto"/>
                      <w:highlight w:val="none"/>
                    </w:rPr>
                  </w:pPr>
                  <w:r>
                    <w:rPr>
                      <w:rFonts w:hint="eastAsia" w:ascii="宋体" w:hAnsi="宋体" w:eastAsia="宋体" w:cs="宋体"/>
                      <w:color w:val="auto"/>
                      <w:highlight w:val="none"/>
                    </w:rPr>
                    <w:t>序号</w:t>
                  </w:r>
                </w:p>
              </w:tc>
              <w:tc>
                <w:tcPr>
                  <w:tcW w:w="3340" w:type="dxa"/>
                  <w:noWrap w:val="0"/>
                  <w:vAlign w:val="center"/>
                </w:tcPr>
                <w:p w14:paraId="3994B21E">
                  <w:pPr>
                    <w:spacing w:line="280" w:lineRule="exact"/>
                    <w:jc w:val="center"/>
                    <w:rPr>
                      <w:rFonts w:ascii="宋体" w:hAnsi="宋体" w:eastAsia="宋体" w:cs="宋体"/>
                      <w:color w:val="auto"/>
                      <w:highlight w:val="none"/>
                    </w:rPr>
                  </w:pPr>
                  <w:r>
                    <w:rPr>
                      <w:rFonts w:hint="eastAsia" w:ascii="宋体" w:hAnsi="宋体" w:eastAsia="宋体" w:cs="宋体"/>
                      <w:color w:val="auto"/>
                      <w:highlight w:val="none"/>
                    </w:rPr>
                    <w:t>名      称</w:t>
                  </w:r>
                </w:p>
              </w:tc>
              <w:tc>
                <w:tcPr>
                  <w:tcW w:w="1764" w:type="dxa"/>
                  <w:noWrap w:val="0"/>
                  <w:vAlign w:val="center"/>
                </w:tcPr>
                <w:p w14:paraId="4CD6F819">
                  <w:pPr>
                    <w:spacing w:line="280" w:lineRule="exact"/>
                    <w:jc w:val="center"/>
                    <w:rPr>
                      <w:rFonts w:ascii="宋体" w:hAnsi="宋体" w:eastAsia="宋体" w:cs="宋体"/>
                      <w:color w:val="auto"/>
                      <w:highlight w:val="none"/>
                    </w:rPr>
                  </w:pPr>
                  <w:r>
                    <w:rPr>
                      <w:rFonts w:hint="eastAsia" w:ascii="宋体" w:hAnsi="宋体" w:eastAsia="宋体" w:cs="宋体"/>
                      <w:color w:val="auto"/>
                      <w:highlight w:val="none"/>
                    </w:rPr>
                    <w:t>申请金额（元）</w:t>
                  </w:r>
                </w:p>
              </w:tc>
              <w:tc>
                <w:tcPr>
                  <w:tcW w:w="2240" w:type="dxa"/>
                  <w:noWrap w:val="0"/>
                  <w:vAlign w:val="center"/>
                </w:tcPr>
                <w:p w14:paraId="64D2A543">
                  <w:pPr>
                    <w:spacing w:line="280" w:lineRule="exact"/>
                    <w:jc w:val="center"/>
                    <w:rPr>
                      <w:rFonts w:ascii="宋体" w:hAnsi="宋体" w:eastAsia="宋体" w:cs="宋体"/>
                      <w:color w:val="auto"/>
                      <w:highlight w:val="none"/>
                    </w:rPr>
                  </w:pPr>
                  <w:r>
                    <w:rPr>
                      <w:rFonts w:hint="eastAsia" w:ascii="宋体" w:hAnsi="宋体" w:eastAsia="宋体" w:cs="宋体"/>
                      <w:color w:val="auto"/>
                      <w:highlight w:val="none"/>
                    </w:rPr>
                    <w:t>复核金额（元）</w:t>
                  </w:r>
                </w:p>
              </w:tc>
              <w:tc>
                <w:tcPr>
                  <w:tcW w:w="1080" w:type="dxa"/>
                  <w:noWrap w:val="0"/>
                  <w:vAlign w:val="center"/>
                </w:tcPr>
                <w:p w14:paraId="1F4BB681">
                  <w:pPr>
                    <w:spacing w:line="280" w:lineRule="exact"/>
                    <w:jc w:val="center"/>
                    <w:rPr>
                      <w:rFonts w:ascii="宋体" w:hAnsi="宋体" w:eastAsia="宋体" w:cs="宋体"/>
                      <w:color w:val="auto"/>
                      <w:highlight w:val="none"/>
                    </w:rPr>
                  </w:pPr>
                  <w:r>
                    <w:rPr>
                      <w:rFonts w:hint="eastAsia" w:ascii="宋体" w:hAnsi="宋体" w:eastAsia="宋体" w:cs="宋体"/>
                      <w:color w:val="auto"/>
                      <w:highlight w:val="none"/>
                    </w:rPr>
                    <w:t>备注</w:t>
                  </w:r>
                </w:p>
              </w:tc>
            </w:tr>
            <w:tr w14:paraId="55DFE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7A822EFA">
                  <w:pPr>
                    <w:spacing w:line="280" w:lineRule="exact"/>
                    <w:jc w:val="center"/>
                    <w:rPr>
                      <w:rFonts w:ascii="宋体" w:hAnsi="宋体" w:eastAsia="宋体" w:cs="宋体"/>
                      <w:color w:val="auto"/>
                      <w:highlight w:val="none"/>
                    </w:rPr>
                  </w:pPr>
                  <w:r>
                    <w:rPr>
                      <w:rFonts w:hint="eastAsia" w:ascii="宋体" w:hAnsi="宋体" w:eastAsia="宋体" w:cs="宋体"/>
                      <w:color w:val="auto"/>
                      <w:highlight w:val="none"/>
                    </w:rPr>
                    <w:t>1</w:t>
                  </w:r>
                </w:p>
              </w:tc>
              <w:tc>
                <w:tcPr>
                  <w:tcW w:w="3340" w:type="dxa"/>
                  <w:noWrap w:val="0"/>
                  <w:vAlign w:val="top"/>
                </w:tcPr>
                <w:p w14:paraId="27A61B7B">
                  <w:pPr>
                    <w:spacing w:line="280" w:lineRule="exact"/>
                    <w:rPr>
                      <w:rFonts w:ascii="宋体" w:hAnsi="宋体" w:eastAsia="宋体" w:cs="宋体"/>
                      <w:color w:val="auto"/>
                      <w:highlight w:val="none"/>
                    </w:rPr>
                  </w:pPr>
                  <w:r>
                    <w:rPr>
                      <w:rFonts w:hint="eastAsia" w:ascii="宋体" w:hAnsi="宋体" w:eastAsia="宋体" w:cs="宋体"/>
                      <w:color w:val="auto"/>
                      <w:highlight w:val="none"/>
                    </w:rPr>
                    <w:t>已签约合同价款金额</w:t>
                  </w:r>
                </w:p>
              </w:tc>
              <w:tc>
                <w:tcPr>
                  <w:tcW w:w="1764" w:type="dxa"/>
                  <w:noWrap w:val="0"/>
                  <w:vAlign w:val="top"/>
                </w:tcPr>
                <w:p w14:paraId="295F1F40">
                  <w:pPr>
                    <w:spacing w:line="280" w:lineRule="exact"/>
                    <w:rPr>
                      <w:rFonts w:ascii="宋体" w:hAnsi="宋体" w:eastAsia="宋体" w:cs="宋体"/>
                      <w:color w:val="auto"/>
                      <w:highlight w:val="none"/>
                    </w:rPr>
                  </w:pPr>
                </w:p>
              </w:tc>
              <w:tc>
                <w:tcPr>
                  <w:tcW w:w="2240" w:type="dxa"/>
                  <w:noWrap w:val="0"/>
                  <w:vAlign w:val="top"/>
                </w:tcPr>
                <w:p w14:paraId="07A3A252">
                  <w:pPr>
                    <w:spacing w:line="280" w:lineRule="exact"/>
                    <w:rPr>
                      <w:rFonts w:ascii="宋体" w:hAnsi="宋体" w:eastAsia="宋体" w:cs="宋体"/>
                      <w:color w:val="auto"/>
                      <w:highlight w:val="none"/>
                    </w:rPr>
                  </w:pPr>
                </w:p>
              </w:tc>
              <w:tc>
                <w:tcPr>
                  <w:tcW w:w="1080" w:type="dxa"/>
                  <w:noWrap w:val="0"/>
                  <w:vAlign w:val="top"/>
                </w:tcPr>
                <w:p w14:paraId="1BACFA9E">
                  <w:pPr>
                    <w:spacing w:line="280" w:lineRule="exact"/>
                    <w:rPr>
                      <w:rFonts w:ascii="宋体" w:hAnsi="宋体" w:eastAsia="宋体" w:cs="宋体"/>
                      <w:color w:val="auto"/>
                      <w:highlight w:val="none"/>
                    </w:rPr>
                  </w:pPr>
                </w:p>
              </w:tc>
            </w:tr>
            <w:tr w14:paraId="21C7A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76422624">
                  <w:pPr>
                    <w:spacing w:line="280" w:lineRule="exact"/>
                    <w:jc w:val="center"/>
                    <w:rPr>
                      <w:rFonts w:ascii="宋体" w:hAnsi="宋体" w:eastAsia="宋体" w:cs="宋体"/>
                      <w:color w:val="auto"/>
                      <w:highlight w:val="none"/>
                    </w:rPr>
                  </w:pPr>
                  <w:r>
                    <w:rPr>
                      <w:rFonts w:hint="eastAsia" w:ascii="宋体" w:hAnsi="宋体" w:eastAsia="宋体" w:cs="宋体"/>
                      <w:color w:val="auto"/>
                      <w:highlight w:val="none"/>
                    </w:rPr>
                    <w:t>2</w:t>
                  </w:r>
                </w:p>
              </w:tc>
              <w:tc>
                <w:tcPr>
                  <w:tcW w:w="3340" w:type="dxa"/>
                  <w:noWrap w:val="0"/>
                  <w:vAlign w:val="top"/>
                </w:tcPr>
                <w:p w14:paraId="44CAE5E7">
                  <w:pPr>
                    <w:spacing w:line="280" w:lineRule="exact"/>
                    <w:rPr>
                      <w:rFonts w:ascii="宋体" w:hAnsi="宋体" w:eastAsia="宋体" w:cs="宋体"/>
                      <w:color w:val="auto"/>
                      <w:highlight w:val="none"/>
                    </w:rPr>
                  </w:pPr>
                  <w:r>
                    <w:rPr>
                      <w:rFonts w:hint="eastAsia" w:ascii="宋体" w:hAnsi="宋体" w:eastAsia="宋体" w:cs="宋体"/>
                      <w:color w:val="auto"/>
                      <w:highlight w:val="none"/>
                    </w:rPr>
                    <w:t>其中：安全文明施工费</w:t>
                  </w:r>
                </w:p>
              </w:tc>
              <w:tc>
                <w:tcPr>
                  <w:tcW w:w="1764" w:type="dxa"/>
                  <w:noWrap w:val="0"/>
                  <w:vAlign w:val="top"/>
                </w:tcPr>
                <w:p w14:paraId="68F64353">
                  <w:pPr>
                    <w:spacing w:line="280" w:lineRule="exact"/>
                    <w:rPr>
                      <w:rFonts w:ascii="宋体" w:hAnsi="宋体" w:eastAsia="宋体" w:cs="宋体"/>
                      <w:color w:val="auto"/>
                      <w:highlight w:val="none"/>
                    </w:rPr>
                  </w:pPr>
                </w:p>
              </w:tc>
              <w:tc>
                <w:tcPr>
                  <w:tcW w:w="2240" w:type="dxa"/>
                  <w:noWrap w:val="0"/>
                  <w:vAlign w:val="top"/>
                </w:tcPr>
                <w:p w14:paraId="7E36EA61">
                  <w:pPr>
                    <w:spacing w:line="280" w:lineRule="exact"/>
                    <w:rPr>
                      <w:rFonts w:ascii="宋体" w:hAnsi="宋体" w:eastAsia="宋体" w:cs="宋体"/>
                      <w:color w:val="auto"/>
                      <w:highlight w:val="none"/>
                    </w:rPr>
                  </w:pPr>
                </w:p>
              </w:tc>
              <w:tc>
                <w:tcPr>
                  <w:tcW w:w="1080" w:type="dxa"/>
                  <w:noWrap w:val="0"/>
                  <w:vAlign w:val="top"/>
                </w:tcPr>
                <w:p w14:paraId="12D6CFE7">
                  <w:pPr>
                    <w:spacing w:line="280" w:lineRule="exact"/>
                    <w:rPr>
                      <w:rFonts w:ascii="宋体" w:hAnsi="宋体" w:eastAsia="宋体" w:cs="宋体"/>
                      <w:color w:val="auto"/>
                      <w:highlight w:val="none"/>
                    </w:rPr>
                  </w:pPr>
                </w:p>
              </w:tc>
            </w:tr>
            <w:tr w14:paraId="07151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6732280C">
                  <w:pPr>
                    <w:spacing w:line="280" w:lineRule="exact"/>
                    <w:jc w:val="center"/>
                    <w:rPr>
                      <w:rFonts w:ascii="宋体" w:hAnsi="宋体" w:eastAsia="宋体" w:cs="宋体"/>
                      <w:color w:val="auto"/>
                      <w:highlight w:val="none"/>
                    </w:rPr>
                  </w:pPr>
                  <w:r>
                    <w:rPr>
                      <w:rFonts w:hint="eastAsia" w:ascii="宋体" w:hAnsi="宋体" w:eastAsia="宋体" w:cs="宋体"/>
                      <w:color w:val="auto"/>
                      <w:highlight w:val="none"/>
                    </w:rPr>
                    <w:t>3</w:t>
                  </w:r>
                </w:p>
              </w:tc>
              <w:tc>
                <w:tcPr>
                  <w:tcW w:w="3340" w:type="dxa"/>
                  <w:noWrap w:val="0"/>
                  <w:vAlign w:val="top"/>
                </w:tcPr>
                <w:p w14:paraId="019F5B23">
                  <w:pPr>
                    <w:spacing w:line="280" w:lineRule="exact"/>
                    <w:rPr>
                      <w:rFonts w:ascii="宋体" w:hAnsi="宋体" w:eastAsia="宋体" w:cs="宋体"/>
                      <w:color w:val="auto"/>
                      <w:highlight w:val="none"/>
                    </w:rPr>
                  </w:pPr>
                  <w:r>
                    <w:rPr>
                      <w:rFonts w:hint="eastAsia" w:ascii="宋体" w:hAnsi="宋体" w:eastAsia="宋体" w:cs="宋体"/>
                      <w:color w:val="auto"/>
                      <w:highlight w:val="none"/>
                    </w:rPr>
                    <w:t>应支付的预付款</w:t>
                  </w:r>
                </w:p>
              </w:tc>
              <w:tc>
                <w:tcPr>
                  <w:tcW w:w="1764" w:type="dxa"/>
                  <w:noWrap w:val="0"/>
                  <w:vAlign w:val="top"/>
                </w:tcPr>
                <w:p w14:paraId="2A7A2E81">
                  <w:pPr>
                    <w:spacing w:line="280" w:lineRule="exact"/>
                    <w:rPr>
                      <w:rFonts w:ascii="宋体" w:hAnsi="宋体" w:eastAsia="宋体" w:cs="宋体"/>
                      <w:color w:val="auto"/>
                      <w:highlight w:val="none"/>
                    </w:rPr>
                  </w:pPr>
                </w:p>
              </w:tc>
              <w:tc>
                <w:tcPr>
                  <w:tcW w:w="2240" w:type="dxa"/>
                  <w:noWrap w:val="0"/>
                  <w:vAlign w:val="top"/>
                </w:tcPr>
                <w:p w14:paraId="277A2E79">
                  <w:pPr>
                    <w:spacing w:line="280" w:lineRule="exact"/>
                    <w:rPr>
                      <w:rFonts w:ascii="宋体" w:hAnsi="宋体" w:eastAsia="宋体" w:cs="宋体"/>
                      <w:color w:val="auto"/>
                      <w:highlight w:val="none"/>
                    </w:rPr>
                  </w:pPr>
                </w:p>
              </w:tc>
              <w:tc>
                <w:tcPr>
                  <w:tcW w:w="1080" w:type="dxa"/>
                  <w:noWrap w:val="0"/>
                  <w:vAlign w:val="top"/>
                </w:tcPr>
                <w:p w14:paraId="03B9000B">
                  <w:pPr>
                    <w:spacing w:line="280" w:lineRule="exact"/>
                    <w:rPr>
                      <w:rFonts w:ascii="宋体" w:hAnsi="宋体" w:eastAsia="宋体" w:cs="宋体"/>
                      <w:color w:val="auto"/>
                      <w:highlight w:val="none"/>
                    </w:rPr>
                  </w:pPr>
                </w:p>
              </w:tc>
            </w:tr>
            <w:tr w14:paraId="7F066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2E8732B3">
                  <w:pPr>
                    <w:spacing w:line="280" w:lineRule="exact"/>
                    <w:jc w:val="center"/>
                    <w:rPr>
                      <w:rFonts w:ascii="宋体" w:hAnsi="宋体" w:eastAsia="宋体" w:cs="宋体"/>
                      <w:color w:val="auto"/>
                      <w:highlight w:val="none"/>
                    </w:rPr>
                  </w:pPr>
                  <w:r>
                    <w:rPr>
                      <w:rFonts w:hint="eastAsia" w:ascii="宋体" w:hAnsi="宋体" w:eastAsia="宋体" w:cs="宋体"/>
                      <w:color w:val="auto"/>
                      <w:highlight w:val="none"/>
                    </w:rPr>
                    <w:t>4</w:t>
                  </w:r>
                </w:p>
              </w:tc>
              <w:tc>
                <w:tcPr>
                  <w:tcW w:w="3340" w:type="dxa"/>
                  <w:noWrap w:val="0"/>
                  <w:vAlign w:val="top"/>
                </w:tcPr>
                <w:p w14:paraId="2F9031F4">
                  <w:pPr>
                    <w:spacing w:line="280" w:lineRule="exact"/>
                    <w:rPr>
                      <w:rFonts w:ascii="宋体" w:hAnsi="宋体" w:eastAsia="宋体" w:cs="宋体"/>
                      <w:color w:val="auto"/>
                      <w:highlight w:val="none"/>
                    </w:rPr>
                  </w:pPr>
                  <w:r>
                    <w:rPr>
                      <w:rFonts w:hint="eastAsia" w:ascii="宋体" w:hAnsi="宋体" w:eastAsia="宋体" w:cs="宋体"/>
                      <w:color w:val="auto"/>
                      <w:highlight w:val="none"/>
                    </w:rPr>
                    <w:t>应支付的安全文明施工费预付款</w:t>
                  </w:r>
                </w:p>
              </w:tc>
              <w:tc>
                <w:tcPr>
                  <w:tcW w:w="1764" w:type="dxa"/>
                  <w:noWrap w:val="0"/>
                  <w:vAlign w:val="top"/>
                </w:tcPr>
                <w:p w14:paraId="0671886A">
                  <w:pPr>
                    <w:spacing w:line="280" w:lineRule="exact"/>
                    <w:rPr>
                      <w:rFonts w:ascii="宋体" w:hAnsi="宋体" w:eastAsia="宋体" w:cs="宋体"/>
                      <w:color w:val="auto"/>
                      <w:highlight w:val="none"/>
                    </w:rPr>
                  </w:pPr>
                </w:p>
              </w:tc>
              <w:tc>
                <w:tcPr>
                  <w:tcW w:w="2240" w:type="dxa"/>
                  <w:noWrap w:val="0"/>
                  <w:vAlign w:val="top"/>
                </w:tcPr>
                <w:p w14:paraId="5A3B98D5">
                  <w:pPr>
                    <w:spacing w:line="280" w:lineRule="exact"/>
                    <w:rPr>
                      <w:rFonts w:ascii="宋体" w:hAnsi="宋体" w:eastAsia="宋体" w:cs="宋体"/>
                      <w:color w:val="auto"/>
                      <w:highlight w:val="none"/>
                    </w:rPr>
                  </w:pPr>
                </w:p>
              </w:tc>
              <w:tc>
                <w:tcPr>
                  <w:tcW w:w="1080" w:type="dxa"/>
                  <w:noWrap w:val="0"/>
                  <w:vAlign w:val="top"/>
                </w:tcPr>
                <w:p w14:paraId="42F5AF38">
                  <w:pPr>
                    <w:spacing w:line="280" w:lineRule="exact"/>
                    <w:rPr>
                      <w:rFonts w:ascii="宋体" w:hAnsi="宋体" w:eastAsia="宋体" w:cs="宋体"/>
                      <w:color w:val="auto"/>
                      <w:highlight w:val="none"/>
                    </w:rPr>
                  </w:pPr>
                </w:p>
              </w:tc>
            </w:tr>
            <w:tr w14:paraId="34001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32FD7636">
                  <w:pPr>
                    <w:spacing w:line="280" w:lineRule="exact"/>
                    <w:jc w:val="center"/>
                    <w:rPr>
                      <w:rFonts w:ascii="宋体" w:hAnsi="宋体" w:eastAsia="宋体" w:cs="宋体"/>
                      <w:color w:val="auto"/>
                      <w:highlight w:val="none"/>
                    </w:rPr>
                  </w:pPr>
                  <w:r>
                    <w:rPr>
                      <w:rFonts w:hint="eastAsia" w:ascii="宋体" w:hAnsi="宋体" w:eastAsia="宋体" w:cs="宋体"/>
                      <w:color w:val="auto"/>
                      <w:highlight w:val="none"/>
                    </w:rPr>
                    <w:t>5</w:t>
                  </w:r>
                </w:p>
              </w:tc>
              <w:tc>
                <w:tcPr>
                  <w:tcW w:w="3340" w:type="dxa"/>
                  <w:noWrap w:val="0"/>
                  <w:vAlign w:val="top"/>
                </w:tcPr>
                <w:p w14:paraId="4F202B92">
                  <w:pPr>
                    <w:spacing w:line="280" w:lineRule="exact"/>
                    <w:rPr>
                      <w:rFonts w:ascii="宋体" w:hAnsi="宋体" w:eastAsia="宋体" w:cs="宋体"/>
                      <w:color w:val="auto"/>
                      <w:highlight w:val="none"/>
                    </w:rPr>
                  </w:pPr>
                  <w:r>
                    <w:rPr>
                      <w:rFonts w:hint="eastAsia" w:ascii="宋体" w:hAnsi="宋体" w:eastAsia="宋体" w:cs="宋体"/>
                      <w:color w:val="auto"/>
                      <w:highlight w:val="none"/>
                    </w:rPr>
                    <w:t>合计应支付的预付款</w:t>
                  </w:r>
                </w:p>
              </w:tc>
              <w:tc>
                <w:tcPr>
                  <w:tcW w:w="1764" w:type="dxa"/>
                  <w:noWrap w:val="0"/>
                  <w:vAlign w:val="top"/>
                </w:tcPr>
                <w:p w14:paraId="0253C8AA">
                  <w:pPr>
                    <w:spacing w:line="280" w:lineRule="exact"/>
                    <w:rPr>
                      <w:rFonts w:ascii="宋体" w:hAnsi="宋体" w:eastAsia="宋体" w:cs="宋体"/>
                      <w:color w:val="auto"/>
                      <w:highlight w:val="none"/>
                    </w:rPr>
                  </w:pPr>
                </w:p>
              </w:tc>
              <w:tc>
                <w:tcPr>
                  <w:tcW w:w="2240" w:type="dxa"/>
                  <w:noWrap w:val="0"/>
                  <w:vAlign w:val="top"/>
                </w:tcPr>
                <w:p w14:paraId="4782CD69">
                  <w:pPr>
                    <w:spacing w:line="280" w:lineRule="exact"/>
                    <w:rPr>
                      <w:rFonts w:ascii="宋体" w:hAnsi="宋体" w:eastAsia="宋体" w:cs="宋体"/>
                      <w:color w:val="auto"/>
                      <w:highlight w:val="none"/>
                    </w:rPr>
                  </w:pPr>
                </w:p>
              </w:tc>
              <w:tc>
                <w:tcPr>
                  <w:tcW w:w="1080" w:type="dxa"/>
                  <w:noWrap w:val="0"/>
                  <w:vAlign w:val="top"/>
                </w:tcPr>
                <w:p w14:paraId="21E22420">
                  <w:pPr>
                    <w:spacing w:line="280" w:lineRule="exact"/>
                    <w:rPr>
                      <w:rFonts w:ascii="宋体" w:hAnsi="宋体" w:eastAsia="宋体" w:cs="宋体"/>
                      <w:color w:val="auto"/>
                      <w:highlight w:val="none"/>
                    </w:rPr>
                  </w:pPr>
                </w:p>
              </w:tc>
            </w:tr>
            <w:tr w14:paraId="5ADDA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2611F864">
                  <w:pPr>
                    <w:spacing w:line="280" w:lineRule="exact"/>
                    <w:jc w:val="center"/>
                    <w:rPr>
                      <w:rFonts w:ascii="宋体" w:hAnsi="宋体" w:eastAsia="宋体" w:cs="宋体"/>
                      <w:color w:val="auto"/>
                      <w:highlight w:val="none"/>
                    </w:rPr>
                  </w:pPr>
                </w:p>
              </w:tc>
              <w:tc>
                <w:tcPr>
                  <w:tcW w:w="3340" w:type="dxa"/>
                  <w:noWrap w:val="0"/>
                  <w:vAlign w:val="top"/>
                </w:tcPr>
                <w:p w14:paraId="0268151E">
                  <w:pPr>
                    <w:spacing w:line="280" w:lineRule="exact"/>
                    <w:rPr>
                      <w:rFonts w:ascii="宋体" w:hAnsi="宋体" w:eastAsia="宋体" w:cs="宋体"/>
                      <w:color w:val="auto"/>
                      <w:highlight w:val="none"/>
                    </w:rPr>
                  </w:pPr>
                </w:p>
              </w:tc>
              <w:tc>
                <w:tcPr>
                  <w:tcW w:w="1764" w:type="dxa"/>
                  <w:noWrap w:val="0"/>
                  <w:vAlign w:val="top"/>
                </w:tcPr>
                <w:p w14:paraId="5B098C07">
                  <w:pPr>
                    <w:spacing w:line="280" w:lineRule="exact"/>
                    <w:rPr>
                      <w:rFonts w:ascii="宋体" w:hAnsi="宋体" w:eastAsia="宋体" w:cs="宋体"/>
                      <w:color w:val="auto"/>
                      <w:highlight w:val="none"/>
                    </w:rPr>
                  </w:pPr>
                </w:p>
              </w:tc>
              <w:tc>
                <w:tcPr>
                  <w:tcW w:w="2240" w:type="dxa"/>
                  <w:noWrap w:val="0"/>
                  <w:vAlign w:val="top"/>
                </w:tcPr>
                <w:p w14:paraId="70D3349B">
                  <w:pPr>
                    <w:spacing w:line="280" w:lineRule="exact"/>
                    <w:rPr>
                      <w:rFonts w:ascii="宋体" w:hAnsi="宋体" w:eastAsia="宋体" w:cs="宋体"/>
                      <w:color w:val="auto"/>
                      <w:highlight w:val="none"/>
                    </w:rPr>
                  </w:pPr>
                </w:p>
              </w:tc>
              <w:tc>
                <w:tcPr>
                  <w:tcW w:w="1080" w:type="dxa"/>
                  <w:noWrap w:val="0"/>
                  <w:vAlign w:val="top"/>
                </w:tcPr>
                <w:p w14:paraId="150DC9B5">
                  <w:pPr>
                    <w:spacing w:line="280" w:lineRule="exact"/>
                    <w:rPr>
                      <w:rFonts w:ascii="宋体" w:hAnsi="宋体" w:eastAsia="宋体" w:cs="宋体"/>
                      <w:color w:val="auto"/>
                      <w:highlight w:val="none"/>
                    </w:rPr>
                  </w:pPr>
                </w:p>
              </w:tc>
            </w:tr>
          </w:tbl>
          <w:p w14:paraId="374443A2">
            <w:pPr>
              <w:wordWrap w:val="0"/>
              <w:spacing w:line="400" w:lineRule="exact"/>
              <w:ind w:right="420"/>
              <w:rPr>
                <w:rFonts w:ascii="宋体" w:hAnsi="宋体" w:eastAsia="宋体" w:cs="宋体"/>
                <w:color w:val="auto"/>
                <w:highlight w:val="none"/>
              </w:rPr>
            </w:pPr>
          </w:p>
          <w:p w14:paraId="01BC2916">
            <w:pPr>
              <w:wordWrap w:val="0"/>
              <w:spacing w:line="400" w:lineRule="exact"/>
              <w:ind w:right="420"/>
              <w:rPr>
                <w:rFonts w:ascii="宋体" w:hAnsi="宋体" w:eastAsia="宋体" w:cs="宋体"/>
                <w:color w:val="auto"/>
                <w:highlight w:val="none"/>
              </w:rPr>
            </w:pPr>
            <w:r>
              <w:rPr>
                <w:rFonts w:hint="eastAsia" w:ascii="宋体" w:hAnsi="宋体" w:eastAsia="宋体" w:cs="宋体"/>
                <w:color w:val="auto"/>
                <w:highlight w:val="none"/>
              </w:rPr>
              <w:t xml:space="preserve">                                            承包人（章）             </w:t>
            </w:r>
          </w:p>
          <w:p w14:paraId="4D2174B3">
            <w:pPr>
              <w:spacing w:line="400" w:lineRule="exact"/>
              <w:ind w:right="420" w:firstLine="435"/>
              <w:rPr>
                <w:rFonts w:ascii="宋体" w:hAnsi="宋体" w:eastAsia="宋体" w:cs="宋体"/>
                <w:color w:val="auto"/>
                <w:highlight w:val="none"/>
              </w:rPr>
            </w:pPr>
            <w:r>
              <w:rPr>
                <w:rFonts w:hint="eastAsia" w:ascii="宋体" w:hAnsi="宋体" w:eastAsia="宋体" w:cs="宋体"/>
                <w:color w:val="auto"/>
                <w:highlight w:val="none"/>
              </w:rPr>
              <w:t>造价人员</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承包人代表</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      期</w:t>
            </w:r>
            <w:r>
              <w:rPr>
                <w:rFonts w:hint="eastAsia" w:ascii="宋体" w:hAnsi="宋体" w:eastAsia="宋体" w:cs="宋体"/>
                <w:color w:val="auto"/>
                <w:highlight w:val="none"/>
                <w:u w:val="single"/>
              </w:rPr>
              <w:t xml:space="preserve">               </w:t>
            </w:r>
          </w:p>
        </w:tc>
      </w:tr>
      <w:tr w14:paraId="5171D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2" w:hRule="atLeast"/>
          <w:jc w:val="center"/>
        </w:trPr>
        <w:tc>
          <w:tcPr>
            <w:tcW w:w="4520" w:type="dxa"/>
            <w:noWrap w:val="0"/>
            <w:vAlign w:val="top"/>
          </w:tcPr>
          <w:p w14:paraId="7739E66C">
            <w:pPr>
              <w:spacing w:line="360" w:lineRule="exact"/>
              <w:rPr>
                <w:rFonts w:ascii="宋体" w:hAnsi="宋体" w:eastAsia="宋体" w:cs="宋体"/>
                <w:color w:val="auto"/>
                <w:highlight w:val="none"/>
              </w:rPr>
            </w:pPr>
            <w:r>
              <w:rPr>
                <w:rFonts w:hint="eastAsia" w:ascii="宋体" w:hAnsi="宋体" w:eastAsia="宋体" w:cs="宋体"/>
                <w:color w:val="auto"/>
                <w:highlight w:val="none"/>
              </w:rPr>
              <w:t>复核意见：</w:t>
            </w:r>
          </w:p>
          <w:p w14:paraId="3DB8CD08">
            <w:pPr>
              <w:spacing w:line="360" w:lineRule="exact"/>
              <w:ind w:firstLine="312"/>
              <w:rPr>
                <w:rFonts w:ascii="宋体" w:hAnsi="宋体" w:eastAsia="宋体" w:cs="宋体"/>
                <w:color w:val="auto"/>
                <w:highlight w:val="none"/>
              </w:rPr>
            </w:pPr>
            <w:r>
              <w:rPr>
                <w:rFonts w:hint="eastAsia" w:ascii="宋体" w:hAnsi="宋体" w:eastAsia="宋体" w:cs="宋体"/>
                <w:color w:val="auto"/>
                <w:highlight w:val="none"/>
              </w:rPr>
              <w:t>□与合同约定不相符，修改意见见附件。</w:t>
            </w:r>
          </w:p>
          <w:p w14:paraId="4423D103">
            <w:pPr>
              <w:spacing w:line="360" w:lineRule="exact"/>
              <w:ind w:firstLine="312"/>
              <w:rPr>
                <w:rFonts w:ascii="宋体" w:hAnsi="宋体" w:eastAsia="宋体" w:cs="宋体"/>
                <w:color w:val="auto"/>
                <w:highlight w:val="none"/>
              </w:rPr>
            </w:pPr>
            <w:r>
              <w:rPr>
                <w:rFonts w:hint="eastAsia" w:ascii="宋体" w:hAnsi="宋体" w:eastAsia="宋体" w:cs="宋体"/>
                <w:color w:val="auto"/>
                <w:highlight w:val="none"/>
              </w:rPr>
              <w:t>□与合同约定相符，具体金额由造价工程师复核。</w:t>
            </w:r>
          </w:p>
          <w:p w14:paraId="2CED5A8D">
            <w:pPr>
              <w:spacing w:line="360" w:lineRule="exact"/>
              <w:ind w:firstLine="435"/>
              <w:jc w:val="right"/>
              <w:rPr>
                <w:rFonts w:ascii="宋体" w:hAnsi="宋体" w:eastAsia="宋体" w:cs="宋体"/>
                <w:color w:val="auto"/>
                <w:highlight w:val="none"/>
              </w:rPr>
            </w:pPr>
          </w:p>
          <w:p w14:paraId="61729F80">
            <w:pPr>
              <w:spacing w:line="360" w:lineRule="exact"/>
              <w:ind w:firstLine="435"/>
              <w:jc w:val="center"/>
              <w:rPr>
                <w:rFonts w:ascii="宋体" w:hAnsi="宋体" w:eastAsia="宋体" w:cs="宋体"/>
                <w:color w:val="auto"/>
                <w:highlight w:val="none"/>
                <w:u w:val="single"/>
              </w:rPr>
            </w:pPr>
            <w:r>
              <w:rPr>
                <w:rFonts w:hint="eastAsia" w:ascii="宋体" w:hAnsi="宋体" w:eastAsia="宋体" w:cs="宋体"/>
                <w:color w:val="auto"/>
                <w:highlight w:val="none"/>
              </w:rPr>
              <w:t xml:space="preserve">         监理工程师</w:t>
            </w:r>
            <w:r>
              <w:rPr>
                <w:rFonts w:hint="eastAsia" w:ascii="宋体" w:hAnsi="宋体" w:eastAsia="宋体" w:cs="宋体"/>
                <w:color w:val="auto"/>
                <w:highlight w:val="none"/>
                <w:u w:val="single"/>
              </w:rPr>
              <w:t xml:space="preserve">           </w:t>
            </w:r>
          </w:p>
          <w:p w14:paraId="796102BB">
            <w:pPr>
              <w:spacing w:line="360" w:lineRule="exact"/>
              <w:ind w:firstLine="435"/>
              <w:jc w:val="center"/>
              <w:rPr>
                <w:rFonts w:ascii="宋体" w:hAnsi="宋体" w:eastAsia="宋体" w:cs="宋体"/>
                <w:color w:val="auto"/>
                <w:highlight w:val="none"/>
                <w:u w:val="single"/>
              </w:rPr>
            </w:pPr>
            <w:r>
              <w:rPr>
                <w:rFonts w:hint="eastAsia" w:ascii="宋体" w:hAnsi="宋体" w:eastAsia="宋体" w:cs="宋体"/>
                <w:color w:val="auto"/>
                <w:highlight w:val="none"/>
              </w:rPr>
              <w:t xml:space="preserve">        日      期</w:t>
            </w:r>
            <w:r>
              <w:rPr>
                <w:rFonts w:hint="eastAsia" w:ascii="宋体" w:hAnsi="宋体" w:eastAsia="宋体" w:cs="宋体"/>
                <w:color w:val="auto"/>
                <w:highlight w:val="none"/>
                <w:u w:val="single"/>
              </w:rPr>
              <w:t xml:space="preserve">           </w:t>
            </w:r>
          </w:p>
        </w:tc>
        <w:tc>
          <w:tcPr>
            <w:tcW w:w="4552" w:type="dxa"/>
            <w:noWrap w:val="0"/>
            <w:vAlign w:val="top"/>
          </w:tcPr>
          <w:p w14:paraId="4FB0DF80">
            <w:pPr>
              <w:spacing w:line="360" w:lineRule="exact"/>
              <w:rPr>
                <w:rFonts w:ascii="宋体" w:hAnsi="宋体" w:eastAsia="宋体" w:cs="宋体"/>
                <w:color w:val="auto"/>
                <w:highlight w:val="none"/>
              </w:rPr>
            </w:pPr>
            <w:r>
              <w:rPr>
                <w:rFonts w:hint="eastAsia" w:ascii="宋体" w:hAnsi="宋体" w:eastAsia="宋体" w:cs="宋体"/>
                <w:color w:val="auto"/>
                <w:highlight w:val="none"/>
              </w:rPr>
              <w:t>复核意见：</w:t>
            </w:r>
          </w:p>
          <w:p w14:paraId="1ED09647">
            <w:pPr>
              <w:spacing w:line="360" w:lineRule="exact"/>
              <w:ind w:firstLine="435"/>
              <w:rPr>
                <w:rFonts w:ascii="宋体" w:hAnsi="宋体" w:eastAsia="宋体" w:cs="宋体"/>
                <w:color w:val="auto"/>
                <w:highlight w:val="none"/>
              </w:rPr>
            </w:pPr>
            <w:r>
              <w:rPr>
                <w:rFonts w:hint="eastAsia" w:ascii="宋体" w:hAnsi="宋体" w:eastAsia="宋体" w:cs="宋体"/>
                <w:color w:val="auto"/>
                <w:highlight w:val="none"/>
              </w:rPr>
              <w:t>你方提出的支付申请经复核，应支付预付款金额为(大写)</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元，（小写）</w:t>
            </w:r>
          </w:p>
          <w:p w14:paraId="7C490E5A">
            <w:pPr>
              <w:spacing w:line="360" w:lineRule="exact"/>
              <w:rPr>
                <w:rFonts w:ascii="宋体" w:hAnsi="宋体" w:eastAsia="宋体" w:cs="宋体"/>
                <w:color w:val="auto"/>
                <w:highlight w:val="none"/>
              </w:rPr>
            </w:pP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元。</w:t>
            </w:r>
          </w:p>
          <w:p w14:paraId="6192D9A5">
            <w:pPr>
              <w:spacing w:line="360" w:lineRule="exact"/>
              <w:rPr>
                <w:rFonts w:ascii="宋体" w:hAnsi="宋体" w:eastAsia="宋体" w:cs="宋体"/>
                <w:color w:val="auto"/>
                <w:highlight w:val="none"/>
                <w:u w:val="single"/>
              </w:rPr>
            </w:pPr>
          </w:p>
          <w:p w14:paraId="2820BE7F">
            <w:pPr>
              <w:spacing w:line="360" w:lineRule="exact"/>
              <w:ind w:firstLine="435"/>
              <w:jc w:val="center"/>
              <w:rPr>
                <w:rFonts w:ascii="宋体" w:hAnsi="宋体" w:eastAsia="宋体" w:cs="宋体"/>
                <w:color w:val="auto"/>
                <w:highlight w:val="none"/>
                <w:u w:val="single"/>
              </w:rPr>
            </w:pPr>
            <w:r>
              <w:rPr>
                <w:rFonts w:hint="eastAsia" w:ascii="宋体" w:hAnsi="宋体" w:eastAsia="宋体" w:cs="宋体"/>
                <w:color w:val="auto"/>
                <w:highlight w:val="none"/>
              </w:rPr>
              <w:t xml:space="preserve">        造价工程师</w:t>
            </w:r>
            <w:r>
              <w:rPr>
                <w:rFonts w:hint="eastAsia" w:ascii="宋体" w:hAnsi="宋体" w:eastAsia="宋体" w:cs="宋体"/>
                <w:color w:val="auto"/>
                <w:highlight w:val="none"/>
                <w:u w:val="single"/>
              </w:rPr>
              <w:t xml:space="preserve">           </w:t>
            </w:r>
          </w:p>
          <w:p w14:paraId="56EAF44B">
            <w:pPr>
              <w:spacing w:line="360" w:lineRule="exact"/>
              <w:ind w:firstLine="435"/>
              <w:jc w:val="center"/>
              <w:rPr>
                <w:rFonts w:ascii="宋体" w:hAnsi="宋体" w:eastAsia="宋体" w:cs="宋体"/>
                <w:color w:val="auto"/>
                <w:highlight w:val="none"/>
                <w:u w:val="single"/>
              </w:rPr>
            </w:pPr>
            <w:r>
              <w:rPr>
                <w:rFonts w:hint="eastAsia" w:ascii="宋体" w:hAnsi="宋体" w:eastAsia="宋体" w:cs="宋体"/>
                <w:color w:val="auto"/>
                <w:highlight w:val="none"/>
              </w:rPr>
              <w:t xml:space="preserve">        日      期</w:t>
            </w:r>
            <w:r>
              <w:rPr>
                <w:rFonts w:hint="eastAsia" w:ascii="宋体" w:hAnsi="宋体" w:eastAsia="宋体" w:cs="宋体"/>
                <w:color w:val="auto"/>
                <w:highlight w:val="none"/>
                <w:u w:val="single"/>
              </w:rPr>
              <w:t xml:space="preserve">           </w:t>
            </w:r>
          </w:p>
        </w:tc>
      </w:tr>
      <w:tr w14:paraId="18C50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1" w:hRule="atLeast"/>
          <w:jc w:val="center"/>
        </w:trPr>
        <w:tc>
          <w:tcPr>
            <w:tcW w:w="9072" w:type="dxa"/>
            <w:gridSpan w:val="2"/>
            <w:noWrap w:val="0"/>
            <w:vAlign w:val="top"/>
          </w:tcPr>
          <w:p w14:paraId="2611B497">
            <w:pPr>
              <w:spacing w:line="400" w:lineRule="exact"/>
              <w:rPr>
                <w:rFonts w:ascii="宋体" w:hAnsi="宋体" w:eastAsia="宋体" w:cs="宋体"/>
                <w:color w:val="auto"/>
                <w:highlight w:val="none"/>
              </w:rPr>
            </w:pPr>
            <w:r>
              <w:rPr>
                <w:rFonts w:hint="eastAsia" w:ascii="宋体" w:hAnsi="宋体" w:eastAsia="宋体" w:cs="宋体"/>
                <w:color w:val="auto"/>
                <w:highlight w:val="none"/>
              </w:rPr>
              <w:t>审核意见：</w:t>
            </w:r>
          </w:p>
          <w:p w14:paraId="2385ECF2">
            <w:pPr>
              <w:spacing w:line="400" w:lineRule="exact"/>
              <w:ind w:firstLine="435"/>
              <w:rPr>
                <w:rFonts w:ascii="宋体" w:hAnsi="宋体" w:eastAsia="宋体" w:cs="宋体"/>
                <w:color w:val="auto"/>
                <w:highlight w:val="none"/>
              </w:rPr>
            </w:pPr>
            <w:r>
              <w:rPr>
                <w:rFonts w:hint="eastAsia" w:ascii="宋体" w:hAnsi="宋体" w:eastAsia="宋体" w:cs="宋体"/>
                <w:color w:val="auto"/>
                <w:highlight w:val="none"/>
              </w:rPr>
              <w:t>□不同意。</w:t>
            </w:r>
          </w:p>
          <w:p w14:paraId="4B7B0433">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□同意，支付时间为本表签发后的15天内。</w:t>
            </w:r>
          </w:p>
          <w:p w14:paraId="64A67CD2">
            <w:pPr>
              <w:wordWrap w:val="0"/>
              <w:spacing w:line="400" w:lineRule="exact"/>
              <w:ind w:firstLine="420" w:firstLineChars="200"/>
              <w:jc w:val="right"/>
              <w:rPr>
                <w:rFonts w:ascii="宋体" w:hAnsi="宋体" w:eastAsia="宋体" w:cs="宋体"/>
                <w:color w:val="auto"/>
                <w:highlight w:val="none"/>
              </w:rPr>
            </w:pPr>
            <w:r>
              <w:rPr>
                <w:rFonts w:hint="eastAsia" w:ascii="宋体" w:hAnsi="宋体" w:eastAsia="宋体" w:cs="宋体"/>
                <w:color w:val="auto"/>
                <w:highlight w:val="none"/>
              </w:rPr>
              <w:t xml:space="preserve">发包人（章）           </w:t>
            </w:r>
          </w:p>
          <w:p w14:paraId="361731F1">
            <w:pPr>
              <w:wordWrap w:val="0"/>
              <w:spacing w:line="400" w:lineRule="exact"/>
              <w:ind w:firstLine="420" w:firstLineChars="200"/>
              <w:jc w:val="right"/>
              <w:rPr>
                <w:rFonts w:ascii="宋体" w:hAnsi="宋体" w:eastAsia="宋体" w:cs="宋体"/>
                <w:color w:val="auto"/>
                <w:highlight w:val="none"/>
                <w:u w:val="single"/>
              </w:rPr>
            </w:pPr>
            <w:r>
              <w:rPr>
                <w:rFonts w:hint="eastAsia" w:ascii="宋体" w:hAnsi="宋体" w:eastAsia="宋体" w:cs="宋体"/>
                <w:color w:val="auto"/>
                <w:highlight w:val="none"/>
              </w:rPr>
              <w:t>发包人代表</w:t>
            </w:r>
            <w:r>
              <w:rPr>
                <w:rFonts w:hint="eastAsia" w:ascii="宋体" w:hAnsi="宋体" w:eastAsia="宋体" w:cs="宋体"/>
                <w:color w:val="auto"/>
                <w:highlight w:val="none"/>
                <w:u w:val="single"/>
              </w:rPr>
              <w:t xml:space="preserve">             </w:t>
            </w:r>
          </w:p>
          <w:p w14:paraId="0E5AA2E6">
            <w:pPr>
              <w:wordWrap w:val="0"/>
              <w:spacing w:line="400" w:lineRule="exact"/>
              <w:ind w:firstLine="420" w:firstLineChars="200"/>
              <w:jc w:val="right"/>
              <w:rPr>
                <w:rFonts w:ascii="宋体" w:hAnsi="宋体" w:eastAsia="宋体" w:cs="宋体"/>
                <w:color w:val="auto"/>
                <w:highlight w:val="none"/>
                <w:u w:val="single"/>
              </w:rPr>
            </w:pPr>
            <w:r>
              <w:rPr>
                <w:rFonts w:hint="eastAsia" w:ascii="宋体" w:hAnsi="宋体" w:eastAsia="宋体" w:cs="宋体"/>
                <w:color w:val="auto"/>
                <w:highlight w:val="none"/>
              </w:rPr>
              <w:t>日      期</w:t>
            </w:r>
            <w:r>
              <w:rPr>
                <w:rFonts w:hint="eastAsia" w:ascii="宋体" w:hAnsi="宋体" w:eastAsia="宋体" w:cs="宋体"/>
                <w:color w:val="auto"/>
                <w:highlight w:val="none"/>
                <w:u w:val="single"/>
              </w:rPr>
              <w:t xml:space="preserve">             </w:t>
            </w:r>
          </w:p>
        </w:tc>
      </w:tr>
    </w:tbl>
    <w:p w14:paraId="70BD4B1F">
      <w:pPr>
        <w:spacing w:before="120" w:beforeLines="50"/>
        <w:ind w:firstLine="360" w:firstLineChars="200"/>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 xml:space="preserve">注：1.在选择栏中的“□”内作标识“√”。 </w:t>
      </w:r>
    </w:p>
    <w:p w14:paraId="09E237D2">
      <w:pPr>
        <w:spacing w:before="120" w:beforeLines="50"/>
        <w:ind w:left="720" w:hanging="720" w:hangingChars="400"/>
        <w:rPr>
          <w:rFonts w:ascii="宋体" w:hAnsi="宋体" w:eastAsia="宋体" w:cs="宋体"/>
          <w:color w:val="auto"/>
          <w:sz w:val="30"/>
          <w:szCs w:val="30"/>
          <w:highlight w:val="none"/>
        </w:rPr>
      </w:pPr>
      <w:r>
        <w:rPr>
          <w:rFonts w:hint="eastAsia" w:ascii="宋体" w:hAnsi="宋体" w:eastAsia="宋体" w:cs="宋体"/>
          <w:color w:val="auto"/>
          <w:sz w:val="18"/>
          <w:szCs w:val="18"/>
          <w:highlight w:val="none"/>
        </w:rPr>
        <w:t xml:space="preserve">        2.本表一式四份，由承包人填报，发包人、监理人、造价咨询人、承包人各存一份。</w:t>
      </w:r>
    </w:p>
    <w:p w14:paraId="589B544C">
      <w:pPr>
        <w:spacing w:before="120" w:beforeLines="50"/>
        <w:ind w:left="1200" w:hanging="1200" w:hangingChars="400"/>
        <w:rPr>
          <w:rFonts w:ascii="宋体" w:hAnsi="宋体" w:eastAsia="宋体" w:cs="宋体"/>
          <w:color w:val="auto"/>
          <w:sz w:val="30"/>
          <w:szCs w:val="30"/>
          <w:highlight w:val="none"/>
        </w:rPr>
      </w:pPr>
    </w:p>
    <w:p w14:paraId="0A88E4A2">
      <w:pPr>
        <w:pStyle w:val="6"/>
        <w:jc w:val="left"/>
        <w:rPr>
          <w:rFonts w:ascii="宋体" w:hAnsi="宋体" w:eastAsia="宋体" w:cs="宋体"/>
          <w:color w:val="auto"/>
          <w:sz w:val="30"/>
          <w:szCs w:val="30"/>
          <w:highlight w:val="none"/>
        </w:rPr>
      </w:pPr>
      <w:r>
        <w:rPr>
          <w:rFonts w:hint="eastAsia" w:ascii="宋体" w:hAnsi="宋体" w:eastAsia="宋体" w:cs="宋体"/>
          <w:color w:val="auto"/>
          <w:highlight w:val="none"/>
        </w:rPr>
        <w:t>附件</w:t>
      </w:r>
      <w:r>
        <w:rPr>
          <w:rFonts w:hint="eastAsia" w:ascii="宋体" w:hAnsi="宋体" w:eastAsia="宋体" w:cs="宋体"/>
          <w:color w:val="auto"/>
          <w:sz w:val="30"/>
          <w:szCs w:val="30"/>
          <w:highlight w:val="none"/>
        </w:rPr>
        <w:t>11：</w:t>
      </w:r>
    </w:p>
    <w:p w14:paraId="02AFEE4B">
      <w:pPr>
        <w:jc w:val="center"/>
        <w:rPr>
          <w:rFonts w:ascii="宋体" w:hAnsi="宋体" w:eastAsia="宋体" w:cs="宋体"/>
          <w:b/>
          <w:color w:val="auto"/>
          <w:sz w:val="36"/>
          <w:szCs w:val="36"/>
          <w:highlight w:val="none"/>
        </w:rPr>
      </w:pPr>
      <w:r>
        <w:rPr>
          <w:rFonts w:hint="eastAsia" w:ascii="宋体" w:hAnsi="宋体" w:eastAsia="宋体" w:cs="宋体"/>
          <w:b/>
          <w:color w:val="auto"/>
          <w:sz w:val="36"/>
          <w:szCs w:val="36"/>
          <w:highlight w:val="none"/>
        </w:rPr>
        <w:t>进度款支付申请（核准）表</w:t>
      </w:r>
    </w:p>
    <w:p w14:paraId="07BBDC71">
      <w:pPr>
        <w:rPr>
          <w:rFonts w:ascii="宋体" w:hAnsi="宋体" w:eastAsia="宋体" w:cs="宋体"/>
          <w:color w:val="auto"/>
          <w:sz w:val="24"/>
          <w:highlight w:val="none"/>
        </w:rPr>
      </w:pPr>
      <w:r>
        <w:rPr>
          <w:rFonts w:hint="eastAsia" w:ascii="宋体" w:hAnsi="宋体" w:eastAsia="宋体" w:cs="宋体"/>
          <w:color w:val="auto"/>
          <w:sz w:val="24"/>
          <w:highlight w:val="none"/>
        </w:rPr>
        <w:t>工程名称：                                             编号：</w:t>
      </w:r>
    </w:p>
    <w:tbl>
      <w:tblPr>
        <w:tblStyle w:val="54"/>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20"/>
        <w:gridCol w:w="4552"/>
      </w:tblGrid>
      <w:tr w14:paraId="71B46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8" w:hRule="atLeast"/>
          <w:jc w:val="center"/>
        </w:trPr>
        <w:tc>
          <w:tcPr>
            <w:tcW w:w="9072" w:type="dxa"/>
            <w:gridSpan w:val="2"/>
            <w:noWrap w:val="0"/>
            <w:vAlign w:val="top"/>
          </w:tcPr>
          <w:p w14:paraId="377CA347">
            <w:pPr>
              <w:spacing w:line="480" w:lineRule="exact"/>
              <w:ind w:left="525" w:leftChars="149" w:hanging="212" w:hangingChars="101"/>
              <w:rPr>
                <w:rFonts w:ascii="宋体" w:hAnsi="宋体" w:eastAsia="宋体" w:cs="宋体"/>
                <w:color w:val="auto"/>
                <w:highlight w:val="none"/>
                <w:u w:val="single"/>
              </w:rPr>
            </w:pPr>
            <w:r>
              <w:rPr>
                <w:rFonts w:hint="eastAsia" w:ascii="宋体" w:hAnsi="宋体" w:eastAsia="宋体" w:cs="宋体"/>
                <w:color w:val="auto"/>
                <w:highlight w:val="none"/>
              </w:rPr>
              <w:t>致：</w:t>
            </w:r>
            <w:r>
              <w:rPr>
                <w:rFonts w:hint="eastAsia" w:ascii="宋体" w:hAnsi="宋体" w:eastAsia="宋体" w:cs="宋体"/>
                <w:color w:val="auto"/>
                <w:highlight w:val="none"/>
                <w:u w:val="single"/>
              </w:rPr>
              <w:t xml:space="preserve">                                   （发包人全称）</w:t>
            </w:r>
          </w:p>
          <w:p w14:paraId="5A61F3F9">
            <w:pPr>
              <w:spacing w:line="400" w:lineRule="exact"/>
              <w:ind w:left="-4" w:leftChars="-2" w:firstLine="315" w:firstLineChars="150"/>
              <w:rPr>
                <w:rFonts w:ascii="宋体" w:hAnsi="宋体" w:eastAsia="宋体" w:cs="宋体"/>
                <w:color w:val="auto"/>
                <w:highlight w:val="none"/>
              </w:rPr>
            </w:pPr>
            <w:r>
              <w:rPr>
                <w:rFonts w:hint="eastAsia" w:ascii="宋体" w:hAnsi="宋体" w:eastAsia="宋体" w:cs="宋体"/>
                <w:color w:val="auto"/>
                <w:highlight w:val="none"/>
              </w:rPr>
              <w:t>我方于</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至</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期间已完成了</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工作，根据施工合同的约定，现申请支付本期的合同款额为(大写)</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元，(小写)</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元，请予核准。</w:t>
            </w:r>
          </w:p>
          <w:tbl>
            <w:tblPr>
              <w:tblStyle w:val="54"/>
              <w:tblpPr w:leftFromText="180" w:rightFromText="180" w:vertAnchor="page" w:horzAnchor="margin" w:tblpY="130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5"/>
              <w:gridCol w:w="3340"/>
              <w:gridCol w:w="1340"/>
              <w:gridCol w:w="1440"/>
              <w:gridCol w:w="1260"/>
              <w:gridCol w:w="931"/>
            </w:tblGrid>
            <w:tr w14:paraId="48453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535" w:type="dxa"/>
                  <w:noWrap w:val="0"/>
                  <w:vAlign w:val="center"/>
                </w:tcPr>
                <w:p w14:paraId="711C2694">
                  <w:pPr>
                    <w:spacing w:line="280" w:lineRule="exact"/>
                    <w:jc w:val="center"/>
                    <w:rPr>
                      <w:rFonts w:ascii="宋体" w:hAnsi="宋体" w:eastAsia="宋体" w:cs="宋体"/>
                      <w:color w:val="auto"/>
                      <w:highlight w:val="none"/>
                    </w:rPr>
                  </w:pPr>
                  <w:r>
                    <w:rPr>
                      <w:rFonts w:hint="eastAsia" w:ascii="宋体" w:hAnsi="宋体" w:eastAsia="宋体" w:cs="宋体"/>
                      <w:color w:val="auto"/>
                      <w:highlight w:val="none"/>
                    </w:rPr>
                    <w:t>序号</w:t>
                  </w:r>
                </w:p>
              </w:tc>
              <w:tc>
                <w:tcPr>
                  <w:tcW w:w="3340" w:type="dxa"/>
                  <w:noWrap w:val="0"/>
                  <w:vAlign w:val="center"/>
                </w:tcPr>
                <w:p w14:paraId="6C975D0D">
                  <w:pPr>
                    <w:spacing w:line="280" w:lineRule="exact"/>
                    <w:jc w:val="center"/>
                    <w:rPr>
                      <w:rFonts w:ascii="宋体" w:hAnsi="宋体" w:eastAsia="宋体" w:cs="宋体"/>
                      <w:color w:val="auto"/>
                      <w:highlight w:val="none"/>
                    </w:rPr>
                  </w:pPr>
                  <w:r>
                    <w:rPr>
                      <w:rFonts w:hint="eastAsia" w:ascii="宋体" w:hAnsi="宋体" w:eastAsia="宋体" w:cs="宋体"/>
                      <w:color w:val="auto"/>
                      <w:highlight w:val="none"/>
                    </w:rPr>
                    <w:t>名      称</w:t>
                  </w:r>
                </w:p>
              </w:tc>
              <w:tc>
                <w:tcPr>
                  <w:tcW w:w="1340" w:type="dxa"/>
                  <w:noWrap w:val="0"/>
                  <w:vAlign w:val="center"/>
                </w:tcPr>
                <w:p w14:paraId="511FEB85">
                  <w:pPr>
                    <w:spacing w:line="280" w:lineRule="exact"/>
                    <w:jc w:val="center"/>
                    <w:rPr>
                      <w:rFonts w:ascii="宋体" w:hAnsi="宋体" w:eastAsia="宋体" w:cs="宋体"/>
                      <w:color w:val="auto"/>
                      <w:highlight w:val="none"/>
                    </w:rPr>
                  </w:pPr>
                  <w:r>
                    <w:rPr>
                      <w:rFonts w:hint="eastAsia" w:ascii="宋体" w:hAnsi="宋体" w:eastAsia="宋体" w:cs="宋体"/>
                      <w:color w:val="auto"/>
                      <w:highlight w:val="none"/>
                    </w:rPr>
                    <w:t>实际金额（元）</w:t>
                  </w:r>
                </w:p>
              </w:tc>
              <w:tc>
                <w:tcPr>
                  <w:tcW w:w="1440" w:type="dxa"/>
                  <w:noWrap w:val="0"/>
                  <w:vAlign w:val="center"/>
                </w:tcPr>
                <w:p w14:paraId="34DC07FF">
                  <w:pPr>
                    <w:spacing w:line="280" w:lineRule="exact"/>
                    <w:jc w:val="center"/>
                    <w:rPr>
                      <w:rFonts w:ascii="宋体" w:hAnsi="宋体" w:eastAsia="宋体" w:cs="宋体"/>
                      <w:color w:val="auto"/>
                      <w:highlight w:val="none"/>
                    </w:rPr>
                  </w:pPr>
                  <w:r>
                    <w:rPr>
                      <w:rFonts w:hint="eastAsia" w:ascii="宋体" w:hAnsi="宋体" w:eastAsia="宋体" w:cs="宋体"/>
                      <w:color w:val="auto"/>
                      <w:highlight w:val="none"/>
                    </w:rPr>
                    <w:t>申请金额（元）</w:t>
                  </w:r>
                </w:p>
              </w:tc>
              <w:tc>
                <w:tcPr>
                  <w:tcW w:w="1260" w:type="dxa"/>
                  <w:noWrap w:val="0"/>
                  <w:vAlign w:val="center"/>
                </w:tcPr>
                <w:p w14:paraId="6571EE04">
                  <w:pPr>
                    <w:spacing w:line="280" w:lineRule="exact"/>
                    <w:jc w:val="center"/>
                    <w:rPr>
                      <w:rFonts w:ascii="宋体" w:hAnsi="宋体" w:eastAsia="宋体" w:cs="宋体"/>
                      <w:color w:val="auto"/>
                      <w:highlight w:val="none"/>
                    </w:rPr>
                  </w:pPr>
                  <w:r>
                    <w:rPr>
                      <w:rFonts w:hint="eastAsia" w:ascii="宋体" w:hAnsi="宋体" w:eastAsia="宋体" w:cs="宋体"/>
                      <w:color w:val="auto"/>
                      <w:highlight w:val="none"/>
                    </w:rPr>
                    <w:t>复核金额（元）</w:t>
                  </w:r>
                </w:p>
              </w:tc>
              <w:tc>
                <w:tcPr>
                  <w:tcW w:w="931" w:type="dxa"/>
                  <w:noWrap w:val="0"/>
                  <w:vAlign w:val="center"/>
                </w:tcPr>
                <w:p w14:paraId="0CB316C5">
                  <w:pPr>
                    <w:spacing w:line="280" w:lineRule="exact"/>
                    <w:jc w:val="center"/>
                    <w:rPr>
                      <w:rFonts w:ascii="宋体" w:hAnsi="宋体" w:eastAsia="宋体" w:cs="宋体"/>
                      <w:color w:val="auto"/>
                      <w:highlight w:val="none"/>
                    </w:rPr>
                  </w:pPr>
                  <w:r>
                    <w:rPr>
                      <w:rFonts w:hint="eastAsia" w:ascii="宋体" w:hAnsi="宋体" w:eastAsia="宋体" w:cs="宋体"/>
                      <w:color w:val="auto"/>
                      <w:highlight w:val="none"/>
                    </w:rPr>
                    <w:t>备注</w:t>
                  </w:r>
                </w:p>
              </w:tc>
            </w:tr>
            <w:tr w14:paraId="6630D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4CA2ACDD">
                  <w:pPr>
                    <w:spacing w:line="280" w:lineRule="exact"/>
                    <w:jc w:val="center"/>
                    <w:rPr>
                      <w:rFonts w:ascii="宋体" w:hAnsi="宋体" w:eastAsia="宋体" w:cs="宋体"/>
                      <w:color w:val="auto"/>
                      <w:highlight w:val="none"/>
                    </w:rPr>
                  </w:pPr>
                  <w:r>
                    <w:rPr>
                      <w:rFonts w:hint="eastAsia" w:ascii="宋体" w:hAnsi="宋体" w:eastAsia="宋体" w:cs="宋体"/>
                      <w:color w:val="auto"/>
                      <w:highlight w:val="none"/>
                    </w:rPr>
                    <w:t>1</w:t>
                  </w:r>
                </w:p>
              </w:tc>
              <w:tc>
                <w:tcPr>
                  <w:tcW w:w="3340" w:type="dxa"/>
                  <w:noWrap w:val="0"/>
                  <w:vAlign w:val="top"/>
                </w:tcPr>
                <w:p w14:paraId="14AA512C">
                  <w:pPr>
                    <w:spacing w:line="280" w:lineRule="exact"/>
                    <w:rPr>
                      <w:rFonts w:ascii="宋体" w:hAnsi="宋体" w:eastAsia="宋体" w:cs="宋体"/>
                      <w:color w:val="auto"/>
                      <w:highlight w:val="none"/>
                    </w:rPr>
                  </w:pPr>
                  <w:r>
                    <w:rPr>
                      <w:rFonts w:hint="eastAsia" w:ascii="宋体" w:hAnsi="宋体" w:eastAsia="宋体" w:cs="宋体"/>
                      <w:color w:val="auto"/>
                      <w:highlight w:val="none"/>
                    </w:rPr>
                    <w:t>累计已完成的工程价款</w:t>
                  </w:r>
                </w:p>
              </w:tc>
              <w:tc>
                <w:tcPr>
                  <w:tcW w:w="1340" w:type="dxa"/>
                  <w:noWrap w:val="0"/>
                  <w:vAlign w:val="top"/>
                </w:tcPr>
                <w:p w14:paraId="376A6664">
                  <w:pPr>
                    <w:spacing w:line="280" w:lineRule="exact"/>
                    <w:rPr>
                      <w:rFonts w:ascii="宋体" w:hAnsi="宋体" w:eastAsia="宋体" w:cs="宋体"/>
                      <w:color w:val="auto"/>
                      <w:highlight w:val="none"/>
                    </w:rPr>
                  </w:pPr>
                </w:p>
              </w:tc>
              <w:tc>
                <w:tcPr>
                  <w:tcW w:w="1440" w:type="dxa"/>
                  <w:noWrap w:val="0"/>
                  <w:vAlign w:val="top"/>
                </w:tcPr>
                <w:p w14:paraId="5AFC6781">
                  <w:pPr>
                    <w:spacing w:line="280" w:lineRule="exact"/>
                    <w:rPr>
                      <w:rFonts w:ascii="宋体" w:hAnsi="宋体" w:eastAsia="宋体" w:cs="宋体"/>
                      <w:color w:val="auto"/>
                      <w:highlight w:val="none"/>
                    </w:rPr>
                  </w:pPr>
                </w:p>
              </w:tc>
              <w:tc>
                <w:tcPr>
                  <w:tcW w:w="1260" w:type="dxa"/>
                  <w:noWrap w:val="0"/>
                  <w:vAlign w:val="top"/>
                </w:tcPr>
                <w:p w14:paraId="6FF7862F">
                  <w:pPr>
                    <w:spacing w:line="280" w:lineRule="exact"/>
                    <w:rPr>
                      <w:rFonts w:ascii="宋体" w:hAnsi="宋体" w:eastAsia="宋体" w:cs="宋体"/>
                      <w:color w:val="auto"/>
                      <w:highlight w:val="none"/>
                    </w:rPr>
                  </w:pPr>
                </w:p>
              </w:tc>
              <w:tc>
                <w:tcPr>
                  <w:tcW w:w="931" w:type="dxa"/>
                  <w:noWrap w:val="0"/>
                  <w:vAlign w:val="top"/>
                </w:tcPr>
                <w:p w14:paraId="7ADB531F">
                  <w:pPr>
                    <w:spacing w:line="280" w:lineRule="exact"/>
                    <w:rPr>
                      <w:rFonts w:ascii="宋体" w:hAnsi="宋体" w:eastAsia="宋体" w:cs="宋体"/>
                      <w:color w:val="auto"/>
                      <w:highlight w:val="none"/>
                    </w:rPr>
                  </w:pPr>
                </w:p>
              </w:tc>
            </w:tr>
            <w:tr w14:paraId="5F84C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60F28D0A">
                  <w:pPr>
                    <w:spacing w:line="280" w:lineRule="exact"/>
                    <w:jc w:val="center"/>
                    <w:rPr>
                      <w:rFonts w:ascii="宋体" w:hAnsi="宋体" w:eastAsia="宋体" w:cs="宋体"/>
                      <w:color w:val="auto"/>
                      <w:highlight w:val="none"/>
                    </w:rPr>
                  </w:pPr>
                </w:p>
              </w:tc>
              <w:tc>
                <w:tcPr>
                  <w:tcW w:w="3340" w:type="dxa"/>
                  <w:noWrap w:val="0"/>
                  <w:vAlign w:val="top"/>
                </w:tcPr>
                <w:p w14:paraId="54CEBBF7">
                  <w:pPr>
                    <w:spacing w:line="280" w:lineRule="exact"/>
                    <w:rPr>
                      <w:rFonts w:ascii="宋体" w:hAnsi="宋体" w:eastAsia="宋体" w:cs="宋体"/>
                      <w:color w:val="auto"/>
                      <w:highlight w:val="none"/>
                    </w:rPr>
                  </w:pPr>
                  <w:r>
                    <w:rPr>
                      <w:rFonts w:hint="eastAsia" w:ascii="宋体" w:hAnsi="宋体" w:eastAsia="宋体" w:cs="宋体"/>
                      <w:color w:val="auto"/>
                      <w:highlight w:val="none"/>
                    </w:rPr>
                    <w:t>其中：人工费</w:t>
                  </w:r>
                </w:p>
              </w:tc>
              <w:tc>
                <w:tcPr>
                  <w:tcW w:w="1340" w:type="dxa"/>
                  <w:noWrap w:val="0"/>
                  <w:vAlign w:val="top"/>
                </w:tcPr>
                <w:p w14:paraId="198D5883">
                  <w:pPr>
                    <w:spacing w:line="280" w:lineRule="exact"/>
                    <w:rPr>
                      <w:rFonts w:ascii="宋体" w:hAnsi="宋体" w:eastAsia="宋体" w:cs="宋体"/>
                      <w:color w:val="auto"/>
                      <w:highlight w:val="none"/>
                    </w:rPr>
                  </w:pPr>
                </w:p>
              </w:tc>
              <w:tc>
                <w:tcPr>
                  <w:tcW w:w="1440" w:type="dxa"/>
                  <w:noWrap w:val="0"/>
                  <w:vAlign w:val="top"/>
                </w:tcPr>
                <w:p w14:paraId="3E0417AB">
                  <w:pPr>
                    <w:spacing w:line="280" w:lineRule="exact"/>
                    <w:rPr>
                      <w:rFonts w:ascii="宋体" w:hAnsi="宋体" w:eastAsia="宋体" w:cs="宋体"/>
                      <w:color w:val="auto"/>
                      <w:highlight w:val="none"/>
                    </w:rPr>
                  </w:pPr>
                </w:p>
              </w:tc>
              <w:tc>
                <w:tcPr>
                  <w:tcW w:w="1260" w:type="dxa"/>
                  <w:noWrap w:val="0"/>
                  <w:vAlign w:val="top"/>
                </w:tcPr>
                <w:p w14:paraId="2C465BD9">
                  <w:pPr>
                    <w:spacing w:line="280" w:lineRule="exact"/>
                    <w:rPr>
                      <w:rFonts w:ascii="宋体" w:hAnsi="宋体" w:eastAsia="宋体" w:cs="宋体"/>
                      <w:color w:val="auto"/>
                      <w:highlight w:val="none"/>
                    </w:rPr>
                  </w:pPr>
                </w:p>
              </w:tc>
              <w:tc>
                <w:tcPr>
                  <w:tcW w:w="931" w:type="dxa"/>
                  <w:noWrap w:val="0"/>
                  <w:vAlign w:val="top"/>
                </w:tcPr>
                <w:p w14:paraId="2E4DA74C">
                  <w:pPr>
                    <w:spacing w:line="280" w:lineRule="exact"/>
                    <w:rPr>
                      <w:rFonts w:ascii="宋体" w:hAnsi="宋体" w:eastAsia="宋体" w:cs="宋体"/>
                      <w:color w:val="auto"/>
                      <w:highlight w:val="none"/>
                    </w:rPr>
                  </w:pPr>
                </w:p>
              </w:tc>
            </w:tr>
            <w:tr w14:paraId="42866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1BBBCBA8">
                  <w:pPr>
                    <w:spacing w:line="280" w:lineRule="exact"/>
                    <w:jc w:val="center"/>
                    <w:rPr>
                      <w:rFonts w:ascii="宋体" w:hAnsi="宋体" w:eastAsia="宋体" w:cs="宋体"/>
                      <w:color w:val="auto"/>
                      <w:highlight w:val="none"/>
                    </w:rPr>
                  </w:pPr>
                  <w:r>
                    <w:rPr>
                      <w:rFonts w:hint="eastAsia" w:ascii="宋体" w:hAnsi="宋体" w:eastAsia="宋体" w:cs="宋体"/>
                      <w:color w:val="auto"/>
                      <w:highlight w:val="none"/>
                    </w:rPr>
                    <w:t>2</w:t>
                  </w:r>
                </w:p>
              </w:tc>
              <w:tc>
                <w:tcPr>
                  <w:tcW w:w="3340" w:type="dxa"/>
                  <w:noWrap w:val="0"/>
                  <w:vAlign w:val="top"/>
                </w:tcPr>
                <w:p w14:paraId="47C98109">
                  <w:pPr>
                    <w:spacing w:line="280" w:lineRule="exact"/>
                    <w:rPr>
                      <w:rFonts w:ascii="宋体" w:hAnsi="宋体" w:eastAsia="宋体" w:cs="宋体"/>
                      <w:color w:val="auto"/>
                      <w:highlight w:val="none"/>
                    </w:rPr>
                  </w:pPr>
                  <w:r>
                    <w:rPr>
                      <w:rFonts w:hint="eastAsia" w:ascii="宋体" w:hAnsi="宋体" w:eastAsia="宋体" w:cs="宋体"/>
                      <w:color w:val="auto"/>
                      <w:highlight w:val="none"/>
                    </w:rPr>
                    <w:t>累计已实际支付的工程价款</w:t>
                  </w:r>
                </w:p>
              </w:tc>
              <w:tc>
                <w:tcPr>
                  <w:tcW w:w="1340" w:type="dxa"/>
                  <w:noWrap w:val="0"/>
                  <w:vAlign w:val="top"/>
                </w:tcPr>
                <w:p w14:paraId="3DEDEE34">
                  <w:pPr>
                    <w:spacing w:line="280" w:lineRule="exact"/>
                    <w:rPr>
                      <w:rFonts w:ascii="宋体" w:hAnsi="宋体" w:eastAsia="宋体" w:cs="宋体"/>
                      <w:color w:val="auto"/>
                      <w:highlight w:val="none"/>
                    </w:rPr>
                  </w:pPr>
                </w:p>
              </w:tc>
              <w:tc>
                <w:tcPr>
                  <w:tcW w:w="1440" w:type="dxa"/>
                  <w:noWrap w:val="0"/>
                  <w:vAlign w:val="top"/>
                </w:tcPr>
                <w:p w14:paraId="7C00580E">
                  <w:pPr>
                    <w:spacing w:line="280" w:lineRule="exact"/>
                    <w:rPr>
                      <w:rFonts w:ascii="宋体" w:hAnsi="宋体" w:eastAsia="宋体" w:cs="宋体"/>
                      <w:color w:val="auto"/>
                      <w:highlight w:val="none"/>
                    </w:rPr>
                  </w:pPr>
                </w:p>
              </w:tc>
              <w:tc>
                <w:tcPr>
                  <w:tcW w:w="1260" w:type="dxa"/>
                  <w:noWrap w:val="0"/>
                  <w:vAlign w:val="top"/>
                </w:tcPr>
                <w:p w14:paraId="445BBBF5">
                  <w:pPr>
                    <w:spacing w:line="280" w:lineRule="exact"/>
                    <w:rPr>
                      <w:rFonts w:ascii="宋体" w:hAnsi="宋体" w:eastAsia="宋体" w:cs="宋体"/>
                      <w:color w:val="auto"/>
                      <w:highlight w:val="none"/>
                    </w:rPr>
                  </w:pPr>
                </w:p>
              </w:tc>
              <w:tc>
                <w:tcPr>
                  <w:tcW w:w="931" w:type="dxa"/>
                  <w:noWrap w:val="0"/>
                  <w:vAlign w:val="top"/>
                </w:tcPr>
                <w:p w14:paraId="5CA05F49">
                  <w:pPr>
                    <w:spacing w:line="280" w:lineRule="exact"/>
                    <w:rPr>
                      <w:rFonts w:ascii="宋体" w:hAnsi="宋体" w:eastAsia="宋体" w:cs="宋体"/>
                      <w:color w:val="auto"/>
                      <w:highlight w:val="none"/>
                    </w:rPr>
                  </w:pPr>
                </w:p>
              </w:tc>
            </w:tr>
            <w:tr w14:paraId="16C78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4F1E70D9">
                  <w:pPr>
                    <w:spacing w:line="280" w:lineRule="exact"/>
                    <w:jc w:val="center"/>
                    <w:rPr>
                      <w:rFonts w:ascii="宋体" w:hAnsi="宋体" w:eastAsia="宋体" w:cs="宋体"/>
                      <w:color w:val="auto"/>
                      <w:highlight w:val="none"/>
                    </w:rPr>
                  </w:pPr>
                </w:p>
              </w:tc>
              <w:tc>
                <w:tcPr>
                  <w:tcW w:w="3340" w:type="dxa"/>
                  <w:noWrap w:val="0"/>
                  <w:vAlign w:val="top"/>
                </w:tcPr>
                <w:p w14:paraId="3CBC32E1">
                  <w:pPr>
                    <w:spacing w:line="280" w:lineRule="exact"/>
                    <w:rPr>
                      <w:rFonts w:ascii="宋体" w:hAnsi="宋体" w:eastAsia="宋体" w:cs="宋体"/>
                      <w:color w:val="auto"/>
                      <w:highlight w:val="none"/>
                    </w:rPr>
                  </w:pPr>
                  <w:r>
                    <w:rPr>
                      <w:rFonts w:hint="eastAsia" w:ascii="宋体" w:hAnsi="宋体" w:eastAsia="宋体" w:cs="宋体"/>
                      <w:color w:val="auto"/>
                      <w:highlight w:val="none"/>
                    </w:rPr>
                    <w:t>其中：人工费</w:t>
                  </w:r>
                </w:p>
              </w:tc>
              <w:tc>
                <w:tcPr>
                  <w:tcW w:w="1340" w:type="dxa"/>
                  <w:noWrap w:val="0"/>
                  <w:vAlign w:val="top"/>
                </w:tcPr>
                <w:p w14:paraId="3EAD7842">
                  <w:pPr>
                    <w:spacing w:line="280" w:lineRule="exact"/>
                    <w:rPr>
                      <w:rFonts w:ascii="宋体" w:hAnsi="宋体" w:eastAsia="宋体" w:cs="宋体"/>
                      <w:color w:val="auto"/>
                      <w:highlight w:val="none"/>
                    </w:rPr>
                  </w:pPr>
                </w:p>
              </w:tc>
              <w:tc>
                <w:tcPr>
                  <w:tcW w:w="1440" w:type="dxa"/>
                  <w:noWrap w:val="0"/>
                  <w:vAlign w:val="top"/>
                </w:tcPr>
                <w:p w14:paraId="579D7B00">
                  <w:pPr>
                    <w:spacing w:line="280" w:lineRule="exact"/>
                    <w:rPr>
                      <w:rFonts w:ascii="宋体" w:hAnsi="宋体" w:eastAsia="宋体" w:cs="宋体"/>
                      <w:color w:val="auto"/>
                      <w:highlight w:val="none"/>
                    </w:rPr>
                  </w:pPr>
                </w:p>
              </w:tc>
              <w:tc>
                <w:tcPr>
                  <w:tcW w:w="1260" w:type="dxa"/>
                  <w:noWrap w:val="0"/>
                  <w:vAlign w:val="top"/>
                </w:tcPr>
                <w:p w14:paraId="53F755DC">
                  <w:pPr>
                    <w:spacing w:line="280" w:lineRule="exact"/>
                    <w:rPr>
                      <w:rFonts w:ascii="宋体" w:hAnsi="宋体" w:eastAsia="宋体" w:cs="宋体"/>
                      <w:color w:val="auto"/>
                      <w:highlight w:val="none"/>
                    </w:rPr>
                  </w:pPr>
                </w:p>
              </w:tc>
              <w:tc>
                <w:tcPr>
                  <w:tcW w:w="931" w:type="dxa"/>
                  <w:noWrap w:val="0"/>
                  <w:vAlign w:val="top"/>
                </w:tcPr>
                <w:p w14:paraId="28D59E81">
                  <w:pPr>
                    <w:spacing w:line="280" w:lineRule="exact"/>
                    <w:rPr>
                      <w:rFonts w:ascii="宋体" w:hAnsi="宋体" w:eastAsia="宋体" w:cs="宋体"/>
                      <w:color w:val="auto"/>
                      <w:highlight w:val="none"/>
                    </w:rPr>
                  </w:pPr>
                </w:p>
              </w:tc>
            </w:tr>
            <w:tr w14:paraId="0243C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64B747D0">
                  <w:pPr>
                    <w:spacing w:line="280" w:lineRule="exact"/>
                    <w:jc w:val="center"/>
                    <w:rPr>
                      <w:rFonts w:ascii="宋体" w:hAnsi="宋体" w:eastAsia="宋体" w:cs="宋体"/>
                      <w:color w:val="auto"/>
                      <w:highlight w:val="none"/>
                    </w:rPr>
                  </w:pPr>
                  <w:r>
                    <w:rPr>
                      <w:rFonts w:hint="eastAsia" w:ascii="宋体" w:hAnsi="宋体" w:eastAsia="宋体" w:cs="宋体"/>
                      <w:color w:val="auto"/>
                      <w:highlight w:val="none"/>
                    </w:rPr>
                    <w:t>3</w:t>
                  </w:r>
                </w:p>
              </w:tc>
              <w:tc>
                <w:tcPr>
                  <w:tcW w:w="3340" w:type="dxa"/>
                  <w:noWrap w:val="0"/>
                  <w:vAlign w:val="top"/>
                </w:tcPr>
                <w:p w14:paraId="23D993F8">
                  <w:pPr>
                    <w:spacing w:line="280" w:lineRule="exact"/>
                    <w:rPr>
                      <w:rFonts w:ascii="宋体" w:hAnsi="宋体" w:eastAsia="宋体" w:cs="宋体"/>
                      <w:color w:val="auto"/>
                      <w:highlight w:val="none"/>
                    </w:rPr>
                  </w:pPr>
                  <w:r>
                    <w:rPr>
                      <w:rFonts w:hint="eastAsia" w:ascii="宋体" w:hAnsi="宋体" w:eastAsia="宋体" w:cs="宋体"/>
                      <w:color w:val="auto"/>
                      <w:highlight w:val="none"/>
                    </w:rPr>
                    <w:t>本周期已完成的工程价款</w:t>
                  </w:r>
                </w:p>
              </w:tc>
              <w:tc>
                <w:tcPr>
                  <w:tcW w:w="1340" w:type="dxa"/>
                  <w:noWrap w:val="0"/>
                  <w:vAlign w:val="top"/>
                </w:tcPr>
                <w:p w14:paraId="2C505AAB">
                  <w:pPr>
                    <w:spacing w:line="280" w:lineRule="exact"/>
                    <w:rPr>
                      <w:rFonts w:ascii="宋体" w:hAnsi="宋体" w:eastAsia="宋体" w:cs="宋体"/>
                      <w:color w:val="auto"/>
                      <w:highlight w:val="none"/>
                    </w:rPr>
                  </w:pPr>
                </w:p>
              </w:tc>
              <w:tc>
                <w:tcPr>
                  <w:tcW w:w="1440" w:type="dxa"/>
                  <w:noWrap w:val="0"/>
                  <w:vAlign w:val="top"/>
                </w:tcPr>
                <w:p w14:paraId="521373FD">
                  <w:pPr>
                    <w:spacing w:line="280" w:lineRule="exact"/>
                    <w:rPr>
                      <w:rFonts w:ascii="宋体" w:hAnsi="宋体" w:eastAsia="宋体" w:cs="宋体"/>
                      <w:color w:val="auto"/>
                      <w:highlight w:val="none"/>
                    </w:rPr>
                  </w:pPr>
                </w:p>
              </w:tc>
              <w:tc>
                <w:tcPr>
                  <w:tcW w:w="1260" w:type="dxa"/>
                  <w:noWrap w:val="0"/>
                  <w:vAlign w:val="top"/>
                </w:tcPr>
                <w:p w14:paraId="25FE8BD4">
                  <w:pPr>
                    <w:spacing w:line="280" w:lineRule="exact"/>
                    <w:rPr>
                      <w:rFonts w:ascii="宋体" w:hAnsi="宋体" w:eastAsia="宋体" w:cs="宋体"/>
                      <w:color w:val="auto"/>
                      <w:highlight w:val="none"/>
                    </w:rPr>
                  </w:pPr>
                </w:p>
              </w:tc>
              <w:tc>
                <w:tcPr>
                  <w:tcW w:w="931" w:type="dxa"/>
                  <w:noWrap w:val="0"/>
                  <w:vAlign w:val="top"/>
                </w:tcPr>
                <w:p w14:paraId="6FF13796">
                  <w:pPr>
                    <w:spacing w:line="280" w:lineRule="exact"/>
                    <w:rPr>
                      <w:rFonts w:ascii="宋体" w:hAnsi="宋体" w:eastAsia="宋体" w:cs="宋体"/>
                      <w:color w:val="auto"/>
                      <w:highlight w:val="none"/>
                    </w:rPr>
                  </w:pPr>
                </w:p>
              </w:tc>
            </w:tr>
            <w:tr w14:paraId="07B94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7258F60D">
                  <w:pPr>
                    <w:spacing w:line="280" w:lineRule="exact"/>
                    <w:jc w:val="center"/>
                    <w:rPr>
                      <w:rFonts w:ascii="宋体" w:hAnsi="宋体" w:eastAsia="宋体" w:cs="宋体"/>
                      <w:color w:val="auto"/>
                      <w:highlight w:val="none"/>
                    </w:rPr>
                  </w:pPr>
                </w:p>
              </w:tc>
              <w:tc>
                <w:tcPr>
                  <w:tcW w:w="3340" w:type="dxa"/>
                  <w:noWrap w:val="0"/>
                  <w:vAlign w:val="top"/>
                </w:tcPr>
                <w:p w14:paraId="1DD012AA">
                  <w:pPr>
                    <w:spacing w:line="280" w:lineRule="exact"/>
                    <w:rPr>
                      <w:rFonts w:ascii="宋体" w:hAnsi="宋体" w:eastAsia="宋体" w:cs="宋体"/>
                      <w:color w:val="auto"/>
                      <w:highlight w:val="none"/>
                    </w:rPr>
                  </w:pPr>
                  <w:r>
                    <w:rPr>
                      <w:rFonts w:hint="eastAsia" w:ascii="宋体" w:hAnsi="宋体" w:eastAsia="宋体" w:cs="宋体"/>
                      <w:color w:val="auto"/>
                      <w:highlight w:val="none"/>
                    </w:rPr>
                    <w:t>其中：人工费</w:t>
                  </w:r>
                </w:p>
              </w:tc>
              <w:tc>
                <w:tcPr>
                  <w:tcW w:w="1340" w:type="dxa"/>
                  <w:noWrap w:val="0"/>
                  <w:vAlign w:val="top"/>
                </w:tcPr>
                <w:p w14:paraId="23FDCB45">
                  <w:pPr>
                    <w:spacing w:line="280" w:lineRule="exact"/>
                    <w:rPr>
                      <w:rFonts w:ascii="宋体" w:hAnsi="宋体" w:eastAsia="宋体" w:cs="宋体"/>
                      <w:color w:val="auto"/>
                      <w:highlight w:val="none"/>
                    </w:rPr>
                  </w:pPr>
                </w:p>
              </w:tc>
              <w:tc>
                <w:tcPr>
                  <w:tcW w:w="1440" w:type="dxa"/>
                  <w:noWrap w:val="0"/>
                  <w:vAlign w:val="top"/>
                </w:tcPr>
                <w:p w14:paraId="08A0D17E">
                  <w:pPr>
                    <w:spacing w:line="280" w:lineRule="exact"/>
                    <w:rPr>
                      <w:rFonts w:ascii="宋体" w:hAnsi="宋体" w:eastAsia="宋体" w:cs="宋体"/>
                      <w:color w:val="auto"/>
                      <w:highlight w:val="none"/>
                    </w:rPr>
                  </w:pPr>
                </w:p>
              </w:tc>
              <w:tc>
                <w:tcPr>
                  <w:tcW w:w="1260" w:type="dxa"/>
                  <w:noWrap w:val="0"/>
                  <w:vAlign w:val="top"/>
                </w:tcPr>
                <w:p w14:paraId="5B5C15A1">
                  <w:pPr>
                    <w:spacing w:line="280" w:lineRule="exact"/>
                    <w:rPr>
                      <w:rFonts w:ascii="宋体" w:hAnsi="宋体" w:eastAsia="宋体" w:cs="宋体"/>
                      <w:color w:val="auto"/>
                      <w:highlight w:val="none"/>
                    </w:rPr>
                  </w:pPr>
                </w:p>
              </w:tc>
              <w:tc>
                <w:tcPr>
                  <w:tcW w:w="931" w:type="dxa"/>
                  <w:noWrap w:val="0"/>
                  <w:vAlign w:val="top"/>
                </w:tcPr>
                <w:p w14:paraId="290604A0">
                  <w:pPr>
                    <w:spacing w:line="280" w:lineRule="exact"/>
                    <w:rPr>
                      <w:rFonts w:ascii="宋体" w:hAnsi="宋体" w:eastAsia="宋体" w:cs="宋体"/>
                      <w:color w:val="auto"/>
                      <w:highlight w:val="none"/>
                    </w:rPr>
                  </w:pPr>
                </w:p>
              </w:tc>
            </w:tr>
            <w:tr w14:paraId="7C171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7FF42675">
                  <w:pPr>
                    <w:spacing w:line="280" w:lineRule="exact"/>
                    <w:jc w:val="center"/>
                    <w:rPr>
                      <w:rFonts w:ascii="宋体" w:hAnsi="宋体" w:eastAsia="宋体" w:cs="宋体"/>
                      <w:color w:val="auto"/>
                      <w:highlight w:val="none"/>
                    </w:rPr>
                  </w:pPr>
                  <w:r>
                    <w:rPr>
                      <w:rFonts w:hint="eastAsia" w:ascii="宋体" w:hAnsi="宋体" w:eastAsia="宋体" w:cs="宋体"/>
                      <w:color w:val="auto"/>
                      <w:highlight w:val="none"/>
                    </w:rPr>
                    <w:t>4</w:t>
                  </w:r>
                </w:p>
              </w:tc>
              <w:tc>
                <w:tcPr>
                  <w:tcW w:w="3340" w:type="dxa"/>
                  <w:noWrap w:val="0"/>
                  <w:vAlign w:val="top"/>
                </w:tcPr>
                <w:p w14:paraId="5D126FFB">
                  <w:pPr>
                    <w:spacing w:line="280" w:lineRule="exact"/>
                    <w:rPr>
                      <w:rFonts w:ascii="宋体" w:hAnsi="宋体" w:eastAsia="宋体" w:cs="宋体"/>
                      <w:color w:val="auto"/>
                      <w:highlight w:val="none"/>
                    </w:rPr>
                  </w:pPr>
                  <w:r>
                    <w:rPr>
                      <w:rFonts w:hint="eastAsia" w:ascii="宋体" w:hAnsi="宋体" w:eastAsia="宋体" w:cs="宋体"/>
                      <w:color w:val="auto"/>
                      <w:highlight w:val="none"/>
                    </w:rPr>
                    <w:t>本周期应扣减的金额</w:t>
                  </w:r>
                </w:p>
              </w:tc>
              <w:tc>
                <w:tcPr>
                  <w:tcW w:w="1340" w:type="dxa"/>
                  <w:noWrap w:val="0"/>
                  <w:vAlign w:val="top"/>
                </w:tcPr>
                <w:p w14:paraId="38468513">
                  <w:pPr>
                    <w:spacing w:line="280" w:lineRule="exact"/>
                    <w:rPr>
                      <w:rFonts w:ascii="宋体" w:hAnsi="宋体" w:eastAsia="宋体" w:cs="宋体"/>
                      <w:color w:val="auto"/>
                      <w:highlight w:val="none"/>
                    </w:rPr>
                  </w:pPr>
                </w:p>
              </w:tc>
              <w:tc>
                <w:tcPr>
                  <w:tcW w:w="1440" w:type="dxa"/>
                  <w:noWrap w:val="0"/>
                  <w:vAlign w:val="top"/>
                </w:tcPr>
                <w:p w14:paraId="2CC58E60">
                  <w:pPr>
                    <w:spacing w:line="280" w:lineRule="exact"/>
                    <w:rPr>
                      <w:rFonts w:ascii="宋体" w:hAnsi="宋体" w:eastAsia="宋体" w:cs="宋体"/>
                      <w:color w:val="auto"/>
                      <w:highlight w:val="none"/>
                    </w:rPr>
                  </w:pPr>
                </w:p>
              </w:tc>
              <w:tc>
                <w:tcPr>
                  <w:tcW w:w="1260" w:type="dxa"/>
                  <w:noWrap w:val="0"/>
                  <w:vAlign w:val="top"/>
                </w:tcPr>
                <w:p w14:paraId="6F1E4FB4">
                  <w:pPr>
                    <w:spacing w:line="280" w:lineRule="exact"/>
                    <w:rPr>
                      <w:rFonts w:ascii="宋体" w:hAnsi="宋体" w:eastAsia="宋体" w:cs="宋体"/>
                      <w:color w:val="auto"/>
                      <w:highlight w:val="none"/>
                    </w:rPr>
                  </w:pPr>
                </w:p>
              </w:tc>
              <w:tc>
                <w:tcPr>
                  <w:tcW w:w="931" w:type="dxa"/>
                  <w:noWrap w:val="0"/>
                  <w:vAlign w:val="top"/>
                </w:tcPr>
                <w:p w14:paraId="154BCC6D">
                  <w:pPr>
                    <w:spacing w:line="280" w:lineRule="exact"/>
                    <w:rPr>
                      <w:rFonts w:ascii="宋体" w:hAnsi="宋体" w:eastAsia="宋体" w:cs="宋体"/>
                      <w:color w:val="auto"/>
                      <w:highlight w:val="none"/>
                    </w:rPr>
                  </w:pPr>
                </w:p>
              </w:tc>
            </w:tr>
            <w:tr w14:paraId="644AD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6AB546DE">
                  <w:pPr>
                    <w:spacing w:line="280" w:lineRule="exact"/>
                    <w:jc w:val="center"/>
                    <w:rPr>
                      <w:rFonts w:ascii="宋体" w:hAnsi="宋体" w:eastAsia="宋体" w:cs="宋体"/>
                      <w:color w:val="auto"/>
                      <w:highlight w:val="none"/>
                    </w:rPr>
                  </w:pPr>
                  <w:r>
                    <w:rPr>
                      <w:rFonts w:hint="eastAsia" w:ascii="宋体" w:hAnsi="宋体" w:eastAsia="宋体" w:cs="宋体"/>
                      <w:color w:val="auto"/>
                      <w:highlight w:val="none"/>
                    </w:rPr>
                    <w:t>4.1</w:t>
                  </w:r>
                </w:p>
              </w:tc>
              <w:tc>
                <w:tcPr>
                  <w:tcW w:w="3340" w:type="dxa"/>
                  <w:noWrap w:val="0"/>
                  <w:vAlign w:val="top"/>
                </w:tcPr>
                <w:p w14:paraId="71D85D79">
                  <w:pPr>
                    <w:spacing w:line="280" w:lineRule="exact"/>
                    <w:rPr>
                      <w:rFonts w:ascii="宋体" w:hAnsi="宋体" w:eastAsia="宋体" w:cs="宋体"/>
                      <w:color w:val="auto"/>
                      <w:highlight w:val="none"/>
                    </w:rPr>
                  </w:pPr>
                  <w:r>
                    <w:rPr>
                      <w:rFonts w:hint="eastAsia" w:ascii="宋体" w:hAnsi="宋体" w:eastAsia="宋体" w:cs="宋体"/>
                      <w:color w:val="auto"/>
                      <w:highlight w:val="none"/>
                    </w:rPr>
                    <w:t>本周期实际应抵扣的预付款</w:t>
                  </w:r>
                </w:p>
              </w:tc>
              <w:tc>
                <w:tcPr>
                  <w:tcW w:w="1340" w:type="dxa"/>
                  <w:noWrap w:val="0"/>
                  <w:vAlign w:val="top"/>
                </w:tcPr>
                <w:p w14:paraId="3CA4C4DA">
                  <w:pPr>
                    <w:spacing w:line="280" w:lineRule="exact"/>
                    <w:rPr>
                      <w:rFonts w:ascii="宋体" w:hAnsi="宋体" w:eastAsia="宋体" w:cs="宋体"/>
                      <w:color w:val="auto"/>
                      <w:highlight w:val="none"/>
                    </w:rPr>
                  </w:pPr>
                </w:p>
              </w:tc>
              <w:tc>
                <w:tcPr>
                  <w:tcW w:w="1440" w:type="dxa"/>
                  <w:noWrap w:val="0"/>
                  <w:vAlign w:val="top"/>
                </w:tcPr>
                <w:p w14:paraId="318E2801">
                  <w:pPr>
                    <w:spacing w:line="280" w:lineRule="exact"/>
                    <w:rPr>
                      <w:rFonts w:ascii="宋体" w:hAnsi="宋体" w:eastAsia="宋体" w:cs="宋体"/>
                      <w:color w:val="auto"/>
                      <w:highlight w:val="none"/>
                    </w:rPr>
                  </w:pPr>
                </w:p>
              </w:tc>
              <w:tc>
                <w:tcPr>
                  <w:tcW w:w="1260" w:type="dxa"/>
                  <w:noWrap w:val="0"/>
                  <w:vAlign w:val="top"/>
                </w:tcPr>
                <w:p w14:paraId="3236A58D">
                  <w:pPr>
                    <w:spacing w:line="280" w:lineRule="exact"/>
                    <w:rPr>
                      <w:rFonts w:ascii="宋体" w:hAnsi="宋体" w:eastAsia="宋体" w:cs="宋体"/>
                      <w:color w:val="auto"/>
                      <w:highlight w:val="none"/>
                    </w:rPr>
                  </w:pPr>
                </w:p>
              </w:tc>
              <w:tc>
                <w:tcPr>
                  <w:tcW w:w="931" w:type="dxa"/>
                  <w:noWrap w:val="0"/>
                  <w:vAlign w:val="top"/>
                </w:tcPr>
                <w:p w14:paraId="45557A6E">
                  <w:pPr>
                    <w:spacing w:line="280" w:lineRule="exact"/>
                    <w:rPr>
                      <w:rFonts w:ascii="宋体" w:hAnsi="宋体" w:eastAsia="宋体" w:cs="宋体"/>
                      <w:color w:val="auto"/>
                      <w:highlight w:val="none"/>
                    </w:rPr>
                  </w:pPr>
                </w:p>
              </w:tc>
            </w:tr>
            <w:tr w14:paraId="03E2E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31FECD1B">
                  <w:pPr>
                    <w:spacing w:line="280" w:lineRule="exact"/>
                    <w:jc w:val="center"/>
                    <w:rPr>
                      <w:rFonts w:ascii="宋体" w:hAnsi="宋体" w:eastAsia="宋体" w:cs="宋体"/>
                      <w:color w:val="auto"/>
                      <w:highlight w:val="none"/>
                    </w:rPr>
                  </w:pPr>
                  <w:r>
                    <w:rPr>
                      <w:rFonts w:hint="eastAsia" w:ascii="宋体" w:hAnsi="宋体" w:eastAsia="宋体" w:cs="宋体"/>
                      <w:color w:val="auto"/>
                      <w:highlight w:val="none"/>
                    </w:rPr>
                    <w:t>4.2</w:t>
                  </w:r>
                </w:p>
              </w:tc>
              <w:tc>
                <w:tcPr>
                  <w:tcW w:w="3340" w:type="dxa"/>
                  <w:noWrap w:val="0"/>
                  <w:vAlign w:val="top"/>
                </w:tcPr>
                <w:p w14:paraId="4CDE9551">
                  <w:pPr>
                    <w:spacing w:line="280" w:lineRule="exact"/>
                    <w:rPr>
                      <w:rFonts w:ascii="宋体" w:hAnsi="宋体" w:eastAsia="宋体" w:cs="宋体"/>
                      <w:color w:val="auto"/>
                      <w:highlight w:val="none"/>
                    </w:rPr>
                  </w:pPr>
                  <w:r>
                    <w:rPr>
                      <w:rFonts w:hint="eastAsia" w:ascii="宋体" w:hAnsi="宋体" w:eastAsia="宋体" w:cs="宋体"/>
                      <w:color w:val="auto"/>
                      <w:highlight w:val="none"/>
                    </w:rPr>
                    <w:t>本周期应扣减的金额</w:t>
                  </w:r>
                </w:p>
              </w:tc>
              <w:tc>
                <w:tcPr>
                  <w:tcW w:w="1340" w:type="dxa"/>
                  <w:noWrap w:val="0"/>
                  <w:vAlign w:val="top"/>
                </w:tcPr>
                <w:p w14:paraId="796C2D7D">
                  <w:pPr>
                    <w:spacing w:line="280" w:lineRule="exact"/>
                    <w:rPr>
                      <w:rFonts w:ascii="宋体" w:hAnsi="宋体" w:eastAsia="宋体" w:cs="宋体"/>
                      <w:color w:val="auto"/>
                      <w:highlight w:val="none"/>
                    </w:rPr>
                  </w:pPr>
                </w:p>
              </w:tc>
              <w:tc>
                <w:tcPr>
                  <w:tcW w:w="1440" w:type="dxa"/>
                  <w:noWrap w:val="0"/>
                  <w:vAlign w:val="top"/>
                </w:tcPr>
                <w:p w14:paraId="1A05AC64">
                  <w:pPr>
                    <w:spacing w:line="280" w:lineRule="exact"/>
                    <w:rPr>
                      <w:rFonts w:ascii="宋体" w:hAnsi="宋体" w:eastAsia="宋体" w:cs="宋体"/>
                      <w:color w:val="auto"/>
                      <w:highlight w:val="none"/>
                    </w:rPr>
                  </w:pPr>
                </w:p>
              </w:tc>
              <w:tc>
                <w:tcPr>
                  <w:tcW w:w="1260" w:type="dxa"/>
                  <w:noWrap w:val="0"/>
                  <w:vAlign w:val="top"/>
                </w:tcPr>
                <w:p w14:paraId="6C04705A">
                  <w:pPr>
                    <w:spacing w:line="280" w:lineRule="exact"/>
                    <w:rPr>
                      <w:rFonts w:ascii="宋体" w:hAnsi="宋体" w:eastAsia="宋体" w:cs="宋体"/>
                      <w:color w:val="auto"/>
                      <w:highlight w:val="none"/>
                    </w:rPr>
                  </w:pPr>
                </w:p>
              </w:tc>
              <w:tc>
                <w:tcPr>
                  <w:tcW w:w="931" w:type="dxa"/>
                  <w:noWrap w:val="0"/>
                  <w:vAlign w:val="top"/>
                </w:tcPr>
                <w:p w14:paraId="080D2F67">
                  <w:pPr>
                    <w:spacing w:line="280" w:lineRule="exact"/>
                    <w:rPr>
                      <w:rFonts w:ascii="宋体" w:hAnsi="宋体" w:eastAsia="宋体" w:cs="宋体"/>
                      <w:color w:val="auto"/>
                      <w:highlight w:val="none"/>
                    </w:rPr>
                  </w:pPr>
                </w:p>
              </w:tc>
            </w:tr>
            <w:tr w14:paraId="4CA75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0794C69B">
                  <w:pPr>
                    <w:spacing w:line="280" w:lineRule="exact"/>
                    <w:jc w:val="center"/>
                    <w:rPr>
                      <w:rFonts w:ascii="宋体" w:hAnsi="宋体" w:eastAsia="宋体" w:cs="宋体"/>
                      <w:color w:val="auto"/>
                      <w:highlight w:val="none"/>
                    </w:rPr>
                  </w:pPr>
                  <w:r>
                    <w:rPr>
                      <w:rFonts w:hint="eastAsia" w:ascii="宋体" w:hAnsi="宋体" w:eastAsia="宋体" w:cs="宋体"/>
                      <w:color w:val="auto"/>
                      <w:highlight w:val="none"/>
                    </w:rPr>
                    <w:t>5</w:t>
                  </w:r>
                </w:p>
              </w:tc>
              <w:tc>
                <w:tcPr>
                  <w:tcW w:w="3340" w:type="dxa"/>
                  <w:noWrap w:val="0"/>
                  <w:vAlign w:val="top"/>
                </w:tcPr>
                <w:p w14:paraId="250A2E98">
                  <w:pPr>
                    <w:spacing w:line="280" w:lineRule="exact"/>
                    <w:rPr>
                      <w:rFonts w:ascii="宋体" w:hAnsi="宋体" w:eastAsia="宋体" w:cs="宋体"/>
                      <w:color w:val="auto"/>
                      <w:highlight w:val="none"/>
                    </w:rPr>
                  </w:pPr>
                  <w:r>
                    <w:rPr>
                      <w:rFonts w:hint="eastAsia" w:ascii="宋体" w:hAnsi="宋体" w:eastAsia="宋体" w:cs="宋体"/>
                      <w:color w:val="auto"/>
                      <w:highlight w:val="none"/>
                    </w:rPr>
                    <w:t>本周期应支付的合同价款</w:t>
                  </w:r>
                </w:p>
              </w:tc>
              <w:tc>
                <w:tcPr>
                  <w:tcW w:w="1340" w:type="dxa"/>
                  <w:noWrap w:val="0"/>
                  <w:vAlign w:val="top"/>
                </w:tcPr>
                <w:p w14:paraId="080EAFC5">
                  <w:pPr>
                    <w:spacing w:line="280" w:lineRule="exact"/>
                    <w:rPr>
                      <w:rFonts w:ascii="宋体" w:hAnsi="宋体" w:eastAsia="宋体" w:cs="宋体"/>
                      <w:color w:val="auto"/>
                      <w:highlight w:val="none"/>
                    </w:rPr>
                  </w:pPr>
                </w:p>
              </w:tc>
              <w:tc>
                <w:tcPr>
                  <w:tcW w:w="1440" w:type="dxa"/>
                  <w:noWrap w:val="0"/>
                  <w:vAlign w:val="top"/>
                </w:tcPr>
                <w:p w14:paraId="31AFCD4F">
                  <w:pPr>
                    <w:spacing w:line="280" w:lineRule="exact"/>
                    <w:rPr>
                      <w:rFonts w:ascii="宋体" w:hAnsi="宋体" w:eastAsia="宋体" w:cs="宋体"/>
                      <w:color w:val="auto"/>
                      <w:highlight w:val="none"/>
                    </w:rPr>
                  </w:pPr>
                </w:p>
              </w:tc>
              <w:tc>
                <w:tcPr>
                  <w:tcW w:w="1260" w:type="dxa"/>
                  <w:noWrap w:val="0"/>
                  <w:vAlign w:val="top"/>
                </w:tcPr>
                <w:p w14:paraId="77A6DC75">
                  <w:pPr>
                    <w:spacing w:line="280" w:lineRule="exact"/>
                    <w:rPr>
                      <w:rFonts w:ascii="宋体" w:hAnsi="宋体" w:eastAsia="宋体" w:cs="宋体"/>
                      <w:color w:val="auto"/>
                      <w:highlight w:val="none"/>
                    </w:rPr>
                  </w:pPr>
                </w:p>
              </w:tc>
              <w:tc>
                <w:tcPr>
                  <w:tcW w:w="931" w:type="dxa"/>
                  <w:noWrap w:val="0"/>
                  <w:vAlign w:val="top"/>
                </w:tcPr>
                <w:p w14:paraId="4F09C31C">
                  <w:pPr>
                    <w:spacing w:line="280" w:lineRule="exact"/>
                    <w:rPr>
                      <w:rFonts w:ascii="宋体" w:hAnsi="宋体" w:eastAsia="宋体" w:cs="宋体"/>
                      <w:color w:val="auto"/>
                      <w:highlight w:val="none"/>
                    </w:rPr>
                  </w:pPr>
                </w:p>
              </w:tc>
            </w:tr>
            <w:tr w14:paraId="44059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58FBEF05">
                  <w:pPr>
                    <w:spacing w:line="280" w:lineRule="exact"/>
                    <w:jc w:val="center"/>
                    <w:rPr>
                      <w:rFonts w:ascii="宋体" w:hAnsi="宋体" w:eastAsia="宋体" w:cs="宋体"/>
                      <w:color w:val="auto"/>
                      <w:highlight w:val="none"/>
                    </w:rPr>
                  </w:pPr>
                </w:p>
              </w:tc>
              <w:tc>
                <w:tcPr>
                  <w:tcW w:w="3340" w:type="dxa"/>
                  <w:noWrap w:val="0"/>
                  <w:vAlign w:val="top"/>
                </w:tcPr>
                <w:p w14:paraId="41532098">
                  <w:pPr>
                    <w:spacing w:line="280" w:lineRule="exact"/>
                    <w:rPr>
                      <w:rFonts w:ascii="宋体" w:hAnsi="宋体" w:eastAsia="宋体" w:cs="宋体"/>
                      <w:color w:val="auto"/>
                      <w:highlight w:val="none"/>
                    </w:rPr>
                  </w:pPr>
                  <w:r>
                    <w:rPr>
                      <w:rFonts w:hint="eastAsia" w:ascii="宋体" w:hAnsi="宋体" w:eastAsia="宋体" w:cs="宋体"/>
                      <w:color w:val="auto"/>
                      <w:highlight w:val="none"/>
                    </w:rPr>
                    <w:t>其中：人工费</w:t>
                  </w:r>
                </w:p>
              </w:tc>
              <w:tc>
                <w:tcPr>
                  <w:tcW w:w="1340" w:type="dxa"/>
                  <w:noWrap w:val="0"/>
                  <w:vAlign w:val="top"/>
                </w:tcPr>
                <w:p w14:paraId="5714D620">
                  <w:pPr>
                    <w:spacing w:line="280" w:lineRule="exact"/>
                    <w:rPr>
                      <w:rFonts w:ascii="宋体" w:hAnsi="宋体" w:eastAsia="宋体" w:cs="宋体"/>
                      <w:color w:val="auto"/>
                      <w:highlight w:val="none"/>
                    </w:rPr>
                  </w:pPr>
                </w:p>
              </w:tc>
              <w:tc>
                <w:tcPr>
                  <w:tcW w:w="1440" w:type="dxa"/>
                  <w:noWrap w:val="0"/>
                  <w:vAlign w:val="top"/>
                </w:tcPr>
                <w:p w14:paraId="011205E6">
                  <w:pPr>
                    <w:spacing w:line="280" w:lineRule="exact"/>
                    <w:rPr>
                      <w:rFonts w:ascii="宋体" w:hAnsi="宋体" w:eastAsia="宋体" w:cs="宋体"/>
                      <w:color w:val="auto"/>
                      <w:highlight w:val="none"/>
                    </w:rPr>
                  </w:pPr>
                </w:p>
              </w:tc>
              <w:tc>
                <w:tcPr>
                  <w:tcW w:w="1260" w:type="dxa"/>
                  <w:noWrap w:val="0"/>
                  <w:vAlign w:val="top"/>
                </w:tcPr>
                <w:p w14:paraId="5FE33914">
                  <w:pPr>
                    <w:spacing w:line="280" w:lineRule="exact"/>
                    <w:rPr>
                      <w:rFonts w:ascii="宋体" w:hAnsi="宋体" w:eastAsia="宋体" w:cs="宋体"/>
                      <w:color w:val="auto"/>
                      <w:highlight w:val="none"/>
                    </w:rPr>
                  </w:pPr>
                </w:p>
              </w:tc>
              <w:tc>
                <w:tcPr>
                  <w:tcW w:w="931" w:type="dxa"/>
                  <w:noWrap w:val="0"/>
                  <w:vAlign w:val="top"/>
                </w:tcPr>
                <w:p w14:paraId="3D26B9CE">
                  <w:pPr>
                    <w:spacing w:line="280" w:lineRule="exact"/>
                    <w:rPr>
                      <w:rFonts w:ascii="宋体" w:hAnsi="宋体" w:eastAsia="宋体" w:cs="宋体"/>
                      <w:color w:val="auto"/>
                      <w:highlight w:val="none"/>
                    </w:rPr>
                  </w:pPr>
                </w:p>
              </w:tc>
            </w:tr>
          </w:tbl>
          <w:p w14:paraId="40C79AEA">
            <w:pPr>
              <w:wordWrap w:val="0"/>
              <w:spacing w:line="400" w:lineRule="exact"/>
              <w:ind w:right="420"/>
              <w:rPr>
                <w:rFonts w:ascii="宋体" w:hAnsi="宋体" w:eastAsia="宋体" w:cs="宋体"/>
                <w:color w:val="auto"/>
                <w:highlight w:val="none"/>
              </w:rPr>
            </w:pPr>
            <w:r>
              <w:rPr>
                <w:rFonts w:hint="eastAsia" w:ascii="宋体" w:hAnsi="宋体" w:eastAsia="宋体" w:cs="宋体"/>
                <w:color w:val="auto"/>
                <w:highlight w:val="none"/>
              </w:rPr>
              <w:t>附：上述3、4详见附件清单。</w:t>
            </w:r>
          </w:p>
          <w:p w14:paraId="5C0EBBC7">
            <w:pPr>
              <w:wordWrap w:val="0"/>
              <w:spacing w:line="400" w:lineRule="exact"/>
              <w:ind w:right="420"/>
              <w:rPr>
                <w:rFonts w:ascii="宋体" w:hAnsi="宋体" w:eastAsia="宋体" w:cs="宋体"/>
                <w:color w:val="auto"/>
                <w:highlight w:val="none"/>
              </w:rPr>
            </w:pPr>
            <w:r>
              <w:rPr>
                <w:rFonts w:hint="eastAsia" w:ascii="宋体" w:hAnsi="宋体" w:eastAsia="宋体" w:cs="宋体"/>
                <w:color w:val="auto"/>
                <w:highlight w:val="none"/>
              </w:rPr>
              <w:t xml:space="preserve">                                            承包人（章）             </w:t>
            </w:r>
          </w:p>
          <w:p w14:paraId="0DB9B19D">
            <w:pPr>
              <w:spacing w:line="400" w:lineRule="exact"/>
              <w:ind w:right="420" w:firstLine="435"/>
              <w:rPr>
                <w:rFonts w:ascii="宋体" w:hAnsi="宋体" w:eastAsia="宋体" w:cs="宋体"/>
                <w:color w:val="auto"/>
                <w:highlight w:val="none"/>
              </w:rPr>
            </w:pPr>
            <w:r>
              <w:rPr>
                <w:rFonts w:hint="eastAsia" w:ascii="宋体" w:hAnsi="宋体" w:eastAsia="宋体" w:cs="宋体"/>
                <w:color w:val="auto"/>
                <w:highlight w:val="none"/>
              </w:rPr>
              <w:t>造价人员</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承包人代表</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      期</w:t>
            </w:r>
            <w:r>
              <w:rPr>
                <w:rFonts w:hint="eastAsia" w:ascii="宋体" w:hAnsi="宋体" w:eastAsia="宋体" w:cs="宋体"/>
                <w:color w:val="auto"/>
                <w:highlight w:val="none"/>
                <w:u w:val="single"/>
              </w:rPr>
              <w:t xml:space="preserve">               </w:t>
            </w:r>
          </w:p>
        </w:tc>
      </w:tr>
      <w:tr w14:paraId="7D652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2" w:hRule="atLeast"/>
          <w:jc w:val="center"/>
        </w:trPr>
        <w:tc>
          <w:tcPr>
            <w:tcW w:w="4520" w:type="dxa"/>
            <w:noWrap w:val="0"/>
            <w:vAlign w:val="top"/>
          </w:tcPr>
          <w:p w14:paraId="657D8086">
            <w:pPr>
              <w:spacing w:line="360" w:lineRule="exact"/>
              <w:rPr>
                <w:rFonts w:ascii="宋体" w:hAnsi="宋体" w:eastAsia="宋体" w:cs="宋体"/>
                <w:color w:val="auto"/>
                <w:highlight w:val="none"/>
              </w:rPr>
            </w:pPr>
            <w:r>
              <w:rPr>
                <w:rFonts w:hint="eastAsia" w:ascii="宋体" w:hAnsi="宋体" w:eastAsia="宋体" w:cs="宋体"/>
                <w:color w:val="auto"/>
                <w:highlight w:val="none"/>
              </w:rPr>
              <w:t>复核意见：</w:t>
            </w:r>
          </w:p>
          <w:p w14:paraId="43A1BD8E">
            <w:pPr>
              <w:spacing w:line="360" w:lineRule="exact"/>
              <w:ind w:firstLine="312"/>
              <w:rPr>
                <w:rFonts w:ascii="宋体" w:hAnsi="宋体" w:eastAsia="宋体" w:cs="宋体"/>
                <w:color w:val="auto"/>
                <w:highlight w:val="none"/>
              </w:rPr>
            </w:pPr>
            <w:r>
              <w:rPr>
                <w:rFonts w:hint="eastAsia" w:ascii="宋体" w:hAnsi="宋体" w:eastAsia="宋体" w:cs="宋体"/>
                <w:color w:val="auto"/>
                <w:highlight w:val="none"/>
              </w:rPr>
              <w:t>□与实际施工情况不相符，修改意见见附件。</w:t>
            </w:r>
          </w:p>
          <w:p w14:paraId="537194DC">
            <w:pPr>
              <w:spacing w:line="360" w:lineRule="exact"/>
              <w:ind w:firstLine="312"/>
              <w:rPr>
                <w:rFonts w:ascii="宋体" w:hAnsi="宋体" w:eastAsia="宋体" w:cs="宋体"/>
                <w:color w:val="auto"/>
                <w:highlight w:val="none"/>
              </w:rPr>
            </w:pPr>
            <w:r>
              <w:rPr>
                <w:rFonts w:hint="eastAsia" w:ascii="宋体" w:hAnsi="宋体" w:eastAsia="宋体" w:cs="宋体"/>
                <w:color w:val="auto"/>
                <w:highlight w:val="none"/>
              </w:rPr>
              <w:t>□与实际施工情况相符，具体金额由造价工程师复核。</w:t>
            </w:r>
          </w:p>
          <w:p w14:paraId="64334726">
            <w:pPr>
              <w:spacing w:line="360" w:lineRule="exact"/>
              <w:ind w:firstLine="435"/>
              <w:jc w:val="right"/>
              <w:rPr>
                <w:rFonts w:ascii="宋体" w:hAnsi="宋体" w:eastAsia="宋体" w:cs="宋体"/>
                <w:color w:val="auto"/>
                <w:highlight w:val="none"/>
              </w:rPr>
            </w:pPr>
          </w:p>
          <w:p w14:paraId="653D65CC">
            <w:pPr>
              <w:spacing w:line="360" w:lineRule="exact"/>
              <w:ind w:firstLine="435"/>
              <w:jc w:val="center"/>
              <w:rPr>
                <w:rFonts w:ascii="宋体" w:hAnsi="宋体" w:eastAsia="宋体" w:cs="宋体"/>
                <w:color w:val="auto"/>
                <w:highlight w:val="none"/>
                <w:u w:val="single"/>
              </w:rPr>
            </w:pPr>
            <w:r>
              <w:rPr>
                <w:rFonts w:hint="eastAsia" w:ascii="宋体" w:hAnsi="宋体" w:eastAsia="宋体" w:cs="宋体"/>
                <w:color w:val="auto"/>
                <w:highlight w:val="none"/>
              </w:rPr>
              <w:t xml:space="preserve">         监理工程师</w:t>
            </w:r>
            <w:r>
              <w:rPr>
                <w:rFonts w:hint="eastAsia" w:ascii="宋体" w:hAnsi="宋体" w:eastAsia="宋体" w:cs="宋体"/>
                <w:color w:val="auto"/>
                <w:highlight w:val="none"/>
                <w:u w:val="single"/>
              </w:rPr>
              <w:t xml:space="preserve">           </w:t>
            </w:r>
          </w:p>
          <w:p w14:paraId="0AB412DE">
            <w:pPr>
              <w:spacing w:line="360" w:lineRule="exact"/>
              <w:ind w:firstLine="435"/>
              <w:jc w:val="center"/>
              <w:rPr>
                <w:rFonts w:ascii="宋体" w:hAnsi="宋体" w:eastAsia="宋体" w:cs="宋体"/>
                <w:color w:val="auto"/>
                <w:highlight w:val="none"/>
                <w:u w:val="single"/>
              </w:rPr>
            </w:pPr>
            <w:r>
              <w:rPr>
                <w:rFonts w:hint="eastAsia" w:ascii="宋体" w:hAnsi="宋体" w:eastAsia="宋体" w:cs="宋体"/>
                <w:color w:val="auto"/>
                <w:highlight w:val="none"/>
              </w:rPr>
              <w:t xml:space="preserve">        日      期</w:t>
            </w:r>
            <w:r>
              <w:rPr>
                <w:rFonts w:hint="eastAsia" w:ascii="宋体" w:hAnsi="宋体" w:eastAsia="宋体" w:cs="宋体"/>
                <w:color w:val="auto"/>
                <w:highlight w:val="none"/>
                <w:u w:val="single"/>
              </w:rPr>
              <w:t xml:space="preserve">           </w:t>
            </w:r>
          </w:p>
        </w:tc>
        <w:tc>
          <w:tcPr>
            <w:tcW w:w="4552" w:type="dxa"/>
            <w:noWrap w:val="0"/>
            <w:vAlign w:val="top"/>
          </w:tcPr>
          <w:p w14:paraId="1ED91F29">
            <w:pPr>
              <w:spacing w:line="360" w:lineRule="exact"/>
              <w:rPr>
                <w:rFonts w:ascii="宋体" w:hAnsi="宋体" w:eastAsia="宋体" w:cs="宋体"/>
                <w:color w:val="auto"/>
                <w:highlight w:val="none"/>
              </w:rPr>
            </w:pPr>
            <w:r>
              <w:rPr>
                <w:rFonts w:hint="eastAsia" w:ascii="宋体" w:hAnsi="宋体" w:eastAsia="宋体" w:cs="宋体"/>
                <w:color w:val="auto"/>
                <w:highlight w:val="none"/>
              </w:rPr>
              <w:t>复核意见：</w:t>
            </w:r>
          </w:p>
          <w:p w14:paraId="1539250A">
            <w:pPr>
              <w:spacing w:line="360" w:lineRule="exact"/>
              <w:ind w:firstLine="435"/>
              <w:rPr>
                <w:rFonts w:ascii="宋体" w:hAnsi="宋体" w:eastAsia="宋体" w:cs="宋体"/>
                <w:color w:val="auto"/>
                <w:highlight w:val="none"/>
              </w:rPr>
            </w:pPr>
            <w:r>
              <w:rPr>
                <w:rFonts w:hint="eastAsia" w:ascii="宋体" w:hAnsi="宋体" w:eastAsia="宋体" w:cs="宋体"/>
                <w:color w:val="auto"/>
                <w:highlight w:val="none"/>
              </w:rPr>
              <w:t>你方提出的支付申请经复核，本周期已完成工程价款为(大写)</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元，（小写）</w:t>
            </w:r>
          </w:p>
          <w:p w14:paraId="1B81C00A">
            <w:pPr>
              <w:spacing w:line="360" w:lineRule="exact"/>
              <w:rPr>
                <w:rFonts w:ascii="宋体" w:hAnsi="宋体" w:eastAsia="宋体" w:cs="宋体"/>
                <w:color w:val="auto"/>
                <w:highlight w:val="none"/>
              </w:rPr>
            </w:pP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元，本期间应支付金额为（大写）</w:t>
            </w:r>
          </w:p>
          <w:p w14:paraId="5AE35BEC">
            <w:pPr>
              <w:spacing w:line="360" w:lineRule="exact"/>
              <w:rPr>
                <w:rFonts w:ascii="宋体" w:hAnsi="宋体" w:eastAsia="宋体" w:cs="宋体"/>
                <w:color w:val="auto"/>
                <w:highlight w:val="none"/>
                <w:u w:val="single"/>
              </w:rPr>
            </w:pP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元，（小写）</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元。</w:t>
            </w:r>
          </w:p>
          <w:p w14:paraId="2B17D784">
            <w:pPr>
              <w:spacing w:line="360" w:lineRule="exact"/>
              <w:ind w:firstLine="435"/>
              <w:jc w:val="center"/>
              <w:rPr>
                <w:rFonts w:ascii="宋体" w:hAnsi="宋体" w:eastAsia="宋体" w:cs="宋体"/>
                <w:color w:val="auto"/>
                <w:highlight w:val="none"/>
                <w:u w:val="single"/>
              </w:rPr>
            </w:pPr>
            <w:r>
              <w:rPr>
                <w:rFonts w:hint="eastAsia" w:ascii="宋体" w:hAnsi="宋体" w:eastAsia="宋体" w:cs="宋体"/>
                <w:color w:val="auto"/>
                <w:highlight w:val="none"/>
              </w:rPr>
              <w:t xml:space="preserve">        造价工程师</w:t>
            </w:r>
            <w:r>
              <w:rPr>
                <w:rFonts w:hint="eastAsia" w:ascii="宋体" w:hAnsi="宋体" w:eastAsia="宋体" w:cs="宋体"/>
                <w:color w:val="auto"/>
                <w:highlight w:val="none"/>
                <w:u w:val="single"/>
              </w:rPr>
              <w:t xml:space="preserve">           </w:t>
            </w:r>
          </w:p>
          <w:p w14:paraId="090418D5">
            <w:pPr>
              <w:spacing w:line="360" w:lineRule="exact"/>
              <w:ind w:firstLine="435"/>
              <w:jc w:val="center"/>
              <w:rPr>
                <w:rFonts w:ascii="宋体" w:hAnsi="宋体" w:eastAsia="宋体" w:cs="宋体"/>
                <w:color w:val="auto"/>
                <w:highlight w:val="none"/>
                <w:u w:val="single"/>
              </w:rPr>
            </w:pPr>
            <w:r>
              <w:rPr>
                <w:rFonts w:hint="eastAsia" w:ascii="宋体" w:hAnsi="宋体" w:eastAsia="宋体" w:cs="宋体"/>
                <w:color w:val="auto"/>
                <w:highlight w:val="none"/>
              </w:rPr>
              <w:t xml:space="preserve">    日      期</w:t>
            </w:r>
            <w:r>
              <w:rPr>
                <w:rFonts w:hint="eastAsia" w:ascii="宋体" w:hAnsi="宋体" w:eastAsia="宋体" w:cs="宋体"/>
                <w:color w:val="auto"/>
                <w:highlight w:val="none"/>
                <w:u w:val="single"/>
              </w:rPr>
              <w:t xml:space="preserve">           </w:t>
            </w:r>
          </w:p>
        </w:tc>
      </w:tr>
      <w:tr w14:paraId="25A0A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1" w:hRule="atLeast"/>
          <w:jc w:val="center"/>
        </w:trPr>
        <w:tc>
          <w:tcPr>
            <w:tcW w:w="9072" w:type="dxa"/>
            <w:gridSpan w:val="2"/>
            <w:noWrap w:val="0"/>
            <w:vAlign w:val="top"/>
          </w:tcPr>
          <w:p w14:paraId="49A0327B">
            <w:pPr>
              <w:spacing w:line="400" w:lineRule="exact"/>
              <w:rPr>
                <w:rFonts w:ascii="宋体" w:hAnsi="宋体" w:eastAsia="宋体" w:cs="宋体"/>
                <w:color w:val="auto"/>
                <w:highlight w:val="none"/>
              </w:rPr>
            </w:pPr>
            <w:r>
              <w:rPr>
                <w:rFonts w:hint="eastAsia" w:ascii="宋体" w:hAnsi="宋体" w:eastAsia="宋体" w:cs="宋体"/>
                <w:color w:val="auto"/>
                <w:highlight w:val="none"/>
              </w:rPr>
              <w:t>审核意见：</w:t>
            </w:r>
          </w:p>
          <w:p w14:paraId="489E4F87">
            <w:pPr>
              <w:spacing w:line="400" w:lineRule="exact"/>
              <w:ind w:firstLine="435"/>
              <w:rPr>
                <w:rFonts w:ascii="宋体" w:hAnsi="宋体" w:eastAsia="宋体" w:cs="宋体"/>
                <w:color w:val="auto"/>
                <w:highlight w:val="none"/>
              </w:rPr>
            </w:pPr>
            <w:r>
              <w:rPr>
                <w:rFonts w:hint="eastAsia" w:ascii="宋体" w:hAnsi="宋体" w:eastAsia="宋体" w:cs="宋体"/>
                <w:color w:val="auto"/>
                <w:highlight w:val="none"/>
              </w:rPr>
              <w:t>□不同意。</w:t>
            </w:r>
          </w:p>
          <w:p w14:paraId="3CB5720F">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□同意，支付时间为本表签发后的15天内。</w:t>
            </w:r>
          </w:p>
          <w:p w14:paraId="409C81C8">
            <w:pPr>
              <w:wordWrap w:val="0"/>
              <w:spacing w:line="400" w:lineRule="exact"/>
              <w:ind w:firstLine="420" w:firstLineChars="200"/>
              <w:jc w:val="right"/>
              <w:rPr>
                <w:rFonts w:ascii="宋体" w:hAnsi="宋体" w:eastAsia="宋体" w:cs="宋体"/>
                <w:color w:val="auto"/>
                <w:highlight w:val="none"/>
              </w:rPr>
            </w:pPr>
            <w:r>
              <w:rPr>
                <w:rFonts w:hint="eastAsia" w:ascii="宋体" w:hAnsi="宋体" w:eastAsia="宋体" w:cs="宋体"/>
                <w:color w:val="auto"/>
                <w:highlight w:val="none"/>
              </w:rPr>
              <w:t xml:space="preserve">发包人（章）           </w:t>
            </w:r>
          </w:p>
          <w:p w14:paraId="4F063EDF">
            <w:pPr>
              <w:wordWrap w:val="0"/>
              <w:spacing w:line="400" w:lineRule="exact"/>
              <w:ind w:firstLine="420" w:firstLineChars="200"/>
              <w:jc w:val="right"/>
              <w:rPr>
                <w:rFonts w:ascii="宋体" w:hAnsi="宋体" w:eastAsia="宋体" w:cs="宋体"/>
                <w:color w:val="auto"/>
                <w:highlight w:val="none"/>
                <w:u w:val="single"/>
              </w:rPr>
            </w:pPr>
            <w:r>
              <w:rPr>
                <w:rFonts w:hint="eastAsia" w:ascii="宋体" w:hAnsi="宋体" w:eastAsia="宋体" w:cs="宋体"/>
                <w:color w:val="auto"/>
                <w:highlight w:val="none"/>
              </w:rPr>
              <w:t>发包人代表</w:t>
            </w:r>
            <w:r>
              <w:rPr>
                <w:rFonts w:hint="eastAsia" w:ascii="宋体" w:hAnsi="宋体" w:eastAsia="宋体" w:cs="宋体"/>
                <w:color w:val="auto"/>
                <w:highlight w:val="none"/>
                <w:u w:val="single"/>
              </w:rPr>
              <w:t xml:space="preserve">             </w:t>
            </w:r>
          </w:p>
          <w:p w14:paraId="5DF34F69">
            <w:pPr>
              <w:wordWrap w:val="0"/>
              <w:spacing w:line="400" w:lineRule="exact"/>
              <w:ind w:firstLine="420" w:firstLineChars="200"/>
              <w:jc w:val="right"/>
              <w:rPr>
                <w:rFonts w:ascii="宋体" w:hAnsi="宋体" w:eastAsia="宋体" w:cs="宋体"/>
                <w:color w:val="auto"/>
                <w:highlight w:val="none"/>
                <w:u w:val="single"/>
              </w:rPr>
            </w:pPr>
            <w:r>
              <w:rPr>
                <w:rFonts w:hint="eastAsia" w:ascii="宋体" w:hAnsi="宋体" w:eastAsia="宋体" w:cs="宋体"/>
                <w:color w:val="auto"/>
                <w:highlight w:val="none"/>
              </w:rPr>
              <w:t>日      期</w:t>
            </w:r>
            <w:r>
              <w:rPr>
                <w:rFonts w:hint="eastAsia" w:ascii="宋体" w:hAnsi="宋体" w:eastAsia="宋体" w:cs="宋体"/>
                <w:color w:val="auto"/>
                <w:highlight w:val="none"/>
                <w:u w:val="single"/>
              </w:rPr>
              <w:t xml:space="preserve">             </w:t>
            </w:r>
          </w:p>
        </w:tc>
      </w:tr>
    </w:tbl>
    <w:p w14:paraId="6CCE1DBC">
      <w:pPr>
        <w:spacing w:before="120" w:beforeLines="50"/>
        <w:ind w:firstLine="360" w:firstLineChars="200"/>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 xml:space="preserve">注：1.在选择栏中的“□”内作标识“√”。 </w:t>
      </w:r>
    </w:p>
    <w:p w14:paraId="2DD21B4B">
      <w:pPr>
        <w:spacing w:before="120" w:beforeLines="50"/>
        <w:ind w:left="720" w:hanging="720" w:hangingChars="400"/>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 xml:space="preserve">        2.本表一式四份，由承包人填报，发包人、监理人、造价咨询人、承包人各存一份。</w:t>
      </w:r>
    </w:p>
    <w:p w14:paraId="57CDC436">
      <w:pPr>
        <w:spacing w:before="120" w:beforeLines="50"/>
        <w:ind w:left="840" w:hanging="840" w:hangingChars="400"/>
        <w:rPr>
          <w:rFonts w:ascii="宋体" w:hAnsi="宋体" w:eastAsia="宋体" w:cs="宋体"/>
          <w:color w:val="auto"/>
          <w:highlight w:val="none"/>
        </w:rPr>
      </w:pPr>
    </w:p>
    <w:p w14:paraId="73EC12D9">
      <w:pPr>
        <w:pStyle w:val="6"/>
        <w:jc w:val="left"/>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附件12</w:t>
      </w:r>
    </w:p>
    <w:p w14:paraId="5B9CABF8">
      <w:pPr>
        <w:jc w:val="center"/>
        <w:rPr>
          <w:rFonts w:ascii="宋体" w:hAnsi="宋体" w:eastAsia="宋体" w:cs="宋体"/>
          <w:b/>
          <w:color w:val="auto"/>
          <w:sz w:val="36"/>
          <w:szCs w:val="36"/>
          <w:highlight w:val="none"/>
        </w:rPr>
      </w:pPr>
      <w:r>
        <w:rPr>
          <w:rFonts w:hint="eastAsia" w:ascii="宋体" w:hAnsi="宋体" w:eastAsia="宋体" w:cs="宋体"/>
          <w:b/>
          <w:color w:val="auto"/>
          <w:sz w:val="36"/>
          <w:szCs w:val="36"/>
          <w:highlight w:val="none"/>
        </w:rPr>
        <w:t>竣工结算款支付申请（核准）表</w:t>
      </w:r>
    </w:p>
    <w:p w14:paraId="46821116">
      <w:pPr>
        <w:rPr>
          <w:rFonts w:ascii="宋体" w:hAnsi="宋体" w:eastAsia="宋体" w:cs="宋体"/>
          <w:color w:val="auto"/>
          <w:sz w:val="24"/>
          <w:highlight w:val="none"/>
        </w:rPr>
      </w:pPr>
      <w:r>
        <w:rPr>
          <w:rFonts w:hint="eastAsia" w:ascii="宋体" w:hAnsi="宋体" w:eastAsia="宋体" w:cs="宋体"/>
          <w:color w:val="auto"/>
          <w:sz w:val="24"/>
          <w:highlight w:val="none"/>
        </w:rPr>
        <w:t>工程名称：                                              编号：</w:t>
      </w:r>
    </w:p>
    <w:tbl>
      <w:tblPr>
        <w:tblStyle w:val="54"/>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39"/>
        <w:gridCol w:w="4533"/>
      </w:tblGrid>
      <w:tr w14:paraId="4B775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0" w:hRule="atLeast"/>
          <w:jc w:val="center"/>
        </w:trPr>
        <w:tc>
          <w:tcPr>
            <w:tcW w:w="9240" w:type="dxa"/>
            <w:gridSpan w:val="2"/>
            <w:noWrap w:val="0"/>
            <w:vAlign w:val="top"/>
          </w:tcPr>
          <w:p w14:paraId="5789AC70">
            <w:pPr>
              <w:spacing w:line="480" w:lineRule="exact"/>
              <w:ind w:left="525" w:leftChars="149" w:hanging="212" w:hangingChars="101"/>
              <w:rPr>
                <w:rFonts w:ascii="宋体" w:hAnsi="宋体" w:eastAsia="宋体" w:cs="宋体"/>
                <w:color w:val="auto"/>
                <w:highlight w:val="none"/>
                <w:u w:val="single"/>
              </w:rPr>
            </w:pPr>
            <w:r>
              <w:rPr>
                <w:rFonts w:hint="eastAsia" w:ascii="宋体" w:hAnsi="宋体" w:eastAsia="宋体" w:cs="宋体"/>
                <w:color w:val="auto"/>
                <w:highlight w:val="none"/>
              </w:rPr>
              <w:t>致：</w:t>
            </w:r>
            <w:r>
              <w:rPr>
                <w:rFonts w:hint="eastAsia" w:ascii="宋体" w:hAnsi="宋体" w:eastAsia="宋体" w:cs="宋体"/>
                <w:color w:val="auto"/>
                <w:highlight w:val="none"/>
                <w:u w:val="single"/>
              </w:rPr>
              <w:t xml:space="preserve">                                   （发包人全称）</w:t>
            </w:r>
          </w:p>
          <w:p w14:paraId="1A0B7330">
            <w:pPr>
              <w:spacing w:line="400" w:lineRule="exact"/>
              <w:ind w:left="-4" w:leftChars="-2" w:firstLine="315" w:firstLineChars="150"/>
              <w:rPr>
                <w:rFonts w:ascii="宋体" w:hAnsi="宋体" w:eastAsia="宋体" w:cs="宋体"/>
                <w:color w:val="auto"/>
                <w:highlight w:val="none"/>
              </w:rPr>
            </w:pPr>
            <w:r>
              <w:rPr>
                <w:rFonts w:hint="eastAsia" w:ascii="宋体" w:hAnsi="宋体" w:eastAsia="宋体" w:cs="宋体"/>
                <w:color w:val="auto"/>
                <w:highlight w:val="none"/>
              </w:rPr>
              <w:t>我方于</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至</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期间已完成了合同约定的工作，根据施工合同的约定，现申请支付竣工结算的工程款额为(大写)</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元，(小写)</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元，请予核准。</w:t>
            </w:r>
          </w:p>
          <w:tbl>
            <w:tblPr>
              <w:tblStyle w:val="54"/>
              <w:tblpPr w:leftFromText="180" w:rightFromText="180" w:vertAnchor="page" w:horzAnchor="margin" w:tblpY="130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5"/>
              <w:gridCol w:w="3420"/>
              <w:gridCol w:w="1620"/>
              <w:gridCol w:w="1620"/>
              <w:gridCol w:w="1651"/>
            </w:tblGrid>
            <w:tr w14:paraId="6783C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535" w:type="dxa"/>
                  <w:noWrap w:val="0"/>
                  <w:vAlign w:val="center"/>
                </w:tcPr>
                <w:p w14:paraId="6034F093">
                  <w:pPr>
                    <w:spacing w:line="280" w:lineRule="exact"/>
                    <w:jc w:val="center"/>
                    <w:rPr>
                      <w:rFonts w:ascii="宋体" w:hAnsi="宋体" w:eastAsia="宋体" w:cs="宋体"/>
                      <w:color w:val="auto"/>
                      <w:highlight w:val="none"/>
                    </w:rPr>
                  </w:pPr>
                  <w:r>
                    <w:rPr>
                      <w:rFonts w:hint="eastAsia" w:ascii="宋体" w:hAnsi="宋体" w:eastAsia="宋体" w:cs="宋体"/>
                      <w:color w:val="auto"/>
                      <w:highlight w:val="none"/>
                    </w:rPr>
                    <w:t>序号</w:t>
                  </w:r>
                </w:p>
              </w:tc>
              <w:tc>
                <w:tcPr>
                  <w:tcW w:w="3420" w:type="dxa"/>
                  <w:noWrap w:val="0"/>
                  <w:vAlign w:val="center"/>
                </w:tcPr>
                <w:p w14:paraId="5126013B">
                  <w:pPr>
                    <w:spacing w:line="280" w:lineRule="exact"/>
                    <w:jc w:val="center"/>
                    <w:rPr>
                      <w:rFonts w:ascii="宋体" w:hAnsi="宋体" w:eastAsia="宋体" w:cs="宋体"/>
                      <w:color w:val="auto"/>
                      <w:highlight w:val="none"/>
                    </w:rPr>
                  </w:pPr>
                  <w:r>
                    <w:rPr>
                      <w:rFonts w:hint="eastAsia" w:ascii="宋体" w:hAnsi="宋体" w:eastAsia="宋体" w:cs="宋体"/>
                      <w:color w:val="auto"/>
                      <w:highlight w:val="none"/>
                    </w:rPr>
                    <w:t>名      称</w:t>
                  </w:r>
                </w:p>
              </w:tc>
              <w:tc>
                <w:tcPr>
                  <w:tcW w:w="1620" w:type="dxa"/>
                  <w:noWrap w:val="0"/>
                  <w:vAlign w:val="center"/>
                </w:tcPr>
                <w:p w14:paraId="31DE5026">
                  <w:pPr>
                    <w:spacing w:line="280" w:lineRule="exact"/>
                    <w:jc w:val="center"/>
                    <w:rPr>
                      <w:rFonts w:ascii="宋体" w:hAnsi="宋体" w:eastAsia="宋体" w:cs="宋体"/>
                      <w:color w:val="auto"/>
                      <w:highlight w:val="none"/>
                    </w:rPr>
                  </w:pPr>
                  <w:r>
                    <w:rPr>
                      <w:rFonts w:hint="eastAsia" w:ascii="宋体" w:hAnsi="宋体" w:eastAsia="宋体" w:cs="宋体"/>
                      <w:color w:val="auto"/>
                      <w:highlight w:val="none"/>
                    </w:rPr>
                    <w:t>申请金额（元）</w:t>
                  </w:r>
                </w:p>
              </w:tc>
              <w:tc>
                <w:tcPr>
                  <w:tcW w:w="1620" w:type="dxa"/>
                  <w:noWrap w:val="0"/>
                  <w:vAlign w:val="center"/>
                </w:tcPr>
                <w:p w14:paraId="0E129569">
                  <w:pPr>
                    <w:spacing w:line="280" w:lineRule="exact"/>
                    <w:jc w:val="center"/>
                    <w:rPr>
                      <w:rFonts w:ascii="宋体" w:hAnsi="宋体" w:eastAsia="宋体" w:cs="宋体"/>
                      <w:color w:val="auto"/>
                      <w:highlight w:val="none"/>
                    </w:rPr>
                  </w:pPr>
                  <w:r>
                    <w:rPr>
                      <w:rFonts w:hint="eastAsia" w:ascii="宋体" w:hAnsi="宋体" w:eastAsia="宋体" w:cs="宋体"/>
                      <w:color w:val="auto"/>
                      <w:highlight w:val="none"/>
                    </w:rPr>
                    <w:t>复核金额（元）</w:t>
                  </w:r>
                </w:p>
              </w:tc>
              <w:tc>
                <w:tcPr>
                  <w:tcW w:w="1651" w:type="dxa"/>
                  <w:noWrap w:val="0"/>
                  <w:vAlign w:val="center"/>
                </w:tcPr>
                <w:p w14:paraId="3C0547F2">
                  <w:pPr>
                    <w:spacing w:line="280" w:lineRule="exact"/>
                    <w:jc w:val="center"/>
                    <w:rPr>
                      <w:rFonts w:ascii="宋体" w:hAnsi="宋体" w:eastAsia="宋体" w:cs="宋体"/>
                      <w:color w:val="auto"/>
                      <w:highlight w:val="none"/>
                    </w:rPr>
                  </w:pPr>
                  <w:r>
                    <w:rPr>
                      <w:rFonts w:hint="eastAsia" w:ascii="宋体" w:hAnsi="宋体" w:eastAsia="宋体" w:cs="宋体"/>
                      <w:color w:val="auto"/>
                      <w:highlight w:val="none"/>
                    </w:rPr>
                    <w:t>备注</w:t>
                  </w:r>
                </w:p>
              </w:tc>
            </w:tr>
            <w:tr w14:paraId="4CAB5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5E297429">
                  <w:pPr>
                    <w:spacing w:line="280" w:lineRule="exact"/>
                    <w:jc w:val="center"/>
                    <w:rPr>
                      <w:rFonts w:ascii="宋体" w:hAnsi="宋体" w:eastAsia="宋体" w:cs="宋体"/>
                      <w:color w:val="auto"/>
                      <w:highlight w:val="none"/>
                    </w:rPr>
                  </w:pPr>
                  <w:r>
                    <w:rPr>
                      <w:rFonts w:hint="eastAsia" w:ascii="宋体" w:hAnsi="宋体" w:eastAsia="宋体" w:cs="宋体"/>
                      <w:color w:val="auto"/>
                      <w:highlight w:val="none"/>
                    </w:rPr>
                    <w:t>1</w:t>
                  </w:r>
                </w:p>
              </w:tc>
              <w:tc>
                <w:tcPr>
                  <w:tcW w:w="3420" w:type="dxa"/>
                  <w:noWrap w:val="0"/>
                  <w:vAlign w:val="top"/>
                </w:tcPr>
                <w:p w14:paraId="7E720163">
                  <w:pPr>
                    <w:spacing w:line="280" w:lineRule="exact"/>
                    <w:rPr>
                      <w:rFonts w:ascii="宋体" w:hAnsi="宋体" w:eastAsia="宋体" w:cs="宋体"/>
                      <w:color w:val="auto"/>
                      <w:highlight w:val="none"/>
                    </w:rPr>
                  </w:pPr>
                  <w:r>
                    <w:rPr>
                      <w:rFonts w:hint="eastAsia" w:ascii="宋体" w:hAnsi="宋体" w:eastAsia="宋体" w:cs="宋体"/>
                      <w:color w:val="auto"/>
                      <w:highlight w:val="none"/>
                    </w:rPr>
                    <w:t>竣工结算合同价款总额</w:t>
                  </w:r>
                </w:p>
              </w:tc>
              <w:tc>
                <w:tcPr>
                  <w:tcW w:w="1620" w:type="dxa"/>
                  <w:noWrap w:val="0"/>
                  <w:vAlign w:val="top"/>
                </w:tcPr>
                <w:p w14:paraId="1EBAC657">
                  <w:pPr>
                    <w:spacing w:line="280" w:lineRule="exact"/>
                    <w:rPr>
                      <w:rFonts w:ascii="宋体" w:hAnsi="宋体" w:eastAsia="宋体" w:cs="宋体"/>
                      <w:color w:val="auto"/>
                      <w:highlight w:val="none"/>
                    </w:rPr>
                  </w:pPr>
                </w:p>
              </w:tc>
              <w:tc>
                <w:tcPr>
                  <w:tcW w:w="1620" w:type="dxa"/>
                  <w:noWrap w:val="0"/>
                  <w:vAlign w:val="top"/>
                </w:tcPr>
                <w:p w14:paraId="3305F40D">
                  <w:pPr>
                    <w:spacing w:line="280" w:lineRule="exact"/>
                    <w:rPr>
                      <w:rFonts w:ascii="宋体" w:hAnsi="宋体" w:eastAsia="宋体" w:cs="宋体"/>
                      <w:color w:val="auto"/>
                      <w:highlight w:val="none"/>
                    </w:rPr>
                  </w:pPr>
                </w:p>
              </w:tc>
              <w:tc>
                <w:tcPr>
                  <w:tcW w:w="1651" w:type="dxa"/>
                  <w:noWrap w:val="0"/>
                  <w:vAlign w:val="top"/>
                </w:tcPr>
                <w:p w14:paraId="7069CCDF">
                  <w:pPr>
                    <w:spacing w:line="280" w:lineRule="exact"/>
                    <w:rPr>
                      <w:rFonts w:ascii="宋体" w:hAnsi="宋体" w:eastAsia="宋体" w:cs="宋体"/>
                      <w:color w:val="auto"/>
                      <w:highlight w:val="none"/>
                    </w:rPr>
                  </w:pPr>
                </w:p>
              </w:tc>
            </w:tr>
            <w:tr w14:paraId="72271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29D66E7A">
                  <w:pPr>
                    <w:spacing w:line="280" w:lineRule="exact"/>
                    <w:jc w:val="center"/>
                    <w:rPr>
                      <w:rFonts w:ascii="宋体" w:hAnsi="宋体" w:eastAsia="宋体" w:cs="宋体"/>
                      <w:color w:val="auto"/>
                      <w:highlight w:val="none"/>
                    </w:rPr>
                  </w:pPr>
                  <w:r>
                    <w:rPr>
                      <w:rFonts w:hint="eastAsia" w:ascii="宋体" w:hAnsi="宋体" w:eastAsia="宋体" w:cs="宋体"/>
                      <w:color w:val="auto"/>
                      <w:highlight w:val="none"/>
                    </w:rPr>
                    <w:t>2</w:t>
                  </w:r>
                </w:p>
              </w:tc>
              <w:tc>
                <w:tcPr>
                  <w:tcW w:w="3420" w:type="dxa"/>
                  <w:noWrap w:val="0"/>
                  <w:vAlign w:val="top"/>
                </w:tcPr>
                <w:p w14:paraId="37856A03">
                  <w:pPr>
                    <w:spacing w:line="280" w:lineRule="exact"/>
                    <w:rPr>
                      <w:rFonts w:ascii="宋体" w:hAnsi="宋体" w:eastAsia="宋体" w:cs="宋体"/>
                      <w:color w:val="auto"/>
                      <w:highlight w:val="none"/>
                    </w:rPr>
                  </w:pPr>
                  <w:r>
                    <w:rPr>
                      <w:rFonts w:hint="eastAsia" w:ascii="宋体" w:hAnsi="宋体" w:eastAsia="宋体" w:cs="宋体"/>
                      <w:color w:val="auto"/>
                      <w:highlight w:val="none"/>
                    </w:rPr>
                    <w:t>累计已实际支付的合同价款</w:t>
                  </w:r>
                </w:p>
              </w:tc>
              <w:tc>
                <w:tcPr>
                  <w:tcW w:w="1620" w:type="dxa"/>
                  <w:noWrap w:val="0"/>
                  <w:vAlign w:val="top"/>
                </w:tcPr>
                <w:p w14:paraId="6ED49628">
                  <w:pPr>
                    <w:spacing w:line="280" w:lineRule="exact"/>
                    <w:rPr>
                      <w:rFonts w:ascii="宋体" w:hAnsi="宋体" w:eastAsia="宋体" w:cs="宋体"/>
                      <w:color w:val="auto"/>
                      <w:highlight w:val="none"/>
                    </w:rPr>
                  </w:pPr>
                </w:p>
              </w:tc>
              <w:tc>
                <w:tcPr>
                  <w:tcW w:w="1620" w:type="dxa"/>
                  <w:noWrap w:val="0"/>
                  <w:vAlign w:val="top"/>
                </w:tcPr>
                <w:p w14:paraId="60075269">
                  <w:pPr>
                    <w:spacing w:line="280" w:lineRule="exact"/>
                    <w:rPr>
                      <w:rFonts w:ascii="宋体" w:hAnsi="宋体" w:eastAsia="宋体" w:cs="宋体"/>
                      <w:color w:val="auto"/>
                      <w:highlight w:val="none"/>
                    </w:rPr>
                  </w:pPr>
                </w:p>
              </w:tc>
              <w:tc>
                <w:tcPr>
                  <w:tcW w:w="1651" w:type="dxa"/>
                  <w:noWrap w:val="0"/>
                  <w:vAlign w:val="top"/>
                </w:tcPr>
                <w:p w14:paraId="0CC1E87C">
                  <w:pPr>
                    <w:spacing w:line="280" w:lineRule="exact"/>
                    <w:rPr>
                      <w:rFonts w:ascii="宋体" w:hAnsi="宋体" w:eastAsia="宋体" w:cs="宋体"/>
                      <w:color w:val="auto"/>
                      <w:highlight w:val="none"/>
                    </w:rPr>
                  </w:pPr>
                </w:p>
              </w:tc>
            </w:tr>
            <w:tr w14:paraId="75432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0A19CD0E">
                  <w:pPr>
                    <w:spacing w:line="280" w:lineRule="exact"/>
                    <w:jc w:val="center"/>
                    <w:rPr>
                      <w:rFonts w:ascii="宋体" w:hAnsi="宋体" w:eastAsia="宋体" w:cs="宋体"/>
                      <w:color w:val="auto"/>
                      <w:highlight w:val="none"/>
                    </w:rPr>
                  </w:pPr>
                  <w:r>
                    <w:rPr>
                      <w:rFonts w:hint="eastAsia" w:ascii="宋体" w:hAnsi="宋体" w:eastAsia="宋体" w:cs="宋体"/>
                      <w:color w:val="auto"/>
                      <w:highlight w:val="none"/>
                    </w:rPr>
                    <w:t>3</w:t>
                  </w:r>
                </w:p>
              </w:tc>
              <w:tc>
                <w:tcPr>
                  <w:tcW w:w="3420" w:type="dxa"/>
                  <w:noWrap w:val="0"/>
                  <w:vAlign w:val="top"/>
                </w:tcPr>
                <w:p w14:paraId="05EB16EB">
                  <w:pPr>
                    <w:spacing w:line="280" w:lineRule="exact"/>
                    <w:rPr>
                      <w:rFonts w:ascii="宋体" w:hAnsi="宋体" w:eastAsia="宋体" w:cs="宋体"/>
                      <w:color w:val="auto"/>
                      <w:highlight w:val="none"/>
                    </w:rPr>
                  </w:pPr>
                  <w:r>
                    <w:rPr>
                      <w:rFonts w:hint="eastAsia" w:ascii="宋体" w:hAnsi="宋体" w:eastAsia="宋体" w:cs="宋体"/>
                      <w:color w:val="auto"/>
                      <w:highlight w:val="none"/>
                    </w:rPr>
                    <w:t>应预留的质量保证金</w:t>
                  </w:r>
                </w:p>
              </w:tc>
              <w:tc>
                <w:tcPr>
                  <w:tcW w:w="1620" w:type="dxa"/>
                  <w:noWrap w:val="0"/>
                  <w:vAlign w:val="top"/>
                </w:tcPr>
                <w:p w14:paraId="236C3041">
                  <w:pPr>
                    <w:spacing w:line="280" w:lineRule="exact"/>
                    <w:rPr>
                      <w:rFonts w:ascii="宋体" w:hAnsi="宋体" w:eastAsia="宋体" w:cs="宋体"/>
                      <w:color w:val="auto"/>
                      <w:highlight w:val="none"/>
                    </w:rPr>
                  </w:pPr>
                </w:p>
              </w:tc>
              <w:tc>
                <w:tcPr>
                  <w:tcW w:w="1620" w:type="dxa"/>
                  <w:noWrap w:val="0"/>
                  <w:vAlign w:val="top"/>
                </w:tcPr>
                <w:p w14:paraId="73210710">
                  <w:pPr>
                    <w:spacing w:line="280" w:lineRule="exact"/>
                    <w:rPr>
                      <w:rFonts w:ascii="宋体" w:hAnsi="宋体" w:eastAsia="宋体" w:cs="宋体"/>
                      <w:color w:val="auto"/>
                      <w:highlight w:val="none"/>
                    </w:rPr>
                  </w:pPr>
                </w:p>
              </w:tc>
              <w:tc>
                <w:tcPr>
                  <w:tcW w:w="1651" w:type="dxa"/>
                  <w:noWrap w:val="0"/>
                  <w:vAlign w:val="top"/>
                </w:tcPr>
                <w:p w14:paraId="1783FF83">
                  <w:pPr>
                    <w:spacing w:line="280" w:lineRule="exact"/>
                    <w:rPr>
                      <w:rFonts w:ascii="宋体" w:hAnsi="宋体" w:eastAsia="宋体" w:cs="宋体"/>
                      <w:color w:val="auto"/>
                      <w:highlight w:val="none"/>
                    </w:rPr>
                  </w:pPr>
                </w:p>
              </w:tc>
            </w:tr>
            <w:tr w14:paraId="68CBA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10AC945F">
                  <w:pPr>
                    <w:spacing w:line="280" w:lineRule="exact"/>
                    <w:jc w:val="center"/>
                    <w:rPr>
                      <w:rFonts w:ascii="宋体" w:hAnsi="宋体" w:eastAsia="宋体" w:cs="宋体"/>
                      <w:color w:val="auto"/>
                      <w:highlight w:val="none"/>
                    </w:rPr>
                  </w:pPr>
                  <w:r>
                    <w:rPr>
                      <w:rFonts w:hint="eastAsia" w:ascii="宋体" w:hAnsi="宋体" w:eastAsia="宋体" w:cs="宋体"/>
                      <w:color w:val="auto"/>
                      <w:highlight w:val="none"/>
                    </w:rPr>
                    <w:t>4</w:t>
                  </w:r>
                </w:p>
              </w:tc>
              <w:tc>
                <w:tcPr>
                  <w:tcW w:w="3420" w:type="dxa"/>
                  <w:noWrap w:val="0"/>
                  <w:vAlign w:val="top"/>
                </w:tcPr>
                <w:p w14:paraId="35D419CD">
                  <w:pPr>
                    <w:spacing w:line="280" w:lineRule="exact"/>
                    <w:rPr>
                      <w:rFonts w:ascii="宋体" w:hAnsi="宋体" w:eastAsia="宋体" w:cs="宋体"/>
                      <w:color w:val="auto"/>
                      <w:highlight w:val="none"/>
                    </w:rPr>
                  </w:pPr>
                  <w:r>
                    <w:rPr>
                      <w:rFonts w:hint="eastAsia" w:ascii="宋体" w:hAnsi="宋体" w:eastAsia="宋体" w:cs="宋体"/>
                      <w:color w:val="auto"/>
                      <w:highlight w:val="none"/>
                    </w:rPr>
                    <w:t>应支付的竣工结算款金额</w:t>
                  </w:r>
                </w:p>
              </w:tc>
              <w:tc>
                <w:tcPr>
                  <w:tcW w:w="1620" w:type="dxa"/>
                  <w:noWrap w:val="0"/>
                  <w:vAlign w:val="top"/>
                </w:tcPr>
                <w:p w14:paraId="1F0ACCBF">
                  <w:pPr>
                    <w:spacing w:line="280" w:lineRule="exact"/>
                    <w:rPr>
                      <w:rFonts w:ascii="宋体" w:hAnsi="宋体" w:eastAsia="宋体" w:cs="宋体"/>
                      <w:color w:val="auto"/>
                      <w:highlight w:val="none"/>
                    </w:rPr>
                  </w:pPr>
                </w:p>
              </w:tc>
              <w:tc>
                <w:tcPr>
                  <w:tcW w:w="1620" w:type="dxa"/>
                  <w:noWrap w:val="0"/>
                  <w:vAlign w:val="top"/>
                </w:tcPr>
                <w:p w14:paraId="04DE2301">
                  <w:pPr>
                    <w:spacing w:line="280" w:lineRule="exact"/>
                    <w:rPr>
                      <w:rFonts w:ascii="宋体" w:hAnsi="宋体" w:eastAsia="宋体" w:cs="宋体"/>
                      <w:color w:val="auto"/>
                      <w:highlight w:val="none"/>
                    </w:rPr>
                  </w:pPr>
                </w:p>
              </w:tc>
              <w:tc>
                <w:tcPr>
                  <w:tcW w:w="1651" w:type="dxa"/>
                  <w:noWrap w:val="0"/>
                  <w:vAlign w:val="top"/>
                </w:tcPr>
                <w:p w14:paraId="56A32077">
                  <w:pPr>
                    <w:spacing w:line="280" w:lineRule="exact"/>
                    <w:rPr>
                      <w:rFonts w:ascii="宋体" w:hAnsi="宋体" w:eastAsia="宋体" w:cs="宋体"/>
                      <w:color w:val="auto"/>
                      <w:highlight w:val="none"/>
                    </w:rPr>
                  </w:pPr>
                </w:p>
              </w:tc>
            </w:tr>
            <w:tr w14:paraId="1E5A4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252DC078">
                  <w:pPr>
                    <w:spacing w:line="280" w:lineRule="exact"/>
                    <w:jc w:val="center"/>
                    <w:rPr>
                      <w:rFonts w:ascii="宋体" w:hAnsi="宋体" w:eastAsia="宋体" w:cs="宋体"/>
                      <w:color w:val="auto"/>
                      <w:highlight w:val="none"/>
                    </w:rPr>
                  </w:pPr>
                </w:p>
              </w:tc>
              <w:tc>
                <w:tcPr>
                  <w:tcW w:w="3420" w:type="dxa"/>
                  <w:noWrap w:val="0"/>
                  <w:vAlign w:val="top"/>
                </w:tcPr>
                <w:p w14:paraId="17DCA1F9">
                  <w:pPr>
                    <w:spacing w:line="280" w:lineRule="exact"/>
                    <w:rPr>
                      <w:rFonts w:ascii="宋体" w:hAnsi="宋体" w:eastAsia="宋体" w:cs="宋体"/>
                      <w:color w:val="auto"/>
                      <w:highlight w:val="none"/>
                    </w:rPr>
                  </w:pPr>
                </w:p>
              </w:tc>
              <w:tc>
                <w:tcPr>
                  <w:tcW w:w="1620" w:type="dxa"/>
                  <w:noWrap w:val="0"/>
                  <w:vAlign w:val="top"/>
                </w:tcPr>
                <w:p w14:paraId="64EE1F31">
                  <w:pPr>
                    <w:spacing w:line="280" w:lineRule="exact"/>
                    <w:rPr>
                      <w:rFonts w:ascii="宋体" w:hAnsi="宋体" w:eastAsia="宋体" w:cs="宋体"/>
                      <w:color w:val="auto"/>
                      <w:highlight w:val="none"/>
                    </w:rPr>
                  </w:pPr>
                </w:p>
              </w:tc>
              <w:tc>
                <w:tcPr>
                  <w:tcW w:w="1620" w:type="dxa"/>
                  <w:noWrap w:val="0"/>
                  <w:vAlign w:val="top"/>
                </w:tcPr>
                <w:p w14:paraId="13909AAF">
                  <w:pPr>
                    <w:spacing w:line="280" w:lineRule="exact"/>
                    <w:rPr>
                      <w:rFonts w:ascii="宋体" w:hAnsi="宋体" w:eastAsia="宋体" w:cs="宋体"/>
                      <w:color w:val="auto"/>
                      <w:highlight w:val="none"/>
                    </w:rPr>
                  </w:pPr>
                </w:p>
              </w:tc>
              <w:tc>
                <w:tcPr>
                  <w:tcW w:w="1651" w:type="dxa"/>
                  <w:noWrap w:val="0"/>
                  <w:vAlign w:val="top"/>
                </w:tcPr>
                <w:p w14:paraId="4B904934">
                  <w:pPr>
                    <w:spacing w:line="280" w:lineRule="exact"/>
                    <w:rPr>
                      <w:rFonts w:ascii="宋体" w:hAnsi="宋体" w:eastAsia="宋体" w:cs="宋体"/>
                      <w:color w:val="auto"/>
                      <w:highlight w:val="none"/>
                    </w:rPr>
                  </w:pPr>
                </w:p>
              </w:tc>
            </w:tr>
            <w:tr w14:paraId="7D30B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1F777211">
                  <w:pPr>
                    <w:spacing w:line="280" w:lineRule="exact"/>
                    <w:jc w:val="center"/>
                    <w:rPr>
                      <w:rFonts w:ascii="宋体" w:hAnsi="宋体" w:eastAsia="宋体" w:cs="宋体"/>
                      <w:color w:val="auto"/>
                      <w:highlight w:val="none"/>
                    </w:rPr>
                  </w:pPr>
                </w:p>
              </w:tc>
              <w:tc>
                <w:tcPr>
                  <w:tcW w:w="3420" w:type="dxa"/>
                  <w:noWrap w:val="0"/>
                  <w:vAlign w:val="top"/>
                </w:tcPr>
                <w:p w14:paraId="289D2A82">
                  <w:pPr>
                    <w:spacing w:line="280" w:lineRule="exact"/>
                    <w:rPr>
                      <w:rFonts w:ascii="宋体" w:hAnsi="宋体" w:eastAsia="宋体" w:cs="宋体"/>
                      <w:color w:val="auto"/>
                      <w:highlight w:val="none"/>
                    </w:rPr>
                  </w:pPr>
                </w:p>
              </w:tc>
              <w:tc>
                <w:tcPr>
                  <w:tcW w:w="1620" w:type="dxa"/>
                  <w:noWrap w:val="0"/>
                  <w:vAlign w:val="top"/>
                </w:tcPr>
                <w:p w14:paraId="4C4B0E34">
                  <w:pPr>
                    <w:spacing w:line="280" w:lineRule="exact"/>
                    <w:rPr>
                      <w:rFonts w:ascii="宋体" w:hAnsi="宋体" w:eastAsia="宋体" w:cs="宋体"/>
                      <w:color w:val="auto"/>
                      <w:highlight w:val="none"/>
                    </w:rPr>
                  </w:pPr>
                </w:p>
              </w:tc>
              <w:tc>
                <w:tcPr>
                  <w:tcW w:w="1620" w:type="dxa"/>
                  <w:noWrap w:val="0"/>
                  <w:vAlign w:val="top"/>
                </w:tcPr>
                <w:p w14:paraId="56B91BF4">
                  <w:pPr>
                    <w:spacing w:line="280" w:lineRule="exact"/>
                    <w:rPr>
                      <w:rFonts w:ascii="宋体" w:hAnsi="宋体" w:eastAsia="宋体" w:cs="宋体"/>
                      <w:color w:val="auto"/>
                      <w:highlight w:val="none"/>
                    </w:rPr>
                  </w:pPr>
                </w:p>
              </w:tc>
              <w:tc>
                <w:tcPr>
                  <w:tcW w:w="1651" w:type="dxa"/>
                  <w:noWrap w:val="0"/>
                  <w:vAlign w:val="top"/>
                </w:tcPr>
                <w:p w14:paraId="7B9CCBE0">
                  <w:pPr>
                    <w:spacing w:line="280" w:lineRule="exact"/>
                    <w:rPr>
                      <w:rFonts w:ascii="宋体" w:hAnsi="宋体" w:eastAsia="宋体" w:cs="宋体"/>
                      <w:color w:val="auto"/>
                      <w:highlight w:val="none"/>
                    </w:rPr>
                  </w:pPr>
                </w:p>
              </w:tc>
            </w:tr>
            <w:tr w14:paraId="4A9F5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6DBBD421">
                  <w:pPr>
                    <w:spacing w:line="280" w:lineRule="exact"/>
                    <w:jc w:val="center"/>
                    <w:rPr>
                      <w:rFonts w:ascii="宋体" w:hAnsi="宋体" w:eastAsia="宋体" w:cs="宋体"/>
                      <w:color w:val="auto"/>
                      <w:highlight w:val="none"/>
                    </w:rPr>
                  </w:pPr>
                </w:p>
              </w:tc>
              <w:tc>
                <w:tcPr>
                  <w:tcW w:w="3420" w:type="dxa"/>
                  <w:noWrap w:val="0"/>
                  <w:vAlign w:val="top"/>
                </w:tcPr>
                <w:p w14:paraId="03751371">
                  <w:pPr>
                    <w:spacing w:line="280" w:lineRule="exact"/>
                    <w:rPr>
                      <w:rFonts w:ascii="宋体" w:hAnsi="宋体" w:eastAsia="宋体" w:cs="宋体"/>
                      <w:color w:val="auto"/>
                      <w:highlight w:val="none"/>
                    </w:rPr>
                  </w:pPr>
                </w:p>
              </w:tc>
              <w:tc>
                <w:tcPr>
                  <w:tcW w:w="1620" w:type="dxa"/>
                  <w:noWrap w:val="0"/>
                  <w:vAlign w:val="top"/>
                </w:tcPr>
                <w:p w14:paraId="413FE723">
                  <w:pPr>
                    <w:spacing w:line="280" w:lineRule="exact"/>
                    <w:rPr>
                      <w:rFonts w:ascii="宋体" w:hAnsi="宋体" w:eastAsia="宋体" w:cs="宋体"/>
                      <w:color w:val="auto"/>
                      <w:highlight w:val="none"/>
                    </w:rPr>
                  </w:pPr>
                </w:p>
              </w:tc>
              <w:tc>
                <w:tcPr>
                  <w:tcW w:w="1620" w:type="dxa"/>
                  <w:noWrap w:val="0"/>
                  <w:vAlign w:val="top"/>
                </w:tcPr>
                <w:p w14:paraId="63A7EA51">
                  <w:pPr>
                    <w:spacing w:line="280" w:lineRule="exact"/>
                    <w:rPr>
                      <w:rFonts w:ascii="宋体" w:hAnsi="宋体" w:eastAsia="宋体" w:cs="宋体"/>
                      <w:color w:val="auto"/>
                      <w:highlight w:val="none"/>
                    </w:rPr>
                  </w:pPr>
                </w:p>
              </w:tc>
              <w:tc>
                <w:tcPr>
                  <w:tcW w:w="1651" w:type="dxa"/>
                  <w:noWrap w:val="0"/>
                  <w:vAlign w:val="top"/>
                </w:tcPr>
                <w:p w14:paraId="460B97EB">
                  <w:pPr>
                    <w:spacing w:line="280" w:lineRule="exact"/>
                    <w:rPr>
                      <w:rFonts w:ascii="宋体" w:hAnsi="宋体" w:eastAsia="宋体" w:cs="宋体"/>
                      <w:color w:val="auto"/>
                      <w:highlight w:val="none"/>
                    </w:rPr>
                  </w:pPr>
                </w:p>
              </w:tc>
            </w:tr>
            <w:tr w14:paraId="60383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7F7F7BE6">
                  <w:pPr>
                    <w:spacing w:line="280" w:lineRule="exact"/>
                    <w:jc w:val="center"/>
                    <w:rPr>
                      <w:rFonts w:ascii="宋体" w:hAnsi="宋体" w:eastAsia="宋体" w:cs="宋体"/>
                      <w:color w:val="auto"/>
                      <w:highlight w:val="none"/>
                    </w:rPr>
                  </w:pPr>
                </w:p>
              </w:tc>
              <w:tc>
                <w:tcPr>
                  <w:tcW w:w="3420" w:type="dxa"/>
                  <w:noWrap w:val="0"/>
                  <w:vAlign w:val="top"/>
                </w:tcPr>
                <w:p w14:paraId="2B641510">
                  <w:pPr>
                    <w:spacing w:line="280" w:lineRule="exact"/>
                    <w:rPr>
                      <w:rFonts w:ascii="宋体" w:hAnsi="宋体" w:eastAsia="宋体" w:cs="宋体"/>
                      <w:color w:val="auto"/>
                      <w:highlight w:val="none"/>
                    </w:rPr>
                  </w:pPr>
                </w:p>
              </w:tc>
              <w:tc>
                <w:tcPr>
                  <w:tcW w:w="1620" w:type="dxa"/>
                  <w:noWrap w:val="0"/>
                  <w:vAlign w:val="top"/>
                </w:tcPr>
                <w:p w14:paraId="1152124B">
                  <w:pPr>
                    <w:spacing w:line="280" w:lineRule="exact"/>
                    <w:rPr>
                      <w:rFonts w:ascii="宋体" w:hAnsi="宋体" w:eastAsia="宋体" w:cs="宋体"/>
                      <w:color w:val="auto"/>
                      <w:highlight w:val="none"/>
                    </w:rPr>
                  </w:pPr>
                </w:p>
              </w:tc>
              <w:tc>
                <w:tcPr>
                  <w:tcW w:w="1620" w:type="dxa"/>
                  <w:noWrap w:val="0"/>
                  <w:vAlign w:val="top"/>
                </w:tcPr>
                <w:p w14:paraId="76D81EED">
                  <w:pPr>
                    <w:spacing w:line="280" w:lineRule="exact"/>
                    <w:rPr>
                      <w:rFonts w:ascii="宋体" w:hAnsi="宋体" w:eastAsia="宋体" w:cs="宋体"/>
                      <w:color w:val="auto"/>
                      <w:highlight w:val="none"/>
                    </w:rPr>
                  </w:pPr>
                </w:p>
              </w:tc>
              <w:tc>
                <w:tcPr>
                  <w:tcW w:w="1651" w:type="dxa"/>
                  <w:noWrap w:val="0"/>
                  <w:vAlign w:val="top"/>
                </w:tcPr>
                <w:p w14:paraId="60701044">
                  <w:pPr>
                    <w:spacing w:line="280" w:lineRule="exact"/>
                    <w:rPr>
                      <w:rFonts w:ascii="宋体" w:hAnsi="宋体" w:eastAsia="宋体" w:cs="宋体"/>
                      <w:color w:val="auto"/>
                      <w:highlight w:val="none"/>
                    </w:rPr>
                  </w:pPr>
                </w:p>
              </w:tc>
            </w:tr>
            <w:tr w14:paraId="11362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71598B05">
                  <w:pPr>
                    <w:spacing w:line="280" w:lineRule="exact"/>
                    <w:jc w:val="center"/>
                    <w:rPr>
                      <w:rFonts w:ascii="宋体" w:hAnsi="宋体" w:eastAsia="宋体" w:cs="宋体"/>
                      <w:color w:val="auto"/>
                      <w:highlight w:val="none"/>
                    </w:rPr>
                  </w:pPr>
                </w:p>
              </w:tc>
              <w:tc>
                <w:tcPr>
                  <w:tcW w:w="3420" w:type="dxa"/>
                  <w:noWrap w:val="0"/>
                  <w:vAlign w:val="top"/>
                </w:tcPr>
                <w:p w14:paraId="384F6890">
                  <w:pPr>
                    <w:spacing w:line="280" w:lineRule="exact"/>
                    <w:rPr>
                      <w:rFonts w:ascii="宋体" w:hAnsi="宋体" w:eastAsia="宋体" w:cs="宋体"/>
                      <w:color w:val="auto"/>
                      <w:highlight w:val="none"/>
                    </w:rPr>
                  </w:pPr>
                </w:p>
              </w:tc>
              <w:tc>
                <w:tcPr>
                  <w:tcW w:w="1620" w:type="dxa"/>
                  <w:noWrap w:val="0"/>
                  <w:vAlign w:val="top"/>
                </w:tcPr>
                <w:p w14:paraId="5B4E504F">
                  <w:pPr>
                    <w:spacing w:line="280" w:lineRule="exact"/>
                    <w:rPr>
                      <w:rFonts w:ascii="宋体" w:hAnsi="宋体" w:eastAsia="宋体" w:cs="宋体"/>
                      <w:color w:val="auto"/>
                      <w:highlight w:val="none"/>
                    </w:rPr>
                  </w:pPr>
                </w:p>
              </w:tc>
              <w:tc>
                <w:tcPr>
                  <w:tcW w:w="1620" w:type="dxa"/>
                  <w:noWrap w:val="0"/>
                  <w:vAlign w:val="top"/>
                </w:tcPr>
                <w:p w14:paraId="54CD73BB">
                  <w:pPr>
                    <w:spacing w:line="280" w:lineRule="exact"/>
                    <w:rPr>
                      <w:rFonts w:ascii="宋体" w:hAnsi="宋体" w:eastAsia="宋体" w:cs="宋体"/>
                      <w:color w:val="auto"/>
                      <w:highlight w:val="none"/>
                    </w:rPr>
                  </w:pPr>
                </w:p>
              </w:tc>
              <w:tc>
                <w:tcPr>
                  <w:tcW w:w="1651" w:type="dxa"/>
                  <w:noWrap w:val="0"/>
                  <w:vAlign w:val="top"/>
                </w:tcPr>
                <w:p w14:paraId="29BBF6D0">
                  <w:pPr>
                    <w:spacing w:line="280" w:lineRule="exact"/>
                    <w:rPr>
                      <w:rFonts w:ascii="宋体" w:hAnsi="宋体" w:eastAsia="宋体" w:cs="宋体"/>
                      <w:color w:val="auto"/>
                      <w:highlight w:val="none"/>
                    </w:rPr>
                  </w:pPr>
                </w:p>
              </w:tc>
            </w:tr>
          </w:tbl>
          <w:p w14:paraId="715FE7C6">
            <w:pPr>
              <w:spacing w:line="400" w:lineRule="exact"/>
              <w:ind w:right="420" w:firstLine="435"/>
              <w:jc w:val="center"/>
              <w:rPr>
                <w:rFonts w:ascii="宋体" w:hAnsi="宋体" w:eastAsia="宋体" w:cs="宋体"/>
                <w:color w:val="auto"/>
                <w:highlight w:val="none"/>
              </w:rPr>
            </w:pPr>
          </w:p>
          <w:p w14:paraId="4827708B">
            <w:pPr>
              <w:spacing w:line="400" w:lineRule="exact"/>
              <w:ind w:right="420" w:firstLine="435"/>
              <w:jc w:val="center"/>
              <w:rPr>
                <w:rFonts w:ascii="宋体" w:hAnsi="宋体" w:eastAsia="宋体" w:cs="宋体"/>
                <w:color w:val="auto"/>
                <w:highlight w:val="none"/>
              </w:rPr>
            </w:pPr>
            <w:r>
              <w:rPr>
                <w:rFonts w:hint="eastAsia" w:ascii="宋体" w:hAnsi="宋体" w:eastAsia="宋体" w:cs="宋体"/>
                <w:color w:val="auto"/>
                <w:highlight w:val="none"/>
              </w:rPr>
              <w:t xml:space="preserve">                                            承包人（章）             </w:t>
            </w:r>
          </w:p>
          <w:p w14:paraId="6A4640E9">
            <w:pPr>
              <w:spacing w:line="400" w:lineRule="exact"/>
              <w:ind w:right="420" w:firstLine="435"/>
              <w:rPr>
                <w:rFonts w:ascii="宋体" w:hAnsi="宋体" w:eastAsia="宋体" w:cs="宋体"/>
                <w:color w:val="auto"/>
                <w:highlight w:val="none"/>
              </w:rPr>
            </w:pPr>
            <w:r>
              <w:rPr>
                <w:rFonts w:hint="eastAsia" w:ascii="宋体" w:hAnsi="宋体" w:eastAsia="宋体" w:cs="宋体"/>
                <w:color w:val="auto"/>
                <w:highlight w:val="none"/>
              </w:rPr>
              <w:t>造价人员</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承包人代表</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      期</w:t>
            </w:r>
            <w:r>
              <w:rPr>
                <w:rFonts w:hint="eastAsia" w:ascii="宋体" w:hAnsi="宋体" w:eastAsia="宋体" w:cs="宋体"/>
                <w:color w:val="auto"/>
                <w:highlight w:val="none"/>
                <w:u w:val="single"/>
              </w:rPr>
              <w:t xml:space="preserve">               </w:t>
            </w:r>
          </w:p>
        </w:tc>
      </w:tr>
      <w:tr w14:paraId="5BE58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0" w:hRule="atLeast"/>
          <w:jc w:val="center"/>
        </w:trPr>
        <w:tc>
          <w:tcPr>
            <w:tcW w:w="4620" w:type="dxa"/>
            <w:noWrap w:val="0"/>
            <w:vAlign w:val="top"/>
          </w:tcPr>
          <w:p w14:paraId="6E20BE0A">
            <w:pPr>
              <w:spacing w:line="360" w:lineRule="exact"/>
              <w:rPr>
                <w:rFonts w:ascii="宋体" w:hAnsi="宋体" w:eastAsia="宋体" w:cs="宋体"/>
                <w:color w:val="auto"/>
                <w:highlight w:val="none"/>
              </w:rPr>
            </w:pPr>
            <w:r>
              <w:rPr>
                <w:rFonts w:hint="eastAsia" w:ascii="宋体" w:hAnsi="宋体" w:eastAsia="宋体" w:cs="宋体"/>
                <w:color w:val="auto"/>
                <w:highlight w:val="none"/>
              </w:rPr>
              <w:t>复核意见：</w:t>
            </w:r>
          </w:p>
          <w:p w14:paraId="39549CAC">
            <w:pPr>
              <w:spacing w:line="360" w:lineRule="exact"/>
              <w:ind w:firstLine="312"/>
              <w:rPr>
                <w:rFonts w:ascii="宋体" w:hAnsi="宋体" w:eastAsia="宋体" w:cs="宋体"/>
                <w:color w:val="auto"/>
                <w:highlight w:val="none"/>
              </w:rPr>
            </w:pPr>
            <w:r>
              <w:rPr>
                <w:rFonts w:hint="eastAsia" w:ascii="宋体" w:hAnsi="宋体" w:eastAsia="宋体" w:cs="宋体"/>
                <w:color w:val="auto"/>
                <w:highlight w:val="none"/>
              </w:rPr>
              <w:t>□与实际施工情况不相符，修改意见见附件。</w:t>
            </w:r>
          </w:p>
          <w:p w14:paraId="66FB5731">
            <w:pPr>
              <w:spacing w:line="360" w:lineRule="exact"/>
              <w:ind w:firstLine="312"/>
              <w:rPr>
                <w:rFonts w:ascii="宋体" w:hAnsi="宋体" w:eastAsia="宋体" w:cs="宋体"/>
                <w:color w:val="auto"/>
                <w:highlight w:val="none"/>
              </w:rPr>
            </w:pPr>
            <w:r>
              <w:rPr>
                <w:rFonts w:hint="eastAsia" w:ascii="宋体" w:hAnsi="宋体" w:eastAsia="宋体" w:cs="宋体"/>
                <w:color w:val="auto"/>
                <w:highlight w:val="none"/>
              </w:rPr>
              <w:t>□与实际施工情况相符，具体金额由造价工程师复核。</w:t>
            </w:r>
          </w:p>
          <w:p w14:paraId="6ABD4F02">
            <w:pPr>
              <w:spacing w:line="360" w:lineRule="exact"/>
              <w:ind w:firstLine="435"/>
              <w:jc w:val="right"/>
              <w:rPr>
                <w:rFonts w:ascii="宋体" w:hAnsi="宋体" w:eastAsia="宋体" w:cs="宋体"/>
                <w:color w:val="auto"/>
                <w:highlight w:val="none"/>
              </w:rPr>
            </w:pPr>
          </w:p>
          <w:p w14:paraId="44AE9F5C">
            <w:pPr>
              <w:spacing w:line="360" w:lineRule="exact"/>
              <w:ind w:firstLine="435"/>
              <w:jc w:val="right"/>
              <w:rPr>
                <w:rFonts w:ascii="宋体" w:hAnsi="宋体" w:eastAsia="宋体" w:cs="宋体"/>
                <w:color w:val="auto"/>
                <w:highlight w:val="none"/>
              </w:rPr>
            </w:pPr>
          </w:p>
          <w:p w14:paraId="12A1CB13">
            <w:pPr>
              <w:spacing w:line="360" w:lineRule="exact"/>
              <w:ind w:firstLine="435"/>
              <w:jc w:val="center"/>
              <w:rPr>
                <w:rFonts w:ascii="宋体" w:hAnsi="宋体" w:eastAsia="宋体" w:cs="宋体"/>
                <w:color w:val="auto"/>
                <w:highlight w:val="none"/>
              </w:rPr>
            </w:pPr>
            <w:r>
              <w:rPr>
                <w:rFonts w:hint="eastAsia" w:ascii="宋体" w:hAnsi="宋体" w:eastAsia="宋体" w:cs="宋体"/>
                <w:color w:val="auto"/>
                <w:highlight w:val="none"/>
              </w:rPr>
              <w:t xml:space="preserve">         </w:t>
            </w:r>
          </w:p>
          <w:p w14:paraId="2405DE88">
            <w:pPr>
              <w:spacing w:line="360" w:lineRule="exact"/>
              <w:ind w:firstLine="435"/>
              <w:jc w:val="center"/>
              <w:rPr>
                <w:rFonts w:ascii="宋体" w:hAnsi="宋体" w:eastAsia="宋体" w:cs="宋体"/>
                <w:color w:val="auto"/>
                <w:highlight w:val="none"/>
                <w:u w:val="single"/>
              </w:rPr>
            </w:pPr>
            <w:r>
              <w:rPr>
                <w:rFonts w:hint="eastAsia" w:ascii="宋体" w:hAnsi="宋体" w:eastAsia="宋体" w:cs="宋体"/>
                <w:color w:val="auto"/>
                <w:highlight w:val="none"/>
              </w:rPr>
              <w:t xml:space="preserve">      监理工程师</w:t>
            </w:r>
            <w:r>
              <w:rPr>
                <w:rFonts w:hint="eastAsia" w:ascii="宋体" w:hAnsi="宋体" w:eastAsia="宋体" w:cs="宋体"/>
                <w:color w:val="auto"/>
                <w:highlight w:val="none"/>
                <w:u w:val="single"/>
              </w:rPr>
              <w:t xml:space="preserve">           </w:t>
            </w:r>
          </w:p>
          <w:p w14:paraId="23083EE7">
            <w:pPr>
              <w:spacing w:line="360" w:lineRule="exact"/>
              <w:ind w:firstLine="435"/>
              <w:jc w:val="center"/>
              <w:rPr>
                <w:rFonts w:ascii="宋体" w:hAnsi="宋体" w:eastAsia="宋体" w:cs="宋体"/>
                <w:color w:val="auto"/>
                <w:highlight w:val="none"/>
                <w:u w:val="single"/>
              </w:rPr>
            </w:pPr>
            <w:r>
              <w:rPr>
                <w:rFonts w:hint="eastAsia" w:ascii="宋体" w:hAnsi="宋体" w:eastAsia="宋体" w:cs="宋体"/>
                <w:color w:val="auto"/>
                <w:highlight w:val="none"/>
              </w:rPr>
              <w:t xml:space="preserve">      日      期</w:t>
            </w:r>
            <w:r>
              <w:rPr>
                <w:rFonts w:hint="eastAsia" w:ascii="宋体" w:hAnsi="宋体" w:eastAsia="宋体" w:cs="宋体"/>
                <w:color w:val="auto"/>
                <w:highlight w:val="none"/>
                <w:u w:val="single"/>
              </w:rPr>
              <w:t xml:space="preserve">           </w:t>
            </w:r>
          </w:p>
        </w:tc>
        <w:tc>
          <w:tcPr>
            <w:tcW w:w="4620" w:type="dxa"/>
            <w:noWrap w:val="0"/>
            <w:vAlign w:val="top"/>
          </w:tcPr>
          <w:p w14:paraId="49FB2EAD">
            <w:pPr>
              <w:spacing w:line="360" w:lineRule="exact"/>
              <w:rPr>
                <w:rFonts w:ascii="宋体" w:hAnsi="宋体" w:eastAsia="宋体" w:cs="宋体"/>
                <w:color w:val="auto"/>
                <w:highlight w:val="none"/>
              </w:rPr>
            </w:pPr>
            <w:r>
              <w:rPr>
                <w:rFonts w:hint="eastAsia" w:ascii="宋体" w:hAnsi="宋体" w:eastAsia="宋体" w:cs="宋体"/>
                <w:color w:val="auto"/>
                <w:highlight w:val="none"/>
              </w:rPr>
              <w:t>复核意见：</w:t>
            </w:r>
          </w:p>
          <w:p w14:paraId="2832DD91">
            <w:pPr>
              <w:spacing w:line="360" w:lineRule="exact"/>
              <w:ind w:firstLine="435"/>
              <w:rPr>
                <w:rFonts w:ascii="宋体" w:hAnsi="宋体" w:eastAsia="宋体" w:cs="宋体"/>
                <w:color w:val="auto"/>
                <w:highlight w:val="none"/>
                <w:u w:val="single"/>
              </w:rPr>
            </w:pPr>
            <w:r>
              <w:rPr>
                <w:rFonts w:hint="eastAsia" w:ascii="宋体" w:hAnsi="宋体" w:eastAsia="宋体" w:cs="宋体"/>
                <w:color w:val="auto"/>
                <w:highlight w:val="none"/>
              </w:rPr>
              <w:t>你方提出的竣工结算支付申请经复核，竣工结算款总额为(大写)</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元，（小写）</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元，扣除前期支付以及质量保证金后应支付金额为（大写）</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元，（小写）</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元。</w:t>
            </w:r>
          </w:p>
          <w:p w14:paraId="1F9220D9">
            <w:pPr>
              <w:spacing w:line="360" w:lineRule="exact"/>
              <w:ind w:firstLine="435"/>
              <w:jc w:val="center"/>
              <w:rPr>
                <w:rFonts w:ascii="宋体" w:hAnsi="宋体" w:eastAsia="宋体" w:cs="宋体"/>
                <w:color w:val="auto"/>
                <w:highlight w:val="none"/>
              </w:rPr>
            </w:pPr>
            <w:r>
              <w:rPr>
                <w:rFonts w:hint="eastAsia" w:ascii="宋体" w:hAnsi="宋体" w:eastAsia="宋体" w:cs="宋体"/>
                <w:color w:val="auto"/>
                <w:highlight w:val="none"/>
              </w:rPr>
              <w:t xml:space="preserve">    </w:t>
            </w:r>
          </w:p>
          <w:p w14:paraId="6080AC56">
            <w:pPr>
              <w:spacing w:line="360" w:lineRule="exact"/>
              <w:ind w:firstLine="435"/>
              <w:jc w:val="center"/>
              <w:rPr>
                <w:rFonts w:ascii="宋体" w:hAnsi="宋体" w:eastAsia="宋体" w:cs="宋体"/>
                <w:color w:val="auto"/>
                <w:highlight w:val="none"/>
                <w:u w:val="single"/>
              </w:rPr>
            </w:pPr>
            <w:r>
              <w:rPr>
                <w:rFonts w:hint="eastAsia" w:ascii="宋体" w:hAnsi="宋体" w:eastAsia="宋体" w:cs="宋体"/>
                <w:color w:val="auto"/>
                <w:highlight w:val="none"/>
              </w:rPr>
              <w:t xml:space="preserve">    造价工程师</w:t>
            </w:r>
            <w:r>
              <w:rPr>
                <w:rFonts w:hint="eastAsia" w:ascii="宋体" w:hAnsi="宋体" w:eastAsia="宋体" w:cs="宋体"/>
                <w:color w:val="auto"/>
                <w:highlight w:val="none"/>
                <w:u w:val="single"/>
              </w:rPr>
              <w:t xml:space="preserve">           </w:t>
            </w:r>
          </w:p>
          <w:p w14:paraId="3345F545">
            <w:pPr>
              <w:spacing w:line="360" w:lineRule="exact"/>
              <w:ind w:firstLine="435"/>
              <w:jc w:val="center"/>
              <w:rPr>
                <w:rFonts w:ascii="宋体" w:hAnsi="宋体" w:eastAsia="宋体" w:cs="宋体"/>
                <w:color w:val="auto"/>
                <w:highlight w:val="none"/>
                <w:u w:val="single"/>
              </w:rPr>
            </w:pPr>
            <w:r>
              <w:rPr>
                <w:rFonts w:hint="eastAsia" w:ascii="宋体" w:hAnsi="宋体" w:eastAsia="宋体" w:cs="宋体"/>
                <w:color w:val="auto"/>
                <w:highlight w:val="none"/>
              </w:rPr>
              <w:t xml:space="preserve">    日      期</w:t>
            </w:r>
            <w:r>
              <w:rPr>
                <w:rFonts w:hint="eastAsia" w:ascii="宋体" w:hAnsi="宋体" w:eastAsia="宋体" w:cs="宋体"/>
                <w:color w:val="auto"/>
                <w:highlight w:val="none"/>
                <w:u w:val="single"/>
              </w:rPr>
              <w:t xml:space="preserve">           </w:t>
            </w:r>
          </w:p>
        </w:tc>
      </w:tr>
      <w:tr w14:paraId="7DD90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1" w:hRule="atLeast"/>
          <w:jc w:val="center"/>
        </w:trPr>
        <w:tc>
          <w:tcPr>
            <w:tcW w:w="9240" w:type="dxa"/>
            <w:gridSpan w:val="2"/>
            <w:noWrap w:val="0"/>
            <w:vAlign w:val="top"/>
          </w:tcPr>
          <w:p w14:paraId="607198D0">
            <w:pPr>
              <w:spacing w:line="400" w:lineRule="exact"/>
              <w:rPr>
                <w:rFonts w:ascii="宋体" w:hAnsi="宋体" w:eastAsia="宋体" w:cs="宋体"/>
                <w:color w:val="auto"/>
                <w:highlight w:val="none"/>
              </w:rPr>
            </w:pPr>
            <w:r>
              <w:rPr>
                <w:rFonts w:hint="eastAsia" w:ascii="宋体" w:hAnsi="宋体" w:eastAsia="宋体" w:cs="宋体"/>
                <w:color w:val="auto"/>
                <w:highlight w:val="none"/>
              </w:rPr>
              <w:t>审核意见：</w:t>
            </w:r>
          </w:p>
          <w:p w14:paraId="19E2EDFD">
            <w:pPr>
              <w:spacing w:line="400" w:lineRule="exact"/>
              <w:ind w:firstLine="435"/>
              <w:rPr>
                <w:rFonts w:ascii="宋体" w:hAnsi="宋体" w:eastAsia="宋体" w:cs="宋体"/>
                <w:color w:val="auto"/>
                <w:highlight w:val="none"/>
              </w:rPr>
            </w:pPr>
            <w:r>
              <w:rPr>
                <w:rFonts w:hint="eastAsia" w:ascii="宋体" w:hAnsi="宋体" w:eastAsia="宋体" w:cs="宋体"/>
                <w:color w:val="auto"/>
                <w:highlight w:val="none"/>
              </w:rPr>
              <w:t>□不同意。</w:t>
            </w:r>
          </w:p>
          <w:p w14:paraId="3DDD06EB">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□同意，支付时间为本表签发后的15天内。</w:t>
            </w:r>
          </w:p>
          <w:p w14:paraId="473C0C5E">
            <w:pPr>
              <w:wordWrap w:val="0"/>
              <w:spacing w:line="400" w:lineRule="exact"/>
              <w:ind w:firstLine="420" w:firstLineChars="200"/>
              <w:jc w:val="right"/>
              <w:rPr>
                <w:rFonts w:ascii="宋体" w:hAnsi="宋体" w:eastAsia="宋体" w:cs="宋体"/>
                <w:color w:val="auto"/>
                <w:highlight w:val="none"/>
              </w:rPr>
            </w:pPr>
            <w:r>
              <w:rPr>
                <w:rFonts w:hint="eastAsia" w:ascii="宋体" w:hAnsi="宋体" w:eastAsia="宋体" w:cs="宋体"/>
                <w:color w:val="auto"/>
                <w:highlight w:val="none"/>
              </w:rPr>
              <w:t xml:space="preserve">发包人（章）           </w:t>
            </w:r>
          </w:p>
          <w:p w14:paraId="41F9DF66">
            <w:pPr>
              <w:wordWrap w:val="0"/>
              <w:spacing w:line="400" w:lineRule="exact"/>
              <w:ind w:firstLine="420" w:firstLineChars="200"/>
              <w:jc w:val="right"/>
              <w:rPr>
                <w:rFonts w:ascii="宋体" w:hAnsi="宋体" w:eastAsia="宋体" w:cs="宋体"/>
                <w:color w:val="auto"/>
                <w:highlight w:val="none"/>
                <w:u w:val="single"/>
              </w:rPr>
            </w:pPr>
            <w:r>
              <w:rPr>
                <w:rFonts w:hint="eastAsia" w:ascii="宋体" w:hAnsi="宋体" w:eastAsia="宋体" w:cs="宋体"/>
                <w:color w:val="auto"/>
                <w:highlight w:val="none"/>
              </w:rPr>
              <w:t>发包人代表</w:t>
            </w:r>
            <w:r>
              <w:rPr>
                <w:rFonts w:hint="eastAsia" w:ascii="宋体" w:hAnsi="宋体" w:eastAsia="宋体" w:cs="宋体"/>
                <w:color w:val="auto"/>
                <w:highlight w:val="none"/>
                <w:u w:val="single"/>
              </w:rPr>
              <w:t xml:space="preserve">             </w:t>
            </w:r>
          </w:p>
          <w:p w14:paraId="04B59414">
            <w:pPr>
              <w:wordWrap w:val="0"/>
              <w:spacing w:line="400" w:lineRule="exact"/>
              <w:ind w:firstLine="420" w:firstLineChars="200"/>
              <w:jc w:val="right"/>
              <w:rPr>
                <w:rFonts w:ascii="宋体" w:hAnsi="宋体" w:eastAsia="宋体" w:cs="宋体"/>
                <w:color w:val="auto"/>
                <w:highlight w:val="none"/>
                <w:u w:val="single"/>
              </w:rPr>
            </w:pPr>
            <w:r>
              <w:rPr>
                <w:rFonts w:hint="eastAsia" w:ascii="宋体" w:hAnsi="宋体" w:eastAsia="宋体" w:cs="宋体"/>
                <w:color w:val="auto"/>
                <w:highlight w:val="none"/>
              </w:rPr>
              <w:t>日      期</w:t>
            </w:r>
            <w:r>
              <w:rPr>
                <w:rFonts w:hint="eastAsia" w:ascii="宋体" w:hAnsi="宋体" w:eastAsia="宋体" w:cs="宋体"/>
                <w:color w:val="auto"/>
                <w:highlight w:val="none"/>
                <w:u w:val="single"/>
              </w:rPr>
              <w:t xml:space="preserve">             </w:t>
            </w:r>
          </w:p>
        </w:tc>
      </w:tr>
    </w:tbl>
    <w:p w14:paraId="1EF6CEE0">
      <w:pPr>
        <w:spacing w:before="120" w:beforeLines="50"/>
        <w:ind w:firstLine="360" w:firstLineChars="200"/>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 xml:space="preserve">注：1.在选择栏中的“□”内作标识“√”。 </w:t>
      </w:r>
    </w:p>
    <w:p w14:paraId="4B1A8D73">
      <w:pPr>
        <w:spacing w:before="120" w:beforeLines="50"/>
        <w:ind w:left="720" w:hanging="720" w:hangingChars="400"/>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 xml:space="preserve">        2.本表一式四份，由承包人填报，发包人、监理人、造价咨询人、承包人各存一份。</w:t>
      </w:r>
    </w:p>
    <w:p w14:paraId="04BF0F57">
      <w:pPr>
        <w:ind w:right="360"/>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 xml:space="preserve">                                                                                            </w:t>
      </w:r>
    </w:p>
    <w:p w14:paraId="1AB72BE9">
      <w:pPr>
        <w:pStyle w:val="6"/>
        <w:jc w:val="left"/>
        <w:rPr>
          <w:rFonts w:ascii="宋体" w:hAnsi="宋体" w:eastAsia="宋体" w:cs="宋体"/>
          <w:b/>
          <w:color w:val="auto"/>
          <w:sz w:val="30"/>
          <w:szCs w:val="30"/>
          <w:highlight w:val="none"/>
        </w:rPr>
      </w:pPr>
      <w:r>
        <w:rPr>
          <w:rFonts w:hint="eastAsia" w:ascii="宋体" w:hAnsi="宋体" w:eastAsia="宋体" w:cs="宋体"/>
          <w:color w:val="auto"/>
          <w:highlight w:val="none"/>
        </w:rPr>
        <w:t>附件</w:t>
      </w:r>
      <w:r>
        <w:rPr>
          <w:rFonts w:hint="eastAsia" w:ascii="宋体" w:hAnsi="宋体" w:eastAsia="宋体" w:cs="宋体"/>
          <w:color w:val="auto"/>
          <w:sz w:val="30"/>
          <w:szCs w:val="30"/>
          <w:highlight w:val="none"/>
        </w:rPr>
        <w:t>13：</w:t>
      </w:r>
    </w:p>
    <w:p w14:paraId="2107C1FA">
      <w:pPr>
        <w:jc w:val="center"/>
        <w:rPr>
          <w:rFonts w:ascii="宋体" w:hAnsi="宋体" w:eastAsia="宋体" w:cs="宋体"/>
          <w:b/>
          <w:color w:val="auto"/>
          <w:sz w:val="36"/>
          <w:szCs w:val="36"/>
          <w:highlight w:val="none"/>
        </w:rPr>
      </w:pPr>
      <w:r>
        <w:rPr>
          <w:rFonts w:hint="eastAsia" w:ascii="宋体" w:hAnsi="宋体" w:eastAsia="宋体" w:cs="宋体"/>
          <w:b/>
          <w:color w:val="auto"/>
          <w:sz w:val="36"/>
          <w:szCs w:val="36"/>
          <w:highlight w:val="none"/>
        </w:rPr>
        <w:t>最终结算款支付申请（核准）表</w:t>
      </w:r>
    </w:p>
    <w:p w14:paraId="6DFFCC8C">
      <w:pPr>
        <w:rPr>
          <w:rFonts w:ascii="宋体" w:hAnsi="宋体" w:eastAsia="宋体" w:cs="宋体"/>
          <w:color w:val="auto"/>
          <w:sz w:val="24"/>
          <w:highlight w:val="none"/>
        </w:rPr>
      </w:pPr>
      <w:r>
        <w:rPr>
          <w:rFonts w:hint="eastAsia" w:ascii="宋体" w:hAnsi="宋体" w:eastAsia="宋体" w:cs="宋体"/>
          <w:color w:val="auto"/>
          <w:sz w:val="24"/>
          <w:highlight w:val="none"/>
        </w:rPr>
        <w:t>工程名称：                                             编号：</w:t>
      </w:r>
    </w:p>
    <w:tbl>
      <w:tblPr>
        <w:tblStyle w:val="54"/>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39"/>
        <w:gridCol w:w="4533"/>
      </w:tblGrid>
      <w:tr w14:paraId="517FC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94" w:hRule="atLeast"/>
          <w:jc w:val="center"/>
        </w:trPr>
        <w:tc>
          <w:tcPr>
            <w:tcW w:w="9240" w:type="dxa"/>
            <w:gridSpan w:val="2"/>
            <w:noWrap w:val="0"/>
            <w:vAlign w:val="top"/>
          </w:tcPr>
          <w:p w14:paraId="45B9A376">
            <w:pPr>
              <w:spacing w:line="480" w:lineRule="exact"/>
              <w:ind w:left="525" w:leftChars="149" w:hanging="212" w:hangingChars="101"/>
              <w:rPr>
                <w:rFonts w:ascii="宋体" w:hAnsi="宋体" w:eastAsia="宋体" w:cs="宋体"/>
                <w:color w:val="auto"/>
                <w:highlight w:val="none"/>
                <w:u w:val="single"/>
              </w:rPr>
            </w:pPr>
            <w:r>
              <w:rPr>
                <w:rFonts w:hint="eastAsia" w:ascii="宋体" w:hAnsi="宋体" w:eastAsia="宋体" w:cs="宋体"/>
                <w:color w:val="auto"/>
                <w:highlight w:val="none"/>
              </w:rPr>
              <w:t>致：</w:t>
            </w:r>
            <w:r>
              <w:rPr>
                <w:rFonts w:hint="eastAsia" w:ascii="宋体" w:hAnsi="宋体" w:eastAsia="宋体" w:cs="宋体"/>
                <w:color w:val="auto"/>
                <w:highlight w:val="none"/>
                <w:u w:val="single"/>
              </w:rPr>
              <w:t xml:space="preserve">                                   （发包人全称）</w:t>
            </w:r>
          </w:p>
          <w:p w14:paraId="2E4FE579">
            <w:pPr>
              <w:spacing w:line="400" w:lineRule="exact"/>
              <w:ind w:left="-4" w:leftChars="-2" w:firstLine="315" w:firstLineChars="150"/>
              <w:rPr>
                <w:rFonts w:ascii="宋体" w:hAnsi="宋体" w:eastAsia="宋体" w:cs="宋体"/>
                <w:color w:val="auto"/>
                <w:highlight w:val="none"/>
              </w:rPr>
            </w:pPr>
            <w:r>
              <w:rPr>
                <w:rFonts w:hint="eastAsia" w:ascii="宋体" w:hAnsi="宋体" w:eastAsia="宋体" w:cs="宋体"/>
                <w:color w:val="auto"/>
                <w:highlight w:val="none"/>
              </w:rPr>
              <w:t>我方于</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至</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期间已完成了缺陷修复工作，根据施工合同的约定，现申请支付最终结清合同款额为(大写)</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元，(小写)</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元，请予核准。</w:t>
            </w:r>
          </w:p>
          <w:tbl>
            <w:tblPr>
              <w:tblStyle w:val="54"/>
              <w:tblpPr w:leftFromText="180" w:rightFromText="180" w:vertAnchor="page" w:horzAnchor="margin" w:tblpY="130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5"/>
              <w:gridCol w:w="3420"/>
              <w:gridCol w:w="1620"/>
              <w:gridCol w:w="1620"/>
              <w:gridCol w:w="1651"/>
            </w:tblGrid>
            <w:tr w14:paraId="6B956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535" w:type="dxa"/>
                  <w:noWrap w:val="0"/>
                  <w:vAlign w:val="center"/>
                </w:tcPr>
                <w:p w14:paraId="438A4AF9">
                  <w:pPr>
                    <w:spacing w:line="280" w:lineRule="exact"/>
                    <w:jc w:val="center"/>
                    <w:rPr>
                      <w:rFonts w:ascii="宋体" w:hAnsi="宋体" w:eastAsia="宋体" w:cs="宋体"/>
                      <w:color w:val="auto"/>
                      <w:highlight w:val="none"/>
                    </w:rPr>
                  </w:pPr>
                  <w:r>
                    <w:rPr>
                      <w:rFonts w:hint="eastAsia" w:ascii="宋体" w:hAnsi="宋体" w:eastAsia="宋体" w:cs="宋体"/>
                      <w:color w:val="auto"/>
                      <w:highlight w:val="none"/>
                    </w:rPr>
                    <w:t>序号</w:t>
                  </w:r>
                </w:p>
              </w:tc>
              <w:tc>
                <w:tcPr>
                  <w:tcW w:w="3420" w:type="dxa"/>
                  <w:noWrap w:val="0"/>
                  <w:vAlign w:val="center"/>
                </w:tcPr>
                <w:p w14:paraId="5C062005">
                  <w:pPr>
                    <w:spacing w:line="280" w:lineRule="exact"/>
                    <w:jc w:val="center"/>
                    <w:rPr>
                      <w:rFonts w:ascii="宋体" w:hAnsi="宋体" w:eastAsia="宋体" w:cs="宋体"/>
                      <w:color w:val="auto"/>
                      <w:highlight w:val="none"/>
                    </w:rPr>
                  </w:pPr>
                  <w:r>
                    <w:rPr>
                      <w:rFonts w:hint="eastAsia" w:ascii="宋体" w:hAnsi="宋体" w:eastAsia="宋体" w:cs="宋体"/>
                      <w:color w:val="auto"/>
                      <w:highlight w:val="none"/>
                    </w:rPr>
                    <w:t>名      称</w:t>
                  </w:r>
                </w:p>
              </w:tc>
              <w:tc>
                <w:tcPr>
                  <w:tcW w:w="1620" w:type="dxa"/>
                  <w:noWrap w:val="0"/>
                  <w:vAlign w:val="center"/>
                </w:tcPr>
                <w:p w14:paraId="68484EF8">
                  <w:pPr>
                    <w:spacing w:line="280" w:lineRule="exact"/>
                    <w:jc w:val="center"/>
                    <w:rPr>
                      <w:rFonts w:ascii="宋体" w:hAnsi="宋体" w:eastAsia="宋体" w:cs="宋体"/>
                      <w:color w:val="auto"/>
                      <w:highlight w:val="none"/>
                    </w:rPr>
                  </w:pPr>
                  <w:r>
                    <w:rPr>
                      <w:rFonts w:hint="eastAsia" w:ascii="宋体" w:hAnsi="宋体" w:eastAsia="宋体" w:cs="宋体"/>
                      <w:color w:val="auto"/>
                      <w:highlight w:val="none"/>
                    </w:rPr>
                    <w:t>申请金额（元）</w:t>
                  </w:r>
                </w:p>
              </w:tc>
              <w:tc>
                <w:tcPr>
                  <w:tcW w:w="1620" w:type="dxa"/>
                  <w:noWrap w:val="0"/>
                  <w:vAlign w:val="center"/>
                </w:tcPr>
                <w:p w14:paraId="43AFC365">
                  <w:pPr>
                    <w:spacing w:line="280" w:lineRule="exact"/>
                    <w:jc w:val="center"/>
                    <w:rPr>
                      <w:rFonts w:ascii="宋体" w:hAnsi="宋体" w:eastAsia="宋体" w:cs="宋体"/>
                      <w:color w:val="auto"/>
                      <w:highlight w:val="none"/>
                    </w:rPr>
                  </w:pPr>
                  <w:r>
                    <w:rPr>
                      <w:rFonts w:hint="eastAsia" w:ascii="宋体" w:hAnsi="宋体" w:eastAsia="宋体" w:cs="宋体"/>
                      <w:color w:val="auto"/>
                      <w:highlight w:val="none"/>
                    </w:rPr>
                    <w:t>复核金额（元）</w:t>
                  </w:r>
                </w:p>
              </w:tc>
              <w:tc>
                <w:tcPr>
                  <w:tcW w:w="1651" w:type="dxa"/>
                  <w:noWrap w:val="0"/>
                  <w:vAlign w:val="center"/>
                </w:tcPr>
                <w:p w14:paraId="5FCC38DE">
                  <w:pPr>
                    <w:spacing w:line="280" w:lineRule="exact"/>
                    <w:jc w:val="center"/>
                    <w:rPr>
                      <w:rFonts w:ascii="宋体" w:hAnsi="宋体" w:eastAsia="宋体" w:cs="宋体"/>
                      <w:color w:val="auto"/>
                      <w:highlight w:val="none"/>
                    </w:rPr>
                  </w:pPr>
                  <w:r>
                    <w:rPr>
                      <w:rFonts w:hint="eastAsia" w:ascii="宋体" w:hAnsi="宋体" w:eastAsia="宋体" w:cs="宋体"/>
                      <w:color w:val="auto"/>
                      <w:highlight w:val="none"/>
                    </w:rPr>
                    <w:t>备注</w:t>
                  </w:r>
                </w:p>
              </w:tc>
            </w:tr>
            <w:tr w14:paraId="2DD83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13C64817">
                  <w:pPr>
                    <w:spacing w:line="280" w:lineRule="exact"/>
                    <w:jc w:val="center"/>
                    <w:rPr>
                      <w:rFonts w:ascii="宋体" w:hAnsi="宋体" w:eastAsia="宋体" w:cs="宋体"/>
                      <w:color w:val="auto"/>
                      <w:highlight w:val="none"/>
                    </w:rPr>
                  </w:pPr>
                  <w:r>
                    <w:rPr>
                      <w:rFonts w:hint="eastAsia" w:ascii="宋体" w:hAnsi="宋体" w:eastAsia="宋体" w:cs="宋体"/>
                      <w:color w:val="auto"/>
                      <w:highlight w:val="none"/>
                    </w:rPr>
                    <w:t>1</w:t>
                  </w:r>
                </w:p>
              </w:tc>
              <w:tc>
                <w:tcPr>
                  <w:tcW w:w="3420" w:type="dxa"/>
                  <w:noWrap w:val="0"/>
                  <w:vAlign w:val="top"/>
                </w:tcPr>
                <w:p w14:paraId="45B3C9E9">
                  <w:pPr>
                    <w:spacing w:line="280" w:lineRule="exact"/>
                    <w:rPr>
                      <w:rFonts w:ascii="宋体" w:hAnsi="宋体" w:eastAsia="宋体" w:cs="宋体"/>
                      <w:color w:val="auto"/>
                      <w:highlight w:val="none"/>
                    </w:rPr>
                  </w:pPr>
                  <w:r>
                    <w:rPr>
                      <w:rFonts w:hint="eastAsia" w:ascii="宋体" w:hAnsi="宋体" w:eastAsia="宋体" w:cs="宋体"/>
                      <w:color w:val="auto"/>
                      <w:highlight w:val="none"/>
                    </w:rPr>
                    <w:t>已预留的质量保证金</w:t>
                  </w:r>
                </w:p>
              </w:tc>
              <w:tc>
                <w:tcPr>
                  <w:tcW w:w="1620" w:type="dxa"/>
                  <w:noWrap w:val="0"/>
                  <w:vAlign w:val="top"/>
                </w:tcPr>
                <w:p w14:paraId="2B812C0B">
                  <w:pPr>
                    <w:spacing w:line="280" w:lineRule="exact"/>
                    <w:rPr>
                      <w:rFonts w:ascii="宋体" w:hAnsi="宋体" w:eastAsia="宋体" w:cs="宋体"/>
                      <w:color w:val="auto"/>
                      <w:highlight w:val="none"/>
                    </w:rPr>
                  </w:pPr>
                </w:p>
              </w:tc>
              <w:tc>
                <w:tcPr>
                  <w:tcW w:w="1620" w:type="dxa"/>
                  <w:noWrap w:val="0"/>
                  <w:vAlign w:val="top"/>
                </w:tcPr>
                <w:p w14:paraId="2B2C0396">
                  <w:pPr>
                    <w:spacing w:line="280" w:lineRule="exact"/>
                    <w:rPr>
                      <w:rFonts w:ascii="宋体" w:hAnsi="宋体" w:eastAsia="宋体" w:cs="宋体"/>
                      <w:color w:val="auto"/>
                      <w:highlight w:val="none"/>
                    </w:rPr>
                  </w:pPr>
                </w:p>
              </w:tc>
              <w:tc>
                <w:tcPr>
                  <w:tcW w:w="1651" w:type="dxa"/>
                  <w:noWrap w:val="0"/>
                  <w:vAlign w:val="top"/>
                </w:tcPr>
                <w:p w14:paraId="56DFA397">
                  <w:pPr>
                    <w:spacing w:line="280" w:lineRule="exact"/>
                    <w:rPr>
                      <w:rFonts w:ascii="宋体" w:hAnsi="宋体" w:eastAsia="宋体" w:cs="宋体"/>
                      <w:color w:val="auto"/>
                      <w:highlight w:val="none"/>
                    </w:rPr>
                  </w:pPr>
                </w:p>
              </w:tc>
            </w:tr>
            <w:tr w14:paraId="54DA2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7DB6B0F8">
                  <w:pPr>
                    <w:spacing w:line="280" w:lineRule="exact"/>
                    <w:jc w:val="center"/>
                    <w:rPr>
                      <w:rFonts w:ascii="宋体" w:hAnsi="宋体" w:eastAsia="宋体" w:cs="宋体"/>
                      <w:color w:val="auto"/>
                      <w:highlight w:val="none"/>
                    </w:rPr>
                  </w:pPr>
                  <w:r>
                    <w:rPr>
                      <w:rFonts w:hint="eastAsia" w:ascii="宋体" w:hAnsi="宋体" w:eastAsia="宋体" w:cs="宋体"/>
                      <w:color w:val="auto"/>
                      <w:highlight w:val="none"/>
                    </w:rPr>
                    <w:t>2</w:t>
                  </w:r>
                </w:p>
              </w:tc>
              <w:tc>
                <w:tcPr>
                  <w:tcW w:w="3420" w:type="dxa"/>
                  <w:noWrap w:val="0"/>
                  <w:vAlign w:val="top"/>
                </w:tcPr>
                <w:p w14:paraId="79EC36EB">
                  <w:pPr>
                    <w:spacing w:line="280" w:lineRule="exact"/>
                    <w:rPr>
                      <w:rFonts w:ascii="宋体" w:hAnsi="宋体" w:eastAsia="宋体" w:cs="宋体"/>
                      <w:color w:val="auto"/>
                      <w:highlight w:val="none"/>
                    </w:rPr>
                  </w:pPr>
                  <w:r>
                    <w:rPr>
                      <w:rFonts w:hint="eastAsia" w:ascii="宋体" w:hAnsi="宋体" w:eastAsia="宋体" w:cs="宋体"/>
                      <w:color w:val="auto"/>
                      <w:highlight w:val="none"/>
                    </w:rPr>
                    <w:t>应增加因发包人原因造成缺陷的修复金额</w:t>
                  </w:r>
                </w:p>
              </w:tc>
              <w:tc>
                <w:tcPr>
                  <w:tcW w:w="1620" w:type="dxa"/>
                  <w:noWrap w:val="0"/>
                  <w:vAlign w:val="top"/>
                </w:tcPr>
                <w:p w14:paraId="674F3AD5">
                  <w:pPr>
                    <w:spacing w:line="280" w:lineRule="exact"/>
                    <w:rPr>
                      <w:rFonts w:ascii="宋体" w:hAnsi="宋体" w:eastAsia="宋体" w:cs="宋体"/>
                      <w:color w:val="auto"/>
                      <w:highlight w:val="none"/>
                    </w:rPr>
                  </w:pPr>
                </w:p>
              </w:tc>
              <w:tc>
                <w:tcPr>
                  <w:tcW w:w="1620" w:type="dxa"/>
                  <w:noWrap w:val="0"/>
                  <w:vAlign w:val="top"/>
                </w:tcPr>
                <w:p w14:paraId="41F602D4">
                  <w:pPr>
                    <w:spacing w:line="280" w:lineRule="exact"/>
                    <w:rPr>
                      <w:rFonts w:ascii="宋体" w:hAnsi="宋体" w:eastAsia="宋体" w:cs="宋体"/>
                      <w:color w:val="auto"/>
                      <w:highlight w:val="none"/>
                    </w:rPr>
                  </w:pPr>
                </w:p>
              </w:tc>
              <w:tc>
                <w:tcPr>
                  <w:tcW w:w="1651" w:type="dxa"/>
                  <w:noWrap w:val="0"/>
                  <w:vAlign w:val="top"/>
                </w:tcPr>
                <w:p w14:paraId="10DFF63D">
                  <w:pPr>
                    <w:spacing w:line="280" w:lineRule="exact"/>
                    <w:rPr>
                      <w:rFonts w:ascii="宋体" w:hAnsi="宋体" w:eastAsia="宋体" w:cs="宋体"/>
                      <w:color w:val="auto"/>
                      <w:highlight w:val="none"/>
                    </w:rPr>
                  </w:pPr>
                </w:p>
              </w:tc>
            </w:tr>
            <w:tr w14:paraId="57383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51CCF0D3">
                  <w:pPr>
                    <w:spacing w:line="280" w:lineRule="exact"/>
                    <w:jc w:val="center"/>
                    <w:rPr>
                      <w:rFonts w:ascii="宋体" w:hAnsi="宋体" w:eastAsia="宋体" w:cs="宋体"/>
                      <w:color w:val="auto"/>
                      <w:highlight w:val="none"/>
                    </w:rPr>
                  </w:pPr>
                  <w:r>
                    <w:rPr>
                      <w:rFonts w:hint="eastAsia" w:ascii="宋体" w:hAnsi="宋体" w:eastAsia="宋体" w:cs="宋体"/>
                      <w:color w:val="auto"/>
                      <w:highlight w:val="none"/>
                    </w:rPr>
                    <w:t>3</w:t>
                  </w:r>
                </w:p>
              </w:tc>
              <w:tc>
                <w:tcPr>
                  <w:tcW w:w="3420" w:type="dxa"/>
                  <w:noWrap w:val="0"/>
                  <w:vAlign w:val="top"/>
                </w:tcPr>
                <w:p w14:paraId="6A350954">
                  <w:pPr>
                    <w:spacing w:line="280" w:lineRule="exact"/>
                    <w:rPr>
                      <w:rFonts w:ascii="宋体" w:hAnsi="宋体" w:eastAsia="宋体" w:cs="宋体"/>
                      <w:color w:val="auto"/>
                      <w:highlight w:val="none"/>
                    </w:rPr>
                  </w:pPr>
                  <w:r>
                    <w:rPr>
                      <w:rFonts w:hint="eastAsia" w:ascii="宋体" w:hAnsi="宋体" w:eastAsia="宋体" w:cs="宋体"/>
                      <w:color w:val="auto"/>
                      <w:highlight w:val="none"/>
                    </w:rPr>
                    <w:t>应扣减承包人不修复缺陷、发包人组织修复的金额</w:t>
                  </w:r>
                </w:p>
              </w:tc>
              <w:tc>
                <w:tcPr>
                  <w:tcW w:w="1620" w:type="dxa"/>
                  <w:noWrap w:val="0"/>
                  <w:vAlign w:val="top"/>
                </w:tcPr>
                <w:p w14:paraId="12289665">
                  <w:pPr>
                    <w:spacing w:line="280" w:lineRule="exact"/>
                    <w:rPr>
                      <w:rFonts w:ascii="宋体" w:hAnsi="宋体" w:eastAsia="宋体" w:cs="宋体"/>
                      <w:color w:val="auto"/>
                      <w:highlight w:val="none"/>
                    </w:rPr>
                  </w:pPr>
                </w:p>
              </w:tc>
              <w:tc>
                <w:tcPr>
                  <w:tcW w:w="1620" w:type="dxa"/>
                  <w:noWrap w:val="0"/>
                  <w:vAlign w:val="top"/>
                </w:tcPr>
                <w:p w14:paraId="6E1BBDC8">
                  <w:pPr>
                    <w:spacing w:line="280" w:lineRule="exact"/>
                    <w:rPr>
                      <w:rFonts w:ascii="宋体" w:hAnsi="宋体" w:eastAsia="宋体" w:cs="宋体"/>
                      <w:color w:val="auto"/>
                      <w:highlight w:val="none"/>
                    </w:rPr>
                  </w:pPr>
                </w:p>
              </w:tc>
              <w:tc>
                <w:tcPr>
                  <w:tcW w:w="1651" w:type="dxa"/>
                  <w:noWrap w:val="0"/>
                  <w:vAlign w:val="top"/>
                </w:tcPr>
                <w:p w14:paraId="7CB44BF8">
                  <w:pPr>
                    <w:spacing w:line="280" w:lineRule="exact"/>
                    <w:rPr>
                      <w:rFonts w:ascii="宋体" w:hAnsi="宋体" w:eastAsia="宋体" w:cs="宋体"/>
                      <w:color w:val="auto"/>
                      <w:highlight w:val="none"/>
                    </w:rPr>
                  </w:pPr>
                </w:p>
              </w:tc>
            </w:tr>
            <w:tr w14:paraId="31200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393F943A">
                  <w:pPr>
                    <w:spacing w:line="280" w:lineRule="exact"/>
                    <w:jc w:val="center"/>
                    <w:rPr>
                      <w:rFonts w:ascii="宋体" w:hAnsi="宋体" w:eastAsia="宋体" w:cs="宋体"/>
                      <w:color w:val="auto"/>
                      <w:highlight w:val="none"/>
                    </w:rPr>
                  </w:pPr>
                  <w:r>
                    <w:rPr>
                      <w:rFonts w:hint="eastAsia" w:ascii="宋体" w:hAnsi="宋体" w:eastAsia="宋体" w:cs="宋体"/>
                      <w:color w:val="auto"/>
                      <w:highlight w:val="none"/>
                    </w:rPr>
                    <w:t>4</w:t>
                  </w:r>
                </w:p>
              </w:tc>
              <w:tc>
                <w:tcPr>
                  <w:tcW w:w="3420" w:type="dxa"/>
                  <w:noWrap w:val="0"/>
                  <w:vAlign w:val="top"/>
                </w:tcPr>
                <w:p w14:paraId="634F4F30">
                  <w:pPr>
                    <w:spacing w:line="280" w:lineRule="exact"/>
                    <w:rPr>
                      <w:rFonts w:ascii="宋体" w:hAnsi="宋体" w:eastAsia="宋体" w:cs="宋体"/>
                      <w:color w:val="auto"/>
                      <w:highlight w:val="none"/>
                    </w:rPr>
                  </w:pPr>
                  <w:r>
                    <w:rPr>
                      <w:rFonts w:hint="eastAsia" w:ascii="宋体" w:hAnsi="宋体" w:eastAsia="宋体" w:cs="宋体"/>
                      <w:color w:val="auto"/>
                      <w:highlight w:val="none"/>
                    </w:rPr>
                    <w:t>最终应支付的合同价款</w:t>
                  </w:r>
                </w:p>
              </w:tc>
              <w:tc>
                <w:tcPr>
                  <w:tcW w:w="1620" w:type="dxa"/>
                  <w:noWrap w:val="0"/>
                  <w:vAlign w:val="top"/>
                </w:tcPr>
                <w:p w14:paraId="35EE6648">
                  <w:pPr>
                    <w:spacing w:line="280" w:lineRule="exact"/>
                    <w:rPr>
                      <w:rFonts w:ascii="宋体" w:hAnsi="宋体" w:eastAsia="宋体" w:cs="宋体"/>
                      <w:color w:val="auto"/>
                      <w:highlight w:val="none"/>
                    </w:rPr>
                  </w:pPr>
                </w:p>
              </w:tc>
              <w:tc>
                <w:tcPr>
                  <w:tcW w:w="1620" w:type="dxa"/>
                  <w:noWrap w:val="0"/>
                  <w:vAlign w:val="top"/>
                </w:tcPr>
                <w:p w14:paraId="6A9F717F">
                  <w:pPr>
                    <w:spacing w:line="280" w:lineRule="exact"/>
                    <w:rPr>
                      <w:rFonts w:ascii="宋体" w:hAnsi="宋体" w:eastAsia="宋体" w:cs="宋体"/>
                      <w:color w:val="auto"/>
                      <w:highlight w:val="none"/>
                    </w:rPr>
                  </w:pPr>
                </w:p>
              </w:tc>
              <w:tc>
                <w:tcPr>
                  <w:tcW w:w="1651" w:type="dxa"/>
                  <w:noWrap w:val="0"/>
                  <w:vAlign w:val="top"/>
                </w:tcPr>
                <w:p w14:paraId="124ACFCA">
                  <w:pPr>
                    <w:spacing w:line="280" w:lineRule="exact"/>
                    <w:rPr>
                      <w:rFonts w:ascii="宋体" w:hAnsi="宋体" w:eastAsia="宋体" w:cs="宋体"/>
                      <w:color w:val="auto"/>
                      <w:highlight w:val="none"/>
                    </w:rPr>
                  </w:pPr>
                </w:p>
              </w:tc>
            </w:tr>
            <w:tr w14:paraId="1E94A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3D07A845">
                  <w:pPr>
                    <w:spacing w:line="280" w:lineRule="exact"/>
                    <w:jc w:val="center"/>
                    <w:rPr>
                      <w:rFonts w:ascii="宋体" w:hAnsi="宋体" w:eastAsia="宋体" w:cs="宋体"/>
                      <w:color w:val="auto"/>
                      <w:highlight w:val="none"/>
                    </w:rPr>
                  </w:pPr>
                </w:p>
              </w:tc>
              <w:tc>
                <w:tcPr>
                  <w:tcW w:w="3420" w:type="dxa"/>
                  <w:noWrap w:val="0"/>
                  <w:vAlign w:val="top"/>
                </w:tcPr>
                <w:p w14:paraId="3FE4E7D6">
                  <w:pPr>
                    <w:spacing w:line="280" w:lineRule="exact"/>
                    <w:rPr>
                      <w:rFonts w:ascii="宋体" w:hAnsi="宋体" w:eastAsia="宋体" w:cs="宋体"/>
                      <w:color w:val="auto"/>
                      <w:highlight w:val="none"/>
                    </w:rPr>
                  </w:pPr>
                </w:p>
              </w:tc>
              <w:tc>
                <w:tcPr>
                  <w:tcW w:w="1620" w:type="dxa"/>
                  <w:noWrap w:val="0"/>
                  <w:vAlign w:val="top"/>
                </w:tcPr>
                <w:p w14:paraId="5F4503F8">
                  <w:pPr>
                    <w:spacing w:line="280" w:lineRule="exact"/>
                    <w:rPr>
                      <w:rFonts w:ascii="宋体" w:hAnsi="宋体" w:eastAsia="宋体" w:cs="宋体"/>
                      <w:color w:val="auto"/>
                      <w:highlight w:val="none"/>
                    </w:rPr>
                  </w:pPr>
                </w:p>
              </w:tc>
              <w:tc>
                <w:tcPr>
                  <w:tcW w:w="1620" w:type="dxa"/>
                  <w:noWrap w:val="0"/>
                  <w:vAlign w:val="top"/>
                </w:tcPr>
                <w:p w14:paraId="6E23FB1D">
                  <w:pPr>
                    <w:spacing w:line="280" w:lineRule="exact"/>
                    <w:rPr>
                      <w:rFonts w:ascii="宋体" w:hAnsi="宋体" w:eastAsia="宋体" w:cs="宋体"/>
                      <w:color w:val="auto"/>
                      <w:highlight w:val="none"/>
                    </w:rPr>
                  </w:pPr>
                </w:p>
              </w:tc>
              <w:tc>
                <w:tcPr>
                  <w:tcW w:w="1651" w:type="dxa"/>
                  <w:noWrap w:val="0"/>
                  <w:vAlign w:val="top"/>
                </w:tcPr>
                <w:p w14:paraId="63F2CA85">
                  <w:pPr>
                    <w:spacing w:line="280" w:lineRule="exact"/>
                    <w:rPr>
                      <w:rFonts w:ascii="宋体" w:hAnsi="宋体" w:eastAsia="宋体" w:cs="宋体"/>
                      <w:color w:val="auto"/>
                      <w:highlight w:val="none"/>
                    </w:rPr>
                  </w:pPr>
                </w:p>
              </w:tc>
            </w:tr>
            <w:tr w14:paraId="3E174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749A8A97">
                  <w:pPr>
                    <w:spacing w:line="280" w:lineRule="exact"/>
                    <w:jc w:val="center"/>
                    <w:rPr>
                      <w:rFonts w:ascii="宋体" w:hAnsi="宋体" w:eastAsia="宋体" w:cs="宋体"/>
                      <w:color w:val="auto"/>
                      <w:highlight w:val="none"/>
                    </w:rPr>
                  </w:pPr>
                </w:p>
              </w:tc>
              <w:tc>
                <w:tcPr>
                  <w:tcW w:w="3420" w:type="dxa"/>
                  <w:noWrap w:val="0"/>
                  <w:vAlign w:val="top"/>
                </w:tcPr>
                <w:p w14:paraId="020ED8D4">
                  <w:pPr>
                    <w:spacing w:line="280" w:lineRule="exact"/>
                    <w:rPr>
                      <w:rFonts w:ascii="宋体" w:hAnsi="宋体" w:eastAsia="宋体" w:cs="宋体"/>
                      <w:color w:val="auto"/>
                      <w:highlight w:val="none"/>
                    </w:rPr>
                  </w:pPr>
                </w:p>
              </w:tc>
              <w:tc>
                <w:tcPr>
                  <w:tcW w:w="1620" w:type="dxa"/>
                  <w:noWrap w:val="0"/>
                  <w:vAlign w:val="top"/>
                </w:tcPr>
                <w:p w14:paraId="7830B1A7">
                  <w:pPr>
                    <w:spacing w:line="280" w:lineRule="exact"/>
                    <w:rPr>
                      <w:rFonts w:ascii="宋体" w:hAnsi="宋体" w:eastAsia="宋体" w:cs="宋体"/>
                      <w:color w:val="auto"/>
                      <w:highlight w:val="none"/>
                    </w:rPr>
                  </w:pPr>
                </w:p>
              </w:tc>
              <w:tc>
                <w:tcPr>
                  <w:tcW w:w="1620" w:type="dxa"/>
                  <w:noWrap w:val="0"/>
                  <w:vAlign w:val="top"/>
                </w:tcPr>
                <w:p w14:paraId="24601050">
                  <w:pPr>
                    <w:spacing w:line="280" w:lineRule="exact"/>
                    <w:rPr>
                      <w:rFonts w:ascii="宋体" w:hAnsi="宋体" w:eastAsia="宋体" w:cs="宋体"/>
                      <w:color w:val="auto"/>
                      <w:highlight w:val="none"/>
                    </w:rPr>
                  </w:pPr>
                </w:p>
              </w:tc>
              <w:tc>
                <w:tcPr>
                  <w:tcW w:w="1651" w:type="dxa"/>
                  <w:noWrap w:val="0"/>
                  <w:vAlign w:val="top"/>
                </w:tcPr>
                <w:p w14:paraId="72ED3E80">
                  <w:pPr>
                    <w:spacing w:line="280" w:lineRule="exact"/>
                    <w:rPr>
                      <w:rFonts w:ascii="宋体" w:hAnsi="宋体" w:eastAsia="宋体" w:cs="宋体"/>
                      <w:color w:val="auto"/>
                      <w:highlight w:val="none"/>
                    </w:rPr>
                  </w:pPr>
                </w:p>
              </w:tc>
            </w:tr>
            <w:tr w14:paraId="6FF1B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389F5C3A">
                  <w:pPr>
                    <w:spacing w:line="280" w:lineRule="exact"/>
                    <w:jc w:val="center"/>
                    <w:rPr>
                      <w:rFonts w:ascii="宋体" w:hAnsi="宋体" w:eastAsia="宋体" w:cs="宋体"/>
                      <w:color w:val="auto"/>
                      <w:highlight w:val="none"/>
                    </w:rPr>
                  </w:pPr>
                </w:p>
              </w:tc>
              <w:tc>
                <w:tcPr>
                  <w:tcW w:w="3420" w:type="dxa"/>
                  <w:noWrap w:val="0"/>
                  <w:vAlign w:val="top"/>
                </w:tcPr>
                <w:p w14:paraId="18DDA8F3">
                  <w:pPr>
                    <w:spacing w:line="280" w:lineRule="exact"/>
                    <w:rPr>
                      <w:rFonts w:ascii="宋体" w:hAnsi="宋体" w:eastAsia="宋体" w:cs="宋体"/>
                      <w:color w:val="auto"/>
                      <w:highlight w:val="none"/>
                    </w:rPr>
                  </w:pPr>
                </w:p>
              </w:tc>
              <w:tc>
                <w:tcPr>
                  <w:tcW w:w="1620" w:type="dxa"/>
                  <w:noWrap w:val="0"/>
                  <w:vAlign w:val="top"/>
                </w:tcPr>
                <w:p w14:paraId="12820B3D">
                  <w:pPr>
                    <w:spacing w:line="280" w:lineRule="exact"/>
                    <w:rPr>
                      <w:rFonts w:ascii="宋体" w:hAnsi="宋体" w:eastAsia="宋体" w:cs="宋体"/>
                      <w:color w:val="auto"/>
                      <w:highlight w:val="none"/>
                    </w:rPr>
                  </w:pPr>
                </w:p>
              </w:tc>
              <w:tc>
                <w:tcPr>
                  <w:tcW w:w="1620" w:type="dxa"/>
                  <w:noWrap w:val="0"/>
                  <w:vAlign w:val="top"/>
                </w:tcPr>
                <w:p w14:paraId="5DF659F3">
                  <w:pPr>
                    <w:spacing w:line="280" w:lineRule="exact"/>
                    <w:rPr>
                      <w:rFonts w:ascii="宋体" w:hAnsi="宋体" w:eastAsia="宋体" w:cs="宋体"/>
                      <w:color w:val="auto"/>
                      <w:highlight w:val="none"/>
                    </w:rPr>
                  </w:pPr>
                </w:p>
              </w:tc>
              <w:tc>
                <w:tcPr>
                  <w:tcW w:w="1651" w:type="dxa"/>
                  <w:noWrap w:val="0"/>
                  <w:vAlign w:val="top"/>
                </w:tcPr>
                <w:p w14:paraId="3487AC44">
                  <w:pPr>
                    <w:spacing w:line="280" w:lineRule="exact"/>
                    <w:rPr>
                      <w:rFonts w:ascii="宋体" w:hAnsi="宋体" w:eastAsia="宋体" w:cs="宋体"/>
                      <w:color w:val="auto"/>
                      <w:highlight w:val="none"/>
                    </w:rPr>
                  </w:pPr>
                </w:p>
              </w:tc>
            </w:tr>
            <w:tr w14:paraId="24C6E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34826457">
                  <w:pPr>
                    <w:spacing w:line="280" w:lineRule="exact"/>
                    <w:jc w:val="center"/>
                    <w:rPr>
                      <w:rFonts w:ascii="宋体" w:hAnsi="宋体" w:eastAsia="宋体" w:cs="宋体"/>
                      <w:color w:val="auto"/>
                      <w:highlight w:val="none"/>
                    </w:rPr>
                  </w:pPr>
                </w:p>
              </w:tc>
              <w:tc>
                <w:tcPr>
                  <w:tcW w:w="3420" w:type="dxa"/>
                  <w:noWrap w:val="0"/>
                  <w:vAlign w:val="top"/>
                </w:tcPr>
                <w:p w14:paraId="41CEBCF9">
                  <w:pPr>
                    <w:spacing w:line="280" w:lineRule="exact"/>
                    <w:rPr>
                      <w:rFonts w:ascii="宋体" w:hAnsi="宋体" w:eastAsia="宋体" w:cs="宋体"/>
                      <w:color w:val="auto"/>
                      <w:highlight w:val="none"/>
                    </w:rPr>
                  </w:pPr>
                </w:p>
              </w:tc>
              <w:tc>
                <w:tcPr>
                  <w:tcW w:w="1620" w:type="dxa"/>
                  <w:noWrap w:val="0"/>
                  <w:vAlign w:val="top"/>
                </w:tcPr>
                <w:p w14:paraId="797F67DD">
                  <w:pPr>
                    <w:spacing w:line="280" w:lineRule="exact"/>
                    <w:rPr>
                      <w:rFonts w:ascii="宋体" w:hAnsi="宋体" w:eastAsia="宋体" w:cs="宋体"/>
                      <w:color w:val="auto"/>
                      <w:highlight w:val="none"/>
                    </w:rPr>
                  </w:pPr>
                </w:p>
              </w:tc>
              <w:tc>
                <w:tcPr>
                  <w:tcW w:w="1620" w:type="dxa"/>
                  <w:noWrap w:val="0"/>
                  <w:vAlign w:val="top"/>
                </w:tcPr>
                <w:p w14:paraId="6CCECCC7">
                  <w:pPr>
                    <w:spacing w:line="280" w:lineRule="exact"/>
                    <w:rPr>
                      <w:rFonts w:ascii="宋体" w:hAnsi="宋体" w:eastAsia="宋体" w:cs="宋体"/>
                      <w:color w:val="auto"/>
                      <w:highlight w:val="none"/>
                    </w:rPr>
                  </w:pPr>
                </w:p>
              </w:tc>
              <w:tc>
                <w:tcPr>
                  <w:tcW w:w="1651" w:type="dxa"/>
                  <w:noWrap w:val="0"/>
                  <w:vAlign w:val="top"/>
                </w:tcPr>
                <w:p w14:paraId="7A30903C">
                  <w:pPr>
                    <w:spacing w:line="280" w:lineRule="exact"/>
                    <w:rPr>
                      <w:rFonts w:ascii="宋体" w:hAnsi="宋体" w:eastAsia="宋体" w:cs="宋体"/>
                      <w:color w:val="auto"/>
                      <w:highlight w:val="none"/>
                    </w:rPr>
                  </w:pPr>
                </w:p>
              </w:tc>
            </w:tr>
          </w:tbl>
          <w:p w14:paraId="596D6B4D">
            <w:pPr>
              <w:spacing w:line="400" w:lineRule="exact"/>
              <w:ind w:right="420" w:firstLine="435"/>
              <w:jc w:val="center"/>
              <w:rPr>
                <w:rFonts w:ascii="宋体" w:hAnsi="宋体" w:eastAsia="宋体" w:cs="宋体"/>
                <w:color w:val="auto"/>
                <w:highlight w:val="none"/>
              </w:rPr>
            </w:pPr>
            <w:r>
              <w:rPr>
                <w:rFonts w:hint="eastAsia" w:ascii="宋体" w:hAnsi="宋体" w:eastAsia="宋体" w:cs="宋体"/>
                <w:color w:val="auto"/>
                <w:highlight w:val="none"/>
              </w:rPr>
              <w:t xml:space="preserve">                                            承包人（章）             </w:t>
            </w:r>
          </w:p>
          <w:p w14:paraId="38618840">
            <w:pPr>
              <w:spacing w:line="400" w:lineRule="exact"/>
              <w:ind w:right="420" w:firstLine="435"/>
              <w:rPr>
                <w:rFonts w:ascii="宋体" w:hAnsi="宋体" w:eastAsia="宋体" w:cs="宋体"/>
                <w:color w:val="auto"/>
                <w:highlight w:val="none"/>
              </w:rPr>
            </w:pPr>
            <w:r>
              <w:rPr>
                <w:rFonts w:hint="eastAsia" w:ascii="宋体" w:hAnsi="宋体" w:eastAsia="宋体" w:cs="宋体"/>
                <w:color w:val="auto"/>
                <w:highlight w:val="none"/>
              </w:rPr>
              <w:t>造价人员</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承包人代表</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      期</w:t>
            </w:r>
            <w:r>
              <w:rPr>
                <w:rFonts w:hint="eastAsia" w:ascii="宋体" w:hAnsi="宋体" w:eastAsia="宋体" w:cs="宋体"/>
                <w:color w:val="auto"/>
                <w:highlight w:val="none"/>
                <w:u w:val="single"/>
              </w:rPr>
              <w:t xml:space="preserve">               </w:t>
            </w:r>
          </w:p>
        </w:tc>
      </w:tr>
      <w:tr w14:paraId="25952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0" w:hRule="atLeast"/>
          <w:jc w:val="center"/>
        </w:trPr>
        <w:tc>
          <w:tcPr>
            <w:tcW w:w="4620" w:type="dxa"/>
            <w:noWrap w:val="0"/>
            <w:vAlign w:val="top"/>
          </w:tcPr>
          <w:p w14:paraId="3FF13BB5">
            <w:pPr>
              <w:spacing w:line="360" w:lineRule="exact"/>
              <w:rPr>
                <w:rFonts w:ascii="宋体" w:hAnsi="宋体" w:eastAsia="宋体" w:cs="宋体"/>
                <w:color w:val="auto"/>
                <w:highlight w:val="none"/>
              </w:rPr>
            </w:pPr>
            <w:r>
              <w:rPr>
                <w:rFonts w:hint="eastAsia" w:ascii="宋体" w:hAnsi="宋体" w:eastAsia="宋体" w:cs="宋体"/>
                <w:color w:val="auto"/>
                <w:highlight w:val="none"/>
              </w:rPr>
              <w:t>复核意见：</w:t>
            </w:r>
          </w:p>
          <w:p w14:paraId="6F52B23B">
            <w:pPr>
              <w:spacing w:line="360" w:lineRule="exact"/>
              <w:ind w:firstLine="312"/>
              <w:rPr>
                <w:rFonts w:ascii="宋体" w:hAnsi="宋体" w:eastAsia="宋体" w:cs="宋体"/>
                <w:color w:val="auto"/>
                <w:highlight w:val="none"/>
              </w:rPr>
            </w:pPr>
            <w:r>
              <w:rPr>
                <w:rFonts w:hint="eastAsia" w:ascii="宋体" w:hAnsi="宋体" w:eastAsia="宋体" w:cs="宋体"/>
                <w:color w:val="auto"/>
                <w:highlight w:val="none"/>
              </w:rPr>
              <w:t>□与实际施工情况不相符，修改意见见附件。</w:t>
            </w:r>
          </w:p>
          <w:p w14:paraId="4BF6093E">
            <w:pPr>
              <w:spacing w:line="360" w:lineRule="exact"/>
              <w:ind w:firstLine="312"/>
              <w:rPr>
                <w:rFonts w:ascii="宋体" w:hAnsi="宋体" w:eastAsia="宋体" w:cs="宋体"/>
                <w:color w:val="auto"/>
                <w:highlight w:val="none"/>
              </w:rPr>
            </w:pPr>
            <w:r>
              <w:rPr>
                <w:rFonts w:hint="eastAsia" w:ascii="宋体" w:hAnsi="宋体" w:eastAsia="宋体" w:cs="宋体"/>
                <w:color w:val="auto"/>
                <w:highlight w:val="none"/>
              </w:rPr>
              <w:t>□与实际施工情况相符，具体金额由造价工程师复核。</w:t>
            </w:r>
          </w:p>
          <w:p w14:paraId="39B6B4BE">
            <w:pPr>
              <w:spacing w:line="360" w:lineRule="exact"/>
              <w:ind w:firstLine="435"/>
              <w:jc w:val="right"/>
              <w:rPr>
                <w:rFonts w:ascii="宋体" w:hAnsi="宋体" w:eastAsia="宋体" w:cs="宋体"/>
                <w:color w:val="auto"/>
                <w:highlight w:val="none"/>
              </w:rPr>
            </w:pPr>
          </w:p>
          <w:p w14:paraId="40DB7AAF">
            <w:pPr>
              <w:spacing w:line="360" w:lineRule="exact"/>
              <w:ind w:firstLine="435"/>
              <w:jc w:val="right"/>
              <w:rPr>
                <w:rFonts w:ascii="宋体" w:hAnsi="宋体" w:eastAsia="宋体" w:cs="宋体"/>
                <w:color w:val="auto"/>
                <w:highlight w:val="none"/>
              </w:rPr>
            </w:pPr>
          </w:p>
          <w:p w14:paraId="49762143">
            <w:pPr>
              <w:spacing w:line="360" w:lineRule="exact"/>
              <w:ind w:firstLine="435"/>
              <w:jc w:val="center"/>
              <w:rPr>
                <w:rFonts w:ascii="宋体" w:hAnsi="宋体" w:eastAsia="宋体" w:cs="宋体"/>
                <w:color w:val="auto"/>
                <w:highlight w:val="none"/>
              </w:rPr>
            </w:pPr>
            <w:r>
              <w:rPr>
                <w:rFonts w:hint="eastAsia" w:ascii="宋体" w:hAnsi="宋体" w:eastAsia="宋体" w:cs="宋体"/>
                <w:color w:val="auto"/>
                <w:highlight w:val="none"/>
              </w:rPr>
              <w:t xml:space="preserve">         </w:t>
            </w:r>
          </w:p>
          <w:p w14:paraId="15AA207B">
            <w:pPr>
              <w:spacing w:line="360" w:lineRule="exact"/>
              <w:ind w:firstLine="435"/>
              <w:jc w:val="center"/>
              <w:rPr>
                <w:rFonts w:ascii="宋体" w:hAnsi="宋体" w:eastAsia="宋体" w:cs="宋体"/>
                <w:color w:val="auto"/>
                <w:highlight w:val="none"/>
                <w:u w:val="single"/>
              </w:rPr>
            </w:pPr>
            <w:r>
              <w:rPr>
                <w:rFonts w:hint="eastAsia" w:ascii="宋体" w:hAnsi="宋体" w:eastAsia="宋体" w:cs="宋体"/>
                <w:color w:val="auto"/>
                <w:highlight w:val="none"/>
              </w:rPr>
              <w:t xml:space="preserve">        监理工程师</w:t>
            </w:r>
            <w:r>
              <w:rPr>
                <w:rFonts w:hint="eastAsia" w:ascii="宋体" w:hAnsi="宋体" w:eastAsia="宋体" w:cs="宋体"/>
                <w:color w:val="auto"/>
                <w:highlight w:val="none"/>
                <w:u w:val="single"/>
              </w:rPr>
              <w:t xml:space="preserve">           </w:t>
            </w:r>
          </w:p>
          <w:p w14:paraId="5E7A5218">
            <w:pPr>
              <w:spacing w:line="360" w:lineRule="exact"/>
              <w:ind w:firstLine="435"/>
              <w:jc w:val="center"/>
              <w:rPr>
                <w:rFonts w:ascii="宋体" w:hAnsi="宋体" w:eastAsia="宋体" w:cs="宋体"/>
                <w:color w:val="auto"/>
                <w:highlight w:val="none"/>
                <w:u w:val="single"/>
              </w:rPr>
            </w:pPr>
            <w:r>
              <w:rPr>
                <w:rFonts w:hint="eastAsia" w:ascii="宋体" w:hAnsi="宋体" w:eastAsia="宋体" w:cs="宋体"/>
                <w:color w:val="auto"/>
                <w:highlight w:val="none"/>
              </w:rPr>
              <w:t xml:space="preserve">        日      期</w:t>
            </w:r>
            <w:r>
              <w:rPr>
                <w:rFonts w:hint="eastAsia" w:ascii="宋体" w:hAnsi="宋体" w:eastAsia="宋体" w:cs="宋体"/>
                <w:color w:val="auto"/>
                <w:highlight w:val="none"/>
                <w:u w:val="single"/>
              </w:rPr>
              <w:t xml:space="preserve">           </w:t>
            </w:r>
          </w:p>
        </w:tc>
        <w:tc>
          <w:tcPr>
            <w:tcW w:w="4620" w:type="dxa"/>
            <w:noWrap w:val="0"/>
            <w:vAlign w:val="top"/>
          </w:tcPr>
          <w:p w14:paraId="0D5DC94A">
            <w:pPr>
              <w:spacing w:line="360" w:lineRule="exact"/>
              <w:rPr>
                <w:rFonts w:ascii="宋体" w:hAnsi="宋体" w:eastAsia="宋体" w:cs="宋体"/>
                <w:color w:val="auto"/>
                <w:highlight w:val="none"/>
              </w:rPr>
            </w:pPr>
            <w:r>
              <w:rPr>
                <w:rFonts w:hint="eastAsia" w:ascii="宋体" w:hAnsi="宋体" w:eastAsia="宋体" w:cs="宋体"/>
                <w:color w:val="auto"/>
                <w:highlight w:val="none"/>
              </w:rPr>
              <w:t>复核意见：</w:t>
            </w:r>
          </w:p>
          <w:p w14:paraId="1EB4166F">
            <w:pPr>
              <w:spacing w:line="360" w:lineRule="exact"/>
              <w:ind w:firstLine="435"/>
              <w:rPr>
                <w:rFonts w:ascii="宋体" w:hAnsi="宋体" w:eastAsia="宋体" w:cs="宋体"/>
                <w:color w:val="auto"/>
                <w:highlight w:val="none"/>
                <w:u w:val="single"/>
              </w:rPr>
            </w:pPr>
            <w:r>
              <w:rPr>
                <w:rFonts w:hint="eastAsia" w:ascii="宋体" w:hAnsi="宋体" w:eastAsia="宋体" w:cs="宋体"/>
                <w:color w:val="auto"/>
                <w:highlight w:val="none"/>
              </w:rPr>
              <w:t>你方提出的支付申请经复核，最终应支付金额为（大写）</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元，（小写）  </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元。</w:t>
            </w:r>
          </w:p>
          <w:p w14:paraId="74AE922F">
            <w:pPr>
              <w:spacing w:line="360" w:lineRule="exact"/>
              <w:ind w:firstLine="435"/>
              <w:jc w:val="center"/>
              <w:rPr>
                <w:rFonts w:ascii="宋体" w:hAnsi="宋体" w:eastAsia="宋体" w:cs="宋体"/>
                <w:color w:val="auto"/>
                <w:highlight w:val="none"/>
              </w:rPr>
            </w:pPr>
            <w:r>
              <w:rPr>
                <w:rFonts w:hint="eastAsia" w:ascii="宋体" w:hAnsi="宋体" w:eastAsia="宋体" w:cs="宋体"/>
                <w:color w:val="auto"/>
                <w:highlight w:val="none"/>
              </w:rPr>
              <w:t xml:space="preserve">    </w:t>
            </w:r>
          </w:p>
          <w:p w14:paraId="3CC7A5AF">
            <w:pPr>
              <w:spacing w:line="360" w:lineRule="exact"/>
              <w:ind w:firstLine="435"/>
              <w:jc w:val="center"/>
              <w:rPr>
                <w:rFonts w:ascii="宋体" w:hAnsi="宋体" w:eastAsia="宋体" w:cs="宋体"/>
                <w:color w:val="auto"/>
                <w:highlight w:val="none"/>
              </w:rPr>
            </w:pPr>
          </w:p>
          <w:p w14:paraId="72F96D9F">
            <w:pPr>
              <w:spacing w:line="360" w:lineRule="exact"/>
              <w:ind w:firstLine="435"/>
              <w:jc w:val="center"/>
              <w:rPr>
                <w:rFonts w:ascii="宋体" w:hAnsi="宋体" w:eastAsia="宋体" w:cs="宋体"/>
                <w:color w:val="auto"/>
                <w:highlight w:val="none"/>
              </w:rPr>
            </w:pPr>
          </w:p>
          <w:p w14:paraId="71830417">
            <w:pPr>
              <w:spacing w:line="360" w:lineRule="exact"/>
              <w:ind w:firstLine="435"/>
              <w:jc w:val="center"/>
              <w:rPr>
                <w:rFonts w:ascii="宋体" w:hAnsi="宋体" w:eastAsia="宋体" w:cs="宋体"/>
                <w:color w:val="auto"/>
                <w:highlight w:val="none"/>
              </w:rPr>
            </w:pPr>
          </w:p>
          <w:p w14:paraId="2D5D95A7">
            <w:pPr>
              <w:spacing w:line="360" w:lineRule="exact"/>
              <w:ind w:firstLine="435"/>
              <w:jc w:val="center"/>
              <w:rPr>
                <w:rFonts w:ascii="宋体" w:hAnsi="宋体" w:eastAsia="宋体" w:cs="宋体"/>
                <w:color w:val="auto"/>
                <w:highlight w:val="none"/>
                <w:u w:val="single"/>
              </w:rPr>
            </w:pPr>
            <w:r>
              <w:rPr>
                <w:rFonts w:hint="eastAsia" w:ascii="宋体" w:hAnsi="宋体" w:eastAsia="宋体" w:cs="宋体"/>
                <w:color w:val="auto"/>
                <w:highlight w:val="none"/>
              </w:rPr>
              <w:t xml:space="preserve">    造价工程师</w:t>
            </w:r>
            <w:r>
              <w:rPr>
                <w:rFonts w:hint="eastAsia" w:ascii="宋体" w:hAnsi="宋体" w:eastAsia="宋体" w:cs="宋体"/>
                <w:color w:val="auto"/>
                <w:highlight w:val="none"/>
                <w:u w:val="single"/>
              </w:rPr>
              <w:t xml:space="preserve">           </w:t>
            </w:r>
          </w:p>
          <w:p w14:paraId="625A66F4">
            <w:pPr>
              <w:spacing w:line="360" w:lineRule="exact"/>
              <w:ind w:firstLine="435"/>
              <w:jc w:val="center"/>
              <w:rPr>
                <w:rFonts w:ascii="宋体" w:hAnsi="宋体" w:eastAsia="宋体" w:cs="宋体"/>
                <w:color w:val="auto"/>
                <w:highlight w:val="none"/>
                <w:u w:val="single"/>
              </w:rPr>
            </w:pPr>
            <w:r>
              <w:rPr>
                <w:rFonts w:hint="eastAsia" w:ascii="宋体" w:hAnsi="宋体" w:eastAsia="宋体" w:cs="宋体"/>
                <w:color w:val="auto"/>
                <w:highlight w:val="none"/>
              </w:rPr>
              <w:t xml:space="preserve">    日      期</w:t>
            </w:r>
            <w:r>
              <w:rPr>
                <w:rFonts w:hint="eastAsia" w:ascii="宋体" w:hAnsi="宋体" w:eastAsia="宋体" w:cs="宋体"/>
                <w:color w:val="auto"/>
                <w:highlight w:val="none"/>
                <w:u w:val="single"/>
              </w:rPr>
              <w:t xml:space="preserve">           </w:t>
            </w:r>
          </w:p>
        </w:tc>
      </w:tr>
      <w:tr w14:paraId="55C52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1" w:hRule="atLeast"/>
          <w:jc w:val="center"/>
        </w:trPr>
        <w:tc>
          <w:tcPr>
            <w:tcW w:w="9240" w:type="dxa"/>
            <w:gridSpan w:val="2"/>
            <w:noWrap w:val="0"/>
            <w:vAlign w:val="top"/>
          </w:tcPr>
          <w:p w14:paraId="27E30F66">
            <w:pPr>
              <w:spacing w:line="400" w:lineRule="exact"/>
              <w:rPr>
                <w:rFonts w:ascii="宋体" w:hAnsi="宋体" w:eastAsia="宋体" w:cs="宋体"/>
                <w:color w:val="auto"/>
                <w:highlight w:val="none"/>
              </w:rPr>
            </w:pPr>
            <w:r>
              <w:rPr>
                <w:rFonts w:hint="eastAsia" w:ascii="宋体" w:hAnsi="宋体" w:eastAsia="宋体" w:cs="宋体"/>
                <w:color w:val="auto"/>
                <w:highlight w:val="none"/>
              </w:rPr>
              <w:t>审核意见：</w:t>
            </w:r>
          </w:p>
          <w:p w14:paraId="32CCDC7E">
            <w:pPr>
              <w:spacing w:line="400" w:lineRule="exact"/>
              <w:ind w:firstLine="435"/>
              <w:rPr>
                <w:rFonts w:ascii="宋体" w:hAnsi="宋体" w:eastAsia="宋体" w:cs="宋体"/>
                <w:color w:val="auto"/>
                <w:highlight w:val="none"/>
              </w:rPr>
            </w:pPr>
            <w:r>
              <w:rPr>
                <w:rFonts w:hint="eastAsia" w:ascii="宋体" w:hAnsi="宋体" w:eastAsia="宋体" w:cs="宋体"/>
                <w:color w:val="auto"/>
                <w:highlight w:val="none"/>
              </w:rPr>
              <w:t>□不同意。</w:t>
            </w:r>
          </w:p>
          <w:p w14:paraId="557E4C82">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□同意，支付时间为本表签发后的15天内。</w:t>
            </w:r>
          </w:p>
          <w:p w14:paraId="1414329B">
            <w:pPr>
              <w:wordWrap w:val="0"/>
              <w:spacing w:line="400" w:lineRule="exact"/>
              <w:ind w:firstLine="420" w:firstLineChars="200"/>
              <w:jc w:val="right"/>
              <w:rPr>
                <w:rFonts w:ascii="宋体" w:hAnsi="宋体" w:eastAsia="宋体" w:cs="宋体"/>
                <w:color w:val="auto"/>
                <w:highlight w:val="none"/>
              </w:rPr>
            </w:pPr>
            <w:r>
              <w:rPr>
                <w:rFonts w:hint="eastAsia" w:ascii="宋体" w:hAnsi="宋体" w:eastAsia="宋体" w:cs="宋体"/>
                <w:color w:val="auto"/>
                <w:highlight w:val="none"/>
              </w:rPr>
              <w:t xml:space="preserve">发包人（章）           </w:t>
            </w:r>
          </w:p>
          <w:p w14:paraId="4DB5D12E">
            <w:pPr>
              <w:wordWrap w:val="0"/>
              <w:spacing w:line="400" w:lineRule="exact"/>
              <w:ind w:firstLine="420" w:firstLineChars="200"/>
              <w:jc w:val="right"/>
              <w:rPr>
                <w:rFonts w:ascii="宋体" w:hAnsi="宋体" w:eastAsia="宋体" w:cs="宋体"/>
                <w:color w:val="auto"/>
                <w:highlight w:val="none"/>
                <w:u w:val="single"/>
              </w:rPr>
            </w:pPr>
            <w:r>
              <w:rPr>
                <w:rFonts w:hint="eastAsia" w:ascii="宋体" w:hAnsi="宋体" w:eastAsia="宋体" w:cs="宋体"/>
                <w:color w:val="auto"/>
                <w:highlight w:val="none"/>
              </w:rPr>
              <w:t>发包人代表</w:t>
            </w:r>
            <w:r>
              <w:rPr>
                <w:rFonts w:hint="eastAsia" w:ascii="宋体" w:hAnsi="宋体" w:eastAsia="宋体" w:cs="宋体"/>
                <w:color w:val="auto"/>
                <w:highlight w:val="none"/>
                <w:u w:val="single"/>
              </w:rPr>
              <w:t xml:space="preserve">             </w:t>
            </w:r>
          </w:p>
          <w:p w14:paraId="2F6C1F7C">
            <w:pPr>
              <w:wordWrap w:val="0"/>
              <w:spacing w:line="400" w:lineRule="exact"/>
              <w:ind w:firstLine="420" w:firstLineChars="200"/>
              <w:jc w:val="right"/>
              <w:rPr>
                <w:rFonts w:ascii="宋体" w:hAnsi="宋体" w:eastAsia="宋体" w:cs="宋体"/>
                <w:color w:val="auto"/>
                <w:highlight w:val="none"/>
                <w:u w:val="single"/>
              </w:rPr>
            </w:pPr>
            <w:r>
              <w:rPr>
                <w:rFonts w:hint="eastAsia" w:ascii="宋体" w:hAnsi="宋体" w:eastAsia="宋体" w:cs="宋体"/>
                <w:color w:val="auto"/>
                <w:highlight w:val="none"/>
              </w:rPr>
              <w:t>日      期</w:t>
            </w:r>
            <w:r>
              <w:rPr>
                <w:rFonts w:hint="eastAsia" w:ascii="宋体" w:hAnsi="宋体" w:eastAsia="宋体" w:cs="宋体"/>
                <w:color w:val="auto"/>
                <w:highlight w:val="none"/>
                <w:u w:val="single"/>
              </w:rPr>
              <w:t xml:space="preserve">             </w:t>
            </w:r>
          </w:p>
        </w:tc>
      </w:tr>
    </w:tbl>
    <w:p w14:paraId="4BBCF2E9">
      <w:pPr>
        <w:spacing w:before="120" w:beforeLines="50"/>
        <w:ind w:firstLine="360" w:firstLineChars="200"/>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注：1.在选择栏中的“□”内作标识“√”。 如监理人已退场，监理工程师栏可空缺。</w:t>
      </w:r>
    </w:p>
    <w:p w14:paraId="774B9F95">
      <w:pPr>
        <w:spacing w:before="120" w:beforeLines="50"/>
        <w:ind w:left="720" w:hanging="720" w:hangingChars="400"/>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 xml:space="preserve">        2.本表一式四份，由承包人填报，发包人、监理人、造价咨询人、承包人各存一份。</w:t>
      </w:r>
    </w:p>
    <w:p w14:paraId="0F8D53CF">
      <w:pPr>
        <w:spacing w:line="360" w:lineRule="auto"/>
        <w:ind w:firstLine="420" w:firstLineChars="200"/>
        <w:jc w:val="left"/>
        <w:rPr>
          <w:rFonts w:ascii="宋体" w:hAnsi="宋体" w:eastAsia="宋体" w:cs="宋体"/>
          <w:color w:val="auto"/>
          <w:highlight w:val="none"/>
          <w:u w:val="single"/>
        </w:rPr>
      </w:pPr>
    </w:p>
    <w:p w14:paraId="2A563D2A">
      <w:pPr>
        <w:spacing w:before="120" w:beforeLines="50"/>
        <w:ind w:left="1200" w:hanging="1200" w:hangingChars="400"/>
        <w:rPr>
          <w:rFonts w:ascii="宋体" w:hAnsi="宋体" w:eastAsia="宋体" w:cs="宋体"/>
          <w:color w:val="auto"/>
          <w:sz w:val="30"/>
          <w:szCs w:val="30"/>
          <w:highlight w:val="none"/>
        </w:rPr>
      </w:pPr>
    </w:p>
    <w:p w14:paraId="31E03BE1">
      <w:pPr>
        <w:pStyle w:val="6"/>
        <w:jc w:val="left"/>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附件14：</w:t>
      </w:r>
    </w:p>
    <w:p w14:paraId="0DC07396">
      <w:pPr>
        <w:spacing w:line="360" w:lineRule="auto"/>
        <w:ind w:firstLine="720" w:firstLineChars="200"/>
        <w:jc w:val="center"/>
        <w:rPr>
          <w:rFonts w:ascii="宋体" w:hAnsi="宋体" w:eastAsia="宋体" w:cs="宋体"/>
          <w:color w:val="auto"/>
          <w:kern w:val="0"/>
          <w:sz w:val="36"/>
          <w:szCs w:val="36"/>
          <w:highlight w:val="none"/>
        </w:rPr>
      </w:pPr>
      <w:r>
        <w:rPr>
          <w:rFonts w:hint="eastAsia" w:ascii="宋体" w:hAnsi="宋体" w:eastAsia="宋体" w:cs="宋体"/>
          <w:color w:val="auto"/>
          <w:kern w:val="0"/>
          <w:sz w:val="36"/>
          <w:szCs w:val="36"/>
          <w:highlight w:val="none"/>
        </w:rPr>
        <w:t>总价合同进度款支付分解表</w:t>
      </w:r>
    </w:p>
    <w:p w14:paraId="63020A1F">
      <w:pPr>
        <w:spacing w:line="360" w:lineRule="auto"/>
        <w:rPr>
          <w:rFonts w:ascii="宋体" w:hAnsi="宋体" w:eastAsia="宋体" w:cs="宋体"/>
          <w:color w:val="auto"/>
          <w:kern w:val="0"/>
          <w:highlight w:val="none"/>
        </w:rPr>
      </w:pPr>
      <w:r>
        <w:rPr>
          <w:rFonts w:hint="eastAsia" w:ascii="宋体" w:hAnsi="宋体" w:eastAsia="宋体" w:cs="宋体"/>
          <w:color w:val="auto"/>
          <w:kern w:val="0"/>
          <w:highlight w:val="none"/>
        </w:rPr>
        <w:t>工程名称：</w:t>
      </w:r>
    </w:p>
    <w:tbl>
      <w:tblPr>
        <w:tblStyle w:val="54"/>
        <w:tblW w:w="8789"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
        <w:gridCol w:w="1417"/>
        <w:gridCol w:w="3119"/>
        <w:gridCol w:w="675"/>
        <w:gridCol w:w="2268"/>
        <w:gridCol w:w="1276"/>
      </w:tblGrid>
      <w:tr w14:paraId="514F5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34" w:type="dxa"/>
        </w:trPr>
        <w:tc>
          <w:tcPr>
            <w:tcW w:w="1417" w:type="dxa"/>
            <w:noWrap w:val="0"/>
            <w:vAlign w:val="top"/>
          </w:tcPr>
          <w:p w14:paraId="38508C4F">
            <w:pPr>
              <w:spacing w:line="360" w:lineRule="auto"/>
              <w:jc w:val="center"/>
              <w:rPr>
                <w:rFonts w:ascii="宋体" w:hAnsi="宋体" w:eastAsia="宋体" w:cs="宋体"/>
                <w:color w:val="auto"/>
                <w:kern w:val="0"/>
                <w:highlight w:val="none"/>
              </w:rPr>
            </w:pPr>
            <w:r>
              <w:rPr>
                <w:rFonts w:hint="eastAsia" w:ascii="宋体" w:hAnsi="宋体" w:eastAsia="宋体" w:cs="宋体"/>
                <w:color w:val="auto"/>
                <w:kern w:val="0"/>
                <w:highlight w:val="none"/>
              </w:rPr>
              <w:t>进度款期次</w:t>
            </w:r>
          </w:p>
        </w:tc>
        <w:tc>
          <w:tcPr>
            <w:tcW w:w="3794" w:type="dxa"/>
            <w:gridSpan w:val="2"/>
            <w:noWrap w:val="0"/>
            <w:vAlign w:val="top"/>
          </w:tcPr>
          <w:p w14:paraId="711AA89F">
            <w:pPr>
              <w:spacing w:line="360" w:lineRule="auto"/>
              <w:jc w:val="center"/>
              <w:rPr>
                <w:rFonts w:ascii="宋体" w:hAnsi="宋体" w:eastAsia="宋体" w:cs="宋体"/>
                <w:color w:val="auto"/>
                <w:kern w:val="0"/>
                <w:highlight w:val="none"/>
              </w:rPr>
            </w:pPr>
            <w:r>
              <w:rPr>
                <w:rFonts w:hint="eastAsia" w:ascii="宋体" w:hAnsi="宋体" w:eastAsia="宋体" w:cs="宋体"/>
                <w:color w:val="auto"/>
                <w:kern w:val="0"/>
                <w:highlight w:val="none"/>
              </w:rPr>
              <w:t>形象进度</w:t>
            </w:r>
          </w:p>
        </w:tc>
        <w:tc>
          <w:tcPr>
            <w:tcW w:w="2268" w:type="dxa"/>
            <w:noWrap w:val="0"/>
            <w:vAlign w:val="top"/>
          </w:tcPr>
          <w:p w14:paraId="4EBA400F">
            <w:pPr>
              <w:spacing w:line="360" w:lineRule="auto"/>
              <w:jc w:val="center"/>
              <w:rPr>
                <w:rFonts w:ascii="宋体" w:hAnsi="宋体" w:eastAsia="宋体" w:cs="宋体"/>
                <w:color w:val="auto"/>
                <w:kern w:val="0"/>
                <w:highlight w:val="none"/>
              </w:rPr>
            </w:pPr>
            <w:r>
              <w:rPr>
                <w:rFonts w:hint="eastAsia" w:ascii="宋体" w:hAnsi="宋体" w:eastAsia="宋体" w:cs="宋体"/>
                <w:color w:val="auto"/>
                <w:kern w:val="0"/>
                <w:highlight w:val="none"/>
              </w:rPr>
              <w:t>进度款付款金额（元）</w:t>
            </w:r>
          </w:p>
        </w:tc>
        <w:tc>
          <w:tcPr>
            <w:tcW w:w="1276" w:type="dxa"/>
            <w:noWrap w:val="0"/>
            <w:vAlign w:val="top"/>
          </w:tcPr>
          <w:p w14:paraId="3DA7DA7A">
            <w:pPr>
              <w:spacing w:line="360" w:lineRule="auto"/>
              <w:jc w:val="center"/>
              <w:rPr>
                <w:rFonts w:ascii="宋体" w:hAnsi="宋体" w:eastAsia="宋体" w:cs="宋体"/>
                <w:color w:val="auto"/>
                <w:kern w:val="0"/>
                <w:highlight w:val="none"/>
              </w:rPr>
            </w:pPr>
            <w:r>
              <w:rPr>
                <w:rFonts w:hint="eastAsia" w:ascii="宋体" w:hAnsi="宋体" w:eastAsia="宋体" w:cs="宋体"/>
                <w:color w:val="auto"/>
                <w:kern w:val="0"/>
                <w:highlight w:val="none"/>
              </w:rPr>
              <w:t>备注</w:t>
            </w:r>
          </w:p>
        </w:tc>
      </w:tr>
      <w:tr w14:paraId="65AC7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34" w:type="dxa"/>
        </w:trPr>
        <w:tc>
          <w:tcPr>
            <w:tcW w:w="1417" w:type="dxa"/>
            <w:noWrap w:val="0"/>
            <w:vAlign w:val="top"/>
          </w:tcPr>
          <w:p w14:paraId="48DF35B3">
            <w:pPr>
              <w:spacing w:line="360" w:lineRule="auto"/>
              <w:jc w:val="center"/>
              <w:rPr>
                <w:rFonts w:ascii="宋体" w:hAnsi="宋体" w:eastAsia="宋体" w:cs="宋体"/>
                <w:color w:val="auto"/>
                <w:kern w:val="0"/>
                <w:highlight w:val="none"/>
              </w:rPr>
            </w:pPr>
            <w:r>
              <w:rPr>
                <w:rFonts w:hint="eastAsia" w:ascii="宋体" w:hAnsi="宋体" w:eastAsia="宋体" w:cs="宋体"/>
                <w:color w:val="auto"/>
                <w:kern w:val="0"/>
                <w:highlight w:val="none"/>
              </w:rPr>
              <w:t>第一期</w:t>
            </w:r>
          </w:p>
        </w:tc>
        <w:tc>
          <w:tcPr>
            <w:tcW w:w="3794" w:type="dxa"/>
            <w:gridSpan w:val="2"/>
            <w:noWrap w:val="0"/>
            <w:vAlign w:val="top"/>
          </w:tcPr>
          <w:p w14:paraId="540C5C9A">
            <w:pPr>
              <w:spacing w:line="360" w:lineRule="auto"/>
              <w:jc w:val="center"/>
              <w:rPr>
                <w:rFonts w:ascii="宋体" w:hAnsi="宋体" w:eastAsia="宋体" w:cs="宋体"/>
                <w:color w:val="auto"/>
                <w:kern w:val="0"/>
                <w:highlight w:val="none"/>
              </w:rPr>
            </w:pPr>
          </w:p>
        </w:tc>
        <w:tc>
          <w:tcPr>
            <w:tcW w:w="2268" w:type="dxa"/>
            <w:noWrap w:val="0"/>
            <w:vAlign w:val="top"/>
          </w:tcPr>
          <w:p w14:paraId="5AD71180">
            <w:pPr>
              <w:spacing w:line="360" w:lineRule="auto"/>
              <w:jc w:val="center"/>
              <w:rPr>
                <w:rFonts w:ascii="宋体" w:hAnsi="宋体" w:eastAsia="宋体" w:cs="宋体"/>
                <w:color w:val="auto"/>
                <w:kern w:val="0"/>
                <w:highlight w:val="none"/>
              </w:rPr>
            </w:pPr>
          </w:p>
        </w:tc>
        <w:tc>
          <w:tcPr>
            <w:tcW w:w="1276" w:type="dxa"/>
            <w:noWrap w:val="0"/>
            <w:vAlign w:val="top"/>
          </w:tcPr>
          <w:p w14:paraId="4BAB3E50">
            <w:pPr>
              <w:spacing w:line="360" w:lineRule="auto"/>
              <w:jc w:val="center"/>
              <w:rPr>
                <w:rFonts w:ascii="宋体" w:hAnsi="宋体" w:eastAsia="宋体" w:cs="宋体"/>
                <w:color w:val="auto"/>
                <w:kern w:val="0"/>
                <w:highlight w:val="none"/>
              </w:rPr>
            </w:pPr>
          </w:p>
        </w:tc>
      </w:tr>
      <w:tr w14:paraId="38FEA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34" w:type="dxa"/>
        </w:trPr>
        <w:tc>
          <w:tcPr>
            <w:tcW w:w="1417" w:type="dxa"/>
            <w:noWrap w:val="0"/>
            <w:vAlign w:val="top"/>
          </w:tcPr>
          <w:p w14:paraId="789CC80E">
            <w:pPr>
              <w:spacing w:line="360" w:lineRule="auto"/>
              <w:jc w:val="center"/>
              <w:rPr>
                <w:rFonts w:ascii="宋体" w:hAnsi="宋体" w:eastAsia="宋体" w:cs="宋体"/>
                <w:color w:val="auto"/>
                <w:kern w:val="0"/>
                <w:highlight w:val="none"/>
              </w:rPr>
            </w:pPr>
            <w:r>
              <w:rPr>
                <w:rFonts w:hint="eastAsia" w:ascii="宋体" w:hAnsi="宋体" w:eastAsia="宋体" w:cs="宋体"/>
                <w:color w:val="auto"/>
                <w:kern w:val="0"/>
                <w:highlight w:val="none"/>
              </w:rPr>
              <w:t>第二期</w:t>
            </w:r>
          </w:p>
        </w:tc>
        <w:tc>
          <w:tcPr>
            <w:tcW w:w="3794" w:type="dxa"/>
            <w:gridSpan w:val="2"/>
            <w:noWrap w:val="0"/>
            <w:vAlign w:val="top"/>
          </w:tcPr>
          <w:p w14:paraId="6E9948AC">
            <w:pPr>
              <w:spacing w:line="360" w:lineRule="auto"/>
              <w:jc w:val="center"/>
              <w:rPr>
                <w:rFonts w:ascii="宋体" w:hAnsi="宋体" w:eastAsia="宋体" w:cs="宋体"/>
                <w:color w:val="auto"/>
                <w:kern w:val="0"/>
                <w:highlight w:val="none"/>
              </w:rPr>
            </w:pPr>
          </w:p>
        </w:tc>
        <w:tc>
          <w:tcPr>
            <w:tcW w:w="2268" w:type="dxa"/>
            <w:noWrap w:val="0"/>
            <w:vAlign w:val="top"/>
          </w:tcPr>
          <w:p w14:paraId="57E330B3">
            <w:pPr>
              <w:spacing w:line="360" w:lineRule="auto"/>
              <w:jc w:val="center"/>
              <w:rPr>
                <w:rFonts w:ascii="宋体" w:hAnsi="宋体" w:eastAsia="宋体" w:cs="宋体"/>
                <w:color w:val="auto"/>
                <w:kern w:val="0"/>
                <w:highlight w:val="none"/>
              </w:rPr>
            </w:pPr>
          </w:p>
        </w:tc>
        <w:tc>
          <w:tcPr>
            <w:tcW w:w="1276" w:type="dxa"/>
            <w:noWrap w:val="0"/>
            <w:vAlign w:val="top"/>
          </w:tcPr>
          <w:p w14:paraId="398794A5">
            <w:pPr>
              <w:spacing w:line="360" w:lineRule="auto"/>
              <w:jc w:val="center"/>
              <w:rPr>
                <w:rFonts w:ascii="宋体" w:hAnsi="宋体" w:eastAsia="宋体" w:cs="宋体"/>
                <w:color w:val="auto"/>
                <w:kern w:val="0"/>
                <w:highlight w:val="none"/>
              </w:rPr>
            </w:pPr>
          </w:p>
        </w:tc>
      </w:tr>
      <w:tr w14:paraId="582AF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34" w:type="dxa"/>
        </w:trPr>
        <w:tc>
          <w:tcPr>
            <w:tcW w:w="1417" w:type="dxa"/>
            <w:noWrap w:val="0"/>
            <w:vAlign w:val="top"/>
          </w:tcPr>
          <w:p w14:paraId="4956EF33">
            <w:pPr>
              <w:spacing w:line="360" w:lineRule="auto"/>
              <w:jc w:val="center"/>
              <w:rPr>
                <w:rFonts w:ascii="宋体" w:hAnsi="宋体" w:eastAsia="宋体" w:cs="宋体"/>
                <w:color w:val="auto"/>
                <w:kern w:val="0"/>
                <w:highlight w:val="none"/>
              </w:rPr>
            </w:pPr>
            <w:r>
              <w:rPr>
                <w:rFonts w:hint="eastAsia" w:ascii="宋体" w:hAnsi="宋体" w:eastAsia="宋体" w:cs="宋体"/>
                <w:color w:val="auto"/>
                <w:kern w:val="0"/>
                <w:highlight w:val="none"/>
              </w:rPr>
              <w:t>第三期</w:t>
            </w:r>
          </w:p>
        </w:tc>
        <w:tc>
          <w:tcPr>
            <w:tcW w:w="3794" w:type="dxa"/>
            <w:gridSpan w:val="2"/>
            <w:noWrap w:val="0"/>
            <w:vAlign w:val="top"/>
          </w:tcPr>
          <w:p w14:paraId="7ABA0321">
            <w:pPr>
              <w:spacing w:line="360" w:lineRule="auto"/>
              <w:jc w:val="center"/>
              <w:rPr>
                <w:rFonts w:ascii="宋体" w:hAnsi="宋体" w:eastAsia="宋体" w:cs="宋体"/>
                <w:color w:val="auto"/>
                <w:kern w:val="0"/>
                <w:highlight w:val="none"/>
              </w:rPr>
            </w:pPr>
          </w:p>
        </w:tc>
        <w:tc>
          <w:tcPr>
            <w:tcW w:w="2268" w:type="dxa"/>
            <w:noWrap w:val="0"/>
            <w:vAlign w:val="top"/>
          </w:tcPr>
          <w:p w14:paraId="44B5EA36">
            <w:pPr>
              <w:spacing w:line="360" w:lineRule="auto"/>
              <w:jc w:val="center"/>
              <w:rPr>
                <w:rFonts w:ascii="宋体" w:hAnsi="宋体" w:eastAsia="宋体" w:cs="宋体"/>
                <w:color w:val="auto"/>
                <w:kern w:val="0"/>
                <w:highlight w:val="none"/>
              </w:rPr>
            </w:pPr>
          </w:p>
        </w:tc>
        <w:tc>
          <w:tcPr>
            <w:tcW w:w="1276" w:type="dxa"/>
            <w:noWrap w:val="0"/>
            <w:vAlign w:val="top"/>
          </w:tcPr>
          <w:p w14:paraId="7598A120">
            <w:pPr>
              <w:spacing w:line="360" w:lineRule="auto"/>
              <w:jc w:val="center"/>
              <w:rPr>
                <w:rFonts w:ascii="宋体" w:hAnsi="宋体" w:eastAsia="宋体" w:cs="宋体"/>
                <w:color w:val="auto"/>
                <w:kern w:val="0"/>
                <w:highlight w:val="none"/>
              </w:rPr>
            </w:pPr>
          </w:p>
        </w:tc>
      </w:tr>
      <w:tr w14:paraId="0BB67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34" w:type="dxa"/>
        </w:trPr>
        <w:tc>
          <w:tcPr>
            <w:tcW w:w="1417" w:type="dxa"/>
            <w:noWrap w:val="0"/>
            <w:vAlign w:val="top"/>
          </w:tcPr>
          <w:p w14:paraId="0AA100BB">
            <w:pPr>
              <w:spacing w:line="360" w:lineRule="auto"/>
              <w:jc w:val="center"/>
              <w:rPr>
                <w:rFonts w:ascii="宋体" w:hAnsi="宋体" w:eastAsia="宋体" w:cs="宋体"/>
                <w:color w:val="auto"/>
                <w:kern w:val="0"/>
                <w:highlight w:val="none"/>
              </w:rPr>
            </w:pPr>
            <w:r>
              <w:rPr>
                <w:rFonts w:hint="eastAsia" w:ascii="宋体" w:hAnsi="宋体" w:eastAsia="宋体" w:cs="宋体"/>
                <w:color w:val="auto"/>
                <w:kern w:val="0"/>
                <w:highlight w:val="none"/>
              </w:rPr>
              <w:t>……</w:t>
            </w:r>
          </w:p>
        </w:tc>
        <w:tc>
          <w:tcPr>
            <w:tcW w:w="3794" w:type="dxa"/>
            <w:gridSpan w:val="2"/>
            <w:noWrap w:val="0"/>
            <w:vAlign w:val="top"/>
          </w:tcPr>
          <w:p w14:paraId="48F1AE85">
            <w:pPr>
              <w:spacing w:line="360" w:lineRule="auto"/>
              <w:jc w:val="center"/>
              <w:rPr>
                <w:rFonts w:ascii="宋体" w:hAnsi="宋体" w:eastAsia="宋体" w:cs="宋体"/>
                <w:color w:val="auto"/>
                <w:kern w:val="0"/>
                <w:highlight w:val="none"/>
              </w:rPr>
            </w:pPr>
          </w:p>
        </w:tc>
        <w:tc>
          <w:tcPr>
            <w:tcW w:w="2268" w:type="dxa"/>
            <w:noWrap w:val="0"/>
            <w:vAlign w:val="top"/>
          </w:tcPr>
          <w:p w14:paraId="4631873C">
            <w:pPr>
              <w:spacing w:line="360" w:lineRule="auto"/>
              <w:jc w:val="center"/>
              <w:rPr>
                <w:rFonts w:ascii="宋体" w:hAnsi="宋体" w:eastAsia="宋体" w:cs="宋体"/>
                <w:color w:val="auto"/>
                <w:kern w:val="0"/>
                <w:highlight w:val="none"/>
              </w:rPr>
            </w:pPr>
          </w:p>
        </w:tc>
        <w:tc>
          <w:tcPr>
            <w:tcW w:w="1276" w:type="dxa"/>
            <w:noWrap w:val="0"/>
            <w:vAlign w:val="top"/>
          </w:tcPr>
          <w:p w14:paraId="1FF35192">
            <w:pPr>
              <w:spacing w:line="360" w:lineRule="auto"/>
              <w:jc w:val="center"/>
              <w:rPr>
                <w:rFonts w:ascii="宋体" w:hAnsi="宋体" w:eastAsia="宋体" w:cs="宋体"/>
                <w:color w:val="auto"/>
                <w:kern w:val="0"/>
                <w:highlight w:val="none"/>
              </w:rPr>
            </w:pPr>
          </w:p>
        </w:tc>
      </w:tr>
      <w:tr w14:paraId="3A7CB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0" w:hRule="atLeast"/>
        </w:trPr>
        <w:tc>
          <w:tcPr>
            <w:tcW w:w="4570" w:type="dxa"/>
            <w:gridSpan w:val="3"/>
            <w:noWrap w:val="0"/>
            <w:vAlign w:val="top"/>
          </w:tcPr>
          <w:p w14:paraId="6ED039DA">
            <w:pPr>
              <w:spacing w:line="360" w:lineRule="exact"/>
              <w:ind w:firstLine="435"/>
              <w:jc w:val="right"/>
              <w:rPr>
                <w:rFonts w:ascii="宋体" w:hAnsi="宋体" w:eastAsia="宋体" w:cs="宋体"/>
                <w:color w:val="auto"/>
                <w:highlight w:val="none"/>
              </w:rPr>
            </w:pPr>
          </w:p>
          <w:p w14:paraId="76F77ED4">
            <w:pPr>
              <w:spacing w:line="360" w:lineRule="exact"/>
              <w:ind w:firstLine="435"/>
              <w:jc w:val="center"/>
              <w:rPr>
                <w:rFonts w:ascii="宋体" w:hAnsi="宋体" w:eastAsia="宋体" w:cs="宋体"/>
                <w:color w:val="auto"/>
                <w:highlight w:val="none"/>
              </w:rPr>
            </w:pPr>
          </w:p>
          <w:p w14:paraId="548BA3F3">
            <w:pPr>
              <w:spacing w:line="360" w:lineRule="exact"/>
              <w:ind w:firstLine="435"/>
              <w:jc w:val="center"/>
              <w:rPr>
                <w:rFonts w:ascii="宋体" w:hAnsi="宋体" w:eastAsia="宋体" w:cs="宋体"/>
                <w:color w:val="auto"/>
                <w:highlight w:val="none"/>
              </w:rPr>
            </w:pPr>
            <w:r>
              <w:rPr>
                <w:rFonts w:hint="eastAsia" w:ascii="宋体" w:hAnsi="宋体" w:eastAsia="宋体" w:cs="宋体"/>
                <w:color w:val="auto"/>
                <w:highlight w:val="none"/>
              </w:rPr>
              <w:t>发包人代表签字：</w:t>
            </w:r>
          </w:p>
          <w:p w14:paraId="313E40AB">
            <w:pPr>
              <w:spacing w:line="360" w:lineRule="exact"/>
              <w:ind w:firstLine="435"/>
              <w:jc w:val="center"/>
              <w:rPr>
                <w:rFonts w:ascii="宋体" w:hAnsi="宋体" w:eastAsia="宋体" w:cs="宋体"/>
                <w:color w:val="auto"/>
                <w:highlight w:val="none"/>
              </w:rPr>
            </w:pPr>
          </w:p>
          <w:p w14:paraId="6AFECAB6">
            <w:pPr>
              <w:spacing w:line="360" w:lineRule="exact"/>
              <w:ind w:firstLine="435"/>
              <w:jc w:val="center"/>
              <w:rPr>
                <w:rFonts w:ascii="宋体" w:hAnsi="宋体" w:eastAsia="宋体" w:cs="宋体"/>
                <w:color w:val="auto"/>
                <w:highlight w:val="none"/>
              </w:rPr>
            </w:pPr>
            <w:r>
              <w:rPr>
                <w:rFonts w:hint="eastAsia" w:ascii="宋体" w:hAnsi="宋体" w:eastAsia="宋体" w:cs="宋体"/>
                <w:color w:val="auto"/>
                <w:highlight w:val="none"/>
              </w:rPr>
              <w:t>发包人（盖公章）</w:t>
            </w:r>
          </w:p>
          <w:p w14:paraId="7EA93B96">
            <w:pPr>
              <w:spacing w:line="360" w:lineRule="exact"/>
              <w:ind w:firstLine="435"/>
              <w:jc w:val="center"/>
              <w:rPr>
                <w:rFonts w:ascii="宋体" w:hAnsi="宋体" w:eastAsia="宋体" w:cs="宋体"/>
                <w:color w:val="auto"/>
                <w:highlight w:val="none"/>
              </w:rPr>
            </w:pPr>
          </w:p>
          <w:p w14:paraId="436986A0">
            <w:pPr>
              <w:spacing w:line="360" w:lineRule="exact"/>
              <w:ind w:firstLine="435"/>
              <w:jc w:val="center"/>
              <w:rPr>
                <w:rFonts w:ascii="宋体" w:hAnsi="宋体" w:eastAsia="宋体" w:cs="宋体"/>
                <w:color w:val="auto"/>
                <w:highlight w:val="none"/>
                <w:u w:val="single"/>
              </w:rPr>
            </w:pPr>
            <w:r>
              <w:rPr>
                <w:rFonts w:hint="eastAsia" w:ascii="宋体" w:hAnsi="宋体" w:eastAsia="宋体" w:cs="宋体"/>
                <w:color w:val="auto"/>
                <w:highlight w:val="none"/>
              </w:rPr>
              <w:t xml:space="preserve">        日      期        </w:t>
            </w:r>
            <w:r>
              <w:rPr>
                <w:rFonts w:hint="eastAsia" w:ascii="宋体" w:hAnsi="宋体" w:eastAsia="宋体" w:cs="宋体"/>
                <w:color w:val="auto"/>
                <w:highlight w:val="none"/>
                <w:u w:val="single"/>
              </w:rPr>
              <w:t xml:space="preserve">   </w:t>
            </w:r>
          </w:p>
        </w:tc>
        <w:tc>
          <w:tcPr>
            <w:tcW w:w="4219" w:type="dxa"/>
            <w:gridSpan w:val="3"/>
            <w:noWrap w:val="0"/>
            <w:vAlign w:val="top"/>
          </w:tcPr>
          <w:p w14:paraId="680833A4">
            <w:pPr>
              <w:spacing w:line="360" w:lineRule="exact"/>
              <w:ind w:firstLine="435"/>
              <w:jc w:val="center"/>
              <w:rPr>
                <w:rFonts w:ascii="宋体" w:hAnsi="宋体" w:eastAsia="宋体" w:cs="宋体"/>
                <w:color w:val="auto"/>
                <w:highlight w:val="none"/>
              </w:rPr>
            </w:pPr>
          </w:p>
          <w:p w14:paraId="0A44E9AB">
            <w:pPr>
              <w:spacing w:line="360" w:lineRule="exact"/>
              <w:ind w:firstLine="435"/>
              <w:jc w:val="center"/>
              <w:rPr>
                <w:rFonts w:ascii="宋体" w:hAnsi="宋体" w:eastAsia="宋体" w:cs="宋体"/>
                <w:color w:val="auto"/>
                <w:highlight w:val="none"/>
                <w:u w:val="single"/>
              </w:rPr>
            </w:pPr>
          </w:p>
          <w:p w14:paraId="772F34C8">
            <w:pPr>
              <w:spacing w:line="360" w:lineRule="exact"/>
              <w:ind w:firstLine="435"/>
              <w:jc w:val="center"/>
              <w:rPr>
                <w:rFonts w:ascii="宋体" w:hAnsi="宋体" w:eastAsia="宋体" w:cs="宋体"/>
                <w:color w:val="auto"/>
                <w:highlight w:val="none"/>
              </w:rPr>
            </w:pPr>
            <w:r>
              <w:rPr>
                <w:rFonts w:hint="eastAsia" w:ascii="宋体" w:hAnsi="宋体" w:eastAsia="宋体" w:cs="宋体"/>
                <w:color w:val="auto"/>
                <w:highlight w:val="none"/>
              </w:rPr>
              <w:t>承包人代表签字：</w:t>
            </w:r>
          </w:p>
          <w:p w14:paraId="5431A84E">
            <w:pPr>
              <w:spacing w:line="360" w:lineRule="exact"/>
              <w:ind w:firstLine="435"/>
              <w:jc w:val="center"/>
              <w:rPr>
                <w:rFonts w:ascii="宋体" w:hAnsi="宋体" w:eastAsia="宋体" w:cs="宋体"/>
                <w:color w:val="auto"/>
                <w:highlight w:val="none"/>
              </w:rPr>
            </w:pPr>
          </w:p>
          <w:p w14:paraId="5BDBB11A">
            <w:pPr>
              <w:spacing w:line="360" w:lineRule="exact"/>
              <w:ind w:firstLine="435"/>
              <w:jc w:val="center"/>
              <w:rPr>
                <w:rFonts w:ascii="宋体" w:hAnsi="宋体" w:eastAsia="宋体" w:cs="宋体"/>
                <w:color w:val="auto"/>
                <w:highlight w:val="none"/>
              </w:rPr>
            </w:pPr>
            <w:r>
              <w:rPr>
                <w:rFonts w:hint="eastAsia" w:ascii="宋体" w:hAnsi="宋体" w:eastAsia="宋体" w:cs="宋体"/>
                <w:color w:val="auto"/>
                <w:highlight w:val="none"/>
              </w:rPr>
              <w:t>承包人（盖公章）</w:t>
            </w:r>
          </w:p>
          <w:p w14:paraId="5A525BF5">
            <w:pPr>
              <w:spacing w:line="360" w:lineRule="exact"/>
              <w:ind w:firstLine="435"/>
              <w:jc w:val="center"/>
              <w:rPr>
                <w:rFonts w:ascii="宋体" w:hAnsi="宋体" w:eastAsia="宋体" w:cs="宋体"/>
                <w:color w:val="auto"/>
                <w:highlight w:val="none"/>
              </w:rPr>
            </w:pPr>
          </w:p>
          <w:p w14:paraId="675B5F9A">
            <w:pPr>
              <w:spacing w:line="360" w:lineRule="exact"/>
              <w:ind w:firstLine="435"/>
              <w:jc w:val="center"/>
              <w:rPr>
                <w:rFonts w:ascii="宋体" w:hAnsi="宋体" w:eastAsia="宋体" w:cs="宋体"/>
                <w:color w:val="auto"/>
                <w:highlight w:val="none"/>
                <w:u w:val="single"/>
              </w:rPr>
            </w:pPr>
            <w:r>
              <w:rPr>
                <w:rFonts w:hint="eastAsia" w:ascii="宋体" w:hAnsi="宋体" w:eastAsia="宋体" w:cs="宋体"/>
                <w:color w:val="auto"/>
                <w:highlight w:val="none"/>
              </w:rPr>
              <w:t xml:space="preserve">        日      期</w:t>
            </w:r>
            <w:r>
              <w:rPr>
                <w:rFonts w:hint="eastAsia" w:ascii="宋体" w:hAnsi="宋体" w:eastAsia="宋体" w:cs="宋体"/>
                <w:color w:val="auto"/>
                <w:highlight w:val="none"/>
                <w:u w:val="single"/>
              </w:rPr>
              <w:t xml:space="preserve">        </w:t>
            </w:r>
          </w:p>
        </w:tc>
      </w:tr>
    </w:tbl>
    <w:p w14:paraId="0FC19E3A">
      <w:pPr>
        <w:spacing w:line="360" w:lineRule="auto"/>
        <w:rPr>
          <w:rFonts w:ascii="宋体" w:hAnsi="宋体" w:eastAsia="宋体" w:cs="宋体"/>
          <w:color w:val="auto"/>
          <w:highlight w:val="none"/>
        </w:rPr>
      </w:pPr>
    </w:p>
    <w:p w14:paraId="1A93DBC2">
      <w:pPr>
        <w:spacing w:line="360" w:lineRule="auto"/>
        <w:rPr>
          <w:rFonts w:ascii="宋体" w:hAnsi="宋体" w:eastAsia="宋体" w:cs="宋体"/>
          <w:color w:val="auto"/>
          <w:highlight w:val="none"/>
        </w:rPr>
      </w:pPr>
    </w:p>
    <w:p w14:paraId="4485AFA2">
      <w:pPr>
        <w:spacing w:line="360" w:lineRule="auto"/>
        <w:rPr>
          <w:rFonts w:ascii="宋体" w:hAnsi="宋体" w:eastAsia="宋体" w:cs="宋体"/>
          <w:color w:val="auto"/>
          <w:highlight w:val="none"/>
        </w:rPr>
      </w:pPr>
    </w:p>
    <w:p w14:paraId="3E63E54D">
      <w:pPr>
        <w:pStyle w:val="27"/>
        <w:snapToGrid w:val="0"/>
        <w:ind w:left="482" w:hanging="482"/>
        <w:jc w:val="center"/>
        <w:rPr>
          <w:rFonts w:hint="eastAsia" w:eastAsia="楷体_GB2312"/>
          <w:b/>
          <w:color w:val="auto"/>
          <w:sz w:val="24"/>
          <w:szCs w:val="24"/>
          <w:highlight w:val="none"/>
        </w:rPr>
      </w:pPr>
    </w:p>
    <w:bookmarkEnd w:id="83"/>
    <w:p w14:paraId="33B81B13">
      <w:pPr>
        <w:pStyle w:val="27"/>
        <w:snapToGrid w:val="0"/>
        <w:spacing w:before="120" w:after="120" w:line="320" w:lineRule="exact"/>
        <w:jc w:val="center"/>
        <w:outlineLvl w:val="0"/>
        <w:rPr>
          <w:rFonts w:ascii="Times New Roman" w:hAnsi="Times New Roman"/>
          <w:color w:val="auto"/>
          <w:highlight w:val="none"/>
        </w:rPr>
      </w:pPr>
      <w:r>
        <w:rPr>
          <w:color w:val="auto"/>
          <w:szCs w:val="21"/>
          <w:highlight w:val="none"/>
        </w:rPr>
        <w:br w:type="page"/>
      </w:r>
      <w:bookmarkStart w:id="1032" w:name="_Toc12216"/>
      <w:r>
        <w:rPr>
          <w:rFonts w:ascii="Times New Roman" w:hAnsi="Times New Roman" w:cs="Times New Roman"/>
          <w:color w:val="auto"/>
          <w:sz w:val="32"/>
          <w:szCs w:val="32"/>
          <w:highlight w:val="none"/>
        </w:rPr>
        <w:t>第</w:t>
      </w:r>
      <w:r>
        <w:rPr>
          <w:rFonts w:hint="eastAsia" w:ascii="Times New Roman" w:hAnsi="Times New Roman" w:cs="Times New Roman"/>
          <w:color w:val="auto"/>
          <w:sz w:val="32"/>
          <w:szCs w:val="32"/>
          <w:highlight w:val="none"/>
        </w:rPr>
        <w:t>六</w:t>
      </w:r>
      <w:r>
        <w:rPr>
          <w:rFonts w:ascii="Times New Roman" w:hAnsi="Times New Roman" w:cs="Times New Roman"/>
          <w:color w:val="auto"/>
          <w:sz w:val="32"/>
          <w:szCs w:val="32"/>
          <w:highlight w:val="none"/>
        </w:rPr>
        <w:t>章  响应文件格式</w:t>
      </w:r>
      <w:bookmarkEnd w:id="1032"/>
    </w:p>
    <w:p w14:paraId="59B4C1EC">
      <w:pPr>
        <w:rPr>
          <w:rFonts w:hint="eastAsia"/>
          <w:color w:val="auto"/>
          <w:sz w:val="28"/>
          <w:szCs w:val="28"/>
          <w:highlight w:val="none"/>
        </w:rPr>
      </w:pPr>
      <w:bookmarkStart w:id="1033" w:name="_Toc254970556"/>
      <w:bookmarkStart w:id="1034" w:name="_Toc254970697"/>
    </w:p>
    <w:p w14:paraId="2B09D680">
      <w:pPr>
        <w:rPr>
          <w:rFonts w:hint="eastAsia"/>
          <w:color w:val="auto"/>
          <w:sz w:val="28"/>
          <w:szCs w:val="28"/>
          <w:highlight w:val="none"/>
        </w:rPr>
      </w:pPr>
    </w:p>
    <w:p w14:paraId="5637B5ED">
      <w:pPr>
        <w:snapToGrid w:val="0"/>
        <w:spacing w:before="120" w:beforeLines="50" w:after="50" w:line="440" w:lineRule="exact"/>
        <w:rPr>
          <w:bCs/>
          <w:color w:val="auto"/>
          <w:sz w:val="24"/>
          <w:highlight w:val="none"/>
        </w:rPr>
      </w:pPr>
      <w:bookmarkStart w:id="1035" w:name="_Hlk89190642"/>
      <w:r>
        <w:rPr>
          <w:rFonts w:hint="eastAsia"/>
          <w:color w:val="auto"/>
          <w:sz w:val="28"/>
          <w:szCs w:val="28"/>
          <w:highlight w:val="none"/>
        </w:rPr>
        <w:t>注：有签字、盖章要求的应按要求签字（签章）、盖章（签章）。</w:t>
      </w:r>
      <w:bookmarkEnd w:id="1033"/>
      <w:bookmarkEnd w:id="1034"/>
      <w:r>
        <w:rPr>
          <w:bCs/>
          <w:color w:val="auto"/>
          <w:sz w:val="24"/>
          <w:highlight w:val="none"/>
        </w:rPr>
        <w:t xml:space="preserve"> </w:t>
      </w:r>
    </w:p>
    <w:bookmarkEnd w:id="1035"/>
    <w:p w14:paraId="44E1CA90">
      <w:pPr>
        <w:snapToGrid w:val="0"/>
        <w:spacing w:before="120" w:beforeLines="50" w:after="50" w:line="440" w:lineRule="exact"/>
        <w:jc w:val="left"/>
        <w:outlineLvl w:val="1"/>
        <w:rPr>
          <w:b/>
          <w:color w:val="auto"/>
          <w:sz w:val="24"/>
          <w:highlight w:val="none"/>
        </w:rPr>
      </w:pPr>
      <w:r>
        <w:rPr>
          <w:color w:val="auto"/>
          <w:sz w:val="24"/>
          <w:highlight w:val="none"/>
        </w:rPr>
        <w:br w:type="page"/>
      </w:r>
      <w:bookmarkStart w:id="1036" w:name="_Hlk89190719"/>
      <w:r>
        <w:rPr>
          <w:rFonts w:hint="eastAsia"/>
          <w:b/>
          <w:color w:val="auto"/>
          <w:sz w:val="24"/>
          <w:highlight w:val="none"/>
        </w:rPr>
        <w:t>1.</w:t>
      </w:r>
      <w:r>
        <w:rPr>
          <w:b/>
          <w:color w:val="auto"/>
          <w:sz w:val="24"/>
          <w:highlight w:val="none"/>
        </w:rPr>
        <w:t xml:space="preserve">响应文件封面格式： </w:t>
      </w:r>
    </w:p>
    <w:p w14:paraId="00F5E921">
      <w:pPr>
        <w:snapToGrid w:val="0"/>
        <w:spacing w:before="120" w:beforeLines="50" w:after="50" w:line="360" w:lineRule="exact"/>
        <w:rPr>
          <w:color w:val="auto"/>
          <w:sz w:val="24"/>
          <w:highlight w:val="none"/>
        </w:rPr>
      </w:pPr>
    </w:p>
    <w:p w14:paraId="1DD187D5">
      <w:pPr>
        <w:snapToGrid w:val="0"/>
        <w:spacing w:before="120" w:beforeLines="50" w:after="50" w:line="360" w:lineRule="exact"/>
        <w:jc w:val="center"/>
        <w:rPr>
          <w:bCs/>
          <w:color w:val="auto"/>
          <w:sz w:val="24"/>
          <w:highlight w:val="none"/>
        </w:rPr>
      </w:pPr>
    </w:p>
    <w:p w14:paraId="6AA86639">
      <w:pPr>
        <w:snapToGrid w:val="0"/>
        <w:spacing w:before="120" w:beforeLines="50" w:after="50" w:line="360" w:lineRule="exact"/>
        <w:jc w:val="center"/>
        <w:rPr>
          <w:b/>
          <w:bCs/>
          <w:color w:val="auto"/>
          <w:sz w:val="44"/>
          <w:szCs w:val="44"/>
          <w:highlight w:val="none"/>
        </w:rPr>
      </w:pPr>
    </w:p>
    <w:p w14:paraId="10DD0487">
      <w:pPr>
        <w:snapToGrid w:val="0"/>
        <w:spacing w:before="120" w:beforeLines="50" w:after="50" w:line="360" w:lineRule="exact"/>
        <w:jc w:val="center"/>
        <w:rPr>
          <w:rFonts w:hint="eastAsia"/>
          <w:b/>
          <w:bCs/>
          <w:color w:val="auto"/>
          <w:sz w:val="44"/>
          <w:szCs w:val="44"/>
          <w:highlight w:val="none"/>
        </w:rPr>
      </w:pPr>
      <w:r>
        <w:rPr>
          <w:rFonts w:hint="eastAsia"/>
          <w:b/>
          <w:bCs/>
          <w:color w:val="auto"/>
          <w:sz w:val="44"/>
          <w:szCs w:val="44"/>
          <w:highlight w:val="none"/>
        </w:rPr>
        <w:t>电子</w:t>
      </w:r>
      <w:r>
        <w:rPr>
          <w:b/>
          <w:bCs/>
          <w:color w:val="auto"/>
          <w:sz w:val="44"/>
          <w:szCs w:val="44"/>
          <w:highlight w:val="none"/>
        </w:rPr>
        <w:t>响应文件</w:t>
      </w:r>
    </w:p>
    <w:p w14:paraId="673DAA1F">
      <w:pPr>
        <w:snapToGrid w:val="0"/>
        <w:spacing w:before="120" w:beforeLines="50" w:after="50" w:line="360" w:lineRule="exact"/>
        <w:rPr>
          <w:bCs/>
          <w:color w:val="auto"/>
          <w:sz w:val="24"/>
          <w:highlight w:val="none"/>
        </w:rPr>
      </w:pPr>
    </w:p>
    <w:p w14:paraId="78BA7705">
      <w:pPr>
        <w:snapToGrid w:val="0"/>
        <w:spacing w:before="120" w:beforeLines="50" w:after="50" w:line="360" w:lineRule="exact"/>
        <w:ind w:firstLine="720" w:firstLineChars="300"/>
        <w:rPr>
          <w:bCs/>
          <w:color w:val="auto"/>
          <w:sz w:val="24"/>
          <w:highlight w:val="none"/>
        </w:rPr>
      </w:pPr>
      <w:r>
        <w:rPr>
          <w:bCs/>
          <w:color w:val="auto"/>
          <w:sz w:val="24"/>
          <w:highlight w:val="none"/>
        </w:rPr>
        <w:t xml:space="preserve">项目名称： </w:t>
      </w:r>
    </w:p>
    <w:p w14:paraId="4DC8C5AF">
      <w:pPr>
        <w:snapToGrid w:val="0"/>
        <w:spacing w:before="120" w:beforeLines="50" w:after="50" w:line="360" w:lineRule="exact"/>
        <w:ind w:firstLine="720" w:firstLineChars="300"/>
        <w:rPr>
          <w:bCs/>
          <w:color w:val="auto"/>
          <w:sz w:val="24"/>
          <w:highlight w:val="none"/>
        </w:rPr>
      </w:pPr>
      <w:r>
        <w:rPr>
          <w:bCs/>
          <w:color w:val="auto"/>
          <w:sz w:val="24"/>
          <w:highlight w:val="none"/>
        </w:rPr>
        <w:t>项目编号：</w:t>
      </w:r>
    </w:p>
    <w:p w14:paraId="2F941A39">
      <w:pPr>
        <w:snapToGrid w:val="0"/>
        <w:spacing w:before="120" w:beforeLines="50" w:after="50" w:line="360" w:lineRule="exact"/>
        <w:ind w:firstLine="720" w:firstLineChars="300"/>
        <w:rPr>
          <w:rFonts w:hint="eastAsia"/>
          <w:bCs/>
          <w:color w:val="auto"/>
          <w:sz w:val="24"/>
          <w:highlight w:val="none"/>
        </w:rPr>
      </w:pPr>
      <w:r>
        <w:rPr>
          <w:bCs/>
          <w:color w:val="auto"/>
          <w:sz w:val="24"/>
          <w:highlight w:val="none"/>
        </w:rPr>
        <w:t>分标</w:t>
      </w:r>
      <w:r>
        <w:rPr>
          <w:rFonts w:hint="eastAsia"/>
          <w:bCs/>
          <w:color w:val="auto"/>
          <w:sz w:val="24"/>
          <w:highlight w:val="none"/>
        </w:rPr>
        <w:t>号</w:t>
      </w:r>
      <w:r>
        <w:rPr>
          <w:bCs/>
          <w:color w:val="auto"/>
          <w:sz w:val="24"/>
          <w:highlight w:val="none"/>
        </w:rPr>
        <w:t>： （若无</w:t>
      </w:r>
      <w:r>
        <w:rPr>
          <w:rFonts w:hint="eastAsia"/>
          <w:bCs/>
          <w:color w:val="auto"/>
          <w:sz w:val="24"/>
          <w:highlight w:val="none"/>
        </w:rPr>
        <w:t>留空或写</w:t>
      </w:r>
      <w:r>
        <w:rPr>
          <w:bCs/>
          <w:color w:val="auto"/>
          <w:sz w:val="24"/>
          <w:highlight w:val="none"/>
        </w:rPr>
        <w:t>“/”）</w:t>
      </w:r>
    </w:p>
    <w:p w14:paraId="14B965E7">
      <w:pPr>
        <w:snapToGrid w:val="0"/>
        <w:spacing w:before="120" w:beforeLines="50" w:after="50" w:line="360" w:lineRule="exact"/>
        <w:ind w:firstLine="720" w:firstLineChars="300"/>
        <w:rPr>
          <w:bCs/>
          <w:color w:val="auto"/>
          <w:sz w:val="24"/>
          <w:highlight w:val="none"/>
        </w:rPr>
      </w:pPr>
      <w:r>
        <w:rPr>
          <w:bCs/>
          <w:color w:val="auto"/>
          <w:sz w:val="24"/>
          <w:highlight w:val="none"/>
        </w:rPr>
        <w:t>响应文件名称：资格</w:t>
      </w:r>
      <w:r>
        <w:rPr>
          <w:rFonts w:hint="eastAsia"/>
          <w:bCs/>
          <w:color w:val="auto"/>
          <w:sz w:val="24"/>
          <w:highlight w:val="none"/>
        </w:rPr>
        <w:t>证明</w:t>
      </w:r>
      <w:r>
        <w:rPr>
          <w:bCs/>
          <w:color w:val="auto"/>
          <w:sz w:val="24"/>
          <w:highlight w:val="none"/>
        </w:rPr>
        <w:t>文件、商务技术文件、报价文件</w:t>
      </w:r>
    </w:p>
    <w:bookmarkEnd w:id="1036"/>
    <w:p w14:paraId="4C27E097">
      <w:pPr>
        <w:snapToGrid w:val="0"/>
        <w:spacing w:before="120" w:beforeLines="50" w:after="50" w:line="360" w:lineRule="exact"/>
        <w:ind w:firstLine="720" w:firstLineChars="300"/>
        <w:rPr>
          <w:bCs/>
          <w:color w:val="auto"/>
          <w:sz w:val="24"/>
          <w:highlight w:val="none"/>
        </w:rPr>
      </w:pPr>
      <w:r>
        <w:rPr>
          <w:bCs/>
          <w:color w:val="auto"/>
          <w:sz w:val="24"/>
          <w:highlight w:val="none"/>
        </w:rPr>
        <w:t>供应商名称：</w:t>
      </w:r>
    </w:p>
    <w:p w14:paraId="0D683223">
      <w:pPr>
        <w:snapToGrid w:val="0"/>
        <w:spacing w:before="120" w:beforeLines="50" w:after="50" w:line="360" w:lineRule="exact"/>
        <w:ind w:firstLine="720" w:firstLineChars="300"/>
        <w:rPr>
          <w:bCs/>
          <w:color w:val="auto"/>
          <w:sz w:val="24"/>
          <w:highlight w:val="none"/>
        </w:rPr>
      </w:pPr>
      <w:r>
        <w:rPr>
          <w:bCs/>
          <w:color w:val="auto"/>
          <w:sz w:val="24"/>
          <w:highlight w:val="none"/>
        </w:rPr>
        <w:t>供应商地址：</w:t>
      </w:r>
    </w:p>
    <w:p w14:paraId="4B5F5855">
      <w:pPr>
        <w:pStyle w:val="8"/>
        <w:snapToGrid w:val="0"/>
        <w:spacing w:before="50" w:after="50" w:line="360" w:lineRule="exact"/>
        <w:ind w:firstLine="960" w:firstLineChars="400"/>
        <w:rPr>
          <w:bCs/>
          <w:color w:val="auto"/>
          <w:sz w:val="24"/>
          <w:szCs w:val="24"/>
          <w:highlight w:val="none"/>
        </w:rPr>
      </w:pPr>
    </w:p>
    <w:p w14:paraId="1D8122EE">
      <w:pPr>
        <w:snapToGrid w:val="0"/>
        <w:spacing w:before="120" w:beforeLines="50" w:after="50" w:line="360" w:lineRule="exact"/>
        <w:jc w:val="center"/>
        <w:rPr>
          <w:color w:val="auto"/>
          <w:sz w:val="24"/>
          <w:highlight w:val="none"/>
        </w:rPr>
      </w:pPr>
      <w:r>
        <w:rPr>
          <w:color w:val="auto"/>
          <w:sz w:val="24"/>
          <w:highlight w:val="none"/>
        </w:rPr>
        <w:t xml:space="preserve">                        年  月  日</w:t>
      </w:r>
    </w:p>
    <w:p w14:paraId="097E8A95">
      <w:pPr>
        <w:rPr>
          <w:color w:val="auto"/>
          <w:highlight w:val="none"/>
        </w:rPr>
      </w:pPr>
      <w:bookmarkStart w:id="1037" w:name="_Toc254970698"/>
      <w:bookmarkStart w:id="1038" w:name="_Toc254970557"/>
      <w:r>
        <w:rPr>
          <w:color w:val="auto"/>
          <w:highlight w:val="none"/>
        </w:rPr>
        <w:br w:type="page"/>
      </w:r>
      <w:bookmarkEnd w:id="1037"/>
      <w:bookmarkEnd w:id="1038"/>
    </w:p>
    <w:p w14:paraId="21F47D5A">
      <w:pPr>
        <w:snapToGrid w:val="0"/>
        <w:spacing w:before="120" w:beforeLines="50" w:after="50" w:line="440" w:lineRule="exact"/>
        <w:jc w:val="center"/>
        <w:rPr>
          <w:color w:val="auto"/>
          <w:sz w:val="24"/>
          <w:highlight w:val="none"/>
        </w:rPr>
      </w:pPr>
    </w:p>
    <w:p w14:paraId="1F44BF32">
      <w:pPr>
        <w:snapToGrid w:val="0"/>
        <w:spacing w:before="50" w:after="50" w:line="440" w:lineRule="exact"/>
        <w:ind w:firstLine="138" w:firstLineChars="49"/>
        <w:jc w:val="center"/>
        <w:rPr>
          <w:b/>
          <w:color w:val="auto"/>
          <w:sz w:val="28"/>
          <w:szCs w:val="28"/>
          <w:highlight w:val="none"/>
        </w:rPr>
      </w:pPr>
      <w:r>
        <w:rPr>
          <w:b/>
          <w:color w:val="auto"/>
          <w:sz w:val="28"/>
          <w:szCs w:val="28"/>
          <w:highlight w:val="none"/>
        </w:rPr>
        <w:t>目录</w:t>
      </w:r>
    </w:p>
    <w:p w14:paraId="53477266">
      <w:pPr>
        <w:snapToGrid w:val="0"/>
        <w:spacing w:before="50" w:after="50" w:line="440" w:lineRule="exact"/>
        <w:ind w:firstLine="118" w:firstLineChars="49"/>
        <w:jc w:val="center"/>
        <w:rPr>
          <w:rFonts w:hint="eastAsia"/>
          <w:b/>
          <w:color w:val="auto"/>
          <w:sz w:val="24"/>
          <w:highlight w:val="none"/>
        </w:rPr>
      </w:pPr>
      <w:r>
        <w:rPr>
          <w:b/>
          <w:color w:val="auto"/>
          <w:sz w:val="24"/>
          <w:highlight w:val="none"/>
        </w:rPr>
        <w:t>（</w:t>
      </w:r>
      <w:bookmarkStart w:id="1039" w:name="_Hlk89190735"/>
      <w:r>
        <w:rPr>
          <w:b/>
          <w:color w:val="auto"/>
          <w:sz w:val="24"/>
          <w:highlight w:val="none"/>
        </w:rPr>
        <w:t>需</w:t>
      </w:r>
      <w:bookmarkEnd w:id="1039"/>
      <w:r>
        <w:rPr>
          <w:b/>
          <w:color w:val="auto"/>
          <w:sz w:val="24"/>
          <w:highlight w:val="none"/>
        </w:rPr>
        <w:t>有页码）</w:t>
      </w:r>
    </w:p>
    <w:p w14:paraId="75ADFCFB">
      <w:pPr>
        <w:snapToGrid w:val="0"/>
        <w:spacing w:before="50" w:after="50" w:line="440" w:lineRule="exact"/>
        <w:ind w:firstLine="118" w:firstLineChars="49"/>
        <w:jc w:val="center"/>
        <w:rPr>
          <w:rFonts w:hint="eastAsia"/>
          <w:b/>
          <w:color w:val="auto"/>
          <w:sz w:val="24"/>
          <w:highlight w:val="none"/>
        </w:rPr>
      </w:pPr>
      <w:r>
        <w:rPr>
          <w:b/>
          <w:color w:val="auto"/>
          <w:sz w:val="24"/>
          <w:highlight w:val="none"/>
        </w:rPr>
        <w:br w:type="page"/>
      </w:r>
    </w:p>
    <w:p w14:paraId="2606C71F">
      <w:pPr>
        <w:snapToGrid w:val="0"/>
        <w:spacing w:before="120" w:beforeLines="50" w:after="50" w:line="440" w:lineRule="exact"/>
        <w:jc w:val="center"/>
        <w:outlineLvl w:val="1"/>
        <w:rPr>
          <w:bCs/>
          <w:color w:val="auto"/>
          <w:sz w:val="24"/>
          <w:highlight w:val="none"/>
        </w:rPr>
      </w:pPr>
      <w:r>
        <w:rPr>
          <w:bCs/>
          <w:color w:val="auto"/>
          <w:sz w:val="24"/>
          <w:highlight w:val="none"/>
        </w:rPr>
        <w:t>第</w:t>
      </w:r>
      <w:r>
        <w:rPr>
          <w:rFonts w:hint="eastAsia"/>
          <w:bCs/>
          <w:color w:val="auto"/>
          <w:sz w:val="24"/>
          <w:highlight w:val="none"/>
        </w:rPr>
        <w:t>一</w:t>
      </w:r>
      <w:r>
        <w:rPr>
          <w:bCs/>
          <w:color w:val="auto"/>
          <w:sz w:val="24"/>
          <w:highlight w:val="none"/>
        </w:rPr>
        <w:t xml:space="preserve">部分 </w:t>
      </w:r>
      <w:bookmarkStart w:id="1040" w:name="_Hlk89190743"/>
      <w:r>
        <w:rPr>
          <w:bCs/>
          <w:color w:val="auto"/>
          <w:sz w:val="24"/>
          <w:highlight w:val="none"/>
        </w:rPr>
        <w:t>资格</w:t>
      </w:r>
      <w:r>
        <w:rPr>
          <w:rFonts w:hint="eastAsia"/>
          <w:bCs/>
          <w:color w:val="auto"/>
          <w:sz w:val="24"/>
          <w:highlight w:val="none"/>
        </w:rPr>
        <w:t>证明</w:t>
      </w:r>
      <w:r>
        <w:rPr>
          <w:bCs/>
          <w:color w:val="auto"/>
          <w:sz w:val="24"/>
          <w:highlight w:val="none"/>
        </w:rPr>
        <w:t>文件</w:t>
      </w:r>
      <w:bookmarkEnd w:id="1040"/>
    </w:p>
    <w:p w14:paraId="67D1F959">
      <w:pPr>
        <w:snapToGrid w:val="0"/>
        <w:spacing w:before="50" w:after="50" w:line="440" w:lineRule="exact"/>
        <w:ind w:firstLine="157" w:firstLineChars="49"/>
        <w:jc w:val="center"/>
        <w:rPr>
          <w:rStyle w:val="64"/>
          <w:rFonts w:ascii="Times New Roman" w:hAnsi="Times New Roman" w:eastAsia="宋体"/>
          <w:color w:val="auto"/>
          <w:highlight w:val="none"/>
        </w:rPr>
      </w:pPr>
    </w:p>
    <w:p w14:paraId="6AB03A77">
      <w:pPr>
        <w:snapToGrid w:val="0"/>
        <w:spacing w:before="50" w:after="120" w:afterLines="50" w:line="400" w:lineRule="exact"/>
        <w:jc w:val="left"/>
        <w:rPr>
          <w:b/>
          <w:color w:val="auto"/>
          <w:szCs w:val="21"/>
          <w:highlight w:val="none"/>
        </w:rPr>
      </w:pPr>
      <w:r>
        <w:rPr>
          <w:rFonts w:hint="eastAsia"/>
          <w:b/>
          <w:color w:val="auto"/>
          <w:szCs w:val="21"/>
          <w:highlight w:val="none"/>
        </w:rPr>
        <w:t>1</w:t>
      </w:r>
      <w:r>
        <w:rPr>
          <w:b/>
          <w:color w:val="auto"/>
          <w:szCs w:val="21"/>
          <w:highlight w:val="none"/>
        </w:rPr>
        <w:t>．响应声明书格式：</w:t>
      </w:r>
    </w:p>
    <w:p w14:paraId="049B79E4">
      <w:pPr>
        <w:snapToGrid w:val="0"/>
        <w:spacing w:before="120" w:beforeLines="50" w:after="50" w:line="360" w:lineRule="exact"/>
        <w:jc w:val="center"/>
        <w:rPr>
          <w:b/>
          <w:color w:val="auto"/>
          <w:szCs w:val="21"/>
          <w:highlight w:val="none"/>
        </w:rPr>
      </w:pPr>
      <w:r>
        <w:rPr>
          <w:b/>
          <w:color w:val="auto"/>
          <w:szCs w:val="21"/>
          <w:highlight w:val="none"/>
        </w:rPr>
        <w:t>响应声明书</w:t>
      </w:r>
    </w:p>
    <w:p w14:paraId="7C889FFA">
      <w:pPr>
        <w:snapToGrid w:val="0"/>
        <w:spacing w:before="120" w:beforeLines="50" w:after="50" w:line="360" w:lineRule="exact"/>
        <w:jc w:val="center"/>
        <w:rPr>
          <w:color w:val="auto"/>
          <w:szCs w:val="21"/>
          <w:highlight w:val="none"/>
        </w:rPr>
      </w:pPr>
    </w:p>
    <w:p w14:paraId="0BED8702">
      <w:pPr>
        <w:snapToGrid w:val="0"/>
        <w:spacing w:before="120" w:beforeLines="50" w:after="50" w:line="360" w:lineRule="exact"/>
        <w:rPr>
          <w:color w:val="auto"/>
          <w:szCs w:val="21"/>
          <w:highlight w:val="none"/>
        </w:rPr>
      </w:pPr>
      <w:r>
        <w:rPr>
          <w:color w:val="auto"/>
          <w:szCs w:val="21"/>
          <w:highlight w:val="none"/>
        </w:rPr>
        <w:t>致：</w:t>
      </w:r>
      <w:r>
        <w:rPr>
          <w:i/>
          <w:iCs/>
          <w:color w:val="auto"/>
          <w:szCs w:val="21"/>
          <w:highlight w:val="none"/>
          <w:u w:val="single"/>
        </w:rPr>
        <w:t>（采购</w:t>
      </w:r>
      <w:r>
        <w:rPr>
          <w:rFonts w:hint="eastAsia"/>
          <w:i/>
          <w:iCs/>
          <w:color w:val="auto"/>
          <w:szCs w:val="21"/>
          <w:highlight w:val="none"/>
          <w:u w:val="single"/>
        </w:rPr>
        <w:t>人</w:t>
      </w:r>
      <w:r>
        <w:rPr>
          <w:i/>
          <w:iCs/>
          <w:color w:val="auto"/>
          <w:szCs w:val="21"/>
          <w:highlight w:val="none"/>
          <w:u w:val="single"/>
        </w:rPr>
        <w:t>名称）</w:t>
      </w:r>
      <w:r>
        <w:rPr>
          <w:color w:val="auto"/>
          <w:szCs w:val="21"/>
          <w:highlight w:val="none"/>
        </w:rPr>
        <w:t>：：</w:t>
      </w:r>
    </w:p>
    <w:p w14:paraId="68B67111">
      <w:pPr>
        <w:snapToGrid w:val="0"/>
        <w:spacing w:before="120" w:beforeLines="50" w:after="50" w:line="360" w:lineRule="exact"/>
        <w:ind w:firstLine="630" w:firstLineChars="300"/>
        <w:rPr>
          <w:color w:val="auto"/>
          <w:szCs w:val="21"/>
          <w:highlight w:val="none"/>
        </w:rPr>
      </w:pPr>
      <w:r>
        <w:rPr>
          <w:i/>
          <w:iCs/>
          <w:color w:val="auto"/>
          <w:szCs w:val="21"/>
          <w:highlight w:val="none"/>
          <w:u w:val="single"/>
        </w:rPr>
        <w:t>（供应商名称）</w:t>
      </w:r>
      <w:r>
        <w:rPr>
          <w:color w:val="auto"/>
          <w:szCs w:val="21"/>
          <w:highlight w:val="none"/>
        </w:rPr>
        <w:t>系中华人民共和国合法企业，</w:t>
      </w:r>
      <w:r>
        <w:rPr>
          <w:rFonts w:hint="eastAsia"/>
          <w:color w:val="auto"/>
          <w:szCs w:val="21"/>
          <w:highlight w:val="none"/>
          <w:u w:val="single"/>
        </w:rPr>
        <w:t xml:space="preserve"> </w:t>
      </w:r>
      <w:r>
        <w:rPr>
          <w:i/>
          <w:iCs/>
          <w:color w:val="auto"/>
          <w:szCs w:val="21"/>
          <w:highlight w:val="none"/>
          <w:u w:val="single"/>
        </w:rPr>
        <w:t xml:space="preserve"> </w:t>
      </w:r>
      <w:r>
        <w:rPr>
          <w:rFonts w:hint="eastAsia"/>
          <w:i/>
          <w:iCs/>
          <w:color w:val="auto"/>
          <w:szCs w:val="21"/>
          <w:highlight w:val="none"/>
          <w:u w:val="single"/>
        </w:rPr>
        <w:t>（</w:t>
      </w:r>
      <w:r>
        <w:rPr>
          <w:i/>
          <w:iCs/>
          <w:color w:val="auto"/>
          <w:szCs w:val="21"/>
          <w:highlight w:val="none"/>
          <w:u w:val="single"/>
        </w:rPr>
        <w:t>经营地址</w:t>
      </w:r>
      <w:r>
        <w:rPr>
          <w:rFonts w:hint="eastAsia"/>
          <w:i/>
          <w:iCs/>
          <w:color w:val="auto"/>
          <w:szCs w:val="21"/>
          <w:highlight w:val="none"/>
          <w:u w:val="single"/>
        </w:rPr>
        <w:t xml:space="preserve">） </w:t>
      </w:r>
      <w:r>
        <w:rPr>
          <w:i/>
          <w:iCs/>
          <w:color w:val="auto"/>
          <w:szCs w:val="21"/>
          <w:highlight w:val="none"/>
          <w:u w:val="single"/>
        </w:rPr>
        <w:t xml:space="preserve"> </w:t>
      </w:r>
      <w:r>
        <w:rPr>
          <w:color w:val="auto"/>
          <w:szCs w:val="21"/>
          <w:highlight w:val="none"/>
          <w:u w:val="single"/>
        </w:rPr>
        <w:t xml:space="preserve"> </w:t>
      </w:r>
      <w:r>
        <w:rPr>
          <w:color w:val="auto"/>
          <w:szCs w:val="21"/>
          <w:highlight w:val="none"/>
        </w:rPr>
        <w:t>。</w:t>
      </w:r>
    </w:p>
    <w:p w14:paraId="4C00664A">
      <w:pPr>
        <w:snapToGrid w:val="0"/>
        <w:spacing w:before="120" w:beforeLines="50" w:after="50" w:line="360" w:lineRule="exact"/>
        <w:ind w:firstLine="645"/>
        <w:rPr>
          <w:color w:val="auto"/>
          <w:szCs w:val="21"/>
          <w:highlight w:val="none"/>
        </w:rPr>
      </w:pPr>
      <w:r>
        <w:rPr>
          <w:color w:val="auto"/>
          <w:szCs w:val="21"/>
          <w:highlight w:val="none"/>
        </w:rPr>
        <w:t>我</w:t>
      </w:r>
      <w:r>
        <w:rPr>
          <w:i/>
          <w:iCs/>
          <w:color w:val="auto"/>
          <w:szCs w:val="21"/>
          <w:highlight w:val="none"/>
          <w:u w:val="single"/>
        </w:rPr>
        <w:t>（姓名）</w:t>
      </w:r>
      <w:r>
        <w:rPr>
          <w:rFonts w:hint="eastAsia"/>
          <w:i/>
          <w:iCs/>
          <w:color w:val="auto"/>
          <w:szCs w:val="21"/>
          <w:highlight w:val="none"/>
          <w:u w:val="single"/>
        </w:rPr>
        <w:t xml:space="preserve"> </w:t>
      </w:r>
      <w:r>
        <w:rPr>
          <w:color w:val="auto"/>
          <w:szCs w:val="21"/>
          <w:highlight w:val="none"/>
        </w:rPr>
        <w:t>系</w:t>
      </w:r>
      <w:r>
        <w:rPr>
          <w:i/>
          <w:iCs/>
          <w:color w:val="auto"/>
          <w:szCs w:val="21"/>
          <w:highlight w:val="none"/>
          <w:u w:val="single"/>
        </w:rPr>
        <w:t>（供应商名称）</w:t>
      </w:r>
      <w:r>
        <w:rPr>
          <w:color w:val="auto"/>
          <w:szCs w:val="21"/>
          <w:highlight w:val="none"/>
        </w:rPr>
        <w:t>的法定代表人，我方愿意参加贵方组织的</w:t>
      </w:r>
      <w:r>
        <w:rPr>
          <w:rFonts w:hint="eastAsia"/>
          <w:i/>
          <w:iCs/>
          <w:color w:val="auto"/>
          <w:szCs w:val="21"/>
          <w:highlight w:val="none"/>
          <w:u w:val="single"/>
        </w:rPr>
        <w:t xml:space="preserve">（项目名称） </w:t>
      </w:r>
      <w:r>
        <w:rPr>
          <w:color w:val="auto"/>
          <w:szCs w:val="21"/>
          <w:highlight w:val="none"/>
        </w:rPr>
        <w:t>项目的磋商，为便于贵方公正、择优地确定成交供应商及其响应内容，我方就本次磋商有关事项郑重声明如下：</w:t>
      </w:r>
    </w:p>
    <w:p w14:paraId="7B0BA479">
      <w:pPr>
        <w:snapToGrid w:val="0"/>
        <w:spacing w:before="120" w:beforeLines="50" w:line="360" w:lineRule="exact"/>
        <w:ind w:firstLine="420" w:firstLineChars="200"/>
        <w:rPr>
          <w:color w:val="auto"/>
          <w:szCs w:val="21"/>
          <w:highlight w:val="none"/>
        </w:rPr>
      </w:pPr>
      <w:r>
        <w:rPr>
          <w:color w:val="auto"/>
          <w:szCs w:val="21"/>
          <w:highlight w:val="none"/>
        </w:rPr>
        <w:t>（1）我方向贵方提交的所有响应文件、资料都是准确的和真实的。</w:t>
      </w:r>
    </w:p>
    <w:p w14:paraId="297EDF11">
      <w:pPr>
        <w:snapToGrid w:val="0"/>
        <w:spacing w:before="120" w:beforeLines="50" w:line="360" w:lineRule="exact"/>
        <w:ind w:firstLine="420" w:firstLineChars="200"/>
        <w:rPr>
          <w:color w:val="auto"/>
          <w:szCs w:val="21"/>
          <w:highlight w:val="none"/>
        </w:rPr>
      </w:pPr>
      <w:r>
        <w:rPr>
          <w:color w:val="auto"/>
          <w:szCs w:val="21"/>
          <w:highlight w:val="none"/>
        </w:rPr>
        <w:t>（2）我方不是采购人的附属机构；也不是为本项目提供整体设计、规范编制或者项目管理、监理、检测等服务的供应商或其附属机构。</w:t>
      </w:r>
    </w:p>
    <w:p w14:paraId="4402F023">
      <w:pPr>
        <w:snapToGrid w:val="0"/>
        <w:spacing w:before="120" w:beforeLines="50" w:line="360" w:lineRule="exact"/>
        <w:ind w:firstLine="420" w:firstLineChars="200"/>
        <w:rPr>
          <w:color w:val="auto"/>
          <w:szCs w:val="21"/>
          <w:highlight w:val="none"/>
        </w:rPr>
      </w:pPr>
      <w:r>
        <w:rPr>
          <w:color w:val="auto"/>
          <w:szCs w:val="21"/>
          <w:highlight w:val="none"/>
        </w:rPr>
        <w:t>（3） 我方承诺在参加本政府采购项目活动前，没有被纳入政府部门或银行认定的失信名单，我方具有良好的商业信誉。</w:t>
      </w:r>
    </w:p>
    <w:p w14:paraId="0AC029EA">
      <w:pPr>
        <w:spacing w:line="300" w:lineRule="exact"/>
        <w:ind w:firstLine="420" w:firstLineChars="200"/>
        <w:jc w:val="left"/>
        <w:rPr>
          <w:color w:val="auto"/>
          <w:szCs w:val="21"/>
          <w:highlight w:val="none"/>
        </w:rPr>
      </w:pPr>
      <w:r>
        <w:rPr>
          <w:color w:val="auto"/>
          <w:szCs w:val="21"/>
          <w:highlight w:val="none"/>
        </w:rPr>
        <w:t>（4）我方及本人承诺在参加本政府采购项目活动前三年内，在经营活动中没有重大违法记录。重大违法记录是指供应商因违法经营受到刑事处罚或者责令停产停业、吊销许可证或者执照、较大数额罚款等行政处罚。如我方提供的声明不实，则自愿承担《政府采购法》有关提供虚假材料的规定给予的处罚。</w:t>
      </w:r>
    </w:p>
    <w:p w14:paraId="51AB54B9">
      <w:pPr>
        <w:snapToGrid w:val="0"/>
        <w:spacing w:before="120" w:beforeLines="50" w:line="360" w:lineRule="exact"/>
        <w:ind w:firstLine="420" w:firstLineChars="200"/>
        <w:rPr>
          <w:color w:val="auto"/>
          <w:szCs w:val="21"/>
          <w:highlight w:val="none"/>
          <w:lang w:val="zh-CN"/>
        </w:rPr>
      </w:pPr>
      <w:r>
        <w:rPr>
          <w:color w:val="auto"/>
          <w:szCs w:val="21"/>
          <w:highlight w:val="none"/>
        </w:rPr>
        <w:t>（5）</w:t>
      </w:r>
      <w:r>
        <w:rPr>
          <w:color w:val="auto"/>
          <w:szCs w:val="21"/>
          <w:highlight w:val="none"/>
          <w:lang w:val="zh-CN"/>
        </w:rPr>
        <w:t>我方</w:t>
      </w:r>
      <w:r>
        <w:rPr>
          <w:color w:val="auto"/>
          <w:szCs w:val="21"/>
          <w:highlight w:val="none"/>
        </w:rPr>
        <w:t>承诺</w:t>
      </w:r>
      <w:r>
        <w:rPr>
          <w:color w:val="auto"/>
          <w:szCs w:val="21"/>
          <w:highlight w:val="none"/>
          <w:lang w:val="zh-CN"/>
        </w:rPr>
        <w:t>具有履行本项目合同所必需的设备和专业技术能力。</w:t>
      </w:r>
    </w:p>
    <w:p w14:paraId="5A942371">
      <w:pPr>
        <w:snapToGrid w:val="0"/>
        <w:spacing w:before="120" w:beforeLines="50" w:line="360" w:lineRule="exact"/>
        <w:ind w:firstLine="420" w:firstLineChars="200"/>
        <w:rPr>
          <w:color w:val="auto"/>
          <w:szCs w:val="21"/>
          <w:highlight w:val="none"/>
        </w:rPr>
      </w:pPr>
      <w:r>
        <w:rPr>
          <w:rFonts w:hint="eastAsia"/>
          <w:color w:val="auto"/>
          <w:szCs w:val="21"/>
          <w:highlight w:val="none"/>
        </w:rPr>
        <w:t>（6）我方承诺</w:t>
      </w:r>
      <w:r>
        <w:rPr>
          <w:color w:val="auto"/>
          <w:szCs w:val="21"/>
          <w:highlight w:val="none"/>
        </w:rPr>
        <w:t>未被列入失信被执行人、</w:t>
      </w:r>
      <w:r>
        <w:rPr>
          <w:color w:val="auto"/>
          <w:kern w:val="0"/>
          <w:szCs w:val="21"/>
          <w:highlight w:val="none"/>
        </w:rPr>
        <w:t>重大税收违法失信主体</w:t>
      </w:r>
      <w:r>
        <w:rPr>
          <w:color w:val="auto"/>
          <w:szCs w:val="21"/>
          <w:highlight w:val="none"/>
        </w:rPr>
        <w:t>、政府采购严重违法失信行为记录名单</w:t>
      </w:r>
      <w:r>
        <w:rPr>
          <w:rFonts w:hint="eastAsia"/>
          <w:color w:val="auto"/>
          <w:szCs w:val="21"/>
          <w:highlight w:val="none"/>
        </w:rPr>
        <w:t>，如我方提供的声明不实，则接受本次响应作为响应无效的处理，</w:t>
      </w:r>
      <w:r>
        <w:rPr>
          <w:color w:val="auto"/>
          <w:szCs w:val="21"/>
          <w:highlight w:val="none"/>
        </w:rPr>
        <w:t>并根据财库〔2016〕125号《财政部关于在政府采购活动中查询及使用信用记录有关问题的通知》规定接受失信联合惩戒。</w:t>
      </w:r>
    </w:p>
    <w:p w14:paraId="6099F028">
      <w:pPr>
        <w:snapToGrid w:val="0"/>
        <w:spacing w:before="120" w:beforeLines="50" w:line="360" w:lineRule="exact"/>
        <w:ind w:firstLine="420" w:firstLineChars="200"/>
        <w:rPr>
          <w:rFonts w:hint="eastAsia"/>
          <w:color w:val="auto"/>
          <w:szCs w:val="21"/>
          <w:highlight w:val="none"/>
        </w:rPr>
      </w:pPr>
      <w:r>
        <w:rPr>
          <w:rFonts w:hint="eastAsia"/>
          <w:color w:val="auto"/>
          <w:szCs w:val="21"/>
          <w:highlight w:val="none"/>
        </w:rPr>
        <w:t>（7）我方承诺成交后按</w:t>
      </w:r>
      <w:r>
        <w:rPr>
          <w:color w:val="auto"/>
          <w:szCs w:val="21"/>
          <w:highlight w:val="none"/>
        </w:rPr>
        <w:t>规定缴纳代理服务费</w:t>
      </w:r>
      <w:r>
        <w:rPr>
          <w:rFonts w:hint="eastAsia"/>
          <w:color w:val="auto"/>
          <w:szCs w:val="21"/>
          <w:highlight w:val="none"/>
        </w:rPr>
        <w:t>。如未按时缴纳，</w:t>
      </w:r>
      <w:r>
        <w:rPr>
          <w:color w:val="auto"/>
          <w:szCs w:val="21"/>
          <w:highlight w:val="none"/>
        </w:rPr>
        <w:t>贵方可</w:t>
      </w:r>
      <w:r>
        <w:rPr>
          <w:rFonts w:hint="eastAsia"/>
          <w:color w:val="auto"/>
          <w:szCs w:val="21"/>
          <w:highlight w:val="none"/>
        </w:rPr>
        <w:t>不退还</w:t>
      </w:r>
      <w:r>
        <w:rPr>
          <w:color w:val="auto"/>
          <w:szCs w:val="21"/>
          <w:highlight w:val="none"/>
        </w:rPr>
        <w:t>我</w:t>
      </w:r>
      <w:r>
        <w:rPr>
          <w:rFonts w:hint="eastAsia"/>
          <w:color w:val="auto"/>
          <w:szCs w:val="21"/>
          <w:highlight w:val="none"/>
        </w:rPr>
        <w:t>方</w:t>
      </w:r>
      <w:r>
        <w:rPr>
          <w:color w:val="auto"/>
          <w:szCs w:val="21"/>
          <w:highlight w:val="none"/>
        </w:rPr>
        <w:t>提交的</w:t>
      </w:r>
      <w:r>
        <w:rPr>
          <w:rFonts w:hint="eastAsia"/>
          <w:color w:val="auto"/>
          <w:szCs w:val="21"/>
          <w:highlight w:val="none"/>
        </w:rPr>
        <w:t>磋商</w:t>
      </w:r>
      <w:r>
        <w:rPr>
          <w:color w:val="auto"/>
          <w:szCs w:val="21"/>
          <w:highlight w:val="none"/>
        </w:rPr>
        <w:t>保证金</w:t>
      </w:r>
      <w:r>
        <w:rPr>
          <w:rFonts w:hint="eastAsia"/>
          <w:color w:val="auto"/>
          <w:szCs w:val="21"/>
          <w:highlight w:val="none"/>
        </w:rPr>
        <w:t>，并从中</w:t>
      </w:r>
      <w:r>
        <w:rPr>
          <w:color w:val="auto"/>
          <w:szCs w:val="21"/>
          <w:highlight w:val="none"/>
        </w:rPr>
        <w:t>扣除</w:t>
      </w:r>
      <w:r>
        <w:rPr>
          <w:rFonts w:hint="eastAsia"/>
          <w:color w:val="auto"/>
          <w:szCs w:val="21"/>
          <w:highlight w:val="none"/>
        </w:rPr>
        <w:t>代理服务费。</w:t>
      </w:r>
    </w:p>
    <w:p w14:paraId="194BBEC5">
      <w:pPr>
        <w:snapToGrid w:val="0"/>
        <w:spacing w:before="120" w:beforeLines="50" w:line="360" w:lineRule="exact"/>
        <w:ind w:firstLine="420" w:firstLineChars="200"/>
        <w:rPr>
          <w:color w:val="auto"/>
          <w:szCs w:val="21"/>
          <w:highlight w:val="none"/>
        </w:rPr>
      </w:pPr>
      <w:r>
        <w:rPr>
          <w:color w:val="auto"/>
          <w:szCs w:val="21"/>
          <w:highlight w:val="none"/>
        </w:rPr>
        <w:t>我方对以上声明负全部法律责任。如有虚假或隐瞒，我方愿意承担一切后果，并不再寻求任何旨在减轻或免除法律责任的辩解。</w:t>
      </w:r>
    </w:p>
    <w:p w14:paraId="48F95B7A">
      <w:pPr>
        <w:snapToGrid w:val="0"/>
        <w:spacing w:before="120" w:beforeLines="50" w:line="360" w:lineRule="exact"/>
        <w:ind w:firstLine="420" w:firstLineChars="200"/>
        <w:rPr>
          <w:color w:val="auto"/>
          <w:szCs w:val="21"/>
          <w:highlight w:val="none"/>
        </w:rPr>
      </w:pPr>
    </w:p>
    <w:p w14:paraId="20D34C9B">
      <w:pPr>
        <w:snapToGrid w:val="0"/>
        <w:spacing w:before="120" w:beforeLines="50" w:after="50" w:line="360" w:lineRule="exact"/>
        <w:ind w:firstLine="3570" w:firstLineChars="1700"/>
        <w:rPr>
          <w:color w:val="auto"/>
          <w:szCs w:val="21"/>
          <w:highlight w:val="none"/>
        </w:rPr>
      </w:pPr>
      <w:bookmarkStart w:id="1041" w:name="_Hlk89190765"/>
      <w:r>
        <w:rPr>
          <w:color w:val="auto"/>
          <w:szCs w:val="21"/>
          <w:highlight w:val="none"/>
        </w:rPr>
        <w:t>供应商</w:t>
      </w:r>
      <w:r>
        <w:rPr>
          <w:rFonts w:hint="eastAsia"/>
          <w:color w:val="auto"/>
          <w:szCs w:val="21"/>
          <w:highlight w:val="none"/>
        </w:rPr>
        <w:t>名称（电子签章）</w:t>
      </w:r>
      <w:bookmarkEnd w:id="1041"/>
      <w:r>
        <w:rPr>
          <w:color w:val="auto"/>
          <w:szCs w:val="21"/>
          <w:highlight w:val="none"/>
        </w:rPr>
        <w:t>：</w:t>
      </w:r>
      <w:r>
        <w:rPr>
          <w:color w:val="auto"/>
          <w:szCs w:val="21"/>
          <w:highlight w:val="none"/>
          <w:u w:val="single"/>
        </w:rPr>
        <w:t xml:space="preserve">                </w:t>
      </w:r>
    </w:p>
    <w:p w14:paraId="582E9FB1">
      <w:pPr>
        <w:snapToGrid w:val="0"/>
        <w:spacing w:before="120" w:beforeLines="50" w:after="50" w:line="360" w:lineRule="exact"/>
        <w:ind w:firstLine="210" w:firstLineChars="100"/>
        <w:rPr>
          <w:color w:val="auto"/>
          <w:szCs w:val="21"/>
          <w:highlight w:val="none"/>
        </w:rPr>
      </w:pPr>
      <w:r>
        <w:rPr>
          <w:color w:val="auto"/>
          <w:szCs w:val="21"/>
          <w:highlight w:val="none"/>
        </w:rPr>
        <w:t xml:space="preserve">                                          年    月    日</w:t>
      </w:r>
    </w:p>
    <w:p w14:paraId="41CAE69D">
      <w:pPr>
        <w:spacing w:line="360" w:lineRule="auto"/>
        <w:rPr>
          <w:color w:val="auto"/>
          <w:szCs w:val="21"/>
          <w:highlight w:val="none"/>
        </w:rPr>
      </w:pPr>
      <w:r>
        <w:rPr>
          <w:color w:val="auto"/>
          <w:szCs w:val="21"/>
          <w:highlight w:val="none"/>
        </w:rPr>
        <w:br w:type="page"/>
      </w:r>
      <w:r>
        <w:rPr>
          <w:rFonts w:hint="eastAsia"/>
          <w:color w:val="auto"/>
          <w:szCs w:val="21"/>
          <w:highlight w:val="none"/>
          <w:lang w:val="en-US" w:eastAsia="zh-CN"/>
        </w:rPr>
        <w:t>2</w:t>
      </w:r>
      <w:r>
        <w:rPr>
          <w:color w:val="auto"/>
          <w:szCs w:val="21"/>
          <w:highlight w:val="none"/>
        </w:rPr>
        <w:t>．法人或者其他组织的营业执照等证明文件。即供应商是企业则提供营业执照（副本）</w:t>
      </w:r>
      <w:r>
        <w:rPr>
          <w:rFonts w:hint="eastAsia"/>
          <w:color w:val="auto"/>
          <w:szCs w:val="21"/>
          <w:highlight w:val="none"/>
        </w:rPr>
        <w:t>扫描件</w:t>
      </w:r>
      <w:r>
        <w:rPr>
          <w:color w:val="auto"/>
          <w:szCs w:val="21"/>
          <w:highlight w:val="none"/>
        </w:rPr>
        <w:t>；供应商是事业单位，则提供事业单位法人证书（副本）</w:t>
      </w:r>
      <w:r>
        <w:rPr>
          <w:rFonts w:hint="eastAsia"/>
          <w:color w:val="auto"/>
          <w:szCs w:val="21"/>
          <w:highlight w:val="none"/>
        </w:rPr>
        <w:t>扫描件</w:t>
      </w:r>
      <w:r>
        <w:rPr>
          <w:color w:val="auto"/>
          <w:szCs w:val="21"/>
          <w:highlight w:val="none"/>
        </w:rPr>
        <w:t>；供应商是非企业专业服务机构的，则提供执业许可证等证明文件</w:t>
      </w:r>
      <w:r>
        <w:rPr>
          <w:rFonts w:hint="eastAsia"/>
          <w:color w:val="auto"/>
          <w:szCs w:val="21"/>
          <w:highlight w:val="none"/>
        </w:rPr>
        <w:t>扫描件</w:t>
      </w:r>
      <w:r>
        <w:rPr>
          <w:color w:val="auto"/>
          <w:szCs w:val="21"/>
          <w:highlight w:val="none"/>
        </w:rPr>
        <w:t>；如供应商不是以上所列的法人、组织的，则提供国家规定的相关证明材料。</w:t>
      </w:r>
      <w:bookmarkStart w:id="1042" w:name="_Hlk89190828"/>
      <w:r>
        <w:rPr>
          <w:color w:val="auto"/>
          <w:szCs w:val="21"/>
          <w:highlight w:val="none"/>
        </w:rPr>
        <w:t>（加盖供应商</w:t>
      </w:r>
      <w:r>
        <w:rPr>
          <w:rFonts w:hint="eastAsia"/>
          <w:color w:val="auto"/>
          <w:szCs w:val="21"/>
          <w:highlight w:val="none"/>
        </w:rPr>
        <w:t>电子签章</w:t>
      </w:r>
      <w:r>
        <w:rPr>
          <w:color w:val="auto"/>
          <w:szCs w:val="21"/>
          <w:highlight w:val="none"/>
        </w:rPr>
        <w:t>）</w:t>
      </w:r>
      <w:bookmarkEnd w:id="1042"/>
    </w:p>
    <w:p w14:paraId="45D29771">
      <w:pPr>
        <w:snapToGrid w:val="0"/>
        <w:spacing w:before="120" w:beforeLines="50" w:after="50" w:line="440" w:lineRule="exact"/>
        <w:rPr>
          <w:rFonts w:hint="eastAsia"/>
          <w:color w:val="auto"/>
          <w:szCs w:val="21"/>
          <w:highlight w:val="none"/>
        </w:rPr>
      </w:pPr>
    </w:p>
    <w:p w14:paraId="0E75A5D1">
      <w:pPr>
        <w:snapToGrid w:val="0"/>
        <w:spacing w:before="120" w:beforeLines="50" w:after="50" w:line="440" w:lineRule="exact"/>
        <w:rPr>
          <w:rFonts w:hint="eastAsia"/>
          <w:color w:val="auto"/>
          <w:szCs w:val="21"/>
          <w:highlight w:val="none"/>
        </w:rPr>
      </w:pPr>
      <w:r>
        <w:rPr>
          <w:rFonts w:hint="eastAsia"/>
          <w:color w:val="auto"/>
          <w:szCs w:val="21"/>
          <w:highlight w:val="none"/>
          <w:lang w:val="en-US" w:eastAsia="zh-CN"/>
        </w:rPr>
        <w:t>3</w:t>
      </w:r>
      <w:r>
        <w:rPr>
          <w:color w:val="auto"/>
          <w:szCs w:val="21"/>
          <w:highlight w:val="none"/>
        </w:rPr>
        <w:t>．财务状况报告（表）</w:t>
      </w:r>
      <w:r>
        <w:rPr>
          <w:rFonts w:hint="eastAsia"/>
          <w:color w:val="auto"/>
          <w:szCs w:val="21"/>
          <w:highlight w:val="none"/>
        </w:rPr>
        <w:t>扫描件</w:t>
      </w:r>
      <w:r>
        <w:rPr>
          <w:color w:val="auto"/>
          <w:szCs w:val="21"/>
          <w:highlight w:val="none"/>
        </w:rPr>
        <w:t>或银行出具的资信证明</w:t>
      </w:r>
      <w:r>
        <w:rPr>
          <w:rFonts w:hint="eastAsia"/>
          <w:color w:val="auto"/>
          <w:szCs w:val="21"/>
          <w:highlight w:val="none"/>
        </w:rPr>
        <w:t>扫描件</w:t>
      </w:r>
      <w:r>
        <w:rPr>
          <w:color w:val="auto"/>
          <w:szCs w:val="21"/>
          <w:highlight w:val="none"/>
        </w:rPr>
        <w:t>。</w:t>
      </w:r>
      <w:r>
        <w:rPr>
          <w:color w:val="auto"/>
          <w:highlight w:val="none"/>
        </w:rPr>
        <w:t>对于从取得营业执照时间起到截标时间为止不足1年的供应商，只需提交</w:t>
      </w:r>
      <w:r>
        <w:rPr>
          <w:color w:val="auto"/>
          <w:szCs w:val="21"/>
          <w:highlight w:val="none"/>
        </w:rPr>
        <w:t>截标时间前一个月的财务状况报告（表）</w:t>
      </w:r>
      <w:r>
        <w:rPr>
          <w:rFonts w:hint="eastAsia"/>
          <w:color w:val="auto"/>
          <w:szCs w:val="21"/>
          <w:highlight w:val="none"/>
        </w:rPr>
        <w:t>扫描件</w:t>
      </w:r>
      <w:r>
        <w:rPr>
          <w:color w:val="auto"/>
          <w:szCs w:val="21"/>
          <w:highlight w:val="none"/>
        </w:rPr>
        <w:t>。（按“评审方法及标准” “资格审查表”规定提供）。</w:t>
      </w:r>
      <w:bookmarkStart w:id="1043" w:name="_Hlk89190839"/>
      <w:r>
        <w:rPr>
          <w:color w:val="auto"/>
          <w:szCs w:val="21"/>
          <w:highlight w:val="none"/>
        </w:rPr>
        <w:t>（加盖供应商</w:t>
      </w:r>
      <w:r>
        <w:rPr>
          <w:rFonts w:hint="eastAsia"/>
          <w:color w:val="auto"/>
          <w:szCs w:val="21"/>
          <w:highlight w:val="none"/>
        </w:rPr>
        <w:t>电子签章</w:t>
      </w:r>
      <w:r>
        <w:rPr>
          <w:color w:val="auto"/>
          <w:szCs w:val="21"/>
          <w:highlight w:val="none"/>
        </w:rPr>
        <w:t>）</w:t>
      </w:r>
      <w:bookmarkEnd w:id="1043"/>
    </w:p>
    <w:p w14:paraId="5C35E5D2">
      <w:pPr>
        <w:snapToGrid w:val="0"/>
        <w:spacing w:before="120" w:beforeLines="50" w:after="50" w:line="440" w:lineRule="exact"/>
        <w:rPr>
          <w:color w:val="auto"/>
          <w:szCs w:val="21"/>
          <w:highlight w:val="none"/>
        </w:rPr>
      </w:pPr>
    </w:p>
    <w:p w14:paraId="50BBD041">
      <w:pPr>
        <w:snapToGrid w:val="0"/>
        <w:spacing w:before="50" w:after="120" w:afterLines="50" w:line="440" w:lineRule="exact"/>
        <w:jc w:val="left"/>
        <w:rPr>
          <w:rFonts w:hint="eastAsia"/>
          <w:b/>
          <w:color w:val="auto"/>
          <w:szCs w:val="21"/>
          <w:highlight w:val="none"/>
        </w:rPr>
      </w:pPr>
      <w:r>
        <w:rPr>
          <w:rFonts w:hint="eastAsia"/>
          <w:color w:val="auto"/>
          <w:szCs w:val="21"/>
          <w:highlight w:val="none"/>
          <w:lang w:val="en-US" w:eastAsia="zh-CN"/>
        </w:rPr>
        <w:t>4</w:t>
      </w:r>
      <w:r>
        <w:rPr>
          <w:color w:val="auto"/>
          <w:szCs w:val="21"/>
          <w:highlight w:val="none"/>
        </w:rPr>
        <w:t>．</w:t>
      </w:r>
      <w:r>
        <w:rPr>
          <w:color w:val="auto"/>
          <w:highlight w:val="none"/>
        </w:rPr>
        <w:t>依法缴纳税费证明和社会保险缴纳证明材料</w:t>
      </w:r>
      <w:r>
        <w:rPr>
          <w:rFonts w:hint="eastAsia"/>
          <w:color w:val="auto"/>
          <w:highlight w:val="none"/>
        </w:rPr>
        <w:t>。</w:t>
      </w:r>
      <w:r>
        <w:rPr>
          <w:color w:val="auto"/>
          <w:highlight w:val="none"/>
        </w:rPr>
        <w:t>供应商成立不足</w:t>
      </w:r>
      <w:r>
        <w:rPr>
          <w:rFonts w:hint="eastAsia"/>
          <w:color w:val="auto"/>
          <w:highlight w:val="none"/>
        </w:rPr>
        <w:t>1个月的，无须提供</w:t>
      </w:r>
      <w:r>
        <w:rPr>
          <w:color w:val="auto"/>
          <w:highlight w:val="none"/>
        </w:rPr>
        <w:t>缴纳税费证明及社保缴费证明</w:t>
      </w:r>
      <w:r>
        <w:rPr>
          <w:rFonts w:hint="eastAsia"/>
          <w:color w:val="auto"/>
          <w:highlight w:val="none"/>
        </w:rPr>
        <w:t>。</w:t>
      </w:r>
      <w:r>
        <w:rPr>
          <w:color w:val="auto"/>
          <w:highlight w:val="none"/>
        </w:rPr>
        <w:t>依法免税或不需要缴纳社会保障资金的供应商，须提供相应文件证明其依法免税或不需要缴纳社会保障资金。</w:t>
      </w:r>
      <w:r>
        <w:rPr>
          <w:color w:val="auto"/>
          <w:szCs w:val="21"/>
          <w:highlight w:val="none"/>
        </w:rPr>
        <w:t>（按“评审方法及标准” “资格审查表”规定提供</w:t>
      </w:r>
      <w:r>
        <w:rPr>
          <w:rFonts w:hint="eastAsia"/>
          <w:color w:val="auto"/>
          <w:szCs w:val="21"/>
          <w:highlight w:val="none"/>
        </w:rPr>
        <w:t>，其中社会保险缴纳证明在对应人员资料处提供</w:t>
      </w:r>
      <w:r>
        <w:rPr>
          <w:color w:val="auto"/>
          <w:szCs w:val="21"/>
          <w:highlight w:val="none"/>
        </w:rPr>
        <w:t>）（加盖供应商</w:t>
      </w:r>
      <w:r>
        <w:rPr>
          <w:rFonts w:hint="eastAsia"/>
          <w:color w:val="auto"/>
          <w:szCs w:val="21"/>
          <w:highlight w:val="none"/>
        </w:rPr>
        <w:t>电子签章</w:t>
      </w:r>
      <w:r>
        <w:rPr>
          <w:color w:val="auto"/>
          <w:szCs w:val="21"/>
          <w:highlight w:val="none"/>
        </w:rPr>
        <w:t>）</w:t>
      </w:r>
    </w:p>
    <w:p w14:paraId="0476A6DF">
      <w:pPr>
        <w:snapToGrid w:val="0"/>
        <w:spacing w:before="50" w:after="120" w:afterLines="50" w:line="440" w:lineRule="exact"/>
        <w:jc w:val="left"/>
        <w:rPr>
          <w:rFonts w:hint="eastAsia"/>
          <w:color w:val="auto"/>
          <w:highlight w:val="none"/>
        </w:rPr>
      </w:pPr>
    </w:p>
    <w:p w14:paraId="6870EE31">
      <w:pPr>
        <w:snapToGrid w:val="0"/>
        <w:spacing w:before="50" w:after="120" w:afterLines="50" w:line="440" w:lineRule="exact"/>
        <w:jc w:val="left"/>
        <w:rPr>
          <w:rFonts w:hint="eastAsia"/>
          <w:color w:val="auto"/>
          <w:highlight w:val="none"/>
        </w:rPr>
      </w:pPr>
      <w:r>
        <w:rPr>
          <w:rFonts w:hint="eastAsia"/>
          <w:color w:val="auto"/>
          <w:highlight w:val="none"/>
          <w:lang w:val="en-US" w:eastAsia="zh-CN"/>
        </w:rPr>
        <w:t>5</w:t>
      </w:r>
      <w:r>
        <w:rPr>
          <w:color w:val="auto"/>
          <w:highlight w:val="none"/>
        </w:rPr>
        <w:t>．具备法律、行政法规规定的其他要求的证明材料（按“评审方法及标准” “</w:t>
      </w:r>
      <w:r>
        <w:rPr>
          <w:color w:val="auto"/>
          <w:szCs w:val="21"/>
          <w:highlight w:val="none"/>
        </w:rPr>
        <w:t>资格审查表</w:t>
      </w:r>
      <w:r>
        <w:rPr>
          <w:color w:val="auto"/>
          <w:highlight w:val="none"/>
        </w:rPr>
        <w:t>”规定提供）。</w:t>
      </w:r>
      <w:r>
        <w:rPr>
          <w:rFonts w:hint="eastAsia"/>
          <w:b/>
          <w:color w:val="auto"/>
          <w:highlight w:val="none"/>
        </w:rPr>
        <w:t>（如采购文件有要求时提供）</w:t>
      </w:r>
    </w:p>
    <w:p w14:paraId="1A44045E">
      <w:pPr>
        <w:snapToGrid w:val="0"/>
        <w:spacing w:before="50" w:after="120" w:afterLines="50" w:line="440" w:lineRule="exact"/>
        <w:jc w:val="left"/>
        <w:rPr>
          <w:color w:val="auto"/>
          <w:highlight w:val="none"/>
        </w:rPr>
      </w:pPr>
      <w:r>
        <w:rPr>
          <w:rFonts w:hint="eastAsia"/>
          <w:color w:val="auto"/>
          <w:highlight w:val="none"/>
          <w:lang w:val="en-US" w:eastAsia="zh-CN"/>
        </w:rPr>
        <w:t>5</w:t>
      </w:r>
      <w:r>
        <w:rPr>
          <w:color w:val="auto"/>
          <w:highlight w:val="none"/>
        </w:rPr>
        <w:t>.</w:t>
      </w:r>
      <w:r>
        <w:rPr>
          <w:rFonts w:hint="eastAsia"/>
          <w:color w:val="auto"/>
          <w:highlight w:val="none"/>
        </w:rPr>
        <w:t>1</w:t>
      </w:r>
      <w:r>
        <w:rPr>
          <w:color w:val="auto"/>
          <w:highlight w:val="none"/>
        </w:rPr>
        <w:t>供应商基本情况表</w:t>
      </w:r>
    </w:p>
    <w:tbl>
      <w:tblPr>
        <w:tblStyle w:val="5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6"/>
        <w:gridCol w:w="897"/>
        <w:gridCol w:w="1021"/>
        <w:gridCol w:w="1160"/>
        <w:gridCol w:w="311"/>
        <w:gridCol w:w="1246"/>
        <w:gridCol w:w="63"/>
        <w:gridCol w:w="720"/>
        <w:gridCol w:w="1923"/>
      </w:tblGrid>
      <w:tr w14:paraId="75452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50D4B0A0">
            <w:pPr>
              <w:jc w:val="center"/>
              <w:rPr>
                <w:color w:val="auto"/>
                <w:szCs w:val="21"/>
                <w:highlight w:val="none"/>
              </w:rPr>
            </w:pPr>
            <w:r>
              <w:rPr>
                <w:color w:val="auto"/>
                <w:szCs w:val="21"/>
                <w:highlight w:val="none"/>
              </w:rPr>
              <w:t>供应商名称</w:t>
            </w:r>
          </w:p>
        </w:tc>
        <w:tc>
          <w:tcPr>
            <w:tcW w:w="7341" w:type="dxa"/>
            <w:gridSpan w:val="8"/>
            <w:noWrap w:val="0"/>
            <w:vAlign w:val="center"/>
          </w:tcPr>
          <w:p w14:paraId="59E85C54">
            <w:pPr>
              <w:jc w:val="center"/>
              <w:rPr>
                <w:color w:val="auto"/>
                <w:szCs w:val="21"/>
                <w:highlight w:val="none"/>
              </w:rPr>
            </w:pPr>
          </w:p>
        </w:tc>
      </w:tr>
      <w:tr w14:paraId="69C7D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48F2243F">
            <w:pPr>
              <w:jc w:val="center"/>
              <w:rPr>
                <w:color w:val="auto"/>
                <w:szCs w:val="21"/>
                <w:highlight w:val="none"/>
              </w:rPr>
            </w:pPr>
            <w:r>
              <w:rPr>
                <w:color w:val="auto"/>
                <w:szCs w:val="21"/>
                <w:highlight w:val="none"/>
              </w:rPr>
              <w:t>注册地址</w:t>
            </w:r>
          </w:p>
        </w:tc>
        <w:tc>
          <w:tcPr>
            <w:tcW w:w="3389" w:type="dxa"/>
            <w:gridSpan w:val="4"/>
            <w:noWrap w:val="0"/>
            <w:vAlign w:val="center"/>
          </w:tcPr>
          <w:p w14:paraId="65521D16">
            <w:pPr>
              <w:jc w:val="center"/>
              <w:rPr>
                <w:color w:val="auto"/>
                <w:szCs w:val="21"/>
                <w:highlight w:val="none"/>
              </w:rPr>
            </w:pPr>
          </w:p>
        </w:tc>
        <w:tc>
          <w:tcPr>
            <w:tcW w:w="1246" w:type="dxa"/>
            <w:noWrap w:val="0"/>
            <w:vAlign w:val="center"/>
          </w:tcPr>
          <w:p w14:paraId="0683E56A">
            <w:pPr>
              <w:jc w:val="center"/>
              <w:rPr>
                <w:color w:val="auto"/>
                <w:szCs w:val="21"/>
                <w:highlight w:val="none"/>
              </w:rPr>
            </w:pPr>
            <w:r>
              <w:rPr>
                <w:color w:val="auto"/>
                <w:szCs w:val="21"/>
                <w:highlight w:val="none"/>
              </w:rPr>
              <w:t>邮政编码</w:t>
            </w:r>
          </w:p>
        </w:tc>
        <w:tc>
          <w:tcPr>
            <w:tcW w:w="2706" w:type="dxa"/>
            <w:gridSpan w:val="3"/>
            <w:noWrap w:val="0"/>
            <w:vAlign w:val="center"/>
          </w:tcPr>
          <w:p w14:paraId="58A422F1">
            <w:pPr>
              <w:jc w:val="center"/>
              <w:rPr>
                <w:color w:val="auto"/>
                <w:szCs w:val="21"/>
                <w:highlight w:val="none"/>
              </w:rPr>
            </w:pPr>
          </w:p>
        </w:tc>
      </w:tr>
      <w:tr w14:paraId="37A60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vMerge w:val="restart"/>
            <w:noWrap w:val="0"/>
            <w:vAlign w:val="center"/>
          </w:tcPr>
          <w:p w14:paraId="5A6B17FD">
            <w:pPr>
              <w:jc w:val="center"/>
              <w:rPr>
                <w:color w:val="auto"/>
                <w:szCs w:val="21"/>
                <w:highlight w:val="none"/>
              </w:rPr>
            </w:pPr>
            <w:r>
              <w:rPr>
                <w:color w:val="auto"/>
                <w:szCs w:val="21"/>
                <w:highlight w:val="none"/>
              </w:rPr>
              <w:t>联系方式</w:t>
            </w:r>
          </w:p>
        </w:tc>
        <w:tc>
          <w:tcPr>
            <w:tcW w:w="897" w:type="dxa"/>
            <w:noWrap w:val="0"/>
            <w:vAlign w:val="center"/>
          </w:tcPr>
          <w:p w14:paraId="21428327">
            <w:pPr>
              <w:jc w:val="center"/>
              <w:rPr>
                <w:color w:val="auto"/>
                <w:szCs w:val="21"/>
                <w:highlight w:val="none"/>
              </w:rPr>
            </w:pPr>
            <w:r>
              <w:rPr>
                <w:color w:val="auto"/>
                <w:szCs w:val="21"/>
                <w:highlight w:val="none"/>
              </w:rPr>
              <w:t>联系人</w:t>
            </w:r>
          </w:p>
        </w:tc>
        <w:tc>
          <w:tcPr>
            <w:tcW w:w="2492" w:type="dxa"/>
            <w:gridSpan w:val="3"/>
            <w:noWrap w:val="0"/>
            <w:vAlign w:val="center"/>
          </w:tcPr>
          <w:p w14:paraId="26D0B1DD">
            <w:pPr>
              <w:jc w:val="center"/>
              <w:rPr>
                <w:color w:val="auto"/>
                <w:szCs w:val="21"/>
                <w:highlight w:val="none"/>
              </w:rPr>
            </w:pPr>
          </w:p>
        </w:tc>
        <w:tc>
          <w:tcPr>
            <w:tcW w:w="1246" w:type="dxa"/>
            <w:noWrap w:val="0"/>
            <w:vAlign w:val="center"/>
          </w:tcPr>
          <w:p w14:paraId="6E420145">
            <w:pPr>
              <w:jc w:val="center"/>
              <w:rPr>
                <w:color w:val="auto"/>
                <w:szCs w:val="21"/>
                <w:highlight w:val="none"/>
              </w:rPr>
            </w:pPr>
            <w:r>
              <w:rPr>
                <w:color w:val="auto"/>
                <w:szCs w:val="21"/>
                <w:highlight w:val="none"/>
              </w:rPr>
              <w:t>电  话</w:t>
            </w:r>
          </w:p>
        </w:tc>
        <w:tc>
          <w:tcPr>
            <w:tcW w:w="2706" w:type="dxa"/>
            <w:gridSpan w:val="3"/>
            <w:noWrap w:val="0"/>
            <w:vAlign w:val="center"/>
          </w:tcPr>
          <w:p w14:paraId="5BC82729">
            <w:pPr>
              <w:jc w:val="center"/>
              <w:rPr>
                <w:color w:val="auto"/>
                <w:szCs w:val="21"/>
                <w:highlight w:val="none"/>
              </w:rPr>
            </w:pPr>
          </w:p>
        </w:tc>
      </w:tr>
      <w:tr w14:paraId="1E5B5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vMerge w:val="continue"/>
            <w:noWrap w:val="0"/>
            <w:vAlign w:val="center"/>
          </w:tcPr>
          <w:p w14:paraId="49E55A8B">
            <w:pPr>
              <w:jc w:val="center"/>
              <w:rPr>
                <w:color w:val="auto"/>
                <w:szCs w:val="21"/>
                <w:highlight w:val="none"/>
              </w:rPr>
            </w:pPr>
          </w:p>
        </w:tc>
        <w:tc>
          <w:tcPr>
            <w:tcW w:w="897" w:type="dxa"/>
            <w:noWrap w:val="0"/>
            <w:vAlign w:val="center"/>
          </w:tcPr>
          <w:p w14:paraId="31FA0D70">
            <w:pPr>
              <w:jc w:val="center"/>
              <w:rPr>
                <w:color w:val="auto"/>
                <w:szCs w:val="21"/>
                <w:highlight w:val="none"/>
              </w:rPr>
            </w:pPr>
            <w:r>
              <w:rPr>
                <w:color w:val="auto"/>
                <w:szCs w:val="21"/>
                <w:highlight w:val="none"/>
              </w:rPr>
              <w:t>传  真</w:t>
            </w:r>
          </w:p>
        </w:tc>
        <w:tc>
          <w:tcPr>
            <w:tcW w:w="2492" w:type="dxa"/>
            <w:gridSpan w:val="3"/>
            <w:noWrap w:val="0"/>
            <w:vAlign w:val="center"/>
          </w:tcPr>
          <w:p w14:paraId="1154341A">
            <w:pPr>
              <w:jc w:val="center"/>
              <w:rPr>
                <w:color w:val="auto"/>
                <w:szCs w:val="21"/>
                <w:highlight w:val="none"/>
              </w:rPr>
            </w:pPr>
          </w:p>
        </w:tc>
        <w:tc>
          <w:tcPr>
            <w:tcW w:w="1246" w:type="dxa"/>
            <w:noWrap w:val="0"/>
            <w:vAlign w:val="center"/>
          </w:tcPr>
          <w:p w14:paraId="69C58DF4">
            <w:pPr>
              <w:jc w:val="center"/>
              <w:rPr>
                <w:color w:val="auto"/>
                <w:szCs w:val="21"/>
                <w:highlight w:val="none"/>
              </w:rPr>
            </w:pPr>
            <w:r>
              <w:rPr>
                <w:color w:val="auto"/>
                <w:szCs w:val="21"/>
                <w:highlight w:val="none"/>
              </w:rPr>
              <w:t>网  址</w:t>
            </w:r>
          </w:p>
        </w:tc>
        <w:tc>
          <w:tcPr>
            <w:tcW w:w="2706" w:type="dxa"/>
            <w:gridSpan w:val="3"/>
            <w:noWrap w:val="0"/>
            <w:vAlign w:val="center"/>
          </w:tcPr>
          <w:p w14:paraId="69A7D407">
            <w:pPr>
              <w:jc w:val="center"/>
              <w:rPr>
                <w:color w:val="auto"/>
                <w:szCs w:val="21"/>
                <w:highlight w:val="none"/>
              </w:rPr>
            </w:pPr>
          </w:p>
        </w:tc>
      </w:tr>
      <w:tr w14:paraId="28761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5E075B60">
            <w:pPr>
              <w:jc w:val="center"/>
              <w:rPr>
                <w:color w:val="auto"/>
                <w:szCs w:val="21"/>
                <w:highlight w:val="none"/>
              </w:rPr>
            </w:pPr>
            <w:r>
              <w:rPr>
                <w:color w:val="auto"/>
                <w:szCs w:val="21"/>
                <w:highlight w:val="none"/>
              </w:rPr>
              <w:t>统一社会信用代码</w:t>
            </w:r>
          </w:p>
        </w:tc>
        <w:tc>
          <w:tcPr>
            <w:tcW w:w="7341" w:type="dxa"/>
            <w:gridSpan w:val="8"/>
            <w:noWrap w:val="0"/>
            <w:vAlign w:val="center"/>
          </w:tcPr>
          <w:p w14:paraId="678C664E">
            <w:pPr>
              <w:jc w:val="center"/>
              <w:rPr>
                <w:color w:val="auto"/>
                <w:szCs w:val="21"/>
                <w:highlight w:val="none"/>
              </w:rPr>
            </w:pPr>
          </w:p>
        </w:tc>
      </w:tr>
      <w:tr w14:paraId="0E891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1717F0D8">
            <w:pPr>
              <w:jc w:val="center"/>
              <w:rPr>
                <w:color w:val="auto"/>
                <w:szCs w:val="21"/>
                <w:highlight w:val="none"/>
              </w:rPr>
            </w:pPr>
            <w:r>
              <w:rPr>
                <w:color w:val="auto"/>
                <w:szCs w:val="21"/>
                <w:highlight w:val="none"/>
              </w:rPr>
              <w:t>法定代表人</w:t>
            </w:r>
          </w:p>
        </w:tc>
        <w:tc>
          <w:tcPr>
            <w:tcW w:w="897" w:type="dxa"/>
            <w:noWrap w:val="0"/>
            <w:vAlign w:val="center"/>
          </w:tcPr>
          <w:p w14:paraId="7E6D7A87">
            <w:pPr>
              <w:jc w:val="center"/>
              <w:rPr>
                <w:color w:val="auto"/>
                <w:szCs w:val="21"/>
                <w:highlight w:val="none"/>
              </w:rPr>
            </w:pPr>
            <w:r>
              <w:rPr>
                <w:color w:val="auto"/>
                <w:szCs w:val="21"/>
                <w:highlight w:val="none"/>
              </w:rPr>
              <w:t>姓名</w:t>
            </w:r>
          </w:p>
        </w:tc>
        <w:tc>
          <w:tcPr>
            <w:tcW w:w="1021" w:type="dxa"/>
            <w:noWrap w:val="0"/>
            <w:vAlign w:val="center"/>
          </w:tcPr>
          <w:p w14:paraId="0DBB652A">
            <w:pPr>
              <w:jc w:val="center"/>
              <w:rPr>
                <w:color w:val="auto"/>
                <w:szCs w:val="21"/>
                <w:highlight w:val="none"/>
              </w:rPr>
            </w:pPr>
          </w:p>
        </w:tc>
        <w:tc>
          <w:tcPr>
            <w:tcW w:w="1160" w:type="dxa"/>
            <w:noWrap w:val="0"/>
            <w:vAlign w:val="center"/>
          </w:tcPr>
          <w:p w14:paraId="50DC933D">
            <w:pPr>
              <w:jc w:val="center"/>
              <w:rPr>
                <w:color w:val="auto"/>
                <w:szCs w:val="21"/>
                <w:highlight w:val="none"/>
              </w:rPr>
            </w:pPr>
            <w:r>
              <w:rPr>
                <w:color w:val="auto"/>
                <w:szCs w:val="21"/>
                <w:highlight w:val="none"/>
              </w:rPr>
              <w:t>技术职称</w:t>
            </w:r>
          </w:p>
        </w:tc>
        <w:tc>
          <w:tcPr>
            <w:tcW w:w="1620" w:type="dxa"/>
            <w:gridSpan w:val="3"/>
            <w:noWrap w:val="0"/>
            <w:vAlign w:val="center"/>
          </w:tcPr>
          <w:p w14:paraId="632CF555">
            <w:pPr>
              <w:jc w:val="center"/>
              <w:rPr>
                <w:color w:val="auto"/>
                <w:szCs w:val="21"/>
                <w:highlight w:val="none"/>
              </w:rPr>
            </w:pPr>
          </w:p>
        </w:tc>
        <w:tc>
          <w:tcPr>
            <w:tcW w:w="720" w:type="dxa"/>
            <w:noWrap w:val="0"/>
            <w:vAlign w:val="center"/>
          </w:tcPr>
          <w:p w14:paraId="18704A26">
            <w:pPr>
              <w:jc w:val="center"/>
              <w:rPr>
                <w:color w:val="auto"/>
                <w:szCs w:val="21"/>
                <w:highlight w:val="none"/>
              </w:rPr>
            </w:pPr>
            <w:r>
              <w:rPr>
                <w:color w:val="auto"/>
                <w:szCs w:val="21"/>
                <w:highlight w:val="none"/>
              </w:rPr>
              <w:t>电话</w:t>
            </w:r>
          </w:p>
        </w:tc>
        <w:tc>
          <w:tcPr>
            <w:tcW w:w="1923" w:type="dxa"/>
            <w:noWrap w:val="0"/>
            <w:vAlign w:val="center"/>
          </w:tcPr>
          <w:p w14:paraId="08CE2E37">
            <w:pPr>
              <w:jc w:val="center"/>
              <w:rPr>
                <w:color w:val="auto"/>
                <w:szCs w:val="21"/>
                <w:highlight w:val="none"/>
              </w:rPr>
            </w:pPr>
          </w:p>
        </w:tc>
      </w:tr>
      <w:tr w14:paraId="1857B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2708A329">
            <w:pPr>
              <w:jc w:val="center"/>
              <w:rPr>
                <w:color w:val="auto"/>
                <w:szCs w:val="21"/>
                <w:highlight w:val="none"/>
              </w:rPr>
            </w:pPr>
            <w:r>
              <w:rPr>
                <w:color w:val="auto"/>
                <w:szCs w:val="21"/>
                <w:highlight w:val="none"/>
              </w:rPr>
              <w:t>技术负责人</w:t>
            </w:r>
          </w:p>
        </w:tc>
        <w:tc>
          <w:tcPr>
            <w:tcW w:w="897" w:type="dxa"/>
            <w:noWrap w:val="0"/>
            <w:vAlign w:val="center"/>
          </w:tcPr>
          <w:p w14:paraId="14C53058">
            <w:pPr>
              <w:jc w:val="center"/>
              <w:rPr>
                <w:color w:val="auto"/>
                <w:szCs w:val="21"/>
                <w:highlight w:val="none"/>
              </w:rPr>
            </w:pPr>
            <w:r>
              <w:rPr>
                <w:color w:val="auto"/>
                <w:szCs w:val="21"/>
                <w:highlight w:val="none"/>
              </w:rPr>
              <w:t>姓名</w:t>
            </w:r>
          </w:p>
        </w:tc>
        <w:tc>
          <w:tcPr>
            <w:tcW w:w="1021" w:type="dxa"/>
            <w:noWrap w:val="0"/>
            <w:vAlign w:val="center"/>
          </w:tcPr>
          <w:p w14:paraId="78EC387C">
            <w:pPr>
              <w:jc w:val="center"/>
              <w:rPr>
                <w:color w:val="auto"/>
                <w:szCs w:val="21"/>
                <w:highlight w:val="none"/>
              </w:rPr>
            </w:pPr>
          </w:p>
        </w:tc>
        <w:tc>
          <w:tcPr>
            <w:tcW w:w="1160" w:type="dxa"/>
            <w:noWrap w:val="0"/>
            <w:vAlign w:val="center"/>
          </w:tcPr>
          <w:p w14:paraId="34116876">
            <w:pPr>
              <w:jc w:val="center"/>
              <w:rPr>
                <w:color w:val="auto"/>
                <w:szCs w:val="21"/>
                <w:highlight w:val="none"/>
              </w:rPr>
            </w:pPr>
            <w:r>
              <w:rPr>
                <w:color w:val="auto"/>
                <w:szCs w:val="21"/>
                <w:highlight w:val="none"/>
              </w:rPr>
              <w:t>技术职称</w:t>
            </w:r>
          </w:p>
        </w:tc>
        <w:tc>
          <w:tcPr>
            <w:tcW w:w="1620" w:type="dxa"/>
            <w:gridSpan w:val="3"/>
            <w:noWrap w:val="0"/>
            <w:vAlign w:val="center"/>
          </w:tcPr>
          <w:p w14:paraId="3789EDE1">
            <w:pPr>
              <w:jc w:val="center"/>
              <w:rPr>
                <w:color w:val="auto"/>
                <w:szCs w:val="21"/>
                <w:highlight w:val="none"/>
              </w:rPr>
            </w:pPr>
          </w:p>
        </w:tc>
        <w:tc>
          <w:tcPr>
            <w:tcW w:w="720" w:type="dxa"/>
            <w:noWrap w:val="0"/>
            <w:vAlign w:val="center"/>
          </w:tcPr>
          <w:p w14:paraId="34D2E7AA">
            <w:pPr>
              <w:jc w:val="center"/>
              <w:rPr>
                <w:color w:val="auto"/>
                <w:szCs w:val="21"/>
                <w:highlight w:val="none"/>
              </w:rPr>
            </w:pPr>
            <w:r>
              <w:rPr>
                <w:color w:val="auto"/>
                <w:szCs w:val="21"/>
                <w:highlight w:val="none"/>
              </w:rPr>
              <w:t>电话</w:t>
            </w:r>
          </w:p>
        </w:tc>
        <w:tc>
          <w:tcPr>
            <w:tcW w:w="1923" w:type="dxa"/>
            <w:noWrap w:val="0"/>
            <w:vAlign w:val="center"/>
          </w:tcPr>
          <w:p w14:paraId="3465C984">
            <w:pPr>
              <w:jc w:val="center"/>
              <w:rPr>
                <w:color w:val="auto"/>
                <w:szCs w:val="21"/>
                <w:highlight w:val="none"/>
              </w:rPr>
            </w:pPr>
          </w:p>
        </w:tc>
      </w:tr>
      <w:tr w14:paraId="0D52B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4F92C15F">
            <w:pPr>
              <w:jc w:val="center"/>
              <w:rPr>
                <w:color w:val="auto"/>
                <w:szCs w:val="21"/>
                <w:highlight w:val="none"/>
              </w:rPr>
            </w:pPr>
            <w:r>
              <w:rPr>
                <w:color w:val="auto"/>
                <w:szCs w:val="21"/>
                <w:highlight w:val="none"/>
              </w:rPr>
              <w:t>成立时间</w:t>
            </w:r>
          </w:p>
        </w:tc>
        <w:tc>
          <w:tcPr>
            <w:tcW w:w="7341" w:type="dxa"/>
            <w:gridSpan w:val="8"/>
            <w:noWrap w:val="0"/>
            <w:vAlign w:val="center"/>
          </w:tcPr>
          <w:p w14:paraId="5DF00D1F">
            <w:pPr>
              <w:jc w:val="center"/>
              <w:rPr>
                <w:color w:val="auto"/>
                <w:szCs w:val="21"/>
                <w:highlight w:val="none"/>
              </w:rPr>
            </w:pPr>
          </w:p>
        </w:tc>
      </w:tr>
      <w:tr w14:paraId="79549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210A0005">
            <w:pPr>
              <w:jc w:val="center"/>
              <w:rPr>
                <w:color w:val="auto"/>
                <w:szCs w:val="21"/>
                <w:highlight w:val="none"/>
              </w:rPr>
            </w:pPr>
            <w:r>
              <w:rPr>
                <w:color w:val="auto"/>
                <w:szCs w:val="21"/>
                <w:highlight w:val="none"/>
              </w:rPr>
              <w:t>资质等级</w:t>
            </w:r>
          </w:p>
        </w:tc>
        <w:tc>
          <w:tcPr>
            <w:tcW w:w="1918" w:type="dxa"/>
            <w:gridSpan w:val="2"/>
            <w:noWrap w:val="0"/>
            <w:vAlign w:val="center"/>
          </w:tcPr>
          <w:p w14:paraId="198B0309">
            <w:pPr>
              <w:jc w:val="center"/>
              <w:rPr>
                <w:color w:val="auto"/>
                <w:szCs w:val="21"/>
                <w:highlight w:val="none"/>
              </w:rPr>
            </w:pPr>
          </w:p>
        </w:tc>
        <w:tc>
          <w:tcPr>
            <w:tcW w:w="2780" w:type="dxa"/>
            <w:gridSpan w:val="4"/>
            <w:noWrap w:val="0"/>
            <w:vAlign w:val="center"/>
          </w:tcPr>
          <w:p w14:paraId="466E3B4D">
            <w:pPr>
              <w:jc w:val="center"/>
              <w:rPr>
                <w:rFonts w:hint="default" w:eastAsia="宋体"/>
                <w:color w:val="auto"/>
                <w:szCs w:val="21"/>
                <w:highlight w:val="none"/>
                <w:lang w:val="en-US" w:eastAsia="zh-CN"/>
              </w:rPr>
            </w:pPr>
            <w:r>
              <w:rPr>
                <w:rFonts w:hint="eastAsia"/>
                <w:color w:val="auto"/>
                <w:szCs w:val="21"/>
                <w:highlight w:val="none"/>
                <w:lang w:val="en-US" w:eastAsia="zh-CN"/>
              </w:rPr>
              <w:t>资质有效期</w:t>
            </w:r>
          </w:p>
        </w:tc>
        <w:tc>
          <w:tcPr>
            <w:tcW w:w="2643" w:type="dxa"/>
            <w:gridSpan w:val="2"/>
            <w:noWrap w:val="0"/>
            <w:vAlign w:val="center"/>
          </w:tcPr>
          <w:p w14:paraId="675A6E7F">
            <w:pPr>
              <w:jc w:val="center"/>
              <w:rPr>
                <w:color w:val="auto"/>
                <w:szCs w:val="21"/>
                <w:highlight w:val="none"/>
              </w:rPr>
            </w:pPr>
          </w:p>
        </w:tc>
      </w:tr>
      <w:tr w14:paraId="32B88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56E1A74B">
            <w:pPr>
              <w:jc w:val="center"/>
              <w:rPr>
                <w:color w:val="auto"/>
                <w:szCs w:val="21"/>
                <w:highlight w:val="none"/>
              </w:rPr>
            </w:pPr>
            <w:r>
              <w:rPr>
                <w:color w:val="auto"/>
                <w:szCs w:val="21"/>
                <w:highlight w:val="none"/>
              </w:rPr>
              <w:t>安全生产许可证号</w:t>
            </w:r>
          </w:p>
        </w:tc>
        <w:tc>
          <w:tcPr>
            <w:tcW w:w="1918" w:type="dxa"/>
            <w:gridSpan w:val="2"/>
            <w:noWrap w:val="0"/>
            <w:vAlign w:val="center"/>
          </w:tcPr>
          <w:p w14:paraId="5E6E3E60">
            <w:pPr>
              <w:jc w:val="center"/>
              <w:rPr>
                <w:color w:val="auto"/>
                <w:szCs w:val="21"/>
                <w:highlight w:val="none"/>
              </w:rPr>
            </w:pPr>
          </w:p>
        </w:tc>
        <w:tc>
          <w:tcPr>
            <w:tcW w:w="1160" w:type="dxa"/>
            <w:noWrap w:val="0"/>
            <w:vAlign w:val="center"/>
          </w:tcPr>
          <w:p w14:paraId="74CF0074">
            <w:pPr>
              <w:jc w:val="center"/>
              <w:rPr>
                <w:color w:val="auto"/>
                <w:szCs w:val="21"/>
                <w:highlight w:val="none"/>
              </w:rPr>
            </w:pPr>
          </w:p>
        </w:tc>
        <w:tc>
          <w:tcPr>
            <w:tcW w:w="1620" w:type="dxa"/>
            <w:gridSpan w:val="3"/>
            <w:noWrap w:val="0"/>
            <w:vAlign w:val="center"/>
          </w:tcPr>
          <w:p w14:paraId="563198AF">
            <w:pPr>
              <w:jc w:val="center"/>
              <w:rPr>
                <w:rFonts w:hint="eastAsia" w:eastAsia="宋体"/>
                <w:color w:val="auto"/>
                <w:szCs w:val="21"/>
                <w:highlight w:val="none"/>
                <w:lang w:val="en-US" w:eastAsia="zh-CN"/>
              </w:rPr>
            </w:pPr>
            <w:r>
              <w:rPr>
                <w:color w:val="auto"/>
                <w:szCs w:val="21"/>
                <w:highlight w:val="none"/>
              </w:rPr>
              <w:t>安全生产许可证</w:t>
            </w:r>
            <w:r>
              <w:rPr>
                <w:rFonts w:hint="eastAsia"/>
                <w:color w:val="auto"/>
                <w:szCs w:val="21"/>
                <w:highlight w:val="none"/>
                <w:lang w:val="en-US" w:eastAsia="zh-CN"/>
              </w:rPr>
              <w:t>有效期</w:t>
            </w:r>
          </w:p>
        </w:tc>
        <w:tc>
          <w:tcPr>
            <w:tcW w:w="2643" w:type="dxa"/>
            <w:gridSpan w:val="2"/>
            <w:noWrap w:val="0"/>
            <w:vAlign w:val="center"/>
          </w:tcPr>
          <w:p w14:paraId="6FA0CD5C">
            <w:pPr>
              <w:jc w:val="center"/>
              <w:rPr>
                <w:color w:val="auto"/>
                <w:szCs w:val="21"/>
                <w:highlight w:val="none"/>
              </w:rPr>
            </w:pPr>
          </w:p>
        </w:tc>
      </w:tr>
      <w:tr w14:paraId="6B7DD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416C962C">
            <w:pPr>
              <w:jc w:val="center"/>
              <w:rPr>
                <w:color w:val="auto"/>
                <w:szCs w:val="21"/>
                <w:highlight w:val="none"/>
              </w:rPr>
            </w:pPr>
            <w:r>
              <w:rPr>
                <w:color w:val="auto"/>
                <w:szCs w:val="21"/>
                <w:highlight w:val="none"/>
              </w:rPr>
              <w:t>注册资金</w:t>
            </w:r>
          </w:p>
        </w:tc>
        <w:tc>
          <w:tcPr>
            <w:tcW w:w="7341" w:type="dxa"/>
            <w:gridSpan w:val="8"/>
            <w:noWrap w:val="0"/>
            <w:vAlign w:val="center"/>
          </w:tcPr>
          <w:p w14:paraId="47808272">
            <w:pPr>
              <w:jc w:val="center"/>
              <w:rPr>
                <w:color w:val="auto"/>
                <w:szCs w:val="21"/>
                <w:highlight w:val="none"/>
              </w:rPr>
            </w:pPr>
          </w:p>
        </w:tc>
      </w:tr>
      <w:tr w14:paraId="277C5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1D2E3619">
            <w:pPr>
              <w:jc w:val="center"/>
              <w:rPr>
                <w:color w:val="auto"/>
                <w:szCs w:val="21"/>
                <w:highlight w:val="none"/>
              </w:rPr>
            </w:pPr>
            <w:r>
              <w:rPr>
                <w:color w:val="auto"/>
                <w:szCs w:val="21"/>
                <w:highlight w:val="none"/>
              </w:rPr>
              <w:t>开户银行</w:t>
            </w:r>
          </w:p>
        </w:tc>
        <w:tc>
          <w:tcPr>
            <w:tcW w:w="7341" w:type="dxa"/>
            <w:gridSpan w:val="8"/>
            <w:noWrap w:val="0"/>
            <w:vAlign w:val="center"/>
          </w:tcPr>
          <w:p w14:paraId="5FFC8346">
            <w:pPr>
              <w:jc w:val="center"/>
              <w:rPr>
                <w:color w:val="auto"/>
                <w:szCs w:val="21"/>
                <w:highlight w:val="none"/>
              </w:rPr>
            </w:pPr>
          </w:p>
        </w:tc>
      </w:tr>
      <w:tr w14:paraId="04582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3B330C75">
            <w:pPr>
              <w:jc w:val="center"/>
              <w:rPr>
                <w:color w:val="auto"/>
                <w:szCs w:val="21"/>
                <w:highlight w:val="none"/>
              </w:rPr>
            </w:pPr>
            <w:r>
              <w:rPr>
                <w:color w:val="auto"/>
                <w:szCs w:val="21"/>
                <w:highlight w:val="none"/>
              </w:rPr>
              <w:t>账号</w:t>
            </w:r>
          </w:p>
        </w:tc>
        <w:tc>
          <w:tcPr>
            <w:tcW w:w="7341" w:type="dxa"/>
            <w:gridSpan w:val="8"/>
            <w:noWrap w:val="0"/>
            <w:vAlign w:val="center"/>
          </w:tcPr>
          <w:p w14:paraId="717EB1AA">
            <w:pPr>
              <w:jc w:val="center"/>
              <w:rPr>
                <w:color w:val="auto"/>
                <w:szCs w:val="21"/>
                <w:highlight w:val="none"/>
              </w:rPr>
            </w:pPr>
          </w:p>
        </w:tc>
      </w:tr>
      <w:tr w14:paraId="264E6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1" w:hRule="atLeast"/>
          <w:jc w:val="center"/>
        </w:trPr>
        <w:tc>
          <w:tcPr>
            <w:tcW w:w="1626" w:type="dxa"/>
            <w:noWrap w:val="0"/>
            <w:vAlign w:val="center"/>
          </w:tcPr>
          <w:p w14:paraId="6F2BFE36">
            <w:pPr>
              <w:jc w:val="center"/>
              <w:rPr>
                <w:color w:val="auto"/>
                <w:szCs w:val="21"/>
                <w:highlight w:val="none"/>
              </w:rPr>
            </w:pPr>
            <w:r>
              <w:rPr>
                <w:color w:val="auto"/>
                <w:szCs w:val="21"/>
                <w:highlight w:val="none"/>
              </w:rPr>
              <w:t>经营范围</w:t>
            </w:r>
          </w:p>
        </w:tc>
        <w:tc>
          <w:tcPr>
            <w:tcW w:w="7341" w:type="dxa"/>
            <w:gridSpan w:val="8"/>
            <w:noWrap w:val="0"/>
            <w:vAlign w:val="center"/>
          </w:tcPr>
          <w:p w14:paraId="0CA5A792">
            <w:pPr>
              <w:jc w:val="center"/>
              <w:rPr>
                <w:color w:val="auto"/>
                <w:szCs w:val="21"/>
                <w:highlight w:val="none"/>
              </w:rPr>
            </w:pPr>
          </w:p>
        </w:tc>
      </w:tr>
      <w:tr w14:paraId="09DCE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2F9D0C38">
            <w:pPr>
              <w:jc w:val="center"/>
              <w:rPr>
                <w:color w:val="auto"/>
                <w:szCs w:val="21"/>
                <w:highlight w:val="none"/>
              </w:rPr>
            </w:pPr>
            <w:r>
              <w:rPr>
                <w:color w:val="auto"/>
                <w:szCs w:val="21"/>
                <w:highlight w:val="none"/>
              </w:rPr>
              <w:t>备注</w:t>
            </w:r>
          </w:p>
        </w:tc>
        <w:tc>
          <w:tcPr>
            <w:tcW w:w="7341" w:type="dxa"/>
            <w:gridSpan w:val="8"/>
            <w:noWrap w:val="0"/>
            <w:vAlign w:val="center"/>
          </w:tcPr>
          <w:p w14:paraId="7F9B8ABA">
            <w:pPr>
              <w:jc w:val="center"/>
              <w:rPr>
                <w:color w:val="auto"/>
                <w:szCs w:val="21"/>
                <w:highlight w:val="none"/>
              </w:rPr>
            </w:pPr>
          </w:p>
        </w:tc>
      </w:tr>
    </w:tbl>
    <w:p w14:paraId="5749D9E2">
      <w:pPr>
        <w:snapToGrid w:val="0"/>
        <w:spacing w:before="50" w:after="120" w:afterLines="50" w:line="440" w:lineRule="exact"/>
        <w:jc w:val="left"/>
        <w:rPr>
          <w:b/>
          <w:color w:val="auto"/>
          <w:szCs w:val="21"/>
          <w:highlight w:val="none"/>
        </w:rPr>
      </w:pPr>
      <w:r>
        <w:rPr>
          <w:color w:val="auto"/>
          <w:szCs w:val="21"/>
          <w:highlight w:val="none"/>
        </w:rPr>
        <w:t>【备注：</w:t>
      </w:r>
      <w:r>
        <w:rPr>
          <w:rFonts w:hint="eastAsia"/>
          <w:color w:val="auto"/>
          <w:szCs w:val="21"/>
          <w:highlight w:val="none"/>
        </w:rPr>
        <w:t>附有效的安全生产许可证副本扫描件</w:t>
      </w:r>
      <w:r>
        <w:rPr>
          <w:color w:val="auto"/>
          <w:szCs w:val="21"/>
          <w:highlight w:val="none"/>
        </w:rPr>
        <w:t>加盖</w:t>
      </w:r>
      <w:bookmarkStart w:id="1044" w:name="_Hlk89190857"/>
      <w:r>
        <w:rPr>
          <w:color w:val="auto"/>
          <w:szCs w:val="21"/>
          <w:highlight w:val="none"/>
        </w:rPr>
        <w:t>供应商</w:t>
      </w:r>
      <w:r>
        <w:rPr>
          <w:rFonts w:hint="eastAsia"/>
          <w:color w:val="auto"/>
          <w:szCs w:val="21"/>
          <w:highlight w:val="none"/>
        </w:rPr>
        <w:t>电子签章</w:t>
      </w:r>
      <w:bookmarkEnd w:id="1044"/>
      <w:r>
        <w:rPr>
          <w:color w:val="auto"/>
          <w:szCs w:val="21"/>
          <w:highlight w:val="none"/>
        </w:rPr>
        <w:t>】</w:t>
      </w:r>
      <w:r>
        <w:rPr>
          <w:color w:val="auto"/>
          <w:szCs w:val="21"/>
          <w:highlight w:val="none"/>
        </w:rPr>
        <w:br w:type="page"/>
      </w:r>
      <w:bookmarkStart w:id="1045" w:name="_Hlk132792497"/>
      <w:r>
        <w:rPr>
          <w:rFonts w:hint="eastAsia"/>
          <w:bCs/>
          <w:color w:val="auto"/>
          <w:szCs w:val="21"/>
          <w:highlight w:val="none"/>
          <w:lang w:val="en-US" w:eastAsia="zh-CN"/>
        </w:rPr>
        <w:t>6</w:t>
      </w:r>
      <w:r>
        <w:rPr>
          <w:bCs/>
          <w:color w:val="auto"/>
          <w:szCs w:val="21"/>
          <w:highlight w:val="none"/>
        </w:rPr>
        <w:t>．</w:t>
      </w:r>
      <w:r>
        <w:rPr>
          <w:rFonts w:hint="eastAsia"/>
          <w:bCs/>
          <w:color w:val="auto"/>
          <w:szCs w:val="21"/>
          <w:highlight w:val="none"/>
        </w:rPr>
        <w:t>落实政府采购政策需满足的资格要求</w:t>
      </w:r>
      <w:r>
        <w:rPr>
          <w:bCs/>
          <w:color w:val="auto"/>
          <w:szCs w:val="21"/>
          <w:highlight w:val="none"/>
        </w:rPr>
        <w:t>（按“评审方法及标准” “资格审查表”规定提供）。</w:t>
      </w:r>
      <w:r>
        <w:rPr>
          <w:rFonts w:hint="eastAsia"/>
          <w:bCs/>
          <w:color w:val="auto"/>
          <w:szCs w:val="21"/>
          <w:highlight w:val="none"/>
        </w:rPr>
        <w:t>（</w:t>
      </w:r>
      <w:r>
        <w:rPr>
          <w:rFonts w:hint="eastAsia"/>
          <w:b/>
          <w:color w:val="auto"/>
          <w:szCs w:val="21"/>
          <w:highlight w:val="none"/>
        </w:rPr>
        <w:t>如采购文件有要求时提供</w:t>
      </w:r>
      <w:r>
        <w:rPr>
          <w:rFonts w:hint="eastAsia"/>
          <w:bCs/>
          <w:color w:val="auto"/>
          <w:szCs w:val="21"/>
          <w:highlight w:val="none"/>
        </w:rPr>
        <w:t>）</w:t>
      </w:r>
    </w:p>
    <w:bookmarkEnd w:id="1045"/>
    <w:p w14:paraId="5D3E5A10">
      <w:pPr>
        <w:snapToGrid w:val="0"/>
        <w:spacing w:before="50" w:after="120" w:afterLines="50" w:line="440" w:lineRule="exact"/>
        <w:jc w:val="left"/>
        <w:rPr>
          <w:rFonts w:hint="eastAsia"/>
          <w:b/>
          <w:color w:val="auto"/>
          <w:highlight w:val="none"/>
        </w:rPr>
      </w:pPr>
      <w:r>
        <w:rPr>
          <w:rFonts w:hint="eastAsia"/>
          <w:color w:val="auto"/>
          <w:highlight w:val="none"/>
          <w:lang w:val="en-US" w:eastAsia="zh-CN"/>
        </w:rPr>
        <w:t>7</w:t>
      </w:r>
      <w:r>
        <w:rPr>
          <w:color w:val="auto"/>
          <w:highlight w:val="none"/>
        </w:rPr>
        <w:t>．满足供应商特定资格条件的其他证明材料加盖</w:t>
      </w:r>
      <w:r>
        <w:rPr>
          <w:color w:val="auto"/>
          <w:szCs w:val="21"/>
          <w:highlight w:val="none"/>
        </w:rPr>
        <w:t>供应商</w:t>
      </w:r>
      <w:r>
        <w:rPr>
          <w:rFonts w:hint="eastAsia"/>
          <w:color w:val="auto"/>
          <w:szCs w:val="21"/>
          <w:highlight w:val="none"/>
        </w:rPr>
        <w:t>电子签章</w:t>
      </w:r>
      <w:r>
        <w:rPr>
          <w:color w:val="auto"/>
          <w:highlight w:val="none"/>
        </w:rPr>
        <w:t>（按“评审方法及标准” “</w:t>
      </w:r>
      <w:r>
        <w:rPr>
          <w:color w:val="auto"/>
          <w:szCs w:val="21"/>
          <w:highlight w:val="none"/>
        </w:rPr>
        <w:t>资格审查表</w:t>
      </w:r>
      <w:r>
        <w:rPr>
          <w:color w:val="auto"/>
          <w:highlight w:val="none"/>
        </w:rPr>
        <w:t>”规定提供）。</w:t>
      </w:r>
      <w:r>
        <w:rPr>
          <w:rFonts w:hint="eastAsia"/>
          <w:b/>
          <w:color w:val="auto"/>
          <w:highlight w:val="none"/>
        </w:rPr>
        <w:t>（如采购文件有要求时提供）</w:t>
      </w:r>
    </w:p>
    <w:p w14:paraId="0BE3A2BE">
      <w:pPr>
        <w:pStyle w:val="197"/>
        <w:jc w:val="left"/>
        <w:rPr>
          <w:rFonts w:hint="eastAsia" w:ascii="Times New Roman" w:hAnsi="Times New Roman"/>
          <w:color w:val="auto"/>
          <w:highlight w:val="none"/>
        </w:rPr>
      </w:pPr>
    </w:p>
    <w:p w14:paraId="2D5D2833">
      <w:pPr>
        <w:pStyle w:val="197"/>
        <w:jc w:val="left"/>
        <w:rPr>
          <w:rFonts w:hint="eastAsia" w:ascii="Times New Roman" w:hAnsi="Times New Roman"/>
          <w:color w:val="auto"/>
          <w:highlight w:val="none"/>
        </w:rPr>
      </w:pPr>
      <w:r>
        <w:rPr>
          <w:rFonts w:hint="eastAsia" w:ascii="Times New Roman" w:hAnsi="Times New Roman"/>
          <w:color w:val="auto"/>
          <w:highlight w:val="none"/>
          <w:lang w:val="en-US" w:eastAsia="zh-CN"/>
        </w:rPr>
        <w:t>7</w:t>
      </w:r>
      <w:r>
        <w:rPr>
          <w:rFonts w:hint="eastAsia" w:ascii="Times New Roman" w:hAnsi="Times New Roman"/>
          <w:color w:val="auto"/>
          <w:highlight w:val="none"/>
        </w:rPr>
        <w:t>.1有效的企业资质证书副本</w:t>
      </w:r>
      <w:r>
        <w:rPr>
          <w:rFonts w:hint="eastAsia"/>
          <w:color w:val="auto"/>
          <w:szCs w:val="21"/>
          <w:highlight w:val="none"/>
        </w:rPr>
        <w:t>扫描件</w:t>
      </w:r>
      <w:r>
        <w:rPr>
          <w:rFonts w:ascii="Times New Roman" w:hAnsi="Times New Roman"/>
          <w:color w:val="auto"/>
          <w:highlight w:val="none"/>
        </w:rPr>
        <w:t>加盖</w:t>
      </w:r>
      <w:r>
        <w:rPr>
          <w:color w:val="auto"/>
          <w:szCs w:val="21"/>
          <w:highlight w:val="none"/>
        </w:rPr>
        <w:t>供应商</w:t>
      </w:r>
      <w:bookmarkStart w:id="1046" w:name="_Hlk89190867"/>
      <w:r>
        <w:rPr>
          <w:rFonts w:hint="eastAsia"/>
          <w:color w:val="auto"/>
          <w:szCs w:val="21"/>
          <w:highlight w:val="none"/>
        </w:rPr>
        <w:t>电子签章</w:t>
      </w:r>
      <w:bookmarkEnd w:id="1046"/>
    </w:p>
    <w:p w14:paraId="5A464C96">
      <w:pPr>
        <w:pStyle w:val="197"/>
        <w:jc w:val="left"/>
        <w:rPr>
          <w:rFonts w:hint="eastAsia" w:ascii="Times New Roman" w:hAnsi="Times New Roman"/>
          <w:color w:val="auto"/>
          <w:highlight w:val="none"/>
        </w:rPr>
      </w:pPr>
    </w:p>
    <w:p w14:paraId="0887191D">
      <w:pPr>
        <w:pStyle w:val="197"/>
        <w:jc w:val="left"/>
        <w:rPr>
          <w:rFonts w:hint="eastAsia" w:ascii="Times New Roman" w:hAnsi="Times New Roman"/>
          <w:color w:val="auto"/>
          <w:highlight w:val="none"/>
        </w:rPr>
      </w:pPr>
    </w:p>
    <w:p w14:paraId="70E44251">
      <w:pPr>
        <w:pStyle w:val="27"/>
        <w:tabs>
          <w:tab w:val="left" w:pos="2127"/>
        </w:tabs>
        <w:spacing w:line="340" w:lineRule="exact"/>
        <w:rPr>
          <w:rFonts w:ascii="Times New Roman" w:hAnsi="Times New Roman"/>
          <w:color w:val="auto"/>
          <w:highlight w:val="none"/>
        </w:rPr>
      </w:pPr>
      <w:r>
        <w:rPr>
          <w:rFonts w:hint="eastAsia" w:ascii="Times New Roman" w:hAnsi="Times New Roman" w:cs="Times New Roman"/>
          <w:color w:val="auto"/>
          <w:highlight w:val="none"/>
          <w:lang w:val="en-US" w:eastAsia="zh-CN"/>
        </w:rPr>
        <w:t>7</w:t>
      </w:r>
      <w:r>
        <w:rPr>
          <w:rFonts w:ascii="Times New Roman" w:hAnsi="Times New Roman" w:cs="Times New Roman"/>
          <w:color w:val="auto"/>
          <w:highlight w:val="none"/>
        </w:rPr>
        <w:t>.</w:t>
      </w:r>
      <w:bookmarkStart w:id="1047" w:name="_Toc172364026"/>
      <w:bookmarkStart w:id="1048" w:name="_Toc153274948"/>
      <w:bookmarkStart w:id="1049" w:name="_Toc173579006"/>
      <w:bookmarkStart w:id="1050" w:name="_Toc251052200"/>
      <w:bookmarkStart w:id="1051" w:name="_Toc389065364"/>
      <w:r>
        <w:rPr>
          <w:rFonts w:hint="eastAsia" w:ascii="Times New Roman" w:hAnsi="Times New Roman" w:cs="Times New Roman"/>
          <w:color w:val="auto"/>
          <w:highlight w:val="none"/>
        </w:rPr>
        <w:t>2</w:t>
      </w:r>
      <w:r>
        <w:rPr>
          <w:rFonts w:ascii="Times New Roman" w:hAnsi="Times New Roman"/>
          <w:color w:val="auto"/>
          <w:highlight w:val="none"/>
        </w:rPr>
        <w:t>项目经理简历表</w:t>
      </w:r>
      <w:bookmarkEnd w:id="1047"/>
      <w:bookmarkEnd w:id="1048"/>
      <w:bookmarkEnd w:id="1049"/>
      <w:bookmarkEnd w:id="1050"/>
      <w:bookmarkEnd w:id="1051"/>
    </w:p>
    <w:tbl>
      <w:tblPr>
        <w:tblStyle w:val="54"/>
        <w:tblW w:w="92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3"/>
        <w:gridCol w:w="464"/>
        <w:gridCol w:w="1548"/>
        <w:gridCol w:w="328"/>
        <w:gridCol w:w="1219"/>
        <w:gridCol w:w="674"/>
        <w:gridCol w:w="874"/>
        <w:gridCol w:w="711"/>
        <w:gridCol w:w="836"/>
        <w:gridCol w:w="272"/>
        <w:gridCol w:w="1276"/>
      </w:tblGrid>
      <w:tr w14:paraId="3D542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83" w:type="dxa"/>
            <w:noWrap w:val="0"/>
            <w:vAlign w:val="center"/>
          </w:tcPr>
          <w:p w14:paraId="589F67C3">
            <w:pPr>
              <w:jc w:val="center"/>
              <w:rPr>
                <w:color w:val="auto"/>
                <w:highlight w:val="none"/>
              </w:rPr>
            </w:pPr>
            <w:r>
              <w:rPr>
                <w:color w:val="auto"/>
                <w:highlight w:val="none"/>
              </w:rPr>
              <w:t>姓名</w:t>
            </w:r>
          </w:p>
        </w:tc>
        <w:tc>
          <w:tcPr>
            <w:tcW w:w="2340" w:type="dxa"/>
            <w:gridSpan w:val="3"/>
            <w:noWrap w:val="0"/>
            <w:vAlign w:val="center"/>
          </w:tcPr>
          <w:p w14:paraId="067E228D">
            <w:pPr>
              <w:jc w:val="center"/>
              <w:rPr>
                <w:color w:val="auto"/>
                <w:highlight w:val="none"/>
              </w:rPr>
            </w:pPr>
          </w:p>
        </w:tc>
        <w:tc>
          <w:tcPr>
            <w:tcW w:w="1893" w:type="dxa"/>
            <w:gridSpan w:val="2"/>
            <w:noWrap w:val="0"/>
            <w:vAlign w:val="center"/>
          </w:tcPr>
          <w:p w14:paraId="183D5633">
            <w:pPr>
              <w:jc w:val="center"/>
              <w:rPr>
                <w:color w:val="auto"/>
                <w:highlight w:val="none"/>
              </w:rPr>
            </w:pPr>
            <w:r>
              <w:rPr>
                <w:color w:val="auto"/>
                <w:highlight w:val="none"/>
              </w:rPr>
              <w:t>性别</w:t>
            </w:r>
          </w:p>
        </w:tc>
        <w:tc>
          <w:tcPr>
            <w:tcW w:w="1585" w:type="dxa"/>
            <w:gridSpan w:val="2"/>
            <w:noWrap w:val="0"/>
            <w:vAlign w:val="center"/>
          </w:tcPr>
          <w:p w14:paraId="13CB8E68">
            <w:pPr>
              <w:jc w:val="center"/>
              <w:rPr>
                <w:color w:val="auto"/>
                <w:highlight w:val="none"/>
              </w:rPr>
            </w:pPr>
          </w:p>
        </w:tc>
        <w:tc>
          <w:tcPr>
            <w:tcW w:w="1108" w:type="dxa"/>
            <w:gridSpan w:val="2"/>
            <w:noWrap w:val="0"/>
            <w:vAlign w:val="center"/>
          </w:tcPr>
          <w:p w14:paraId="70191B28">
            <w:pPr>
              <w:jc w:val="center"/>
              <w:rPr>
                <w:color w:val="auto"/>
                <w:highlight w:val="none"/>
              </w:rPr>
            </w:pPr>
            <w:r>
              <w:rPr>
                <w:color w:val="auto"/>
                <w:highlight w:val="none"/>
              </w:rPr>
              <w:t>年龄</w:t>
            </w:r>
          </w:p>
        </w:tc>
        <w:tc>
          <w:tcPr>
            <w:tcW w:w="1276" w:type="dxa"/>
            <w:noWrap w:val="0"/>
            <w:vAlign w:val="center"/>
          </w:tcPr>
          <w:p w14:paraId="52AA37BC">
            <w:pPr>
              <w:jc w:val="center"/>
              <w:rPr>
                <w:color w:val="auto"/>
                <w:highlight w:val="none"/>
              </w:rPr>
            </w:pPr>
          </w:p>
        </w:tc>
      </w:tr>
      <w:tr w14:paraId="071B9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083" w:type="dxa"/>
            <w:noWrap w:val="0"/>
            <w:vAlign w:val="center"/>
          </w:tcPr>
          <w:p w14:paraId="06B9BE22">
            <w:pPr>
              <w:jc w:val="center"/>
              <w:rPr>
                <w:rFonts w:hint="eastAsia" w:eastAsia="宋体"/>
                <w:color w:val="auto"/>
                <w:highlight w:val="none"/>
                <w:lang w:eastAsia="zh-CN"/>
              </w:rPr>
            </w:pPr>
            <w:r>
              <w:rPr>
                <w:rFonts w:hint="eastAsia"/>
                <w:color w:val="auto"/>
                <w:highlight w:val="none"/>
                <w:lang w:val="en-US" w:eastAsia="zh-CN"/>
              </w:rPr>
              <w:t>岗位</w:t>
            </w:r>
          </w:p>
        </w:tc>
        <w:tc>
          <w:tcPr>
            <w:tcW w:w="2340" w:type="dxa"/>
            <w:gridSpan w:val="3"/>
            <w:noWrap w:val="0"/>
            <w:vAlign w:val="center"/>
          </w:tcPr>
          <w:p w14:paraId="49F9672A">
            <w:pPr>
              <w:jc w:val="center"/>
              <w:rPr>
                <w:color w:val="auto"/>
                <w:highlight w:val="none"/>
              </w:rPr>
            </w:pPr>
          </w:p>
        </w:tc>
        <w:tc>
          <w:tcPr>
            <w:tcW w:w="1893" w:type="dxa"/>
            <w:gridSpan w:val="2"/>
            <w:noWrap w:val="0"/>
            <w:vAlign w:val="center"/>
          </w:tcPr>
          <w:p w14:paraId="7D61638A">
            <w:pPr>
              <w:jc w:val="center"/>
              <w:rPr>
                <w:color w:val="auto"/>
                <w:highlight w:val="none"/>
              </w:rPr>
            </w:pPr>
            <w:r>
              <w:rPr>
                <w:color w:val="auto"/>
                <w:highlight w:val="none"/>
              </w:rPr>
              <w:t>职称</w:t>
            </w:r>
          </w:p>
        </w:tc>
        <w:tc>
          <w:tcPr>
            <w:tcW w:w="1585" w:type="dxa"/>
            <w:gridSpan w:val="2"/>
            <w:noWrap w:val="0"/>
            <w:vAlign w:val="center"/>
          </w:tcPr>
          <w:p w14:paraId="11F80C48">
            <w:pPr>
              <w:jc w:val="center"/>
              <w:rPr>
                <w:color w:val="auto"/>
                <w:highlight w:val="none"/>
              </w:rPr>
            </w:pPr>
          </w:p>
        </w:tc>
        <w:tc>
          <w:tcPr>
            <w:tcW w:w="1108" w:type="dxa"/>
            <w:gridSpan w:val="2"/>
            <w:noWrap w:val="0"/>
            <w:vAlign w:val="center"/>
          </w:tcPr>
          <w:p w14:paraId="718E6251">
            <w:pPr>
              <w:jc w:val="center"/>
              <w:rPr>
                <w:color w:val="auto"/>
                <w:highlight w:val="none"/>
              </w:rPr>
            </w:pPr>
            <w:r>
              <w:rPr>
                <w:color w:val="auto"/>
                <w:highlight w:val="none"/>
              </w:rPr>
              <w:t>学历</w:t>
            </w:r>
          </w:p>
        </w:tc>
        <w:tc>
          <w:tcPr>
            <w:tcW w:w="1276" w:type="dxa"/>
            <w:noWrap w:val="0"/>
            <w:vAlign w:val="center"/>
          </w:tcPr>
          <w:p w14:paraId="23B5E1D8">
            <w:pPr>
              <w:jc w:val="center"/>
              <w:rPr>
                <w:color w:val="auto"/>
                <w:highlight w:val="none"/>
              </w:rPr>
            </w:pPr>
          </w:p>
        </w:tc>
      </w:tr>
      <w:tr w14:paraId="490DE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3423" w:type="dxa"/>
            <w:gridSpan w:val="4"/>
            <w:noWrap w:val="0"/>
            <w:vAlign w:val="center"/>
          </w:tcPr>
          <w:p w14:paraId="24E5B111">
            <w:pPr>
              <w:jc w:val="center"/>
              <w:rPr>
                <w:color w:val="auto"/>
                <w:highlight w:val="none"/>
              </w:rPr>
            </w:pPr>
            <w:r>
              <w:rPr>
                <w:color w:val="auto"/>
                <w:highlight w:val="none"/>
              </w:rPr>
              <w:t>参加工作时间</w:t>
            </w:r>
          </w:p>
        </w:tc>
        <w:tc>
          <w:tcPr>
            <w:tcW w:w="1893" w:type="dxa"/>
            <w:gridSpan w:val="2"/>
            <w:noWrap w:val="0"/>
            <w:vAlign w:val="center"/>
          </w:tcPr>
          <w:p w14:paraId="0899057B">
            <w:pPr>
              <w:jc w:val="center"/>
              <w:rPr>
                <w:color w:val="auto"/>
                <w:highlight w:val="none"/>
              </w:rPr>
            </w:pPr>
          </w:p>
        </w:tc>
        <w:tc>
          <w:tcPr>
            <w:tcW w:w="2693" w:type="dxa"/>
            <w:gridSpan w:val="4"/>
            <w:noWrap w:val="0"/>
            <w:vAlign w:val="center"/>
          </w:tcPr>
          <w:p w14:paraId="00843C8F">
            <w:pPr>
              <w:jc w:val="center"/>
              <w:rPr>
                <w:color w:val="auto"/>
                <w:highlight w:val="none"/>
              </w:rPr>
            </w:pPr>
            <w:r>
              <w:rPr>
                <w:color w:val="auto"/>
                <w:highlight w:val="none"/>
              </w:rPr>
              <w:t>担任项目经理年限</w:t>
            </w:r>
          </w:p>
        </w:tc>
        <w:tc>
          <w:tcPr>
            <w:tcW w:w="1276" w:type="dxa"/>
            <w:noWrap w:val="0"/>
            <w:vAlign w:val="center"/>
          </w:tcPr>
          <w:p w14:paraId="073BF3EB">
            <w:pPr>
              <w:jc w:val="center"/>
              <w:rPr>
                <w:color w:val="auto"/>
                <w:highlight w:val="none"/>
              </w:rPr>
            </w:pPr>
          </w:p>
        </w:tc>
      </w:tr>
      <w:tr w14:paraId="130E2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jc w:val="center"/>
        </w:trPr>
        <w:tc>
          <w:tcPr>
            <w:tcW w:w="3423" w:type="dxa"/>
            <w:gridSpan w:val="4"/>
            <w:noWrap w:val="0"/>
            <w:vAlign w:val="center"/>
          </w:tcPr>
          <w:p w14:paraId="7D6BD847">
            <w:pPr>
              <w:jc w:val="center"/>
              <w:rPr>
                <w:color w:val="auto"/>
                <w:highlight w:val="none"/>
              </w:rPr>
            </w:pPr>
            <w:r>
              <w:rPr>
                <w:color w:val="auto"/>
                <w:highlight w:val="none"/>
              </w:rPr>
              <w:t>建造师注册编号</w:t>
            </w:r>
          </w:p>
        </w:tc>
        <w:tc>
          <w:tcPr>
            <w:tcW w:w="5862" w:type="dxa"/>
            <w:gridSpan w:val="7"/>
            <w:noWrap w:val="0"/>
            <w:vAlign w:val="center"/>
          </w:tcPr>
          <w:p w14:paraId="489A4EDD">
            <w:pPr>
              <w:jc w:val="center"/>
              <w:rPr>
                <w:color w:val="auto"/>
                <w:highlight w:val="none"/>
              </w:rPr>
            </w:pPr>
          </w:p>
        </w:tc>
      </w:tr>
      <w:tr w14:paraId="5AB39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jc w:val="center"/>
        </w:trPr>
        <w:tc>
          <w:tcPr>
            <w:tcW w:w="3423" w:type="dxa"/>
            <w:gridSpan w:val="4"/>
            <w:noWrap w:val="0"/>
            <w:vAlign w:val="center"/>
          </w:tcPr>
          <w:p w14:paraId="1E8BEC4C">
            <w:pPr>
              <w:jc w:val="center"/>
              <w:rPr>
                <w:color w:val="auto"/>
                <w:highlight w:val="none"/>
              </w:rPr>
            </w:pPr>
            <w:r>
              <w:rPr>
                <w:color w:val="auto"/>
                <w:highlight w:val="none"/>
              </w:rPr>
              <w:t>注册专业、等级</w:t>
            </w:r>
          </w:p>
        </w:tc>
        <w:tc>
          <w:tcPr>
            <w:tcW w:w="5862" w:type="dxa"/>
            <w:gridSpan w:val="7"/>
            <w:noWrap w:val="0"/>
            <w:vAlign w:val="center"/>
          </w:tcPr>
          <w:p w14:paraId="23E0CB88">
            <w:pPr>
              <w:jc w:val="center"/>
              <w:rPr>
                <w:color w:val="auto"/>
                <w:highlight w:val="none"/>
              </w:rPr>
            </w:pPr>
          </w:p>
        </w:tc>
      </w:tr>
      <w:tr w14:paraId="6F539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9285" w:type="dxa"/>
            <w:gridSpan w:val="11"/>
            <w:noWrap w:val="0"/>
            <w:vAlign w:val="center"/>
          </w:tcPr>
          <w:p w14:paraId="4980A908">
            <w:pPr>
              <w:jc w:val="center"/>
              <w:rPr>
                <w:color w:val="auto"/>
                <w:highlight w:val="none"/>
              </w:rPr>
            </w:pPr>
            <w:r>
              <w:rPr>
                <w:color w:val="auto"/>
                <w:highlight w:val="none"/>
              </w:rPr>
              <w:t>在建和已完工程项目情况</w:t>
            </w:r>
          </w:p>
        </w:tc>
      </w:tr>
      <w:tr w14:paraId="574C0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547" w:type="dxa"/>
            <w:gridSpan w:val="2"/>
            <w:noWrap w:val="0"/>
            <w:vAlign w:val="center"/>
          </w:tcPr>
          <w:p w14:paraId="0B4C393F">
            <w:pPr>
              <w:jc w:val="center"/>
              <w:rPr>
                <w:color w:val="auto"/>
                <w:highlight w:val="none"/>
              </w:rPr>
            </w:pPr>
            <w:r>
              <w:rPr>
                <w:color w:val="auto"/>
                <w:highlight w:val="none"/>
              </w:rPr>
              <w:t>建设单位</w:t>
            </w:r>
          </w:p>
        </w:tc>
        <w:tc>
          <w:tcPr>
            <w:tcW w:w="1548" w:type="dxa"/>
            <w:noWrap w:val="0"/>
            <w:vAlign w:val="center"/>
          </w:tcPr>
          <w:p w14:paraId="463A7779">
            <w:pPr>
              <w:jc w:val="center"/>
              <w:rPr>
                <w:color w:val="auto"/>
                <w:highlight w:val="none"/>
              </w:rPr>
            </w:pPr>
            <w:r>
              <w:rPr>
                <w:color w:val="auto"/>
                <w:highlight w:val="none"/>
              </w:rPr>
              <w:t>项目名称</w:t>
            </w:r>
          </w:p>
        </w:tc>
        <w:tc>
          <w:tcPr>
            <w:tcW w:w="1547" w:type="dxa"/>
            <w:gridSpan w:val="2"/>
            <w:noWrap w:val="0"/>
            <w:vAlign w:val="center"/>
          </w:tcPr>
          <w:p w14:paraId="35428277">
            <w:pPr>
              <w:jc w:val="center"/>
              <w:rPr>
                <w:color w:val="auto"/>
                <w:highlight w:val="none"/>
              </w:rPr>
            </w:pPr>
            <w:r>
              <w:rPr>
                <w:color w:val="auto"/>
                <w:highlight w:val="none"/>
              </w:rPr>
              <w:t>建设规模</w:t>
            </w:r>
          </w:p>
        </w:tc>
        <w:tc>
          <w:tcPr>
            <w:tcW w:w="1548" w:type="dxa"/>
            <w:gridSpan w:val="2"/>
            <w:noWrap w:val="0"/>
            <w:vAlign w:val="center"/>
          </w:tcPr>
          <w:p w14:paraId="6B1ABB07">
            <w:pPr>
              <w:jc w:val="center"/>
              <w:rPr>
                <w:color w:val="auto"/>
                <w:highlight w:val="none"/>
              </w:rPr>
            </w:pPr>
            <w:r>
              <w:rPr>
                <w:color w:val="auto"/>
                <w:highlight w:val="none"/>
              </w:rPr>
              <w:t>开、竣工日期</w:t>
            </w:r>
          </w:p>
        </w:tc>
        <w:tc>
          <w:tcPr>
            <w:tcW w:w="1547" w:type="dxa"/>
            <w:gridSpan w:val="2"/>
            <w:noWrap w:val="0"/>
            <w:vAlign w:val="center"/>
          </w:tcPr>
          <w:p w14:paraId="1F06277B">
            <w:pPr>
              <w:jc w:val="center"/>
              <w:rPr>
                <w:color w:val="auto"/>
                <w:highlight w:val="none"/>
              </w:rPr>
            </w:pPr>
            <w:r>
              <w:rPr>
                <w:color w:val="auto"/>
                <w:highlight w:val="none"/>
              </w:rPr>
              <w:t>在建或已完</w:t>
            </w:r>
          </w:p>
        </w:tc>
        <w:tc>
          <w:tcPr>
            <w:tcW w:w="1548" w:type="dxa"/>
            <w:gridSpan w:val="2"/>
            <w:noWrap w:val="0"/>
            <w:vAlign w:val="center"/>
          </w:tcPr>
          <w:p w14:paraId="6B09E061">
            <w:pPr>
              <w:jc w:val="center"/>
              <w:rPr>
                <w:color w:val="auto"/>
                <w:highlight w:val="none"/>
              </w:rPr>
            </w:pPr>
            <w:r>
              <w:rPr>
                <w:color w:val="auto"/>
                <w:highlight w:val="none"/>
              </w:rPr>
              <w:t>工程质量</w:t>
            </w:r>
          </w:p>
        </w:tc>
      </w:tr>
      <w:tr w14:paraId="2B654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noWrap w:val="0"/>
            <w:vAlign w:val="center"/>
          </w:tcPr>
          <w:p w14:paraId="6A200548">
            <w:pPr>
              <w:jc w:val="center"/>
              <w:rPr>
                <w:color w:val="auto"/>
                <w:highlight w:val="none"/>
              </w:rPr>
            </w:pPr>
          </w:p>
        </w:tc>
        <w:tc>
          <w:tcPr>
            <w:tcW w:w="1548" w:type="dxa"/>
            <w:noWrap w:val="0"/>
            <w:vAlign w:val="center"/>
          </w:tcPr>
          <w:p w14:paraId="51DD83B0">
            <w:pPr>
              <w:jc w:val="center"/>
              <w:rPr>
                <w:color w:val="auto"/>
                <w:highlight w:val="none"/>
              </w:rPr>
            </w:pPr>
          </w:p>
        </w:tc>
        <w:tc>
          <w:tcPr>
            <w:tcW w:w="1547" w:type="dxa"/>
            <w:gridSpan w:val="2"/>
            <w:noWrap w:val="0"/>
            <w:vAlign w:val="center"/>
          </w:tcPr>
          <w:p w14:paraId="321840D4">
            <w:pPr>
              <w:jc w:val="center"/>
              <w:rPr>
                <w:color w:val="auto"/>
                <w:highlight w:val="none"/>
              </w:rPr>
            </w:pPr>
          </w:p>
        </w:tc>
        <w:tc>
          <w:tcPr>
            <w:tcW w:w="1548" w:type="dxa"/>
            <w:gridSpan w:val="2"/>
            <w:noWrap w:val="0"/>
            <w:vAlign w:val="center"/>
          </w:tcPr>
          <w:p w14:paraId="685AB941">
            <w:pPr>
              <w:jc w:val="center"/>
              <w:rPr>
                <w:color w:val="auto"/>
                <w:highlight w:val="none"/>
              </w:rPr>
            </w:pPr>
          </w:p>
        </w:tc>
        <w:tc>
          <w:tcPr>
            <w:tcW w:w="1547" w:type="dxa"/>
            <w:gridSpan w:val="2"/>
            <w:noWrap w:val="0"/>
            <w:vAlign w:val="center"/>
          </w:tcPr>
          <w:p w14:paraId="2705031A">
            <w:pPr>
              <w:jc w:val="center"/>
              <w:rPr>
                <w:color w:val="auto"/>
                <w:highlight w:val="none"/>
              </w:rPr>
            </w:pPr>
          </w:p>
        </w:tc>
        <w:tc>
          <w:tcPr>
            <w:tcW w:w="1548" w:type="dxa"/>
            <w:gridSpan w:val="2"/>
            <w:noWrap w:val="0"/>
            <w:vAlign w:val="center"/>
          </w:tcPr>
          <w:p w14:paraId="40B2F8C4">
            <w:pPr>
              <w:jc w:val="center"/>
              <w:rPr>
                <w:color w:val="auto"/>
                <w:highlight w:val="none"/>
              </w:rPr>
            </w:pPr>
          </w:p>
        </w:tc>
      </w:tr>
      <w:tr w14:paraId="0C1E0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noWrap w:val="0"/>
            <w:vAlign w:val="center"/>
          </w:tcPr>
          <w:p w14:paraId="66EAA288">
            <w:pPr>
              <w:jc w:val="center"/>
              <w:rPr>
                <w:color w:val="auto"/>
                <w:highlight w:val="none"/>
              </w:rPr>
            </w:pPr>
          </w:p>
        </w:tc>
        <w:tc>
          <w:tcPr>
            <w:tcW w:w="1548" w:type="dxa"/>
            <w:noWrap w:val="0"/>
            <w:vAlign w:val="center"/>
          </w:tcPr>
          <w:p w14:paraId="6177379F">
            <w:pPr>
              <w:jc w:val="center"/>
              <w:rPr>
                <w:color w:val="auto"/>
                <w:highlight w:val="none"/>
              </w:rPr>
            </w:pPr>
          </w:p>
        </w:tc>
        <w:tc>
          <w:tcPr>
            <w:tcW w:w="1547" w:type="dxa"/>
            <w:gridSpan w:val="2"/>
            <w:noWrap w:val="0"/>
            <w:vAlign w:val="center"/>
          </w:tcPr>
          <w:p w14:paraId="3AC94DE5">
            <w:pPr>
              <w:jc w:val="center"/>
              <w:rPr>
                <w:color w:val="auto"/>
                <w:highlight w:val="none"/>
              </w:rPr>
            </w:pPr>
          </w:p>
        </w:tc>
        <w:tc>
          <w:tcPr>
            <w:tcW w:w="1548" w:type="dxa"/>
            <w:gridSpan w:val="2"/>
            <w:noWrap w:val="0"/>
            <w:vAlign w:val="center"/>
          </w:tcPr>
          <w:p w14:paraId="5C0B9418">
            <w:pPr>
              <w:jc w:val="center"/>
              <w:rPr>
                <w:color w:val="auto"/>
                <w:highlight w:val="none"/>
              </w:rPr>
            </w:pPr>
          </w:p>
        </w:tc>
        <w:tc>
          <w:tcPr>
            <w:tcW w:w="1547" w:type="dxa"/>
            <w:gridSpan w:val="2"/>
            <w:noWrap w:val="0"/>
            <w:vAlign w:val="center"/>
          </w:tcPr>
          <w:p w14:paraId="01F71C7A">
            <w:pPr>
              <w:jc w:val="center"/>
              <w:rPr>
                <w:color w:val="auto"/>
                <w:highlight w:val="none"/>
              </w:rPr>
            </w:pPr>
          </w:p>
        </w:tc>
        <w:tc>
          <w:tcPr>
            <w:tcW w:w="1548" w:type="dxa"/>
            <w:gridSpan w:val="2"/>
            <w:noWrap w:val="0"/>
            <w:vAlign w:val="center"/>
          </w:tcPr>
          <w:p w14:paraId="6C67BDAC">
            <w:pPr>
              <w:jc w:val="center"/>
              <w:rPr>
                <w:color w:val="auto"/>
                <w:highlight w:val="none"/>
              </w:rPr>
            </w:pPr>
          </w:p>
        </w:tc>
      </w:tr>
      <w:tr w14:paraId="22FFB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noWrap w:val="0"/>
            <w:vAlign w:val="center"/>
          </w:tcPr>
          <w:p w14:paraId="2EAF2A63">
            <w:pPr>
              <w:jc w:val="center"/>
              <w:rPr>
                <w:color w:val="auto"/>
                <w:highlight w:val="none"/>
              </w:rPr>
            </w:pPr>
          </w:p>
        </w:tc>
        <w:tc>
          <w:tcPr>
            <w:tcW w:w="1548" w:type="dxa"/>
            <w:noWrap w:val="0"/>
            <w:vAlign w:val="center"/>
          </w:tcPr>
          <w:p w14:paraId="03377216">
            <w:pPr>
              <w:jc w:val="center"/>
              <w:rPr>
                <w:color w:val="auto"/>
                <w:highlight w:val="none"/>
              </w:rPr>
            </w:pPr>
          </w:p>
        </w:tc>
        <w:tc>
          <w:tcPr>
            <w:tcW w:w="1547" w:type="dxa"/>
            <w:gridSpan w:val="2"/>
            <w:noWrap w:val="0"/>
            <w:vAlign w:val="center"/>
          </w:tcPr>
          <w:p w14:paraId="6D3322F0">
            <w:pPr>
              <w:jc w:val="center"/>
              <w:rPr>
                <w:color w:val="auto"/>
                <w:highlight w:val="none"/>
              </w:rPr>
            </w:pPr>
          </w:p>
        </w:tc>
        <w:tc>
          <w:tcPr>
            <w:tcW w:w="1548" w:type="dxa"/>
            <w:gridSpan w:val="2"/>
            <w:noWrap w:val="0"/>
            <w:vAlign w:val="center"/>
          </w:tcPr>
          <w:p w14:paraId="0691657C">
            <w:pPr>
              <w:jc w:val="center"/>
              <w:rPr>
                <w:color w:val="auto"/>
                <w:highlight w:val="none"/>
              </w:rPr>
            </w:pPr>
          </w:p>
        </w:tc>
        <w:tc>
          <w:tcPr>
            <w:tcW w:w="1547" w:type="dxa"/>
            <w:gridSpan w:val="2"/>
            <w:noWrap w:val="0"/>
            <w:vAlign w:val="center"/>
          </w:tcPr>
          <w:p w14:paraId="71BE8C68">
            <w:pPr>
              <w:jc w:val="center"/>
              <w:rPr>
                <w:color w:val="auto"/>
                <w:highlight w:val="none"/>
              </w:rPr>
            </w:pPr>
          </w:p>
        </w:tc>
        <w:tc>
          <w:tcPr>
            <w:tcW w:w="1548" w:type="dxa"/>
            <w:gridSpan w:val="2"/>
            <w:noWrap w:val="0"/>
            <w:vAlign w:val="center"/>
          </w:tcPr>
          <w:p w14:paraId="31AF6F88">
            <w:pPr>
              <w:jc w:val="center"/>
              <w:rPr>
                <w:color w:val="auto"/>
                <w:highlight w:val="none"/>
              </w:rPr>
            </w:pPr>
          </w:p>
        </w:tc>
      </w:tr>
    </w:tbl>
    <w:p w14:paraId="58F1E32A">
      <w:pPr>
        <w:pStyle w:val="197"/>
        <w:rPr>
          <w:rFonts w:hint="eastAsia" w:ascii="Times New Roman" w:hAnsi="Times New Roman"/>
          <w:color w:val="auto"/>
          <w:highlight w:val="none"/>
        </w:rPr>
      </w:pPr>
      <w:r>
        <w:rPr>
          <w:rFonts w:ascii="Times New Roman" w:hAnsi="Times New Roman"/>
          <w:color w:val="auto"/>
          <w:highlight w:val="none"/>
        </w:rPr>
        <w:t>备注：附项目经理注册建造师注册证书、安全生产考核合格证书（B证）、响应文件递交截止时间前6个月内</w:t>
      </w:r>
      <w:r>
        <w:rPr>
          <w:color w:val="auto"/>
          <w:highlight w:val="none"/>
        </w:rPr>
        <w:t>任意</w:t>
      </w:r>
      <w:r>
        <w:rPr>
          <w:rFonts w:hint="eastAsia" w:ascii="Times New Roman" w:hAnsi="Times New Roman"/>
          <w:color w:val="auto"/>
          <w:highlight w:val="none"/>
        </w:rPr>
        <w:t>1个月</w:t>
      </w:r>
      <w:r>
        <w:rPr>
          <w:rFonts w:ascii="Times New Roman" w:hAnsi="Times New Roman"/>
          <w:color w:val="auto"/>
          <w:highlight w:val="none"/>
        </w:rPr>
        <w:t>在现任职单位依法缴纳社会保险的凭证和已完工程中标（成交）通知书</w:t>
      </w:r>
      <w:r>
        <w:rPr>
          <w:rFonts w:hint="eastAsia" w:ascii="Times New Roman" w:hAnsi="Times New Roman"/>
          <w:color w:val="auto"/>
          <w:highlight w:val="none"/>
          <w:lang w:eastAsia="zh-CN"/>
        </w:rPr>
        <w:t>（如有）</w:t>
      </w:r>
      <w:r>
        <w:rPr>
          <w:rFonts w:ascii="Times New Roman" w:hAnsi="Times New Roman"/>
          <w:color w:val="auto"/>
          <w:highlight w:val="none"/>
        </w:rPr>
        <w:t>、工程合同协议书</w:t>
      </w:r>
      <w:r>
        <w:rPr>
          <w:rFonts w:hint="eastAsia" w:ascii="Times New Roman" w:hAnsi="Times New Roman"/>
          <w:color w:val="auto"/>
          <w:highlight w:val="none"/>
          <w:lang w:eastAsia="zh-CN"/>
        </w:rPr>
        <w:t>（如有）</w:t>
      </w:r>
      <w:r>
        <w:rPr>
          <w:rFonts w:ascii="Times New Roman" w:hAnsi="Times New Roman"/>
          <w:color w:val="auto"/>
          <w:highlight w:val="none"/>
        </w:rPr>
        <w:t>、工程竣工验收证明材料</w:t>
      </w:r>
      <w:r>
        <w:rPr>
          <w:rFonts w:hint="eastAsia" w:ascii="Times New Roman" w:hAnsi="Times New Roman"/>
          <w:color w:val="auto"/>
          <w:highlight w:val="none"/>
          <w:lang w:eastAsia="zh-CN"/>
        </w:rPr>
        <w:t>（如有）</w:t>
      </w:r>
      <w:r>
        <w:rPr>
          <w:rFonts w:ascii="Times New Roman" w:hAnsi="Times New Roman"/>
          <w:color w:val="auto"/>
          <w:highlight w:val="none"/>
        </w:rPr>
        <w:t>，以及供应商认为需要增加的其他证明材料</w:t>
      </w:r>
      <w:r>
        <w:rPr>
          <w:rFonts w:hint="eastAsia"/>
          <w:color w:val="auto"/>
          <w:szCs w:val="21"/>
          <w:highlight w:val="none"/>
        </w:rPr>
        <w:t>扫描件</w:t>
      </w:r>
      <w:r>
        <w:rPr>
          <w:rFonts w:ascii="Times New Roman" w:hAnsi="Times New Roman"/>
          <w:color w:val="auto"/>
          <w:highlight w:val="none"/>
        </w:rPr>
        <w:t>，以上</w:t>
      </w:r>
      <w:r>
        <w:rPr>
          <w:rFonts w:hint="eastAsia"/>
          <w:color w:val="auto"/>
          <w:szCs w:val="21"/>
          <w:highlight w:val="none"/>
        </w:rPr>
        <w:t>扫描件</w:t>
      </w:r>
      <w:r>
        <w:rPr>
          <w:rFonts w:ascii="Times New Roman" w:hAnsi="Times New Roman"/>
          <w:color w:val="auto"/>
          <w:highlight w:val="none"/>
        </w:rPr>
        <w:t>须加盖</w:t>
      </w:r>
      <w:r>
        <w:rPr>
          <w:color w:val="auto"/>
          <w:szCs w:val="21"/>
          <w:highlight w:val="none"/>
        </w:rPr>
        <w:t>供应商</w:t>
      </w:r>
      <w:r>
        <w:rPr>
          <w:rFonts w:hint="eastAsia"/>
          <w:color w:val="auto"/>
          <w:szCs w:val="21"/>
          <w:highlight w:val="none"/>
        </w:rPr>
        <w:t>电子签章</w:t>
      </w:r>
      <w:r>
        <w:rPr>
          <w:rFonts w:ascii="Times New Roman" w:hAnsi="Times New Roman"/>
          <w:color w:val="auto"/>
          <w:highlight w:val="none"/>
        </w:rPr>
        <w:t>。</w:t>
      </w:r>
      <w:bookmarkStart w:id="1052" w:name="_Toc251052219"/>
      <w:bookmarkStart w:id="1053" w:name="_Toc153274949"/>
      <w:bookmarkStart w:id="1054" w:name="_Toc389065365"/>
      <w:bookmarkStart w:id="1055" w:name="_Toc173579007"/>
      <w:bookmarkStart w:id="1056" w:name="_Toc172364027"/>
    </w:p>
    <w:p w14:paraId="0986FC9B">
      <w:pPr>
        <w:pStyle w:val="197"/>
        <w:rPr>
          <w:rFonts w:hint="eastAsia" w:ascii="Times New Roman" w:hAnsi="Times New Roman"/>
          <w:color w:val="auto"/>
          <w:highlight w:val="none"/>
        </w:rPr>
      </w:pPr>
    </w:p>
    <w:p w14:paraId="58ADE9A6">
      <w:pPr>
        <w:pStyle w:val="197"/>
        <w:rPr>
          <w:rFonts w:ascii="Times New Roman" w:hAnsi="Times New Roman"/>
          <w:color w:val="auto"/>
          <w:highlight w:val="none"/>
        </w:rPr>
      </w:pPr>
    </w:p>
    <w:p w14:paraId="0A9A6FC5">
      <w:pPr>
        <w:pStyle w:val="197"/>
        <w:rPr>
          <w:rFonts w:ascii="Times New Roman" w:hAnsi="Times New Roman"/>
          <w:color w:val="auto"/>
          <w:highlight w:val="none"/>
        </w:rPr>
      </w:pPr>
      <w:r>
        <w:rPr>
          <w:rFonts w:hint="eastAsia" w:ascii="Times New Roman" w:hAnsi="Times New Roman"/>
          <w:color w:val="auto"/>
          <w:highlight w:val="none"/>
          <w:lang w:val="en-US" w:eastAsia="zh-CN"/>
        </w:rPr>
        <w:t>7</w:t>
      </w:r>
      <w:r>
        <w:rPr>
          <w:rFonts w:ascii="Times New Roman" w:hAnsi="Times New Roman"/>
          <w:color w:val="auto"/>
          <w:highlight w:val="none"/>
        </w:rPr>
        <w:t>.</w:t>
      </w:r>
      <w:r>
        <w:rPr>
          <w:rFonts w:hint="eastAsia" w:ascii="Times New Roman" w:hAnsi="Times New Roman"/>
          <w:color w:val="auto"/>
          <w:highlight w:val="none"/>
        </w:rPr>
        <w:t>3</w:t>
      </w:r>
      <w:r>
        <w:rPr>
          <w:rFonts w:ascii="Times New Roman" w:hAnsi="Times New Roman"/>
          <w:color w:val="auto"/>
          <w:highlight w:val="none"/>
        </w:rPr>
        <w:t>项目技术负责人简历表</w:t>
      </w:r>
      <w:bookmarkEnd w:id="1052"/>
      <w:bookmarkEnd w:id="1053"/>
      <w:bookmarkEnd w:id="1054"/>
      <w:bookmarkEnd w:id="1055"/>
      <w:bookmarkEnd w:id="1056"/>
    </w:p>
    <w:tbl>
      <w:tblPr>
        <w:tblStyle w:val="5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3"/>
        <w:gridCol w:w="464"/>
        <w:gridCol w:w="1548"/>
        <w:gridCol w:w="328"/>
        <w:gridCol w:w="1219"/>
        <w:gridCol w:w="674"/>
        <w:gridCol w:w="874"/>
        <w:gridCol w:w="711"/>
        <w:gridCol w:w="836"/>
        <w:gridCol w:w="272"/>
        <w:gridCol w:w="1276"/>
      </w:tblGrid>
      <w:tr w14:paraId="7B011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83" w:type="dxa"/>
            <w:noWrap w:val="0"/>
            <w:vAlign w:val="center"/>
          </w:tcPr>
          <w:p w14:paraId="3EB2D1E3">
            <w:pPr>
              <w:jc w:val="center"/>
              <w:rPr>
                <w:color w:val="auto"/>
                <w:highlight w:val="none"/>
              </w:rPr>
            </w:pPr>
            <w:r>
              <w:rPr>
                <w:color w:val="auto"/>
                <w:highlight w:val="none"/>
              </w:rPr>
              <w:t>姓名</w:t>
            </w:r>
          </w:p>
        </w:tc>
        <w:tc>
          <w:tcPr>
            <w:tcW w:w="2340" w:type="dxa"/>
            <w:gridSpan w:val="3"/>
            <w:noWrap w:val="0"/>
            <w:vAlign w:val="center"/>
          </w:tcPr>
          <w:p w14:paraId="07B1DD13">
            <w:pPr>
              <w:jc w:val="center"/>
              <w:rPr>
                <w:color w:val="auto"/>
                <w:highlight w:val="none"/>
              </w:rPr>
            </w:pPr>
          </w:p>
        </w:tc>
        <w:tc>
          <w:tcPr>
            <w:tcW w:w="1893" w:type="dxa"/>
            <w:gridSpan w:val="2"/>
            <w:noWrap w:val="0"/>
            <w:vAlign w:val="center"/>
          </w:tcPr>
          <w:p w14:paraId="143B2FA2">
            <w:pPr>
              <w:jc w:val="center"/>
              <w:rPr>
                <w:color w:val="auto"/>
                <w:highlight w:val="none"/>
              </w:rPr>
            </w:pPr>
            <w:r>
              <w:rPr>
                <w:color w:val="auto"/>
                <w:highlight w:val="none"/>
              </w:rPr>
              <w:t>性别</w:t>
            </w:r>
          </w:p>
        </w:tc>
        <w:tc>
          <w:tcPr>
            <w:tcW w:w="1585" w:type="dxa"/>
            <w:gridSpan w:val="2"/>
            <w:noWrap w:val="0"/>
            <w:vAlign w:val="center"/>
          </w:tcPr>
          <w:p w14:paraId="78567F6F">
            <w:pPr>
              <w:jc w:val="center"/>
              <w:rPr>
                <w:color w:val="auto"/>
                <w:highlight w:val="none"/>
              </w:rPr>
            </w:pPr>
          </w:p>
        </w:tc>
        <w:tc>
          <w:tcPr>
            <w:tcW w:w="1108" w:type="dxa"/>
            <w:gridSpan w:val="2"/>
            <w:noWrap w:val="0"/>
            <w:vAlign w:val="center"/>
          </w:tcPr>
          <w:p w14:paraId="3B7034CE">
            <w:pPr>
              <w:jc w:val="center"/>
              <w:rPr>
                <w:color w:val="auto"/>
                <w:highlight w:val="none"/>
              </w:rPr>
            </w:pPr>
            <w:r>
              <w:rPr>
                <w:color w:val="auto"/>
                <w:highlight w:val="none"/>
              </w:rPr>
              <w:t>年龄</w:t>
            </w:r>
          </w:p>
        </w:tc>
        <w:tc>
          <w:tcPr>
            <w:tcW w:w="1276" w:type="dxa"/>
            <w:noWrap w:val="0"/>
            <w:vAlign w:val="center"/>
          </w:tcPr>
          <w:p w14:paraId="788EE1FE">
            <w:pPr>
              <w:jc w:val="center"/>
              <w:rPr>
                <w:color w:val="auto"/>
                <w:highlight w:val="none"/>
              </w:rPr>
            </w:pPr>
          </w:p>
        </w:tc>
      </w:tr>
      <w:tr w14:paraId="3FAFD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083" w:type="dxa"/>
            <w:noWrap w:val="0"/>
            <w:vAlign w:val="center"/>
          </w:tcPr>
          <w:p w14:paraId="11E7755F">
            <w:pPr>
              <w:jc w:val="center"/>
              <w:rPr>
                <w:color w:val="auto"/>
                <w:highlight w:val="none"/>
              </w:rPr>
            </w:pPr>
            <w:r>
              <w:rPr>
                <w:rFonts w:hint="eastAsia"/>
                <w:color w:val="auto"/>
                <w:highlight w:val="none"/>
                <w:lang w:val="en-US" w:eastAsia="zh-CN"/>
              </w:rPr>
              <w:t>岗位</w:t>
            </w:r>
          </w:p>
        </w:tc>
        <w:tc>
          <w:tcPr>
            <w:tcW w:w="2340" w:type="dxa"/>
            <w:gridSpan w:val="3"/>
            <w:noWrap w:val="0"/>
            <w:vAlign w:val="center"/>
          </w:tcPr>
          <w:p w14:paraId="7F36C6B8">
            <w:pPr>
              <w:jc w:val="center"/>
              <w:rPr>
                <w:color w:val="auto"/>
                <w:highlight w:val="none"/>
              </w:rPr>
            </w:pPr>
          </w:p>
        </w:tc>
        <w:tc>
          <w:tcPr>
            <w:tcW w:w="1893" w:type="dxa"/>
            <w:gridSpan w:val="2"/>
            <w:noWrap w:val="0"/>
            <w:vAlign w:val="center"/>
          </w:tcPr>
          <w:p w14:paraId="64BBA4D4">
            <w:pPr>
              <w:jc w:val="center"/>
              <w:rPr>
                <w:color w:val="auto"/>
                <w:highlight w:val="none"/>
              </w:rPr>
            </w:pPr>
            <w:r>
              <w:rPr>
                <w:color w:val="auto"/>
                <w:highlight w:val="none"/>
              </w:rPr>
              <w:t>职称</w:t>
            </w:r>
          </w:p>
        </w:tc>
        <w:tc>
          <w:tcPr>
            <w:tcW w:w="1585" w:type="dxa"/>
            <w:gridSpan w:val="2"/>
            <w:noWrap w:val="0"/>
            <w:vAlign w:val="center"/>
          </w:tcPr>
          <w:p w14:paraId="0316DC9B">
            <w:pPr>
              <w:jc w:val="center"/>
              <w:rPr>
                <w:color w:val="auto"/>
                <w:highlight w:val="none"/>
              </w:rPr>
            </w:pPr>
          </w:p>
        </w:tc>
        <w:tc>
          <w:tcPr>
            <w:tcW w:w="1108" w:type="dxa"/>
            <w:gridSpan w:val="2"/>
            <w:noWrap w:val="0"/>
            <w:vAlign w:val="center"/>
          </w:tcPr>
          <w:p w14:paraId="5AA86E36">
            <w:pPr>
              <w:jc w:val="center"/>
              <w:rPr>
                <w:color w:val="auto"/>
                <w:highlight w:val="none"/>
              </w:rPr>
            </w:pPr>
            <w:r>
              <w:rPr>
                <w:color w:val="auto"/>
                <w:highlight w:val="none"/>
              </w:rPr>
              <w:t>学历</w:t>
            </w:r>
          </w:p>
        </w:tc>
        <w:tc>
          <w:tcPr>
            <w:tcW w:w="1276" w:type="dxa"/>
            <w:noWrap w:val="0"/>
            <w:vAlign w:val="center"/>
          </w:tcPr>
          <w:p w14:paraId="2DDE8C90">
            <w:pPr>
              <w:jc w:val="center"/>
              <w:rPr>
                <w:color w:val="auto"/>
                <w:highlight w:val="none"/>
              </w:rPr>
            </w:pPr>
          </w:p>
        </w:tc>
      </w:tr>
      <w:tr w14:paraId="77C3B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3423" w:type="dxa"/>
            <w:gridSpan w:val="4"/>
            <w:noWrap w:val="0"/>
            <w:vAlign w:val="center"/>
          </w:tcPr>
          <w:p w14:paraId="28744F10">
            <w:pPr>
              <w:jc w:val="center"/>
              <w:rPr>
                <w:color w:val="auto"/>
                <w:highlight w:val="none"/>
              </w:rPr>
            </w:pPr>
            <w:r>
              <w:rPr>
                <w:color w:val="auto"/>
                <w:highlight w:val="none"/>
              </w:rPr>
              <w:t>参加工作时间</w:t>
            </w:r>
          </w:p>
        </w:tc>
        <w:tc>
          <w:tcPr>
            <w:tcW w:w="1893" w:type="dxa"/>
            <w:gridSpan w:val="2"/>
            <w:noWrap w:val="0"/>
            <w:vAlign w:val="center"/>
          </w:tcPr>
          <w:p w14:paraId="14569A6F">
            <w:pPr>
              <w:jc w:val="center"/>
              <w:rPr>
                <w:color w:val="auto"/>
                <w:highlight w:val="none"/>
              </w:rPr>
            </w:pPr>
          </w:p>
        </w:tc>
        <w:tc>
          <w:tcPr>
            <w:tcW w:w="2693" w:type="dxa"/>
            <w:gridSpan w:val="4"/>
            <w:noWrap w:val="0"/>
            <w:vAlign w:val="center"/>
          </w:tcPr>
          <w:p w14:paraId="7AA1AEB8">
            <w:pPr>
              <w:jc w:val="center"/>
              <w:rPr>
                <w:color w:val="auto"/>
                <w:highlight w:val="none"/>
              </w:rPr>
            </w:pPr>
            <w:r>
              <w:rPr>
                <w:color w:val="auto"/>
                <w:highlight w:val="none"/>
              </w:rPr>
              <w:t>担任技术负责人年限</w:t>
            </w:r>
          </w:p>
        </w:tc>
        <w:tc>
          <w:tcPr>
            <w:tcW w:w="1276" w:type="dxa"/>
            <w:noWrap w:val="0"/>
            <w:vAlign w:val="center"/>
          </w:tcPr>
          <w:p w14:paraId="107B97DD">
            <w:pPr>
              <w:jc w:val="center"/>
              <w:rPr>
                <w:color w:val="auto"/>
                <w:highlight w:val="none"/>
              </w:rPr>
            </w:pPr>
          </w:p>
        </w:tc>
      </w:tr>
      <w:tr w14:paraId="27257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9285" w:type="dxa"/>
            <w:gridSpan w:val="11"/>
            <w:noWrap w:val="0"/>
            <w:vAlign w:val="center"/>
          </w:tcPr>
          <w:p w14:paraId="71A45177">
            <w:pPr>
              <w:jc w:val="center"/>
              <w:rPr>
                <w:color w:val="auto"/>
                <w:highlight w:val="none"/>
              </w:rPr>
            </w:pPr>
            <w:r>
              <w:rPr>
                <w:color w:val="auto"/>
                <w:highlight w:val="none"/>
              </w:rPr>
              <w:t>在建和已完工程项目情况</w:t>
            </w:r>
          </w:p>
        </w:tc>
      </w:tr>
      <w:tr w14:paraId="4495C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547" w:type="dxa"/>
            <w:gridSpan w:val="2"/>
            <w:noWrap w:val="0"/>
            <w:vAlign w:val="center"/>
          </w:tcPr>
          <w:p w14:paraId="36A11D73">
            <w:pPr>
              <w:jc w:val="center"/>
              <w:rPr>
                <w:color w:val="auto"/>
                <w:highlight w:val="none"/>
              </w:rPr>
            </w:pPr>
            <w:r>
              <w:rPr>
                <w:color w:val="auto"/>
                <w:highlight w:val="none"/>
              </w:rPr>
              <w:t>建设单位</w:t>
            </w:r>
          </w:p>
        </w:tc>
        <w:tc>
          <w:tcPr>
            <w:tcW w:w="1548" w:type="dxa"/>
            <w:noWrap w:val="0"/>
            <w:vAlign w:val="center"/>
          </w:tcPr>
          <w:p w14:paraId="580E557C">
            <w:pPr>
              <w:jc w:val="center"/>
              <w:rPr>
                <w:color w:val="auto"/>
                <w:highlight w:val="none"/>
              </w:rPr>
            </w:pPr>
            <w:r>
              <w:rPr>
                <w:color w:val="auto"/>
                <w:highlight w:val="none"/>
              </w:rPr>
              <w:t>项目名称</w:t>
            </w:r>
          </w:p>
        </w:tc>
        <w:tc>
          <w:tcPr>
            <w:tcW w:w="1547" w:type="dxa"/>
            <w:gridSpan w:val="2"/>
            <w:noWrap w:val="0"/>
            <w:vAlign w:val="center"/>
          </w:tcPr>
          <w:p w14:paraId="3EEB3640">
            <w:pPr>
              <w:jc w:val="center"/>
              <w:rPr>
                <w:color w:val="auto"/>
                <w:highlight w:val="none"/>
              </w:rPr>
            </w:pPr>
            <w:r>
              <w:rPr>
                <w:color w:val="auto"/>
                <w:highlight w:val="none"/>
              </w:rPr>
              <w:t>建设规模</w:t>
            </w:r>
          </w:p>
        </w:tc>
        <w:tc>
          <w:tcPr>
            <w:tcW w:w="1548" w:type="dxa"/>
            <w:gridSpan w:val="2"/>
            <w:noWrap w:val="0"/>
            <w:vAlign w:val="center"/>
          </w:tcPr>
          <w:p w14:paraId="05BE0A55">
            <w:pPr>
              <w:jc w:val="center"/>
              <w:rPr>
                <w:color w:val="auto"/>
                <w:highlight w:val="none"/>
              </w:rPr>
            </w:pPr>
            <w:r>
              <w:rPr>
                <w:color w:val="auto"/>
                <w:highlight w:val="none"/>
              </w:rPr>
              <w:t>开、竣工日期</w:t>
            </w:r>
          </w:p>
        </w:tc>
        <w:tc>
          <w:tcPr>
            <w:tcW w:w="1547" w:type="dxa"/>
            <w:gridSpan w:val="2"/>
            <w:noWrap w:val="0"/>
            <w:vAlign w:val="center"/>
          </w:tcPr>
          <w:p w14:paraId="209C082A">
            <w:pPr>
              <w:jc w:val="center"/>
              <w:rPr>
                <w:color w:val="auto"/>
                <w:highlight w:val="none"/>
              </w:rPr>
            </w:pPr>
            <w:r>
              <w:rPr>
                <w:color w:val="auto"/>
                <w:highlight w:val="none"/>
              </w:rPr>
              <w:t>在建或已完</w:t>
            </w:r>
          </w:p>
        </w:tc>
        <w:tc>
          <w:tcPr>
            <w:tcW w:w="1548" w:type="dxa"/>
            <w:gridSpan w:val="2"/>
            <w:noWrap w:val="0"/>
            <w:vAlign w:val="center"/>
          </w:tcPr>
          <w:p w14:paraId="0497A86C">
            <w:pPr>
              <w:jc w:val="center"/>
              <w:rPr>
                <w:color w:val="auto"/>
                <w:highlight w:val="none"/>
              </w:rPr>
            </w:pPr>
            <w:r>
              <w:rPr>
                <w:color w:val="auto"/>
                <w:highlight w:val="none"/>
              </w:rPr>
              <w:t>工程质量</w:t>
            </w:r>
          </w:p>
        </w:tc>
      </w:tr>
      <w:tr w14:paraId="05BF9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noWrap w:val="0"/>
            <w:vAlign w:val="center"/>
          </w:tcPr>
          <w:p w14:paraId="0CB8BAD4">
            <w:pPr>
              <w:jc w:val="center"/>
              <w:rPr>
                <w:color w:val="auto"/>
                <w:highlight w:val="none"/>
              </w:rPr>
            </w:pPr>
          </w:p>
        </w:tc>
        <w:tc>
          <w:tcPr>
            <w:tcW w:w="1548" w:type="dxa"/>
            <w:noWrap w:val="0"/>
            <w:vAlign w:val="center"/>
          </w:tcPr>
          <w:p w14:paraId="1D09628B">
            <w:pPr>
              <w:jc w:val="center"/>
              <w:rPr>
                <w:color w:val="auto"/>
                <w:highlight w:val="none"/>
              </w:rPr>
            </w:pPr>
          </w:p>
        </w:tc>
        <w:tc>
          <w:tcPr>
            <w:tcW w:w="1547" w:type="dxa"/>
            <w:gridSpan w:val="2"/>
            <w:noWrap w:val="0"/>
            <w:vAlign w:val="center"/>
          </w:tcPr>
          <w:p w14:paraId="6CA87520">
            <w:pPr>
              <w:jc w:val="center"/>
              <w:rPr>
                <w:color w:val="auto"/>
                <w:highlight w:val="none"/>
              </w:rPr>
            </w:pPr>
          </w:p>
        </w:tc>
        <w:tc>
          <w:tcPr>
            <w:tcW w:w="1548" w:type="dxa"/>
            <w:gridSpan w:val="2"/>
            <w:noWrap w:val="0"/>
            <w:vAlign w:val="center"/>
          </w:tcPr>
          <w:p w14:paraId="4CE75FEA">
            <w:pPr>
              <w:jc w:val="center"/>
              <w:rPr>
                <w:color w:val="auto"/>
                <w:highlight w:val="none"/>
              </w:rPr>
            </w:pPr>
          </w:p>
        </w:tc>
        <w:tc>
          <w:tcPr>
            <w:tcW w:w="1547" w:type="dxa"/>
            <w:gridSpan w:val="2"/>
            <w:noWrap w:val="0"/>
            <w:vAlign w:val="center"/>
          </w:tcPr>
          <w:p w14:paraId="270263A6">
            <w:pPr>
              <w:jc w:val="center"/>
              <w:rPr>
                <w:color w:val="auto"/>
                <w:highlight w:val="none"/>
              </w:rPr>
            </w:pPr>
          </w:p>
        </w:tc>
        <w:tc>
          <w:tcPr>
            <w:tcW w:w="1548" w:type="dxa"/>
            <w:gridSpan w:val="2"/>
            <w:noWrap w:val="0"/>
            <w:vAlign w:val="center"/>
          </w:tcPr>
          <w:p w14:paraId="580CEF63">
            <w:pPr>
              <w:jc w:val="center"/>
              <w:rPr>
                <w:color w:val="auto"/>
                <w:highlight w:val="none"/>
              </w:rPr>
            </w:pPr>
          </w:p>
        </w:tc>
      </w:tr>
      <w:tr w14:paraId="4C8DF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noWrap w:val="0"/>
            <w:vAlign w:val="center"/>
          </w:tcPr>
          <w:p w14:paraId="4BD6FFF8">
            <w:pPr>
              <w:jc w:val="center"/>
              <w:rPr>
                <w:color w:val="auto"/>
                <w:highlight w:val="none"/>
              </w:rPr>
            </w:pPr>
          </w:p>
        </w:tc>
        <w:tc>
          <w:tcPr>
            <w:tcW w:w="1548" w:type="dxa"/>
            <w:noWrap w:val="0"/>
            <w:vAlign w:val="center"/>
          </w:tcPr>
          <w:p w14:paraId="1AE5DA3E">
            <w:pPr>
              <w:jc w:val="center"/>
              <w:rPr>
                <w:color w:val="auto"/>
                <w:highlight w:val="none"/>
              </w:rPr>
            </w:pPr>
          </w:p>
        </w:tc>
        <w:tc>
          <w:tcPr>
            <w:tcW w:w="1547" w:type="dxa"/>
            <w:gridSpan w:val="2"/>
            <w:noWrap w:val="0"/>
            <w:vAlign w:val="center"/>
          </w:tcPr>
          <w:p w14:paraId="5CC4ED40">
            <w:pPr>
              <w:jc w:val="center"/>
              <w:rPr>
                <w:color w:val="auto"/>
                <w:highlight w:val="none"/>
              </w:rPr>
            </w:pPr>
          </w:p>
        </w:tc>
        <w:tc>
          <w:tcPr>
            <w:tcW w:w="1548" w:type="dxa"/>
            <w:gridSpan w:val="2"/>
            <w:noWrap w:val="0"/>
            <w:vAlign w:val="center"/>
          </w:tcPr>
          <w:p w14:paraId="37FEBCE0">
            <w:pPr>
              <w:jc w:val="center"/>
              <w:rPr>
                <w:color w:val="auto"/>
                <w:highlight w:val="none"/>
              </w:rPr>
            </w:pPr>
          </w:p>
        </w:tc>
        <w:tc>
          <w:tcPr>
            <w:tcW w:w="1547" w:type="dxa"/>
            <w:gridSpan w:val="2"/>
            <w:noWrap w:val="0"/>
            <w:vAlign w:val="center"/>
          </w:tcPr>
          <w:p w14:paraId="6D28900E">
            <w:pPr>
              <w:jc w:val="center"/>
              <w:rPr>
                <w:color w:val="auto"/>
                <w:highlight w:val="none"/>
              </w:rPr>
            </w:pPr>
          </w:p>
        </w:tc>
        <w:tc>
          <w:tcPr>
            <w:tcW w:w="1548" w:type="dxa"/>
            <w:gridSpan w:val="2"/>
            <w:noWrap w:val="0"/>
            <w:vAlign w:val="center"/>
          </w:tcPr>
          <w:p w14:paraId="75379FD2">
            <w:pPr>
              <w:jc w:val="center"/>
              <w:rPr>
                <w:color w:val="auto"/>
                <w:highlight w:val="none"/>
              </w:rPr>
            </w:pPr>
          </w:p>
        </w:tc>
      </w:tr>
      <w:tr w14:paraId="078EA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noWrap w:val="0"/>
            <w:vAlign w:val="center"/>
          </w:tcPr>
          <w:p w14:paraId="233D7CC5">
            <w:pPr>
              <w:jc w:val="center"/>
              <w:rPr>
                <w:color w:val="auto"/>
                <w:highlight w:val="none"/>
              </w:rPr>
            </w:pPr>
          </w:p>
        </w:tc>
        <w:tc>
          <w:tcPr>
            <w:tcW w:w="1548" w:type="dxa"/>
            <w:noWrap w:val="0"/>
            <w:vAlign w:val="center"/>
          </w:tcPr>
          <w:p w14:paraId="2D831B79">
            <w:pPr>
              <w:jc w:val="center"/>
              <w:rPr>
                <w:color w:val="auto"/>
                <w:highlight w:val="none"/>
              </w:rPr>
            </w:pPr>
          </w:p>
        </w:tc>
        <w:tc>
          <w:tcPr>
            <w:tcW w:w="1547" w:type="dxa"/>
            <w:gridSpan w:val="2"/>
            <w:noWrap w:val="0"/>
            <w:vAlign w:val="center"/>
          </w:tcPr>
          <w:p w14:paraId="1A6A49C3">
            <w:pPr>
              <w:jc w:val="center"/>
              <w:rPr>
                <w:color w:val="auto"/>
                <w:highlight w:val="none"/>
              </w:rPr>
            </w:pPr>
          </w:p>
        </w:tc>
        <w:tc>
          <w:tcPr>
            <w:tcW w:w="1548" w:type="dxa"/>
            <w:gridSpan w:val="2"/>
            <w:noWrap w:val="0"/>
            <w:vAlign w:val="center"/>
          </w:tcPr>
          <w:p w14:paraId="723EF6FA">
            <w:pPr>
              <w:jc w:val="center"/>
              <w:rPr>
                <w:color w:val="auto"/>
                <w:highlight w:val="none"/>
              </w:rPr>
            </w:pPr>
          </w:p>
        </w:tc>
        <w:tc>
          <w:tcPr>
            <w:tcW w:w="1547" w:type="dxa"/>
            <w:gridSpan w:val="2"/>
            <w:noWrap w:val="0"/>
            <w:vAlign w:val="center"/>
          </w:tcPr>
          <w:p w14:paraId="33A92C34">
            <w:pPr>
              <w:jc w:val="center"/>
              <w:rPr>
                <w:color w:val="auto"/>
                <w:highlight w:val="none"/>
              </w:rPr>
            </w:pPr>
          </w:p>
        </w:tc>
        <w:tc>
          <w:tcPr>
            <w:tcW w:w="1548" w:type="dxa"/>
            <w:gridSpan w:val="2"/>
            <w:noWrap w:val="0"/>
            <w:vAlign w:val="center"/>
          </w:tcPr>
          <w:p w14:paraId="2E652C0D">
            <w:pPr>
              <w:jc w:val="center"/>
              <w:rPr>
                <w:color w:val="auto"/>
                <w:highlight w:val="none"/>
              </w:rPr>
            </w:pPr>
          </w:p>
        </w:tc>
      </w:tr>
      <w:tr w14:paraId="0431C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547" w:type="dxa"/>
            <w:gridSpan w:val="2"/>
            <w:noWrap w:val="0"/>
            <w:vAlign w:val="center"/>
          </w:tcPr>
          <w:p w14:paraId="19443631">
            <w:pPr>
              <w:jc w:val="center"/>
              <w:rPr>
                <w:color w:val="auto"/>
                <w:highlight w:val="none"/>
              </w:rPr>
            </w:pPr>
          </w:p>
        </w:tc>
        <w:tc>
          <w:tcPr>
            <w:tcW w:w="1548" w:type="dxa"/>
            <w:noWrap w:val="0"/>
            <w:vAlign w:val="center"/>
          </w:tcPr>
          <w:p w14:paraId="67FAC6D6">
            <w:pPr>
              <w:jc w:val="center"/>
              <w:rPr>
                <w:color w:val="auto"/>
                <w:highlight w:val="none"/>
              </w:rPr>
            </w:pPr>
          </w:p>
        </w:tc>
        <w:tc>
          <w:tcPr>
            <w:tcW w:w="1547" w:type="dxa"/>
            <w:gridSpan w:val="2"/>
            <w:noWrap w:val="0"/>
            <w:vAlign w:val="center"/>
          </w:tcPr>
          <w:p w14:paraId="5968EF3F">
            <w:pPr>
              <w:jc w:val="center"/>
              <w:rPr>
                <w:color w:val="auto"/>
                <w:highlight w:val="none"/>
              </w:rPr>
            </w:pPr>
          </w:p>
        </w:tc>
        <w:tc>
          <w:tcPr>
            <w:tcW w:w="1548" w:type="dxa"/>
            <w:gridSpan w:val="2"/>
            <w:noWrap w:val="0"/>
            <w:vAlign w:val="center"/>
          </w:tcPr>
          <w:p w14:paraId="3C4784F7">
            <w:pPr>
              <w:jc w:val="center"/>
              <w:rPr>
                <w:color w:val="auto"/>
                <w:highlight w:val="none"/>
              </w:rPr>
            </w:pPr>
          </w:p>
        </w:tc>
        <w:tc>
          <w:tcPr>
            <w:tcW w:w="1547" w:type="dxa"/>
            <w:gridSpan w:val="2"/>
            <w:noWrap w:val="0"/>
            <w:vAlign w:val="center"/>
          </w:tcPr>
          <w:p w14:paraId="24ADD730">
            <w:pPr>
              <w:jc w:val="center"/>
              <w:rPr>
                <w:color w:val="auto"/>
                <w:highlight w:val="none"/>
              </w:rPr>
            </w:pPr>
          </w:p>
        </w:tc>
        <w:tc>
          <w:tcPr>
            <w:tcW w:w="1548" w:type="dxa"/>
            <w:gridSpan w:val="2"/>
            <w:noWrap w:val="0"/>
            <w:vAlign w:val="center"/>
          </w:tcPr>
          <w:p w14:paraId="3CF60BED">
            <w:pPr>
              <w:jc w:val="center"/>
              <w:rPr>
                <w:color w:val="auto"/>
                <w:highlight w:val="none"/>
              </w:rPr>
            </w:pPr>
          </w:p>
        </w:tc>
      </w:tr>
    </w:tbl>
    <w:p w14:paraId="46DF8891">
      <w:pPr>
        <w:pStyle w:val="197"/>
        <w:rPr>
          <w:rFonts w:hint="eastAsia" w:ascii="Times New Roman" w:hAnsi="Times New Roman"/>
          <w:color w:val="auto"/>
          <w:highlight w:val="none"/>
        </w:rPr>
      </w:pPr>
      <w:r>
        <w:rPr>
          <w:rFonts w:ascii="Times New Roman" w:hAnsi="Times New Roman"/>
          <w:color w:val="auto"/>
          <w:highlight w:val="none"/>
        </w:rPr>
        <w:t>备注：附技术负责人的职称证、资格证、响应文件递交截止时间前6个月内</w:t>
      </w:r>
      <w:r>
        <w:rPr>
          <w:rFonts w:hint="eastAsia" w:ascii="Times New Roman" w:hAnsi="Times New Roman"/>
          <w:color w:val="auto"/>
          <w:highlight w:val="none"/>
        </w:rPr>
        <w:t>任意1个月</w:t>
      </w:r>
      <w:r>
        <w:rPr>
          <w:rFonts w:ascii="Times New Roman" w:hAnsi="Times New Roman"/>
          <w:color w:val="auto"/>
          <w:highlight w:val="none"/>
        </w:rPr>
        <w:t>在现任职单位依法缴纳社会保险的凭证和已完工程中标（成交）通知书</w:t>
      </w:r>
      <w:r>
        <w:rPr>
          <w:rFonts w:hint="eastAsia" w:ascii="Times New Roman" w:hAnsi="Times New Roman"/>
          <w:color w:val="auto"/>
          <w:highlight w:val="none"/>
          <w:lang w:eastAsia="zh-CN"/>
        </w:rPr>
        <w:t>（如有）</w:t>
      </w:r>
      <w:r>
        <w:rPr>
          <w:rFonts w:ascii="Times New Roman" w:hAnsi="Times New Roman"/>
          <w:color w:val="auto"/>
          <w:highlight w:val="none"/>
        </w:rPr>
        <w:t>、工程合同协议书</w:t>
      </w:r>
      <w:r>
        <w:rPr>
          <w:rFonts w:hint="eastAsia" w:ascii="Times New Roman" w:hAnsi="Times New Roman"/>
          <w:color w:val="auto"/>
          <w:highlight w:val="none"/>
          <w:lang w:eastAsia="zh-CN"/>
        </w:rPr>
        <w:t>（如有）</w:t>
      </w:r>
      <w:r>
        <w:rPr>
          <w:rFonts w:ascii="Times New Roman" w:hAnsi="Times New Roman"/>
          <w:color w:val="auto"/>
          <w:highlight w:val="none"/>
        </w:rPr>
        <w:t>、工程竣工验收证明材料</w:t>
      </w:r>
      <w:r>
        <w:rPr>
          <w:rFonts w:hint="eastAsia" w:ascii="Times New Roman" w:hAnsi="Times New Roman"/>
          <w:color w:val="auto"/>
          <w:highlight w:val="none"/>
          <w:lang w:eastAsia="zh-CN"/>
        </w:rPr>
        <w:t>（如有）</w:t>
      </w:r>
      <w:r>
        <w:rPr>
          <w:rFonts w:ascii="Times New Roman" w:hAnsi="Times New Roman"/>
          <w:color w:val="auto"/>
          <w:highlight w:val="none"/>
        </w:rPr>
        <w:t>，以及供应商认为需要增加的其他证明材料</w:t>
      </w:r>
      <w:r>
        <w:rPr>
          <w:rFonts w:hint="eastAsia"/>
          <w:color w:val="auto"/>
          <w:szCs w:val="21"/>
          <w:highlight w:val="none"/>
        </w:rPr>
        <w:t>扫描件</w:t>
      </w:r>
      <w:r>
        <w:rPr>
          <w:rFonts w:ascii="Times New Roman" w:hAnsi="Times New Roman"/>
          <w:color w:val="auto"/>
          <w:highlight w:val="none"/>
        </w:rPr>
        <w:t>，以上</w:t>
      </w:r>
      <w:r>
        <w:rPr>
          <w:rFonts w:hint="eastAsia"/>
          <w:color w:val="auto"/>
          <w:szCs w:val="21"/>
          <w:highlight w:val="none"/>
        </w:rPr>
        <w:t>扫描件</w:t>
      </w:r>
      <w:r>
        <w:rPr>
          <w:rFonts w:ascii="Times New Roman" w:hAnsi="Times New Roman"/>
          <w:color w:val="auto"/>
          <w:highlight w:val="none"/>
        </w:rPr>
        <w:t>须加盖</w:t>
      </w:r>
      <w:r>
        <w:rPr>
          <w:color w:val="auto"/>
          <w:szCs w:val="21"/>
          <w:highlight w:val="none"/>
        </w:rPr>
        <w:t>供应商</w:t>
      </w:r>
      <w:r>
        <w:rPr>
          <w:rFonts w:hint="eastAsia"/>
          <w:color w:val="auto"/>
          <w:szCs w:val="21"/>
          <w:highlight w:val="none"/>
        </w:rPr>
        <w:t>电子签章</w:t>
      </w:r>
      <w:r>
        <w:rPr>
          <w:rFonts w:ascii="Times New Roman" w:hAnsi="Times New Roman"/>
          <w:color w:val="auto"/>
          <w:highlight w:val="none"/>
        </w:rPr>
        <w:t>。</w:t>
      </w:r>
    </w:p>
    <w:p w14:paraId="3BE8061A">
      <w:pPr>
        <w:pStyle w:val="197"/>
        <w:rPr>
          <w:rFonts w:hint="eastAsia" w:ascii="Times New Roman" w:hAnsi="Times New Roman"/>
          <w:color w:val="auto"/>
          <w:highlight w:val="none"/>
        </w:rPr>
      </w:pPr>
    </w:p>
    <w:p w14:paraId="3D490A85">
      <w:pPr>
        <w:pStyle w:val="197"/>
        <w:rPr>
          <w:rFonts w:hint="eastAsia" w:ascii="Times New Roman" w:hAnsi="Times New Roman"/>
          <w:color w:val="auto"/>
          <w:highlight w:val="none"/>
        </w:rPr>
      </w:pPr>
    </w:p>
    <w:p w14:paraId="0EE8C69A">
      <w:pPr>
        <w:pStyle w:val="197"/>
        <w:rPr>
          <w:rFonts w:hint="eastAsia" w:ascii="Times New Roman" w:hAnsi="Times New Roman"/>
          <w:color w:val="auto"/>
          <w:highlight w:val="none"/>
        </w:rPr>
      </w:pPr>
    </w:p>
    <w:p w14:paraId="46A9243A">
      <w:pPr>
        <w:pStyle w:val="197"/>
        <w:rPr>
          <w:rFonts w:hint="eastAsia" w:ascii="Times New Roman" w:hAnsi="Times New Roman"/>
          <w:color w:val="auto"/>
          <w:highlight w:val="none"/>
        </w:rPr>
      </w:pPr>
    </w:p>
    <w:p w14:paraId="6112B0EF">
      <w:pPr>
        <w:pStyle w:val="197"/>
        <w:jc w:val="left"/>
        <w:rPr>
          <w:rFonts w:ascii="Times New Roman" w:hAnsi="Times New Roman"/>
          <w:color w:val="auto"/>
          <w:highlight w:val="none"/>
        </w:rPr>
      </w:pPr>
      <w:r>
        <w:rPr>
          <w:rFonts w:hint="eastAsia" w:ascii="Times New Roman" w:hAnsi="Times New Roman"/>
          <w:color w:val="auto"/>
          <w:highlight w:val="none"/>
          <w:lang w:val="en-US" w:eastAsia="zh-CN"/>
        </w:rPr>
        <w:t>7</w:t>
      </w:r>
      <w:r>
        <w:rPr>
          <w:rFonts w:ascii="Times New Roman" w:hAnsi="Times New Roman"/>
          <w:color w:val="auto"/>
          <w:highlight w:val="none"/>
        </w:rPr>
        <w:t>.</w:t>
      </w:r>
      <w:r>
        <w:rPr>
          <w:rFonts w:hint="eastAsia" w:ascii="Times New Roman" w:hAnsi="Times New Roman"/>
          <w:color w:val="auto"/>
          <w:highlight w:val="none"/>
        </w:rPr>
        <w:t>4</w:t>
      </w:r>
      <w:r>
        <w:rPr>
          <w:rFonts w:ascii="Times New Roman" w:hAnsi="Times New Roman"/>
          <w:color w:val="auto"/>
          <w:highlight w:val="none"/>
        </w:rPr>
        <w:t>项目管理机构其他人员配备情况表</w:t>
      </w:r>
    </w:p>
    <w:tbl>
      <w:tblPr>
        <w:tblStyle w:val="54"/>
        <w:tblW w:w="93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829"/>
        <w:gridCol w:w="816"/>
        <w:gridCol w:w="1148"/>
        <w:gridCol w:w="1148"/>
        <w:gridCol w:w="1148"/>
        <w:gridCol w:w="1148"/>
        <w:gridCol w:w="850"/>
        <w:gridCol w:w="1276"/>
      </w:tblGrid>
      <w:tr w14:paraId="7AA4C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993" w:type="dxa"/>
            <w:vMerge w:val="restart"/>
            <w:noWrap w:val="0"/>
            <w:vAlign w:val="center"/>
          </w:tcPr>
          <w:p w14:paraId="5D816B1F">
            <w:pPr>
              <w:ind w:left="223" w:hanging="222" w:hangingChars="106"/>
              <w:jc w:val="center"/>
              <w:rPr>
                <w:color w:val="auto"/>
                <w:highlight w:val="none"/>
              </w:rPr>
            </w:pPr>
            <w:r>
              <w:rPr>
                <w:color w:val="auto"/>
                <w:highlight w:val="none"/>
              </w:rPr>
              <w:t>岗位</w:t>
            </w:r>
          </w:p>
        </w:tc>
        <w:tc>
          <w:tcPr>
            <w:tcW w:w="829" w:type="dxa"/>
            <w:vMerge w:val="restart"/>
            <w:noWrap w:val="0"/>
            <w:vAlign w:val="center"/>
          </w:tcPr>
          <w:p w14:paraId="7DA5D2A1">
            <w:pPr>
              <w:ind w:left="223" w:hanging="222" w:hangingChars="106"/>
              <w:jc w:val="center"/>
              <w:rPr>
                <w:color w:val="auto"/>
                <w:highlight w:val="none"/>
              </w:rPr>
            </w:pPr>
            <w:bookmarkStart w:id="1057" w:name="_Toc251052187"/>
            <w:r>
              <w:rPr>
                <w:color w:val="auto"/>
                <w:highlight w:val="none"/>
              </w:rPr>
              <w:t>姓名</w:t>
            </w:r>
            <w:bookmarkEnd w:id="1057"/>
          </w:p>
        </w:tc>
        <w:tc>
          <w:tcPr>
            <w:tcW w:w="816" w:type="dxa"/>
            <w:vMerge w:val="restart"/>
            <w:noWrap w:val="0"/>
            <w:vAlign w:val="center"/>
          </w:tcPr>
          <w:p w14:paraId="2DD85C88">
            <w:pPr>
              <w:ind w:left="223" w:hanging="222" w:hangingChars="106"/>
              <w:jc w:val="center"/>
              <w:rPr>
                <w:color w:val="auto"/>
                <w:highlight w:val="none"/>
              </w:rPr>
            </w:pPr>
            <w:bookmarkStart w:id="1058" w:name="_Toc251052188"/>
            <w:r>
              <w:rPr>
                <w:color w:val="auto"/>
                <w:highlight w:val="none"/>
              </w:rPr>
              <w:t>职称</w:t>
            </w:r>
            <w:bookmarkEnd w:id="1058"/>
          </w:p>
        </w:tc>
        <w:tc>
          <w:tcPr>
            <w:tcW w:w="4592" w:type="dxa"/>
            <w:gridSpan w:val="4"/>
            <w:noWrap w:val="0"/>
            <w:vAlign w:val="center"/>
          </w:tcPr>
          <w:p w14:paraId="4C5B2333">
            <w:pPr>
              <w:ind w:left="223" w:hanging="222" w:hangingChars="106"/>
              <w:jc w:val="center"/>
              <w:rPr>
                <w:color w:val="auto"/>
                <w:highlight w:val="none"/>
              </w:rPr>
            </w:pPr>
            <w:bookmarkStart w:id="1059" w:name="_Toc251052189"/>
            <w:r>
              <w:rPr>
                <w:color w:val="auto"/>
                <w:highlight w:val="none"/>
              </w:rPr>
              <w:t>执业或职业资格证明</w:t>
            </w:r>
            <w:bookmarkEnd w:id="1059"/>
          </w:p>
        </w:tc>
        <w:tc>
          <w:tcPr>
            <w:tcW w:w="2126" w:type="dxa"/>
            <w:gridSpan w:val="2"/>
            <w:noWrap w:val="0"/>
            <w:vAlign w:val="center"/>
          </w:tcPr>
          <w:p w14:paraId="67AB10ED">
            <w:pPr>
              <w:ind w:left="223" w:hanging="222" w:hangingChars="106"/>
              <w:jc w:val="center"/>
              <w:rPr>
                <w:color w:val="auto"/>
                <w:highlight w:val="none"/>
              </w:rPr>
            </w:pPr>
            <w:bookmarkStart w:id="1060" w:name="_Toc251052190"/>
            <w:r>
              <w:rPr>
                <w:color w:val="auto"/>
                <w:highlight w:val="none"/>
              </w:rPr>
              <w:t>承担完工</w:t>
            </w:r>
            <w:bookmarkEnd w:id="1060"/>
            <w:bookmarkStart w:id="1061" w:name="_Toc251052191"/>
            <w:r>
              <w:rPr>
                <w:color w:val="auto"/>
                <w:highlight w:val="none"/>
              </w:rPr>
              <w:t>工程情况</w:t>
            </w:r>
            <w:bookmarkEnd w:id="1061"/>
          </w:p>
        </w:tc>
      </w:tr>
      <w:tr w14:paraId="65E64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4" w:hRule="atLeast"/>
          <w:jc w:val="center"/>
        </w:trPr>
        <w:tc>
          <w:tcPr>
            <w:tcW w:w="993" w:type="dxa"/>
            <w:vMerge w:val="continue"/>
            <w:noWrap w:val="0"/>
            <w:vAlign w:val="center"/>
          </w:tcPr>
          <w:p w14:paraId="1CE39171">
            <w:pPr>
              <w:ind w:left="223" w:hanging="222" w:hangingChars="106"/>
              <w:jc w:val="center"/>
              <w:rPr>
                <w:color w:val="auto"/>
                <w:highlight w:val="none"/>
              </w:rPr>
            </w:pPr>
          </w:p>
        </w:tc>
        <w:tc>
          <w:tcPr>
            <w:tcW w:w="829" w:type="dxa"/>
            <w:vMerge w:val="continue"/>
            <w:noWrap w:val="0"/>
            <w:vAlign w:val="center"/>
          </w:tcPr>
          <w:p w14:paraId="39660F77">
            <w:pPr>
              <w:ind w:left="223" w:hanging="222" w:hangingChars="106"/>
              <w:jc w:val="center"/>
              <w:rPr>
                <w:color w:val="auto"/>
                <w:highlight w:val="none"/>
              </w:rPr>
            </w:pPr>
          </w:p>
        </w:tc>
        <w:tc>
          <w:tcPr>
            <w:tcW w:w="816" w:type="dxa"/>
            <w:vMerge w:val="continue"/>
            <w:noWrap w:val="0"/>
            <w:vAlign w:val="center"/>
          </w:tcPr>
          <w:p w14:paraId="2F396341">
            <w:pPr>
              <w:ind w:left="223" w:hanging="222" w:hangingChars="106"/>
              <w:jc w:val="center"/>
              <w:rPr>
                <w:color w:val="auto"/>
                <w:highlight w:val="none"/>
              </w:rPr>
            </w:pPr>
          </w:p>
        </w:tc>
        <w:tc>
          <w:tcPr>
            <w:tcW w:w="1148" w:type="dxa"/>
            <w:noWrap w:val="0"/>
            <w:vAlign w:val="center"/>
          </w:tcPr>
          <w:p w14:paraId="3A0B2EBE">
            <w:pPr>
              <w:ind w:left="223" w:hanging="222" w:hangingChars="106"/>
              <w:jc w:val="center"/>
              <w:rPr>
                <w:color w:val="auto"/>
                <w:highlight w:val="none"/>
              </w:rPr>
            </w:pPr>
            <w:bookmarkStart w:id="1062" w:name="_Toc251052192"/>
            <w:r>
              <w:rPr>
                <w:color w:val="auto"/>
                <w:highlight w:val="none"/>
              </w:rPr>
              <w:t>证书名称</w:t>
            </w:r>
            <w:bookmarkEnd w:id="1062"/>
          </w:p>
        </w:tc>
        <w:tc>
          <w:tcPr>
            <w:tcW w:w="1148" w:type="dxa"/>
            <w:noWrap w:val="0"/>
            <w:vAlign w:val="center"/>
          </w:tcPr>
          <w:p w14:paraId="48C08E28">
            <w:pPr>
              <w:ind w:left="223" w:hanging="222" w:hangingChars="106"/>
              <w:jc w:val="center"/>
              <w:rPr>
                <w:color w:val="auto"/>
                <w:highlight w:val="none"/>
              </w:rPr>
            </w:pPr>
            <w:bookmarkStart w:id="1063" w:name="_Toc251052193"/>
            <w:r>
              <w:rPr>
                <w:color w:val="auto"/>
                <w:highlight w:val="none"/>
              </w:rPr>
              <w:t>级别</w:t>
            </w:r>
            <w:bookmarkEnd w:id="1063"/>
          </w:p>
        </w:tc>
        <w:tc>
          <w:tcPr>
            <w:tcW w:w="1148" w:type="dxa"/>
            <w:noWrap w:val="0"/>
            <w:vAlign w:val="center"/>
          </w:tcPr>
          <w:p w14:paraId="475D2549">
            <w:pPr>
              <w:ind w:left="223" w:hanging="222" w:hangingChars="106"/>
              <w:jc w:val="center"/>
              <w:rPr>
                <w:color w:val="auto"/>
                <w:highlight w:val="none"/>
              </w:rPr>
            </w:pPr>
            <w:bookmarkStart w:id="1064" w:name="_Toc251052194"/>
            <w:r>
              <w:rPr>
                <w:color w:val="auto"/>
                <w:highlight w:val="none"/>
              </w:rPr>
              <w:t>证号</w:t>
            </w:r>
            <w:bookmarkEnd w:id="1064"/>
          </w:p>
        </w:tc>
        <w:tc>
          <w:tcPr>
            <w:tcW w:w="1148" w:type="dxa"/>
            <w:noWrap w:val="0"/>
            <w:vAlign w:val="center"/>
          </w:tcPr>
          <w:p w14:paraId="7936EFCF">
            <w:pPr>
              <w:ind w:left="223" w:hanging="222" w:hangingChars="106"/>
              <w:jc w:val="center"/>
              <w:rPr>
                <w:color w:val="auto"/>
                <w:highlight w:val="none"/>
              </w:rPr>
            </w:pPr>
            <w:bookmarkStart w:id="1065" w:name="_Toc251052195"/>
            <w:r>
              <w:rPr>
                <w:color w:val="auto"/>
                <w:highlight w:val="none"/>
              </w:rPr>
              <w:t>专业</w:t>
            </w:r>
            <w:bookmarkEnd w:id="1065"/>
          </w:p>
        </w:tc>
        <w:tc>
          <w:tcPr>
            <w:tcW w:w="850" w:type="dxa"/>
            <w:noWrap w:val="0"/>
            <w:vAlign w:val="center"/>
          </w:tcPr>
          <w:p w14:paraId="05B0713D">
            <w:pPr>
              <w:ind w:left="223" w:hanging="222" w:hangingChars="106"/>
              <w:jc w:val="center"/>
              <w:rPr>
                <w:color w:val="auto"/>
                <w:highlight w:val="none"/>
              </w:rPr>
            </w:pPr>
            <w:bookmarkStart w:id="1066" w:name="_Toc251052197"/>
            <w:r>
              <w:rPr>
                <w:color w:val="auto"/>
                <w:highlight w:val="none"/>
              </w:rPr>
              <w:t>项目数</w:t>
            </w:r>
            <w:bookmarkEnd w:id="1066"/>
          </w:p>
        </w:tc>
        <w:tc>
          <w:tcPr>
            <w:tcW w:w="1276" w:type="dxa"/>
            <w:noWrap w:val="0"/>
            <w:vAlign w:val="center"/>
          </w:tcPr>
          <w:p w14:paraId="5F58F306">
            <w:pPr>
              <w:ind w:left="223" w:hanging="222" w:hangingChars="106"/>
              <w:jc w:val="center"/>
              <w:rPr>
                <w:color w:val="auto"/>
                <w:highlight w:val="none"/>
              </w:rPr>
            </w:pPr>
            <w:bookmarkStart w:id="1067" w:name="_Toc251052198"/>
            <w:r>
              <w:rPr>
                <w:color w:val="auto"/>
                <w:highlight w:val="none"/>
              </w:rPr>
              <w:t>主要项目</w:t>
            </w:r>
          </w:p>
          <w:p w14:paraId="7CB53EE3">
            <w:pPr>
              <w:ind w:left="223" w:hanging="222" w:hangingChars="106"/>
              <w:jc w:val="center"/>
              <w:rPr>
                <w:color w:val="auto"/>
                <w:highlight w:val="none"/>
              </w:rPr>
            </w:pPr>
            <w:r>
              <w:rPr>
                <w:color w:val="auto"/>
                <w:highlight w:val="none"/>
              </w:rPr>
              <w:t>名称</w:t>
            </w:r>
            <w:bookmarkEnd w:id="1067"/>
          </w:p>
        </w:tc>
      </w:tr>
      <w:tr w14:paraId="0C5AF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59348292">
            <w:pPr>
              <w:ind w:left="223" w:hanging="222" w:hangingChars="106"/>
              <w:jc w:val="center"/>
              <w:rPr>
                <w:color w:val="auto"/>
                <w:szCs w:val="21"/>
                <w:highlight w:val="none"/>
              </w:rPr>
            </w:pPr>
            <w:r>
              <w:rPr>
                <w:color w:val="auto"/>
                <w:szCs w:val="21"/>
                <w:highlight w:val="none"/>
              </w:rPr>
              <w:t>施工员</w:t>
            </w:r>
          </w:p>
        </w:tc>
        <w:tc>
          <w:tcPr>
            <w:tcW w:w="829" w:type="dxa"/>
            <w:noWrap w:val="0"/>
            <w:vAlign w:val="center"/>
          </w:tcPr>
          <w:p w14:paraId="23EC19E1">
            <w:pPr>
              <w:ind w:left="223" w:hanging="222" w:hangingChars="106"/>
              <w:jc w:val="center"/>
              <w:rPr>
                <w:color w:val="auto"/>
                <w:highlight w:val="none"/>
              </w:rPr>
            </w:pPr>
          </w:p>
        </w:tc>
        <w:tc>
          <w:tcPr>
            <w:tcW w:w="816" w:type="dxa"/>
            <w:noWrap w:val="0"/>
            <w:vAlign w:val="center"/>
          </w:tcPr>
          <w:p w14:paraId="26A35493">
            <w:pPr>
              <w:ind w:left="223" w:hanging="222" w:hangingChars="106"/>
              <w:jc w:val="center"/>
              <w:rPr>
                <w:color w:val="auto"/>
                <w:highlight w:val="none"/>
              </w:rPr>
            </w:pPr>
          </w:p>
        </w:tc>
        <w:tc>
          <w:tcPr>
            <w:tcW w:w="1148" w:type="dxa"/>
            <w:noWrap w:val="0"/>
            <w:vAlign w:val="center"/>
          </w:tcPr>
          <w:p w14:paraId="47966504">
            <w:pPr>
              <w:ind w:left="223" w:hanging="222" w:hangingChars="106"/>
              <w:jc w:val="center"/>
              <w:rPr>
                <w:color w:val="auto"/>
                <w:highlight w:val="none"/>
              </w:rPr>
            </w:pPr>
          </w:p>
        </w:tc>
        <w:tc>
          <w:tcPr>
            <w:tcW w:w="1148" w:type="dxa"/>
            <w:noWrap w:val="0"/>
            <w:vAlign w:val="center"/>
          </w:tcPr>
          <w:p w14:paraId="78FC8638">
            <w:pPr>
              <w:ind w:left="223" w:hanging="222" w:hangingChars="106"/>
              <w:jc w:val="center"/>
              <w:rPr>
                <w:color w:val="auto"/>
                <w:highlight w:val="none"/>
              </w:rPr>
            </w:pPr>
          </w:p>
        </w:tc>
        <w:tc>
          <w:tcPr>
            <w:tcW w:w="1148" w:type="dxa"/>
            <w:noWrap w:val="0"/>
            <w:vAlign w:val="center"/>
          </w:tcPr>
          <w:p w14:paraId="11486661">
            <w:pPr>
              <w:ind w:left="223" w:hanging="222" w:hangingChars="106"/>
              <w:jc w:val="center"/>
              <w:rPr>
                <w:color w:val="auto"/>
                <w:highlight w:val="none"/>
              </w:rPr>
            </w:pPr>
          </w:p>
        </w:tc>
        <w:tc>
          <w:tcPr>
            <w:tcW w:w="1148" w:type="dxa"/>
            <w:noWrap w:val="0"/>
            <w:vAlign w:val="center"/>
          </w:tcPr>
          <w:p w14:paraId="2F5F179B">
            <w:pPr>
              <w:ind w:left="223" w:hanging="222" w:hangingChars="106"/>
              <w:jc w:val="center"/>
              <w:rPr>
                <w:color w:val="auto"/>
                <w:highlight w:val="none"/>
              </w:rPr>
            </w:pPr>
          </w:p>
        </w:tc>
        <w:tc>
          <w:tcPr>
            <w:tcW w:w="850" w:type="dxa"/>
            <w:noWrap w:val="0"/>
            <w:vAlign w:val="center"/>
          </w:tcPr>
          <w:p w14:paraId="5753804B">
            <w:pPr>
              <w:ind w:left="223" w:hanging="222" w:hangingChars="106"/>
              <w:jc w:val="center"/>
              <w:rPr>
                <w:color w:val="auto"/>
                <w:highlight w:val="none"/>
              </w:rPr>
            </w:pPr>
          </w:p>
        </w:tc>
        <w:tc>
          <w:tcPr>
            <w:tcW w:w="1276" w:type="dxa"/>
            <w:noWrap w:val="0"/>
            <w:vAlign w:val="center"/>
          </w:tcPr>
          <w:p w14:paraId="587C95E3">
            <w:pPr>
              <w:ind w:left="223" w:hanging="222" w:hangingChars="106"/>
              <w:jc w:val="center"/>
              <w:rPr>
                <w:color w:val="auto"/>
                <w:highlight w:val="none"/>
              </w:rPr>
            </w:pPr>
          </w:p>
        </w:tc>
      </w:tr>
      <w:tr w14:paraId="32ED7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3699AC89">
            <w:pPr>
              <w:ind w:left="223" w:hanging="222" w:hangingChars="106"/>
              <w:jc w:val="center"/>
              <w:rPr>
                <w:color w:val="auto"/>
                <w:szCs w:val="21"/>
                <w:highlight w:val="none"/>
              </w:rPr>
            </w:pPr>
            <w:r>
              <w:rPr>
                <w:color w:val="auto"/>
                <w:szCs w:val="21"/>
                <w:highlight w:val="none"/>
              </w:rPr>
              <w:t>质量员</w:t>
            </w:r>
          </w:p>
        </w:tc>
        <w:tc>
          <w:tcPr>
            <w:tcW w:w="829" w:type="dxa"/>
            <w:noWrap w:val="0"/>
            <w:vAlign w:val="center"/>
          </w:tcPr>
          <w:p w14:paraId="5EEFB68A">
            <w:pPr>
              <w:ind w:left="223" w:hanging="222" w:hangingChars="106"/>
              <w:jc w:val="center"/>
              <w:rPr>
                <w:color w:val="auto"/>
                <w:highlight w:val="none"/>
              </w:rPr>
            </w:pPr>
          </w:p>
        </w:tc>
        <w:tc>
          <w:tcPr>
            <w:tcW w:w="816" w:type="dxa"/>
            <w:noWrap w:val="0"/>
            <w:vAlign w:val="center"/>
          </w:tcPr>
          <w:p w14:paraId="10AF1A35">
            <w:pPr>
              <w:ind w:left="223" w:hanging="222" w:hangingChars="106"/>
              <w:jc w:val="center"/>
              <w:rPr>
                <w:color w:val="auto"/>
                <w:highlight w:val="none"/>
              </w:rPr>
            </w:pPr>
          </w:p>
        </w:tc>
        <w:tc>
          <w:tcPr>
            <w:tcW w:w="1148" w:type="dxa"/>
            <w:noWrap w:val="0"/>
            <w:vAlign w:val="center"/>
          </w:tcPr>
          <w:p w14:paraId="3CE1E48D">
            <w:pPr>
              <w:ind w:left="223" w:hanging="222" w:hangingChars="106"/>
              <w:jc w:val="center"/>
              <w:rPr>
                <w:color w:val="auto"/>
                <w:highlight w:val="none"/>
              </w:rPr>
            </w:pPr>
          </w:p>
        </w:tc>
        <w:tc>
          <w:tcPr>
            <w:tcW w:w="1148" w:type="dxa"/>
            <w:noWrap w:val="0"/>
            <w:vAlign w:val="center"/>
          </w:tcPr>
          <w:p w14:paraId="47A07FFE">
            <w:pPr>
              <w:ind w:left="223" w:hanging="222" w:hangingChars="106"/>
              <w:jc w:val="center"/>
              <w:rPr>
                <w:color w:val="auto"/>
                <w:highlight w:val="none"/>
              </w:rPr>
            </w:pPr>
          </w:p>
        </w:tc>
        <w:tc>
          <w:tcPr>
            <w:tcW w:w="1148" w:type="dxa"/>
            <w:noWrap w:val="0"/>
            <w:vAlign w:val="center"/>
          </w:tcPr>
          <w:p w14:paraId="39AE7D17">
            <w:pPr>
              <w:ind w:left="223" w:hanging="222" w:hangingChars="106"/>
              <w:jc w:val="center"/>
              <w:rPr>
                <w:color w:val="auto"/>
                <w:highlight w:val="none"/>
              </w:rPr>
            </w:pPr>
          </w:p>
        </w:tc>
        <w:tc>
          <w:tcPr>
            <w:tcW w:w="1148" w:type="dxa"/>
            <w:noWrap w:val="0"/>
            <w:vAlign w:val="center"/>
          </w:tcPr>
          <w:p w14:paraId="44F46044">
            <w:pPr>
              <w:ind w:left="223" w:hanging="222" w:hangingChars="106"/>
              <w:jc w:val="center"/>
              <w:rPr>
                <w:color w:val="auto"/>
                <w:highlight w:val="none"/>
              </w:rPr>
            </w:pPr>
          </w:p>
        </w:tc>
        <w:tc>
          <w:tcPr>
            <w:tcW w:w="850" w:type="dxa"/>
            <w:noWrap w:val="0"/>
            <w:vAlign w:val="center"/>
          </w:tcPr>
          <w:p w14:paraId="74F03B5D">
            <w:pPr>
              <w:ind w:left="223" w:hanging="222" w:hangingChars="106"/>
              <w:jc w:val="center"/>
              <w:rPr>
                <w:color w:val="auto"/>
                <w:highlight w:val="none"/>
              </w:rPr>
            </w:pPr>
          </w:p>
        </w:tc>
        <w:tc>
          <w:tcPr>
            <w:tcW w:w="1276" w:type="dxa"/>
            <w:noWrap w:val="0"/>
            <w:vAlign w:val="center"/>
          </w:tcPr>
          <w:p w14:paraId="4DD8C9E4">
            <w:pPr>
              <w:ind w:left="223" w:hanging="222" w:hangingChars="106"/>
              <w:jc w:val="center"/>
              <w:rPr>
                <w:color w:val="auto"/>
                <w:highlight w:val="none"/>
              </w:rPr>
            </w:pPr>
          </w:p>
        </w:tc>
      </w:tr>
      <w:tr w14:paraId="36C6F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Merge w:val="restart"/>
            <w:noWrap w:val="0"/>
            <w:vAlign w:val="center"/>
          </w:tcPr>
          <w:p w14:paraId="7CAF2EB8">
            <w:pPr>
              <w:ind w:left="223" w:hanging="222" w:hangingChars="106"/>
              <w:jc w:val="center"/>
              <w:rPr>
                <w:color w:val="auto"/>
                <w:szCs w:val="21"/>
                <w:highlight w:val="none"/>
              </w:rPr>
            </w:pPr>
            <w:r>
              <w:rPr>
                <w:color w:val="auto"/>
                <w:szCs w:val="21"/>
                <w:highlight w:val="none"/>
              </w:rPr>
              <w:t>安全员</w:t>
            </w:r>
          </w:p>
        </w:tc>
        <w:tc>
          <w:tcPr>
            <w:tcW w:w="829" w:type="dxa"/>
            <w:noWrap w:val="0"/>
            <w:vAlign w:val="center"/>
          </w:tcPr>
          <w:p w14:paraId="1A4D0E65">
            <w:pPr>
              <w:ind w:left="223" w:hanging="222" w:hangingChars="106"/>
              <w:jc w:val="center"/>
              <w:rPr>
                <w:color w:val="auto"/>
                <w:highlight w:val="none"/>
              </w:rPr>
            </w:pPr>
          </w:p>
        </w:tc>
        <w:tc>
          <w:tcPr>
            <w:tcW w:w="816" w:type="dxa"/>
            <w:noWrap w:val="0"/>
            <w:vAlign w:val="center"/>
          </w:tcPr>
          <w:p w14:paraId="40E390DC">
            <w:pPr>
              <w:ind w:left="223" w:hanging="222" w:hangingChars="106"/>
              <w:jc w:val="center"/>
              <w:rPr>
                <w:color w:val="auto"/>
                <w:highlight w:val="none"/>
              </w:rPr>
            </w:pPr>
          </w:p>
        </w:tc>
        <w:tc>
          <w:tcPr>
            <w:tcW w:w="1148" w:type="dxa"/>
            <w:noWrap w:val="0"/>
            <w:vAlign w:val="center"/>
          </w:tcPr>
          <w:p w14:paraId="121DEC68">
            <w:pPr>
              <w:ind w:left="223" w:hanging="222" w:hangingChars="106"/>
              <w:jc w:val="center"/>
              <w:rPr>
                <w:color w:val="auto"/>
                <w:highlight w:val="none"/>
              </w:rPr>
            </w:pPr>
          </w:p>
        </w:tc>
        <w:tc>
          <w:tcPr>
            <w:tcW w:w="1148" w:type="dxa"/>
            <w:noWrap w:val="0"/>
            <w:vAlign w:val="center"/>
          </w:tcPr>
          <w:p w14:paraId="3FB50DB7">
            <w:pPr>
              <w:ind w:left="223" w:hanging="222" w:hangingChars="106"/>
              <w:jc w:val="center"/>
              <w:rPr>
                <w:color w:val="auto"/>
                <w:highlight w:val="none"/>
              </w:rPr>
            </w:pPr>
          </w:p>
        </w:tc>
        <w:tc>
          <w:tcPr>
            <w:tcW w:w="1148" w:type="dxa"/>
            <w:noWrap w:val="0"/>
            <w:vAlign w:val="center"/>
          </w:tcPr>
          <w:p w14:paraId="536A5745">
            <w:pPr>
              <w:ind w:left="223" w:hanging="222" w:hangingChars="106"/>
              <w:jc w:val="center"/>
              <w:rPr>
                <w:color w:val="auto"/>
                <w:highlight w:val="none"/>
              </w:rPr>
            </w:pPr>
          </w:p>
        </w:tc>
        <w:tc>
          <w:tcPr>
            <w:tcW w:w="1148" w:type="dxa"/>
            <w:noWrap w:val="0"/>
            <w:vAlign w:val="center"/>
          </w:tcPr>
          <w:p w14:paraId="4326C615">
            <w:pPr>
              <w:ind w:left="223" w:hanging="222" w:hangingChars="106"/>
              <w:jc w:val="center"/>
              <w:rPr>
                <w:color w:val="auto"/>
                <w:highlight w:val="none"/>
              </w:rPr>
            </w:pPr>
          </w:p>
        </w:tc>
        <w:tc>
          <w:tcPr>
            <w:tcW w:w="850" w:type="dxa"/>
            <w:noWrap w:val="0"/>
            <w:vAlign w:val="center"/>
          </w:tcPr>
          <w:p w14:paraId="4FD71C51">
            <w:pPr>
              <w:ind w:left="223" w:hanging="222" w:hangingChars="106"/>
              <w:jc w:val="center"/>
              <w:rPr>
                <w:color w:val="auto"/>
                <w:highlight w:val="none"/>
              </w:rPr>
            </w:pPr>
          </w:p>
        </w:tc>
        <w:tc>
          <w:tcPr>
            <w:tcW w:w="1276" w:type="dxa"/>
            <w:noWrap w:val="0"/>
            <w:vAlign w:val="center"/>
          </w:tcPr>
          <w:p w14:paraId="4DB8973D">
            <w:pPr>
              <w:ind w:left="223" w:hanging="222" w:hangingChars="106"/>
              <w:jc w:val="center"/>
              <w:rPr>
                <w:color w:val="auto"/>
                <w:highlight w:val="none"/>
              </w:rPr>
            </w:pPr>
          </w:p>
        </w:tc>
      </w:tr>
      <w:tr w14:paraId="7CCE5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Merge w:val="continue"/>
            <w:noWrap w:val="0"/>
            <w:vAlign w:val="center"/>
          </w:tcPr>
          <w:p w14:paraId="7C1291C7">
            <w:pPr>
              <w:ind w:left="223" w:hanging="222" w:hangingChars="106"/>
              <w:jc w:val="center"/>
              <w:rPr>
                <w:color w:val="auto"/>
                <w:szCs w:val="21"/>
                <w:highlight w:val="none"/>
              </w:rPr>
            </w:pPr>
          </w:p>
        </w:tc>
        <w:tc>
          <w:tcPr>
            <w:tcW w:w="829" w:type="dxa"/>
            <w:noWrap w:val="0"/>
            <w:vAlign w:val="center"/>
          </w:tcPr>
          <w:p w14:paraId="726F98BA">
            <w:pPr>
              <w:ind w:left="223" w:hanging="222" w:hangingChars="106"/>
              <w:jc w:val="center"/>
              <w:rPr>
                <w:color w:val="auto"/>
                <w:highlight w:val="none"/>
              </w:rPr>
            </w:pPr>
          </w:p>
        </w:tc>
        <w:tc>
          <w:tcPr>
            <w:tcW w:w="816" w:type="dxa"/>
            <w:noWrap w:val="0"/>
            <w:vAlign w:val="center"/>
          </w:tcPr>
          <w:p w14:paraId="7658E585">
            <w:pPr>
              <w:ind w:left="223" w:hanging="222" w:hangingChars="106"/>
              <w:jc w:val="center"/>
              <w:rPr>
                <w:color w:val="auto"/>
                <w:highlight w:val="none"/>
              </w:rPr>
            </w:pPr>
          </w:p>
        </w:tc>
        <w:tc>
          <w:tcPr>
            <w:tcW w:w="1148" w:type="dxa"/>
            <w:noWrap w:val="0"/>
            <w:vAlign w:val="center"/>
          </w:tcPr>
          <w:p w14:paraId="451B0765">
            <w:pPr>
              <w:ind w:left="223" w:hanging="222" w:hangingChars="106"/>
              <w:jc w:val="center"/>
              <w:rPr>
                <w:color w:val="auto"/>
                <w:highlight w:val="none"/>
              </w:rPr>
            </w:pPr>
          </w:p>
        </w:tc>
        <w:tc>
          <w:tcPr>
            <w:tcW w:w="1148" w:type="dxa"/>
            <w:noWrap w:val="0"/>
            <w:vAlign w:val="center"/>
          </w:tcPr>
          <w:p w14:paraId="194015E4">
            <w:pPr>
              <w:ind w:left="223" w:hanging="222" w:hangingChars="106"/>
              <w:jc w:val="center"/>
              <w:rPr>
                <w:color w:val="auto"/>
                <w:highlight w:val="none"/>
              </w:rPr>
            </w:pPr>
          </w:p>
        </w:tc>
        <w:tc>
          <w:tcPr>
            <w:tcW w:w="1148" w:type="dxa"/>
            <w:noWrap w:val="0"/>
            <w:vAlign w:val="center"/>
          </w:tcPr>
          <w:p w14:paraId="7B4A0DED">
            <w:pPr>
              <w:ind w:left="223" w:hanging="222" w:hangingChars="106"/>
              <w:jc w:val="center"/>
              <w:rPr>
                <w:color w:val="auto"/>
                <w:highlight w:val="none"/>
              </w:rPr>
            </w:pPr>
          </w:p>
        </w:tc>
        <w:tc>
          <w:tcPr>
            <w:tcW w:w="1148" w:type="dxa"/>
            <w:noWrap w:val="0"/>
            <w:vAlign w:val="center"/>
          </w:tcPr>
          <w:p w14:paraId="2A39B29E">
            <w:pPr>
              <w:ind w:left="223" w:hanging="222" w:hangingChars="106"/>
              <w:jc w:val="center"/>
              <w:rPr>
                <w:color w:val="auto"/>
                <w:highlight w:val="none"/>
              </w:rPr>
            </w:pPr>
          </w:p>
        </w:tc>
        <w:tc>
          <w:tcPr>
            <w:tcW w:w="850" w:type="dxa"/>
            <w:noWrap w:val="0"/>
            <w:vAlign w:val="center"/>
          </w:tcPr>
          <w:p w14:paraId="18842D78">
            <w:pPr>
              <w:ind w:left="223" w:hanging="222" w:hangingChars="106"/>
              <w:jc w:val="center"/>
              <w:rPr>
                <w:color w:val="auto"/>
                <w:highlight w:val="none"/>
              </w:rPr>
            </w:pPr>
          </w:p>
        </w:tc>
        <w:tc>
          <w:tcPr>
            <w:tcW w:w="1276" w:type="dxa"/>
            <w:noWrap w:val="0"/>
            <w:vAlign w:val="center"/>
          </w:tcPr>
          <w:p w14:paraId="455C5709">
            <w:pPr>
              <w:ind w:left="223" w:hanging="222" w:hangingChars="106"/>
              <w:jc w:val="center"/>
              <w:rPr>
                <w:color w:val="auto"/>
                <w:highlight w:val="none"/>
              </w:rPr>
            </w:pPr>
          </w:p>
        </w:tc>
      </w:tr>
      <w:tr w14:paraId="6DB2F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Merge w:val="continue"/>
            <w:noWrap w:val="0"/>
            <w:vAlign w:val="center"/>
          </w:tcPr>
          <w:p w14:paraId="5BC032C9">
            <w:pPr>
              <w:ind w:left="223" w:hanging="222" w:hangingChars="106"/>
              <w:jc w:val="center"/>
              <w:rPr>
                <w:color w:val="auto"/>
                <w:szCs w:val="21"/>
                <w:highlight w:val="none"/>
              </w:rPr>
            </w:pPr>
          </w:p>
        </w:tc>
        <w:tc>
          <w:tcPr>
            <w:tcW w:w="829" w:type="dxa"/>
            <w:noWrap w:val="0"/>
            <w:vAlign w:val="center"/>
          </w:tcPr>
          <w:p w14:paraId="2DCFDED3">
            <w:pPr>
              <w:ind w:left="223" w:hanging="222" w:hangingChars="106"/>
              <w:jc w:val="center"/>
              <w:rPr>
                <w:color w:val="auto"/>
                <w:highlight w:val="none"/>
              </w:rPr>
            </w:pPr>
          </w:p>
        </w:tc>
        <w:tc>
          <w:tcPr>
            <w:tcW w:w="816" w:type="dxa"/>
            <w:noWrap w:val="0"/>
            <w:vAlign w:val="center"/>
          </w:tcPr>
          <w:p w14:paraId="5D39439E">
            <w:pPr>
              <w:ind w:left="223" w:hanging="222" w:hangingChars="106"/>
              <w:jc w:val="center"/>
              <w:rPr>
                <w:color w:val="auto"/>
                <w:highlight w:val="none"/>
              </w:rPr>
            </w:pPr>
          </w:p>
        </w:tc>
        <w:tc>
          <w:tcPr>
            <w:tcW w:w="1148" w:type="dxa"/>
            <w:noWrap w:val="0"/>
            <w:vAlign w:val="center"/>
          </w:tcPr>
          <w:p w14:paraId="53CD223D">
            <w:pPr>
              <w:ind w:left="223" w:hanging="222" w:hangingChars="106"/>
              <w:jc w:val="center"/>
              <w:rPr>
                <w:color w:val="auto"/>
                <w:highlight w:val="none"/>
              </w:rPr>
            </w:pPr>
          </w:p>
        </w:tc>
        <w:tc>
          <w:tcPr>
            <w:tcW w:w="1148" w:type="dxa"/>
            <w:noWrap w:val="0"/>
            <w:vAlign w:val="center"/>
          </w:tcPr>
          <w:p w14:paraId="60EBDD0A">
            <w:pPr>
              <w:ind w:left="223" w:hanging="222" w:hangingChars="106"/>
              <w:jc w:val="center"/>
              <w:rPr>
                <w:color w:val="auto"/>
                <w:highlight w:val="none"/>
              </w:rPr>
            </w:pPr>
          </w:p>
        </w:tc>
        <w:tc>
          <w:tcPr>
            <w:tcW w:w="1148" w:type="dxa"/>
            <w:noWrap w:val="0"/>
            <w:vAlign w:val="center"/>
          </w:tcPr>
          <w:p w14:paraId="6D679F34">
            <w:pPr>
              <w:ind w:left="223" w:hanging="222" w:hangingChars="106"/>
              <w:jc w:val="center"/>
              <w:rPr>
                <w:color w:val="auto"/>
                <w:highlight w:val="none"/>
              </w:rPr>
            </w:pPr>
          </w:p>
        </w:tc>
        <w:tc>
          <w:tcPr>
            <w:tcW w:w="1148" w:type="dxa"/>
            <w:noWrap w:val="0"/>
            <w:vAlign w:val="center"/>
          </w:tcPr>
          <w:p w14:paraId="36744F82">
            <w:pPr>
              <w:ind w:left="223" w:hanging="222" w:hangingChars="106"/>
              <w:jc w:val="center"/>
              <w:rPr>
                <w:color w:val="auto"/>
                <w:highlight w:val="none"/>
              </w:rPr>
            </w:pPr>
          </w:p>
        </w:tc>
        <w:tc>
          <w:tcPr>
            <w:tcW w:w="850" w:type="dxa"/>
            <w:noWrap w:val="0"/>
            <w:vAlign w:val="center"/>
          </w:tcPr>
          <w:p w14:paraId="1F9C759F">
            <w:pPr>
              <w:ind w:left="223" w:hanging="222" w:hangingChars="106"/>
              <w:jc w:val="center"/>
              <w:rPr>
                <w:color w:val="auto"/>
                <w:highlight w:val="none"/>
              </w:rPr>
            </w:pPr>
          </w:p>
        </w:tc>
        <w:tc>
          <w:tcPr>
            <w:tcW w:w="1276" w:type="dxa"/>
            <w:noWrap w:val="0"/>
            <w:vAlign w:val="center"/>
          </w:tcPr>
          <w:p w14:paraId="4F10E71B">
            <w:pPr>
              <w:ind w:left="223" w:hanging="222" w:hangingChars="106"/>
              <w:jc w:val="center"/>
              <w:rPr>
                <w:color w:val="auto"/>
                <w:highlight w:val="none"/>
              </w:rPr>
            </w:pPr>
          </w:p>
        </w:tc>
      </w:tr>
      <w:tr w14:paraId="00739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3C15A8CD">
            <w:pPr>
              <w:ind w:left="223" w:hanging="222" w:hangingChars="106"/>
              <w:jc w:val="center"/>
              <w:rPr>
                <w:color w:val="auto"/>
                <w:szCs w:val="21"/>
                <w:highlight w:val="none"/>
              </w:rPr>
            </w:pPr>
            <w:r>
              <w:rPr>
                <w:color w:val="auto"/>
                <w:szCs w:val="21"/>
                <w:highlight w:val="none"/>
              </w:rPr>
              <w:t>材料员</w:t>
            </w:r>
          </w:p>
        </w:tc>
        <w:tc>
          <w:tcPr>
            <w:tcW w:w="829" w:type="dxa"/>
            <w:noWrap w:val="0"/>
            <w:vAlign w:val="center"/>
          </w:tcPr>
          <w:p w14:paraId="3CAEE6D0">
            <w:pPr>
              <w:ind w:left="223" w:hanging="222" w:hangingChars="106"/>
              <w:jc w:val="center"/>
              <w:rPr>
                <w:color w:val="auto"/>
                <w:highlight w:val="none"/>
              </w:rPr>
            </w:pPr>
          </w:p>
        </w:tc>
        <w:tc>
          <w:tcPr>
            <w:tcW w:w="816" w:type="dxa"/>
            <w:noWrap w:val="0"/>
            <w:vAlign w:val="center"/>
          </w:tcPr>
          <w:p w14:paraId="6393A05C">
            <w:pPr>
              <w:ind w:left="223" w:hanging="222" w:hangingChars="106"/>
              <w:jc w:val="center"/>
              <w:rPr>
                <w:color w:val="auto"/>
                <w:highlight w:val="none"/>
              </w:rPr>
            </w:pPr>
          </w:p>
        </w:tc>
        <w:tc>
          <w:tcPr>
            <w:tcW w:w="1148" w:type="dxa"/>
            <w:noWrap w:val="0"/>
            <w:vAlign w:val="center"/>
          </w:tcPr>
          <w:p w14:paraId="0E7BF909">
            <w:pPr>
              <w:ind w:left="223" w:hanging="222" w:hangingChars="106"/>
              <w:jc w:val="center"/>
              <w:rPr>
                <w:color w:val="auto"/>
                <w:highlight w:val="none"/>
              </w:rPr>
            </w:pPr>
          </w:p>
        </w:tc>
        <w:tc>
          <w:tcPr>
            <w:tcW w:w="1148" w:type="dxa"/>
            <w:noWrap w:val="0"/>
            <w:vAlign w:val="center"/>
          </w:tcPr>
          <w:p w14:paraId="0A3E32EA">
            <w:pPr>
              <w:ind w:left="223" w:hanging="222" w:hangingChars="106"/>
              <w:jc w:val="center"/>
              <w:rPr>
                <w:color w:val="auto"/>
                <w:highlight w:val="none"/>
              </w:rPr>
            </w:pPr>
          </w:p>
        </w:tc>
        <w:tc>
          <w:tcPr>
            <w:tcW w:w="1148" w:type="dxa"/>
            <w:noWrap w:val="0"/>
            <w:vAlign w:val="center"/>
          </w:tcPr>
          <w:p w14:paraId="0D15D2A5">
            <w:pPr>
              <w:ind w:left="223" w:hanging="222" w:hangingChars="106"/>
              <w:jc w:val="center"/>
              <w:rPr>
                <w:color w:val="auto"/>
                <w:highlight w:val="none"/>
              </w:rPr>
            </w:pPr>
          </w:p>
        </w:tc>
        <w:tc>
          <w:tcPr>
            <w:tcW w:w="1148" w:type="dxa"/>
            <w:noWrap w:val="0"/>
            <w:vAlign w:val="center"/>
          </w:tcPr>
          <w:p w14:paraId="24089EE7">
            <w:pPr>
              <w:ind w:left="223" w:hanging="222" w:hangingChars="106"/>
              <w:jc w:val="center"/>
              <w:rPr>
                <w:color w:val="auto"/>
                <w:highlight w:val="none"/>
              </w:rPr>
            </w:pPr>
          </w:p>
        </w:tc>
        <w:tc>
          <w:tcPr>
            <w:tcW w:w="850" w:type="dxa"/>
            <w:noWrap w:val="0"/>
            <w:vAlign w:val="center"/>
          </w:tcPr>
          <w:p w14:paraId="0A9165AA">
            <w:pPr>
              <w:ind w:left="223" w:hanging="222" w:hangingChars="106"/>
              <w:jc w:val="center"/>
              <w:rPr>
                <w:color w:val="auto"/>
                <w:highlight w:val="none"/>
              </w:rPr>
            </w:pPr>
          </w:p>
        </w:tc>
        <w:tc>
          <w:tcPr>
            <w:tcW w:w="1276" w:type="dxa"/>
            <w:noWrap w:val="0"/>
            <w:vAlign w:val="center"/>
          </w:tcPr>
          <w:p w14:paraId="33AD3FE6">
            <w:pPr>
              <w:ind w:left="223" w:hanging="222" w:hangingChars="106"/>
              <w:jc w:val="center"/>
              <w:rPr>
                <w:color w:val="auto"/>
                <w:highlight w:val="none"/>
              </w:rPr>
            </w:pPr>
          </w:p>
        </w:tc>
      </w:tr>
      <w:tr w14:paraId="34838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1B760BBA">
            <w:pPr>
              <w:ind w:left="223" w:hanging="222" w:hangingChars="106"/>
              <w:jc w:val="center"/>
              <w:rPr>
                <w:color w:val="auto"/>
                <w:szCs w:val="21"/>
                <w:highlight w:val="none"/>
              </w:rPr>
            </w:pPr>
          </w:p>
        </w:tc>
        <w:tc>
          <w:tcPr>
            <w:tcW w:w="829" w:type="dxa"/>
            <w:noWrap w:val="0"/>
            <w:vAlign w:val="center"/>
          </w:tcPr>
          <w:p w14:paraId="6F8E0707">
            <w:pPr>
              <w:ind w:left="223" w:hanging="222" w:hangingChars="106"/>
              <w:jc w:val="center"/>
              <w:rPr>
                <w:color w:val="auto"/>
                <w:highlight w:val="none"/>
              </w:rPr>
            </w:pPr>
          </w:p>
        </w:tc>
        <w:tc>
          <w:tcPr>
            <w:tcW w:w="816" w:type="dxa"/>
            <w:noWrap w:val="0"/>
            <w:vAlign w:val="center"/>
          </w:tcPr>
          <w:p w14:paraId="4A896E8A">
            <w:pPr>
              <w:ind w:left="223" w:hanging="222" w:hangingChars="106"/>
              <w:jc w:val="center"/>
              <w:rPr>
                <w:color w:val="auto"/>
                <w:highlight w:val="none"/>
              </w:rPr>
            </w:pPr>
          </w:p>
        </w:tc>
        <w:tc>
          <w:tcPr>
            <w:tcW w:w="1148" w:type="dxa"/>
            <w:noWrap w:val="0"/>
            <w:vAlign w:val="center"/>
          </w:tcPr>
          <w:p w14:paraId="11CB22F1">
            <w:pPr>
              <w:ind w:left="223" w:hanging="222" w:hangingChars="106"/>
              <w:jc w:val="center"/>
              <w:rPr>
                <w:color w:val="auto"/>
                <w:highlight w:val="none"/>
              </w:rPr>
            </w:pPr>
          </w:p>
        </w:tc>
        <w:tc>
          <w:tcPr>
            <w:tcW w:w="1148" w:type="dxa"/>
            <w:noWrap w:val="0"/>
            <w:vAlign w:val="center"/>
          </w:tcPr>
          <w:p w14:paraId="613236F0">
            <w:pPr>
              <w:ind w:left="223" w:hanging="222" w:hangingChars="106"/>
              <w:jc w:val="center"/>
              <w:rPr>
                <w:color w:val="auto"/>
                <w:highlight w:val="none"/>
              </w:rPr>
            </w:pPr>
          </w:p>
        </w:tc>
        <w:tc>
          <w:tcPr>
            <w:tcW w:w="1148" w:type="dxa"/>
            <w:noWrap w:val="0"/>
            <w:vAlign w:val="center"/>
          </w:tcPr>
          <w:p w14:paraId="296A8972">
            <w:pPr>
              <w:ind w:left="223" w:hanging="222" w:hangingChars="106"/>
              <w:jc w:val="center"/>
              <w:rPr>
                <w:color w:val="auto"/>
                <w:highlight w:val="none"/>
              </w:rPr>
            </w:pPr>
          </w:p>
        </w:tc>
        <w:tc>
          <w:tcPr>
            <w:tcW w:w="1148" w:type="dxa"/>
            <w:noWrap w:val="0"/>
            <w:vAlign w:val="center"/>
          </w:tcPr>
          <w:p w14:paraId="579CA49A">
            <w:pPr>
              <w:ind w:left="223" w:hanging="222" w:hangingChars="106"/>
              <w:jc w:val="center"/>
              <w:rPr>
                <w:color w:val="auto"/>
                <w:highlight w:val="none"/>
              </w:rPr>
            </w:pPr>
          </w:p>
        </w:tc>
        <w:tc>
          <w:tcPr>
            <w:tcW w:w="850" w:type="dxa"/>
            <w:noWrap w:val="0"/>
            <w:vAlign w:val="center"/>
          </w:tcPr>
          <w:p w14:paraId="18DA782E">
            <w:pPr>
              <w:ind w:left="223" w:hanging="222" w:hangingChars="106"/>
              <w:jc w:val="center"/>
              <w:rPr>
                <w:color w:val="auto"/>
                <w:highlight w:val="none"/>
              </w:rPr>
            </w:pPr>
          </w:p>
        </w:tc>
        <w:tc>
          <w:tcPr>
            <w:tcW w:w="1276" w:type="dxa"/>
            <w:noWrap w:val="0"/>
            <w:vAlign w:val="center"/>
          </w:tcPr>
          <w:p w14:paraId="6C090DC8">
            <w:pPr>
              <w:ind w:left="223" w:hanging="222" w:hangingChars="106"/>
              <w:jc w:val="center"/>
              <w:rPr>
                <w:color w:val="auto"/>
                <w:highlight w:val="none"/>
              </w:rPr>
            </w:pPr>
          </w:p>
        </w:tc>
      </w:tr>
      <w:tr w14:paraId="48563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7803D91D">
            <w:pPr>
              <w:ind w:left="223" w:hanging="222" w:hangingChars="106"/>
              <w:jc w:val="center"/>
              <w:rPr>
                <w:color w:val="auto"/>
                <w:highlight w:val="none"/>
              </w:rPr>
            </w:pPr>
            <w:r>
              <w:rPr>
                <w:color w:val="auto"/>
                <w:highlight w:val="none"/>
              </w:rPr>
              <w:t>……</w:t>
            </w:r>
          </w:p>
        </w:tc>
        <w:tc>
          <w:tcPr>
            <w:tcW w:w="829" w:type="dxa"/>
            <w:noWrap w:val="0"/>
            <w:vAlign w:val="center"/>
          </w:tcPr>
          <w:p w14:paraId="46881BF8">
            <w:pPr>
              <w:ind w:left="223" w:hanging="222" w:hangingChars="106"/>
              <w:jc w:val="center"/>
              <w:rPr>
                <w:color w:val="auto"/>
                <w:highlight w:val="none"/>
              </w:rPr>
            </w:pPr>
          </w:p>
        </w:tc>
        <w:tc>
          <w:tcPr>
            <w:tcW w:w="816" w:type="dxa"/>
            <w:noWrap w:val="0"/>
            <w:vAlign w:val="center"/>
          </w:tcPr>
          <w:p w14:paraId="74651B8F">
            <w:pPr>
              <w:ind w:left="223" w:hanging="222" w:hangingChars="106"/>
              <w:jc w:val="center"/>
              <w:rPr>
                <w:color w:val="auto"/>
                <w:highlight w:val="none"/>
              </w:rPr>
            </w:pPr>
          </w:p>
        </w:tc>
        <w:tc>
          <w:tcPr>
            <w:tcW w:w="1148" w:type="dxa"/>
            <w:noWrap w:val="0"/>
            <w:vAlign w:val="center"/>
          </w:tcPr>
          <w:p w14:paraId="3AF1FE99">
            <w:pPr>
              <w:ind w:left="223" w:hanging="222" w:hangingChars="106"/>
              <w:jc w:val="center"/>
              <w:rPr>
                <w:color w:val="auto"/>
                <w:highlight w:val="none"/>
              </w:rPr>
            </w:pPr>
          </w:p>
        </w:tc>
        <w:tc>
          <w:tcPr>
            <w:tcW w:w="1148" w:type="dxa"/>
            <w:noWrap w:val="0"/>
            <w:vAlign w:val="center"/>
          </w:tcPr>
          <w:p w14:paraId="0366227C">
            <w:pPr>
              <w:ind w:left="223" w:hanging="222" w:hangingChars="106"/>
              <w:jc w:val="center"/>
              <w:rPr>
                <w:color w:val="auto"/>
                <w:highlight w:val="none"/>
              </w:rPr>
            </w:pPr>
          </w:p>
        </w:tc>
        <w:tc>
          <w:tcPr>
            <w:tcW w:w="1148" w:type="dxa"/>
            <w:noWrap w:val="0"/>
            <w:vAlign w:val="center"/>
          </w:tcPr>
          <w:p w14:paraId="27FF4133">
            <w:pPr>
              <w:ind w:left="223" w:hanging="222" w:hangingChars="106"/>
              <w:jc w:val="center"/>
              <w:rPr>
                <w:color w:val="auto"/>
                <w:highlight w:val="none"/>
              </w:rPr>
            </w:pPr>
          </w:p>
        </w:tc>
        <w:tc>
          <w:tcPr>
            <w:tcW w:w="1148" w:type="dxa"/>
            <w:noWrap w:val="0"/>
            <w:vAlign w:val="center"/>
          </w:tcPr>
          <w:p w14:paraId="6F1AD86C">
            <w:pPr>
              <w:ind w:left="223" w:hanging="222" w:hangingChars="106"/>
              <w:jc w:val="center"/>
              <w:rPr>
                <w:color w:val="auto"/>
                <w:highlight w:val="none"/>
              </w:rPr>
            </w:pPr>
          </w:p>
        </w:tc>
        <w:tc>
          <w:tcPr>
            <w:tcW w:w="850" w:type="dxa"/>
            <w:noWrap w:val="0"/>
            <w:vAlign w:val="center"/>
          </w:tcPr>
          <w:p w14:paraId="7FB6F5B8">
            <w:pPr>
              <w:ind w:left="223" w:hanging="222" w:hangingChars="106"/>
              <w:jc w:val="center"/>
              <w:rPr>
                <w:color w:val="auto"/>
                <w:highlight w:val="none"/>
              </w:rPr>
            </w:pPr>
          </w:p>
        </w:tc>
        <w:tc>
          <w:tcPr>
            <w:tcW w:w="1276" w:type="dxa"/>
            <w:noWrap w:val="0"/>
            <w:vAlign w:val="center"/>
          </w:tcPr>
          <w:p w14:paraId="3B9E12A1">
            <w:pPr>
              <w:ind w:left="223" w:hanging="222" w:hangingChars="106"/>
              <w:jc w:val="center"/>
              <w:rPr>
                <w:color w:val="auto"/>
                <w:highlight w:val="none"/>
              </w:rPr>
            </w:pPr>
          </w:p>
        </w:tc>
      </w:tr>
      <w:tr w14:paraId="4CAB9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9" w:hRule="atLeast"/>
          <w:jc w:val="center"/>
        </w:trPr>
        <w:tc>
          <w:tcPr>
            <w:tcW w:w="9356" w:type="dxa"/>
            <w:gridSpan w:val="9"/>
            <w:noWrap w:val="0"/>
            <w:vAlign w:val="center"/>
          </w:tcPr>
          <w:p w14:paraId="65938332">
            <w:pPr>
              <w:spacing w:line="360" w:lineRule="auto"/>
              <w:rPr>
                <w:color w:val="auto"/>
                <w:szCs w:val="21"/>
                <w:highlight w:val="none"/>
              </w:rPr>
            </w:pPr>
            <w:bookmarkStart w:id="1068" w:name="_Toc251052199"/>
            <w:r>
              <w:rPr>
                <w:color w:val="auto"/>
                <w:szCs w:val="21"/>
                <w:highlight w:val="none"/>
              </w:rPr>
              <w:t>一旦我单位成交，将实行项目经理负责制，我方保证并配备上述项目管理机构。上述填报内容真实，若不真实，愿按有关规定接受处理。项目管理班子机构设置、职责分工等情况另附资料说明</w:t>
            </w:r>
            <w:bookmarkEnd w:id="1068"/>
          </w:p>
        </w:tc>
      </w:tr>
    </w:tbl>
    <w:p w14:paraId="5B2967FE">
      <w:pPr>
        <w:pStyle w:val="27"/>
        <w:tabs>
          <w:tab w:val="left" w:pos="2127"/>
        </w:tabs>
        <w:spacing w:line="340" w:lineRule="exact"/>
        <w:rPr>
          <w:rFonts w:ascii="Times New Roman" w:hAnsi="Times New Roman" w:cs="Times New Roman"/>
          <w:color w:val="auto"/>
          <w:highlight w:val="none"/>
        </w:rPr>
      </w:pPr>
      <w:r>
        <w:rPr>
          <w:rFonts w:ascii="Times New Roman" w:hAnsi="Times New Roman" w:cs="Times New Roman"/>
          <w:color w:val="auto"/>
          <w:highlight w:val="none"/>
        </w:rPr>
        <w:t>【备注：附</w:t>
      </w:r>
      <w:r>
        <w:rPr>
          <w:rFonts w:hint="eastAsia" w:ascii="Times New Roman" w:hAnsi="Times New Roman" w:cs="Times New Roman"/>
          <w:color w:val="auto"/>
          <w:highlight w:val="none"/>
        </w:rPr>
        <w:t>安全</w:t>
      </w:r>
      <w:r>
        <w:rPr>
          <w:rFonts w:ascii="Times New Roman" w:hAnsi="Times New Roman" w:cs="Times New Roman"/>
          <w:color w:val="auto"/>
          <w:highlight w:val="none"/>
        </w:rPr>
        <w:t>员证件、响应文件递交截止时间前6个月内</w:t>
      </w:r>
      <w:r>
        <w:rPr>
          <w:color w:val="auto"/>
          <w:highlight w:val="none"/>
        </w:rPr>
        <w:t>任意</w:t>
      </w:r>
      <w:r>
        <w:rPr>
          <w:rFonts w:hint="eastAsia" w:ascii="Times New Roman" w:hAnsi="Times New Roman" w:cs="Times New Roman"/>
          <w:color w:val="auto"/>
          <w:highlight w:val="none"/>
        </w:rPr>
        <w:t>1个月</w:t>
      </w:r>
      <w:r>
        <w:rPr>
          <w:rFonts w:ascii="Times New Roman" w:hAnsi="Times New Roman" w:cs="Times New Roman"/>
          <w:color w:val="auto"/>
          <w:highlight w:val="none"/>
        </w:rPr>
        <w:t>在现任职单位依法缴纳社会保险的凭证等相关证明材料的</w:t>
      </w:r>
      <w:r>
        <w:rPr>
          <w:rFonts w:hint="eastAsia"/>
          <w:color w:val="auto"/>
          <w:highlight w:val="none"/>
        </w:rPr>
        <w:t>扫描件</w:t>
      </w:r>
      <w:r>
        <w:rPr>
          <w:rFonts w:ascii="Times New Roman" w:hAnsi="Times New Roman" w:cs="Times New Roman"/>
          <w:color w:val="auto"/>
          <w:highlight w:val="none"/>
        </w:rPr>
        <w:t>，以及供应商认为需要增加的其他证明材料</w:t>
      </w:r>
      <w:r>
        <w:rPr>
          <w:rFonts w:hint="eastAsia"/>
          <w:color w:val="auto"/>
          <w:highlight w:val="none"/>
        </w:rPr>
        <w:t>扫描件</w:t>
      </w:r>
      <w:r>
        <w:rPr>
          <w:rFonts w:ascii="Times New Roman" w:hAnsi="Times New Roman" w:cs="Times New Roman"/>
          <w:color w:val="auto"/>
          <w:highlight w:val="none"/>
        </w:rPr>
        <w:t>，以上</w:t>
      </w:r>
      <w:r>
        <w:rPr>
          <w:rFonts w:hint="eastAsia"/>
          <w:color w:val="auto"/>
          <w:highlight w:val="none"/>
        </w:rPr>
        <w:t>扫描件</w:t>
      </w:r>
      <w:r>
        <w:rPr>
          <w:rFonts w:ascii="Times New Roman" w:hAnsi="Times New Roman" w:cs="Times New Roman"/>
          <w:color w:val="auto"/>
          <w:highlight w:val="none"/>
        </w:rPr>
        <w:t>须加盖</w:t>
      </w:r>
      <w:r>
        <w:rPr>
          <w:color w:val="auto"/>
          <w:highlight w:val="none"/>
        </w:rPr>
        <w:t>供应商</w:t>
      </w:r>
      <w:r>
        <w:rPr>
          <w:rFonts w:hint="eastAsia"/>
          <w:color w:val="auto"/>
          <w:highlight w:val="none"/>
        </w:rPr>
        <w:t>电子签章</w:t>
      </w:r>
      <w:r>
        <w:rPr>
          <w:rFonts w:ascii="Times New Roman" w:hAnsi="Times New Roman" w:cs="Times New Roman"/>
          <w:color w:val="auto"/>
          <w:highlight w:val="none"/>
        </w:rPr>
        <w:t>。】</w:t>
      </w:r>
    </w:p>
    <w:p w14:paraId="1AA8B32D">
      <w:pPr>
        <w:pStyle w:val="197"/>
        <w:rPr>
          <w:rFonts w:ascii="Times New Roman" w:hAnsi="Times New Roman"/>
          <w:color w:val="auto"/>
          <w:highlight w:val="none"/>
        </w:rPr>
      </w:pPr>
    </w:p>
    <w:p w14:paraId="4359BA0D">
      <w:pPr>
        <w:snapToGrid w:val="0"/>
        <w:spacing w:before="50" w:after="120" w:afterLines="50" w:line="440" w:lineRule="exact"/>
        <w:jc w:val="left"/>
        <w:rPr>
          <w:rFonts w:hint="eastAsia"/>
          <w:color w:val="auto"/>
          <w:highlight w:val="none"/>
        </w:rPr>
      </w:pPr>
      <w:r>
        <w:rPr>
          <w:color w:val="auto"/>
          <w:highlight w:val="none"/>
        </w:rPr>
        <w:br w:type="page"/>
      </w:r>
      <w:r>
        <w:rPr>
          <w:rFonts w:hint="eastAsia"/>
          <w:color w:val="auto"/>
          <w:highlight w:val="none"/>
          <w:lang w:val="en-US" w:eastAsia="zh-CN"/>
        </w:rPr>
        <w:t>7</w:t>
      </w:r>
      <w:r>
        <w:rPr>
          <w:color w:val="auto"/>
          <w:highlight w:val="none"/>
        </w:rPr>
        <w:t>.</w:t>
      </w:r>
      <w:r>
        <w:rPr>
          <w:rFonts w:hint="eastAsia"/>
          <w:color w:val="auto"/>
          <w:highlight w:val="none"/>
        </w:rPr>
        <w:t>5</w:t>
      </w:r>
      <w:r>
        <w:rPr>
          <w:color w:val="auto"/>
          <w:highlight w:val="none"/>
        </w:rPr>
        <w:t>满足本项目特定资格条件其他要求的证明材料。</w:t>
      </w:r>
    </w:p>
    <w:p w14:paraId="1F2D0580">
      <w:pPr>
        <w:snapToGrid w:val="0"/>
        <w:spacing w:before="50" w:after="120" w:afterLines="50" w:line="360" w:lineRule="auto"/>
        <w:jc w:val="left"/>
        <w:rPr>
          <w:color w:val="auto"/>
          <w:szCs w:val="21"/>
          <w:highlight w:val="none"/>
        </w:rPr>
      </w:pPr>
      <w:r>
        <w:rPr>
          <w:rFonts w:hint="eastAsia"/>
          <w:color w:val="auto"/>
          <w:szCs w:val="21"/>
          <w:highlight w:val="none"/>
          <w:lang w:val="en-US" w:eastAsia="zh-CN"/>
        </w:rPr>
        <w:t>7</w:t>
      </w:r>
      <w:r>
        <w:rPr>
          <w:color w:val="auto"/>
          <w:szCs w:val="21"/>
          <w:highlight w:val="none"/>
        </w:rPr>
        <w:t>.5.1</w:t>
      </w:r>
      <w:r>
        <w:rPr>
          <w:rFonts w:hint="eastAsia"/>
          <w:color w:val="auto"/>
          <w:szCs w:val="21"/>
          <w:highlight w:val="none"/>
        </w:rPr>
        <w:t>供应商直接控股股东信息表</w:t>
      </w:r>
    </w:p>
    <w:tbl>
      <w:tblPr>
        <w:tblStyle w:val="54"/>
        <w:tblW w:w="0" w:type="auto"/>
        <w:tblInd w:w="125" w:type="dxa"/>
        <w:tblLayout w:type="fixed"/>
        <w:tblCellMar>
          <w:top w:w="0" w:type="dxa"/>
          <w:left w:w="0" w:type="dxa"/>
          <w:bottom w:w="0" w:type="dxa"/>
          <w:right w:w="0" w:type="dxa"/>
        </w:tblCellMar>
      </w:tblPr>
      <w:tblGrid>
        <w:gridCol w:w="828"/>
        <w:gridCol w:w="2269"/>
        <w:gridCol w:w="1239"/>
        <w:gridCol w:w="3722"/>
        <w:gridCol w:w="1418"/>
      </w:tblGrid>
      <w:tr w14:paraId="02024860">
        <w:tblPrEx>
          <w:tblCellMar>
            <w:top w:w="0" w:type="dxa"/>
            <w:left w:w="0" w:type="dxa"/>
            <w:bottom w:w="0" w:type="dxa"/>
            <w:right w:w="0" w:type="dxa"/>
          </w:tblCellMar>
        </w:tblPrEx>
        <w:trPr>
          <w:tblHeader/>
        </w:trPr>
        <w:tc>
          <w:tcPr>
            <w:tcW w:w="82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57972FF">
            <w:pPr>
              <w:spacing w:line="360" w:lineRule="auto"/>
              <w:jc w:val="center"/>
              <w:rPr>
                <w:color w:val="auto"/>
                <w:szCs w:val="21"/>
                <w:highlight w:val="none"/>
              </w:rPr>
            </w:pPr>
            <w:r>
              <w:rPr>
                <w:rFonts w:hint="eastAsia"/>
                <w:color w:val="auto"/>
                <w:szCs w:val="21"/>
                <w:highlight w:val="none"/>
              </w:rPr>
              <w:t>序号</w:t>
            </w:r>
          </w:p>
        </w:tc>
        <w:tc>
          <w:tcPr>
            <w:tcW w:w="226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485D0DA7">
            <w:pPr>
              <w:spacing w:line="360" w:lineRule="auto"/>
              <w:jc w:val="center"/>
              <w:rPr>
                <w:color w:val="auto"/>
                <w:szCs w:val="21"/>
                <w:highlight w:val="none"/>
              </w:rPr>
            </w:pPr>
            <w:r>
              <w:rPr>
                <w:rFonts w:hint="eastAsia"/>
                <w:color w:val="auto"/>
                <w:szCs w:val="21"/>
                <w:highlight w:val="none"/>
              </w:rPr>
              <w:t>直接控股股东名称</w:t>
            </w:r>
          </w:p>
        </w:tc>
        <w:tc>
          <w:tcPr>
            <w:tcW w:w="123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404F1414">
            <w:pPr>
              <w:spacing w:line="360" w:lineRule="auto"/>
              <w:jc w:val="center"/>
              <w:rPr>
                <w:color w:val="auto"/>
                <w:szCs w:val="21"/>
                <w:highlight w:val="none"/>
              </w:rPr>
            </w:pPr>
            <w:r>
              <w:rPr>
                <w:rFonts w:hint="eastAsia"/>
                <w:color w:val="auto"/>
                <w:szCs w:val="21"/>
                <w:highlight w:val="none"/>
              </w:rPr>
              <w:t>出资比例</w:t>
            </w:r>
          </w:p>
        </w:tc>
        <w:tc>
          <w:tcPr>
            <w:tcW w:w="3722"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56BDA39E">
            <w:pPr>
              <w:spacing w:line="360" w:lineRule="auto"/>
              <w:jc w:val="center"/>
              <w:rPr>
                <w:color w:val="auto"/>
                <w:szCs w:val="21"/>
                <w:highlight w:val="none"/>
              </w:rPr>
            </w:pPr>
            <w:r>
              <w:rPr>
                <w:rFonts w:hint="eastAsia"/>
                <w:color w:val="auto"/>
                <w:szCs w:val="21"/>
                <w:highlight w:val="none"/>
              </w:rPr>
              <w:t>身份证号码或者统一社会信用代码</w:t>
            </w:r>
          </w:p>
        </w:tc>
        <w:tc>
          <w:tcPr>
            <w:tcW w:w="141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09827410">
            <w:pPr>
              <w:spacing w:line="360" w:lineRule="auto"/>
              <w:jc w:val="center"/>
              <w:rPr>
                <w:color w:val="auto"/>
                <w:szCs w:val="21"/>
                <w:highlight w:val="none"/>
              </w:rPr>
            </w:pPr>
            <w:r>
              <w:rPr>
                <w:rFonts w:hint="eastAsia"/>
                <w:color w:val="auto"/>
                <w:szCs w:val="21"/>
                <w:highlight w:val="none"/>
              </w:rPr>
              <w:t>备注</w:t>
            </w:r>
          </w:p>
        </w:tc>
      </w:tr>
      <w:tr w14:paraId="36393675">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1E1D2FF">
            <w:pPr>
              <w:spacing w:line="360" w:lineRule="auto"/>
              <w:jc w:val="center"/>
              <w:rPr>
                <w:color w:val="auto"/>
                <w:szCs w:val="21"/>
                <w:highlight w:val="none"/>
              </w:rPr>
            </w:pPr>
            <w:r>
              <w:rPr>
                <w:rFonts w:hint="eastAsia"/>
                <w:color w:val="auto"/>
                <w:szCs w:val="21"/>
                <w:highlight w:val="none"/>
              </w:rPr>
              <w:t>1</w:t>
            </w:r>
          </w:p>
        </w:tc>
        <w:tc>
          <w:tcPr>
            <w:tcW w:w="226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5F21C661">
            <w:pPr>
              <w:spacing w:line="360" w:lineRule="auto"/>
              <w:jc w:val="center"/>
              <w:rPr>
                <w:color w:val="auto"/>
                <w:szCs w:val="21"/>
                <w:highlight w:val="none"/>
              </w:rPr>
            </w:pPr>
          </w:p>
        </w:tc>
        <w:tc>
          <w:tcPr>
            <w:tcW w:w="123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38FB23F9">
            <w:pPr>
              <w:spacing w:line="360" w:lineRule="auto"/>
              <w:jc w:val="center"/>
              <w:rPr>
                <w:color w:val="auto"/>
                <w:szCs w:val="21"/>
                <w:highlight w:val="none"/>
              </w:rPr>
            </w:pPr>
          </w:p>
        </w:tc>
        <w:tc>
          <w:tcPr>
            <w:tcW w:w="3722"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1080EFF">
            <w:pPr>
              <w:spacing w:line="360" w:lineRule="auto"/>
              <w:jc w:val="center"/>
              <w:rPr>
                <w:color w:val="auto"/>
                <w:szCs w:val="21"/>
                <w:highlight w:val="none"/>
              </w:rPr>
            </w:pPr>
          </w:p>
        </w:tc>
        <w:tc>
          <w:tcPr>
            <w:tcW w:w="141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19FF4CB">
            <w:pPr>
              <w:spacing w:line="360" w:lineRule="auto"/>
              <w:jc w:val="center"/>
              <w:rPr>
                <w:color w:val="auto"/>
                <w:szCs w:val="21"/>
                <w:highlight w:val="none"/>
              </w:rPr>
            </w:pPr>
          </w:p>
        </w:tc>
      </w:tr>
      <w:tr w14:paraId="3D0790FD">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89CC6C2">
            <w:pPr>
              <w:spacing w:line="360" w:lineRule="auto"/>
              <w:jc w:val="center"/>
              <w:rPr>
                <w:color w:val="auto"/>
                <w:szCs w:val="21"/>
                <w:highlight w:val="none"/>
              </w:rPr>
            </w:pPr>
            <w:r>
              <w:rPr>
                <w:rFonts w:hint="eastAsia"/>
                <w:color w:val="auto"/>
                <w:szCs w:val="21"/>
                <w:highlight w:val="none"/>
              </w:rPr>
              <w:t>2</w:t>
            </w:r>
          </w:p>
        </w:tc>
        <w:tc>
          <w:tcPr>
            <w:tcW w:w="226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9A2FA87">
            <w:pPr>
              <w:spacing w:line="360" w:lineRule="auto"/>
              <w:jc w:val="center"/>
              <w:rPr>
                <w:color w:val="auto"/>
                <w:szCs w:val="21"/>
                <w:highlight w:val="none"/>
              </w:rPr>
            </w:pPr>
          </w:p>
        </w:tc>
        <w:tc>
          <w:tcPr>
            <w:tcW w:w="123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94B1371">
            <w:pPr>
              <w:spacing w:line="360" w:lineRule="auto"/>
              <w:jc w:val="center"/>
              <w:rPr>
                <w:color w:val="auto"/>
                <w:szCs w:val="21"/>
                <w:highlight w:val="none"/>
              </w:rPr>
            </w:pPr>
          </w:p>
        </w:tc>
        <w:tc>
          <w:tcPr>
            <w:tcW w:w="3722"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510CD9CF">
            <w:pPr>
              <w:spacing w:line="360" w:lineRule="auto"/>
              <w:jc w:val="center"/>
              <w:rPr>
                <w:color w:val="auto"/>
                <w:szCs w:val="21"/>
                <w:highlight w:val="none"/>
              </w:rPr>
            </w:pPr>
          </w:p>
        </w:tc>
        <w:tc>
          <w:tcPr>
            <w:tcW w:w="141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2CA8465F">
            <w:pPr>
              <w:spacing w:line="360" w:lineRule="auto"/>
              <w:jc w:val="center"/>
              <w:rPr>
                <w:color w:val="auto"/>
                <w:szCs w:val="21"/>
                <w:highlight w:val="none"/>
              </w:rPr>
            </w:pPr>
          </w:p>
        </w:tc>
      </w:tr>
      <w:tr w14:paraId="58D7C076">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D13F717">
            <w:pPr>
              <w:spacing w:line="360" w:lineRule="auto"/>
              <w:jc w:val="center"/>
              <w:rPr>
                <w:color w:val="auto"/>
                <w:szCs w:val="21"/>
                <w:highlight w:val="none"/>
              </w:rPr>
            </w:pPr>
            <w:r>
              <w:rPr>
                <w:rFonts w:hint="eastAsia"/>
                <w:color w:val="auto"/>
                <w:szCs w:val="21"/>
                <w:highlight w:val="none"/>
              </w:rPr>
              <w:t>3</w:t>
            </w:r>
          </w:p>
        </w:tc>
        <w:tc>
          <w:tcPr>
            <w:tcW w:w="226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3600A6E">
            <w:pPr>
              <w:spacing w:line="360" w:lineRule="auto"/>
              <w:jc w:val="center"/>
              <w:rPr>
                <w:color w:val="auto"/>
                <w:szCs w:val="21"/>
                <w:highlight w:val="none"/>
              </w:rPr>
            </w:pPr>
          </w:p>
        </w:tc>
        <w:tc>
          <w:tcPr>
            <w:tcW w:w="123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08CA79B2">
            <w:pPr>
              <w:spacing w:line="360" w:lineRule="auto"/>
              <w:jc w:val="center"/>
              <w:rPr>
                <w:color w:val="auto"/>
                <w:szCs w:val="21"/>
                <w:highlight w:val="none"/>
              </w:rPr>
            </w:pPr>
          </w:p>
        </w:tc>
        <w:tc>
          <w:tcPr>
            <w:tcW w:w="3722"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059AF3CE">
            <w:pPr>
              <w:spacing w:line="360" w:lineRule="auto"/>
              <w:jc w:val="center"/>
              <w:rPr>
                <w:color w:val="auto"/>
                <w:szCs w:val="21"/>
                <w:highlight w:val="none"/>
              </w:rPr>
            </w:pPr>
          </w:p>
        </w:tc>
        <w:tc>
          <w:tcPr>
            <w:tcW w:w="141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5AF8D2BC">
            <w:pPr>
              <w:spacing w:line="360" w:lineRule="auto"/>
              <w:jc w:val="center"/>
              <w:rPr>
                <w:color w:val="auto"/>
                <w:szCs w:val="21"/>
                <w:highlight w:val="none"/>
              </w:rPr>
            </w:pPr>
          </w:p>
        </w:tc>
      </w:tr>
      <w:tr w14:paraId="67D9FD36">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0CC0BFA7">
            <w:pPr>
              <w:spacing w:line="360" w:lineRule="auto"/>
              <w:jc w:val="center"/>
              <w:rPr>
                <w:color w:val="auto"/>
                <w:szCs w:val="21"/>
                <w:highlight w:val="none"/>
              </w:rPr>
            </w:pPr>
            <w:r>
              <w:rPr>
                <w:rFonts w:hint="eastAsia"/>
                <w:color w:val="auto"/>
                <w:szCs w:val="21"/>
                <w:highlight w:val="none"/>
              </w:rPr>
              <w:t>……</w:t>
            </w:r>
          </w:p>
        </w:tc>
        <w:tc>
          <w:tcPr>
            <w:tcW w:w="226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1F996C8">
            <w:pPr>
              <w:spacing w:line="360" w:lineRule="auto"/>
              <w:jc w:val="center"/>
              <w:rPr>
                <w:color w:val="auto"/>
                <w:szCs w:val="21"/>
                <w:highlight w:val="none"/>
              </w:rPr>
            </w:pPr>
          </w:p>
        </w:tc>
        <w:tc>
          <w:tcPr>
            <w:tcW w:w="123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036A59F5">
            <w:pPr>
              <w:spacing w:line="360" w:lineRule="auto"/>
              <w:jc w:val="center"/>
              <w:rPr>
                <w:color w:val="auto"/>
                <w:szCs w:val="21"/>
                <w:highlight w:val="none"/>
              </w:rPr>
            </w:pPr>
          </w:p>
        </w:tc>
        <w:tc>
          <w:tcPr>
            <w:tcW w:w="3722"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48CC0348">
            <w:pPr>
              <w:spacing w:line="360" w:lineRule="auto"/>
              <w:jc w:val="center"/>
              <w:rPr>
                <w:color w:val="auto"/>
                <w:szCs w:val="21"/>
                <w:highlight w:val="none"/>
              </w:rPr>
            </w:pPr>
          </w:p>
        </w:tc>
        <w:tc>
          <w:tcPr>
            <w:tcW w:w="141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2164775D">
            <w:pPr>
              <w:spacing w:line="360" w:lineRule="auto"/>
              <w:jc w:val="center"/>
              <w:rPr>
                <w:color w:val="auto"/>
                <w:szCs w:val="21"/>
                <w:highlight w:val="none"/>
              </w:rPr>
            </w:pPr>
          </w:p>
        </w:tc>
      </w:tr>
    </w:tbl>
    <w:p w14:paraId="04F83885">
      <w:pPr>
        <w:snapToGrid w:val="0"/>
        <w:spacing w:line="360" w:lineRule="auto"/>
        <w:jc w:val="left"/>
        <w:rPr>
          <w:color w:val="auto"/>
          <w:szCs w:val="21"/>
          <w:highlight w:val="none"/>
        </w:rPr>
      </w:pPr>
      <w:r>
        <w:rPr>
          <w:rFonts w:hint="eastAsia"/>
          <w:color w:val="auto"/>
          <w:szCs w:val="21"/>
          <w:highlight w:val="none"/>
        </w:rPr>
        <w:t>注：</w:t>
      </w:r>
    </w:p>
    <w:p w14:paraId="5AD0F37A">
      <w:pPr>
        <w:snapToGrid w:val="0"/>
        <w:spacing w:line="360" w:lineRule="auto"/>
        <w:jc w:val="left"/>
        <w:rPr>
          <w:color w:val="auto"/>
          <w:szCs w:val="21"/>
          <w:highlight w:val="none"/>
        </w:rPr>
      </w:pPr>
      <w:r>
        <w:rPr>
          <w:rFonts w:hint="eastAsia"/>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6E0C79B3">
      <w:pPr>
        <w:snapToGrid w:val="0"/>
        <w:spacing w:line="360" w:lineRule="auto"/>
        <w:jc w:val="left"/>
        <w:rPr>
          <w:color w:val="auto"/>
          <w:szCs w:val="21"/>
          <w:highlight w:val="none"/>
        </w:rPr>
      </w:pPr>
      <w:r>
        <w:rPr>
          <w:rFonts w:hint="eastAsia"/>
          <w:color w:val="auto"/>
          <w:szCs w:val="21"/>
          <w:highlight w:val="none"/>
        </w:rPr>
        <w:t>2.本表所指的控股关系仅限于直接控股关系，不包括间接的控股关系。公司实际控制人与公司之间的关系不属于本表所指的直接控股关系。</w:t>
      </w:r>
    </w:p>
    <w:p w14:paraId="5B531861">
      <w:pPr>
        <w:snapToGrid w:val="0"/>
        <w:spacing w:line="360" w:lineRule="auto"/>
        <w:jc w:val="left"/>
        <w:rPr>
          <w:color w:val="auto"/>
          <w:szCs w:val="21"/>
          <w:highlight w:val="none"/>
        </w:rPr>
      </w:pPr>
      <w:r>
        <w:rPr>
          <w:rFonts w:hint="eastAsia"/>
          <w:color w:val="auto"/>
          <w:szCs w:val="21"/>
          <w:highlight w:val="none"/>
        </w:rPr>
        <w:t>3.供应商不存在直接控股股东的，则填“无”。</w:t>
      </w:r>
    </w:p>
    <w:p w14:paraId="7AD2C470">
      <w:pPr>
        <w:snapToGrid w:val="0"/>
        <w:spacing w:line="360" w:lineRule="auto"/>
        <w:jc w:val="left"/>
        <w:rPr>
          <w:color w:val="auto"/>
          <w:szCs w:val="21"/>
          <w:highlight w:val="none"/>
        </w:rPr>
      </w:pPr>
    </w:p>
    <w:p w14:paraId="7D56DE9C">
      <w:pPr>
        <w:snapToGrid w:val="0"/>
        <w:spacing w:line="360" w:lineRule="auto"/>
        <w:jc w:val="left"/>
        <w:rPr>
          <w:color w:val="auto"/>
          <w:szCs w:val="21"/>
          <w:highlight w:val="none"/>
        </w:rPr>
      </w:pPr>
    </w:p>
    <w:p w14:paraId="0CD1B483">
      <w:pPr>
        <w:snapToGrid w:val="0"/>
        <w:spacing w:line="360" w:lineRule="auto"/>
        <w:jc w:val="left"/>
        <w:rPr>
          <w:color w:val="auto"/>
          <w:szCs w:val="21"/>
          <w:highlight w:val="none"/>
        </w:rPr>
      </w:pPr>
    </w:p>
    <w:p w14:paraId="5C3046D5">
      <w:pPr>
        <w:snapToGrid w:val="0"/>
        <w:spacing w:line="360" w:lineRule="auto"/>
        <w:jc w:val="left"/>
        <w:rPr>
          <w:color w:val="auto"/>
          <w:szCs w:val="21"/>
          <w:highlight w:val="none"/>
        </w:rPr>
      </w:pPr>
    </w:p>
    <w:p w14:paraId="1F08A655">
      <w:pPr>
        <w:snapToGrid w:val="0"/>
        <w:spacing w:line="360" w:lineRule="auto"/>
        <w:jc w:val="left"/>
        <w:rPr>
          <w:color w:val="auto"/>
          <w:szCs w:val="21"/>
          <w:highlight w:val="none"/>
        </w:rPr>
      </w:pPr>
    </w:p>
    <w:p w14:paraId="2425A690">
      <w:pPr>
        <w:snapToGrid w:val="0"/>
        <w:spacing w:line="360" w:lineRule="auto"/>
        <w:ind w:firstLine="4410" w:firstLineChars="2100"/>
        <w:rPr>
          <w:color w:val="auto"/>
          <w:szCs w:val="21"/>
          <w:highlight w:val="none"/>
        </w:rPr>
      </w:pPr>
      <w:r>
        <w:rPr>
          <w:rFonts w:hint="eastAsia"/>
          <w:color w:val="auto"/>
          <w:szCs w:val="21"/>
          <w:highlight w:val="none"/>
        </w:rPr>
        <w:t>供应商名称(电子签章)：</w:t>
      </w:r>
    </w:p>
    <w:p w14:paraId="0AB575C9">
      <w:pPr>
        <w:snapToGrid w:val="0"/>
        <w:spacing w:line="360" w:lineRule="auto"/>
        <w:ind w:firstLine="4515" w:firstLineChars="2150"/>
        <w:rPr>
          <w:color w:val="auto"/>
          <w:szCs w:val="21"/>
          <w:highlight w:val="none"/>
        </w:rPr>
      </w:pPr>
      <w:r>
        <w:rPr>
          <w:rFonts w:hint="eastAsia"/>
          <w:color w:val="auto"/>
          <w:szCs w:val="21"/>
          <w:highlight w:val="none"/>
        </w:rPr>
        <w:t>日期：  年  月   日</w:t>
      </w:r>
    </w:p>
    <w:p w14:paraId="161D741F">
      <w:pPr>
        <w:snapToGrid w:val="0"/>
        <w:jc w:val="center"/>
        <w:rPr>
          <w:rFonts w:ascii="宋体" w:hAnsi="宋体"/>
          <w:b/>
          <w:color w:val="auto"/>
          <w:sz w:val="28"/>
          <w:szCs w:val="28"/>
          <w:highlight w:val="none"/>
        </w:rPr>
      </w:pPr>
      <w:r>
        <w:rPr>
          <w:rFonts w:ascii="宋体" w:hAnsi="宋体"/>
          <w:b/>
          <w:color w:val="auto"/>
          <w:sz w:val="28"/>
          <w:szCs w:val="28"/>
          <w:highlight w:val="none"/>
        </w:rPr>
        <w:br w:type="page"/>
      </w:r>
    </w:p>
    <w:p w14:paraId="7D57CDDB">
      <w:pPr>
        <w:snapToGrid w:val="0"/>
        <w:spacing w:line="360" w:lineRule="auto"/>
        <w:jc w:val="left"/>
        <w:rPr>
          <w:color w:val="auto"/>
          <w:szCs w:val="21"/>
          <w:highlight w:val="none"/>
        </w:rPr>
      </w:pPr>
      <w:r>
        <w:rPr>
          <w:rFonts w:hint="eastAsia"/>
          <w:color w:val="auto"/>
          <w:szCs w:val="21"/>
          <w:highlight w:val="none"/>
          <w:lang w:val="en-US" w:eastAsia="zh-CN"/>
        </w:rPr>
        <w:t>7</w:t>
      </w:r>
      <w:r>
        <w:rPr>
          <w:color w:val="auto"/>
          <w:szCs w:val="21"/>
          <w:highlight w:val="none"/>
        </w:rPr>
        <w:t>.5.2</w:t>
      </w:r>
      <w:r>
        <w:rPr>
          <w:rFonts w:hint="eastAsia"/>
          <w:color w:val="auto"/>
          <w:szCs w:val="21"/>
          <w:highlight w:val="none"/>
        </w:rPr>
        <w:t>供应商直接管理关系信息表</w:t>
      </w:r>
    </w:p>
    <w:tbl>
      <w:tblPr>
        <w:tblStyle w:val="54"/>
        <w:tblW w:w="0" w:type="auto"/>
        <w:tblInd w:w="125" w:type="dxa"/>
        <w:shd w:val="clear" w:color="auto" w:fill="FBFBFB"/>
        <w:tblLayout w:type="fixed"/>
        <w:tblCellMar>
          <w:top w:w="0" w:type="dxa"/>
          <w:left w:w="0" w:type="dxa"/>
          <w:bottom w:w="0" w:type="dxa"/>
          <w:right w:w="0" w:type="dxa"/>
        </w:tblCellMar>
      </w:tblPr>
      <w:tblGrid>
        <w:gridCol w:w="1005"/>
        <w:gridCol w:w="2659"/>
        <w:gridCol w:w="3924"/>
        <w:gridCol w:w="2064"/>
      </w:tblGrid>
      <w:tr w14:paraId="0094DA3A">
        <w:tblPrEx>
          <w:shd w:val="clear" w:color="auto" w:fill="FBFBFB"/>
          <w:tblCellMar>
            <w:top w:w="0" w:type="dxa"/>
            <w:left w:w="0" w:type="dxa"/>
            <w:bottom w:w="0" w:type="dxa"/>
            <w:right w:w="0" w:type="dxa"/>
          </w:tblCellMar>
        </w:tblPrEx>
        <w:trPr>
          <w:tblHeader/>
        </w:trPr>
        <w:tc>
          <w:tcPr>
            <w:tcW w:w="100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392E650">
            <w:pPr>
              <w:spacing w:line="360" w:lineRule="auto"/>
              <w:jc w:val="center"/>
              <w:rPr>
                <w:color w:val="auto"/>
                <w:szCs w:val="21"/>
                <w:highlight w:val="none"/>
              </w:rPr>
            </w:pPr>
            <w:r>
              <w:rPr>
                <w:rFonts w:hint="eastAsia"/>
                <w:color w:val="auto"/>
                <w:szCs w:val="21"/>
                <w:highlight w:val="none"/>
              </w:rPr>
              <w:t>序号</w:t>
            </w:r>
          </w:p>
        </w:tc>
        <w:tc>
          <w:tcPr>
            <w:tcW w:w="265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8569000">
            <w:pPr>
              <w:spacing w:line="360" w:lineRule="auto"/>
              <w:jc w:val="center"/>
              <w:rPr>
                <w:color w:val="auto"/>
                <w:szCs w:val="21"/>
                <w:highlight w:val="none"/>
              </w:rPr>
            </w:pPr>
            <w:r>
              <w:rPr>
                <w:rFonts w:hint="eastAsia"/>
                <w:color w:val="auto"/>
                <w:szCs w:val="21"/>
                <w:highlight w:val="none"/>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474CAD4">
            <w:pPr>
              <w:spacing w:line="360" w:lineRule="auto"/>
              <w:jc w:val="center"/>
              <w:rPr>
                <w:color w:val="auto"/>
                <w:szCs w:val="21"/>
                <w:highlight w:val="none"/>
              </w:rPr>
            </w:pPr>
            <w:r>
              <w:rPr>
                <w:rFonts w:hint="eastAsia"/>
                <w:color w:val="auto"/>
                <w:szCs w:val="21"/>
                <w:highlight w:val="none"/>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097E4CE">
            <w:pPr>
              <w:spacing w:line="360" w:lineRule="auto"/>
              <w:jc w:val="center"/>
              <w:rPr>
                <w:color w:val="auto"/>
                <w:szCs w:val="21"/>
                <w:highlight w:val="none"/>
              </w:rPr>
            </w:pPr>
            <w:r>
              <w:rPr>
                <w:rFonts w:hint="eastAsia"/>
                <w:color w:val="auto"/>
                <w:szCs w:val="21"/>
                <w:highlight w:val="none"/>
              </w:rPr>
              <w:t>备注</w:t>
            </w:r>
          </w:p>
        </w:tc>
      </w:tr>
      <w:tr w14:paraId="0013877D">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8F7D824">
            <w:pPr>
              <w:spacing w:line="360" w:lineRule="auto"/>
              <w:jc w:val="center"/>
              <w:rPr>
                <w:color w:val="auto"/>
                <w:szCs w:val="21"/>
                <w:highlight w:val="none"/>
              </w:rPr>
            </w:pPr>
            <w:r>
              <w:rPr>
                <w:rFonts w:hint="eastAsia"/>
                <w:color w:val="auto"/>
                <w:szCs w:val="21"/>
                <w:highlight w:val="none"/>
              </w:rPr>
              <w:t>1</w:t>
            </w:r>
          </w:p>
        </w:tc>
        <w:tc>
          <w:tcPr>
            <w:tcW w:w="265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CB6F21D">
            <w:pPr>
              <w:spacing w:line="360" w:lineRule="auto"/>
              <w:jc w:val="center"/>
              <w:rPr>
                <w:color w:val="auto"/>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C173C5E">
            <w:pPr>
              <w:spacing w:line="360" w:lineRule="auto"/>
              <w:jc w:val="center"/>
              <w:rPr>
                <w:color w:val="auto"/>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7288493">
            <w:pPr>
              <w:spacing w:line="360" w:lineRule="auto"/>
              <w:jc w:val="center"/>
              <w:rPr>
                <w:color w:val="auto"/>
                <w:szCs w:val="21"/>
                <w:highlight w:val="none"/>
              </w:rPr>
            </w:pPr>
          </w:p>
        </w:tc>
      </w:tr>
      <w:tr w14:paraId="0016B669">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815B5D9">
            <w:pPr>
              <w:spacing w:line="360" w:lineRule="auto"/>
              <w:jc w:val="center"/>
              <w:rPr>
                <w:color w:val="auto"/>
                <w:szCs w:val="21"/>
                <w:highlight w:val="none"/>
              </w:rPr>
            </w:pPr>
            <w:r>
              <w:rPr>
                <w:rFonts w:hint="eastAsia"/>
                <w:color w:val="auto"/>
                <w:szCs w:val="21"/>
                <w:highlight w:val="none"/>
              </w:rPr>
              <w:t>2</w:t>
            </w:r>
          </w:p>
        </w:tc>
        <w:tc>
          <w:tcPr>
            <w:tcW w:w="265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A078BB6">
            <w:pPr>
              <w:spacing w:line="360" w:lineRule="auto"/>
              <w:jc w:val="center"/>
              <w:rPr>
                <w:color w:val="auto"/>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A8B2BDC">
            <w:pPr>
              <w:spacing w:line="360" w:lineRule="auto"/>
              <w:jc w:val="center"/>
              <w:rPr>
                <w:color w:val="auto"/>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267EF4A">
            <w:pPr>
              <w:spacing w:line="360" w:lineRule="auto"/>
              <w:jc w:val="center"/>
              <w:rPr>
                <w:color w:val="auto"/>
                <w:szCs w:val="21"/>
                <w:highlight w:val="none"/>
              </w:rPr>
            </w:pPr>
          </w:p>
        </w:tc>
      </w:tr>
      <w:tr w14:paraId="794CC9F0">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AD2F92F">
            <w:pPr>
              <w:spacing w:line="360" w:lineRule="auto"/>
              <w:jc w:val="center"/>
              <w:rPr>
                <w:color w:val="auto"/>
                <w:szCs w:val="21"/>
                <w:highlight w:val="none"/>
              </w:rPr>
            </w:pPr>
            <w:r>
              <w:rPr>
                <w:rFonts w:hint="eastAsia"/>
                <w:color w:val="auto"/>
                <w:szCs w:val="21"/>
                <w:highlight w:val="none"/>
              </w:rPr>
              <w:t>3</w:t>
            </w:r>
          </w:p>
        </w:tc>
        <w:tc>
          <w:tcPr>
            <w:tcW w:w="265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5932FC4">
            <w:pPr>
              <w:spacing w:line="360" w:lineRule="auto"/>
              <w:jc w:val="center"/>
              <w:rPr>
                <w:color w:val="auto"/>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E538419">
            <w:pPr>
              <w:spacing w:line="360" w:lineRule="auto"/>
              <w:jc w:val="center"/>
              <w:rPr>
                <w:color w:val="auto"/>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2835A8F">
            <w:pPr>
              <w:spacing w:line="360" w:lineRule="auto"/>
              <w:jc w:val="center"/>
              <w:rPr>
                <w:color w:val="auto"/>
                <w:szCs w:val="21"/>
                <w:highlight w:val="none"/>
              </w:rPr>
            </w:pPr>
          </w:p>
        </w:tc>
      </w:tr>
      <w:tr w14:paraId="2AEBCBF4">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D2FD5A8">
            <w:pPr>
              <w:spacing w:line="360" w:lineRule="auto"/>
              <w:jc w:val="center"/>
              <w:rPr>
                <w:color w:val="auto"/>
                <w:szCs w:val="21"/>
                <w:highlight w:val="none"/>
              </w:rPr>
            </w:pPr>
            <w:r>
              <w:rPr>
                <w:rFonts w:hint="eastAsia"/>
                <w:color w:val="auto"/>
                <w:szCs w:val="21"/>
                <w:highlight w:val="none"/>
              </w:rPr>
              <w:t>……</w:t>
            </w:r>
          </w:p>
        </w:tc>
        <w:tc>
          <w:tcPr>
            <w:tcW w:w="265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6036295">
            <w:pPr>
              <w:spacing w:line="360" w:lineRule="auto"/>
              <w:jc w:val="center"/>
              <w:rPr>
                <w:color w:val="auto"/>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E5C7031">
            <w:pPr>
              <w:spacing w:line="360" w:lineRule="auto"/>
              <w:jc w:val="center"/>
              <w:rPr>
                <w:color w:val="auto"/>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5ED765D">
            <w:pPr>
              <w:spacing w:line="360" w:lineRule="auto"/>
              <w:jc w:val="center"/>
              <w:rPr>
                <w:color w:val="auto"/>
                <w:szCs w:val="21"/>
                <w:highlight w:val="none"/>
              </w:rPr>
            </w:pPr>
          </w:p>
        </w:tc>
      </w:tr>
    </w:tbl>
    <w:p w14:paraId="03885B06">
      <w:pPr>
        <w:snapToGrid w:val="0"/>
        <w:spacing w:line="360" w:lineRule="auto"/>
        <w:jc w:val="left"/>
        <w:rPr>
          <w:color w:val="auto"/>
          <w:szCs w:val="21"/>
          <w:highlight w:val="none"/>
        </w:rPr>
      </w:pPr>
      <w:r>
        <w:rPr>
          <w:rFonts w:hint="eastAsia"/>
          <w:color w:val="auto"/>
          <w:szCs w:val="21"/>
          <w:highlight w:val="none"/>
        </w:rPr>
        <w:t>注：</w:t>
      </w:r>
    </w:p>
    <w:p w14:paraId="29AA2739">
      <w:pPr>
        <w:snapToGrid w:val="0"/>
        <w:spacing w:line="360" w:lineRule="auto"/>
        <w:ind w:firstLine="420" w:firstLineChars="200"/>
        <w:jc w:val="left"/>
        <w:rPr>
          <w:color w:val="auto"/>
          <w:szCs w:val="21"/>
          <w:highlight w:val="none"/>
        </w:rPr>
      </w:pPr>
      <w:r>
        <w:rPr>
          <w:rFonts w:hint="eastAsia"/>
          <w:color w:val="auto"/>
          <w:szCs w:val="21"/>
          <w:highlight w:val="none"/>
        </w:rPr>
        <w:t>1.管理关系：是指不具有出资持股关系的其他单位之间存在的管理与被管理关系，如一些上下级关系的事业单位和团体组织。</w:t>
      </w:r>
    </w:p>
    <w:p w14:paraId="6243D742">
      <w:pPr>
        <w:snapToGrid w:val="0"/>
        <w:spacing w:line="360" w:lineRule="auto"/>
        <w:ind w:firstLine="420" w:firstLineChars="200"/>
        <w:jc w:val="left"/>
        <w:rPr>
          <w:color w:val="auto"/>
          <w:szCs w:val="21"/>
          <w:highlight w:val="none"/>
        </w:rPr>
      </w:pPr>
      <w:r>
        <w:rPr>
          <w:rFonts w:hint="eastAsia"/>
          <w:color w:val="auto"/>
          <w:szCs w:val="21"/>
          <w:highlight w:val="none"/>
        </w:rPr>
        <w:t>2.本表所指的管理关系仅限于直接管理关系，不包括间接的管理关系。</w:t>
      </w:r>
    </w:p>
    <w:p w14:paraId="37D65918">
      <w:pPr>
        <w:snapToGrid w:val="0"/>
        <w:spacing w:line="360" w:lineRule="auto"/>
        <w:ind w:firstLine="420" w:firstLineChars="200"/>
        <w:jc w:val="left"/>
        <w:rPr>
          <w:color w:val="auto"/>
          <w:szCs w:val="21"/>
          <w:highlight w:val="none"/>
        </w:rPr>
      </w:pPr>
      <w:r>
        <w:rPr>
          <w:rFonts w:hint="eastAsia"/>
          <w:color w:val="auto"/>
          <w:szCs w:val="21"/>
          <w:highlight w:val="none"/>
        </w:rPr>
        <w:t>3.供应商不存在直接管理关系的，则填“无”。</w:t>
      </w:r>
    </w:p>
    <w:p w14:paraId="6BB77257">
      <w:pPr>
        <w:snapToGrid w:val="0"/>
        <w:spacing w:line="360" w:lineRule="auto"/>
        <w:jc w:val="left"/>
        <w:rPr>
          <w:color w:val="auto"/>
          <w:szCs w:val="21"/>
          <w:highlight w:val="none"/>
        </w:rPr>
      </w:pPr>
    </w:p>
    <w:p w14:paraId="2DB4200E">
      <w:pPr>
        <w:snapToGrid w:val="0"/>
        <w:spacing w:line="360" w:lineRule="auto"/>
        <w:jc w:val="left"/>
        <w:rPr>
          <w:color w:val="auto"/>
          <w:szCs w:val="21"/>
          <w:highlight w:val="none"/>
        </w:rPr>
      </w:pPr>
    </w:p>
    <w:p w14:paraId="0A191400">
      <w:pPr>
        <w:snapToGrid w:val="0"/>
        <w:spacing w:line="360" w:lineRule="auto"/>
        <w:jc w:val="left"/>
        <w:rPr>
          <w:color w:val="auto"/>
          <w:szCs w:val="21"/>
          <w:highlight w:val="none"/>
        </w:rPr>
      </w:pPr>
    </w:p>
    <w:p w14:paraId="37AA94B3">
      <w:pPr>
        <w:snapToGrid w:val="0"/>
        <w:spacing w:line="360" w:lineRule="auto"/>
        <w:jc w:val="left"/>
        <w:rPr>
          <w:color w:val="auto"/>
          <w:szCs w:val="21"/>
          <w:highlight w:val="none"/>
        </w:rPr>
      </w:pPr>
    </w:p>
    <w:p w14:paraId="6B8A470D">
      <w:pPr>
        <w:snapToGrid w:val="0"/>
        <w:spacing w:line="360" w:lineRule="auto"/>
        <w:jc w:val="left"/>
        <w:rPr>
          <w:color w:val="auto"/>
          <w:szCs w:val="21"/>
          <w:highlight w:val="none"/>
        </w:rPr>
      </w:pPr>
    </w:p>
    <w:p w14:paraId="13ADFD5D">
      <w:pPr>
        <w:snapToGrid w:val="0"/>
        <w:spacing w:line="360" w:lineRule="auto"/>
        <w:jc w:val="left"/>
        <w:rPr>
          <w:color w:val="auto"/>
          <w:szCs w:val="21"/>
          <w:highlight w:val="none"/>
        </w:rPr>
      </w:pPr>
    </w:p>
    <w:p w14:paraId="040DCBFE">
      <w:pPr>
        <w:snapToGrid w:val="0"/>
        <w:spacing w:line="360" w:lineRule="auto"/>
        <w:jc w:val="left"/>
        <w:rPr>
          <w:color w:val="auto"/>
          <w:szCs w:val="21"/>
          <w:highlight w:val="none"/>
        </w:rPr>
      </w:pPr>
    </w:p>
    <w:p w14:paraId="25AF386B">
      <w:pPr>
        <w:snapToGrid w:val="0"/>
        <w:spacing w:line="360" w:lineRule="auto"/>
        <w:jc w:val="left"/>
        <w:rPr>
          <w:color w:val="auto"/>
          <w:szCs w:val="21"/>
          <w:highlight w:val="none"/>
        </w:rPr>
      </w:pPr>
    </w:p>
    <w:p w14:paraId="0BA4ADB0">
      <w:pPr>
        <w:snapToGrid w:val="0"/>
        <w:spacing w:line="360" w:lineRule="auto"/>
        <w:ind w:firstLine="4410" w:firstLineChars="2100"/>
        <w:rPr>
          <w:color w:val="auto"/>
          <w:szCs w:val="21"/>
          <w:highlight w:val="none"/>
        </w:rPr>
      </w:pPr>
      <w:r>
        <w:rPr>
          <w:rFonts w:hint="eastAsia"/>
          <w:color w:val="auto"/>
          <w:szCs w:val="21"/>
          <w:highlight w:val="none"/>
        </w:rPr>
        <w:t>供应商名称(电子签章)：</w:t>
      </w:r>
    </w:p>
    <w:p w14:paraId="1CA9CBBC">
      <w:pPr>
        <w:snapToGrid w:val="0"/>
        <w:spacing w:line="360" w:lineRule="auto"/>
        <w:ind w:firstLine="4515" w:firstLineChars="2150"/>
        <w:rPr>
          <w:color w:val="auto"/>
          <w:szCs w:val="21"/>
          <w:highlight w:val="none"/>
        </w:rPr>
      </w:pPr>
      <w:r>
        <w:rPr>
          <w:rFonts w:hint="eastAsia"/>
          <w:color w:val="auto"/>
          <w:szCs w:val="21"/>
          <w:highlight w:val="none"/>
        </w:rPr>
        <w:t>日期：  年  月   日</w:t>
      </w:r>
    </w:p>
    <w:p w14:paraId="4F4D1B75">
      <w:pPr>
        <w:pStyle w:val="27"/>
        <w:tabs>
          <w:tab w:val="left" w:pos="2127"/>
        </w:tabs>
        <w:spacing w:line="340" w:lineRule="exact"/>
        <w:rPr>
          <w:rFonts w:hint="eastAsia" w:ascii="Times New Roman" w:hAnsi="Times New Roman" w:cs="Times New Roman"/>
          <w:color w:val="auto"/>
          <w:highlight w:val="none"/>
        </w:rPr>
      </w:pPr>
    </w:p>
    <w:p w14:paraId="79503DDE">
      <w:pPr>
        <w:snapToGrid w:val="0"/>
        <w:spacing w:before="50" w:after="120" w:afterLines="50" w:line="440" w:lineRule="exact"/>
        <w:jc w:val="left"/>
        <w:rPr>
          <w:rFonts w:hint="eastAsia"/>
          <w:color w:val="auto"/>
          <w:szCs w:val="21"/>
          <w:highlight w:val="none"/>
        </w:rPr>
      </w:pPr>
    </w:p>
    <w:p w14:paraId="35DBFE75">
      <w:pPr>
        <w:snapToGrid w:val="0"/>
        <w:spacing w:before="50" w:after="120" w:afterLines="50" w:line="400" w:lineRule="exact"/>
        <w:jc w:val="left"/>
        <w:rPr>
          <w:rFonts w:hint="eastAsia"/>
          <w:bCs/>
          <w:color w:val="auto"/>
          <w:sz w:val="24"/>
          <w:highlight w:val="none"/>
        </w:rPr>
      </w:pPr>
      <w:r>
        <w:rPr>
          <w:color w:val="auto"/>
          <w:szCs w:val="21"/>
          <w:highlight w:val="none"/>
        </w:rPr>
        <w:br w:type="page"/>
      </w:r>
      <w:r>
        <w:rPr>
          <w:rFonts w:hint="eastAsia"/>
          <w:color w:val="auto"/>
          <w:szCs w:val="21"/>
          <w:highlight w:val="none"/>
          <w:lang w:val="en-US" w:eastAsia="zh-CN"/>
        </w:rPr>
        <w:t>8</w:t>
      </w:r>
      <w:r>
        <w:rPr>
          <w:color w:val="auto"/>
          <w:szCs w:val="21"/>
          <w:highlight w:val="none"/>
        </w:rPr>
        <w:t>．建设工程项目管理承诺书</w:t>
      </w:r>
    </w:p>
    <w:p w14:paraId="0093CC0B">
      <w:pPr>
        <w:pStyle w:val="197"/>
        <w:jc w:val="center"/>
        <w:rPr>
          <w:rFonts w:ascii="Times New Roman" w:hAnsi="Times New Roman"/>
          <w:color w:val="auto"/>
          <w:szCs w:val="21"/>
          <w:highlight w:val="none"/>
        </w:rPr>
      </w:pPr>
      <w:r>
        <w:rPr>
          <w:rFonts w:ascii="Times New Roman" w:hAnsi="Times New Roman"/>
          <w:color w:val="auto"/>
          <w:szCs w:val="21"/>
          <w:highlight w:val="none"/>
        </w:rPr>
        <w:t>建设工程项目管理承诺书</w:t>
      </w:r>
    </w:p>
    <w:p w14:paraId="0EB370A3">
      <w:pPr>
        <w:spacing w:line="360" w:lineRule="auto"/>
        <w:jc w:val="center"/>
        <w:rPr>
          <w:b/>
          <w:bCs/>
          <w:color w:val="auto"/>
          <w:sz w:val="24"/>
          <w:highlight w:val="none"/>
        </w:rPr>
      </w:pPr>
    </w:p>
    <w:p w14:paraId="0AF788FA">
      <w:pPr>
        <w:spacing w:line="360" w:lineRule="auto"/>
        <w:jc w:val="center"/>
        <w:rPr>
          <w:b/>
          <w:bCs/>
          <w:color w:val="auto"/>
          <w:sz w:val="24"/>
          <w:highlight w:val="none"/>
        </w:rPr>
      </w:pPr>
    </w:p>
    <w:p w14:paraId="5D90B771">
      <w:pPr>
        <w:pStyle w:val="27"/>
        <w:tabs>
          <w:tab w:val="left" w:pos="2127"/>
        </w:tabs>
        <w:spacing w:line="340" w:lineRule="exact"/>
        <w:rPr>
          <w:rFonts w:ascii="Times New Roman" w:hAnsi="Times New Roman" w:cs="Times New Roman"/>
          <w:color w:val="auto"/>
          <w:highlight w:val="none"/>
        </w:rPr>
      </w:pPr>
      <w:r>
        <w:rPr>
          <w:rFonts w:ascii="Times New Roman" w:hAnsi="Times New Roman" w:cs="Times New Roman"/>
          <w:color w:val="auto"/>
          <w:highlight w:val="none"/>
        </w:rPr>
        <w:t>致</w:t>
      </w:r>
      <w:r>
        <w:rPr>
          <w:i/>
          <w:iCs/>
          <w:color w:val="auto"/>
          <w:highlight w:val="none"/>
          <w:u w:val="single"/>
        </w:rPr>
        <w:t>（采购</w:t>
      </w:r>
      <w:r>
        <w:rPr>
          <w:rFonts w:hint="eastAsia"/>
          <w:i/>
          <w:iCs/>
          <w:color w:val="auto"/>
          <w:highlight w:val="none"/>
          <w:u w:val="single"/>
        </w:rPr>
        <w:t>人</w:t>
      </w:r>
      <w:r>
        <w:rPr>
          <w:i/>
          <w:iCs/>
          <w:color w:val="auto"/>
          <w:highlight w:val="none"/>
          <w:u w:val="single"/>
        </w:rPr>
        <w:t>名称）</w:t>
      </w:r>
      <w:r>
        <w:rPr>
          <w:color w:val="auto"/>
          <w:highlight w:val="none"/>
        </w:rPr>
        <w:t>：</w:t>
      </w:r>
    </w:p>
    <w:p w14:paraId="46A55810">
      <w:pPr>
        <w:snapToGrid w:val="0"/>
        <w:spacing w:before="120" w:beforeLines="50" w:line="360" w:lineRule="exact"/>
        <w:ind w:firstLine="420" w:firstLineChars="200"/>
        <w:rPr>
          <w:color w:val="auto"/>
          <w:szCs w:val="21"/>
          <w:highlight w:val="none"/>
        </w:rPr>
      </w:pPr>
      <w:r>
        <w:rPr>
          <w:color w:val="auto"/>
          <w:szCs w:val="21"/>
          <w:highlight w:val="none"/>
        </w:rPr>
        <w:t>作为参与</w:t>
      </w:r>
      <w:r>
        <w:rPr>
          <w:color w:val="auto"/>
          <w:szCs w:val="21"/>
          <w:highlight w:val="none"/>
          <w:u w:val="single"/>
        </w:rPr>
        <w:t></w:t>
      </w:r>
      <w:r>
        <w:rPr>
          <w:i/>
          <w:iCs/>
          <w:color w:val="auto"/>
          <w:szCs w:val="21"/>
          <w:highlight w:val="none"/>
          <w:u w:val="single"/>
        </w:rPr>
        <w:t>（工程名称）</w:t>
      </w:r>
      <w:r>
        <w:rPr>
          <w:color w:val="auto"/>
          <w:szCs w:val="21"/>
          <w:highlight w:val="none"/>
        </w:rPr>
        <w:t>项目的供应商，根据国家、自治区相关文件规定，我方在此承诺：</w:t>
      </w:r>
    </w:p>
    <w:p w14:paraId="421E4860">
      <w:pPr>
        <w:spacing w:line="520" w:lineRule="exact"/>
        <w:ind w:left="-2" w:leftChars="-1" w:firstLine="449" w:firstLineChars="214"/>
        <w:jc w:val="left"/>
        <w:rPr>
          <w:rFonts w:hint="eastAsia"/>
          <w:color w:val="auto"/>
          <w:szCs w:val="21"/>
          <w:highlight w:val="none"/>
        </w:rPr>
      </w:pPr>
      <w:r>
        <w:rPr>
          <w:rFonts w:hint="eastAsia"/>
          <w:color w:val="auto"/>
          <w:szCs w:val="21"/>
          <w:highlight w:val="none"/>
        </w:rPr>
        <w:t>1、一旦成交，</w:t>
      </w:r>
      <w:r>
        <w:rPr>
          <w:color w:val="auto"/>
          <w:highlight w:val="none"/>
        </w:rPr>
        <w:t>我方保证按照政府相关部门的规定，</w:t>
      </w:r>
      <w:r>
        <w:rPr>
          <w:rFonts w:hint="eastAsia" w:ascii="宋体" w:hAnsi="宋体"/>
          <w:color w:val="auto"/>
          <w:highlight w:val="none"/>
        </w:rPr>
        <w:t>在</w:t>
      </w:r>
      <w:r>
        <w:rPr>
          <w:rFonts w:hint="eastAsia"/>
          <w:color w:val="auto"/>
          <w:szCs w:val="21"/>
          <w:highlight w:val="none"/>
        </w:rPr>
        <w:t>成交</w:t>
      </w:r>
      <w:r>
        <w:rPr>
          <w:rFonts w:hint="eastAsia" w:ascii="宋体" w:hAnsi="宋体"/>
          <w:color w:val="auto"/>
          <w:highlight w:val="none"/>
        </w:rPr>
        <w:t>后7个工作日内，按照《保障农民工工资支付条例》规定及广西壮族自治区有关规定开设农民工工资专用账户，并按</w:t>
      </w:r>
      <w:r>
        <w:rPr>
          <w:rFonts w:hint="eastAsia" w:ascii="宋体" w:hAnsi="宋体"/>
          <w:color w:val="auto"/>
          <w:highlight w:val="none"/>
          <w:u w:val="single"/>
        </w:rPr>
        <w:t>要求</w:t>
      </w:r>
      <w:r>
        <w:rPr>
          <w:rFonts w:hint="eastAsia" w:ascii="宋体" w:hAnsi="宋体"/>
          <w:color w:val="auto"/>
          <w:highlight w:val="none"/>
        </w:rPr>
        <w:t>比例将农民工工资保证金存入帐户</w:t>
      </w:r>
      <w:r>
        <w:rPr>
          <w:rFonts w:hint="eastAsia"/>
          <w:color w:val="auto"/>
          <w:highlight w:val="none"/>
        </w:rPr>
        <w:t>，专项用于支付本工程提供劳动的农民工被拖欠的工资。</w:t>
      </w:r>
      <w:r>
        <w:rPr>
          <w:color w:val="auto"/>
          <w:highlight w:val="none"/>
        </w:rPr>
        <w:t>按照与农民工依法约定的工资支付周期和具体支付日期支付工资</w:t>
      </w:r>
      <w:r>
        <w:rPr>
          <w:rFonts w:hint="eastAsia"/>
          <w:color w:val="auto"/>
          <w:highlight w:val="none"/>
        </w:rPr>
        <w:t>，保证</w:t>
      </w:r>
      <w:r>
        <w:rPr>
          <w:color w:val="auto"/>
          <w:highlight w:val="none"/>
        </w:rPr>
        <w:t>每月至少向农民工足额支付一次工资。</w:t>
      </w:r>
    </w:p>
    <w:p w14:paraId="01856EC7">
      <w:pPr>
        <w:spacing w:line="520" w:lineRule="exact"/>
        <w:ind w:left="-2" w:leftChars="-1" w:firstLine="449" w:firstLineChars="214"/>
        <w:jc w:val="left"/>
        <w:rPr>
          <w:rFonts w:hint="eastAsia"/>
          <w:color w:val="auto"/>
          <w:szCs w:val="21"/>
          <w:highlight w:val="none"/>
        </w:rPr>
      </w:pPr>
      <w:r>
        <w:rPr>
          <w:rFonts w:hint="eastAsia"/>
          <w:color w:val="auto"/>
          <w:szCs w:val="21"/>
          <w:highlight w:val="none"/>
        </w:rPr>
        <w:t>2、一旦成交，我方保证在施工过程中，严格执行《广西壮族自治区建筑工程安全文明施工费使用管理细则》（桂建质〔2015〕16号）的有关规定，确保建设工程各项安全防护、文明施工措施落实到位。如我方在该项目的承包中出现未按桂建质〔2015〕16号文附件一规定执行的情形，我方愿意按照相关规定接受建设单位及有关主管部门的处罚。</w:t>
      </w:r>
    </w:p>
    <w:p w14:paraId="7E913C30">
      <w:pPr>
        <w:spacing w:line="520" w:lineRule="exact"/>
        <w:ind w:left="-2" w:leftChars="-1" w:firstLine="449" w:firstLineChars="214"/>
        <w:jc w:val="left"/>
        <w:rPr>
          <w:rFonts w:hint="eastAsia"/>
          <w:color w:val="auto"/>
          <w:szCs w:val="21"/>
          <w:highlight w:val="none"/>
        </w:rPr>
      </w:pPr>
      <w:r>
        <w:rPr>
          <w:rFonts w:hint="eastAsia"/>
          <w:color w:val="auto"/>
          <w:szCs w:val="21"/>
          <w:highlight w:val="none"/>
        </w:rPr>
        <w:t>3、一旦成交，我方保证在施工过程中，严格执行散装水泥和预拌混凝土管理的有关规定，确保建设工程按规定使用散装水泥和预拌混凝土。如我方在该项目的承包中出现未按规定执行的情形，我方愿意按照相关规定接受建设单位及有关主管部门的处罚。</w:t>
      </w:r>
    </w:p>
    <w:p w14:paraId="3121F7AD">
      <w:pPr>
        <w:spacing w:line="520" w:lineRule="exact"/>
        <w:ind w:left="-2" w:leftChars="-1" w:firstLine="449" w:firstLineChars="214"/>
        <w:jc w:val="left"/>
        <w:rPr>
          <w:rFonts w:hint="eastAsia"/>
          <w:color w:val="auto"/>
          <w:szCs w:val="21"/>
          <w:highlight w:val="none"/>
        </w:rPr>
      </w:pPr>
      <w:r>
        <w:rPr>
          <w:rFonts w:hint="eastAsia"/>
          <w:color w:val="auto"/>
          <w:szCs w:val="21"/>
          <w:highlight w:val="none"/>
        </w:rPr>
        <w:t>4、一旦成交，我方保证在施工过程中，严格执行《关于禁止使用不符合规范要求的竹脚手架的通知》（桂建管字〔2003〕40号）的有关规定，不使用竹脚手架。如我方在该项目的承包中出现未按规定执行的情形，我方愿意按照相关规定接受建设单位及有关主管部门的处罚。</w:t>
      </w:r>
    </w:p>
    <w:p w14:paraId="0C4839DD">
      <w:pPr>
        <w:spacing w:line="520" w:lineRule="exact"/>
        <w:ind w:left="-2" w:leftChars="-1" w:firstLine="449" w:firstLineChars="214"/>
        <w:jc w:val="left"/>
        <w:rPr>
          <w:color w:val="auto"/>
          <w:highlight w:val="none"/>
        </w:rPr>
      </w:pPr>
      <w:r>
        <w:rPr>
          <w:rFonts w:hint="eastAsia"/>
          <w:color w:val="auto"/>
          <w:szCs w:val="21"/>
          <w:highlight w:val="none"/>
        </w:rPr>
        <w:t>5、一旦成交，我方保证严格执行《危险性较大的分部分项工程安全管理规定》（建办质〔2018〕31号）的规定，强化对深基坑、高切坡、高大模板、人工挖孔桩、起重吊装、临时活动板房等重大危险源的专项施工方案的编制、论证、审批、实施、检测的风险管理。</w:t>
      </w:r>
    </w:p>
    <w:p w14:paraId="49BB10D1">
      <w:pPr>
        <w:spacing w:line="360" w:lineRule="auto"/>
        <w:jc w:val="left"/>
        <w:rPr>
          <w:color w:val="auto"/>
          <w:highlight w:val="none"/>
        </w:rPr>
      </w:pPr>
    </w:p>
    <w:p w14:paraId="318A487E">
      <w:pPr>
        <w:spacing w:line="360" w:lineRule="auto"/>
        <w:jc w:val="left"/>
        <w:rPr>
          <w:color w:val="auto"/>
          <w:highlight w:val="none"/>
        </w:rPr>
      </w:pPr>
    </w:p>
    <w:p w14:paraId="401B8D97">
      <w:pPr>
        <w:snapToGrid w:val="0"/>
        <w:spacing w:before="120" w:beforeLines="50" w:after="50" w:line="360" w:lineRule="exact"/>
        <w:ind w:firstLine="4410" w:firstLineChars="2100"/>
        <w:rPr>
          <w:color w:val="auto"/>
          <w:szCs w:val="21"/>
          <w:highlight w:val="none"/>
        </w:rPr>
      </w:pPr>
      <w:bookmarkStart w:id="1069" w:name="_Hlk89190944"/>
      <w:r>
        <w:rPr>
          <w:color w:val="auto"/>
          <w:szCs w:val="21"/>
          <w:highlight w:val="none"/>
        </w:rPr>
        <w:t>供应商</w:t>
      </w:r>
      <w:r>
        <w:rPr>
          <w:rFonts w:hint="eastAsia"/>
          <w:color w:val="auto"/>
          <w:szCs w:val="21"/>
          <w:highlight w:val="none"/>
        </w:rPr>
        <w:t>名称（电子签章）</w:t>
      </w:r>
      <w:r>
        <w:rPr>
          <w:color w:val="auto"/>
          <w:szCs w:val="21"/>
          <w:highlight w:val="none"/>
        </w:rPr>
        <w:t>：</w:t>
      </w:r>
      <w:r>
        <w:rPr>
          <w:color w:val="auto"/>
          <w:szCs w:val="21"/>
          <w:highlight w:val="none"/>
          <w:u w:val="single"/>
        </w:rPr>
        <w:t xml:space="preserve">                </w:t>
      </w:r>
    </w:p>
    <w:bookmarkEnd w:id="1069"/>
    <w:p w14:paraId="2783C0E3">
      <w:pPr>
        <w:spacing w:line="360" w:lineRule="auto"/>
        <w:ind w:firstLine="1260" w:firstLineChars="600"/>
        <w:jc w:val="left"/>
        <w:rPr>
          <w:color w:val="auto"/>
          <w:highlight w:val="none"/>
        </w:rPr>
      </w:pPr>
    </w:p>
    <w:p w14:paraId="7F183A99">
      <w:pPr>
        <w:spacing w:line="360" w:lineRule="auto"/>
        <w:ind w:firstLine="4515" w:firstLineChars="2150"/>
        <w:jc w:val="left"/>
        <w:rPr>
          <w:color w:val="auto"/>
          <w:highlight w:val="none"/>
        </w:rPr>
      </w:pPr>
      <w:r>
        <w:rPr>
          <w:color w:val="auto"/>
          <w:highlight w:val="none"/>
        </w:rPr>
        <w:t>日期：</w:t>
      </w:r>
      <w:r>
        <w:rPr>
          <w:color w:val="auto"/>
          <w:szCs w:val="21"/>
          <w:highlight w:val="none"/>
          <w:u w:val="single"/>
        </w:rPr>
        <w:t xml:space="preserve">         </w:t>
      </w:r>
      <w:r>
        <w:rPr>
          <w:color w:val="auto"/>
          <w:szCs w:val="21"/>
          <w:highlight w:val="none"/>
        </w:rPr>
        <w:t>年</w:t>
      </w:r>
      <w:r>
        <w:rPr>
          <w:color w:val="auto"/>
          <w:szCs w:val="21"/>
          <w:highlight w:val="none"/>
          <w:u w:val="single"/>
        </w:rPr>
        <w:t xml:space="preserve">        </w:t>
      </w:r>
      <w:r>
        <w:rPr>
          <w:color w:val="auto"/>
          <w:szCs w:val="21"/>
          <w:highlight w:val="none"/>
        </w:rPr>
        <w:t>月</w:t>
      </w:r>
      <w:r>
        <w:rPr>
          <w:color w:val="auto"/>
          <w:szCs w:val="21"/>
          <w:highlight w:val="none"/>
          <w:u w:val="single"/>
        </w:rPr>
        <w:t xml:space="preserve">        </w:t>
      </w:r>
      <w:r>
        <w:rPr>
          <w:color w:val="auto"/>
          <w:szCs w:val="21"/>
          <w:highlight w:val="none"/>
        </w:rPr>
        <w:t>日</w:t>
      </w:r>
    </w:p>
    <w:p w14:paraId="09830668">
      <w:pPr>
        <w:spacing w:line="360" w:lineRule="auto"/>
        <w:ind w:firstLine="525" w:firstLineChars="250"/>
        <w:jc w:val="center"/>
        <w:rPr>
          <w:b/>
          <w:color w:val="auto"/>
          <w:sz w:val="28"/>
          <w:szCs w:val="28"/>
          <w:highlight w:val="none"/>
        </w:rPr>
      </w:pPr>
      <w:r>
        <w:rPr>
          <w:color w:val="auto"/>
          <w:szCs w:val="21"/>
          <w:highlight w:val="none"/>
        </w:rPr>
        <w:br w:type="page"/>
      </w:r>
      <w:r>
        <w:rPr>
          <w:b/>
          <w:color w:val="auto"/>
          <w:sz w:val="28"/>
          <w:szCs w:val="28"/>
          <w:highlight w:val="none"/>
        </w:rPr>
        <w:t>广西壮族自治区建筑工程安全文明施工措施项目清单内容</w:t>
      </w:r>
    </w:p>
    <w:p w14:paraId="051C6D51">
      <w:pPr>
        <w:pStyle w:val="255"/>
        <w:spacing w:line="360" w:lineRule="auto"/>
        <w:jc w:val="center"/>
        <w:rPr>
          <w:color w:val="auto"/>
          <w:highlight w:val="none"/>
        </w:rPr>
      </w:pPr>
      <w:r>
        <w:rPr>
          <w:color w:val="auto"/>
          <w:sz w:val="24"/>
          <w:highlight w:val="none"/>
        </w:rPr>
        <w:t>（桂建质</w:t>
      </w:r>
      <w:r>
        <w:rPr>
          <w:rFonts w:hint="eastAsia" w:cs="宋体"/>
          <w:color w:val="auto"/>
          <w:sz w:val="24"/>
          <w:szCs w:val="24"/>
          <w:highlight w:val="none"/>
        </w:rPr>
        <w:t>〔</w:t>
      </w:r>
      <w:r>
        <w:rPr>
          <w:color w:val="auto"/>
          <w:sz w:val="24"/>
          <w:highlight w:val="none"/>
        </w:rPr>
        <w:t>2015</w:t>
      </w:r>
      <w:r>
        <w:rPr>
          <w:rFonts w:hint="eastAsia" w:cs="宋体"/>
          <w:color w:val="auto"/>
          <w:sz w:val="24"/>
          <w:szCs w:val="24"/>
          <w:highlight w:val="none"/>
        </w:rPr>
        <w:t>〕</w:t>
      </w:r>
      <w:r>
        <w:rPr>
          <w:color w:val="auto"/>
          <w:sz w:val="24"/>
          <w:highlight w:val="none"/>
        </w:rPr>
        <w:t>16号文附件一）</w:t>
      </w:r>
    </w:p>
    <w:p w14:paraId="13192C9F">
      <w:pPr>
        <w:pStyle w:val="256"/>
        <w:spacing w:line="0" w:lineRule="atLeast"/>
        <w:jc w:val="center"/>
        <w:rPr>
          <w:b/>
          <w:bCs/>
          <w:color w:val="auto"/>
          <w:sz w:val="24"/>
          <w:highlight w:val="none"/>
        </w:rPr>
      </w:pPr>
      <w:r>
        <w:rPr>
          <w:b/>
          <w:bCs/>
          <w:color w:val="auto"/>
          <w:sz w:val="24"/>
          <w:highlight w:val="none"/>
        </w:rPr>
        <w:t>广西壮族自治区</w:t>
      </w:r>
    </w:p>
    <w:p w14:paraId="6E15913B">
      <w:pPr>
        <w:pStyle w:val="256"/>
        <w:spacing w:line="0" w:lineRule="atLeast"/>
        <w:jc w:val="center"/>
        <w:rPr>
          <w:b/>
          <w:bCs/>
          <w:color w:val="auto"/>
          <w:w w:val="90"/>
          <w:sz w:val="24"/>
          <w:highlight w:val="none"/>
        </w:rPr>
      </w:pPr>
      <w:r>
        <w:rPr>
          <w:b/>
          <w:bCs/>
          <w:color w:val="auto"/>
          <w:w w:val="90"/>
          <w:sz w:val="24"/>
          <w:highlight w:val="none"/>
        </w:rPr>
        <w:t>建设工程安全文明施工措施项目清单内容</w:t>
      </w:r>
    </w:p>
    <w:tbl>
      <w:tblPr>
        <w:tblStyle w:val="54"/>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38"/>
        <w:gridCol w:w="525"/>
        <w:gridCol w:w="1545"/>
        <w:gridCol w:w="6645"/>
      </w:tblGrid>
      <w:tr w14:paraId="7F8F36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01" w:hRule="exact"/>
        </w:trPr>
        <w:tc>
          <w:tcPr>
            <w:tcW w:w="738" w:type="dxa"/>
            <w:noWrap w:val="0"/>
            <w:vAlign w:val="center"/>
          </w:tcPr>
          <w:p w14:paraId="76616651">
            <w:pPr>
              <w:pStyle w:val="256"/>
              <w:spacing w:line="300" w:lineRule="exact"/>
              <w:jc w:val="center"/>
              <w:rPr>
                <w:rFonts w:eastAsia="方正仿宋_GBK"/>
                <w:b/>
                <w:bCs/>
                <w:color w:val="auto"/>
                <w:szCs w:val="21"/>
                <w:highlight w:val="none"/>
              </w:rPr>
            </w:pPr>
            <w:r>
              <w:rPr>
                <w:rFonts w:eastAsia="方正仿宋_GBK"/>
                <w:b/>
                <w:bCs/>
                <w:color w:val="auto"/>
                <w:szCs w:val="21"/>
                <w:highlight w:val="none"/>
              </w:rPr>
              <w:t>类别</w:t>
            </w:r>
          </w:p>
        </w:tc>
        <w:tc>
          <w:tcPr>
            <w:tcW w:w="2070" w:type="dxa"/>
            <w:gridSpan w:val="2"/>
            <w:noWrap w:val="0"/>
            <w:vAlign w:val="center"/>
          </w:tcPr>
          <w:p w14:paraId="3EBC6746">
            <w:pPr>
              <w:pStyle w:val="256"/>
              <w:spacing w:line="300" w:lineRule="exact"/>
              <w:jc w:val="center"/>
              <w:rPr>
                <w:rFonts w:eastAsia="方正仿宋_GBK"/>
                <w:b/>
                <w:bCs/>
                <w:color w:val="auto"/>
                <w:szCs w:val="21"/>
                <w:highlight w:val="none"/>
              </w:rPr>
            </w:pPr>
            <w:r>
              <w:rPr>
                <w:rFonts w:eastAsia="方正仿宋_GBK"/>
                <w:b/>
                <w:bCs/>
                <w:color w:val="auto"/>
                <w:szCs w:val="21"/>
                <w:highlight w:val="none"/>
              </w:rPr>
              <w:t>项目名称</w:t>
            </w:r>
          </w:p>
        </w:tc>
        <w:tc>
          <w:tcPr>
            <w:tcW w:w="6645" w:type="dxa"/>
            <w:noWrap w:val="0"/>
            <w:vAlign w:val="center"/>
          </w:tcPr>
          <w:p w14:paraId="23A153DD">
            <w:pPr>
              <w:pStyle w:val="256"/>
              <w:spacing w:line="300" w:lineRule="exact"/>
              <w:jc w:val="center"/>
              <w:rPr>
                <w:rFonts w:eastAsia="方正仿宋_GBK"/>
                <w:b/>
                <w:bCs/>
                <w:color w:val="auto"/>
                <w:szCs w:val="21"/>
                <w:highlight w:val="none"/>
              </w:rPr>
            </w:pPr>
            <w:r>
              <w:rPr>
                <w:rFonts w:eastAsia="方正仿宋_GBK"/>
                <w:b/>
                <w:bCs/>
                <w:color w:val="auto"/>
                <w:szCs w:val="21"/>
                <w:highlight w:val="none"/>
              </w:rPr>
              <w:t>主要内容和要求</w:t>
            </w:r>
          </w:p>
        </w:tc>
      </w:tr>
      <w:tr w14:paraId="64AE5E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restart"/>
            <w:noWrap w:val="0"/>
            <w:vAlign w:val="center"/>
          </w:tcPr>
          <w:p w14:paraId="43145527">
            <w:pPr>
              <w:pStyle w:val="256"/>
              <w:spacing w:line="300" w:lineRule="exact"/>
              <w:jc w:val="center"/>
              <w:rPr>
                <w:rFonts w:eastAsia="方正仿宋_GBK"/>
                <w:color w:val="auto"/>
                <w:szCs w:val="21"/>
                <w:highlight w:val="none"/>
              </w:rPr>
            </w:pPr>
            <w:r>
              <w:rPr>
                <w:rFonts w:eastAsia="方正仿宋_GBK"/>
                <w:color w:val="auto"/>
                <w:szCs w:val="21"/>
                <w:highlight w:val="none"/>
              </w:rPr>
              <w:t>文明</w:t>
            </w:r>
          </w:p>
          <w:p w14:paraId="4660953A">
            <w:pPr>
              <w:pStyle w:val="256"/>
              <w:spacing w:line="300" w:lineRule="exact"/>
              <w:jc w:val="center"/>
              <w:rPr>
                <w:rFonts w:eastAsia="方正仿宋_GBK"/>
                <w:color w:val="auto"/>
                <w:szCs w:val="21"/>
                <w:highlight w:val="none"/>
              </w:rPr>
            </w:pPr>
            <w:r>
              <w:rPr>
                <w:rFonts w:eastAsia="方正仿宋_GBK"/>
                <w:color w:val="auto"/>
                <w:szCs w:val="21"/>
                <w:highlight w:val="none"/>
              </w:rPr>
              <w:t>施工</w:t>
            </w:r>
          </w:p>
          <w:p w14:paraId="007089BE">
            <w:pPr>
              <w:pStyle w:val="256"/>
              <w:spacing w:line="300" w:lineRule="exact"/>
              <w:jc w:val="center"/>
              <w:rPr>
                <w:rFonts w:eastAsia="方正仿宋_GBK"/>
                <w:color w:val="auto"/>
                <w:szCs w:val="21"/>
                <w:highlight w:val="none"/>
              </w:rPr>
            </w:pPr>
            <w:r>
              <w:rPr>
                <w:rFonts w:eastAsia="方正仿宋_GBK"/>
                <w:color w:val="auto"/>
                <w:szCs w:val="21"/>
                <w:highlight w:val="none"/>
              </w:rPr>
              <w:t>与</w:t>
            </w:r>
          </w:p>
          <w:p w14:paraId="0D959570">
            <w:pPr>
              <w:pStyle w:val="256"/>
              <w:spacing w:line="300" w:lineRule="exact"/>
              <w:jc w:val="center"/>
              <w:rPr>
                <w:rFonts w:eastAsia="方正仿宋_GBK"/>
                <w:color w:val="auto"/>
                <w:szCs w:val="21"/>
                <w:highlight w:val="none"/>
              </w:rPr>
            </w:pPr>
            <w:r>
              <w:rPr>
                <w:rFonts w:eastAsia="方正仿宋_GBK"/>
                <w:color w:val="auto"/>
                <w:szCs w:val="21"/>
                <w:highlight w:val="none"/>
              </w:rPr>
              <w:t>环境</w:t>
            </w:r>
          </w:p>
          <w:p w14:paraId="55C087CD">
            <w:pPr>
              <w:pStyle w:val="256"/>
              <w:spacing w:line="300" w:lineRule="exact"/>
              <w:jc w:val="center"/>
              <w:rPr>
                <w:rFonts w:eastAsia="方正仿宋_GBK"/>
                <w:color w:val="auto"/>
                <w:szCs w:val="21"/>
                <w:highlight w:val="none"/>
              </w:rPr>
            </w:pPr>
            <w:r>
              <w:rPr>
                <w:rFonts w:eastAsia="方正仿宋_GBK"/>
                <w:color w:val="auto"/>
                <w:szCs w:val="21"/>
                <w:highlight w:val="none"/>
              </w:rPr>
              <w:t>保护</w:t>
            </w:r>
          </w:p>
        </w:tc>
        <w:tc>
          <w:tcPr>
            <w:tcW w:w="2070" w:type="dxa"/>
            <w:gridSpan w:val="2"/>
            <w:noWrap w:val="0"/>
            <w:vAlign w:val="center"/>
          </w:tcPr>
          <w:p w14:paraId="05AF691B">
            <w:pPr>
              <w:pStyle w:val="256"/>
              <w:spacing w:line="300" w:lineRule="exact"/>
              <w:jc w:val="center"/>
              <w:rPr>
                <w:rFonts w:eastAsia="方正仿宋_GBK"/>
                <w:color w:val="auto"/>
                <w:szCs w:val="21"/>
                <w:highlight w:val="none"/>
              </w:rPr>
            </w:pPr>
            <w:r>
              <w:rPr>
                <w:rFonts w:eastAsia="方正仿宋_GBK"/>
                <w:color w:val="auto"/>
                <w:szCs w:val="21"/>
                <w:highlight w:val="none"/>
              </w:rPr>
              <w:t>安全警示</w:t>
            </w:r>
          </w:p>
          <w:p w14:paraId="27331E62">
            <w:pPr>
              <w:pStyle w:val="256"/>
              <w:spacing w:line="300" w:lineRule="exact"/>
              <w:jc w:val="center"/>
              <w:rPr>
                <w:rFonts w:eastAsia="方正仿宋_GBK"/>
                <w:color w:val="auto"/>
                <w:szCs w:val="21"/>
                <w:highlight w:val="none"/>
              </w:rPr>
            </w:pPr>
            <w:r>
              <w:rPr>
                <w:rFonts w:eastAsia="方正仿宋_GBK"/>
                <w:color w:val="auto"/>
                <w:szCs w:val="21"/>
                <w:highlight w:val="none"/>
              </w:rPr>
              <w:t>标志牌</w:t>
            </w:r>
          </w:p>
        </w:tc>
        <w:tc>
          <w:tcPr>
            <w:tcW w:w="6645" w:type="dxa"/>
            <w:noWrap w:val="0"/>
            <w:vAlign w:val="center"/>
          </w:tcPr>
          <w:p w14:paraId="0F53400F">
            <w:pPr>
              <w:pStyle w:val="256"/>
              <w:spacing w:line="300" w:lineRule="exact"/>
              <w:rPr>
                <w:rFonts w:eastAsia="方正仿宋_GBK"/>
                <w:color w:val="auto"/>
                <w:szCs w:val="21"/>
                <w:highlight w:val="none"/>
              </w:rPr>
            </w:pPr>
            <w:r>
              <w:rPr>
                <w:rFonts w:eastAsia="方正仿宋_GBK"/>
                <w:color w:val="auto"/>
                <w:szCs w:val="21"/>
                <w:highlight w:val="none"/>
              </w:rPr>
              <w:t>在易发伤亡事故（或危险）处设置明显的、符合国家标准要求的安全警示标志牌。</w:t>
            </w:r>
          </w:p>
        </w:tc>
      </w:tr>
      <w:tr w14:paraId="2F7228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5B38D5C6">
            <w:pPr>
              <w:pStyle w:val="256"/>
              <w:spacing w:line="300" w:lineRule="exact"/>
              <w:jc w:val="center"/>
              <w:rPr>
                <w:rFonts w:eastAsia="方正仿宋_GBK"/>
                <w:color w:val="auto"/>
                <w:szCs w:val="21"/>
                <w:highlight w:val="none"/>
              </w:rPr>
            </w:pPr>
          </w:p>
        </w:tc>
        <w:tc>
          <w:tcPr>
            <w:tcW w:w="2070" w:type="dxa"/>
            <w:gridSpan w:val="2"/>
            <w:noWrap w:val="0"/>
            <w:vAlign w:val="center"/>
          </w:tcPr>
          <w:p w14:paraId="35679978">
            <w:pPr>
              <w:pStyle w:val="256"/>
              <w:spacing w:line="300" w:lineRule="exact"/>
              <w:jc w:val="center"/>
              <w:rPr>
                <w:rFonts w:eastAsia="方正仿宋_GBK"/>
                <w:color w:val="auto"/>
                <w:szCs w:val="21"/>
                <w:highlight w:val="none"/>
              </w:rPr>
            </w:pPr>
            <w:r>
              <w:rPr>
                <w:rFonts w:eastAsia="方正仿宋_GBK"/>
                <w:color w:val="auto"/>
                <w:szCs w:val="21"/>
                <w:highlight w:val="none"/>
              </w:rPr>
              <w:t>现场围挡</w:t>
            </w:r>
          </w:p>
        </w:tc>
        <w:tc>
          <w:tcPr>
            <w:tcW w:w="6645" w:type="dxa"/>
            <w:noWrap w:val="0"/>
            <w:vAlign w:val="center"/>
          </w:tcPr>
          <w:p w14:paraId="22DE8E3D">
            <w:pPr>
              <w:pStyle w:val="256"/>
              <w:spacing w:line="300" w:lineRule="exact"/>
              <w:rPr>
                <w:rFonts w:eastAsia="方正仿宋_GBK"/>
                <w:color w:val="auto"/>
                <w:szCs w:val="21"/>
                <w:highlight w:val="none"/>
              </w:rPr>
            </w:pPr>
            <w:r>
              <w:rPr>
                <w:rFonts w:eastAsia="方正仿宋_GBK"/>
                <w:color w:val="auto"/>
                <w:szCs w:val="21"/>
                <w:highlight w:val="none"/>
              </w:rPr>
              <w:t>1. 现场采用封闭围挡，高度不小于1.8m。</w:t>
            </w:r>
          </w:p>
          <w:p w14:paraId="26E9F4EF">
            <w:pPr>
              <w:pStyle w:val="256"/>
              <w:spacing w:line="300" w:lineRule="exact"/>
              <w:rPr>
                <w:rFonts w:eastAsia="方正仿宋_GBK"/>
                <w:color w:val="auto"/>
                <w:szCs w:val="21"/>
                <w:highlight w:val="none"/>
              </w:rPr>
            </w:pPr>
            <w:r>
              <w:rPr>
                <w:rFonts w:eastAsia="方正仿宋_GBK"/>
                <w:color w:val="auto"/>
                <w:szCs w:val="21"/>
                <w:highlight w:val="none"/>
              </w:rPr>
              <w:t>2. 围挡材料可用彩色、定型钢板，砌块等墙体。</w:t>
            </w:r>
          </w:p>
        </w:tc>
      </w:tr>
      <w:tr w14:paraId="2DAA4B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152ABDEB">
            <w:pPr>
              <w:pStyle w:val="256"/>
              <w:spacing w:line="300" w:lineRule="exact"/>
              <w:jc w:val="center"/>
              <w:rPr>
                <w:rFonts w:eastAsia="方正仿宋_GBK"/>
                <w:color w:val="auto"/>
                <w:szCs w:val="21"/>
                <w:highlight w:val="none"/>
              </w:rPr>
            </w:pPr>
          </w:p>
        </w:tc>
        <w:tc>
          <w:tcPr>
            <w:tcW w:w="2070" w:type="dxa"/>
            <w:gridSpan w:val="2"/>
            <w:noWrap w:val="0"/>
            <w:vAlign w:val="center"/>
          </w:tcPr>
          <w:p w14:paraId="35EC8C5E">
            <w:pPr>
              <w:pStyle w:val="256"/>
              <w:spacing w:line="300" w:lineRule="exact"/>
              <w:jc w:val="center"/>
              <w:rPr>
                <w:rFonts w:eastAsia="方正仿宋_GBK"/>
                <w:color w:val="auto"/>
                <w:szCs w:val="21"/>
                <w:highlight w:val="none"/>
              </w:rPr>
            </w:pPr>
            <w:r>
              <w:rPr>
                <w:rFonts w:eastAsia="方正仿宋_GBK"/>
                <w:color w:val="auto"/>
                <w:szCs w:val="21"/>
                <w:highlight w:val="none"/>
              </w:rPr>
              <w:t>七牌二图</w:t>
            </w:r>
          </w:p>
        </w:tc>
        <w:tc>
          <w:tcPr>
            <w:tcW w:w="6645" w:type="dxa"/>
            <w:noWrap w:val="0"/>
            <w:vAlign w:val="center"/>
          </w:tcPr>
          <w:p w14:paraId="7C415458">
            <w:pPr>
              <w:pStyle w:val="256"/>
              <w:spacing w:line="300" w:lineRule="exact"/>
              <w:rPr>
                <w:rFonts w:eastAsia="方正仿宋_GBK"/>
                <w:color w:val="auto"/>
                <w:szCs w:val="21"/>
                <w:highlight w:val="none"/>
              </w:rPr>
            </w:pPr>
            <w:r>
              <w:rPr>
                <w:rFonts w:eastAsia="方正仿宋_GBK"/>
                <w:color w:val="auto"/>
                <w:szCs w:val="21"/>
                <w:highlight w:val="none"/>
              </w:rPr>
              <w:t>在进门处悬挂工程概况、现场出入制度、管理人员名单及监督电话、安全生产规定、文明施工、消防保卫、节能公示等七牌以及施工现场总平面图、工程效果图。</w:t>
            </w:r>
          </w:p>
        </w:tc>
      </w:tr>
      <w:tr w14:paraId="509E9C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738" w:type="dxa"/>
            <w:vMerge w:val="continue"/>
            <w:noWrap w:val="0"/>
            <w:vAlign w:val="center"/>
          </w:tcPr>
          <w:p w14:paraId="4D7431BC">
            <w:pPr>
              <w:pStyle w:val="256"/>
              <w:spacing w:line="300" w:lineRule="exact"/>
              <w:jc w:val="center"/>
              <w:rPr>
                <w:rFonts w:eastAsia="方正仿宋_GBK"/>
                <w:color w:val="auto"/>
                <w:szCs w:val="21"/>
                <w:highlight w:val="none"/>
              </w:rPr>
            </w:pPr>
          </w:p>
        </w:tc>
        <w:tc>
          <w:tcPr>
            <w:tcW w:w="2070" w:type="dxa"/>
            <w:gridSpan w:val="2"/>
            <w:noWrap w:val="0"/>
            <w:vAlign w:val="center"/>
          </w:tcPr>
          <w:p w14:paraId="4C05C22E">
            <w:pPr>
              <w:pStyle w:val="256"/>
              <w:spacing w:line="300" w:lineRule="exact"/>
              <w:jc w:val="center"/>
              <w:rPr>
                <w:rFonts w:eastAsia="方正仿宋_GBK"/>
                <w:color w:val="auto"/>
                <w:szCs w:val="21"/>
                <w:highlight w:val="none"/>
              </w:rPr>
            </w:pPr>
            <w:r>
              <w:rPr>
                <w:rFonts w:eastAsia="方正仿宋_GBK"/>
                <w:color w:val="auto"/>
                <w:szCs w:val="21"/>
                <w:highlight w:val="none"/>
              </w:rPr>
              <w:t>企业标志</w:t>
            </w:r>
          </w:p>
        </w:tc>
        <w:tc>
          <w:tcPr>
            <w:tcW w:w="6645" w:type="dxa"/>
            <w:noWrap w:val="0"/>
            <w:vAlign w:val="center"/>
          </w:tcPr>
          <w:p w14:paraId="6F24D531">
            <w:pPr>
              <w:pStyle w:val="256"/>
              <w:spacing w:line="300" w:lineRule="exact"/>
              <w:rPr>
                <w:rFonts w:eastAsia="方正仿宋_GBK"/>
                <w:color w:val="auto"/>
                <w:szCs w:val="21"/>
                <w:highlight w:val="none"/>
              </w:rPr>
            </w:pPr>
            <w:r>
              <w:rPr>
                <w:rFonts w:eastAsia="方正仿宋_GBK"/>
                <w:color w:val="auto"/>
                <w:szCs w:val="21"/>
                <w:highlight w:val="none"/>
              </w:rPr>
              <w:t>现场出入的大门应设有本企业标志或企业标识。</w:t>
            </w:r>
          </w:p>
        </w:tc>
      </w:tr>
      <w:tr w14:paraId="2ED904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3BBD50C2">
            <w:pPr>
              <w:pStyle w:val="256"/>
              <w:spacing w:line="300" w:lineRule="exact"/>
              <w:jc w:val="center"/>
              <w:rPr>
                <w:rFonts w:eastAsia="方正仿宋_GBK"/>
                <w:color w:val="auto"/>
                <w:szCs w:val="21"/>
                <w:highlight w:val="none"/>
              </w:rPr>
            </w:pPr>
          </w:p>
        </w:tc>
        <w:tc>
          <w:tcPr>
            <w:tcW w:w="2070" w:type="dxa"/>
            <w:gridSpan w:val="2"/>
            <w:noWrap w:val="0"/>
            <w:vAlign w:val="center"/>
          </w:tcPr>
          <w:p w14:paraId="01E508BF">
            <w:pPr>
              <w:pStyle w:val="256"/>
              <w:spacing w:line="300" w:lineRule="exact"/>
              <w:jc w:val="center"/>
              <w:rPr>
                <w:rFonts w:eastAsia="方正仿宋_GBK"/>
                <w:color w:val="auto"/>
                <w:szCs w:val="21"/>
                <w:highlight w:val="none"/>
              </w:rPr>
            </w:pPr>
            <w:r>
              <w:rPr>
                <w:rFonts w:eastAsia="方正仿宋_GBK"/>
                <w:color w:val="auto"/>
                <w:szCs w:val="21"/>
                <w:highlight w:val="none"/>
              </w:rPr>
              <w:t>场容场貌</w:t>
            </w:r>
          </w:p>
        </w:tc>
        <w:tc>
          <w:tcPr>
            <w:tcW w:w="6645" w:type="dxa"/>
            <w:noWrap w:val="0"/>
            <w:vAlign w:val="center"/>
          </w:tcPr>
          <w:p w14:paraId="60BC0DC3">
            <w:pPr>
              <w:pStyle w:val="256"/>
              <w:spacing w:line="300" w:lineRule="exact"/>
              <w:rPr>
                <w:rFonts w:eastAsia="方正仿宋_GBK"/>
                <w:color w:val="auto"/>
                <w:szCs w:val="21"/>
                <w:highlight w:val="none"/>
              </w:rPr>
            </w:pPr>
            <w:r>
              <w:rPr>
                <w:rFonts w:eastAsia="方正仿宋_GBK"/>
                <w:color w:val="auto"/>
                <w:szCs w:val="21"/>
                <w:highlight w:val="none"/>
              </w:rPr>
              <w:t>1. 道路畅通。</w:t>
            </w:r>
          </w:p>
          <w:p w14:paraId="1E7C61E8">
            <w:pPr>
              <w:pStyle w:val="256"/>
              <w:spacing w:line="300" w:lineRule="exact"/>
              <w:rPr>
                <w:rFonts w:eastAsia="方正仿宋_GBK"/>
                <w:color w:val="auto"/>
                <w:szCs w:val="21"/>
                <w:highlight w:val="none"/>
              </w:rPr>
            </w:pPr>
            <w:r>
              <w:rPr>
                <w:rFonts w:eastAsia="方正仿宋_GBK"/>
                <w:color w:val="auto"/>
                <w:szCs w:val="21"/>
                <w:highlight w:val="none"/>
              </w:rPr>
              <w:t>2. 排水设施齐全畅通。</w:t>
            </w:r>
          </w:p>
          <w:p w14:paraId="7C45BCF2">
            <w:pPr>
              <w:pStyle w:val="256"/>
              <w:spacing w:line="300" w:lineRule="exact"/>
              <w:rPr>
                <w:rFonts w:eastAsia="方正仿宋_GBK"/>
                <w:color w:val="auto"/>
                <w:szCs w:val="21"/>
                <w:highlight w:val="none"/>
              </w:rPr>
            </w:pPr>
            <w:r>
              <w:rPr>
                <w:rFonts w:eastAsia="方正仿宋_GBK"/>
                <w:color w:val="auto"/>
                <w:szCs w:val="21"/>
                <w:highlight w:val="none"/>
              </w:rPr>
              <w:t>3. 工地地面硬化处理（办公区、生活区、现场道路、材料堆放、混凝土搅拌、砂浆搅拌、钢筋加工等场地和外脚手架基础等）。</w:t>
            </w:r>
          </w:p>
        </w:tc>
      </w:tr>
      <w:tr w14:paraId="00F4BF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2CA33D5F">
            <w:pPr>
              <w:pStyle w:val="256"/>
              <w:spacing w:line="300" w:lineRule="exact"/>
              <w:jc w:val="center"/>
              <w:rPr>
                <w:rFonts w:eastAsia="方正仿宋_GBK"/>
                <w:color w:val="auto"/>
                <w:szCs w:val="21"/>
                <w:highlight w:val="none"/>
              </w:rPr>
            </w:pPr>
          </w:p>
        </w:tc>
        <w:tc>
          <w:tcPr>
            <w:tcW w:w="2070" w:type="dxa"/>
            <w:gridSpan w:val="2"/>
            <w:noWrap w:val="0"/>
            <w:vAlign w:val="center"/>
          </w:tcPr>
          <w:p w14:paraId="491EE343">
            <w:pPr>
              <w:pStyle w:val="256"/>
              <w:spacing w:line="300" w:lineRule="exact"/>
              <w:jc w:val="center"/>
              <w:rPr>
                <w:rFonts w:eastAsia="方正仿宋_GBK"/>
                <w:color w:val="auto"/>
                <w:szCs w:val="21"/>
                <w:highlight w:val="none"/>
              </w:rPr>
            </w:pPr>
            <w:r>
              <w:rPr>
                <w:rFonts w:eastAsia="方正仿宋_GBK"/>
                <w:color w:val="auto"/>
                <w:szCs w:val="21"/>
                <w:highlight w:val="none"/>
              </w:rPr>
              <w:t>材料堆放</w:t>
            </w:r>
          </w:p>
        </w:tc>
        <w:tc>
          <w:tcPr>
            <w:tcW w:w="6645" w:type="dxa"/>
            <w:noWrap w:val="0"/>
            <w:vAlign w:val="center"/>
          </w:tcPr>
          <w:p w14:paraId="60D10187">
            <w:pPr>
              <w:pStyle w:val="256"/>
              <w:numPr>
                <w:ilvl w:val="0"/>
                <w:numId w:val="4"/>
              </w:numPr>
              <w:spacing w:line="300" w:lineRule="exact"/>
              <w:rPr>
                <w:rFonts w:eastAsia="方正仿宋_GBK"/>
                <w:color w:val="auto"/>
                <w:szCs w:val="21"/>
                <w:highlight w:val="none"/>
              </w:rPr>
            </w:pPr>
            <w:r>
              <w:rPr>
                <w:rFonts w:eastAsia="方正仿宋_GBK"/>
                <w:color w:val="auto"/>
                <w:szCs w:val="21"/>
                <w:highlight w:val="none"/>
              </w:rPr>
              <w:t>材料、构件、料具等堆放时，应有名称、品种、规格等标牌。</w:t>
            </w:r>
          </w:p>
          <w:p w14:paraId="7CDE0C5C">
            <w:pPr>
              <w:pStyle w:val="256"/>
              <w:spacing w:line="300" w:lineRule="exact"/>
              <w:rPr>
                <w:rFonts w:eastAsia="方正仿宋_GBK"/>
                <w:color w:val="auto"/>
                <w:szCs w:val="21"/>
                <w:highlight w:val="none"/>
              </w:rPr>
            </w:pPr>
            <w:r>
              <w:rPr>
                <w:rFonts w:eastAsia="方正仿宋_GBK"/>
                <w:color w:val="auto"/>
                <w:szCs w:val="21"/>
                <w:highlight w:val="none"/>
              </w:rPr>
              <w:t>2. 水泥和其它易飞扬细颗粒建筑材料应封闭存放或采取覆盖等措施。</w:t>
            </w:r>
          </w:p>
          <w:p w14:paraId="741A4631">
            <w:pPr>
              <w:pStyle w:val="256"/>
              <w:spacing w:line="300" w:lineRule="exact"/>
              <w:rPr>
                <w:rFonts w:eastAsia="方正仿宋_GBK"/>
                <w:color w:val="auto"/>
                <w:szCs w:val="21"/>
                <w:highlight w:val="none"/>
              </w:rPr>
            </w:pPr>
            <w:r>
              <w:rPr>
                <w:rFonts w:eastAsia="方正仿宋_GBK"/>
                <w:color w:val="auto"/>
                <w:szCs w:val="21"/>
                <w:highlight w:val="none"/>
              </w:rPr>
              <w:t>3. 易燃、易爆和有毒有害物品分类存放。</w:t>
            </w:r>
          </w:p>
        </w:tc>
      </w:tr>
      <w:tr w14:paraId="5EF710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738" w:type="dxa"/>
            <w:vMerge w:val="continue"/>
            <w:noWrap w:val="0"/>
            <w:vAlign w:val="center"/>
          </w:tcPr>
          <w:p w14:paraId="3673AA08">
            <w:pPr>
              <w:pStyle w:val="256"/>
              <w:spacing w:line="300" w:lineRule="exact"/>
              <w:jc w:val="center"/>
              <w:rPr>
                <w:rFonts w:eastAsia="方正仿宋_GBK"/>
                <w:color w:val="auto"/>
                <w:szCs w:val="21"/>
                <w:highlight w:val="none"/>
              </w:rPr>
            </w:pPr>
          </w:p>
        </w:tc>
        <w:tc>
          <w:tcPr>
            <w:tcW w:w="2070" w:type="dxa"/>
            <w:gridSpan w:val="2"/>
            <w:noWrap w:val="0"/>
            <w:vAlign w:val="center"/>
          </w:tcPr>
          <w:p w14:paraId="63B296F4">
            <w:pPr>
              <w:pStyle w:val="256"/>
              <w:spacing w:line="300" w:lineRule="exact"/>
              <w:jc w:val="center"/>
              <w:rPr>
                <w:rFonts w:eastAsia="方正仿宋_GBK"/>
                <w:color w:val="auto"/>
                <w:szCs w:val="21"/>
                <w:highlight w:val="none"/>
              </w:rPr>
            </w:pPr>
            <w:r>
              <w:rPr>
                <w:rFonts w:eastAsia="方正仿宋_GBK"/>
                <w:color w:val="auto"/>
                <w:szCs w:val="21"/>
                <w:highlight w:val="none"/>
              </w:rPr>
              <w:t>现场防火</w:t>
            </w:r>
          </w:p>
        </w:tc>
        <w:tc>
          <w:tcPr>
            <w:tcW w:w="6645" w:type="dxa"/>
            <w:noWrap w:val="0"/>
            <w:vAlign w:val="center"/>
          </w:tcPr>
          <w:p w14:paraId="71625574">
            <w:pPr>
              <w:pStyle w:val="256"/>
              <w:spacing w:line="300" w:lineRule="exact"/>
              <w:rPr>
                <w:rFonts w:eastAsia="方正仿宋_GBK"/>
                <w:color w:val="auto"/>
                <w:szCs w:val="21"/>
                <w:highlight w:val="none"/>
              </w:rPr>
            </w:pPr>
            <w:r>
              <w:rPr>
                <w:rFonts w:eastAsia="方正仿宋_GBK"/>
                <w:color w:val="auto"/>
                <w:szCs w:val="21"/>
                <w:highlight w:val="none"/>
              </w:rPr>
              <w:t>消防器材配置合理，符合消防要求。</w:t>
            </w:r>
          </w:p>
        </w:tc>
      </w:tr>
      <w:tr w14:paraId="75B069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56E96036">
            <w:pPr>
              <w:pStyle w:val="256"/>
              <w:spacing w:line="300" w:lineRule="exact"/>
              <w:jc w:val="center"/>
              <w:rPr>
                <w:rFonts w:eastAsia="方正仿宋_GBK"/>
                <w:color w:val="auto"/>
                <w:szCs w:val="21"/>
                <w:highlight w:val="none"/>
              </w:rPr>
            </w:pPr>
          </w:p>
        </w:tc>
        <w:tc>
          <w:tcPr>
            <w:tcW w:w="2070" w:type="dxa"/>
            <w:gridSpan w:val="2"/>
            <w:noWrap w:val="0"/>
            <w:vAlign w:val="center"/>
          </w:tcPr>
          <w:p w14:paraId="7E7BB64E">
            <w:pPr>
              <w:pStyle w:val="256"/>
              <w:spacing w:line="300" w:lineRule="exact"/>
              <w:jc w:val="center"/>
              <w:rPr>
                <w:rFonts w:eastAsia="方正仿宋_GBK"/>
                <w:color w:val="auto"/>
                <w:szCs w:val="21"/>
                <w:highlight w:val="none"/>
              </w:rPr>
            </w:pPr>
            <w:r>
              <w:rPr>
                <w:rFonts w:eastAsia="方正仿宋_GBK"/>
                <w:color w:val="auto"/>
                <w:szCs w:val="21"/>
                <w:highlight w:val="none"/>
              </w:rPr>
              <w:t>垃圾清运</w:t>
            </w:r>
          </w:p>
        </w:tc>
        <w:tc>
          <w:tcPr>
            <w:tcW w:w="6645" w:type="dxa"/>
            <w:noWrap w:val="0"/>
            <w:vAlign w:val="center"/>
          </w:tcPr>
          <w:p w14:paraId="3912C25F">
            <w:pPr>
              <w:pStyle w:val="256"/>
              <w:spacing w:line="300" w:lineRule="exact"/>
              <w:rPr>
                <w:rFonts w:eastAsia="方正仿宋_GBK"/>
                <w:color w:val="auto"/>
                <w:szCs w:val="21"/>
                <w:highlight w:val="none"/>
              </w:rPr>
            </w:pPr>
            <w:r>
              <w:rPr>
                <w:rFonts w:eastAsia="方正仿宋_GBK"/>
                <w:color w:val="auto"/>
                <w:szCs w:val="21"/>
                <w:highlight w:val="none"/>
              </w:rPr>
              <w:t>1. 施工现场应设置密闭式垃圾站，施工垃圾、生活垃圾应分类存放。</w:t>
            </w:r>
          </w:p>
          <w:p w14:paraId="66489BD5">
            <w:pPr>
              <w:pStyle w:val="256"/>
              <w:spacing w:line="300" w:lineRule="exact"/>
              <w:rPr>
                <w:rFonts w:eastAsia="方正仿宋_GBK"/>
                <w:color w:val="auto"/>
                <w:szCs w:val="21"/>
                <w:highlight w:val="none"/>
              </w:rPr>
            </w:pPr>
            <w:r>
              <w:rPr>
                <w:rFonts w:eastAsia="方正仿宋_GBK"/>
                <w:color w:val="auto"/>
                <w:szCs w:val="21"/>
                <w:highlight w:val="none"/>
              </w:rPr>
              <w:t>2. 施工垃圾必须采用相应容器或管道运输。</w:t>
            </w:r>
          </w:p>
        </w:tc>
      </w:tr>
      <w:tr w14:paraId="21ACE1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487671BD">
            <w:pPr>
              <w:pStyle w:val="256"/>
              <w:spacing w:line="300" w:lineRule="exact"/>
              <w:jc w:val="center"/>
              <w:rPr>
                <w:rFonts w:eastAsia="方正仿宋_GBK"/>
                <w:color w:val="auto"/>
                <w:szCs w:val="21"/>
                <w:highlight w:val="none"/>
              </w:rPr>
            </w:pPr>
          </w:p>
        </w:tc>
        <w:tc>
          <w:tcPr>
            <w:tcW w:w="2070" w:type="dxa"/>
            <w:gridSpan w:val="2"/>
            <w:noWrap w:val="0"/>
            <w:vAlign w:val="center"/>
          </w:tcPr>
          <w:p w14:paraId="38F6FDA2">
            <w:pPr>
              <w:pStyle w:val="256"/>
              <w:spacing w:line="300" w:lineRule="exact"/>
              <w:rPr>
                <w:rFonts w:eastAsia="方正仿宋_GBK"/>
                <w:color w:val="auto"/>
                <w:szCs w:val="21"/>
                <w:highlight w:val="none"/>
              </w:rPr>
            </w:pPr>
            <w:r>
              <w:rPr>
                <w:rFonts w:eastAsia="方正仿宋_GBK"/>
                <w:color w:val="auto"/>
                <w:szCs w:val="21"/>
                <w:highlight w:val="none"/>
              </w:rPr>
              <w:t>宣传栏、环保及不扰民措施</w:t>
            </w:r>
          </w:p>
        </w:tc>
        <w:tc>
          <w:tcPr>
            <w:tcW w:w="6645" w:type="dxa"/>
            <w:noWrap w:val="0"/>
            <w:vAlign w:val="center"/>
          </w:tcPr>
          <w:p w14:paraId="0FD7D781">
            <w:pPr>
              <w:pStyle w:val="256"/>
              <w:spacing w:line="300" w:lineRule="exact"/>
              <w:rPr>
                <w:rFonts w:eastAsia="方正仿宋_GBK"/>
                <w:color w:val="auto"/>
                <w:szCs w:val="21"/>
                <w:highlight w:val="none"/>
              </w:rPr>
            </w:pPr>
            <w:r>
              <w:rPr>
                <w:rFonts w:eastAsia="方正仿宋_GBK"/>
                <w:color w:val="auto"/>
                <w:szCs w:val="21"/>
                <w:highlight w:val="none"/>
              </w:rPr>
              <w:t>宣传栏、安全宣传标语等，洗车（防止污染市区道路）、粉尘、噪声控制和排污（污水、废气）措施等。</w:t>
            </w:r>
          </w:p>
        </w:tc>
      </w:tr>
      <w:tr w14:paraId="77BA91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restart"/>
            <w:noWrap w:val="0"/>
            <w:vAlign w:val="center"/>
          </w:tcPr>
          <w:p w14:paraId="6B1D287C">
            <w:pPr>
              <w:pStyle w:val="256"/>
              <w:spacing w:line="300" w:lineRule="exact"/>
              <w:jc w:val="center"/>
              <w:rPr>
                <w:rFonts w:eastAsia="方正仿宋_GBK"/>
                <w:color w:val="auto"/>
                <w:szCs w:val="21"/>
                <w:highlight w:val="none"/>
              </w:rPr>
            </w:pPr>
            <w:r>
              <w:rPr>
                <w:rFonts w:eastAsia="方正仿宋_GBK"/>
                <w:color w:val="auto"/>
                <w:szCs w:val="21"/>
                <w:highlight w:val="none"/>
              </w:rPr>
              <w:t>临时设施</w:t>
            </w:r>
          </w:p>
        </w:tc>
        <w:tc>
          <w:tcPr>
            <w:tcW w:w="2070" w:type="dxa"/>
            <w:gridSpan w:val="2"/>
            <w:noWrap w:val="0"/>
            <w:vAlign w:val="center"/>
          </w:tcPr>
          <w:p w14:paraId="060A446E">
            <w:pPr>
              <w:pStyle w:val="256"/>
              <w:spacing w:line="300" w:lineRule="exact"/>
              <w:jc w:val="center"/>
              <w:rPr>
                <w:rFonts w:eastAsia="方正仿宋_GBK"/>
                <w:color w:val="auto"/>
                <w:szCs w:val="21"/>
                <w:highlight w:val="none"/>
              </w:rPr>
            </w:pPr>
            <w:r>
              <w:rPr>
                <w:rFonts w:eastAsia="方正仿宋_GBK"/>
                <w:color w:val="auto"/>
                <w:szCs w:val="21"/>
                <w:highlight w:val="none"/>
              </w:rPr>
              <w:t>现场办公</w:t>
            </w:r>
          </w:p>
          <w:p w14:paraId="23AE57A5">
            <w:pPr>
              <w:pStyle w:val="256"/>
              <w:spacing w:line="300" w:lineRule="exact"/>
              <w:jc w:val="center"/>
              <w:rPr>
                <w:rFonts w:eastAsia="方正仿宋_GBK"/>
                <w:color w:val="auto"/>
                <w:szCs w:val="21"/>
                <w:highlight w:val="none"/>
              </w:rPr>
            </w:pPr>
            <w:r>
              <w:rPr>
                <w:rFonts w:eastAsia="方正仿宋_GBK"/>
                <w:color w:val="auto"/>
                <w:szCs w:val="21"/>
                <w:highlight w:val="none"/>
              </w:rPr>
              <w:t>生活设施</w:t>
            </w:r>
          </w:p>
        </w:tc>
        <w:tc>
          <w:tcPr>
            <w:tcW w:w="6645" w:type="dxa"/>
            <w:noWrap w:val="0"/>
            <w:vAlign w:val="center"/>
          </w:tcPr>
          <w:p w14:paraId="1E711189">
            <w:pPr>
              <w:pStyle w:val="256"/>
              <w:spacing w:line="300" w:lineRule="exact"/>
              <w:rPr>
                <w:rFonts w:eastAsia="方正仿宋_GBK"/>
                <w:color w:val="auto"/>
                <w:szCs w:val="21"/>
                <w:highlight w:val="none"/>
              </w:rPr>
            </w:pPr>
            <w:r>
              <w:rPr>
                <w:rFonts w:eastAsia="方正仿宋_GBK"/>
                <w:color w:val="auto"/>
                <w:szCs w:val="21"/>
                <w:highlight w:val="none"/>
              </w:rPr>
              <w:t>1. 施工现场办公、生活区与作业区分开设置，保持安全距离。</w:t>
            </w:r>
          </w:p>
          <w:p w14:paraId="286B5445">
            <w:pPr>
              <w:pStyle w:val="256"/>
              <w:spacing w:line="300" w:lineRule="exact"/>
              <w:rPr>
                <w:rFonts w:eastAsia="方正仿宋_GBK"/>
                <w:color w:val="auto"/>
                <w:szCs w:val="21"/>
                <w:highlight w:val="none"/>
              </w:rPr>
            </w:pPr>
            <w:r>
              <w:rPr>
                <w:rFonts w:eastAsia="方正仿宋_GBK"/>
                <w:color w:val="auto"/>
                <w:szCs w:val="21"/>
                <w:highlight w:val="none"/>
              </w:rPr>
              <w:t>2. 工地办公室、现场宿舍、食堂、厕所、饮水、沐浴、休息场所等符合卫生、消防安全要求。</w:t>
            </w:r>
          </w:p>
        </w:tc>
      </w:tr>
      <w:tr w14:paraId="4BE5DA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03AE3F7C">
            <w:pPr>
              <w:pStyle w:val="256"/>
              <w:spacing w:line="300" w:lineRule="exact"/>
              <w:jc w:val="center"/>
              <w:rPr>
                <w:rFonts w:eastAsia="方正仿宋_GBK"/>
                <w:color w:val="auto"/>
                <w:szCs w:val="21"/>
                <w:highlight w:val="none"/>
              </w:rPr>
            </w:pPr>
          </w:p>
        </w:tc>
        <w:tc>
          <w:tcPr>
            <w:tcW w:w="525" w:type="dxa"/>
            <w:vMerge w:val="restart"/>
            <w:noWrap w:val="0"/>
            <w:vAlign w:val="center"/>
          </w:tcPr>
          <w:p w14:paraId="027E24ED">
            <w:pPr>
              <w:pStyle w:val="256"/>
              <w:spacing w:line="300" w:lineRule="exact"/>
              <w:jc w:val="center"/>
              <w:rPr>
                <w:rFonts w:eastAsia="方正仿宋_GBK"/>
                <w:color w:val="auto"/>
                <w:szCs w:val="21"/>
                <w:highlight w:val="none"/>
              </w:rPr>
            </w:pPr>
            <w:r>
              <w:rPr>
                <w:rFonts w:eastAsia="方正仿宋_GBK"/>
                <w:color w:val="auto"/>
                <w:szCs w:val="21"/>
                <w:highlight w:val="none"/>
              </w:rPr>
              <w:t>施工现场</w:t>
            </w:r>
          </w:p>
          <w:p w14:paraId="36E2AE2C">
            <w:pPr>
              <w:pStyle w:val="256"/>
              <w:spacing w:line="300" w:lineRule="exact"/>
              <w:jc w:val="center"/>
              <w:rPr>
                <w:rFonts w:eastAsia="方正仿宋_GBK"/>
                <w:color w:val="auto"/>
                <w:szCs w:val="21"/>
                <w:highlight w:val="none"/>
              </w:rPr>
            </w:pPr>
            <w:r>
              <w:rPr>
                <w:rFonts w:eastAsia="方正仿宋_GBK"/>
                <w:color w:val="auto"/>
                <w:szCs w:val="21"/>
                <w:highlight w:val="none"/>
              </w:rPr>
              <w:t>临时用电</w:t>
            </w:r>
          </w:p>
        </w:tc>
        <w:tc>
          <w:tcPr>
            <w:tcW w:w="1545" w:type="dxa"/>
            <w:noWrap w:val="0"/>
            <w:vAlign w:val="center"/>
          </w:tcPr>
          <w:p w14:paraId="4CC0D6AA">
            <w:pPr>
              <w:pStyle w:val="256"/>
              <w:spacing w:line="300" w:lineRule="exact"/>
              <w:jc w:val="center"/>
              <w:rPr>
                <w:rFonts w:eastAsia="方正仿宋_GBK"/>
                <w:color w:val="auto"/>
                <w:szCs w:val="21"/>
                <w:highlight w:val="none"/>
              </w:rPr>
            </w:pPr>
            <w:r>
              <w:rPr>
                <w:rFonts w:eastAsia="方正仿宋_GBK"/>
                <w:color w:val="auto"/>
                <w:szCs w:val="21"/>
                <w:highlight w:val="none"/>
              </w:rPr>
              <w:t>配电线路</w:t>
            </w:r>
          </w:p>
        </w:tc>
        <w:tc>
          <w:tcPr>
            <w:tcW w:w="6645" w:type="dxa"/>
            <w:noWrap w:val="0"/>
            <w:vAlign w:val="center"/>
          </w:tcPr>
          <w:p w14:paraId="6E06C5B0">
            <w:pPr>
              <w:pStyle w:val="256"/>
              <w:spacing w:line="300" w:lineRule="exact"/>
              <w:rPr>
                <w:rFonts w:eastAsia="方正仿宋_GBK"/>
                <w:color w:val="auto"/>
                <w:szCs w:val="21"/>
                <w:highlight w:val="none"/>
              </w:rPr>
            </w:pPr>
            <w:r>
              <w:rPr>
                <w:rFonts w:eastAsia="方正仿宋_GBK"/>
                <w:color w:val="auto"/>
                <w:szCs w:val="21"/>
                <w:highlight w:val="none"/>
              </w:rPr>
              <w:t>1. 按照TN-S系统要求配备五芯电缆、四芯电缆和三芯电缆。</w:t>
            </w:r>
          </w:p>
          <w:p w14:paraId="746F8A22">
            <w:pPr>
              <w:pStyle w:val="256"/>
              <w:spacing w:line="300" w:lineRule="exact"/>
              <w:rPr>
                <w:rFonts w:eastAsia="方正仿宋_GBK"/>
                <w:color w:val="auto"/>
                <w:szCs w:val="21"/>
                <w:highlight w:val="none"/>
              </w:rPr>
            </w:pPr>
            <w:r>
              <w:rPr>
                <w:rFonts w:eastAsia="方正仿宋_GBK"/>
                <w:color w:val="auto"/>
                <w:szCs w:val="21"/>
                <w:highlight w:val="none"/>
              </w:rPr>
              <w:t>2. 按要求架设临时用电线路的电杆、横担、瓷夹、瓷瓶等，或电缆埋地的地沟。</w:t>
            </w:r>
          </w:p>
          <w:p w14:paraId="0F279440">
            <w:pPr>
              <w:pStyle w:val="256"/>
              <w:spacing w:line="300" w:lineRule="exact"/>
              <w:rPr>
                <w:rFonts w:eastAsia="方正仿宋_GBK"/>
                <w:color w:val="auto"/>
                <w:szCs w:val="21"/>
                <w:highlight w:val="none"/>
              </w:rPr>
            </w:pPr>
            <w:r>
              <w:rPr>
                <w:rFonts w:eastAsia="方正仿宋_GBK"/>
                <w:color w:val="auto"/>
                <w:szCs w:val="21"/>
                <w:highlight w:val="none"/>
              </w:rPr>
              <w:t>3. 对靠近施工现场的外电线路，设置木质、塑料等绝缘体的防护设施。</w:t>
            </w:r>
          </w:p>
        </w:tc>
      </w:tr>
      <w:tr w14:paraId="7F1C01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05659FFA">
            <w:pPr>
              <w:pStyle w:val="256"/>
              <w:spacing w:line="300" w:lineRule="exact"/>
              <w:jc w:val="center"/>
              <w:rPr>
                <w:rFonts w:eastAsia="方正仿宋_GBK"/>
                <w:color w:val="auto"/>
                <w:szCs w:val="21"/>
                <w:highlight w:val="none"/>
              </w:rPr>
            </w:pPr>
          </w:p>
        </w:tc>
        <w:tc>
          <w:tcPr>
            <w:tcW w:w="525" w:type="dxa"/>
            <w:vMerge w:val="continue"/>
            <w:noWrap w:val="0"/>
            <w:vAlign w:val="center"/>
          </w:tcPr>
          <w:p w14:paraId="00C408A9">
            <w:pPr>
              <w:pStyle w:val="256"/>
              <w:spacing w:line="300" w:lineRule="exact"/>
              <w:jc w:val="center"/>
              <w:rPr>
                <w:rFonts w:eastAsia="方正仿宋_GBK"/>
                <w:color w:val="auto"/>
                <w:szCs w:val="21"/>
                <w:highlight w:val="none"/>
              </w:rPr>
            </w:pPr>
          </w:p>
        </w:tc>
        <w:tc>
          <w:tcPr>
            <w:tcW w:w="1545" w:type="dxa"/>
            <w:noWrap w:val="0"/>
            <w:vAlign w:val="center"/>
          </w:tcPr>
          <w:p w14:paraId="53DA9FA0">
            <w:pPr>
              <w:pStyle w:val="256"/>
              <w:spacing w:line="300" w:lineRule="exact"/>
              <w:jc w:val="center"/>
              <w:rPr>
                <w:rFonts w:eastAsia="方正仿宋_GBK"/>
                <w:color w:val="auto"/>
                <w:szCs w:val="21"/>
                <w:highlight w:val="none"/>
              </w:rPr>
            </w:pPr>
            <w:r>
              <w:rPr>
                <w:rFonts w:eastAsia="方正仿宋_GBK"/>
                <w:color w:val="auto"/>
                <w:szCs w:val="21"/>
                <w:highlight w:val="none"/>
              </w:rPr>
              <w:t>配电箱</w:t>
            </w:r>
          </w:p>
          <w:p w14:paraId="23F54A97">
            <w:pPr>
              <w:pStyle w:val="256"/>
              <w:spacing w:line="300" w:lineRule="exact"/>
              <w:jc w:val="center"/>
              <w:rPr>
                <w:rFonts w:eastAsia="方正仿宋_GBK"/>
                <w:color w:val="auto"/>
                <w:szCs w:val="21"/>
                <w:highlight w:val="none"/>
              </w:rPr>
            </w:pPr>
            <w:r>
              <w:rPr>
                <w:rFonts w:eastAsia="方正仿宋_GBK"/>
                <w:color w:val="auto"/>
                <w:szCs w:val="21"/>
                <w:highlight w:val="none"/>
              </w:rPr>
              <w:t>开关箱</w:t>
            </w:r>
          </w:p>
        </w:tc>
        <w:tc>
          <w:tcPr>
            <w:tcW w:w="6645" w:type="dxa"/>
            <w:noWrap w:val="0"/>
            <w:vAlign w:val="center"/>
          </w:tcPr>
          <w:p w14:paraId="07B956A5">
            <w:pPr>
              <w:pStyle w:val="256"/>
              <w:spacing w:line="300" w:lineRule="exact"/>
              <w:rPr>
                <w:rFonts w:eastAsia="方正仿宋_GBK"/>
                <w:color w:val="auto"/>
                <w:szCs w:val="21"/>
                <w:highlight w:val="none"/>
              </w:rPr>
            </w:pPr>
            <w:r>
              <w:rPr>
                <w:rFonts w:eastAsia="方正仿宋_GBK"/>
                <w:color w:val="auto"/>
                <w:szCs w:val="21"/>
                <w:highlight w:val="none"/>
              </w:rPr>
              <w:t>1. 按三级配电要求，配备总配电箱、分配电箱、开关箱三类（铁质）标准电箱，开关箱应符合“一机、一箱、一闸、一漏”，三类电箱中的各类电器应是合格品。</w:t>
            </w:r>
          </w:p>
          <w:p w14:paraId="719B9121">
            <w:pPr>
              <w:pStyle w:val="256"/>
              <w:spacing w:line="300" w:lineRule="exact"/>
              <w:rPr>
                <w:rFonts w:eastAsia="方正仿宋_GBK"/>
                <w:color w:val="auto"/>
                <w:szCs w:val="21"/>
                <w:highlight w:val="none"/>
              </w:rPr>
            </w:pPr>
            <w:r>
              <w:rPr>
                <w:rFonts w:eastAsia="方正仿宋_GBK"/>
                <w:color w:val="auto"/>
                <w:szCs w:val="21"/>
                <w:highlight w:val="none"/>
              </w:rPr>
              <w:t>2. 按两级保护的要求，选取符合容量要求和质量合格的总配电箱和开关箱中的漏电保护器。</w:t>
            </w:r>
          </w:p>
          <w:p w14:paraId="5A76236D">
            <w:pPr>
              <w:pStyle w:val="256"/>
              <w:spacing w:line="300" w:lineRule="exact"/>
              <w:rPr>
                <w:rFonts w:eastAsia="方正仿宋_GBK"/>
                <w:color w:val="auto"/>
                <w:szCs w:val="21"/>
                <w:highlight w:val="none"/>
              </w:rPr>
            </w:pPr>
            <w:r>
              <w:rPr>
                <w:rFonts w:eastAsia="方正仿宋_GBK"/>
                <w:color w:val="auto"/>
                <w:szCs w:val="21"/>
                <w:highlight w:val="none"/>
              </w:rPr>
              <w:t>3. 对大型、落地式分配电箱、开关箱设置防护棚和通透式围挡。</w:t>
            </w:r>
          </w:p>
        </w:tc>
      </w:tr>
      <w:tr w14:paraId="68766C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75" w:hRule="atLeast"/>
        </w:trPr>
        <w:tc>
          <w:tcPr>
            <w:tcW w:w="738" w:type="dxa"/>
            <w:vMerge w:val="continue"/>
            <w:noWrap w:val="0"/>
            <w:vAlign w:val="center"/>
          </w:tcPr>
          <w:p w14:paraId="108DC3F2">
            <w:pPr>
              <w:pStyle w:val="256"/>
              <w:spacing w:line="300" w:lineRule="exact"/>
              <w:jc w:val="center"/>
              <w:rPr>
                <w:rFonts w:eastAsia="方正仿宋_GBK"/>
                <w:color w:val="auto"/>
                <w:szCs w:val="21"/>
                <w:highlight w:val="none"/>
              </w:rPr>
            </w:pPr>
          </w:p>
        </w:tc>
        <w:tc>
          <w:tcPr>
            <w:tcW w:w="525" w:type="dxa"/>
            <w:vMerge w:val="continue"/>
            <w:noWrap w:val="0"/>
            <w:vAlign w:val="center"/>
          </w:tcPr>
          <w:p w14:paraId="2F5D1871">
            <w:pPr>
              <w:pStyle w:val="256"/>
              <w:spacing w:line="300" w:lineRule="exact"/>
              <w:jc w:val="center"/>
              <w:rPr>
                <w:rFonts w:eastAsia="方正仿宋_GBK"/>
                <w:color w:val="auto"/>
                <w:szCs w:val="21"/>
                <w:highlight w:val="none"/>
              </w:rPr>
            </w:pPr>
          </w:p>
        </w:tc>
        <w:tc>
          <w:tcPr>
            <w:tcW w:w="1545" w:type="dxa"/>
            <w:noWrap w:val="0"/>
            <w:vAlign w:val="center"/>
          </w:tcPr>
          <w:p w14:paraId="11F1CDC8">
            <w:pPr>
              <w:pStyle w:val="256"/>
              <w:spacing w:line="300" w:lineRule="exact"/>
              <w:jc w:val="center"/>
              <w:rPr>
                <w:rFonts w:eastAsia="方正仿宋_GBK"/>
                <w:color w:val="auto"/>
                <w:szCs w:val="21"/>
                <w:highlight w:val="none"/>
              </w:rPr>
            </w:pPr>
            <w:r>
              <w:rPr>
                <w:rFonts w:eastAsia="方正仿宋_GBK"/>
                <w:color w:val="auto"/>
                <w:szCs w:val="21"/>
                <w:highlight w:val="none"/>
              </w:rPr>
              <w:t>接地装置</w:t>
            </w:r>
          </w:p>
        </w:tc>
        <w:tc>
          <w:tcPr>
            <w:tcW w:w="6645" w:type="dxa"/>
            <w:noWrap w:val="0"/>
            <w:vAlign w:val="center"/>
          </w:tcPr>
          <w:p w14:paraId="0B767988">
            <w:pPr>
              <w:pStyle w:val="256"/>
              <w:spacing w:line="300" w:lineRule="exact"/>
              <w:rPr>
                <w:rFonts w:eastAsia="方正仿宋_GBK"/>
                <w:color w:val="auto"/>
                <w:szCs w:val="21"/>
                <w:highlight w:val="none"/>
              </w:rPr>
            </w:pPr>
            <w:r>
              <w:rPr>
                <w:rFonts w:eastAsia="方正仿宋_GBK"/>
                <w:color w:val="auto"/>
                <w:szCs w:val="21"/>
                <w:highlight w:val="none"/>
              </w:rPr>
              <w:t>施工现场应设置不少于三处的重复接地装置。</w:t>
            </w:r>
          </w:p>
        </w:tc>
      </w:tr>
      <w:tr w14:paraId="6600AC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16" w:hRule="atLeast"/>
        </w:trPr>
        <w:tc>
          <w:tcPr>
            <w:tcW w:w="738" w:type="dxa"/>
            <w:vMerge w:val="continue"/>
            <w:noWrap w:val="0"/>
            <w:vAlign w:val="center"/>
          </w:tcPr>
          <w:p w14:paraId="3CB89C1B">
            <w:pPr>
              <w:pStyle w:val="256"/>
              <w:spacing w:line="300" w:lineRule="exact"/>
              <w:jc w:val="center"/>
              <w:rPr>
                <w:rFonts w:eastAsia="方正仿宋_GBK"/>
                <w:color w:val="auto"/>
                <w:szCs w:val="21"/>
                <w:highlight w:val="none"/>
              </w:rPr>
            </w:pPr>
          </w:p>
        </w:tc>
        <w:tc>
          <w:tcPr>
            <w:tcW w:w="525" w:type="dxa"/>
            <w:vMerge w:val="continue"/>
            <w:noWrap w:val="0"/>
            <w:vAlign w:val="center"/>
          </w:tcPr>
          <w:p w14:paraId="5BBBD14B">
            <w:pPr>
              <w:pStyle w:val="256"/>
              <w:spacing w:line="300" w:lineRule="exact"/>
              <w:jc w:val="center"/>
              <w:rPr>
                <w:rFonts w:eastAsia="方正仿宋_GBK"/>
                <w:color w:val="auto"/>
                <w:szCs w:val="21"/>
                <w:highlight w:val="none"/>
              </w:rPr>
            </w:pPr>
          </w:p>
        </w:tc>
        <w:tc>
          <w:tcPr>
            <w:tcW w:w="1545" w:type="dxa"/>
            <w:noWrap w:val="0"/>
            <w:vAlign w:val="center"/>
          </w:tcPr>
          <w:p w14:paraId="6453F2BC">
            <w:pPr>
              <w:pStyle w:val="256"/>
              <w:spacing w:line="300" w:lineRule="exact"/>
              <w:jc w:val="center"/>
              <w:rPr>
                <w:rFonts w:eastAsia="方正仿宋_GBK"/>
                <w:color w:val="auto"/>
                <w:szCs w:val="21"/>
                <w:highlight w:val="none"/>
              </w:rPr>
            </w:pPr>
            <w:r>
              <w:rPr>
                <w:rFonts w:eastAsia="方正仿宋_GBK"/>
                <w:color w:val="auto"/>
                <w:szCs w:val="21"/>
                <w:highlight w:val="none"/>
              </w:rPr>
              <w:t>现场变配电装置</w:t>
            </w:r>
          </w:p>
        </w:tc>
        <w:tc>
          <w:tcPr>
            <w:tcW w:w="6645" w:type="dxa"/>
            <w:noWrap w:val="0"/>
            <w:vAlign w:val="center"/>
          </w:tcPr>
          <w:p w14:paraId="7A820699">
            <w:pPr>
              <w:pStyle w:val="256"/>
              <w:spacing w:line="300" w:lineRule="exact"/>
              <w:rPr>
                <w:rFonts w:eastAsia="方正仿宋_GBK"/>
                <w:color w:val="auto"/>
                <w:szCs w:val="21"/>
                <w:highlight w:val="none"/>
              </w:rPr>
            </w:pPr>
            <w:r>
              <w:rPr>
                <w:rFonts w:eastAsia="方正仿宋_GBK"/>
                <w:color w:val="auto"/>
                <w:szCs w:val="21"/>
                <w:highlight w:val="none"/>
              </w:rPr>
              <w:t>总配电房建筑材料必须达到消防防火要求，室内做硬地坪、电缆沟。</w:t>
            </w:r>
          </w:p>
        </w:tc>
      </w:tr>
      <w:tr w14:paraId="43B54B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66" w:hRule="atLeast"/>
        </w:trPr>
        <w:tc>
          <w:tcPr>
            <w:tcW w:w="738" w:type="dxa"/>
            <w:noWrap w:val="0"/>
            <w:vAlign w:val="center"/>
          </w:tcPr>
          <w:p w14:paraId="330FDE79">
            <w:pPr>
              <w:pStyle w:val="256"/>
              <w:spacing w:line="300" w:lineRule="exact"/>
              <w:jc w:val="center"/>
              <w:rPr>
                <w:rFonts w:eastAsia="方正仿宋_GBK"/>
                <w:b/>
                <w:bCs/>
                <w:color w:val="auto"/>
                <w:szCs w:val="21"/>
                <w:highlight w:val="none"/>
              </w:rPr>
            </w:pPr>
            <w:r>
              <w:rPr>
                <w:rFonts w:eastAsia="方正仿宋_GBK"/>
                <w:b/>
                <w:bCs/>
                <w:color w:val="auto"/>
                <w:szCs w:val="21"/>
                <w:highlight w:val="none"/>
              </w:rPr>
              <w:t>类别</w:t>
            </w:r>
          </w:p>
        </w:tc>
        <w:tc>
          <w:tcPr>
            <w:tcW w:w="2070" w:type="dxa"/>
            <w:gridSpan w:val="2"/>
            <w:noWrap w:val="0"/>
            <w:vAlign w:val="center"/>
          </w:tcPr>
          <w:p w14:paraId="2F96CAF6">
            <w:pPr>
              <w:pStyle w:val="256"/>
              <w:spacing w:line="300" w:lineRule="exact"/>
              <w:jc w:val="center"/>
              <w:rPr>
                <w:rFonts w:eastAsia="方正仿宋_GBK"/>
                <w:b/>
                <w:bCs/>
                <w:color w:val="auto"/>
                <w:szCs w:val="21"/>
                <w:highlight w:val="none"/>
              </w:rPr>
            </w:pPr>
            <w:r>
              <w:rPr>
                <w:rFonts w:eastAsia="方正仿宋_GBK"/>
                <w:b/>
                <w:bCs/>
                <w:color w:val="auto"/>
                <w:szCs w:val="21"/>
                <w:highlight w:val="none"/>
              </w:rPr>
              <w:t>项目名称</w:t>
            </w:r>
          </w:p>
        </w:tc>
        <w:tc>
          <w:tcPr>
            <w:tcW w:w="6645" w:type="dxa"/>
            <w:noWrap w:val="0"/>
            <w:vAlign w:val="center"/>
          </w:tcPr>
          <w:p w14:paraId="642B8F0B">
            <w:pPr>
              <w:pStyle w:val="256"/>
              <w:spacing w:line="300" w:lineRule="exact"/>
              <w:jc w:val="center"/>
              <w:rPr>
                <w:rFonts w:eastAsia="方正仿宋_GBK"/>
                <w:b/>
                <w:bCs/>
                <w:color w:val="auto"/>
                <w:szCs w:val="21"/>
                <w:highlight w:val="none"/>
              </w:rPr>
            </w:pPr>
            <w:r>
              <w:rPr>
                <w:rFonts w:eastAsia="方正仿宋_GBK"/>
                <w:b/>
                <w:bCs/>
                <w:color w:val="auto"/>
                <w:szCs w:val="21"/>
                <w:highlight w:val="none"/>
              </w:rPr>
              <w:t>主要内容和要求</w:t>
            </w:r>
          </w:p>
        </w:tc>
      </w:tr>
      <w:tr w14:paraId="7F578E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restart"/>
            <w:noWrap w:val="0"/>
            <w:vAlign w:val="center"/>
          </w:tcPr>
          <w:p w14:paraId="0184656B">
            <w:pPr>
              <w:pStyle w:val="256"/>
              <w:spacing w:line="300" w:lineRule="exact"/>
              <w:jc w:val="center"/>
              <w:rPr>
                <w:rFonts w:eastAsia="方正仿宋_GBK"/>
                <w:color w:val="auto"/>
                <w:szCs w:val="21"/>
                <w:highlight w:val="none"/>
              </w:rPr>
            </w:pPr>
            <w:r>
              <w:rPr>
                <w:rFonts w:eastAsia="方正仿宋_GBK"/>
                <w:color w:val="auto"/>
                <w:szCs w:val="21"/>
                <w:highlight w:val="none"/>
              </w:rPr>
              <w:t>安全施工</w:t>
            </w:r>
          </w:p>
        </w:tc>
        <w:tc>
          <w:tcPr>
            <w:tcW w:w="525" w:type="dxa"/>
            <w:vMerge w:val="restart"/>
            <w:noWrap w:val="0"/>
            <w:vAlign w:val="center"/>
          </w:tcPr>
          <w:p w14:paraId="0C29D89B">
            <w:pPr>
              <w:pStyle w:val="256"/>
              <w:spacing w:line="300" w:lineRule="exact"/>
              <w:jc w:val="center"/>
              <w:rPr>
                <w:rFonts w:eastAsia="方正仿宋_GBK"/>
                <w:color w:val="auto"/>
                <w:szCs w:val="21"/>
                <w:highlight w:val="none"/>
              </w:rPr>
            </w:pPr>
            <w:r>
              <w:rPr>
                <w:rFonts w:eastAsia="方正仿宋_GBK"/>
                <w:color w:val="auto"/>
                <w:szCs w:val="21"/>
                <w:highlight w:val="none"/>
              </w:rPr>
              <w:t>高处作业防护</w:t>
            </w:r>
          </w:p>
        </w:tc>
        <w:tc>
          <w:tcPr>
            <w:tcW w:w="1545" w:type="dxa"/>
            <w:noWrap w:val="0"/>
            <w:vAlign w:val="center"/>
          </w:tcPr>
          <w:p w14:paraId="013A338A">
            <w:pPr>
              <w:pStyle w:val="256"/>
              <w:spacing w:line="300" w:lineRule="exact"/>
              <w:rPr>
                <w:rFonts w:eastAsia="方正仿宋_GBK"/>
                <w:color w:val="auto"/>
                <w:szCs w:val="21"/>
                <w:highlight w:val="none"/>
              </w:rPr>
            </w:pPr>
            <w:r>
              <w:rPr>
                <w:rFonts w:eastAsia="方正仿宋_GBK"/>
                <w:color w:val="auto"/>
                <w:szCs w:val="21"/>
                <w:highlight w:val="none"/>
              </w:rPr>
              <w:t>楼层、屋面、阳台等临边</w:t>
            </w:r>
          </w:p>
        </w:tc>
        <w:tc>
          <w:tcPr>
            <w:tcW w:w="6645" w:type="dxa"/>
            <w:noWrap w:val="0"/>
            <w:vAlign w:val="center"/>
          </w:tcPr>
          <w:p w14:paraId="11B7A6B5">
            <w:pPr>
              <w:pStyle w:val="256"/>
              <w:spacing w:line="300" w:lineRule="exact"/>
              <w:rPr>
                <w:rFonts w:eastAsia="方正仿宋_GBK"/>
                <w:color w:val="auto"/>
                <w:szCs w:val="21"/>
                <w:highlight w:val="none"/>
              </w:rPr>
            </w:pPr>
            <w:r>
              <w:rPr>
                <w:rFonts w:eastAsia="方正仿宋_GBK"/>
                <w:color w:val="auto"/>
                <w:szCs w:val="21"/>
                <w:highlight w:val="none"/>
              </w:rPr>
              <w:t>设两道防护栏杆和18cm高的踢脚板，用密目式安全立网全封闭。</w:t>
            </w:r>
          </w:p>
        </w:tc>
      </w:tr>
      <w:tr w14:paraId="5840AE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2912D5DC">
            <w:pPr>
              <w:pStyle w:val="256"/>
              <w:spacing w:line="300" w:lineRule="exact"/>
              <w:jc w:val="center"/>
              <w:rPr>
                <w:rFonts w:eastAsia="方正仿宋_GBK"/>
                <w:color w:val="auto"/>
                <w:szCs w:val="21"/>
                <w:highlight w:val="none"/>
              </w:rPr>
            </w:pPr>
          </w:p>
        </w:tc>
        <w:tc>
          <w:tcPr>
            <w:tcW w:w="525" w:type="dxa"/>
            <w:vMerge w:val="continue"/>
            <w:noWrap w:val="0"/>
            <w:vAlign w:val="center"/>
          </w:tcPr>
          <w:p w14:paraId="46CC6455">
            <w:pPr>
              <w:pStyle w:val="256"/>
              <w:spacing w:line="300" w:lineRule="exact"/>
              <w:jc w:val="center"/>
              <w:rPr>
                <w:rFonts w:eastAsia="方正仿宋_GBK"/>
                <w:color w:val="auto"/>
                <w:szCs w:val="21"/>
                <w:highlight w:val="none"/>
              </w:rPr>
            </w:pPr>
          </w:p>
        </w:tc>
        <w:tc>
          <w:tcPr>
            <w:tcW w:w="1545" w:type="dxa"/>
            <w:noWrap w:val="0"/>
            <w:vAlign w:val="center"/>
          </w:tcPr>
          <w:p w14:paraId="203FBDCE">
            <w:pPr>
              <w:pStyle w:val="256"/>
              <w:spacing w:line="300" w:lineRule="exact"/>
              <w:rPr>
                <w:rFonts w:eastAsia="方正仿宋_GBK"/>
                <w:color w:val="auto"/>
                <w:szCs w:val="21"/>
                <w:highlight w:val="none"/>
              </w:rPr>
            </w:pPr>
            <w:r>
              <w:rPr>
                <w:rFonts w:eastAsia="方正仿宋_GBK"/>
                <w:color w:val="auto"/>
                <w:szCs w:val="21"/>
                <w:highlight w:val="none"/>
              </w:rPr>
              <w:t>通道口</w:t>
            </w:r>
          </w:p>
        </w:tc>
        <w:tc>
          <w:tcPr>
            <w:tcW w:w="6645" w:type="dxa"/>
            <w:noWrap w:val="0"/>
            <w:vAlign w:val="center"/>
          </w:tcPr>
          <w:p w14:paraId="33B1F271">
            <w:pPr>
              <w:pStyle w:val="256"/>
              <w:spacing w:line="300" w:lineRule="exact"/>
              <w:rPr>
                <w:rFonts w:eastAsia="方正仿宋_GBK"/>
                <w:color w:val="auto"/>
                <w:szCs w:val="21"/>
                <w:highlight w:val="none"/>
              </w:rPr>
            </w:pPr>
            <w:r>
              <w:rPr>
                <w:rFonts w:eastAsia="方正仿宋_GBK"/>
                <w:color w:val="auto"/>
                <w:szCs w:val="21"/>
                <w:highlight w:val="none"/>
              </w:rPr>
              <w:t>设防护棚，防护棚应为不小于5cm厚的木板或两道相距50cm的竹笆。两侧应沿栏杆架用密目式安全网封闭。</w:t>
            </w:r>
          </w:p>
        </w:tc>
      </w:tr>
      <w:tr w14:paraId="732792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36F7347B">
            <w:pPr>
              <w:pStyle w:val="256"/>
              <w:spacing w:line="300" w:lineRule="exact"/>
              <w:jc w:val="center"/>
              <w:rPr>
                <w:rFonts w:eastAsia="方正仿宋_GBK"/>
                <w:color w:val="auto"/>
                <w:szCs w:val="21"/>
                <w:highlight w:val="none"/>
              </w:rPr>
            </w:pPr>
          </w:p>
        </w:tc>
        <w:tc>
          <w:tcPr>
            <w:tcW w:w="525" w:type="dxa"/>
            <w:vMerge w:val="continue"/>
            <w:noWrap w:val="0"/>
            <w:vAlign w:val="center"/>
          </w:tcPr>
          <w:p w14:paraId="14B19698">
            <w:pPr>
              <w:pStyle w:val="256"/>
              <w:spacing w:line="300" w:lineRule="exact"/>
              <w:jc w:val="center"/>
              <w:rPr>
                <w:rFonts w:eastAsia="方正仿宋_GBK"/>
                <w:color w:val="auto"/>
                <w:szCs w:val="21"/>
                <w:highlight w:val="none"/>
              </w:rPr>
            </w:pPr>
          </w:p>
        </w:tc>
        <w:tc>
          <w:tcPr>
            <w:tcW w:w="1545" w:type="dxa"/>
            <w:noWrap w:val="0"/>
            <w:vAlign w:val="center"/>
          </w:tcPr>
          <w:p w14:paraId="4F5F780E">
            <w:pPr>
              <w:pStyle w:val="256"/>
              <w:spacing w:line="300" w:lineRule="exact"/>
              <w:rPr>
                <w:rFonts w:eastAsia="方正仿宋_GBK"/>
                <w:color w:val="auto"/>
                <w:szCs w:val="21"/>
                <w:highlight w:val="none"/>
              </w:rPr>
            </w:pPr>
            <w:r>
              <w:rPr>
                <w:rFonts w:eastAsia="方正仿宋_GBK"/>
                <w:color w:val="auto"/>
                <w:szCs w:val="21"/>
                <w:highlight w:val="none"/>
              </w:rPr>
              <w:t>预留洞口</w:t>
            </w:r>
          </w:p>
        </w:tc>
        <w:tc>
          <w:tcPr>
            <w:tcW w:w="6645" w:type="dxa"/>
            <w:noWrap w:val="0"/>
            <w:vAlign w:val="center"/>
          </w:tcPr>
          <w:p w14:paraId="66AEF84D">
            <w:pPr>
              <w:pStyle w:val="256"/>
              <w:spacing w:line="300" w:lineRule="exact"/>
              <w:rPr>
                <w:rFonts w:eastAsia="方正仿宋_GBK"/>
                <w:color w:val="auto"/>
                <w:szCs w:val="21"/>
                <w:highlight w:val="none"/>
              </w:rPr>
            </w:pPr>
            <w:r>
              <w:rPr>
                <w:rFonts w:eastAsia="方正仿宋_GBK"/>
                <w:color w:val="auto"/>
                <w:szCs w:val="21"/>
                <w:highlight w:val="none"/>
              </w:rPr>
              <w:t>用硬质材料全封闭，短边超过1.5m长的洞口，除封闭外四周还应设有防护栏杆。</w:t>
            </w:r>
          </w:p>
        </w:tc>
      </w:tr>
      <w:tr w14:paraId="3896DF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05" w:hRule="atLeast"/>
        </w:trPr>
        <w:tc>
          <w:tcPr>
            <w:tcW w:w="738" w:type="dxa"/>
            <w:vMerge w:val="continue"/>
            <w:noWrap w:val="0"/>
            <w:vAlign w:val="center"/>
          </w:tcPr>
          <w:p w14:paraId="052C3341">
            <w:pPr>
              <w:pStyle w:val="256"/>
              <w:spacing w:line="300" w:lineRule="exact"/>
              <w:jc w:val="center"/>
              <w:rPr>
                <w:rFonts w:eastAsia="方正仿宋_GBK"/>
                <w:color w:val="auto"/>
                <w:szCs w:val="21"/>
                <w:highlight w:val="none"/>
              </w:rPr>
            </w:pPr>
          </w:p>
        </w:tc>
        <w:tc>
          <w:tcPr>
            <w:tcW w:w="525" w:type="dxa"/>
            <w:vMerge w:val="continue"/>
            <w:noWrap w:val="0"/>
            <w:vAlign w:val="center"/>
          </w:tcPr>
          <w:p w14:paraId="4D680A47">
            <w:pPr>
              <w:pStyle w:val="256"/>
              <w:spacing w:line="300" w:lineRule="exact"/>
              <w:jc w:val="center"/>
              <w:rPr>
                <w:rFonts w:eastAsia="方正仿宋_GBK"/>
                <w:color w:val="auto"/>
                <w:szCs w:val="21"/>
                <w:highlight w:val="none"/>
              </w:rPr>
            </w:pPr>
          </w:p>
        </w:tc>
        <w:tc>
          <w:tcPr>
            <w:tcW w:w="1545" w:type="dxa"/>
            <w:noWrap w:val="0"/>
            <w:vAlign w:val="center"/>
          </w:tcPr>
          <w:p w14:paraId="06458715">
            <w:pPr>
              <w:pStyle w:val="256"/>
              <w:spacing w:line="300" w:lineRule="exact"/>
              <w:rPr>
                <w:rFonts w:eastAsia="方正仿宋_GBK"/>
                <w:color w:val="auto"/>
                <w:szCs w:val="21"/>
                <w:highlight w:val="none"/>
              </w:rPr>
            </w:pPr>
            <w:r>
              <w:rPr>
                <w:rFonts w:eastAsia="方正仿宋_GBK"/>
                <w:color w:val="auto"/>
                <w:szCs w:val="21"/>
                <w:highlight w:val="none"/>
              </w:rPr>
              <w:t>电梯井口</w:t>
            </w:r>
          </w:p>
        </w:tc>
        <w:tc>
          <w:tcPr>
            <w:tcW w:w="6645" w:type="dxa"/>
            <w:noWrap w:val="0"/>
            <w:vAlign w:val="center"/>
          </w:tcPr>
          <w:p w14:paraId="1E141918">
            <w:pPr>
              <w:pStyle w:val="256"/>
              <w:spacing w:line="300" w:lineRule="exact"/>
              <w:rPr>
                <w:rFonts w:eastAsia="方正仿宋_GBK"/>
                <w:color w:val="auto"/>
                <w:szCs w:val="21"/>
                <w:highlight w:val="none"/>
              </w:rPr>
            </w:pPr>
            <w:r>
              <w:rPr>
                <w:rFonts w:eastAsia="方正仿宋_GBK"/>
                <w:color w:val="auto"/>
                <w:szCs w:val="21"/>
                <w:highlight w:val="none"/>
              </w:rPr>
              <w:t>设置定型化、工具化的防护门，在电梯井内每隔2层（不大于10m）设置一道水平防护。</w:t>
            </w:r>
          </w:p>
        </w:tc>
      </w:tr>
      <w:tr w14:paraId="594BB8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42DF956E">
            <w:pPr>
              <w:pStyle w:val="256"/>
              <w:spacing w:line="300" w:lineRule="exact"/>
              <w:jc w:val="center"/>
              <w:rPr>
                <w:rFonts w:eastAsia="方正仿宋_GBK"/>
                <w:color w:val="auto"/>
                <w:szCs w:val="21"/>
                <w:highlight w:val="none"/>
              </w:rPr>
            </w:pPr>
          </w:p>
        </w:tc>
        <w:tc>
          <w:tcPr>
            <w:tcW w:w="525" w:type="dxa"/>
            <w:vMerge w:val="continue"/>
            <w:noWrap w:val="0"/>
            <w:vAlign w:val="center"/>
          </w:tcPr>
          <w:p w14:paraId="5F6C484A">
            <w:pPr>
              <w:pStyle w:val="256"/>
              <w:spacing w:line="300" w:lineRule="exact"/>
              <w:jc w:val="center"/>
              <w:rPr>
                <w:rFonts w:eastAsia="方正仿宋_GBK"/>
                <w:color w:val="auto"/>
                <w:szCs w:val="21"/>
                <w:highlight w:val="none"/>
              </w:rPr>
            </w:pPr>
          </w:p>
        </w:tc>
        <w:tc>
          <w:tcPr>
            <w:tcW w:w="1545" w:type="dxa"/>
            <w:noWrap w:val="0"/>
            <w:vAlign w:val="center"/>
          </w:tcPr>
          <w:p w14:paraId="0B9B3FD2">
            <w:pPr>
              <w:pStyle w:val="256"/>
              <w:spacing w:line="300" w:lineRule="exact"/>
              <w:rPr>
                <w:rFonts w:eastAsia="方正仿宋_GBK"/>
                <w:color w:val="auto"/>
                <w:szCs w:val="21"/>
                <w:highlight w:val="none"/>
              </w:rPr>
            </w:pPr>
            <w:r>
              <w:rPr>
                <w:rFonts w:eastAsia="方正仿宋_GBK"/>
                <w:color w:val="auto"/>
                <w:szCs w:val="21"/>
                <w:highlight w:val="none"/>
              </w:rPr>
              <w:t>楼梯边</w:t>
            </w:r>
          </w:p>
        </w:tc>
        <w:tc>
          <w:tcPr>
            <w:tcW w:w="6645" w:type="dxa"/>
            <w:noWrap w:val="0"/>
            <w:vAlign w:val="center"/>
          </w:tcPr>
          <w:p w14:paraId="73438584">
            <w:pPr>
              <w:pStyle w:val="256"/>
              <w:spacing w:line="300" w:lineRule="exact"/>
              <w:rPr>
                <w:rFonts w:eastAsia="方正仿宋_GBK"/>
                <w:color w:val="auto"/>
                <w:szCs w:val="21"/>
                <w:highlight w:val="none"/>
              </w:rPr>
            </w:pPr>
            <w:r>
              <w:rPr>
                <w:rFonts w:eastAsia="方正仿宋_GBK"/>
                <w:color w:val="auto"/>
                <w:szCs w:val="21"/>
                <w:highlight w:val="none"/>
              </w:rPr>
              <w:t>设1.2m高的定型化、工具化的防护栏，18cm高的踢脚板。</w:t>
            </w:r>
          </w:p>
        </w:tc>
      </w:tr>
      <w:tr w14:paraId="088FE8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415CD686">
            <w:pPr>
              <w:pStyle w:val="256"/>
              <w:spacing w:line="300" w:lineRule="exact"/>
              <w:jc w:val="center"/>
              <w:rPr>
                <w:rFonts w:eastAsia="方正仿宋_GBK"/>
                <w:color w:val="auto"/>
                <w:szCs w:val="21"/>
                <w:highlight w:val="none"/>
              </w:rPr>
            </w:pPr>
          </w:p>
        </w:tc>
        <w:tc>
          <w:tcPr>
            <w:tcW w:w="525" w:type="dxa"/>
            <w:vMerge w:val="continue"/>
            <w:noWrap w:val="0"/>
            <w:vAlign w:val="center"/>
          </w:tcPr>
          <w:p w14:paraId="3CD88618">
            <w:pPr>
              <w:pStyle w:val="256"/>
              <w:spacing w:line="300" w:lineRule="exact"/>
              <w:jc w:val="center"/>
              <w:rPr>
                <w:rFonts w:eastAsia="方正仿宋_GBK"/>
                <w:color w:val="auto"/>
                <w:szCs w:val="21"/>
                <w:highlight w:val="none"/>
              </w:rPr>
            </w:pPr>
          </w:p>
        </w:tc>
        <w:tc>
          <w:tcPr>
            <w:tcW w:w="1545" w:type="dxa"/>
            <w:noWrap w:val="0"/>
            <w:vAlign w:val="center"/>
          </w:tcPr>
          <w:p w14:paraId="69CCB4A6">
            <w:pPr>
              <w:pStyle w:val="256"/>
              <w:spacing w:line="300" w:lineRule="exact"/>
              <w:rPr>
                <w:rFonts w:eastAsia="方正仿宋_GBK"/>
                <w:color w:val="auto"/>
                <w:szCs w:val="21"/>
                <w:highlight w:val="none"/>
              </w:rPr>
            </w:pPr>
            <w:r>
              <w:rPr>
                <w:rFonts w:eastAsia="方正仿宋_GBK"/>
                <w:color w:val="auto"/>
                <w:szCs w:val="21"/>
                <w:highlight w:val="none"/>
              </w:rPr>
              <w:t>垂直方向交叉作业</w:t>
            </w:r>
          </w:p>
        </w:tc>
        <w:tc>
          <w:tcPr>
            <w:tcW w:w="6645" w:type="dxa"/>
            <w:noWrap w:val="0"/>
            <w:vAlign w:val="center"/>
          </w:tcPr>
          <w:p w14:paraId="105075FA">
            <w:pPr>
              <w:pStyle w:val="256"/>
              <w:spacing w:line="300" w:lineRule="exact"/>
              <w:rPr>
                <w:rFonts w:eastAsia="方正仿宋_GBK"/>
                <w:color w:val="auto"/>
                <w:szCs w:val="21"/>
                <w:highlight w:val="none"/>
              </w:rPr>
            </w:pPr>
            <w:r>
              <w:rPr>
                <w:rFonts w:eastAsia="方正仿宋_GBK"/>
                <w:color w:val="auto"/>
                <w:szCs w:val="21"/>
                <w:highlight w:val="none"/>
              </w:rPr>
              <w:t>设置防护隔离棚或其它设施。</w:t>
            </w:r>
          </w:p>
        </w:tc>
      </w:tr>
      <w:tr w14:paraId="25AD3E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76DD9C4B">
            <w:pPr>
              <w:pStyle w:val="256"/>
              <w:spacing w:line="300" w:lineRule="exact"/>
              <w:jc w:val="center"/>
              <w:rPr>
                <w:rFonts w:eastAsia="方正仿宋_GBK"/>
                <w:color w:val="auto"/>
                <w:szCs w:val="21"/>
                <w:highlight w:val="none"/>
              </w:rPr>
            </w:pPr>
          </w:p>
        </w:tc>
        <w:tc>
          <w:tcPr>
            <w:tcW w:w="525" w:type="dxa"/>
            <w:vMerge w:val="continue"/>
            <w:noWrap w:val="0"/>
            <w:vAlign w:val="center"/>
          </w:tcPr>
          <w:p w14:paraId="4110FB0D">
            <w:pPr>
              <w:pStyle w:val="256"/>
              <w:spacing w:line="300" w:lineRule="exact"/>
              <w:jc w:val="center"/>
              <w:rPr>
                <w:rFonts w:eastAsia="方正仿宋_GBK"/>
                <w:color w:val="auto"/>
                <w:szCs w:val="21"/>
                <w:highlight w:val="none"/>
              </w:rPr>
            </w:pPr>
          </w:p>
        </w:tc>
        <w:tc>
          <w:tcPr>
            <w:tcW w:w="1545" w:type="dxa"/>
            <w:noWrap w:val="0"/>
            <w:vAlign w:val="center"/>
          </w:tcPr>
          <w:p w14:paraId="2B28C797">
            <w:pPr>
              <w:pStyle w:val="256"/>
              <w:spacing w:line="300" w:lineRule="exact"/>
              <w:rPr>
                <w:rFonts w:eastAsia="方正仿宋_GBK"/>
                <w:color w:val="auto"/>
                <w:szCs w:val="21"/>
                <w:highlight w:val="none"/>
              </w:rPr>
            </w:pPr>
            <w:r>
              <w:rPr>
                <w:rFonts w:eastAsia="方正仿宋_GBK"/>
                <w:color w:val="auto"/>
                <w:szCs w:val="21"/>
                <w:highlight w:val="none"/>
              </w:rPr>
              <w:t>高处作业</w:t>
            </w:r>
          </w:p>
        </w:tc>
        <w:tc>
          <w:tcPr>
            <w:tcW w:w="6645" w:type="dxa"/>
            <w:noWrap w:val="0"/>
            <w:vAlign w:val="center"/>
          </w:tcPr>
          <w:p w14:paraId="17D536AC">
            <w:pPr>
              <w:pStyle w:val="256"/>
              <w:spacing w:line="300" w:lineRule="exact"/>
              <w:rPr>
                <w:rFonts w:eastAsia="方正仿宋_GBK"/>
                <w:color w:val="auto"/>
                <w:szCs w:val="21"/>
                <w:highlight w:val="none"/>
              </w:rPr>
            </w:pPr>
            <w:r>
              <w:rPr>
                <w:rFonts w:eastAsia="方正仿宋_GBK"/>
                <w:color w:val="auto"/>
                <w:szCs w:val="21"/>
                <w:highlight w:val="none"/>
              </w:rPr>
              <w:t>有悬挂安全带的悬索或其它设施，有操作平台，有上下的梯子或其它形式的通道。</w:t>
            </w:r>
          </w:p>
        </w:tc>
      </w:tr>
      <w:tr w14:paraId="355592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4696C550">
            <w:pPr>
              <w:pStyle w:val="256"/>
              <w:spacing w:line="300" w:lineRule="exact"/>
              <w:jc w:val="center"/>
              <w:rPr>
                <w:rFonts w:eastAsia="方正仿宋_GBK"/>
                <w:color w:val="auto"/>
                <w:szCs w:val="21"/>
                <w:highlight w:val="none"/>
              </w:rPr>
            </w:pPr>
          </w:p>
        </w:tc>
        <w:tc>
          <w:tcPr>
            <w:tcW w:w="525" w:type="dxa"/>
            <w:vMerge w:val="continue"/>
            <w:noWrap w:val="0"/>
            <w:vAlign w:val="center"/>
          </w:tcPr>
          <w:p w14:paraId="4654F223">
            <w:pPr>
              <w:pStyle w:val="256"/>
              <w:spacing w:line="300" w:lineRule="exact"/>
              <w:jc w:val="center"/>
              <w:rPr>
                <w:rFonts w:eastAsia="方正仿宋_GBK"/>
                <w:color w:val="auto"/>
                <w:szCs w:val="21"/>
                <w:highlight w:val="none"/>
              </w:rPr>
            </w:pPr>
          </w:p>
        </w:tc>
        <w:tc>
          <w:tcPr>
            <w:tcW w:w="1545" w:type="dxa"/>
            <w:noWrap w:val="0"/>
            <w:vAlign w:val="center"/>
          </w:tcPr>
          <w:p w14:paraId="7124103A">
            <w:pPr>
              <w:pStyle w:val="256"/>
              <w:spacing w:line="300" w:lineRule="exact"/>
              <w:rPr>
                <w:rFonts w:eastAsia="方正仿宋_GBK"/>
                <w:color w:val="auto"/>
                <w:szCs w:val="21"/>
                <w:highlight w:val="none"/>
              </w:rPr>
            </w:pPr>
            <w:r>
              <w:rPr>
                <w:rFonts w:eastAsia="方正仿宋_GBK"/>
                <w:color w:val="auto"/>
                <w:szCs w:val="21"/>
                <w:highlight w:val="none"/>
              </w:rPr>
              <w:t>基坑、物料平台</w:t>
            </w:r>
          </w:p>
        </w:tc>
        <w:tc>
          <w:tcPr>
            <w:tcW w:w="6645" w:type="dxa"/>
            <w:noWrap w:val="0"/>
            <w:vAlign w:val="center"/>
          </w:tcPr>
          <w:p w14:paraId="080D63BC">
            <w:pPr>
              <w:pStyle w:val="256"/>
              <w:spacing w:line="300" w:lineRule="exact"/>
              <w:rPr>
                <w:rFonts w:eastAsia="方正仿宋_GBK"/>
                <w:color w:val="auto"/>
                <w:szCs w:val="21"/>
                <w:highlight w:val="none"/>
              </w:rPr>
            </w:pPr>
            <w:r>
              <w:rPr>
                <w:rFonts w:eastAsia="方正仿宋_GBK"/>
                <w:color w:val="auto"/>
                <w:szCs w:val="21"/>
                <w:highlight w:val="none"/>
              </w:rPr>
              <w:t>设1.2m高标准化的防护栏，用密目式安全立网封闭，悬挂标识。</w:t>
            </w:r>
          </w:p>
        </w:tc>
      </w:tr>
      <w:tr w14:paraId="06D426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60D78A1E">
            <w:pPr>
              <w:pStyle w:val="256"/>
              <w:spacing w:line="300" w:lineRule="exact"/>
              <w:jc w:val="center"/>
              <w:rPr>
                <w:rFonts w:eastAsia="方正仿宋_GBK"/>
                <w:color w:val="auto"/>
                <w:szCs w:val="21"/>
                <w:highlight w:val="none"/>
              </w:rPr>
            </w:pPr>
          </w:p>
        </w:tc>
        <w:tc>
          <w:tcPr>
            <w:tcW w:w="2070" w:type="dxa"/>
            <w:gridSpan w:val="2"/>
            <w:noWrap w:val="0"/>
            <w:vAlign w:val="center"/>
          </w:tcPr>
          <w:p w14:paraId="48DD91F9">
            <w:pPr>
              <w:pStyle w:val="256"/>
              <w:spacing w:line="300" w:lineRule="exact"/>
              <w:jc w:val="center"/>
              <w:rPr>
                <w:rFonts w:eastAsia="方正仿宋_GBK"/>
                <w:color w:val="auto"/>
                <w:szCs w:val="21"/>
                <w:highlight w:val="none"/>
              </w:rPr>
            </w:pPr>
            <w:r>
              <w:rPr>
                <w:rFonts w:eastAsia="方正仿宋_GBK"/>
                <w:color w:val="auto"/>
                <w:szCs w:val="21"/>
                <w:highlight w:val="none"/>
              </w:rPr>
              <w:t>安全防护用品</w:t>
            </w:r>
          </w:p>
        </w:tc>
        <w:tc>
          <w:tcPr>
            <w:tcW w:w="6645" w:type="dxa"/>
            <w:noWrap w:val="0"/>
            <w:vAlign w:val="center"/>
          </w:tcPr>
          <w:p w14:paraId="5867A2A0">
            <w:pPr>
              <w:pStyle w:val="256"/>
              <w:spacing w:line="300" w:lineRule="exact"/>
              <w:rPr>
                <w:rFonts w:eastAsia="方正仿宋_GBK"/>
                <w:color w:val="auto"/>
                <w:szCs w:val="21"/>
                <w:highlight w:val="none"/>
              </w:rPr>
            </w:pPr>
            <w:r>
              <w:rPr>
                <w:rFonts w:eastAsia="方正仿宋_GBK"/>
                <w:color w:val="auto"/>
                <w:szCs w:val="21"/>
                <w:highlight w:val="none"/>
              </w:rPr>
              <w:t>安全帽、安全带、特种作业人员（电工、焊工、架子工等）防护服装、用品等。</w:t>
            </w:r>
          </w:p>
        </w:tc>
      </w:tr>
      <w:tr w14:paraId="453F21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55" w:hRule="atLeast"/>
        </w:trPr>
        <w:tc>
          <w:tcPr>
            <w:tcW w:w="738" w:type="dxa"/>
            <w:vMerge w:val="restart"/>
            <w:noWrap w:val="0"/>
            <w:vAlign w:val="center"/>
          </w:tcPr>
          <w:p w14:paraId="38AB662E">
            <w:pPr>
              <w:pStyle w:val="256"/>
              <w:spacing w:line="300" w:lineRule="exact"/>
              <w:jc w:val="center"/>
              <w:rPr>
                <w:rFonts w:eastAsia="方正仿宋_GBK"/>
                <w:color w:val="auto"/>
                <w:szCs w:val="21"/>
                <w:highlight w:val="none"/>
              </w:rPr>
            </w:pPr>
            <w:r>
              <w:rPr>
                <w:rFonts w:eastAsia="方正仿宋_GBK"/>
                <w:color w:val="auto"/>
                <w:szCs w:val="21"/>
                <w:highlight w:val="none"/>
              </w:rPr>
              <w:t>其它</w:t>
            </w:r>
          </w:p>
        </w:tc>
        <w:tc>
          <w:tcPr>
            <w:tcW w:w="525" w:type="dxa"/>
            <w:vMerge w:val="restart"/>
            <w:noWrap w:val="0"/>
            <w:vAlign w:val="center"/>
          </w:tcPr>
          <w:p w14:paraId="27B3B646">
            <w:pPr>
              <w:pStyle w:val="256"/>
              <w:spacing w:line="300" w:lineRule="exact"/>
              <w:jc w:val="center"/>
              <w:rPr>
                <w:rFonts w:eastAsia="方正仿宋_GBK"/>
                <w:color w:val="auto"/>
                <w:szCs w:val="21"/>
                <w:highlight w:val="none"/>
              </w:rPr>
            </w:pPr>
            <w:r>
              <w:rPr>
                <w:rFonts w:eastAsia="方正仿宋_GBK"/>
                <w:color w:val="auto"/>
                <w:szCs w:val="21"/>
                <w:highlight w:val="none"/>
              </w:rPr>
              <w:t>机械设备防护</w:t>
            </w:r>
          </w:p>
        </w:tc>
        <w:tc>
          <w:tcPr>
            <w:tcW w:w="1545" w:type="dxa"/>
            <w:noWrap w:val="0"/>
            <w:vAlign w:val="center"/>
          </w:tcPr>
          <w:p w14:paraId="1B3AB33B">
            <w:pPr>
              <w:pStyle w:val="256"/>
              <w:spacing w:line="300" w:lineRule="exact"/>
              <w:jc w:val="center"/>
              <w:rPr>
                <w:rFonts w:eastAsia="方正仿宋_GBK"/>
                <w:color w:val="auto"/>
                <w:szCs w:val="21"/>
                <w:highlight w:val="none"/>
              </w:rPr>
            </w:pPr>
            <w:r>
              <w:rPr>
                <w:rFonts w:eastAsia="方正仿宋_GBK"/>
                <w:color w:val="auto"/>
                <w:szCs w:val="21"/>
                <w:highlight w:val="none"/>
              </w:rPr>
              <w:t>中小型机械</w:t>
            </w:r>
          </w:p>
        </w:tc>
        <w:tc>
          <w:tcPr>
            <w:tcW w:w="6645" w:type="dxa"/>
            <w:noWrap w:val="0"/>
            <w:vAlign w:val="center"/>
          </w:tcPr>
          <w:p w14:paraId="57DF14D3">
            <w:pPr>
              <w:pStyle w:val="256"/>
              <w:spacing w:line="300" w:lineRule="exact"/>
              <w:rPr>
                <w:rFonts w:eastAsia="方正仿宋_GBK"/>
                <w:color w:val="auto"/>
                <w:szCs w:val="21"/>
                <w:highlight w:val="none"/>
              </w:rPr>
            </w:pPr>
            <w:r>
              <w:rPr>
                <w:rFonts w:eastAsia="方正仿宋_GBK"/>
                <w:color w:val="auto"/>
                <w:szCs w:val="21"/>
                <w:highlight w:val="none"/>
              </w:rPr>
              <w:t>设防护棚（同通道口防护并有防雨措施）。</w:t>
            </w:r>
          </w:p>
        </w:tc>
      </w:tr>
      <w:tr w14:paraId="79622C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26C70A59">
            <w:pPr>
              <w:pStyle w:val="256"/>
              <w:spacing w:line="300" w:lineRule="exact"/>
              <w:jc w:val="center"/>
              <w:rPr>
                <w:rFonts w:eastAsia="方正仿宋_GBK"/>
                <w:color w:val="auto"/>
                <w:szCs w:val="21"/>
                <w:highlight w:val="none"/>
              </w:rPr>
            </w:pPr>
          </w:p>
        </w:tc>
        <w:tc>
          <w:tcPr>
            <w:tcW w:w="525" w:type="dxa"/>
            <w:vMerge w:val="continue"/>
            <w:noWrap w:val="0"/>
            <w:vAlign w:val="center"/>
          </w:tcPr>
          <w:p w14:paraId="23E56B1C">
            <w:pPr>
              <w:pStyle w:val="256"/>
              <w:spacing w:line="300" w:lineRule="exact"/>
              <w:jc w:val="center"/>
              <w:rPr>
                <w:rFonts w:eastAsia="方正仿宋_GBK"/>
                <w:color w:val="auto"/>
                <w:szCs w:val="21"/>
                <w:highlight w:val="none"/>
              </w:rPr>
            </w:pPr>
          </w:p>
        </w:tc>
        <w:tc>
          <w:tcPr>
            <w:tcW w:w="1545" w:type="dxa"/>
            <w:noWrap w:val="0"/>
            <w:vAlign w:val="center"/>
          </w:tcPr>
          <w:p w14:paraId="37E00394">
            <w:pPr>
              <w:pStyle w:val="256"/>
              <w:spacing w:line="300" w:lineRule="exact"/>
              <w:jc w:val="center"/>
              <w:rPr>
                <w:rFonts w:eastAsia="方正仿宋_GBK"/>
                <w:color w:val="auto"/>
                <w:szCs w:val="21"/>
                <w:highlight w:val="none"/>
              </w:rPr>
            </w:pPr>
            <w:r>
              <w:rPr>
                <w:rFonts w:eastAsia="方正仿宋_GBK"/>
                <w:color w:val="auto"/>
                <w:szCs w:val="21"/>
                <w:highlight w:val="none"/>
              </w:rPr>
              <w:t>垂直运输设备</w:t>
            </w:r>
          </w:p>
        </w:tc>
        <w:tc>
          <w:tcPr>
            <w:tcW w:w="6645" w:type="dxa"/>
            <w:noWrap w:val="0"/>
            <w:vAlign w:val="center"/>
          </w:tcPr>
          <w:p w14:paraId="478976C8">
            <w:pPr>
              <w:pStyle w:val="256"/>
              <w:spacing w:line="300" w:lineRule="exact"/>
              <w:rPr>
                <w:rFonts w:eastAsia="方正仿宋_GBK"/>
                <w:color w:val="auto"/>
                <w:szCs w:val="21"/>
                <w:highlight w:val="none"/>
              </w:rPr>
            </w:pPr>
            <w:r>
              <w:rPr>
                <w:rFonts w:eastAsia="方正仿宋_GBK"/>
                <w:color w:val="auto"/>
                <w:szCs w:val="21"/>
                <w:highlight w:val="none"/>
              </w:rPr>
              <w:t>1. 垂直运输设备检测、检验、日常维护、保养等。</w:t>
            </w:r>
          </w:p>
          <w:p w14:paraId="1C6C9C9D">
            <w:pPr>
              <w:pStyle w:val="256"/>
              <w:spacing w:line="300" w:lineRule="exact"/>
              <w:rPr>
                <w:rFonts w:eastAsia="方正仿宋_GBK"/>
                <w:color w:val="auto"/>
                <w:szCs w:val="21"/>
                <w:highlight w:val="none"/>
              </w:rPr>
            </w:pPr>
            <w:r>
              <w:rPr>
                <w:rFonts w:eastAsia="方正仿宋_GBK"/>
                <w:color w:val="auto"/>
                <w:szCs w:val="21"/>
                <w:highlight w:val="none"/>
              </w:rPr>
              <w:t>2. 物料提升机、施工电梯等物料平台搭设、外侧用密目式安全立网全封闭，有安全通道、安全防护门、防护棚等。</w:t>
            </w:r>
          </w:p>
        </w:tc>
      </w:tr>
      <w:tr w14:paraId="37CC81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738" w:type="dxa"/>
            <w:vMerge w:val="continue"/>
            <w:noWrap w:val="0"/>
            <w:vAlign w:val="center"/>
          </w:tcPr>
          <w:p w14:paraId="3E01AE6D">
            <w:pPr>
              <w:pStyle w:val="256"/>
              <w:spacing w:line="300" w:lineRule="exact"/>
              <w:jc w:val="center"/>
              <w:rPr>
                <w:rFonts w:eastAsia="方正仿宋_GBK"/>
                <w:color w:val="auto"/>
                <w:szCs w:val="21"/>
                <w:highlight w:val="none"/>
              </w:rPr>
            </w:pPr>
          </w:p>
        </w:tc>
        <w:tc>
          <w:tcPr>
            <w:tcW w:w="2070" w:type="dxa"/>
            <w:gridSpan w:val="2"/>
            <w:noWrap w:val="0"/>
            <w:vAlign w:val="center"/>
          </w:tcPr>
          <w:p w14:paraId="4674BF47">
            <w:pPr>
              <w:pStyle w:val="256"/>
              <w:spacing w:line="300" w:lineRule="exact"/>
              <w:jc w:val="center"/>
              <w:rPr>
                <w:rFonts w:eastAsia="方正仿宋_GBK"/>
                <w:color w:val="auto"/>
                <w:szCs w:val="21"/>
                <w:highlight w:val="none"/>
              </w:rPr>
            </w:pPr>
            <w:r>
              <w:rPr>
                <w:rFonts w:eastAsia="方正仿宋_GBK"/>
                <w:color w:val="auto"/>
                <w:szCs w:val="21"/>
                <w:highlight w:val="none"/>
              </w:rPr>
              <w:t>专家论证审查</w:t>
            </w:r>
          </w:p>
        </w:tc>
        <w:tc>
          <w:tcPr>
            <w:tcW w:w="6645" w:type="dxa"/>
            <w:noWrap w:val="0"/>
            <w:vAlign w:val="center"/>
          </w:tcPr>
          <w:p w14:paraId="5C153012">
            <w:pPr>
              <w:pStyle w:val="256"/>
              <w:spacing w:line="300" w:lineRule="exact"/>
              <w:rPr>
                <w:rFonts w:eastAsia="方正仿宋_GBK"/>
                <w:color w:val="auto"/>
                <w:szCs w:val="21"/>
                <w:highlight w:val="none"/>
              </w:rPr>
            </w:pPr>
            <w:r>
              <w:rPr>
                <w:rFonts w:eastAsia="方正仿宋_GBK"/>
                <w:color w:val="auto"/>
                <w:szCs w:val="21"/>
                <w:highlight w:val="none"/>
              </w:rPr>
              <w:t>超过一定规模的危险性较大分部分项工程专家论证审查。</w:t>
            </w:r>
          </w:p>
        </w:tc>
      </w:tr>
      <w:tr w14:paraId="48FF47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738" w:type="dxa"/>
            <w:vMerge w:val="continue"/>
            <w:noWrap w:val="0"/>
            <w:vAlign w:val="center"/>
          </w:tcPr>
          <w:p w14:paraId="44040234">
            <w:pPr>
              <w:pStyle w:val="256"/>
              <w:spacing w:line="300" w:lineRule="exact"/>
              <w:jc w:val="center"/>
              <w:rPr>
                <w:rFonts w:eastAsia="方正仿宋_GBK"/>
                <w:color w:val="auto"/>
                <w:szCs w:val="21"/>
                <w:highlight w:val="none"/>
              </w:rPr>
            </w:pPr>
          </w:p>
        </w:tc>
        <w:tc>
          <w:tcPr>
            <w:tcW w:w="2070" w:type="dxa"/>
            <w:gridSpan w:val="2"/>
            <w:noWrap w:val="0"/>
            <w:vAlign w:val="center"/>
          </w:tcPr>
          <w:p w14:paraId="268D266E">
            <w:pPr>
              <w:pStyle w:val="256"/>
              <w:spacing w:line="300" w:lineRule="exact"/>
              <w:jc w:val="center"/>
              <w:rPr>
                <w:rFonts w:eastAsia="方正仿宋_GBK"/>
                <w:color w:val="auto"/>
                <w:szCs w:val="21"/>
                <w:highlight w:val="none"/>
              </w:rPr>
            </w:pPr>
            <w:r>
              <w:rPr>
                <w:rFonts w:eastAsia="方正仿宋_GBK"/>
                <w:color w:val="auto"/>
                <w:szCs w:val="21"/>
                <w:highlight w:val="none"/>
              </w:rPr>
              <w:t>应急救援预案</w:t>
            </w:r>
          </w:p>
        </w:tc>
        <w:tc>
          <w:tcPr>
            <w:tcW w:w="6645" w:type="dxa"/>
            <w:noWrap w:val="0"/>
            <w:vAlign w:val="center"/>
          </w:tcPr>
          <w:p w14:paraId="6110BA28">
            <w:pPr>
              <w:pStyle w:val="256"/>
              <w:spacing w:line="300" w:lineRule="exact"/>
              <w:rPr>
                <w:rFonts w:eastAsia="方正仿宋_GBK"/>
                <w:color w:val="auto"/>
                <w:szCs w:val="21"/>
                <w:highlight w:val="none"/>
              </w:rPr>
            </w:pPr>
            <w:r>
              <w:rPr>
                <w:rFonts w:eastAsia="方正仿宋_GBK"/>
                <w:color w:val="auto"/>
                <w:szCs w:val="21"/>
                <w:highlight w:val="none"/>
              </w:rPr>
              <w:t>救援器材准备及演练等。</w:t>
            </w:r>
          </w:p>
        </w:tc>
      </w:tr>
      <w:tr w14:paraId="407B0F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51187B99">
            <w:pPr>
              <w:pStyle w:val="256"/>
              <w:spacing w:line="300" w:lineRule="exact"/>
              <w:jc w:val="center"/>
              <w:rPr>
                <w:rFonts w:eastAsia="方正仿宋_GBK"/>
                <w:color w:val="auto"/>
                <w:szCs w:val="21"/>
                <w:highlight w:val="none"/>
              </w:rPr>
            </w:pPr>
          </w:p>
        </w:tc>
        <w:tc>
          <w:tcPr>
            <w:tcW w:w="2070" w:type="dxa"/>
            <w:gridSpan w:val="2"/>
            <w:noWrap w:val="0"/>
            <w:vAlign w:val="center"/>
          </w:tcPr>
          <w:p w14:paraId="623CD2AD">
            <w:pPr>
              <w:pStyle w:val="256"/>
              <w:spacing w:line="300" w:lineRule="exact"/>
              <w:jc w:val="center"/>
              <w:rPr>
                <w:rFonts w:eastAsia="方正仿宋_GBK"/>
                <w:color w:val="auto"/>
                <w:szCs w:val="21"/>
                <w:highlight w:val="none"/>
              </w:rPr>
            </w:pPr>
            <w:r>
              <w:rPr>
                <w:rFonts w:eastAsia="方正仿宋_GBK"/>
                <w:color w:val="auto"/>
                <w:szCs w:val="21"/>
                <w:highlight w:val="none"/>
              </w:rPr>
              <w:t>非正常情况施工</w:t>
            </w:r>
          </w:p>
        </w:tc>
        <w:tc>
          <w:tcPr>
            <w:tcW w:w="6645" w:type="dxa"/>
            <w:noWrap w:val="0"/>
            <w:vAlign w:val="center"/>
          </w:tcPr>
          <w:p w14:paraId="171406C0">
            <w:pPr>
              <w:pStyle w:val="256"/>
              <w:spacing w:line="300" w:lineRule="exact"/>
              <w:rPr>
                <w:rFonts w:eastAsia="方正仿宋_GBK"/>
                <w:color w:val="auto"/>
                <w:szCs w:val="21"/>
                <w:highlight w:val="none"/>
              </w:rPr>
            </w:pPr>
            <w:r>
              <w:rPr>
                <w:rFonts w:eastAsia="方正仿宋_GBK"/>
                <w:color w:val="auto"/>
                <w:szCs w:val="21"/>
                <w:highlight w:val="none"/>
              </w:rPr>
              <w:t>其它特殊情况下的防护费用，如：城市主干道、人流密集、河边等处施工及文物、古建筑、古树保护等。</w:t>
            </w:r>
          </w:p>
        </w:tc>
      </w:tr>
    </w:tbl>
    <w:p w14:paraId="4C55B934">
      <w:pPr>
        <w:pStyle w:val="27"/>
        <w:tabs>
          <w:tab w:val="left" w:pos="2127"/>
        </w:tabs>
        <w:spacing w:line="340" w:lineRule="exact"/>
        <w:rPr>
          <w:rFonts w:ascii="Times New Roman" w:hAnsi="Times New Roman" w:cs="Times New Roman"/>
          <w:color w:val="auto"/>
          <w:highlight w:val="none"/>
        </w:rPr>
      </w:pPr>
      <w:r>
        <w:rPr>
          <w:rFonts w:ascii="Times New Roman" w:hAnsi="Times New Roman" w:eastAsia="方正仿宋_GBK" w:cs="Times New Roman"/>
          <w:color w:val="auto"/>
          <w:highlight w:val="none"/>
        </w:rPr>
        <w:t>注：本表所列建设工程安全文明施工费，是依据现行法律法规及标准、规范确定的。如法律法规和标准、规范修订，本表所列项目应按照修订后的法律法规和标准规范进行调整。</w:t>
      </w:r>
    </w:p>
    <w:p w14:paraId="2EF2CCD0">
      <w:pPr>
        <w:snapToGrid w:val="0"/>
        <w:spacing w:before="50" w:after="120" w:afterLines="50"/>
        <w:jc w:val="left"/>
        <w:rPr>
          <w:rFonts w:hint="eastAsia"/>
          <w:color w:val="auto"/>
          <w:szCs w:val="21"/>
          <w:highlight w:val="none"/>
        </w:rPr>
      </w:pPr>
      <w:r>
        <w:rPr>
          <w:color w:val="auto"/>
          <w:highlight w:val="none"/>
        </w:rPr>
        <w:br w:type="page"/>
      </w:r>
    </w:p>
    <w:p w14:paraId="0D19DBD3">
      <w:pPr>
        <w:snapToGrid w:val="0"/>
        <w:spacing w:before="50" w:after="120" w:afterLines="50"/>
        <w:jc w:val="left"/>
        <w:rPr>
          <w:color w:val="auto"/>
          <w:szCs w:val="21"/>
          <w:highlight w:val="none"/>
        </w:rPr>
      </w:pPr>
      <w:r>
        <w:rPr>
          <w:rFonts w:hint="eastAsia"/>
          <w:color w:val="auto"/>
          <w:szCs w:val="21"/>
          <w:highlight w:val="none"/>
          <w:lang w:val="en-US" w:eastAsia="zh-CN"/>
        </w:rPr>
        <w:t>9</w:t>
      </w:r>
      <w:r>
        <w:rPr>
          <w:color w:val="auto"/>
          <w:szCs w:val="21"/>
          <w:highlight w:val="none"/>
        </w:rPr>
        <w:t>.本工程拟投入列入</w:t>
      </w:r>
      <w:r>
        <w:rPr>
          <w:rFonts w:hint="eastAsia"/>
          <w:color w:val="auto"/>
          <w:szCs w:val="21"/>
          <w:highlight w:val="none"/>
        </w:rPr>
        <w:t>节能产品政府采购品目清单及环境标志产品政府采购品目清单的货物清单</w:t>
      </w:r>
      <w:r>
        <w:rPr>
          <w:color w:val="auto"/>
          <w:szCs w:val="21"/>
          <w:highlight w:val="none"/>
        </w:rPr>
        <w:t>。</w:t>
      </w:r>
      <w:r>
        <w:rPr>
          <w:rFonts w:hint="eastAsia"/>
          <w:b/>
          <w:color w:val="auto"/>
          <w:szCs w:val="21"/>
          <w:highlight w:val="none"/>
        </w:rPr>
        <w:t>（如有，须提供）</w:t>
      </w:r>
    </w:p>
    <w:p w14:paraId="0B44522D">
      <w:pPr>
        <w:snapToGrid w:val="0"/>
        <w:spacing w:before="50" w:after="120" w:afterLines="50"/>
        <w:jc w:val="left"/>
        <w:rPr>
          <w:rFonts w:hint="eastAsia"/>
          <w:color w:val="auto"/>
          <w:szCs w:val="21"/>
          <w:highlight w:val="none"/>
        </w:rPr>
      </w:pPr>
      <w:bookmarkStart w:id="1070" w:name="_Hlk89190963"/>
      <w:r>
        <w:rPr>
          <w:rFonts w:hint="eastAsia"/>
          <w:color w:val="auto"/>
          <w:szCs w:val="21"/>
          <w:highlight w:val="none"/>
          <w:lang w:val="en-US" w:eastAsia="zh-CN"/>
        </w:rPr>
        <w:t>9</w:t>
      </w:r>
      <w:r>
        <w:rPr>
          <w:color w:val="auto"/>
          <w:szCs w:val="21"/>
          <w:highlight w:val="none"/>
        </w:rPr>
        <w:t>.1</w:t>
      </w:r>
      <w:r>
        <w:rPr>
          <w:rFonts w:hint="eastAsia"/>
          <w:color w:val="auto"/>
          <w:szCs w:val="21"/>
          <w:highlight w:val="none"/>
        </w:rPr>
        <w:t>建筑材料和设备节能环保要求承诺书</w:t>
      </w:r>
    </w:p>
    <w:p w14:paraId="18A7AE8E">
      <w:pPr>
        <w:spacing w:line="520" w:lineRule="exact"/>
        <w:ind w:left="-10" w:firstLine="455" w:firstLineChars="217"/>
        <w:jc w:val="left"/>
        <w:rPr>
          <w:rFonts w:hint="eastAsia"/>
          <w:color w:val="auto"/>
          <w:highlight w:val="none"/>
        </w:rPr>
      </w:pPr>
      <w:r>
        <w:rPr>
          <w:rFonts w:hint="eastAsia"/>
          <w:color w:val="auto"/>
          <w:highlight w:val="none"/>
        </w:rPr>
        <w:t>我方承诺，一旦</w:t>
      </w:r>
      <w:r>
        <w:rPr>
          <w:rFonts w:hint="eastAsia"/>
          <w:color w:val="auto"/>
          <w:highlight w:val="none"/>
          <w:lang w:val="en-US" w:eastAsia="zh-CN"/>
        </w:rPr>
        <w:t>成交</w:t>
      </w:r>
      <w:r>
        <w:rPr>
          <w:rFonts w:hint="eastAsia"/>
          <w:color w:val="auto"/>
          <w:highlight w:val="none"/>
        </w:rPr>
        <w:t>，我方保证严格执行</w:t>
      </w:r>
      <w:r>
        <w:rPr>
          <w:rFonts w:hint="eastAsia" w:cs="宋体"/>
          <w:color w:val="auto"/>
          <w:highlight w:val="none"/>
        </w:rPr>
        <w:t>《</w:t>
      </w:r>
      <w:r>
        <w:rPr>
          <w:rFonts w:hint="eastAsia" w:ascii="宋体" w:hAnsi="宋体"/>
          <w:color w:val="auto"/>
          <w:highlight w:val="none"/>
        </w:rPr>
        <w:t>财政部 国家发展改革委关于印发《节能产品政府采购实施意见》的通知</w:t>
      </w:r>
      <w:r>
        <w:rPr>
          <w:rFonts w:hint="eastAsia" w:cs="宋体"/>
          <w:color w:val="auto"/>
          <w:highlight w:val="none"/>
        </w:rPr>
        <w:t>》</w:t>
      </w:r>
      <w:r>
        <w:rPr>
          <w:rFonts w:hint="eastAsia" w:ascii="宋体" w:hAnsi="宋体"/>
          <w:color w:val="auto"/>
          <w:highlight w:val="none"/>
        </w:rPr>
        <w:t>（财库〔2004〕185号）、</w:t>
      </w:r>
      <w:r>
        <w:rPr>
          <w:rFonts w:hint="eastAsia" w:cs="宋体"/>
          <w:color w:val="auto"/>
          <w:highlight w:val="none"/>
        </w:rPr>
        <w:t>《财政部 发展改革委 生态环境部 市场监管总局关于调整优化节能产品、环境标志产品政府采购执行机制的通知》（财库〔2019〕9号）和《关于印发节能产品政府采购品目清单的通知》（财库〔2019〕19号）的规定，所有工程中涉及的建筑材料和设备如属于财库〔2019〕19号文中《节能产品政府采购品目清单》内标注“★”的产品，都使用政府强制采购的节能产品。</w:t>
      </w:r>
      <w:r>
        <w:rPr>
          <w:color w:val="auto"/>
          <w:highlight w:val="none"/>
        </w:rPr>
        <w:t>如我方在该项目的承包中出现未按规定执行的情形，我方愿意按照相关规定接受建设单位及有关主管部门的处罚。</w:t>
      </w:r>
    </w:p>
    <w:p w14:paraId="47952E5C">
      <w:pPr>
        <w:spacing w:line="520" w:lineRule="exact"/>
        <w:ind w:left="-10" w:firstLine="455" w:firstLineChars="217"/>
        <w:jc w:val="left"/>
        <w:rPr>
          <w:rFonts w:hint="eastAsia"/>
          <w:color w:val="auto"/>
          <w:highlight w:val="none"/>
        </w:rPr>
      </w:pPr>
    </w:p>
    <w:p w14:paraId="3DDFAD61">
      <w:pPr>
        <w:tabs>
          <w:tab w:val="left" w:pos="4860"/>
        </w:tabs>
        <w:spacing w:line="360" w:lineRule="auto"/>
        <w:ind w:right="1560" w:firstLine="444" w:firstLineChars="200"/>
        <w:contextualSpacing/>
        <w:jc w:val="right"/>
        <w:rPr>
          <w:rFonts w:hint="eastAsia" w:ascii="宋体" w:hAnsi="宋体"/>
          <w:color w:val="auto"/>
          <w:spacing w:val="6"/>
          <w:highlight w:val="none"/>
        </w:rPr>
      </w:pPr>
      <w:r>
        <w:rPr>
          <w:rFonts w:hint="eastAsia" w:ascii="宋体" w:hAnsi="宋体"/>
          <w:color w:val="auto"/>
          <w:spacing w:val="6"/>
          <w:highlight w:val="none"/>
        </w:rPr>
        <w:t xml:space="preserve">                        单位名称（盖法人单位电子印章）：</w:t>
      </w:r>
    </w:p>
    <w:p w14:paraId="1C0D2C6D">
      <w:pPr>
        <w:wordWrap w:val="0"/>
        <w:ind w:firstLine="444" w:firstLineChars="200"/>
        <w:jc w:val="right"/>
        <w:rPr>
          <w:rFonts w:hint="eastAsia" w:ascii="宋体" w:hAnsi="宋体"/>
          <w:color w:val="auto"/>
          <w:spacing w:val="6"/>
          <w:highlight w:val="none"/>
        </w:rPr>
      </w:pPr>
      <w:r>
        <w:rPr>
          <w:rFonts w:hint="eastAsia" w:ascii="宋体" w:hAnsi="宋体"/>
          <w:color w:val="auto"/>
          <w:spacing w:val="6"/>
          <w:highlight w:val="none"/>
        </w:rPr>
        <w:t xml:space="preserve">                                     日  期： </w:t>
      </w:r>
      <w:r>
        <w:rPr>
          <w:rFonts w:ascii="宋体" w:hAnsi="宋体"/>
          <w:color w:val="auto"/>
          <w:spacing w:val="6"/>
          <w:highlight w:val="none"/>
        </w:rPr>
        <w:t xml:space="preserve">            </w:t>
      </w:r>
    </w:p>
    <w:p w14:paraId="3B90B0BB">
      <w:pPr>
        <w:snapToGrid w:val="0"/>
        <w:spacing w:before="50" w:after="120" w:afterLines="50"/>
        <w:jc w:val="left"/>
        <w:rPr>
          <w:color w:val="auto"/>
          <w:szCs w:val="21"/>
          <w:highlight w:val="none"/>
        </w:rPr>
      </w:pPr>
    </w:p>
    <w:p w14:paraId="78E6E8B4">
      <w:pPr>
        <w:snapToGrid w:val="0"/>
        <w:spacing w:before="50" w:after="120" w:afterLines="50"/>
        <w:jc w:val="left"/>
        <w:rPr>
          <w:rFonts w:hint="eastAsia" w:eastAsia="宋体"/>
          <w:color w:val="auto"/>
          <w:szCs w:val="21"/>
          <w:highlight w:val="none"/>
          <w:lang w:eastAsia="zh-CN"/>
        </w:rPr>
      </w:pPr>
      <w:r>
        <w:rPr>
          <w:rFonts w:hint="eastAsia"/>
          <w:color w:val="auto"/>
          <w:szCs w:val="21"/>
          <w:highlight w:val="none"/>
          <w:lang w:val="en-US" w:eastAsia="zh-CN"/>
        </w:rPr>
        <w:t>9</w:t>
      </w:r>
      <w:r>
        <w:rPr>
          <w:color w:val="auto"/>
          <w:szCs w:val="21"/>
          <w:highlight w:val="none"/>
        </w:rPr>
        <w:t>.2</w:t>
      </w:r>
      <w:r>
        <w:rPr>
          <w:rFonts w:hint="eastAsia"/>
          <w:color w:val="auto"/>
          <w:szCs w:val="21"/>
          <w:highlight w:val="none"/>
        </w:rPr>
        <w:t>响应产品中如有列入节能产品政府采购品目清单及环境标志产品政府采购品目清单的货物，应按下表提供清单。</w:t>
      </w:r>
      <w:r>
        <w:rPr>
          <w:rFonts w:hint="eastAsia"/>
          <w:color w:val="auto"/>
          <w:szCs w:val="21"/>
          <w:highlight w:val="none"/>
          <w:lang w:val="en-US" w:eastAsia="zh-CN"/>
        </w:rPr>
        <w:t>响应</w:t>
      </w:r>
      <w:r>
        <w:rPr>
          <w:rFonts w:hint="eastAsia"/>
          <w:color w:val="auto"/>
          <w:szCs w:val="21"/>
          <w:highlight w:val="none"/>
        </w:rPr>
        <w:t>文件中</w:t>
      </w:r>
      <w:r>
        <w:rPr>
          <w:rFonts w:hint="eastAsia"/>
          <w:color w:val="auto"/>
          <w:szCs w:val="21"/>
          <w:highlight w:val="none"/>
          <w:lang w:val="en-US" w:eastAsia="zh-CN"/>
        </w:rPr>
        <w:t>同时</w:t>
      </w:r>
      <w:r>
        <w:rPr>
          <w:rFonts w:hint="eastAsia"/>
          <w:color w:val="auto"/>
          <w:szCs w:val="21"/>
          <w:highlight w:val="none"/>
        </w:rPr>
        <w:t>提供所</w:t>
      </w:r>
      <w:r>
        <w:rPr>
          <w:rFonts w:hint="eastAsia"/>
          <w:color w:val="auto"/>
          <w:szCs w:val="21"/>
          <w:highlight w:val="none"/>
          <w:lang w:val="en-US" w:eastAsia="zh-CN"/>
        </w:rPr>
        <w:t>响应</w:t>
      </w:r>
      <w:r>
        <w:rPr>
          <w:rFonts w:hint="eastAsia"/>
          <w:color w:val="auto"/>
          <w:szCs w:val="21"/>
          <w:highlight w:val="none"/>
        </w:rPr>
        <w:t>产品的节能产品及环境标志认证证书扫描件</w:t>
      </w:r>
      <w:r>
        <w:rPr>
          <w:rFonts w:hint="eastAsia"/>
          <w:color w:val="auto"/>
          <w:highlight w:val="none"/>
          <w:lang w:eastAsia="zh-CN"/>
        </w:rPr>
        <w:t>。</w:t>
      </w:r>
    </w:p>
    <w:p w14:paraId="7970F50B">
      <w:pPr>
        <w:spacing w:line="360" w:lineRule="auto"/>
        <w:jc w:val="center"/>
        <w:rPr>
          <w:color w:val="auto"/>
          <w:szCs w:val="21"/>
          <w:highlight w:val="none"/>
        </w:rPr>
      </w:pPr>
      <w:r>
        <w:rPr>
          <w:rFonts w:hint="eastAsia"/>
          <w:b/>
          <w:color w:val="auto"/>
          <w:szCs w:val="21"/>
          <w:highlight w:val="none"/>
        </w:rPr>
        <w:t>节能产品及环境标志产品清单</w:t>
      </w:r>
    </w:p>
    <w:tbl>
      <w:tblPr>
        <w:tblStyle w:val="54"/>
        <w:tblW w:w="9328"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767"/>
        <w:gridCol w:w="1134"/>
        <w:gridCol w:w="897"/>
        <w:gridCol w:w="1088"/>
        <w:gridCol w:w="1409"/>
        <w:gridCol w:w="1851"/>
        <w:gridCol w:w="1412"/>
        <w:gridCol w:w="770"/>
      </w:tblGrid>
      <w:tr w14:paraId="3D86982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54" w:hRule="atLeast"/>
          <w:jc w:val="center"/>
        </w:trPr>
        <w:tc>
          <w:tcPr>
            <w:tcW w:w="767" w:type="dxa"/>
            <w:tcBorders>
              <w:top w:val="single" w:color="auto" w:sz="12" w:space="0"/>
              <w:left w:val="single" w:color="auto" w:sz="12" w:space="0"/>
              <w:bottom w:val="single" w:color="auto" w:sz="8" w:space="0"/>
              <w:right w:val="single" w:color="auto" w:sz="8" w:space="0"/>
            </w:tcBorders>
            <w:noWrap w:val="0"/>
            <w:tcMar>
              <w:top w:w="0" w:type="dxa"/>
              <w:left w:w="57" w:type="dxa"/>
              <w:bottom w:w="0" w:type="dxa"/>
              <w:right w:w="57" w:type="dxa"/>
            </w:tcMar>
            <w:vAlign w:val="center"/>
          </w:tcPr>
          <w:p w14:paraId="742A16A2">
            <w:pPr>
              <w:widowControl/>
              <w:spacing w:before="100" w:beforeAutospacing="1" w:after="100" w:afterAutospacing="1" w:line="376" w:lineRule="atLeast"/>
              <w:jc w:val="center"/>
              <w:rPr>
                <w:color w:val="auto"/>
                <w:kern w:val="0"/>
                <w:szCs w:val="21"/>
                <w:highlight w:val="none"/>
              </w:rPr>
            </w:pPr>
            <w:r>
              <w:rPr>
                <w:color w:val="auto"/>
                <w:kern w:val="0"/>
                <w:szCs w:val="21"/>
                <w:highlight w:val="none"/>
              </w:rPr>
              <w:t>序号</w:t>
            </w:r>
          </w:p>
        </w:tc>
        <w:tc>
          <w:tcPr>
            <w:tcW w:w="1134" w:type="dxa"/>
            <w:tcBorders>
              <w:top w:val="single" w:color="auto" w:sz="12" w:space="0"/>
              <w:left w:val="nil"/>
              <w:bottom w:val="single" w:color="auto" w:sz="8" w:space="0"/>
              <w:right w:val="single" w:color="auto" w:sz="4" w:space="0"/>
            </w:tcBorders>
            <w:noWrap w:val="0"/>
            <w:tcMar>
              <w:top w:w="0" w:type="dxa"/>
              <w:left w:w="57" w:type="dxa"/>
              <w:bottom w:w="0" w:type="dxa"/>
              <w:right w:w="57" w:type="dxa"/>
            </w:tcMar>
            <w:vAlign w:val="center"/>
          </w:tcPr>
          <w:p w14:paraId="4113D236">
            <w:pPr>
              <w:widowControl/>
              <w:spacing w:before="100" w:beforeAutospacing="1" w:after="100" w:afterAutospacing="1" w:line="376" w:lineRule="atLeast"/>
              <w:jc w:val="center"/>
              <w:rPr>
                <w:color w:val="auto"/>
                <w:kern w:val="0"/>
                <w:szCs w:val="21"/>
                <w:highlight w:val="none"/>
              </w:rPr>
            </w:pPr>
            <w:r>
              <w:rPr>
                <w:rFonts w:hint="eastAsia"/>
                <w:color w:val="auto"/>
                <w:kern w:val="0"/>
                <w:szCs w:val="21"/>
                <w:highlight w:val="none"/>
              </w:rPr>
              <w:t>类别</w:t>
            </w:r>
          </w:p>
        </w:tc>
        <w:tc>
          <w:tcPr>
            <w:tcW w:w="897" w:type="dxa"/>
            <w:tcBorders>
              <w:top w:val="single" w:color="auto" w:sz="12" w:space="0"/>
              <w:left w:val="single" w:color="auto" w:sz="4" w:space="0"/>
              <w:bottom w:val="single" w:color="auto" w:sz="8" w:space="0"/>
              <w:right w:val="single" w:color="auto" w:sz="8" w:space="0"/>
            </w:tcBorders>
            <w:noWrap w:val="0"/>
            <w:vAlign w:val="center"/>
          </w:tcPr>
          <w:p w14:paraId="73488BE1">
            <w:pPr>
              <w:widowControl/>
              <w:spacing w:before="100" w:beforeAutospacing="1" w:after="100" w:afterAutospacing="1" w:line="376" w:lineRule="atLeast"/>
              <w:jc w:val="center"/>
              <w:rPr>
                <w:color w:val="auto"/>
                <w:kern w:val="0"/>
                <w:szCs w:val="21"/>
                <w:highlight w:val="none"/>
              </w:rPr>
            </w:pPr>
            <w:r>
              <w:rPr>
                <w:rFonts w:hint="eastAsia"/>
                <w:color w:val="auto"/>
                <w:kern w:val="0"/>
                <w:szCs w:val="21"/>
                <w:highlight w:val="none"/>
              </w:rPr>
              <w:t>品目</w:t>
            </w:r>
          </w:p>
        </w:tc>
        <w:tc>
          <w:tcPr>
            <w:tcW w:w="1088" w:type="dxa"/>
            <w:tcBorders>
              <w:top w:val="single" w:color="auto" w:sz="12" w:space="0"/>
              <w:left w:val="nil"/>
              <w:bottom w:val="single" w:color="auto" w:sz="8" w:space="0"/>
              <w:right w:val="single" w:color="auto" w:sz="4" w:space="0"/>
            </w:tcBorders>
            <w:noWrap w:val="0"/>
            <w:tcMar>
              <w:top w:w="0" w:type="dxa"/>
              <w:left w:w="57" w:type="dxa"/>
              <w:bottom w:w="0" w:type="dxa"/>
              <w:right w:w="57" w:type="dxa"/>
            </w:tcMar>
            <w:vAlign w:val="center"/>
          </w:tcPr>
          <w:p w14:paraId="0C95D6C1">
            <w:pPr>
              <w:widowControl/>
              <w:spacing w:before="100" w:beforeAutospacing="1" w:after="100" w:afterAutospacing="1" w:line="376" w:lineRule="atLeast"/>
              <w:jc w:val="center"/>
              <w:rPr>
                <w:color w:val="auto"/>
                <w:kern w:val="0"/>
                <w:szCs w:val="21"/>
                <w:highlight w:val="none"/>
              </w:rPr>
            </w:pPr>
            <w:r>
              <w:rPr>
                <w:rFonts w:hint="eastAsia"/>
                <w:color w:val="auto"/>
                <w:kern w:val="0"/>
                <w:szCs w:val="21"/>
                <w:highlight w:val="none"/>
              </w:rPr>
              <w:t>品牌</w:t>
            </w:r>
          </w:p>
        </w:tc>
        <w:tc>
          <w:tcPr>
            <w:tcW w:w="1409" w:type="dxa"/>
            <w:tcBorders>
              <w:top w:val="single" w:color="auto" w:sz="12" w:space="0"/>
              <w:left w:val="single" w:color="auto" w:sz="4" w:space="0"/>
              <w:bottom w:val="single" w:color="auto" w:sz="8" w:space="0"/>
              <w:right w:val="single" w:color="auto" w:sz="8" w:space="0"/>
            </w:tcBorders>
            <w:noWrap w:val="0"/>
            <w:vAlign w:val="center"/>
          </w:tcPr>
          <w:p w14:paraId="24DC8372">
            <w:pPr>
              <w:widowControl/>
              <w:spacing w:before="100" w:beforeAutospacing="1" w:after="100" w:afterAutospacing="1" w:line="376" w:lineRule="atLeast"/>
              <w:jc w:val="center"/>
              <w:rPr>
                <w:color w:val="auto"/>
                <w:kern w:val="0"/>
                <w:szCs w:val="21"/>
                <w:highlight w:val="none"/>
              </w:rPr>
            </w:pPr>
            <w:r>
              <w:rPr>
                <w:color w:val="auto"/>
                <w:kern w:val="0"/>
                <w:szCs w:val="21"/>
                <w:highlight w:val="none"/>
              </w:rPr>
              <w:t>规格型号</w:t>
            </w:r>
          </w:p>
        </w:tc>
        <w:tc>
          <w:tcPr>
            <w:tcW w:w="1851" w:type="dxa"/>
            <w:tcBorders>
              <w:top w:val="single" w:color="auto" w:sz="12" w:space="0"/>
              <w:left w:val="nil"/>
              <w:bottom w:val="single" w:color="auto" w:sz="8" w:space="0"/>
              <w:right w:val="single" w:color="auto" w:sz="8" w:space="0"/>
            </w:tcBorders>
            <w:noWrap w:val="0"/>
            <w:tcMar>
              <w:top w:w="0" w:type="dxa"/>
              <w:left w:w="57" w:type="dxa"/>
              <w:bottom w:w="0" w:type="dxa"/>
              <w:right w:w="57" w:type="dxa"/>
            </w:tcMar>
            <w:vAlign w:val="center"/>
          </w:tcPr>
          <w:p w14:paraId="4BD0C989">
            <w:pPr>
              <w:widowControl/>
              <w:spacing w:before="100" w:beforeAutospacing="1" w:after="100" w:afterAutospacing="1" w:line="376" w:lineRule="atLeast"/>
              <w:jc w:val="center"/>
              <w:rPr>
                <w:color w:val="auto"/>
                <w:kern w:val="0"/>
                <w:szCs w:val="21"/>
                <w:highlight w:val="none"/>
              </w:rPr>
            </w:pPr>
            <w:r>
              <w:rPr>
                <w:rFonts w:ascii="Helvetica" w:hAnsi="Helvetica" w:cs="Helvetica"/>
                <w:color w:val="auto"/>
                <w:szCs w:val="21"/>
                <w:highlight w:val="none"/>
                <w:shd w:val="clear" w:color="auto" w:fill="FFFFFF"/>
              </w:rPr>
              <w:t>生产者（制造商）</w:t>
            </w:r>
          </w:p>
        </w:tc>
        <w:tc>
          <w:tcPr>
            <w:tcW w:w="1412" w:type="dxa"/>
            <w:tcBorders>
              <w:top w:val="single" w:color="auto" w:sz="12" w:space="0"/>
              <w:left w:val="nil"/>
              <w:bottom w:val="single" w:color="auto" w:sz="8" w:space="0"/>
              <w:right w:val="single" w:color="auto" w:sz="8" w:space="0"/>
            </w:tcBorders>
            <w:noWrap w:val="0"/>
            <w:tcMar>
              <w:top w:w="0" w:type="dxa"/>
              <w:left w:w="57" w:type="dxa"/>
              <w:bottom w:w="0" w:type="dxa"/>
              <w:right w:w="57" w:type="dxa"/>
            </w:tcMar>
            <w:vAlign w:val="center"/>
          </w:tcPr>
          <w:p w14:paraId="6C70DB06">
            <w:pPr>
              <w:widowControl/>
              <w:spacing w:before="100" w:beforeAutospacing="1" w:after="100" w:afterAutospacing="1" w:line="376" w:lineRule="atLeast"/>
              <w:jc w:val="center"/>
              <w:rPr>
                <w:rFonts w:hint="eastAsia"/>
                <w:color w:val="auto"/>
                <w:kern w:val="0"/>
                <w:szCs w:val="21"/>
                <w:highlight w:val="none"/>
              </w:rPr>
            </w:pPr>
            <w:r>
              <w:rPr>
                <w:rFonts w:hint="eastAsia"/>
                <w:color w:val="auto"/>
                <w:kern w:val="0"/>
                <w:szCs w:val="21"/>
                <w:highlight w:val="none"/>
              </w:rPr>
              <w:t>证书编号及证书到期日期</w:t>
            </w:r>
          </w:p>
        </w:tc>
        <w:tc>
          <w:tcPr>
            <w:tcW w:w="770" w:type="dxa"/>
            <w:tcBorders>
              <w:top w:val="single" w:color="auto" w:sz="12" w:space="0"/>
              <w:left w:val="nil"/>
              <w:bottom w:val="single" w:color="auto" w:sz="8" w:space="0"/>
              <w:right w:val="single" w:color="auto" w:sz="12" w:space="0"/>
            </w:tcBorders>
            <w:noWrap w:val="0"/>
            <w:tcMar>
              <w:top w:w="0" w:type="dxa"/>
              <w:left w:w="57" w:type="dxa"/>
              <w:bottom w:w="0" w:type="dxa"/>
              <w:right w:w="57" w:type="dxa"/>
            </w:tcMar>
            <w:vAlign w:val="center"/>
          </w:tcPr>
          <w:p w14:paraId="27E85283">
            <w:pPr>
              <w:widowControl/>
              <w:spacing w:before="100" w:beforeAutospacing="1" w:after="100" w:afterAutospacing="1" w:line="376" w:lineRule="atLeast"/>
              <w:jc w:val="center"/>
              <w:rPr>
                <w:color w:val="auto"/>
                <w:kern w:val="0"/>
                <w:szCs w:val="21"/>
                <w:highlight w:val="none"/>
              </w:rPr>
            </w:pPr>
            <w:r>
              <w:rPr>
                <w:color w:val="auto"/>
                <w:kern w:val="0"/>
                <w:szCs w:val="21"/>
                <w:highlight w:val="none"/>
              </w:rPr>
              <w:t>备注</w:t>
            </w:r>
          </w:p>
        </w:tc>
      </w:tr>
      <w:tr w14:paraId="6BCFA69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33" w:hRule="atLeast"/>
          <w:jc w:val="center"/>
        </w:trPr>
        <w:tc>
          <w:tcPr>
            <w:tcW w:w="767" w:type="dxa"/>
            <w:tcBorders>
              <w:top w:val="nil"/>
              <w:left w:val="single" w:color="auto" w:sz="12" w:space="0"/>
              <w:bottom w:val="single" w:color="auto" w:sz="8" w:space="0"/>
              <w:right w:val="single" w:color="auto" w:sz="8" w:space="0"/>
            </w:tcBorders>
            <w:noWrap w:val="0"/>
            <w:tcMar>
              <w:top w:w="0" w:type="dxa"/>
              <w:left w:w="57" w:type="dxa"/>
              <w:bottom w:w="0" w:type="dxa"/>
              <w:right w:w="57" w:type="dxa"/>
            </w:tcMar>
            <w:vAlign w:val="center"/>
          </w:tcPr>
          <w:p w14:paraId="1E626189">
            <w:pPr>
              <w:widowControl/>
              <w:spacing w:before="100" w:beforeAutospacing="1" w:after="100" w:afterAutospacing="1" w:line="376" w:lineRule="atLeast"/>
              <w:jc w:val="center"/>
              <w:rPr>
                <w:color w:val="auto"/>
                <w:kern w:val="0"/>
                <w:szCs w:val="21"/>
                <w:highlight w:val="none"/>
              </w:rPr>
            </w:pPr>
            <w:r>
              <w:rPr>
                <w:color w:val="auto"/>
                <w:kern w:val="0"/>
                <w:szCs w:val="21"/>
                <w:highlight w:val="none"/>
              </w:rPr>
              <w:t>1</w:t>
            </w:r>
          </w:p>
        </w:tc>
        <w:tc>
          <w:tcPr>
            <w:tcW w:w="1134" w:type="dxa"/>
            <w:tcBorders>
              <w:top w:val="nil"/>
              <w:left w:val="nil"/>
              <w:bottom w:val="single" w:color="auto" w:sz="8" w:space="0"/>
              <w:right w:val="single" w:color="auto" w:sz="4" w:space="0"/>
            </w:tcBorders>
            <w:noWrap w:val="0"/>
            <w:tcMar>
              <w:top w:w="0" w:type="dxa"/>
              <w:left w:w="57" w:type="dxa"/>
              <w:bottom w:w="0" w:type="dxa"/>
              <w:right w:w="57" w:type="dxa"/>
            </w:tcMar>
            <w:vAlign w:val="center"/>
          </w:tcPr>
          <w:p w14:paraId="3DBE196F">
            <w:pPr>
              <w:widowControl/>
              <w:spacing w:before="100" w:beforeAutospacing="1" w:after="100" w:afterAutospacing="1" w:line="376" w:lineRule="atLeast"/>
              <w:jc w:val="center"/>
              <w:rPr>
                <w:rFonts w:hint="eastAsia"/>
                <w:color w:val="auto"/>
                <w:kern w:val="0"/>
                <w:szCs w:val="21"/>
                <w:highlight w:val="none"/>
              </w:rPr>
            </w:pPr>
          </w:p>
        </w:tc>
        <w:tc>
          <w:tcPr>
            <w:tcW w:w="897" w:type="dxa"/>
            <w:tcBorders>
              <w:top w:val="nil"/>
              <w:left w:val="single" w:color="auto" w:sz="4" w:space="0"/>
              <w:bottom w:val="single" w:color="auto" w:sz="8" w:space="0"/>
              <w:right w:val="single" w:color="auto" w:sz="8" w:space="0"/>
            </w:tcBorders>
            <w:noWrap w:val="0"/>
            <w:vAlign w:val="center"/>
          </w:tcPr>
          <w:p w14:paraId="19A8141F">
            <w:pPr>
              <w:widowControl/>
              <w:spacing w:before="100" w:beforeAutospacing="1" w:after="100" w:afterAutospacing="1" w:line="376" w:lineRule="atLeast"/>
              <w:jc w:val="center"/>
              <w:rPr>
                <w:color w:val="auto"/>
                <w:kern w:val="0"/>
                <w:szCs w:val="21"/>
                <w:highlight w:val="none"/>
              </w:rPr>
            </w:pPr>
          </w:p>
        </w:tc>
        <w:tc>
          <w:tcPr>
            <w:tcW w:w="1088" w:type="dxa"/>
            <w:tcBorders>
              <w:top w:val="nil"/>
              <w:left w:val="nil"/>
              <w:bottom w:val="single" w:color="auto" w:sz="8" w:space="0"/>
              <w:right w:val="single" w:color="auto" w:sz="4" w:space="0"/>
            </w:tcBorders>
            <w:noWrap w:val="0"/>
            <w:tcMar>
              <w:top w:w="0" w:type="dxa"/>
              <w:left w:w="57" w:type="dxa"/>
              <w:bottom w:w="0" w:type="dxa"/>
              <w:right w:w="57" w:type="dxa"/>
            </w:tcMar>
            <w:vAlign w:val="center"/>
          </w:tcPr>
          <w:p w14:paraId="2227EE3D">
            <w:pPr>
              <w:widowControl/>
              <w:spacing w:before="100" w:beforeAutospacing="1" w:after="100" w:afterAutospacing="1" w:line="376" w:lineRule="atLeast"/>
              <w:jc w:val="center"/>
              <w:rPr>
                <w:color w:val="auto"/>
                <w:kern w:val="0"/>
                <w:szCs w:val="21"/>
                <w:highlight w:val="none"/>
              </w:rPr>
            </w:pPr>
          </w:p>
        </w:tc>
        <w:tc>
          <w:tcPr>
            <w:tcW w:w="1409" w:type="dxa"/>
            <w:tcBorders>
              <w:top w:val="nil"/>
              <w:left w:val="single" w:color="auto" w:sz="4" w:space="0"/>
              <w:bottom w:val="single" w:color="auto" w:sz="8" w:space="0"/>
              <w:right w:val="single" w:color="auto" w:sz="8" w:space="0"/>
            </w:tcBorders>
            <w:noWrap w:val="0"/>
            <w:vAlign w:val="center"/>
          </w:tcPr>
          <w:p w14:paraId="0E402B97">
            <w:pPr>
              <w:widowControl/>
              <w:spacing w:before="100" w:beforeAutospacing="1" w:after="100" w:afterAutospacing="1" w:line="376" w:lineRule="atLeast"/>
              <w:jc w:val="center"/>
              <w:rPr>
                <w:color w:val="auto"/>
                <w:kern w:val="0"/>
                <w:szCs w:val="21"/>
                <w:highlight w:val="none"/>
              </w:rPr>
            </w:pPr>
          </w:p>
        </w:tc>
        <w:tc>
          <w:tcPr>
            <w:tcW w:w="185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E947E2D">
            <w:pPr>
              <w:widowControl/>
              <w:spacing w:before="100" w:beforeAutospacing="1" w:after="100" w:afterAutospacing="1" w:line="376" w:lineRule="atLeast"/>
              <w:jc w:val="center"/>
              <w:rPr>
                <w:color w:val="auto"/>
                <w:kern w:val="0"/>
                <w:szCs w:val="21"/>
                <w:highlight w:val="none"/>
              </w:rPr>
            </w:pPr>
          </w:p>
        </w:tc>
        <w:tc>
          <w:tcPr>
            <w:tcW w:w="1412"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AAC312D">
            <w:pPr>
              <w:widowControl/>
              <w:spacing w:before="100" w:beforeAutospacing="1" w:after="100" w:afterAutospacing="1" w:line="376" w:lineRule="atLeast"/>
              <w:jc w:val="center"/>
              <w:rPr>
                <w:color w:val="auto"/>
                <w:kern w:val="0"/>
                <w:szCs w:val="21"/>
                <w:highlight w:val="none"/>
              </w:rPr>
            </w:pPr>
          </w:p>
        </w:tc>
        <w:tc>
          <w:tcPr>
            <w:tcW w:w="770" w:type="dxa"/>
            <w:tcBorders>
              <w:top w:val="nil"/>
              <w:left w:val="nil"/>
              <w:bottom w:val="single" w:color="auto" w:sz="8" w:space="0"/>
              <w:right w:val="single" w:color="auto" w:sz="12" w:space="0"/>
            </w:tcBorders>
            <w:noWrap w:val="0"/>
            <w:tcMar>
              <w:top w:w="0" w:type="dxa"/>
              <w:left w:w="57" w:type="dxa"/>
              <w:bottom w:w="0" w:type="dxa"/>
              <w:right w:w="57" w:type="dxa"/>
            </w:tcMar>
            <w:vAlign w:val="center"/>
          </w:tcPr>
          <w:p w14:paraId="0D124D2C">
            <w:pPr>
              <w:widowControl/>
              <w:spacing w:before="100" w:beforeAutospacing="1" w:after="100" w:afterAutospacing="1" w:line="376" w:lineRule="atLeast"/>
              <w:jc w:val="center"/>
              <w:rPr>
                <w:color w:val="auto"/>
                <w:kern w:val="0"/>
                <w:szCs w:val="21"/>
                <w:highlight w:val="none"/>
              </w:rPr>
            </w:pPr>
          </w:p>
        </w:tc>
      </w:tr>
      <w:tr w14:paraId="0573925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81" w:hRule="atLeast"/>
          <w:jc w:val="center"/>
        </w:trPr>
        <w:tc>
          <w:tcPr>
            <w:tcW w:w="767" w:type="dxa"/>
            <w:tcBorders>
              <w:top w:val="nil"/>
              <w:left w:val="single" w:color="auto" w:sz="12" w:space="0"/>
              <w:bottom w:val="single" w:color="auto" w:sz="8" w:space="0"/>
              <w:right w:val="single" w:color="auto" w:sz="8" w:space="0"/>
            </w:tcBorders>
            <w:noWrap w:val="0"/>
            <w:tcMar>
              <w:top w:w="0" w:type="dxa"/>
              <w:left w:w="57" w:type="dxa"/>
              <w:bottom w:w="0" w:type="dxa"/>
              <w:right w:w="57" w:type="dxa"/>
            </w:tcMar>
            <w:vAlign w:val="center"/>
          </w:tcPr>
          <w:p w14:paraId="383A4FB3">
            <w:pPr>
              <w:widowControl/>
              <w:spacing w:before="100" w:beforeAutospacing="1" w:after="100" w:afterAutospacing="1" w:line="376" w:lineRule="atLeast"/>
              <w:jc w:val="center"/>
              <w:rPr>
                <w:color w:val="auto"/>
                <w:kern w:val="0"/>
                <w:szCs w:val="21"/>
                <w:highlight w:val="none"/>
              </w:rPr>
            </w:pPr>
            <w:r>
              <w:rPr>
                <w:color w:val="auto"/>
                <w:kern w:val="0"/>
                <w:szCs w:val="21"/>
                <w:highlight w:val="none"/>
              </w:rPr>
              <w:t>2</w:t>
            </w:r>
          </w:p>
        </w:tc>
        <w:tc>
          <w:tcPr>
            <w:tcW w:w="1134" w:type="dxa"/>
            <w:tcBorders>
              <w:top w:val="nil"/>
              <w:left w:val="nil"/>
              <w:bottom w:val="single" w:color="auto" w:sz="8" w:space="0"/>
              <w:right w:val="single" w:color="auto" w:sz="4" w:space="0"/>
            </w:tcBorders>
            <w:noWrap w:val="0"/>
            <w:tcMar>
              <w:top w:w="0" w:type="dxa"/>
              <w:left w:w="57" w:type="dxa"/>
              <w:bottom w:w="0" w:type="dxa"/>
              <w:right w:w="57" w:type="dxa"/>
            </w:tcMar>
            <w:vAlign w:val="center"/>
          </w:tcPr>
          <w:p w14:paraId="210669D4">
            <w:pPr>
              <w:widowControl/>
              <w:spacing w:before="100" w:beforeAutospacing="1" w:after="100" w:afterAutospacing="1" w:line="376" w:lineRule="atLeast"/>
              <w:jc w:val="center"/>
              <w:rPr>
                <w:color w:val="auto"/>
                <w:kern w:val="0"/>
                <w:szCs w:val="21"/>
                <w:highlight w:val="none"/>
              </w:rPr>
            </w:pPr>
          </w:p>
        </w:tc>
        <w:tc>
          <w:tcPr>
            <w:tcW w:w="897" w:type="dxa"/>
            <w:tcBorders>
              <w:top w:val="nil"/>
              <w:left w:val="single" w:color="auto" w:sz="4" w:space="0"/>
              <w:bottom w:val="single" w:color="auto" w:sz="8" w:space="0"/>
              <w:right w:val="single" w:color="auto" w:sz="8" w:space="0"/>
            </w:tcBorders>
            <w:noWrap w:val="0"/>
            <w:vAlign w:val="center"/>
          </w:tcPr>
          <w:p w14:paraId="75FED3DA">
            <w:pPr>
              <w:widowControl/>
              <w:spacing w:before="100" w:beforeAutospacing="1" w:after="100" w:afterAutospacing="1" w:line="376" w:lineRule="atLeast"/>
              <w:jc w:val="center"/>
              <w:rPr>
                <w:color w:val="auto"/>
                <w:kern w:val="0"/>
                <w:szCs w:val="21"/>
                <w:highlight w:val="none"/>
              </w:rPr>
            </w:pPr>
          </w:p>
        </w:tc>
        <w:tc>
          <w:tcPr>
            <w:tcW w:w="1088" w:type="dxa"/>
            <w:tcBorders>
              <w:top w:val="nil"/>
              <w:left w:val="nil"/>
              <w:bottom w:val="single" w:color="auto" w:sz="8" w:space="0"/>
              <w:right w:val="single" w:color="auto" w:sz="4" w:space="0"/>
            </w:tcBorders>
            <w:noWrap w:val="0"/>
            <w:tcMar>
              <w:top w:w="0" w:type="dxa"/>
              <w:left w:w="57" w:type="dxa"/>
              <w:bottom w:w="0" w:type="dxa"/>
              <w:right w:w="57" w:type="dxa"/>
            </w:tcMar>
            <w:vAlign w:val="center"/>
          </w:tcPr>
          <w:p w14:paraId="54B51DB1">
            <w:pPr>
              <w:widowControl/>
              <w:spacing w:before="100" w:beforeAutospacing="1" w:after="100" w:afterAutospacing="1" w:line="376" w:lineRule="atLeast"/>
              <w:jc w:val="center"/>
              <w:rPr>
                <w:color w:val="auto"/>
                <w:kern w:val="0"/>
                <w:szCs w:val="21"/>
                <w:highlight w:val="none"/>
              </w:rPr>
            </w:pPr>
          </w:p>
        </w:tc>
        <w:tc>
          <w:tcPr>
            <w:tcW w:w="1409" w:type="dxa"/>
            <w:tcBorders>
              <w:top w:val="nil"/>
              <w:left w:val="single" w:color="auto" w:sz="4" w:space="0"/>
              <w:bottom w:val="single" w:color="auto" w:sz="8" w:space="0"/>
              <w:right w:val="single" w:color="auto" w:sz="8" w:space="0"/>
            </w:tcBorders>
            <w:noWrap w:val="0"/>
            <w:vAlign w:val="center"/>
          </w:tcPr>
          <w:p w14:paraId="21A4AA76">
            <w:pPr>
              <w:widowControl/>
              <w:spacing w:before="100" w:beforeAutospacing="1" w:after="100" w:afterAutospacing="1" w:line="376" w:lineRule="atLeast"/>
              <w:jc w:val="center"/>
              <w:rPr>
                <w:color w:val="auto"/>
                <w:kern w:val="0"/>
                <w:szCs w:val="21"/>
                <w:highlight w:val="none"/>
              </w:rPr>
            </w:pPr>
          </w:p>
        </w:tc>
        <w:tc>
          <w:tcPr>
            <w:tcW w:w="185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B220032">
            <w:pPr>
              <w:widowControl/>
              <w:spacing w:before="100" w:beforeAutospacing="1" w:after="100" w:afterAutospacing="1" w:line="376" w:lineRule="atLeast"/>
              <w:jc w:val="center"/>
              <w:rPr>
                <w:color w:val="auto"/>
                <w:kern w:val="0"/>
                <w:szCs w:val="21"/>
                <w:highlight w:val="none"/>
              </w:rPr>
            </w:pPr>
          </w:p>
        </w:tc>
        <w:tc>
          <w:tcPr>
            <w:tcW w:w="1412"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ACF4EAD">
            <w:pPr>
              <w:widowControl/>
              <w:spacing w:before="100" w:beforeAutospacing="1" w:after="100" w:afterAutospacing="1" w:line="376" w:lineRule="atLeast"/>
              <w:jc w:val="center"/>
              <w:rPr>
                <w:color w:val="auto"/>
                <w:kern w:val="0"/>
                <w:szCs w:val="21"/>
                <w:highlight w:val="none"/>
              </w:rPr>
            </w:pPr>
          </w:p>
        </w:tc>
        <w:tc>
          <w:tcPr>
            <w:tcW w:w="770" w:type="dxa"/>
            <w:tcBorders>
              <w:top w:val="nil"/>
              <w:left w:val="nil"/>
              <w:bottom w:val="single" w:color="auto" w:sz="8" w:space="0"/>
              <w:right w:val="single" w:color="auto" w:sz="12" w:space="0"/>
            </w:tcBorders>
            <w:noWrap w:val="0"/>
            <w:tcMar>
              <w:top w:w="0" w:type="dxa"/>
              <w:left w:w="57" w:type="dxa"/>
              <w:bottom w:w="0" w:type="dxa"/>
              <w:right w:w="57" w:type="dxa"/>
            </w:tcMar>
            <w:vAlign w:val="center"/>
          </w:tcPr>
          <w:p w14:paraId="6F2F108C">
            <w:pPr>
              <w:widowControl/>
              <w:spacing w:before="100" w:beforeAutospacing="1" w:after="100" w:afterAutospacing="1" w:line="376" w:lineRule="atLeast"/>
              <w:jc w:val="center"/>
              <w:rPr>
                <w:color w:val="auto"/>
                <w:kern w:val="0"/>
                <w:szCs w:val="21"/>
                <w:highlight w:val="none"/>
              </w:rPr>
            </w:pPr>
          </w:p>
        </w:tc>
      </w:tr>
      <w:tr w14:paraId="079C026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767" w:type="dxa"/>
            <w:tcBorders>
              <w:top w:val="nil"/>
              <w:left w:val="single" w:color="auto" w:sz="12" w:space="0"/>
              <w:bottom w:val="single" w:color="auto" w:sz="8" w:space="0"/>
              <w:right w:val="single" w:color="auto" w:sz="8" w:space="0"/>
            </w:tcBorders>
            <w:noWrap w:val="0"/>
            <w:tcMar>
              <w:top w:w="0" w:type="dxa"/>
              <w:left w:w="57" w:type="dxa"/>
              <w:bottom w:w="0" w:type="dxa"/>
              <w:right w:w="57" w:type="dxa"/>
            </w:tcMar>
            <w:vAlign w:val="center"/>
          </w:tcPr>
          <w:p w14:paraId="0A6102AD">
            <w:pPr>
              <w:widowControl/>
              <w:spacing w:before="100" w:beforeAutospacing="1" w:after="100" w:afterAutospacing="1" w:line="376" w:lineRule="atLeast"/>
              <w:jc w:val="center"/>
              <w:rPr>
                <w:color w:val="auto"/>
                <w:kern w:val="0"/>
                <w:szCs w:val="21"/>
                <w:highlight w:val="none"/>
              </w:rPr>
            </w:pPr>
            <w:r>
              <w:rPr>
                <w:color w:val="auto"/>
                <w:kern w:val="0"/>
                <w:szCs w:val="21"/>
                <w:highlight w:val="none"/>
              </w:rPr>
              <w:t>……</w:t>
            </w:r>
          </w:p>
        </w:tc>
        <w:tc>
          <w:tcPr>
            <w:tcW w:w="1134" w:type="dxa"/>
            <w:tcBorders>
              <w:top w:val="nil"/>
              <w:left w:val="nil"/>
              <w:bottom w:val="single" w:color="auto" w:sz="8" w:space="0"/>
              <w:right w:val="single" w:color="auto" w:sz="4" w:space="0"/>
            </w:tcBorders>
            <w:noWrap w:val="0"/>
            <w:tcMar>
              <w:top w:w="0" w:type="dxa"/>
              <w:left w:w="57" w:type="dxa"/>
              <w:bottom w:w="0" w:type="dxa"/>
              <w:right w:w="57" w:type="dxa"/>
            </w:tcMar>
            <w:vAlign w:val="center"/>
          </w:tcPr>
          <w:p w14:paraId="063ACCA1">
            <w:pPr>
              <w:widowControl/>
              <w:spacing w:before="100" w:beforeAutospacing="1" w:after="100" w:afterAutospacing="1" w:line="376" w:lineRule="atLeast"/>
              <w:jc w:val="center"/>
              <w:rPr>
                <w:color w:val="auto"/>
                <w:kern w:val="0"/>
                <w:szCs w:val="21"/>
                <w:highlight w:val="none"/>
              </w:rPr>
            </w:pPr>
          </w:p>
        </w:tc>
        <w:tc>
          <w:tcPr>
            <w:tcW w:w="897" w:type="dxa"/>
            <w:tcBorders>
              <w:top w:val="nil"/>
              <w:left w:val="single" w:color="auto" w:sz="4" w:space="0"/>
              <w:bottom w:val="single" w:color="auto" w:sz="8" w:space="0"/>
              <w:right w:val="single" w:color="auto" w:sz="8" w:space="0"/>
            </w:tcBorders>
            <w:noWrap w:val="0"/>
            <w:vAlign w:val="center"/>
          </w:tcPr>
          <w:p w14:paraId="7BE4E96B">
            <w:pPr>
              <w:widowControl/>
              <w:spacing w:before="100" w:beforeAutospacing="1" w:after="100" w:afterAutospacing="1" w:line="376" w:lineRule="atLeast"/>
              <w:jc w:val="center"/>
              <w:rPr>
                <w:color w:val="auto"/>
                <w:kern w:val="0"/>
                <w:szCs w:val="21"/>
                <w:highlight w:val="none"/>
              </w:rPr>
            </w:pPr>
          </w:p>
        </w:tc>
        <w:tc>
          <w:tcPr>
            <w:tcW w:w="1088" w:type="dxa"/>
            <w:tcBorders>
              <w:top w:val="nil"/>
              <w:left w:val="nil"/>
              <w:bottom w:val="single" w:color="auto" w:sz="8" w:space="0"/>
              <w:right w:val="single" w:color="auto" w:sz="4" w:space="0"/>
            </w:tcBorders>
            <w:noWrap w:val="0"/>
            <w:tcMar>
              <w:top w:w="0" w:type="dxa"/>
              <w:left w:w="57" w:type="dxa"/>
              <w:bottom w:w="0" w:type="dxa"/>
              <w:right w:w="57" w:type="dxa"/>
            </w:tcMar>
            <w:vAlign w:val="center"/>
          </w:tcPr>
          <w:p w14:paraId="544FFA0E">
            <w:pPr>
              <w:widowControl/>
              <w:spacing w:before="100" w:beforeAutospacing="1" w:after="100" w:afterAutospacing="1" w:line="376" w:lineRule="atLeast"/>
              <w:jc w:val="center"/>
              <w:rPr>
                <w:color w:val="auto"/>
                <w:kern w:val="0"/>
                <w:szCs w:val="21"/>
                <w:highlight w:val="none"/>
              </w:rPr>
            </w:pPr>
          </w:p>
        </w:tc>
        <w:tc>
          <w:tcPr>
            <w:tcW w:w="1409" w:type="dxa"/>
            <w:tcBorders>
              <w:top w:val="nil"/>
              <w:left w:val="single" w:color="auto" w:sz="4" w:space="0"/>
              <w:bottom w:val="single" w:color="auto" w:sz="8" w:space="0"/>
              <w:right w:val="single" w:color="auto" w:sz="8" w:space="0"/>
            </w:tcBorders>
            <w:noWrap w:val="0"/>
            <w:vAlign w:val="center"/>
          </w:tcPr>
          <w:p w14:paraId="723E272F">
            <w:pPr>
              <w:widowControl/>
              <w:spacing w:before="100" w:beforeAutospacing="1" w:after="100" w:afterAutospacing="1" w:line="376" w:lineRule="atLeast"/>
              <w:jc w:val="center"/>
              <w:rPr>
                <w:color w:val="auto"/>
                <w:kern w:val="0"/>
                <w:szCs w:val="21"/>
                <w:highlight w:val="none"/>
              </w:rPr>
            </w:pPr>
          </w:p>
        </w:tc>
        <w:tc>
          <w:tcPr>
            <w:tcW w:w="185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D89FAE0">
            <w:pPr>
              <w:widowControl/>
              <w:spacing w:before="100" w:beforeAutospacing="1" w:after="100" w:afterAutospacing="1" w:line="376" w:lineRule="atLeast"/>
              <w:jc w:val="center"/>
              <w:rPr>
                <w:color w:val="auto"/>
                <w:kern w:val="0"/>
                <w:szCs w:val="21"/>
                <w:highlight w:val="none"/>
              </w:rPr>
            </w:pPr>
          </w:p>
        </w:tc>
        <w:tc>
          <w:tcPr>
            <w:tcW w:w="1412"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172D9A3">
            <w:pPr>
              <w:widowControl/>
              <w:spacing w:before="100" w:beforeAutospacing="1" w:after="100" w:afterAutospacing="1" w:line="376" w:lineRule="atLeast"/>
              <w:jc w:val="center"/>
              <w:rPr>
                <w:color w:val="auto"/>
                <w:kern w:val="0"/>
                <w:szCs w:val="21"/>
                <w:highlight w:val="none"/>
              </w:rPr>
            </w:pPr>
          </w:p>
        </w:tc>
        <w:tc>
          <w:tcPr>
            <w:tcW w:w="770" w:type="dxa"/>
            <w:tcBorders>
              <w:top w:val="nil"/>
              <w:left w:val="nil"/>
              <w:bottom w:val="single" w:color="auto" w:sz="8" w:space="0"/>
              <w:right w:val="single" w:color="auto" w:sz="12" w:space="0"/>
            </w:tcBorders>
            <w:noWrap w:val="0"/>
            <w:tcMar>
              <w:top w:w="0" w:type="dxa"/>
              <w:left w:w="57" w:type="dxa"/>
              <w:bottom w:w="0" w:type="dxa"/>
              <w:right w:w="57" w:type="dxa"/>
            </w:tcMar>
            <w:vAlign w:val="center"/>
          </w:tcPr>
          <w:p w14:paraId="76657A3E">
            <w:pPr>
              <w:widowControl/>
              <w:spacing w:before="100" w:beforeAutospacing="1" w:after="100" w:afterAutospacing="1" w:line="376" w:lineRule="atLeast"/>
              <w:jc w:val="center"/>
              <w:rPr>
                <w:color w:val="auto"/>
                <w:kern w:val="0"/>
                <w:szCs w:val="21"/>
                <w:highlight w:val="none"/>
              </w:rPr>
            </w:pPr>
          </w:p>
        </w:tc>
      </w:tr>
    </w:tbl>
    <w:p w14:paraId="1B077B01">
      <w:pPr>
        <w:snapToGrid w:val="0"/>
        <w:spacing w:before="50" w:after="120" w:afterLines="50"/>
        <w:jc w:val="left"/>
        <w:rPr>
          <w:rFonts w:hint="eastAsia"/>
          <w:color w:val="auto"/>
          <w:szCs w:val="21"/>
          <w:highlight w:val="none"/>
        </w:rPr>
      </w:pPr>
      <w:r>
        <w:rPr>
          <w:rFonts w:hint="eastAsia"/>
          <w:color w:val="auto"/>
          <w:szCs w:val="21"/>
          <w:highlight w:val="none"/>
        </w:rPr>
        <w:t>注：类别填写节能或环境标志，品目填写编号及产品名称如A</w:t>
      </w:r>
      <w:r>
        <w:rPr>
          <w:color w:val="auto"/>
          <w:szCs w:val="21"/>
          <w:highlight w:val="none"/>
        </w:rPr>
        <w:t>02010104</w:t>
      </w:r>
      <w:r>
        <w:rPr>
          <w:rFonts w:hint="eastAsia"/>
          <w:color w:val="auto"/>
          <w:szCs w:val="21"/>
          <w:highlight w:val="none"/>
        </w:rPr>
        <w:t>台式计算机。</w:t>
      </w:r>
    </w:p>
    <w:bookmarkEnd w:id="1070"/>
    <w:p w14:paraId="6745DD90">
      <w:pPr>
        <w:snapToGrid w:val="0"/>
        <w:spacing w:before="50" w:after="120" w:afterLines="50"/>
        <w:jc w:val="left"/>
        <w:rPr>
          <w:color w:val="auto"/>
          <w:szCs w:val="21"/>
          <w:highlight w:val="none"/>
        </w:rPr>
      </w:pPr>
    </w:p>
    <w:p w14:paraId="3D3BE31D">
      <w:pPr>
        <w:snapToGrid w:val="0"/>
        <w:spacing w:before="50" w:after="120" w:afterLines="50"/>
        <w:jc w:val="left"/>
        <w:rPr>
          <w:color w:val="auto"/>
          <w:szCs w:val="21"/>
          <w:highlight w:val="none"/>
        </w:rPr>
      </w:pPr>
    </w:p>
    <w:p w14:paraId="2DC9B706">
      <w:pPr>
        <w:snapToGrid w:val="0"/>
        <w:spacing w:before="50" w:after="120" w:afterLines="50"/>
        <w:jc w:val="left"/>
        <w:rPr>
          <w:rFonts w:hint="eastAsia"/>
          <w:color w:val="auto"/>
          <w:szCs w:val="21"/>
          <w:highlight w:val="none"/>
        </w:rPr>
      </w:pPr>
    </w:p>
    <w:p w14:paraId="2E718F9E">
      <w:pPr>
        <w:snapToGrid w:val="0"/>
        <w:spacing w:before="50" w:after="120" w:afterLines="50" w:line="440" w:lineRule="exact"/>
        <w:jc w:val="left"/>
        <w:rPr>
          <w:rFonts w:hint="eastAsia"/>
          <w:b/>
          <w:color w:val="auto"/>
          <w:highlight w:val="none"/>
        </w:rPr>
      </w:pPr>
      <w:r>
        <w:rPr>
          <w:color w:val="auto"/>
          <w:highlight w:val="none"/>
        </w:rPr>
        <w:br w:type="page"/>
      </w:r>
      <w:r>
        <w:rPr>
          <w:rFonts w:hint="eastAsia"/>
          <w:color w:val="auto"/>
          <w:highlight w:val="none"/>
          <w:lang w:val="en-US" w:eastAsia="zh-CN"/>
        </w:rPr>
        <w:t>10</w:t>
      </w:r>
      <w:r>
        <w:rPr>
          <w:color w:val="auto"/>
          <w:highlight w:val="none"/>
        </w:rPr>
        <w:t>．</w:t>
      </w:r>
      <w:r>
        <w:rPr>
          <w:rFonts w:hint="eastAsia"/>
          <w:color w:val="auto"/>
          <w:szCs w:val="21"/>
          <w:highlight w:val="none"/>
        </w:rPr>
        <w:t>磋商</w:t>
      </w:r>
      <w:r>
        <w:rPr>
          <w:color w:val="auto"/>
          <w:szCs w:val="21"/>
          <w:highlight w:val="none"/>
        </w:rPr>
        <w:t>保证金缴纳证明</w:t>
      </w:r>
      <w:r>
        <w:rPr>
          <w:rFonts w:hint="eastAsia"/>
          <w:color w:val="auto"/>
          <w:szCs w:val="21"/>
          <w:highlight w:val="none"/>
        </w:rPr>
        <w:t>。</w:t>
      </w:r>
      <w:r>
        <w:rPr>
          <w:rFonts w:hint="eastAsia"/>
          <w:b/>
          <w:color w:val="auto"/>
          <w:highlight w:val="none"/>
        </w:rPr>
        <w:t>（如采购文件有要求时提供）</w:t>
      </w:r>
    </w:p>
    <w:p w14:paraId="646E149A">
      <w:pPr>
        <w:snapToGrid w:val="0"/>
        <w:spacing w:before="50" w:after="120" w:afterLines="50"/>
        <w:jc w:val="left"/>
        <w:rPr>
          <w:rFonts w:hint="eastAsia"/>
          <w:color w:val="auto"/>
          <w:highlight w:val="none"/>
        </w:rPr>
      </w:pPr>
      <w:r>
        <w:rPr>
          <w:rFonts w:hint="eastAsia"/>
          <w:color w:val="auto"/>
          <w:highlight w:val="none"/>
        </w:rPr>
        <w:t>（1）以转账、电汇形式缴纳的，提供转账、电汇凭证扫描件或复印件（网银可提供截图）加盖供应商电子签章；</w:t>
      </w:r>
    </w:p>
    <w:p w14:paraId="0DEC39D0">
      <w:pPr>
        <w:snapToGrid w:val="0"/>
        <w:spacing w:before="50" w:after="120" w:afterLines="50"/>
        <w:jc w:val="left"/>
        <w:rPr>
          <w:rFonts w:hint="eastAsia"/>
          <w:color w:val="auto"/>
          <w:highlight w:val="none"/>
        </w:rPr>
      </w:pPr>
      <w:r>
        <w:rPr>
          <w:rFonts w:hint="eastAsia"/>
          <w:color w:val="auto"/>
          <w:highlight w:val="none"/>
        </w:rPr>
        <w:t>（2）</w:t>
      </w:r>
      <w:bookmarkStart w:id="1071" w:name="_Hlk176360876"/>
      <w:r>
        <w:rPr>
          <w:rFonts w:hint="eastAsia"/>
          <w:color w:val="auto"/>
          <w:highlight w:val="none"/>
        </w:rPr>
        <w:t>以支票、汇票、本票或金融机构、担保机构出具的保函等非现金形式缴纳的，提供原件扫描件或复印件并加盖供应商电子签章。</w:t>
      </w:r>
      <w:bookmarkEnd w:id="1071"/>
      <w:r>
        <w:rPr>
          <w:rFonts w:hint="eastAsia"/>
          <w:color w:val="auto"/>
          <w:highlight w:val="none"/>
        </w:rPr>
        <w:t>响应保函参考如下格式开具：</w:t>
      </w:r>
    </w:p>
    <w:p w14:paraId="2CBBC076">
      <w:pPr>
        <w:spacing w:line="360" w:lineRule="auto"/>
        <w:jc w:val="center"/>
        <w:rPr>
          <w:rFonts w:ascii="Times New Roman" w:hAnsi="Times New Roman" w:eastAsia="宋体" w:cs="Times New Roman"/>
          <w:b/>
          <w:bCs/>
          <w:color w:val="auto"/>
          <w:sz w:val="28"/>
          <w:szCs w:val="36"/>
          <w:highlight w:val="none"/>
        </w:rPr>
      </w:pPr>
    </w:p>
    <w:p w14:paraId="4AB2CCBA">
      <w:pPr>
        <w:spacing w:line="360" w:lineRule="auto"/>
        <w:jc w:val="center"/>
        <w:rPr>
          <w:rFonts w:ascii="Times New Roman" w:hAnsi="Times New Roman" w:eastAsia="宋体" w:cs="Times New Roman"/>
          <w:b/>
          <w:bCs/>
          <w:color w:val="auto"/>
          <w:sz w:val="28"/>
          <w:szCs w:val="36"/>
          <w:highlight w:val="none"/>
        </w:rPr>
      </w:pPr>
      <w:r>
        <w:rPr>
          <w:rFonts w:hint="eastAsia" w:ascii="Times New Roman" w:hAnsi="Times New Roman" w:eastAsia="宋体" w:cs="Times New Roman"/>
          <w:b/>
          <w:bCs/>
          <w:color w:val="auto"/>
          <w:sz w:val="28"/>
          <w:szCs w:val="36"/>
          <w:highlight w:val="none"/>
        </w:rPr>
        <w:t>响应保函格式</w:t>
      </w:r>
    </w:p>
    <w:p w14:paraId="0F40E32A">
      <w:pPr>
        <w:snapToGrid w:val="0"/>
        <w:spacing w:before="50" w:after="120" w:afterLines="50"/>
        <w:jc w:val="left"/>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编号：           </w:t>
      </w:r>
    </w:p>
    <w:p w14:paraId="697C4C95">
      <w:pPr>
        <w:snapToGrid w:val="0"/>
        <w:spacing w:before="50" w:after="120" w:afterLines="50"/>
        <w:jc w:val="left"/>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申请人：</w:t>
      </w:r>
    </w:p>
    <w:p w14:paraId="5EEC5D47">
      <w:pPr>
        <w:snapToGrid w:val="0"/>
        <w:spacing w:before="50" w:after="120" w:afterLines="50"/>
        <w:jc w:val="left"/>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地址：</w:t>
      </w:r>
    </w:p>
    <w:p w14:paraId="3C956726">
      <w:pPr>
        <w:snapToGrid w:val="0"/>
        <w:spacing w:before="50" w:after="120" w:afterLines="50"/>
        <w:jc w:val="left"/>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受益人：广西机电设备招标有限公司 </w:t>
      </w:r>
    </w:p>
    <w:p w14:paraId="7F875B8F">
      <w:pPr>
        <w:snapToGrid w:val="0"/>
        <w:spacing w:before="50" w:after="120" w:afterLines="50"/>
        <w:jc w:val="left"/>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地址：</w:t>
      </w:r>
    </w:p>
    <w:p w14:paraId="52C71AAB">
      <w:pPr>
        <w:snapToGrid w:val="0"/>
        <w:spacing w:before="50" w:after="120" w:afterLines="50"/>
        <w:jc w:val="left"/>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开立人：</w:t>
      </w:r>
    </w:p>
    <w:p w14:paraId="4508AB05">
      <w:pPr>
        <w:snapToGrid w:val="0"/>
        <w:spacing w:before="50" w:after="120" w:afterLines="50"/>
        <w:jc w:val="left"/>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地址：</w:t>
      </w:r>
    </w:p>
    <w:p w14:paraId="482DD804">
      <w:pPr>
        <w:snapToGrid w:val="0"/>
        <w:spacing w:before="50" w:after="120" w:afterLines="50" w:line="440" w:lineRule="exact"/>
        <w:jc w:val="left"/>
        <w:rPr>
          <w:rFonts w:ascii="Times New Roman" w:hAnsi="Times New Roman" w:eastAsia="宋体" w:cs="Times New Roman"/>
          <w:color w:val="auto"/>
          <w:highlight w:val="none"/>
        </w:rPr>
      </w:pPr>
    </w:p>
    <w:p w14:paraId="66D13C4E">
      <w:pPr>
        <w:snapToGrid w:val="0"/>
        <w:spacing w:before="50" w:after="120" w:afterLines="50" w:line="276" w:lineRule="auto"/>
        <w:jc w:val="left"/>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致：广西机电设备招标有限公司</w:t>
      </w:r>
    </w:p>
    <w:p w14:paraId="05C94978">
      <w:pPr>
        <w:snapToGrid w:val="0"/>
        <w:spacing w:before="50" w:after="120" w:afterLines="50" w:line="276" w:lineRule="auto"/>
        <w:ind w:firstLine="420" w:firstLineChars="200"/>
        <w:jc w:val="left"/>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我方（即“开立人”）已获得通知，本保函申请人（即“供应商”）已响应贵方于</w:t>
      </w:r>
      <w:r>
        <w:rPr>
          <w:rFonts w:hint="eastAsia" w:ascii="Times New Roman" w:hAnsi="Times New Roman" w:eastAsia="宋体" w:cs="Times New Roman"/>
          <w:color w:val="auto"/>
          <w:highlight w:val="none"/>
          <w:u w:val="single"/>
        </w:rPr>
        <w:t xml:space="preserve">         </w:t>
      </w:r>
      <w:r>
        <w:rPr>
          <w:rFonts w:hint="eastAsia" w:ascii="Times New Roman" w:hAnsi="Times New Roman" w:eastAsia="宋体" w:cs="Times New Roman"/>
          <w:color w:val="auto"/>
          <w:highlight w:val="none"/>
        </w:rPr>
        <w:t>年</w:t>
      </w:r>
      <w:r>
        <w:rPr>
          <w:rFonts w:hint="eastAsia" w:ascii="Times New Roman" w:hAnsi="Times New Roman" w:eastAsia="宋体" w:cs="Times New Roman"/>
          <w:color w:val="auto"/>
          <w:highlight w:val="none"/>
          <w:u w:val="single"/>
        </w:rPr>
        <w:t xml:space="preserve">             </w:t>
      </w:r>
      <w:r>
        <w:rPr>
          <w:rFonts w:hint="eastAsia" w:ascii="Times New Roman" w:hAnsi="Times New Roman" w:eastAsia="宋体" w:cs="Times New Roman"/>
          <w:color w:val="auto"/>
          <w:highlight w:val="none"/>
        </w:rPr>
        <w:t>月</w:t>
      </w:r>
      <w:r>
        <w:rPr>
          <w:rFonts w:hint="eastAsia" w:ascii="Times New Roman" w:hAnsi="Times New Roman" w:eastAsia="宋体" w:cs="Times New Roman"/>
          <w:color w:val="auto"/>
          <w:highlight w:val="none"/>
          <w:u w:val="single"/>
        </w:rPr>
        <w:t xml:space="preserve">     </w:t>
      </w:r>
      <w:r>
        <w:rPr>
          <w:rFonts w:hint="eastAsia" w:ascii="Times New Roman" w:hAnsi="Times New Roman" w:eastAsia="宋体" w:cs="Times New Roman"/>
          <w:color w:val="auto"/>
          <w:highlight w:val="none"/>
        </w:rPr>
        <w:t xml:space="preserve"> 日就 </w:t>
      </w:r>
      <w:r>
        <w:rPr>
          <w:rFonts w:hint="eastAsia" w:ascii="Times New Roman" w:hAnsi="Times New Roman" w:eastAsia="宋体" w:cs="Times New Roman"/>
          <w:color w:val="auto"/>
          <w:highlight w:val="none"/>
          <w:u w:val="single"/>
        </w:rPr>
        <w:t xml:space="preserve">                                          </w:t>
      </w:r>
      <w:r>
        <w:rPr>
          <w:rFonts w:hint="eastAsia" w:ascii="Times New Roman" w:hAnsi="Times New Roman" w:eastAsia="宋体" w:cs="Times New Roman"/>
          <w:color w:val="auto"/>
          <w:highlight w:val="none"/>
        </w:rPr>
        <w:t>（以下简称“本项目”）发出的</w:t>
      </w:r>
      <w:r>
        <w:rPr>
          <w:rFonts w:hint="eastAsia" w:ascii="Times New Roman" w:hAnsi="Times New Roman" w:eastAsia="宋体" w:cs="Times New Roman"/>
          <w:color w:val="auto"/>
          <w:highlight w:val="none"/>
          <w:lang w:val="en-US" w:eastAsia="zh-CN"/>
        </w:rPr>
        <w:t>采购</w:t>
      </w:r>
      <w:r>
        <w:rPr>
          <w:rFonts w:hint="eastAsia" w:ascii="Times New Roman" w:hAnsi="Times New Roman" w:eastAsia="宋体" w:cs="Times New Roman"/>
          <w:color w:val="auto"/>
          <w:highlight w:val="none"/>
        </w:rPr>
        <w:t>文件，并已向采购代理机构（即“受益人”）提交了</w:t>
      </w:r>
      <w:r>
        <w:rPr>
          <w:rFonts w:hint="eastAsia" w:ascii="Times New Roman" w:hAnsi="Times New Roman" w:eastAsia="宋体" w:cs="Times New Roman"/>
          <w:color w:val="auto"/>
          <w:highlight w:val="none"/>
          <w:lang w:val="en-US" w:eastAsia="zh-CN"/>
        </w:rPr>
        <w:t>响应</w:t>
      </w:r>
      <w:r>
        <w:rPr>
          <w:rFonts w:hint="eastAsia" w:ascii="Times New Roman" w:hAnsi="Times New Roman" w:eastAsia="宋体" w:cs="Times New Roman"/>
          <w:color w:val="auto"/>
          <w:highlight w:val="none"/>
        </w:rPr>
        <w:t>文件。</w:t>
      </w:r>
    </w:p>
    <w:p w14:paraId="5401BE6D">
      <w:pPr>
        <w:snapToGrid w:val="0"/>
        <w:spacing w:before="50" w:after="120" w:afterLines="50" w:line="276" w:lineRule="auto"/>
        <w:ind w:firstLine="420" w:firstLineChars="200"/>
        <w:jc w:val="left"/>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一、我方理解根据</w:t>
      </w:r>
      <w:r>
        <w:rPr>
          <w:rFonts w:hint="eastAsia" w:ascii="Times New Roman" w:hAnsi="Times New Roman" w:eastAsia="宋体" w:cs="Times New Roman"/>
          <w:color w:val="auto"/>
          <w:highlight w:val="none"/>
          <w:lang w:val="en-US" w:eastAsia="zh-CN"/>
        </w:rPr>
        <w:t>采购</w:t>
      </w:r>
      <w:r>
        <w:rPr>
          <w:rFonts w:hint="eastAsia" w:ascii="Times New Roman" w:hAnsi="Times New Roman" w:eastAsia="宋体" w:cs="Times New Roman"/>
          <w:color w:val="auto"/>
          <w:highlight w:val="none"/>
        </w:rPr>
        <w:t>条件，</w:t>
      </w:r>
      <w:r>
        <w:rPr>
          <w:rFonts w:hint="eastAsia" w:ascii="Times New Roman" w:hAnsi="Times New Roman" w:eastAsia="宋体" w:cs="Times New Roman"/>
          <w:color w:val="auto"/>
          <w:highlight w:val="none"/>
          <w:lang w:val="en-US" w:eastAsia="zh-CN"/>
        </w:rPr>
        <w:t>供应商</w:t>
      </w:r>
      <w:r>
        <w:rPr>
          <w:rFonts w:hint="eastAsia" w:ascii="Times New Roman" w:hAnsi="Times New Roman" w:eastAsia="宋体" w:cs="Times New Roman"/>
          <w:color w:val="auto"/>
          <w:highlight w:val="none"/>
        </w:rPr>
        <w:t>必须提交一份</w:t>
      </w:r>
      <w:r>
        <w:rPr>
          <w:rFonts w:hint="eastAsia" w:ascii="Times New Roman" w:hAnsi="Times New Roman" w:eastAsia="宋体" w:cs="Times New Roman"/>
          <w:color w:val="auto"/>
          <w:highlight w:val="none"/>
          <w:lang w:val="en-US" w:eastAsia="zh-CN"/>
        </w:rPr>
        <w:t>响应</w:t>
      </w:r>
      <w:r>
        <w:rPr>
          <w:rFonts w:hint="eastAsia" w:ascii="Times New Roman" w:hAnsi="Times New Roman" w:eastAsia="宋体" w:cs="Times New Roman"/>
          <w:color w:val="auto"/>
          <w:highlight w:val="none"/>
        </w:rPr>
        <w:t>保函（以下简称“本保函”），以担保供应商诚信履行其在采购活动中承担的义务。鉴此，应申请人要求，我方在此同意向贵方出具此</w:t>
      </w:r>
      <w:r>
        <w:rPr>
          <w:rFonts w:hint="eastAsia" w:ascii="Times New Roman" w:hAnsi="Times New Roman" w:eastAsia="宋体" w:cs="Times New Roman"/>
          <w:color w:val="auto"/>
          <w:highlight w:val="none"/>
          <w:lang w:val="en-US" w:eastAsia="zh-CN"/>
        </w:rPr>
        <w:t>响应</w:t>
      </w:r>
      <w:r>
        <w:rPr>
          <w:rFonts w:hint="eastAsia" w:ascii="Times New Roman" w:hAnsi="Times New Roman" w:eastAsia="宋体" w:cs="Times New Roman"/>
          <w:color w:val="auto"/>
          <w:highlight w:val="none"/>
        </w:rPr>
        <w:t>保函，本保函担保金额为人民币（大写）</w:t>
      </w:r>
      <w:r>
        <w:rPr>
          <w:rFonts w:hint="eastAsia" w:ascii="Times New Roman" w:hAnsi="Times New Roman" w:eastAsia="宋体" w:cs="Times New Roman"/>
          <w:color w:val="auto"/>
          <w:highlight w:val="none"/>
          <w:u w:val="single"/>
        </w:rPr>
        <w:t xml:space="preserve">                            </w:t>
      </w:r>
      <w:r>
        <w:rPr>
          <w:rFonts w:hint="eastAsia" w:ascii="Times New Roman" w:hAnsi="Times New Roman" w:eastAsia="宋体" w:cs="Times New Roman"/>
          <w:color w:val="auto"/>
          <w:highlight w:val="none"/>
        </w:rPr>
        <w:t>元（¥</w:t>
      </w:r>
      <w:r>
        <w:rPr>
          <w:rFonts w:hint="eastAsia" w:ascii="Times New Roman" w:hAnsi="Times New Roman" w:eastAsia="宋体" w:cs="Times New Roman"/>
          <w:color w:val="auto"/>
          <w:highlight w:val="none"/>
          <w:u w:val="single"/>
        </w:rPr>
        <w:t xml:space="preserve">                         </w:t>
      </w:r>
      <w:r>
        <w:rPr>
          <w:rFonts w:hint="eastAsia" w:ascii="Times New Roman" w:hAnsi="Times New Roman" w:eastAsia="宋体" w:cs="Times New Roman"/>
          <w:color w:val="auto"/>
          <w:highlight w:val="none"/>
        </w:rPr>
        <w:t>）。</w:t>
      </w:r>
    </w:p>
    <w:p w14:paraId="2DB4E322">
      <w:pPr>
        <w:snapToGrid w:val="0"/>
        <w:spacing w:before="50" w:after="120" w:afterLines="50" w:line="276" w:lineRule="auto"/>
        <w:ind w:firstLine="420" w:firstLineChars="200"/>
        <w:jc w:val="left"/>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二、我方在供应商发生以下情形时承担保证担保责任： </w:t>
      </w:r>
    </w:p>
    <w:p w14:paraId="5A4F18BD">
      <w:pPr>
        <w:snapToGrid w:val="0"/>
        <w:spacing w:before="50" w:after="120" w:afterLines="50" w:line="276" w:lineRule="auto"/>
        <w:ind w:firstLine="420" w:firstLineChars="200"/>
        <w:jc w:val="left"/>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w:t>
      </w:r>
      <w:r>
        <w:rPr>
          <w:rFonts w:hint="eastAsia" w:ascii="Times New Roman" w:hAnsi="Times New Roman" w:eastAsia="宋体" w:cs="Times New Roman"/>
          <w:color w:val="auto"/>
          <w:highlight w:val="none"/>
          <w:lang w:val="en-US" w:eastAsia="zh-CN"/>
        </w:rPr>
        <w:t>供应商</w:t>
      </w:r>
      <w:r>
        <w:rPr>
          <w:rFonts w:hint="eastAsia" w:ascii="Times New Roman" w:hAnsi="Times New Roman" w:eastAsia="宋体" w:cs="Times New Roman"/>
          <w:color w:val="auto"/>
          <w:highlight w:val="none"/>
        </w:rPr>
        <w:t>在</w:t>
      </w:r>
      <w:r>
        <w:rPr>
          <w:rFonts w:hint="eastAsia" w:ascii="Times New Roman" w:hAnsi="Times New Roman" w:eastAsia="宋体" w:cs="Times New Roman"/>
          <w:color w:val="auto"/>
          <w:highlight w:val="none"/>
          <w:lang w:val="en-US" w:eastAsia="zh-CN"/>
        </w:rPr>
        <w:t>截标</w:t>
      </w:r>
      <w:r>
        <w:rPr>
          <w:rFonts w:hint="eastAsia" w:ascii="Times New Roman" w:hAnsi="Times New Roman" w:eastAsia="宋体" w:cs="Times New Roman"/>
          <w:color w:val="auto"/>
          <w:highlight w:val="none"/>
        </w:rPr>
        <w:t>后和</w:t>
      </w:r>
      <w:r>
        <w:rPr>
          <w:rFonts w:hint="eastAsia" w:ascii="Times New Roman" w:hAnsi="Times New Roman" w:eastAsia="宋体" w:cs="Times New Roman"/>
          <w:color w:val="auto"/>
          <w:highlight w:val="none"/>
          <w:lang w:val="en-US" w:eastAsia="zh-CN"/>
        </w:rPr>
        <w:t>响应</w:t>
      </w:r>
      <w:r>
        <w:rPr>
          <w:rFonts w:hint="eastAsia" w:ascii="Times New Roman" w:hAnsi="Times New Roman" w:eastAsia="宋体" w:cs="Times New Roman"/>
          <w:color w:val="auto"/>
          <w:highlight w:val="none"/>
        </w:rPr>
        <w:t>有效期满之前撤销</w:t>
      </w:r>
      <w:r>
        <w:rPr>
          <w:rFonts w:hint="eastAsia" w:ascii="Times New Roman" w:hAnsi="Times New Roman" w:eastAsia="宋体" w:cs="Times New Roman"/>
          <w:color w:val="auto"/>
          <w:highlight w:val="none"/>
          <w:lang w:val="en-US" w:eastAsia="zh-CN"/>
        </w:rPr>
        <w:t>响应</w:t>
      </w:r>
      <w:r>
        <w:rPr>
          <w:rFonts w:hint="eastAsia" w:ascii="Times New Roman" w:hAnsi="Times New Roman" w:eastAsia="宋体" w:cs="Times New Roman"/>
          <w:color w:val="auto"/>
          <w:highlight w:val="none"/>
        </w:rPr>
        <w:t xml:space="preserve">文件的； </w:t>
      </w:r>
    </w:p>
    <w:p w14:paraId="6723D2C3">
      <w:pPr>
        <w:snapToGrid w:val="0"/>
        <w:spacing w:before="50" w:after="120" w:afterLines="50" w:line="276" w:lineRule="auto"/>
        <w:ind w:firstLine="420" w:firstLineChars="200"/>
        <w:jc w:val="left"/>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w:t>
      </w:r>
      <w:r>
        <w:rPr>
          <w:rFonts w:hint="eastAsia" w:ascii="Times New Roman" w:hAnsi="Times New Roman" w:eastAsia="宋体" w:cs="Times New Roman"/>
          <w:color w:val="auto"/>
          <w:highlight w:val="none"/>
          <w:lang w:val="en-US" w:eastAsia="zh-CN"/>
        </w:rPr>
        <w:t>供应商</w:t>
      </w:r>
      <w:r>
        <w:rPr>
          <w:rFonts w:hint="eastAsia" w:ascii="Times New Roman" w:hAnsi="Times New Roman" w:eastAsia="宋体" w:cs="Times New Roman"/>
          <w:color w:val="auto"/>
          <w:highlight w:val="none"/>
        </w:rPr>
        <w:t>在收到</w:t>
      </w:r>
      <w:r>
        <w:rPr>
          <w:rFonts w:hint="eastAsia" w:ascii="Times New Roman" w:hAnsi="Times New Roman" w:eastAsia="宋体" w:cs="Times New Roman"/>
          <w:color w:val="auto"/>
          <w:highlight w:val="none"/>
          <w:lang w:val="en-US" w:eastAsia="zh-CN"/>
        </w:rPr>
        <w:t>成交</w:t>
      </w:r>
      <w:r>
        <w:rPr>
          <w:rFonts w:hint="eastAsia" w:ascii="Times New Roman" w:hAnsi="Times New Roman" w:eastAsia="宋体" w:cs="Times New Roman"/>
          <w:color w:val="auto"/>
          <w:highlight w:val="none"/>
        </w:rPr>
        <w:t>通知书后，不能或拒绝按</w:t>
      </w:r>
      <w:r>
        <w:rPr>
          <w:rFonts w:hint="eastAsia" w:ascii="Times New Roman" w:hAnsi="Times New Roman" w:eastAsia="宋体" w:cs="Times New Roman"/>
          <w:color w:val="auto"/>
          <w:highlight w:val="none"/>
          <w:lang w:val="en-US" w:eastAsia="zh-CN"/>
        </w:rPr>
        <w:t>采购</w:t>
      </w:r>
      <w:r>
        <w:rPr>
          <w:rFonts w:hint="eastAsia" w:ascii="Times New Roman" w:hAnsi="Times New Roman" w:eastAsia="宋体" w:cs="Times New Roman"/>
          <w:color w:val="auto"/>
          <w:highlight w:val="none"/>
        </w:rPr>
        <w:t xml:space="preserve">文件规定的时间内与采购人签订合同； </w:t>
      </w:r>
    </w:p>
    <w:p w14:paraId="26DD5531">
      <w:pPr>
        <w:snapToGrid w:val="0"/>
        <w:spacing w:before="50" w:after="120" w:afterLines="50" w:line="276" w:lineRule="auto"/>
        <w:ind w:firstLine="420" w:firstLineChars="200"/>
        <w:jc w:val="left"/>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w:t>
      </w:r>
      <w:r>
        <w:rPr>
          <w:rFonts w:hint="eastAsia" w:ascii="Times New Roman" w:hAnsi="Times New Roman" w:eastAsia="宋体" w:cs="Times New Roman"/>
          <w:color w:val="auto"/>
          <w:highlight w:val="none"/>
          <w:lang w:val="en-US" w:eastAsia="zh-CN"/>
        </w:rPr>
        <w:t>供应商</w:t>
      </w:r>
      <w:r>
        <w:rPr>
          <w:rFonts w:hint="eastAsia" w:ascii="Times New Roman" w:hAnsi="Times New Roman" w:eastAsia="宋体" w:cs="Times New Roman"/>
          <w:color w:val="auto"/>
          <w:highlight w:val="none"/>
        </w:rPr>
        <w:t>在与采购人签订合同后，未在规定的时间内提交符合</w:t>
      </w:r>
      <w:r>
        <w:rPr>
          <w:rFonts w:hint="eastAsia" w:ascii="Times New Roman" w:hAnsi="Times New Roman" w:eastAsia="宋体" w:cs="Times New Roman"/>
          <w:color w:val="auto"/>
          <w:highlight w:val="none"/>
          <w:lang w:val="en-US" w:eastAsia="zh-CN"/>
        </w:rPr>
        <w:t>采购</w:t>
      </w:r>
      <w:r>
        <w:rPr>
          <w:rFonts w:hint="eastAsia" w:ascii="Times New Roman" w:hAnsi="Times New Roman" w:eastAsia="宋体" w:cs="Times New Roman"/>
          <w:color w:val="auto"/>
          <w:highlight w:val="none"/>
        </w:rPr>
        <w:t>文件要求的履约担保；</w:t>
      </w:r>
    </w:p>
    <w:p w14:paraId="7DD07EA4">
      <w:pPr>
        <w:snapToGrid w:val="0"/>
        <w:spacing w:before="50" w:after="120" w:afterLines="50" w:line="276" w:lineRule="auto"/>
        <w:ind w:firstLine="420" w:firstLineChars="200"/>
        <w:jc w:val="left"/>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（4）</w:t>
      </w:r>
      <w:r>
        <w:rPr>
          <w:rFonts w:hint="eastAsia" w:ascii="Times New Roman" w:hAnsi="Times New Roman" w:eastAsia="宋体" w:cs="Times New Roman"/>
          <w:color w:val="auto"/>
          <w:highlight w:val="none"/>
          <w:lang w:val="en-US" w:eastAsia="zh-CN"/>
        </w:rPr>
        <w:t>供应商</w:t>
      </w:r>
      <w:r>
        <w:rPr>
          <w:rFonts w:hint="eastAsia" w:ascii="Times New Roman" w:hAnsi="Times New Roman" w:eastAsia="宋体" w:cs="Times New Roman"/>
          <w:color w:val="auto"/>
          <w:highlight w:val="none"/>
        </w:rPr>
        <w:t>在</w:t>
      </w:r>
      <w:r>
        <w:rPr>
          <w:rFonts w:hint="eastAsia" w:ascii="Times New Roman" w:hAnsi="Times New Roman" w:eastAsia="宋体" w:cs="Times New Roman"/>
          <w:color w:val="auto"/>
          <w:highlight w:val="none"/>
          <w:lang w:val="en-US" w:eastAsia="zh-CN"/>
        </w:rPr>
        <w:t>成交</w:t>
      </w:r>
      <w:r>
        <w:rPr>
          <w:rFonts w:hint="eastAsia" w:ascii="Times New Roman" w:hAnsi="Times New Roman" w:eastAsia="宋体" w:cs="Times New Roman"/>
          <w:color w:val="auto"/>
          <w:highlight w:val="none"/>
        </w:rPr>
        <w:t>通知书发出之日起5个工作日内，未缴纳本项目代理服务费的；</w:t>
      </w:r>
    </w:p>
    <w:p w14:paraId="7A7D0658">
      <w:pPr>
        <w:snapToGrid w:val="0"/>
        <w:spacing w:before="50" w:after="120" w:afterLines="50" w:line="276" w:lineRule="auto"/>
        <w:ind w:firstLine="420" w:firstLineChars="200"/>
        <w:jc w:val="left"/>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（5）</w:t>
      </w:r>
      <w:r>
        <w:rPr>
          <w:rFonts w:hint="eastAsia" w:ascii="Times New Roman" w:hAnsi="Times New Roman" w:eastAsia="宋体" w:cs="Times New Roman"/>
          <w:color w:val="auto"/>
          <w:highlight w:val="none"/>
          <w:lang w:val="en-US" w:eastAsia="zh-CN"/>
        </w:rPr>
        <w:t>供应商</w:t>
      </w:r>
      <w:r>
        <w:rPr>
          <w:rFonts w:hint="eastAsia" w:ascii="Times New Roman" w:hAnsi="Times New Roman" w:eastAsia="宋体" w:cs="Times New Roman"/>
          <w:color w:val="auto"/>
          <w:highlight w:val="none"/>
        </w:rPr>
        <w:t>违反招标文件规定的其他情形。</w:t>
      </w:r>
    </w:p>
    <w:p w14:paraId="2CEB3708">
      <w:pPr>
        <w:snapToGrid w:val="0"/>
        <w:spacing w:before="50" w:after="120" w:afterLines="50" w:line="276" w:lineRule="auto"/>
        <w:ind w:firstLine="210" w:firstLineChars="100"/>
        <w:jc w:val="left"/>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    三、本保函为不可撤销、不可转让的见索即付独立保函。本保函有效期自开立之日起至</w:t>
      </w:r>
      <w:r>
        <w:rPr>
          <w:rFonts w:hint="eastAsia" w:ascii="Times New Roman" w:hAnsi="Times New Roman" w:eastAsia="宋体" w:cs="Times New Roman"/>
          <w:color w:val="auto"/>
          <w:highlight w:val="none"/>
          <w:lang w:val="en-US" w:eastAsia="zh-CN"/>
        </w:rPr>
        <w:t>响应</w:t>
      </w:r>
      <w:r>
        <w:rPr>
          <w:rFonts w:hint="eastAsia" w:ascii="Times New Roman" w:hAnsi="Times New Roman" w:eastAsia="宋体" w:cs="Times New Roman"/>
          <w:color w:val="auto"/>
          <w:highlight w:val="none"/>
        </w:rPr>
        <w:t>有效期届满之日后的</w:t>
      </w:r>
      <w:r>
        <w:rPr>
          <w:rFonts w:hint="eastAsia" w:ascii="Times New Roman" w:hAnsi="Times New Roman" w:eastAsia="宋体" w:cs="Times New Roman"/>
          <w:color w:val="auto"/>
          <w:highlight w:val="none"/>
          <w:u w:val="single"/>
        </w:rPr>
        <w:t xml:space="preserve">  28  </w:t>
      </w:r>
      <w:r>
        <w:rPr>
          <w:rFonts w:hint="eastAsia" w:ascii="Times New Roman" w:hAnsi="Times New Roman" w:eastAsia="宋体" w:cs="Times New Roman"/>
          <w:color w:val="auto"/>
          <w:highlight w:val="none"/>
        </w:rPr>
        <w:t>日。</w:t>
      </w:r>
      <w:r>
        <w:rPr>
          <w:rFonts w:hint="eastAsia" w:ascii="Times New Roman" w:hAnsi="Times New Roman" w:eastAsia="宋体" w:cs="Times New Roman"/>
          <w:color w:val="auto"/>
          <w:highlight w:val="none"/>
          <w:lang w:val="en-US" w:eastAsia="zh-CN"/>
        </w:rPr>
        <w:t>响应</w:t>
      </w:r>
      <w:r>
        <w:rPr>
          <w:rFonts w:hint="eastAsia" w:ascii="Times New Roman" w:hAnsi="Times New Roman" w:eastAsia="宋体" w:cs="Times New Roman"/>
          <w:color w:val="auto"/>
          <w:highlight w:val="none"/>
        </w:rPr>
        <w:t>有效期延长的，本保函有效期相应顺延。</w:t>
      </w:r>
    </w:p>
    <w:p w14:paraId="51F55B99">
      <w:pPr>
        <w:snapToGrid w:val="0"/>
        <w:spacing w:before="50" w:after="120" w:afterLines="50" w:line="276" w:lineRule="auto"/>
        <w:ind w:firstLine="420" w:firstLineChars="200"/>
        <w:jc w:val="left"/>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四、我方承诺，在收到受益人发来的书面付款通知后的</w:t>
      </w:r>
      <w:r>
        <w:rPr>
          <w:rFonts w:hint="eastAsia" w:ascii="Times New Roman" w:hAnsi="Times New Roman" w:eastAsia="宋体" w:cs="Times New Roman"/>
          <w:color w:val="auto"/>
          <w:highlight w:val="none"/>
          <w:u w:val="single"/>
        </w:rPr>
        <w:t xml:space="preserve">   5    </w:t>
      </w:r>
      <w:r>
        <w:rPr>
          <w:rFonts w:hint="eastAsia" w:ascii="Times New Roman" w:hAnsi="Times New Roman" w:eastAsia="宋体" w:cs="Times New Roman"/>
          <w:color w:val="auto"/>
          <w:highlight w:val="none"/>
        </w:rPr>
        <w:t>日内无条件支付，前述书面付款通知即为付款要求之单据，且应满足以下要求：</w:t>
      </w:r>
    </w:p>
    <w:p w14:paraId="211083FF">
      <w:pPr>
        <w:snapToGrid w:val="0"/>
        <w:spacing w:before="50" w:after="120" w:afterLines="50" w:line="276" w:lineRule="auto"/>
        <w:ind w:firstLine="420" w:firstLineChars="200"/>
        <w:jc w:val="left"/>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（1）付款通知到达的日期在本保函的有效期内；</w:t>
      </w:r>
    </w:p>
    <w:p w14:paraId="42C3ECAB">
      <w:pPr>
        <w:snapToGrid w:val="0"/>
        <w:spacing w:before="50" w:after="120" w:afterLines="50" w:line="276" w:lineRule="auto"/>
        <w:ind w:firstLine="420" w:firstLineChars="200"/>
        <w:jc w:val="left"/>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（2）载明要求支付的金额；</w:t>
      </w:r>
    </w:p>
    <w:p w14:paraId="29E1CE78">
      <w:pPr>
        <w:snapToGrid w:val="0"/>
        <w:spacing w:before="50" w:after="120" w:afterLines="50" w:line="276" w:lineRule="auto"/>
        <w:ind w:firstLine="420" w:firstLineChars="200"/>
        <w:jc w:val="left"/>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（3）载明申请人违反采购文件规定的义务内容和具体条款；</w:t>
      </w:r>
    </w:p>
    <w:p w14:paraId="7393E1DE">
      <w:pPr>
        <w:snapToGrid w:val="0"/>
        <w:spacing w:before="50" w:after="120" w:afterLines="50" w:line="276" w:lineRule="auto"/>
        <w:ind w:firstLine="420" w:firstLineChars="200"/>
        <w:jc w:val="left"/>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（4）声明不存在采购文件规定或我国法律规定免除申请人或我方支付责任的情形；</w:t>
      </w:r>
    </w:p>
    <w:p w14:paraId="6F980125">
      <w:pPr>
        <w:snapToGrid w:val="0"/>
        <w:spacing w:before="50" w:after="120" w:afterLines="50" w:line="276" w:lineRule="auto"/>
        <w:ind w:firstLine="420" w:firstLineChars="200"/>
        <w:jc w:val="left"/>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（5）书面付款通知应在本保函有效期内到达的地址是：</w:t>
      </w:r>
      <w:r>
        <w:rPr>
          <w:rFonts w:hint="eastAsia" w:ascii="Times New Roman" w:hAnsi="Times New Roman" w:eastAsia="宋体" w:cs="Times New Roman"/>
          <w:color w:val="auto"/>
          <w:highlight w:val="none"/>
          <w:u w:val="single"/>
        </w:rPr>
        <w:t xml:space="preserve">                                     </w:t>
      </w:r>
      <w:r>
        <w:rPr>
          <w:rFonts w:hint="eastAsia" w:ascii="Times New Roman" w:hAnsi="Times New Roman" w:eastAsia="宋体" w:cs="Times New Roman"/>
          <w:color w:val="auto"/>
          <w:highlight w:val="none"/>
        </w:rPr>
        <w:t>。</w:t>
      </w:r>
    </w:p>
    <w:p w14:paraId="0E79867F">
      <w:pPr>
        <w:snapToGrid w:val="0"/>
        <w:spacing w:before="50" w:after="120" w:afterLines="50" w:line="276" w:lineRule="auto"/>
        <w:jc w:val="left"/>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        受益人发出的书面付款通知应由其为鉴明受益人法定代表人（负责人）或授权代理人签字并加盖公章。</w:t>
      </w:r>
    </w:p>
    <w:p w14:paraId="36228014">
      <w:pPr>
        <w:snapToGrid w:val="0"/>
        <w:spacing w:before="50" w:after="120" w:afterLines="50" w:line="276" w:lineRule="auto"/>
        <w:ind w:firstLine="420" w:firstLineChars="200"/>
        <w:jc w:val="left"/>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五、本保函项下的权利不得转让，不得设定担保。贵方未经我方书面同意转让本保函或其项下任何权利，对我方不发生法律效力。 </w:t>
      </w:r>
    </w:p>
    <w:p w14:paraId="077F233F">
      <w:pPr>
        <w:snapToGrid w:val="0"/>
        <w:spacing w:before="50" w:after="120" w:afterLines="50" w:line="276" w:lineRule="auto"/>
        <w:ind w:firstLine="420" w:firstLineChars="200"/>
        <w:jc w:val="left"/>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六、本保函项下的基础交易不成立、不生效、无效、被撤销、被解除，不影响本保函的独立有效。 </w:t>
      </w:r>
    </w:p>
    <w:p w14:paraId="375D81D9">
      <w:pPr>
        <w:snapToGrid w:val="0"/>
        <w:spacing w:before="50" w:after="120" w:afterLines="50" w:line="276" w:lineRule="auto"/>
        <w:ind w:firstLine="420" w:firstLineChars="200"/>
        <w:jc w:val="left"/>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七、受益人应在本保函到期后的七日内将本保函正本退回我方注销，但是不论受益人是否按此要求将本保函正本退回我方，我方在本保函项下的义务和责任均在保函有效期到期后自动消灭。 </w:t>
      </w:r>
    </w:p>
    <w:p w14:paraId="642ADDB7">
      <w:pPr>
        <w:snapToGrid w:val="0"/>
        <w:spacing w:before="50" w:after="120" w:afterLines="50" w:line="276" w:lineRule="auto"/>
        <w:ind w:firstLine="420" w:firstLineChars="200"/>
        <w:jc w:val="left"/>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八、本保函适用的法律为中华人民共和国法律，争议裁判管辖地为中华人民共和国。 </w:t>
      </w:r>
    </w:p>
    <w:p w14:paraId="605662A7">
      <w:pPr>
        <w:snapToGrid w:val="0"/>
        <w:spacing w:before="50" w:after="120" w:afterLines="50" w:line="276" w:lineRule="auto"/>
        <w:ind w:firstLine="420" w:firstLineChars="200"/>
        <w:jc w:val="left"/>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九、本保函自我方法定代表人或授权代表签字并加盖公章之日起生效。 </w:t>
      </w:r>
    </w:p>
    <w:p w14:paraId="13A0C17E">
      <w:pPr>
        <w:snapToGrid w:val="0"/>
        <w:spacing w:before="50" w:after="120" w:afterLines="50" w:line="276" w:lineRule="auto"/>
        <w:jc w:val="left"/>
        <w:rPr>
          <w:rFonts w:ascii="Times New Roman" w:hAnsi="Times New Roman" w:eastAsia="宋体" w:cs="Times New Roman"/>
          <w:color w:val="auto"/>
          <w:highlight w:val="none"/>
        </w:rPr>
      </w:pPr>
    </w:p>
    <w:p w14:paraId="25034EE2">
      <w:pPr>
        <w:snapToGrid w:val="0"/>
        <w:spacing w:before="50" w:after="120" w:afterLines="50" w:line="276" w:lineRule="auto"/>
        <w:jc w:val="left"/>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开 立 人：                                                  （公章） </w:t>
      </w:r>
    </w:p>
    <w:p w14:paraId="4D57C83C">
      <w:pPr>
        <w:snapToGrid w:val="0"/>
        <w:spacing w:before="50" w:after="120" w:afterLines="50" w:line="276" w:lineRule="auto"/>
        <w:jc w:val="left"/>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法定代表人（或授权代表） ：               （签字） </w:t>
      </w:r>
    </w:p>
    <w:p w14:paraId="2C218C92">
      <w:pPr>
        <w:snapToGrid w:val="0"/>
        <w:spacing w:before="50" w:after="120" w:afterLines="50" w:line="276" w:lineRule="auto"/>
        <w:jc w:val="left"/>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地    址：                                       </w:t>
      </w:r>
    </w:p>
    <w:p w14:paraId="767543B4">
      <w:pPr>
        <w:snapToGrid w:val="0"/>
        <w:spacing w:before="50" w:after="120" w:afterLines="50" w:line="276" w:lineRule="auto"/>
        <w:jc w:val="left"/>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邮政编码：                 </w:t>
      </w:r>
    </w:p>
    <w:p w14:paraId="4E9BE1B0">
      <w:pPr>
        <w:snapToGrid w:val="0"/>
        <w:spacing w:before="50" w:after="120" w:afterLines="50" w:line="276" w:lineRule="auto"/>
        <w:jc w:val="left"/>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电    话：                 </w:t>
      </w:r>
    </w:p>
    <w:p w14:paraId="61C78137">
      <w:pPr>
        <w:snapToGrid w:val="0"/>
        <w:spacing w:before="50" w:after="120" w:afterLines="50" w:line="276" w:lineRule="auto"/>
        <w:jc w:val="left"/>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传    真：                 </w:t>
      </w:r>
    </w:p>
    <w:p w14:paraId="04C6534F">
      <w:pPr>
        <w:snapToGrid w:val="0"/>
        <w:spacing w:before="50" w:after="120" w:afterLines="50" w:line="276" w:lineRule="auto"/>
        <w:jc w:val="left"/>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开立时间：      年       月        日</w:t>
      </w:r>
    </w:p>
    <w:p w14:paraId="62CD2495">
      <w:pPr>
        <w:snapToGrid w:val="0"/>
        <w:spacing w:before="50" w:after="120" w:afterLines="50"/>
        <w:jc w:val="left"/>
        <w:rPr>
          <w:rFonts w:hint="eastAsia"/>
          <w:color w:val="auto"/>
          <w:highlight w:val="none"/>
        </w:rPr>
      </w:pPr>
    </w:p>
    <w:p w14:paraId="43BC51B0">
      <w:pPr>
        <w:snapToGrid w:val="0"/>
        <w:spacing w:before="50" w:after="120" w:afterLines="50"/>
        <w:jc w:val="left"/>
        <w:rPr>
          <w:rFonts w:hint="eastAsia"/>
          <w:color w:val="auto"/>
          <w:highlight w:val="none"/>
        </w:rPr>
      </w:pPr>
    </w:p>
    <w:p w14:paraId="5D931A6C">
      <w:pPr>
        <w:snapToGrid w:val="0"/>
        <w:spacing w:before="50" w:after="120" w:afterLines="50"/>
        <w:jc w:val="left"/>
        <w:rPr>
          <w:rFonts w:hint="eastAsia"/>
          <w:color w:val="auto"/>
          <w:szCs w:val="21"/>
          <w:highlight w:val="none"/>
        </w:rPr>
      </w:pPr>
    </w:p>
    <w:p w14:paraId="006B04D0">
      <w:pPr>
        <w:snapToGrid w:val="0"/>
        <w:spacing w:before="50" w:after="120" w:afterLines="50" w:line="400" w:lineRule="exact"/>
        <w:jc w:val="left"/>
        <w:rPr>
          <w:bCs/>
          <w:color w:val="auto"/>
          <w:sz w:val="24"/>
          <w:highlight w:val="none"/>
        </w:rPr>
      </w:pPr>
      <w:r>
        <w:rPr>
          <w:rFonts w:hint="eastAsia"/>
          <w:color w:val="auto"/>
          <w:szCs w:val="21"/>
          <w:highlight w:val="none"/>
        </w:rPr>
        <w:br w:type="page"/>
      </w:r>
      <w:r>
        <w:rPr>
          <w:rFonts w:hint="eastAsia"/>
          <w:color w:val="auto"/>
          <w:szCs w:val="21"/>
          <w:highlight w:val="none"/>
        </w:rPr>
        <w:t>1</w:t>
      </w:r>
      <w:r>
        <w:rPr>
          <w:rFonts w:hint="eastAsia"/>
          <w:color w:val="auto"/>
          <w:szCs w:val="21"/>
          <w:highlight w:val="none"/>
          <w:lang w:val="en-US" w:eastAsia="zh-CN"/>
        </w:rPr>
        <w:t>1</w:t>
      </w:r>
      <w:r>
        <w:rPr>
          <w:color w:val="auto"/>
          <w:szCs w:val="21"/>
          <w:highlight w:val="none"/>
        </w:rPr>
        <w:t>．供应商认为应当要提交的</w:t>
      </w:r>
      <w:r>
        <w:rPr>
          <w:rFonts w:hint="eastAsia"/>
          <w:color w:val="auto"/>
          <w:szCs w:val="21"/>
          <w:highlight w:val="none"/>
        </w:rPr>
        <w:t>其他</w:t>
      </w:r>
      <w:r>
        <w:rPr>
          <w:color w:val="auto"/>
          <w:szCs w:val="21"/>
          <w:highlight w:val="none"/>
        </w:rPr>
        <w:t>资格证明材料。</w:t>
      </w:r>
      <w:r>
        <w:rPr>
          <w:bCs/>
          <w:color w:val="auto"/>
          <w:sz w:val="24"/>
          <w:highlight w:val="none"/>
        </w:rPr>
        <w:t xml:space="preserve"> </w:t>
      </w:r>
    </w:p>
    <w:p w14:paraId="19B2C282">
      <w:pPr>
        <w:snapToGrid w:val="0"/>
        <w:spacing w:before="120" w:beforeLines="50" w:after="50" w:line="440" w:lineRule="exact"/>
        <w:jc w:val="center"/>
        <w:outlineLvl w:val="1"/>
        <w:rPr>
          <w:bCs/>
          <w:color w:val="auto"/>
          <w:sz w:val="24"/>
          <w:highlight w:val="none"/>
        </w:rPr>
      </w:pPr>
      <w:r>
        <w:rPr>
          <w:color w:val="auto"/>
          <w:szCs w:val="21"/>
          <w:highlight w:val="none"/>
        </w:rPr>
        <w:br w:type="page"/>
      </w:r>
      <w:r>
        <w:rPr>
          <w:bCs/>
          <w:color w:val="auto"/>
          <w:sz w:val="24"/>
          <w:highlight w:val="none"/>
        </w:rPr>
        <w:t xml:space="preserve">第二部分 </w:t>
      </w:r>
      <w:r>
        <w:rPr>
          <w:rFonts w:hint="eastAsia"/>
          <w:bCs/>
          <w:color w:val="auto"/>
          <w:sz w:val="24"/>
          <w:highlight w:val="none"/>
        </w:rPr>
        <w:t>商务</w:t>
      </w:r>
      <w:r>
        <w:rPr>
          <w:bCs/>
          <w:color w:val="auto"/>
          <w:sz w:val="24"/>
          <w:highlight w:val="none"/>
        </w:rPr>
        <w:t>技术文件</w:t>
      </w:r>
    </w:p>
    <w:p w14:paraId="101BE601">
      <w:pPr>
        <w:snapToGrid w:val="0"/>
        <w:spacing w:before="120" w:beforeLines="50" w:after="50" w:line="360" w:lineRule="exact"/>
        <w:rPr>
          <w:rFonts w:ascii="Times New Roman" w:hAnsi="Times New Roman" w:eastAsia="宋体" w:cs="Times New Roman"/>
          <w:b/>
          <w:color w:val="auto"/>
          <w:szCs w:val="21"/>
          <w:highlight w:val="none"/>
        </w:rPr>
      </w:pPr>
      <w:bookmarkStart w:id="1072" w:name="_Toc455309222"/>
      <w:bookmarkStart w:id="1073" w:name="_Toc462223472"/>
      <w:bookmarkStart w:id="1074" w:name="_Toc462320613"/>
      <w:r>
        <w:rPr>
          <w:rFonts w:hint="eastAsia" w:ascii="Times New Roman" w:hAnsi="Times New Roman" w:eastAsia="宋体" w:cs="Times New Roman"/>
          <w:b/>
          <w:color w:val="auto"/>
          <w:szCs w:val="21"/>
          <w:highlight w:val="none"/>
          <w:lang w:val="en-US" w:eastAsia="zh-CN"/>
        </w:rPr>
        <w:t>1</w:t>
      </w:r>
      <w:r>
        <w:rPr>
          <w:rFonts w:ascii="Times New Roman" w:hAnsi="Times New Roman" w:eastAsia="宋体" w:cs="Times New Roman"/>
          <w:b/>
          <w:color w:val="auto"/>
          <w:szCs w:val="21"/>
          <w:highlight w:val="none"/>
        </w:rPr>
        <w:t>．法定代表人身份证明</w:t>
      </w:r>
      <w:r>
        <w:rPr>
          <w:rFonts w:hint="eastAsia" w:ascii="Times New Roman" w:hAnsi="Times New Roman" w:eastAsia="宋体" w:cs="Times New Roman"/>
          <w:b/>
          <w:color w:val="auto"/>
          <w:szCs w:val="21"/>
          <w:highlight w:val="none"/>
        </w:rPr>
        <w:t>（无授权</w:t>
      </w:r>
      <w:r>
        <w:rPr>
          <w:rFonts w:ascii="Times New Roman" w:hAnsi="Times New Roman" w:eastAsia="宋体" w:cs="Times New Roman"/>
          <w:b/>
          <w:color w:val="auto"/>
          <w:szCs w:val="21"/>
          <w:highlight w:val="none"/>
        </w:rPr>
        <w:t>代表</w:t>
      </w:r>
      <w:r>
        <w:rPr>
          <w:rFonts w:hint="eastAsia" w:ascii="Times New Roman" w:hAnsi="Times New Roman" w:eastAsia="宋体" w:cs="Times New Roman"/>
          <w:b/>
          <w:color w:val="auto"/>
          <w:szCs w:val="21"/>
          <w:highlight w:val="none"/>
        </w:rPr>
        <w:t>时提供）</w:t>
      </w:r>
      <w:r>
        <w:rPr>
          <w:rFonts w:ascii="Times New Roman" w:hAnsi="Times New Roman" w:eastAsia="宋体" w:cs="Times New Roman"/>
          <w:b/>
          <w:color w:val="auto"/>
          <w:szCs w:val="21"/>
          <w:highlight w:val="none"/>
        </w:rPr>
        <w:t>：</w:t>
      </w:r>
    </w:p>
    <w:p w14:paraId="35EC64C6">
      <w:pPr>
        <w:pStyle w:val="197"/>
        <w:jc w:val="left"/>
        <w:rPr>
          <w:rFonts w:eastAsia="宋体" w:cs="Times New Roman"/>
          <w:color w:val="auto"/>
          <w:highlight w:val="none"/>
        </w:rPr>
      </w:pPr>
    </w:p>
    <w:p w14:paraId="4C27D951">
      <w:pPr>
        <w:snapToGrid w:val="0"/>
        <w:spacing w:before="120" w:beforeLines="50" w:after="50" w:line="440" w:lineRule="exact"/>
        <w:jc w:val="center"/>
        <w:rPr>
          <w:rFonts w:ascii="Times New Roman" w:hAnsi="Times New Roman" w:eastAsia="宋体" w:cs="Times New Roman"/>
          <w:b/>
          <w:color w:val="auto"/>
          <w:szCs w:val="21"/>
          <w:highlight w:val="none"/>
        </w:rPr>
      </w:pPr>
      <w:r>
        <w:rPr>
          <w:rFonts w:ascii="Times New Roman" w:hAnsi="Times New Roman" w:eastAsia="宋体" w:cs="Times New Roman"/>
          <w:b/>
          <w:color w:val="auto"/>
          <w:szCs w:val="21"/>
          <w:highlight w:val="none"/>
        </w:rPr>
        <w:t>法定代表人身份证明</w:t>
      </w:r>
      <w:bookmarkEnd w:id="1072"/>
      <w:bookmarkEnd w:id="1073"/>
      <w:bookmarkEnd w:id="1074"/>
    </w:p>
    <w:p w14:paraId="47CD2388">
      <w:pPr>
        <w:spacing w:line="360" w:lineRule="auto"/>
        <w:rPr>
          <w:rFonts w:ascii="Times New Roman" w:hAnsi="Times New Roman" w:eastAsia="宋体" w:cs="Times New Roman"/>
          <w:color w:val="auto"/>
          <w:highlight w:val="none"/>
        </w:rPr>
      </w:pPr>
    </w:p>
    <w:p w14:paraId="3ED95E68">
      <w:pPr>
        <w:spacing w:line="360" w:lineRule="auto"/>
        <w:rPr>
          <w:rFonts w:ascii="Times New Roman" w:hAnsi="Times New Roman" w:eastAsia="宋体" w:cs="Times New Roman"/>
          <w:color w:val="auto"/>
          <w:highlight w:val="none"/>
        </w:rPr>
      </w:pPr>
    </w:p>
    <w:p w14:paraId="20D437E4">
      <w:pPr>
        <w:spacing w:line="540" w:lineRule="exac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供应商名称：</w:t>
      </w:r>
      <w:r>
        <w:rPr>
          <w:rFonts w:ascii="Times New Roman" w:hAnsi="Times New Roman" w:eastAsia="宋体" w:cs="Times New Roman"/>
          <w:color w:val="auto"/>
          <w:szCs w:val="21"/>
          <w:highlight w:val="none"/>
          <w:u w:val="single"/>
        </w:rPr>
        <w:t xml:space="preserve">                                         </w:t>
      </w:r>
    </w:p>
    <w:p w14:paraId="4A8418A7">
      <w:pPr>
        <w:spacing w:line="540" w:lineRule="exac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单位性质：</w:t>
      </w:r>
      <w:r>
        <w:rPr>
          <w:rFonts w:ascii="Times New Roman" w:hAnsi="Times New Roman" w:eastAsia="宋体" w:cs="Times New Roman"/>
          <w:color w:val="auto"/>
          <w:szCs w:val="21"/>
          <w:highlight w:val="none"/>
          <w:u w:val="single"/>
        </w:rPr>
        <w:t xml:space="preserve">                                           </w:t>
      </w:r>
    </w:p>
    <w:p w14:paraId="637DABCC">
      <w:pPr>
        <w:spacing w:line="540" w:lineRule="exac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地址：</w:t>
      </w:r>
      <w:r>
        <w:rPr>
          <w:rFonts w:ascii="Times New Roman" w:hAnsi="Times New Roman" w:eastAsia="宋体" w:cs="Times New Roman"/>
          <w:color w:val="auto"/>
          <w:szCs w:val="21"/>
          <w:highlight w:val="none"/>
          <w:u w:val="single"/>
        </w:rPr>
        <w:t xml:space="preserve">                                               </w:t>
      </w:r>
    </w:p>
    <w:p w14:paraId="08DD51A1">
      <w:pPr>
        <w:spacing w:line="540" w:lineRule="exact"/>
        <w:rPr>
          <w:rFonts w:ascii="Times New Roman" w:hAnsi="Times New Roman" w:eastAsia="宋体" w:cs="Times New Roman"/>
          <w:color w:val="auto"/>
          <w:szCs w:val="21"/>
          <w:highlight w:val="none"/>
          <w:u w:val="single"/>
        </w:rPr>
      </w:pPr>
      <w:r>
        <w:rPr>
          <w:rFonts w:ascii="Times New Roman" w:hAnsi="Times New Roman" w:eastAsia="宋体" w:cs="Times New Roman"/>
          <w:color w:val="auto"/>
          <w:szCs w:val="21"/>
          <w:highlight w:val="none"/>
        </w:rPr>
        <w:t>成立时间：</w:t>
      </w:r>
      <w:r>
        <w:rPr>
          <w:rFonts w:ascii="Times New Roman" w:hAnsi="Times New Roman" w:eastAsia="宋体" w:cs="Times New Roman"/>
          <w:color w:val="auto"/>
          <w:szCs w:val="21"/>
          <w:highlight w:val="none"/>
          <w:u w:val="single"/>
        </w:rPr>
        <w:t xml:space="preserve">          年        月        日</w:t>
      </w:r>
    </w:p>
    <w:p w14:paraId="053A6D2F">
      <w:pPr>
        <w:spacing w:line="540" w:lineRule="exac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经营期限：</w:t>
      </w:r>
      <w:r>
        <w:rPr>
          <w:rFonts w:ascii="Times New Roman" w:hAnsi="Times New Roman" w:eastAsia="宋体" w:cs="Times New Roman"/>
          <w:color w:val="auto"/>
          <w:szCs w:val="21"/>
          <w:highlight w:val="none"/>
          <w:u w:val="single"/>
        </w:rPr>
        <w:t xml:space="preserve">                                           </w:t>
      </w:r>
    </w:p>
    <w:p w14:paraId="29A6BB78">
      <w:pPr>
        <w:spacing w:line="540" w:lineRule="exac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姓名：</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；性别：</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 xml:space="preserve">        </w:t>
      </w:r>
    </w:p>
    <w:p w14:paraId="5307F4C1">
      <w:pPr>
        <w:spacing w:line="540" w:lineRule="exac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年龄：</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；职务：</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；身份证号码：</w:t>
      </w:r>
      <w:r>
        <w:rPr>
          <w:rFonts w:ascii="Times New Roman" w:hAnsi="Times New Roman" w:eastAsia="宋体" w:cs="Times New Roman"/>
          <w:color w:val="auto"/>
          <w:szCs w:val="21"/>
          <w:highlight w:val="none"/>
          <w:u w:val="single"/>
        </w:rPr>
        <w:t xml:space="preserve">                                      </w:t>
      </w:r>
    </w:p>
    <w:p w14:paraId="66B04768">
      <w:pPr>
        <w:spacing w:line="540" w:lineRule="exac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系</w:t>
      </w:r>
      <w:r>
        <w:rPr>
          <w:rFonts w:ascii="Times New Roman" w:hAnsi="Times New Roman" w:eastAsia="宋体" w:cs="Times New Roman"/>
          <w:color w:val="auto"/>
          <w:szCs w:val="21"/>
          <w:highlight w:val="none"/>
          <w:u w:val="single"/>
        </w:rPr>
        <w:t xml:space="preserve">                                      （ 供应商名称）</w:t>
      </w:r>
      <w:r>
        <w:rPr>
          <w:rFonts w:ascii="Times New Roman" w:hAnsi="Times New Roman" w:eastAsia="宋体" w:cs="Times New Roman"/>
          <w:color w:val="auto"/>
          <w:szCs w:val="21"/>
          <w:highlight w:val="none"/>
        </w:rPr>
        <w:t>的法定代表人。</w:t>
      </w:r>
    </w:p>
    <w:p w14:paraId="6E9AE025">
      <w:pPr>
        <w:spacing w:line="540" w:lineRule="exact"/>
        <w:rPr>
          <w:rFonts w:ascii="Times New Roman" w:hAnsi="Times New Roman" w:eastAsia="宋体" w:cs="Times New Roman"/>
          <w:color w:val="auto"/>
          <w:szCs w:val="21"/>
          <w:highlight w:val="none"/>
        </w:rPr>
      </w:pPr>
    </w:p>
    <w:p w14:paraId="232BECE4">
      <w:pPr>
        <w:spacing w:line="540" w:lineRule="exact"/>
        <w:ind w:firstLine="420" w:firstLineChars="20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特此证明。</w:t>
      </w:r>
    </w:p>
    <w:p w14:paraId="7DCE7766">
      <w:pPr>
        <w:spacing w:line="360" w:lineRule="auto"/>
        <w:ind w:firstLine="420" w:firstLineChars="200"/>
        <w:rPr>
          <w:rFonts w:hint="eastAsia" w:ascii="Times New Roman" w:hAnsi="Times New Roman" w:eastAsia="宋体" w:cs="Times New Roman"/>
          <w:color w:val="auto"/>
          <w:szCs w:val="21"/>
          <w:highlight w:val="none"/>
        </w:rPr>
      </w:pPr>
    </w:p>
    <w:p w14:paraId="5F52BE9F">
      <w:pPr>
        <w:spacing w:line="360" w:lineRule="auto"/>
        <w:ind w:firstLine="4830" w:firstLineChars="230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供应商</w:t>
      </w:r>
      <w:r>
        <w:rPr>
          <w:rFonts w:hint="eastAsia" w:ascii="Times New Roman" w:hAnsi="Times New Roman" w:eastAsia="宋体" w:cs="Times New Roman"/>
          <w:color w:val="auto"/>
          <w:szCs w:val="21"/>
          <w:highlight w:val="none"/>
        </w:rPr>
        <w:t>名称（电子签章）</w:t>
      </w:r>
      <w:r>
        <w:rPr>
          <w:rFonts w:ascii="Times New Roman" w:hAnsi="Times New Roman" w:eastAsia="宋体" w:cs="Times New Roman"/>
          <w:color w:val="auto"/>
          <w:szCs w:val="21"/>
          <w:highlight w:val="none"/>
        </w:rPr>
        <w:t>：</w:t>
      </w:r>
      <w:r>
        <w:rPr>
          <w:rFonts w:ascii="Times New Roman" w:hAnsi="Times New Roman" w:eastAsia="宋体" w:cs="Times New Roman"/>
          <w:color w:val="auto"/>
          <w:szCs w:val="21"/>
          <w:highlight w:val="none"/>
          <w:u w:val="single"/>
        </w:rPr>
        <w:t xml:space="preserve">                </w:t>
      </w:r>
    </w:p>
    <w:p w14:paraId="34E9E8D5">
      <w:pPr>
        <w:spacing w:line="360" w:lineRule="auto"/>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 xml:space="preserve">                                                   年       月       日 </w:t>
      </w:r>
    </w:p>
    <w:p w14:paraId="11582E3B">
      <w:pPr>
        <w:spacing w:line="360" w:lineRule="auto"/>
        <w:ind w:firstLine="420" w:firstLineChars="200"/>
        <w:rPr>
          <w:rFonts w:ascii="Times New Roman" w:hAnsi="Times New Roman" w:eastAsia="宋体" w:cs="Times New Roman"/>
          <w:color w:val="auto"/>
          <w:szCs w:val="21"/>
          <w:highlight w:val="none"/>
        </w:rPr>
      </w:pPr>
    </w:p>
    <w:p w14:paraId="5F484DAF">
      <w:pPr>
        <w:spacing w:line="360" w:lineRule="auto"/>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附件：法定代表人身份证</w:t>
      </w:r>
      <w:r>
        <w:rPr>
          <w:rFonts w:hint="eastAsia" w:ascii="Times New Roman" w:hAnsi="Times New Roman" w:eastAsia="宋体" w:cs="Times New Roman"/>
          <w:color w:val="auto"/>
          <w:szCs w:val="21"/>
          <w:highlight w:val="none"/>
        </w:rPr>
        <w:t>扫描件</w:t>
      </w:r>
    </w:p>
    <w:p w14:paraId="333F5FA6">
      <w:pPr>
        <w:spacing w:line="360" w:lineRule="auto"/>
        <w:rPr>
          <w:rFonts w:ascii="Times New Roman" w:hAnsi="Times New Roman" w:eastAsia="宋体" w:cs="Times New Roman"/>
          <w:color w:val="auto"/>
          <w:szCs w:val="21"/>
          <w:highlight w:val="none"/>
        </w:rPr>
      </w:pPr>
    </w:p>
    <w:p w14:paraId="6A84DB4B">
      <w:pPr>
        <w:snapToGrid w:val="0"/>
        <w:spacing w:before="120" w:beforeLines="50" w:after="50" w:line="360" w:lineRule="exact"/>
        <w:rPr>
          <w:rFonts w:ascii="Times New Roman" w:hAnsi="Times New Roman" w:eastAsia="宋体" w:cs="Times New Roman"/>
          <w:b/>
          <w:color w:val="auto"/>
          <w:szCs w:val="21"/>
          <w:highlight w:val="none"/>
        </w:rPr>
      </w:pPr>
      <w:r>
        <w:rPr>
          <w:rFonts w:ascii="Times New Roman" w:hAnsi="Times New Roman" w:eastAsia="宋体" w:cs="Times New Roman"/>
          <w:b/>
          <w:color w:val="auto"/>
          <w:szCs w:val="21"/>
          <w:highlight w:val="none"/>
        </w:rPr>
        <w:br w:type="page"/>
      </w:r>
      <w:r>
        <w:rPr>
          <w:rFonts w:hint="eastAsia" w:ascii="Times New Roman" w:hAnsi="Times New Roman" w:eastAsia="宋体" w:cs="Times New Roman"/>
          <w:b/>
          <w:color w:val="auto"/>
          <w:szCs w:val="21"/>
          <w:highlight w:val="none"/>
          <w:lang w:val="en-US" w:eastAsia="zh-CN"/>
        </w:rPr>
        <w:t>1</w:t>
      </w:r>
      <w:r>
        <w:rPr>
          <w:rFonts w:ascii="Times New Roman" w:hAnsi="Times New Roman" w:eastAsia="宋体" w:cs="Times New Roman"/>
          <w:b/>
          <w:color w:val="auto"/>
          <w:szCs w:val="21"/>
          <w:highlight w:val="none"/>
        </w:rPr>
        <w:t>．</w:t>
      </w:r>
      <w:r>
        <w:rPr>
          <w:rFonts w:hint="eastAsia" w:ascii="Times New Roman" w:hAnsi="Times New Roman" w:eastAsia="宋体" w:cs="Times New Roman"/>
          <w:b/>
          <w:color w:val="auto"/>
          <w:szCs w:val="21"/>
          <w:highlight w:val="none"/>
        </w:rPr>
        <w:t>授权</w:t>
      </w:r>
      <w:r>
        <w:rPr>
          <w:rFonts w:ascii="Times New Roman" w:hAnsi="Times New Roman" w:eastAsia="宋体" w:cs="Times New Roman"/>
          <w:b/>
          <w:color w:val="auto"/>
          <w:szCs w:val="21"/>
          <w:highlight w:val="none"/>
        </w:rPr>
        <w:t>委托书</w:t>
      </w:r>
      <w:r>
        <w:rPr>
          <w:rFonts w:hint="eastAsia" w:ascii="Times New Roman" w:hAnsi="Times New Roman" w:eastAsia="宋体" w:cs="Times New Roman"/>
          <w:b/>
          <w:color w:val="auto"/>
          <w:szCs w:val="21"/>
          <w:highlight w:val="none"/>
        </w:rPr>
        <w:t>（有授权</w:t>
      </w:r>
      <w:r>
        <w:rPr>
          <w:rFonts w:ascii="Times New Roman" w:hAnsi="Times New Roman" w:eastAsia="宋体" w:cs="Times New Roman"/>
          <w:b/>
          <w:color w:val="auto"/>
          <w:szCs w:val="21"/>
          <w:highlight w:val="none"/>
        </w:rPr>
        <w:t>代表</w:t>
      </w:r>
      <w:r>
        <w:rPr>
          <w:rFonts w:hint="eastAsia" w:ascii="Times New Roman" w:hAnsi="Times New Roman" w:eastAsia="宋体" w:cs="Times New Roman"/>
          <w:b/>
          <w:color w:val="auto"/>
          <w:szCs w:val="21"/>
          <w:highlight w:val="none"/>
        </w:rPr>
        <w:t>时提供）</w:t>
      </w:r>
      <w:r>
        <w:rPr>
          <w:rFonts w:ascii="Times New Roman" w:hAnsi="Times New Roman" w:eastAsia="宋体" w:cs="Times New Roman"/>
          <w:b/>
          <w:color w:val="auto"/>
          <w:szCs w:val="21"/>
          <w:highlight w:val="none"/>
        </w:rPr>
        <w:t>：</w:t>
      </w:r>
    </w:p>
    <w:p w14:paraId="1117CB85">
      <w:pPr>
        <w:snapToGrid w:val="0"/>
        <w:spacing w:before="120" w:beforeLines="50" w:after="50" w:line="360" w:lineRule="exact"/>
        <w:rPr>
          <w:rFonts w:ascii="Times New Roman" w:hAnsi="Times New Roman" w:eastAsia="宋体" w:cs="Times New Roman"/>
          <w:b/>
          <w:color w:val="auto"/>
          <w:szCs w:val="21"/>
          <w:highlight w:val="none"/>
        </w:rPr>
      </w:pPr>
    </w:p>
    <w:p w14:paraId="59E0F709">
      <w:pPr>
        <w:snapToGrid w:val="0"/>
        <w:spacing w:before="120" w:beforeLines="50" w:after="50" w:line="440" w:lineRule="exact"/>
        <w:jc w:val="center"/>
        <w:rPr>
          <w:rFonts w:ascii="Times New Roman" w:hAnsi="Times New Roman" w:eastAsia="宋体" w:cs="Times New Roman"/>
          <w:b/>
          <w:color w:val="auto"/>
          <w:szCs w:val="21"/>
          <w:highlight w:val="none"/>
        </w:rPr>
      </w:pPr>
      <w:r>
        <w:rPr>
          <w:rFonts w:ascii="Times New Roman" w:hAnsi="Times New Roman" w:eastAsia="宋体" w:cs="Times New Roman"/>
          <w:b/>
          <w:color w:val="auto"/>
          <w:szCs w:val="21"/>
          <w:highlight w:val="none"/>
        </w:rPr>
        <w:t>法定代表人授权委托书</w:t>
      </w:r>
    </w:p>
    <w:p w14:paraId="774CFAB9">
      <w:pPr>
        <w:snapToGrid w:val="0"/>
        <w:spacing w:before="120" w:beforeLines="50" w:after="50" w:line="440" w:lineRule="exact"/>
        <w:rPr>
          <w:rFonts w:ascii="Times New Roman" w:hAnsi="Times New Roman" w:eastAsia="宋体" w:cs="Times New Roman"/>
          <w:b/>
          <w:bCs/>
          <w:color w:val="auto"/>
          <w:szCs w:val="21"/>
          <w:highlight w:val="none"/>
        </w:rPr>
      </w:pPr>
      <w:r>
        <w:rPr>
          <w:rFonts w:ascii="Times New Roman" w:hAnsi="Times New Roman" w:eastAsia="宋体" w:cs="Times New Roman"/>
          <w:bCs/>
          <w:color w:val="auto"/>
          <w:szCs w:val="21"/>
          <w:highlight w:val="none"/>
        </w:rPr>
        <w:t>致：</w:t>
      </w:r>
      <w:r>
        <w:rPr>
          <w:rFonts w:ascii="Times New Roman" w:hAnsi="Times New Roman" w:eastAsia="宋体" w:cs="Times New Roman"/>
          <w:i/>
          <w:iCs/>
          <w:color w:val="auto"/>
          <w:szCs w:val="21"/>
          <w:highlight w:val="none"/>
          <w:u w:val="single"/>
        </w:rPr>
        <w:t>（采购</w:t>
      </w:r>
      <w:r>
        <w:rPr>
          <w:rFonts w:hint="eastAsia" w:ascii="Times New Roman" w:hAnsi="Times New Roman" w:eastAsia="宋体" w:cs="Times New Roman"/>
          <w:i/>
          <w:iCs/>
          <w:color w:val="auto"/>
          <w:szCs w:val="21"/>
          <w:highlight w:val="none"/>
          <w:u w:val="single"/>
        </w:rPr>
        <w:t>人</w:t>
      </w:r>
      <w:r>
        <w:rPr>
          <w:rFonts w:ascii="Times New Roman" w:hAnsi="Times New Roman" w:eastAsia="宋体" w:cs="Times New Roman"/>
          <w:i/>
          <w:iCs/>
          <w:color w:val="auto"/>
          <w:szCs w:val="21"/>
          <w:highlight w:val="none"/>
          <w:u w:val="single"/>
        </w:rPr>
        <w:t>名称）</w:t>
      </w:r>
      <w:r>
        <w:rPr>
          <w:rFonts w:ascii="Times New Roman" w:hAnsi="Times New Roman" w:eastAsia="宋体" w:cs="Times New Roman"/>
          <w:color w:val="auto"/>
          <w:szCs w:val="21"/>
          <w:highlight w:val="none"/>
        </w:rPr>
        <w:t>：</w:t>
      </w:r>
    </w:p>
    <w:p w14:paraId="3CB3AF31">
      <w:pPr>
        <w:snapToGrid w:val="0"/>
        <w:spacing w:before="120" w:beforeLines="50" w:after="50" w:line="440" w:lineRule="exact"/>
        <w:ind w:firstLine="420" w:firstLineChars="20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我</w:t>
      </w:r>
      <w:r>
        <w:rPr>
          <w:rFonts w:ascii="Times New Roman" w:hAnsi="Times New Roman" w:eastAsia="宋体" w:cs="Times New Roman"/>
          <w:i/>
          <w:iCs/>
          <w:color w:val="auto"/>
          <w:szCs w:val="21"/>
          <w:highlight w:val="none"/>
          <w:u w:val="single"/>
        </w:rPr>
        <w:t>（</w:t>
      </w:r>
      <w:r>
        <w:rPr>
          <w:rFonts w:hint="eastAsia" w:ascii="Times New Roman" w:hAnsi="Times New Roman" w:eastAsia="宋体" w:cs="Times New Roman"/>
          <w:i/>
          <w:iCs/>
          <w:color w:val="auto"/>
          <w:szCs w:val="21"/>
          <w:highlight w:val="none"/>
          <w:u w:val="single"/>
        </w:rPr>
        <w:t>姓名</w:t>
      </w:r>
      <w:r>
        <w:rPr>
          <w:rFonts w:ascii="Times New Roman" w:hAnsi="Times New Roman" w:eastAsia="宋体" w:cs="Times New Roman"/>
          <w:i/>
          <w:iCs/>
          <w:color w:val="auto"/>
          <w:szCs w:val="21"/>
          <w:highlight w:val="none"/>
          <w:u w:val="single"/>
        </w:rPr>
        <w:t>）</w:t>
      </w:r>
      <w:r>
        <w:rPr>
          <w:rFonts w:ascii="Times New Roman" w:hAnsi="Times New Roman" w:eastAsia="宋体" w:cs="Times New Roman"/>
          <w:color w:val="auto"/>
          <w:szCs w:val="21"/>
          <w:highlight w:val="none"/>
        </w:rPr>
        <w:t>系</w:t>
      </w:r>
      <w:r>
        <w:rPr>
          <w:rFonts w:ascii="Times New Roman" w:hAnsi="Times New Roman" w:eastAsia="宋体" w:cs="Times New Roman"/>
          <w:i/>
          <w:iCs/>
          <w:color w:val="auto"/>
          <w:szCs w:val="21"/>
          <w:highlight w:val="none"/>
          <w:u w:val="single"/>
        </w:rPr>
        <w:t>（供应商名称）</w:t>
      </w:r>
      <w:r>
        <w:rPr>
          <w:rFonts w:ascii="Times New Roman" w:hAnsi="Times New Roman" w:eastAsia="宋体" w:cs="Times New Roman"/>
          <w:color w:val="auto"/>
          <w:szCs w:val="21"/>
          <w:highlight w:val="none"/>
        </w:rPr>
        <w:t>的法定代表人，现授权委托本单位在职职工</w:t>
      </w:r>
      <w:r>
        <w:rPr>
          <w:rFonts w:ascii="Times New Roman" w:hAnsi="Times New Roman" w:eastAsia="宋体" w:cs="Times New Roman"/>
          <w:i/>
          <w:color w:val="auto"/>
          <w:szCs w:val="21"/>
          <w:highlight w:val="none"/>
          <w:u w:val="single"/>
        </w:rPr>
        <w:t>（姓名）</w:t>
      </w:r>
      <w:r>
        <w:rPr>
          <w:rFonts w:ascii="Times New Roman" w:hAnsi="Times New Roman" w:eastAsia="宋体" w:cs="Times New Roman"/>
          <w:color w:val="auto"/>
          <w:szCs w:val="21"/>
          <w:highlight w:val="none"/>
        </w:rPr>
        <w:t>以我方的名义参加</w:t>
      </w:r>
      <w:r>
        <w:rPr>
          <w:rFonts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i/>
          <w:iCs/>
          <w:color w:val="auto"/>
          <w:szCs w:val="21"/>
          <w:highlight w:val="none"/>
          <w:u w:val="single"/>
        </w:rPr>
        <w:t>（项目名称）</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项目的磋商活动，并代表我方全权办理针对上述项目的磋商、截标、评审、签约等具体事务和签署相关文件。</w:t>
      </w:r>
    </w:p>
    <w:p w14:paraId="7345DDFE">
      <w:pPr>
        <w:snapToGrid w:val="0"/>
        <w:spacing w:before="120" w:beforeLines="50" w:after="50" w:line="440" w:lineRule="exac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 xml:space="preserve">    我方对被授权人的签名事项负全部责任。</w:t>
      </w:r>
    </w:p>
    <w:p w14:paraId="4F5D8BE6">
      <w:pPr>
        <w:snapToGrid w:val="0"/>
        <w:spacing w:before="120" w:beforeLines="50" w:after="50" w:line="440" w:lineRule="exact"/>
        <w:ind w:firstLine="48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在撤销授权的书面通知以前，本授权书一直有效。被授权人在授权书有效期内签署的所有文件不因授权的撤销而失效。</w:t>
      </w:r>
    </w:p>
    <w:p w14:paraId="1C428BF8">
      <w:pPr>
        <w:snapToGrid w:val="0"/>
        <w:spacing w:before="120" w:beforeLines="50" w:after="50" w:line="440" w:lineRule="exact"/>
        <w:ind w:firstLine="48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被授权人无转委托权，特此委托。</w:t>
      </w:r>
    </w:p>
    <w:p w14:paraId="00135D05">
      <w:pPr>
        <w:snapToGrid w:val="0"/>
        <w:spacing w:before="120" w:beforeLines="50" w:after="50" w:line="440" w:lineRule="exact"/>
        <w:rPr>
          <w:rFonts w:ascii="Times New Roman" w:hAnsi="Times New Roman" w:eastAsia="宋体" w:cs="Times New Roman"/>
          <w:color w:val="auto"/>
          <w:szCs w:val="21"/>
          <w:highlight w:val="none"/>
          <w:u w:val="single"/>
        </w:rPr>
      </w:pPr>
      <w:r>
        <w:rPr>
          <w:rFonts w:ascii="Times New Roman" w:hAnsi="Times New Roman" w:eastAsia="宋体" w:cs="Times New Roman"/>
          <w:color w:val="auto"/>
          <w:szCs w:val="21"/>
          <w:highlight w:val="none"/>
        </w:rPr>
        <w:t>被授权人</w:t>
      </w:r>
      <w:bookmarkStart w:id="1075" w:name="_Hlk89190805"/>
      <w:r>
        <w:rPr>
          <w:rFonts w:ascii="Times New Roman" w:hAnsi="Times New Roman" w:eastAsia="宋体" w:cs="Times New Roman"/>
          <w:color w:val="auto"/>
          <w:szCs w:val="21"/>
          <w:highlight w:val="none"/>
        </w:rPr>
        <w:t>签名或</w:t>
      </w:r>
      <w:r>
        <w:rPr>
          <w:rFonts w:hint="eastAsia" w:ascii="Times New Roman" w:hAnsi="Times New Roman" w:eastAsia="宋体" w:cs="Times New Roman"/>
          <w:color w:val="auto"/>
          <w:szCs w:val="21"/>
          <w:highlight w:val="none"/>
        </w:rPr>
        <w:t>签章</w:t>
      </w:r>
      <w:bookmarkEnd w:id="1075"/>
      <w:r>
        <w:rPr>
          <w:rFonts w:ascii="Times New Roman" w:hAnsi="Times New Roman" w:eastAsia="宋体" w:cs="Times New Roman"/>
          <w:color w:val="auto"/>
          <w:szCs w:val="21"/>
          <w:highlight w:val="none"/>
        </w:rPr>
        <w:t>：</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 xml:space="preserve">                     法定代表人签名或</w:t>
      </w:r>
      <w:r>
        <w:rPr>
          <w:rFonts w:hint="eastAsia" w:ascii="Times New Roman" w:hAnsi="Times New Roman" w:eastAsia="宋体" w:cs="Times New Roman"/>
          <w:color w:val="auto"/>
          <w:szCs w:val="21"/>
          <w:highlight w:val="none"/>
        </w:rPr>
        <w:t>签章</w:t>
      </w:r>
      <w:r>
        <w:rPr>
          <w:rFonts w:ascii="Times New Roman" w:hAnsi="Times New Roman" w:eastAsia="宋体" w:cs="Times New Roman"/>
          <w:color w:val="auto"/>
          <w:szCs w:val="21"/>
          <w:highlight w:val="none"/>
        </w:rPr>
        <w:t>：</w:t>
      </w:r>
      <w:r>
        <w:rPr>
          <w:rFonts w:ascii="Times New Roman" w:hAnsi="Times New Roman" w:eastAsia="宋体" w:cs="Times New Roman"/>
          <w:color w:val="auto"/>
          <w:szCs w:val="21"/>
          <w:highlight w:val="none"/>
          <w:u w:val="single"/>
        </w:rPr>
        <w:t xml:space="preserve">          </w:t>
      </w:r>
    </w:p>
    <w:p w14:paraId="49049D16">
      <w:pPr>
        <w:snapToGrid w:val="0"/>
        <w:spacing w:before="120" w:beforeLines="50" w:after="50" w:line="440" w:lineRule="exac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职务：</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 xml:space="preserve">                                  职务：</w:t>
      </w:r>
      <w:r>
        <w:rPr>
          <w:rFonts w:ascii="Times New Roman" w:hAnsi="Times New Roman" w:eastAsia="宋体" w:cs="Times New Roman"/>
          <w:color w:val="auto"/>
          <w:szCs w:val="21"/>
          <w:highlight w:val="none"/>
          <w:u w:val="single"/>
        </w:rPr>
        <w:t xml:space="preserve">           </w:t>
      </w:r>
    </w:p>
    <w:p w14:paraId="1C6BA7D6">
      <w:pPr>
        <w:snapToGrid w:val="0"/>
        <w:spacing w:before="120" w:beforeLines="50" w:after="50" w:line="440" w:lineRule="exact"/>
        <w:rPr>
          <w:rFonts w:ascii="Times New Roman" w:hAnsi="Times New Roman" w:eastAsia="宋体" w:cs="Times New Roman"/>
          <w:color w:val="auto"/>
          <w:szCs w:val="21"/>
          <w:highlight w:val="none"/>
          <w:u w:val="single"/>
        </w:rPr>
      </w:pPr>
      <w:r>
        <w:rPr>
          <w:rFonts w:ascii="Times New Roman" w:hAnsi="Times New Roman" w:eastAsia="宋体" w:cs="Times New Roman"/>
          <w:color w:val="auto"/>
          <w:szCs w:val="21"/>
          <w:highlight w:val="none"/>
        </w:rPr>
        <w:t>被授权人身份证号码：</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 xml:space="preserve">            授权人身份证号码：</w:t>
      </w:r>
      <w:r>
        <w:rPr>
          <w:rFonts w:ascii="Times New Roman" w:hAnsi="Times New Roman" w:eastAsia="宋体" w:cs="Times New Roman"/>
          <w:color w:val="auto"/>
          <w:szCs w:val="21"/>
          <w:highlight w:val="none"/>
          <w:u w:val="single"/>
        </w:rPr>
        <w:t xml:space="preserve">                 </w:t>
      </w:r>
    </w:p>
    <w:p w14:paraId="6DFE6653">
      <w:pPr>
        <w:snapToGrid w:val="0"/>
        <w:spacing w:before="120" w:beforeLines="50" w:after="50" w:line="440" w:lineRule="exact"/>
        <w:rPr>
          <w:rFonts w:ascii="Times New Roman" w:hAnsi="Times New Roman" w:eastAsia="宋体" w:cs="Times New Roman"/>
          <w:color w:val="auto"/>
          <w:szCs w:val="21"/>
          <w:highlight w:val="none"/>
          <w:u w:val="single"/>
        </w:rPr>
      </w:pPr>
      <w:bookmarkStart w:id="1076" w:name="_Hlk133576837"/>
      <w:r>
        <w:rPr>
          <w:rFonts w:hint="eastAsia" w:ascii="Times New Roman" w:hAnsi="Times New Roman" w:eastAsia="宋体" w:cs="Times New Roman"/>
          <w:color w:val="auto"/>
          <w:szCs w:val="21"/>
          <w:highlight w:val="none"/>
        </w:rPr>
        <w:t>被授权人</w:t>
      </w:r>
      <w:bookmarkStart w:id="1077" w:name="_Hlk132793041"/>
      <w:r>
        <w:rPr>
          <w:rFonts w:hint="eastAsia" w:ascii="Times New Roman" w:hAnsi="Times New Roman" w:eastAsia="宋体" w:cs="Times New Roman"/>
          <w:color w:val="auto"/>
          <w:szCs w:val="21"/>
          <w:highlight w:val="none"/>
        </w:rPr>
        <w:t>手机号码及邮箱：</w:t>
      </w:r>
      <w:bookmarkEnd w:id="1077"/>
      <w:r>
        <w:rPr>
          <w:rFonts w:hint="eastAsia"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u w:val="single"/>
        </w:rPr>
        <w:t xml:space="preserve">        </w:t>
      </w:r>
    </w:p>
    <w:bookmarkEnd w:id="1076"/>
    <w:p w14:paraId="16643640">
      <w:pPr>
        <w:snapToGrid w:val="0"/>
        <w:spacing w:before="120" w:beforeLines="50" w:after="50" w:line="440" w:lineRule="exact"/>
        <w:rPr>
          <w:rFonts w:ascii="Times New Roman" w:hAnsi="Times New Roman" w:eastAsia="宋体" w:cs="Times New Roman"/>
          <w:color w:val="auto"/>
          <w:szCs w:val="21"/>
          <w:highlight w:val="none"/>
        </w:rPr>
      </w:pPr>
    </w:p>
    <w:p w14:paraId="49EBA045">
      <w:pPr>
        <w:snapToGrid w:val="0"/>
        <w:spacing w:before="120" w:beforeLines="50" w:after="50" w:line="440" w:lineRule="exact"/>
        <w:rPr>
          <w:rFonts w:hint="eastAsia" w:ascii="Times New Roman" w:hAnsi="Times New Roman" w:eastAsia="宋体" w:cs="Times New Roman"/>
          <w:color w:val="auto"/>
          <w:szCs w:val="21"/>
          <w:highlight w:val="none"/>
        </w:rPr>
      </w:pPr>
    </w:p>
    <w:p w14:paraId="313B72A7">
      <w:pPr>
        <w:snapToGrid w:val="0"/>
        <w:spacing w:before="120" w:beforeLines="50" w:after="50" w:line="440" w:lineRule="exac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 xml:space="preserve">                                </w:t>
      </w:r>
    </w:p>
    <w:p w14:paraId="121D1568">
      <w:pPr>
        <w:snapToGrid w:val="0"/>
        <w:spacing w:before="120" w:beforeLines="50" w:after="50" w:line="440" w:lineRule="exact"/>
        <w:ind w:firstLine="5670" w:firstLineChars="270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供应商</w:t>
      </w:r>
      <w:r>
        <w:rPr>
          <w:rFonts w:hint="eastAsia" w:ascii="Times New Roman" w:hAnsi="Times New Roman" w:eastAsia="宋体" w:cs="Times New Roman"/>
          <w:color w:val="auto"/>
          <w:szCs w:val="21"/>
          <w:highlight w:val="none"/>
        </w:rPr>
        <w:t>名称（电子签章）</w:t>
      </w:r>
      <w:r>
        <w:rPr>
          <w:rFonts w:ascii="Times New Roman" w:hAnsi="Times New Roman" w:eastAsia="宋体" w:cs="Times New Roman"/>
          <w:color w:val="auto"/>
          <w:szCs w:val="21"/>
          <w:highlight w:val="none"/>
        </w:rPr>
        <w:t>：</w:t>
      </w:r>
      <w:r>
        <w:rPr>
          <w:rFonts w:ascii="Times New Roman" w:hAnsi="Times New Roman" w:eastAsia="宋体" w:cs="Times New Roman"/>
          <w:color w:val="auto"/>
          <w:szCs w:val="21"/>
          <w:highlight w:val="none"/>
          <w:u w:val="single"/>
        </w:rPr>
        <w:t xml:space="preserve">                </w:t>
      </w:r>
    </w:p>
    <w:p w14:paraId="458325A6">
      <w:pPr>
        <w:snapToGrid w:val="0"/>
        <w:spacing w:before="120" w:beforeLines="50" w:after="50" w:line="440" w:lineRule="exact"/>
        <w:jc w:val="cente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 xml:space="preserve">                                        年    月    日</w:t>
      </w:r>
    </w:p>
    <w:p w14:paraId="1A6C3A6B">
      <w:pPr>
        <w:spacing w:line="360" w:lineRule="auto"/>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附件：法定代表人身份证</w:t>
      </w:r>
      <w:r>
        <w:rPr>
          <w:rFonts w:hint="eastAsia" w:ascii="Times New Roman" w:hAnsi="Times New Roman" w:eastAsia="宋体" w:cs="Times New Roman"/>
          <w:color w:val="auto"/>
          <w:szCs w:val="21"/>
          <w:highlight w:val="none"/>
        </w:rPr>
        <w:t>扫描件</w:t>
      </w:r>
      <w:r>
        <w:rPr>
          <w:rFonts w:ascii="Times New Roman" w:hAnsi="Times New Roman" w:eastAsia="宋体" w:cs="Times New Roman"/>
          <w:color w:val="auto"/>
          <w:szCs w:val="21"/>
          <w:highlight w:val="none"/>
        </w:rPr>
        <w:t>及授权代表身份证</w:t>
      </w:r>
      <w:r>
        <w:rPr>
          <w:rFonts w:hint="eastAsia" w:ascii="Times New Roman" w:hAnsi="Times New Roman" w:eastAsia="宋体" w:cs="Times New Roman"/>
          <w:color w:val="auto"/>
          <w:szCs w:val="21"/>
          <w:highlight w:val="none"/>
        </w:rPr>
        <w:t>扫描件</w:t>
      </w:r>
    </w:p>
    <w:p w14:paraId="55A3D768">
      <w:pPr>
        <w:rPr>
          <w:color w:val="auto"/>
          <w:highlight w:val="none"/>
        </w:rPr>
      </w:pPr>
    </w:p>
    <w:p w14:paraId="3B8D9A50">
      <w:pPr>
        <w:snapToGrid w:val="0"/>
        <w:spacing w:before="50" w:after="120" w:afterLines="50"/>
        <w:jc w:val="left"/>
        <w:rPr>
          <w:color w:val="auto"/>
          <w:szCs w:val="21"/>
          <w:highlight w:val="none"/>
        </w:rPr>
      </w:pPr>
      <w:r>
        <w:rPr>
          <w:rFonts w:hint="eastAsia"/>
          <w:color w:val="auto"/>
          <w:szCs w:val="21"/>
          <w:highlight w:val="none"/>
        </w:rPr>
        <w:br w:type="page"/>
      </w:r>
      <w:r>
        <w:rPr>
          <w:rFonts w:hint="eastAsia"/>
          <w:color w:val="auto"/>
          <w:szCs w:val="21"/>
          <w:highlight w:val="none"/>
          <w:lang w:val="en-US" w:eastAsia="zh-CN"/>
        </w:rPr>
        <w:t>2</w:t>
      </w:r>
      <w:r>
        <w:rPr>
          <w:color w:val="auto"/>
          <w:szCs w:val="21"/>
          <w:highlight w:val="none"/>
        </w:rPr>
        <w:t>.供应商可根据采购文件、图纸及对现场的勘察情况，编制施工组织设计，可参考以下提纲，也可自行编制</w:t>
      </w:r>
    </w:p>
    <w:p w14:paraId="75B7113A">
      <w:pPr>
        <w:snapToGrid w:val="0"/>
        <w:spacing w:before="50" w:after="120" w:afterLines="50"/>
        <w:jc w:val="left"/>
        <w:rPr>
          <w:rFonts w:hint="eastAsia"/>
          <w:color w:val="auto"/>
          <w:szCs w:val="21"/>
          <w:highlight w:val="none"/>
        </w:rPr>
      </w:pPr>
      <w:r>
        <w:rPr>
          <w:color w:val="auto"/>
          <w:szCs w:val="21"/>
          <w:highlight w:val="none"/>
        </w:rPr>
        <w:t>施工组织设计编制大纲：</w:t>
      </w:r>
    </w:p>
    <w:p w14:paraId="05C9ECB7">
      <w:pPr>
        <w:spacing w:line="360" w:lineRule="auto"/>
        <w:ind w:firstLine="420" w:firstLineChars="200"/>
        <w:rPr>
          <w:rFonts w:hint="eastAsia"/>
          <w:color w:val="auto"/>
          <w:highlight w:val="none"/>
        </w:rPr>
      </w:pPr>
      <w:r>
        <w:rPr>
          <w:rFonts w:hint="eastAsia"/>
          <w:color w:val="auto"/>
          <w:highlight w:val="none"/>
        </w:rPr>
        <w:t>（1）概述</w:t>
      </w:r>
    </w:p>
    <w:p w14:paraId="00AD1C01">
      <w:pPr>
        <w:spacing w:line="360" w:lineRule="auto"/>
        <w:ind w:firstLine="420" w:firstLineChars="200"/>
        <w:rPr>
          <w:rFonts w:hint="eastAsia"/>
          <w:color w:val="auto"/>
          <w:highlight w:val="none"/>
        </w:rPr>
      </w:pPr>
      <w:r>
        <w:rPr>
          <w:rFonts w:hint="eastAsia"/>
          <w:color w:val="auto"/>
          <w:highlight w:val="none"/>
        </w:rPr>
        <w:t>（2）主要施工方法；</w:t>
      </w:r>
    </w:p>
    <w:p w14:paraId="157701AB">
      <w:pPr>
        <w:spacing w:line="360" w:lineRule="auto"/>
        <w:ind w:firstLine="420" w:firstLineChars="200"/>
        <w:rPr>
          <w:color w:val="auto"/>
          <w:highlight w:val="none"/>
        </w:rPr>
      </w:pPr>
      <w:r>
        <w:rPr>
          <w:rFonts w:hint="eastAsia"/>
          <w:color w:val="auto"/>
          <w:highlight w:val="none"/>
        </w:rPr>
        <w:t>（3）拟投入的主要物资计划</w:t>
      </w:r>
    </w:p>
    <w:p w14:paraId="7A64263D">
      <w:pPr>
        <w:spacing w:line="360" w:lineRule="auto"/>
        <w:ind w:firstLine="420" w:firstLineChars="200"/>
        <w:rPr>
          <w:rFonts w:hint="eastAsia"/>
          <w:color w:val="auto"/>
          <w:highlight w:val="none"/>
        </w:rPr>
      </w:pPr>
      <w:r>
        <w:rPr>
          <w:rFonts w:hint="eastAsia"/>
          <w:color w:val="auto"/>
          <w:highlight w:val="none"/>
        </w:rPr>
        <w:t>（4）</w:t>
      </w:r>
      <w:r>
        <w:rPr>
          <w:rFonts w:hint="eastAsia" w:cs="宋体"/>
          <w:color w:val="auto"/>
          <w:kern w:val="0"/>
          <w:highlight w:val="none"/>
        </w:rPr>
        <w:t>拟投入的主要施工机械、设备计划</w:t>
      </w:r>
    </w:p>
    <w:p w14:paraId="39693CE8">
      <w:pPr>
        <w:spacing w:line="360" w:lineRule="auto"/>
        <w:ind w:firstLine="420" w:firstLineChars="200"/>
        <w:rPr>
          <w:rFonts w:hint="eastAsia"/>
          <w:color w:val="auto"/>
          <w:highlight w:val="none"/>
        </w:rPr>
      </w:pPr>
      <w:r>
        <w:rPr>
          <w:rFonts w:hint="eastAsia"/>
          <w:color w:val="auto"/>
          <w:highlight w:val="none"/>
        </w:rPr>
        <w:t>（5）劳动力安排计划；</w:t>
      </w:r>
    </w:p>
    <w:p w14:paraId="0C14DB6B">
      <w:pPr>
        <w:spacing w:line="360" w:lineRule="auto"/>
        <w:ind w:firstLine="420" w:firstLineChars="200"/>
        <w:rPr>
          <w:rFonts w:hint="eastAsia"/>
          <w:color w:val="auto"/>
          <w:highlight w:val="none"/>
        </w:rPr>
      </w:pPr>
      <w:r>
        <w:rPr>
          <w:rFonts w:hint="eastAsia"/>
          <w:color w:val="auto"/>
          <w:highlight w:val="none"/>
        </w:rPr>
        <w:t>（6）确保工程质量的技术组织措施；</w:t>
      </w:r>
    </w:p>
    <w:p w14:paraId="5DC19E93">
      <w:pPr>
        <w:spacing w:line="360" w:lineRule="auto"/>
        <w:ind w:firstLine="420" w:firstLineChars="200"/>
        <w:rPr>
          <w:rFonts w:hint="eastAsia"/>
          <w:color w:val="auto"/>
          <w:highlight w:val="none"/>
        </w:rPr>
      </w:pPr>
      <w:r>
        <w:rPr>
          <w:rFonts w:hint="eastAsia"/>
          <w:color w:val="auto"/>
          <w:highlight w:val="none"/>
        </w:rPr>
        <w:t>（7）确保安全生产的技术组织措施；</w:t>
      </w:r>
    </w:p>
    <w:p w14:paraId="3A27BBFE">
      <w:pPr>
        <w:spacing w:line="360" w:lineRule="auto"/>
        <w:ind w:firstLine="420" w:firstLineChars="200"/>
        <w:rPr>
          <w:rFonts w:hint="eastAsia"/>
          <w:color w:val="auto"/>
          <w:highlight w:val="none"/>
        </w:rPr>
      </w:pPr>
      <w:r>
        <w:rPr>
          <w:rFonts w:hint="eastAsia"/>
          <w:color w:val="auto"/>
          <w:highlight w:val="none"/>
        </w:rPr>
        <w:t>（8）确保工期的技术组织措施；</w:t>
      </w:r>
    </w:p>
    <w:p w14:paraId="1674E16A">
      <w:pPr>
        <w:spacing w:line="360" w:lineRule="auto"/>
        <w:ind w:firstLine="420" w:firstLineChars="200"/>
        <w:rPr>
          <w:rFonts w:hint="eastAsia"/>
          <w:color w:val="auto"/>
          <w:highlight w:val="none"/>
        </w:rPr>
      </w:pPr>
      <w:r>
        <w:rPr>
          <w:rFonts w:hint="eastAsia"/>
          <w:color w:val="auto"/>
          <w:highlight w:val="none"/>
        </w:rPr>
        <w:t>（9）确保文明施工的技术组织措施；</w:t>
      </w:r>
    </w:p>
    <w:p w14:paraId="60BDE7C9">
      <w:pPr>
        <w:spacing w:line="360" w:lineRule="auto"/>
        <w:ind w:firstLine="420" w:firstLineChars="200"/>
        <w:rPr>
          <w:rFonts w:hint="eastAsia"/>
          <w:color w:val="auto"/>
          <w:highlight w:val="none"/>
        </w:rPr>
      </w:pPr>
      <w:r>
        <w:rPr>
          <w:rFonts w:hint="eastAsia"/>
          <w:color w:val="auto"/>
          <w:highlight w:val="none"/>
        </w:rPr>
        <w:t>（10）工程施工的重点和难点及保证措施；</w:t>
      </w:r>
    </w:p>
    <w:p w14:paraId="312F1681">
      <w:pPr>
        <w:spacing w:line="360" w:lineRule="auto"/>
        <w:ind w:firstLine="420" w:firstLineChars="200"/>
        <w:rPr>
          <w:color w:val="auto"/>
          <w:highlight w:val="none"/>
        </w:rPr>
      </w:pPr>
      <w:r>
        <w:rPr>
          <w:rFonts w:hint="eastAsia"/>
          <w:color w:val="auto"/>
          <w:highlight w:val="none"/>
        </w:rPr>
        <w:t>（1</w:t>
      </w:r>
      <w:r>
        <w:rPr>
          <w:color w:val="auto"/>
          <w:highlight w:val="none"/>
        </w:rPr>
        <w:t>1</w:t>
      </w:r>
      <w:r>
        <w:rPr>
          <w:rFonts w:hint="eastAsia"/>
          <w:color w:val="auto"/>
          <w:highlight w:val="none"/>
        </w:rPr>
        <w:t>）施工总平面布置图；</w:t>
      </w:r>
    </w:p>
    <w:p w14:paraId="003AFA0D">
      <w:pPr>
        <w:snapToGrid w:val="0"/>
        <w:spacing w:before="50" w:after="120" w:afterLines="50"/>
        <w:ind w:firstLine="420" w:firstLineChars="200"/>
        <w:jc w:val="left"/>
        <w:rPr>
          <w:color w:val="auto"/>
          <w:szCs w:val="21"/>
          <w:highlight w:val="none"/>
        </w:rPr>
      </w:pPr>
      <w:r>
        <w:rPr>
          <w:rFonts w:hint="eastAsia"/>
          <w:color w:val="auto"/>
          <w:highlight w:val="none"/>
        </w:rPr>
        <w:t>（1</w:t>
      </w:r>
      <w:r>
        <w:rPr>
          <w:color w:val="auto"/>
          <w:highlight w:val="none"/>
        </w:rPr>
        <w:t>2</w:t>
      </w:r>
      <w:r>
        <w:rPr>
          <w:rFonts w:hint="eastAsia"/>
          <w:color w:val="auto"/>
          <w:highlight w:val="none"/>
        </w:rPr>
        <w:t>）其他（</w:t>
      </w:r>
      <w:r>
        <w:rPr>
          <w:color w:val="auto"/>
          <w:highlight w:val="none"/>
        </w:rPr>
        <w:t>如有）</w:t>
      </w:r>
    </w:p>
    <w:p w14:paraId="63FD9C60">
      <w:pPr>
        <w:snapToGrid w:val="0"/>
        <w:spacing w:before="50" w:after="120" w:afterLines="50"/>
        <w:jc w:val="left"/>
        <w:rPr>
          <w:rFonts w:hint="eastAsia"/>
          <w:color w:val="auto"/>
          <w:szCs w:val="21"/>
          <w:highlight w:val="none"/>
        </w:rPr>
      </w:pPr>
      <w:r>
        <w:rPr>
          <w:rFonts w:hint="eastAsia"/>
          <w:color w:val="auto"/>
          <w:szCs w:val="21"/>
          <w:highlight w:val="none"/>
          <w:lang w:val="en-US" w:eastAsia="zh-CN"/>
        </w:rPr>
        <w:t>2</w:t>
      </w:r>
      <w:r>
        <w:rPr>
          <w:color w:val="auto"/>
          <w:szCs w:val="21"/>
          <w:highlight w:val="none"/>
        </w:rPr>
        <w:t>.1供应商编制施工组织设计的要求：编制时应采用文字并结合图表形式说明施工方法；拟投入本工程的主要施工设备情况、拟配备本工程的试验和检测仪器设备情况、劳动力计划等；结合工程特点提出切实可行的工程质量、安全生产、文明施工、工程进度、技术组织措施，同时应对关键工序、复杂环节重点提出相应技术措施，如冬雨季施工技术、减少噪音、降低环境污染、地下管线及其他地上地下设施的保护加固措施等。</w:t>
      </w:r>
    </w:p>
    <w:p w14:paraId="04047B6D">
      <w:pPr>
        <w:snapToGrid w:val="0"/>
        <w:spacing w:before="50" w:after="120" w:afterLines="50"/>
        <w:jc w:val="left"/>
        <w:rPr>
          <w:color w:val="auto"/>
          <w:szCs w:val="21"/>
          <w:highlight w:val="none"/>
        </w:rPr>
      </w:pPr>
    </w:p>
    <w:p w14:paraId="167B7117">
      <w:pPr>
        <w:snapToGrid w:val="0"/>
        <w:spacing w:before="50" w:after="120" w:afterLines="50"/>
        <w:jc w:val="left"/>
        <w:rPr>
          <w:color w:val="auto"/>
          <w:szCs w:val="21"/>
          <w:highlight w:val="none"/>
        </w:rPr>
      </w:pPr>
      <w:r>
        <w:rPr>
          <w:rFonts w:hint="eastAsia"/>
          <w:color w:val="auto"/>
          <w:szCs w:val="21"/>
          <w:highlight w:val="none"/>
          <w:lang w:val="en-US" w:eastAsia="zh-CN"/>
        </w:rPr>
        <w:t>2</w:t>
      </w:r>
      <w:r>
        <w:rPr>
          <w:color w:val="auto"/>
          <w:szCs w:val="21"/>
          <w:highlight w:val="none"/>
        </w:rPr>
        <w:t>.2施工组织设计除采用文字表述外可附下列图表，图表及格式要求附后。</w:t>
      </w:r>
    </w:p>
    <w:p w14:paraId="2CC78CBE">
      <w:pPr>
        <w:snapToGrid w:val="0"/>
        <w:spacing w:before="50" w:after="120" w:afterLines="50"/>
        <w:jc w:val="left"/>
        <w:rPr>
          <w:color w:val="auto"/>
          <w:szCs w:val="21"/>
          <w:highlight w:val="none"/>
        </w:rPr>
      </w:pPr>
      <w:r>
        <w:rPr>
          <w:color w:val="auto"/>
          <w:szCs w:val="21"/>
          <w:highlight w:val="none"/>
        </w:rPr>
        <w:t>附表一  拟投入本工程的主要施工设备表</w:t>
      </w:r>
    </w:p>
    <w:p w14:paraId="5E7AC902">
      <w:pPr>
        <w:snapToGrid w:val="0"/>
        <w:spacing w:before="50" w:after="120" w:afterLines="50"/>
        <w:jc w:val="left"/>
        <w:rPr>
          <w:color w:val="auto"/>
          <w:szCs w:val="21"/>
          <w:highlight w:val="none"/>
        </w:rPr>
      </w:pPr>
      <w:r>
        <w:rPr>
          <w:color w:val="auto"/>
          <w:szCs w:val="21"/>
          <w:highlight w:val="none"/>
        </w:rPr>
        <w:t>附表二  拟配备本工程的试验和检测仪器设备表</w:t>
      </w:r>
    </w:p>
    <w:p w14:paraId="31AA190F">
      <w:pPr>
        <w:snapToGrid w:val="0"/>
        <w:spacing w:before="50" w:after="120" w:afterLines="50"/>
        <w:jc w:val="left"/>
        <w:rPr>
          <w:color w:val="auto"/>
          <w:szCs w:val="21"/>
          <w:highlight w:val="none"/>
        </w:rPr>
      </w:pPr>
      <w:r>
        <w:rPr>
          <w:color w:val="auto"/>
          <w:szCs w:val="21"/>
          <w:highlight w:val="none"/>
        </w:rPr>
        <w:t>附表三  劳动力计划表</w:t>
      </w:r>
    </w:p>
    <w:p w14:paraId="1D5047B9">
      <w:pPr>
        <w:snapToGrid w:val="0"/>
        <w:spacing w:before="50" w:after="120" w:afterLines="50"/>
        <w:jc w:val="left"/>
        <w:rPr>
          <w:color w:val="auto"/>
          <w:szCs w:val="21"/>
          <w:highlight w:val="none"/>
        </w:rPr>
      </w:pPr>
      <w:r>
        <w:rPr>
          <w:color w:val="auto"/>
          <w:szCs w:val="21"/>
          <w:highlight w:val="none"/>
        </w:rPr>
        <w:t>附表四  计划开、竣工日期和施工进度网络图</w:t>
      </w:r>
    </w:p>
    <w:p w14:paraId="71B5A164">
      <w:pPr>
        <w:snapToGrid w:val="0"/>
        <w:spacing w:before="50" w:after="120" w:afterLines="50"/>
        <w:jc w:val="left"/>
        <w:rPr>
          <w:color w:val="auto"/>
          <w:szCs w:val="21"/>
          <w:highlight w:val="none"/>
        </w:rPr>
      </w:pPr>
      <w:r>
        <w:rPr>
          <w:color w:val="auto"/>
          <w:szCs w:val="21"/>
          <w:highlight w:val="none"/>
        </w:rPr>
        <w:t>附表五  施工总平面图</w:t>
      </w:r>
    </w:p>
    <w:p w14:paraId="167564CD">
      <w:pPr>
        <w:snapToGrid w:val="0"/>
        <w:spacing w:before="50" w:after="120" w:afterLines="50"/>
        <w:jc w:val="left"/>
        <w:rPr>
          <w:color w:val="auto"/>
          <w:szCs w:val="21"/>
          <w:highlight w:val="none"/>
        </w:rPr>
      </w:pPr>
      <w:r>
        <w:rPr>
          <w:color w:val="auto"/>
          <w:szCs w:val="21"/>
          <w:highlight w:val="none"/>
        </w:rPr>
        <w:t>附表六  临时用地表</w:t>
      </w:r>
    </w:p>
    <w:p w14:paraId="6254A35A">
      <w:pPr>
        <w:snapToGrid w:val="0"/>
        <w:spacing w:before="50" w:after="120" w:afterLines="50"/>
        <w:jc w:val="left"/>
        <w:rPr>
          <w:color w:val="auto"/>
          <w:szCs w:val="21"/>
          <w:highlight w:val="none"/>
        </w:rPr>
      </w:pPr>
      <w:r>
        <w:rPr>
          <w:color w:val="auto"/>
          <w:szCs w:val="21"/>
          <w:highlight w:val="none"/>
        </w:rPr>
        <w:t>附表七  拟分包计划表</w:t>
      </w:r>
    </w:p>
    <w:p w14:paraId="0344C3E3">
      <w:pPr>
        <w:spacing w:line="460" w:lineRule="exact"/>
        <w:ind w:firstLine="420" w:firstLineChars="200"/>
        <w:rPr>
          <w:color w:val="auto"/>
          <w:szCs w:val="21"/>
          <w:highlight w:val="none"/>
        </w:rPr>
      </w:pPr>
    </w:p>
    <w:p w14:paraId="61C8B018">
      <w:pPr>
        <w:rPr>
          <w:color w:val="auto"/>
          <w:szCs w:val="21"/>
          <w:highlight w:val="none"/>
        </w:rPr>
      </w:pPr>
      <w:r>
        <w:rPr>
          <w:color w:val="auto"/>
          <w:highlight w:val="none"/>
        </w:rPr>
        <w:t>附表一：拟投入本</w:t>
      </w:r>
      <w:r>
        <w:rPr>
          <w:color w:val="auto"/>
          <w:szCs w:val="21"/>
          <w:highlight w:val="none"/>
        </w:rPr>
        <w:t>工程</w:t>
      </w:r>
      <w:r>
        <w:rPr>
          <w:color w:val="auto"/>
          <w:highlight w:val="none"/>
        </w:rPr>
        <w:t>的主要施工设备表</w:t>
      </w:r>
    </w:p>
    <w:tbl>
      <w:tblPr>
        <w:tblStyle w:val="5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226"/>
        <w:gridCol w:w="851"/>
        <w:gridCol w:w="708"/>
        <w:gridCol w:w="709"/>
        <w:gridCol w:w="851"/>
        <w:gridCol w:w="1134"/>
        <w:gridCol w:w="992"/>
        <w:gridCol w:w="1134"/>
        <w:gridCol w:w="992"/>
      </w:tblGrid>
      <w:tr w14:paraId="50203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758" w:type="dxa"/>
            <w:noWrap w:val="0"/>
            <w:vAlign w:val="center"/>
          </w:tcPr>
          <w:p w14:paraId="317DC3C9">
            <w:pPr>
              <w:jc w:val="center"/>
              <w:rPr>
                <w:color w:val="auto"/>
                <w:szCs w:val="21"/>
                <w:highlight w:val="none"/>
              </w:rPr>
            </w:pPr>
            <w:r>
              <w:rPr>
                <w:color w:val="auto"/>
                <w:szCs w:val="21"/>
                <w:highlight w:val="none"/>
              </w:rPr>
              <w:t>序号</w:t>
            </w:r>
          </w:p>
        </w:tc>
        <w:tc>
          <w:tcPr>
            <w:tcW w:w="1226" w:type="dxa"/>
            <w:noWrap w:val="0"/>
            <w:vAlign w:val="center"/>
          </w:tcPr>
          <w:p w14:paraId="2A7B61F9">
            <w:pPr>
              <w:jc w:val="center"/>
              <w:rPr>
                <w:color w:val="auto"/>
                <w:szCs w:val="21"/>
                <w:highlight w:val="none"/>
              </w:rPr>
            </w:pPr>
            <w:r>
              <w:rPr>
                <w:color w:val="auto"/>
                <w:szCs w:val="21"/>
                <w:highlight w:val="none"/>
              </w:rPr>
              <w:t>设备名称</w:t>
            </w:r>
          </w:p>
        </w:tc>
        <w:tc>
          <w:tcPr>
            <w:tcW w:w="851" w:type="dxa"/>
            <w:noWrap w:val="0"/>
            <w:vAlign w:val="center"/>
          </w:tcPr>
          <w:p w14:paraId="23791345">
            <w:pPr>
              <w:jc w:val="center"/>
              <w:rPr>
                <w:color w:val="auto"/>
                <w:szCs w:val="21"/>
                <w:highlight w:val="none"/>
              </w:rPr>
            </w:pPr>
            <w:r>
              <w:rPr>
                <w:color w:val="auto"/>
                <w:szCs w:val="21"/>
                <w:highlight w:val="none"/>
              </w:rPr>
              <w:t>型号</w:t>
            </w:r>
          </w:p>
          <w:p w14:paraId="35B51013">
            <w:pPr>
              <w:jc w:val="center"/>
              <w:rPr>
                <w:color w:val="auto"/>
                <w:szCs w:val="21"/>
                <w:highlight w:val="none"/>
              </w:rPr>
            </w:pPr>
            <w:r>
              <w:rPr>
                <w:color w:val="auto"/>
                <w:szCs w:val="21"/>
                <w:highlight w:val="none"/>
              </w:rPr>
              <w:t>规格</w:t>
            </w:r>
          </w:p>
        </w:tc>
        <w:tc>
          <w:tcPr>
            <w:tcW w:w="708" w:type="dxa"/>
            <w:noWrap w:val="0"/>
            <w:vAlign w:val="center"/>
          </w:tcPr>
          <w:p w14:paraId="60549416">
            <w:pPr>
              <w:jc w:val="center"/>
              <w:rPr>
                <w:color w:val="auto"/>
                <w:szCs w:val="21"/>
                <w:highlight w:val="none"/>
              </w:rPr>
            </w:pPr>
            <w:r>
              <w:rPr>
                <w:color w:val="auto"/>
                <w:szCs w:val="21"/>
                <w:highlight w:val="none"/>
              </w:rPr>
              <w:t>数量</w:t>
            </w:r>
          </w:p>
        </w:tc>
        <w:tc>
          <w:tcPr>
            <w:tcW w:w="709" w:type="dxa"/>
            <w:noWrap w:val="0"/>
            <w:vAlign w:val="center"/>
          </w:tcPr>
          <w:p w14:paraId="3F290F56">
            <w:pPr>
              <w:jc w:val="center"/>
              <w:rPr>
                <w:color w:val="auto"/>
                <w:szCs w:val="21"/>
                <w:highlight w:val="none"/>
              </w:rPr>
            </w:pPr>
            <w:r>
              <w:rPr>
                <w:color w:val="auto"/>
                <w:szCs w:val="21"/>
                <w:highlight w:val="none"/>
              </w:rPr>
              <w:t>国别</w:t>
            </w:r>
          </w:p>
          <w:p w14:paraId="0A5A48AE">
            <w:pPr>
              <w:jc w:val="center"/>
              <w:rPr>
                <w:color w:val="auto"/>
                <w:szCs w:val="21"/>
                <w:highlight w:val="none"/>
              </w:rPr>
            </w:pPr>
            <w:r>
              <w:rPr>
                <w:color w:val="auto"/>
                <w:szCs w:val="21"/>
                <w:highlight w:val="none"/>
              </w:rPr>
              <w:t>产地</w:t>
            </w:r>
          </w:p>
        </w:tc>
        <w:tc>
          <w:tcPr>
            <w:tcW w:w="851" w:type="dxa"/>
            <w:noWrap w:val="0"/>
            <w:vAlign w:val="center"/>
          </w:tcPr>
          <w:p w14:paraId="41C04015">
            <w:pPr>
              <w:jc w:val="center"/>
              <w:rPr>
                <w:color w:val="auto"/>
                <w:szCs w:val="21"/>
                <w:highlight w:val="none"/>
              </w:rPr>
            </w:pPr>
            <w:r>
              <w:rPr>
                <w:color w:val="auto"/>
                <w:szCs w:val="21"/>
                <w:highlight w:val="none"/>
              </w:rPr>
              <w:t>制造</w:t>
            </w:r>
          </w:p>
          <w:p w14:paraId="08BCC405">
            <w:pPr>
              <w:jc w:val="center"/>
              <w:rPr>
                <w:color w:val="auto"/>
                <w:szCs w:val="21"/>
                <w:highlight w:val="none"/>
              </w:rPr>
            </w:pPr>
            <w:r>
              <w:rPr>
                <w:color w:val="auto"/>
                <w:szCs w:val="21"/>
                <w:highlight w:val="none"/>
              </w:rPr>
              <w:t>年份</w:t>
            </w:r>
          </w:p>
        </w:tc>
        <w:tc>
          <w:tcPr>
            <w:tcW w:w="1134" w:type="dxa"/>
            <w:noWrap w:val="0"/>
            <w:vAlign w:val="center"/>
          </w:tcPr>
          <w:p w14:paraId="4ADA99D1">
            <w:pPr>
              <w:jc w:val="center"/>
              <w:rPr>
                <w:color w:val="auto"/>
                <w:szCs w:val="21"/>
                <w:highlight w:val="none"/>
              </w:rPr>
            </w:pPr>
            <w:r>
              <w:rPr>
                <w:color w:val="auto"/>
                <w:szCs w:val="21"/>
                <w:highlight w:val="none"/>
              </w:rPr>
              <w:t>额定功率</w:t>
            </w:r>
          </w:p>
          <w:p w14:paraId="2754615C">
            <w:pPr>
              <w:jc w:val="center"/>
              <w:rPr>
                <w:color w:val="auto"/>
                <w:szCs w:val="21"/>
                <w:highlight w:val="none"/>
              </w:rPr>
            </w:pPr>
            <w:r>
              <w:rPr>
                <w:color w:val="auto"/>
                <w:szCs w:val="21"/>
                <w:highlight w:val="none"/>
              </w:rPr>
              <w:t>（kW）</w:t>
            </w:r>
          </w:p>
        </w:tc>
        <w:tc>
          <w:tcPr>
            <w:tcW w:w="992" w:type="dxa"/>
            <w:noWrap w:val="0"/>
            <w:vAlign w:val="center"/>
          </w:tcPr>
          <w:p w14:paraId="65E989FB">
            <w:pPr>
              <w:jc w:val="center"/>
              <w:rPr>
                <w:color w:val="auto"/>
                <w:szCs w:val="21"/>
                <w:highlight w:val="none"/>
              </w:rPr>
            </w:pPr>
            <w:r>
              <w:rPr>
                <w:color w:val="auto"/>
                <w:szCs w:val="21"/>
                <w:highlight w:val="none"/>
              </w:rPr>
              <w:t>生产</w:t>
            </w:r>
          </w:p>
          <w:p w14:paraId="13C222F0">
            <w:pPr>
              <w:jc w:val="center"/>
              <w:rPr>
                <w:color w:val="auto"/>
                <w:szCs w:val="21"/>
                <w:highlight w:val="none"/>
              </w:rPr>
            </w:pPr>
            <w:r>
              <w:rPr>
                <w:color w:val="auto"/>
                <w:szCs w:val="21"/>
                <w:highlight w:val="none"/>
              </w:rPr>
              <w:t>能力</w:t>
            </w:r>
          </w:p>
        </w:tc>
        <w:tc>
          <w:tcPr>
            <w:tcW w:w="1134" w:type="dxa"/>
            <w:noWrap w:val="0"/>
            <w:vAlign w:val="center"/>
          </w:tcPr>
          <w:p w14:paraId="2EBFD4F0">
            <w:pPr>
              <w:jc w:val="center"/>
              <w:rPr>
                <w:color w:val="auto"/>
                <w:szCs w:val="21"/>
                <w:highlight w:val="none"/>
              </w:rPr>
            </w:pPr>
            <w:r>
              <w:rPr>
                <w:color w:val="auto"/>
                <w:szCs w:val="21"/>
                <w:highlight w:val="none"/>
              </w:rPr>
              <w:t>用于施</w:t>
            </w:r>
          </w:p>
          <w:p w14:paraId="05031D81">
            <w:pPr>
              <w:jc w:val="center"/>
              <w:rPr>
                <w:color w:val="auto"/>
                <w:szCs w:val="21"/>
                <w:highlight w:val="none"/>
              </w:rPr>
            </w:pPr>
            <w:r>
              <w:rPr>
                <w:color w:val="auto"/>
                <w:szCs w:val="21"/>
                <w:highlight w:val="none"/>
              </w:rPr>
              <w:t>工部位</w:t>
            </w:r>
          </w:p>
        </w:tc>
        <w:tc>
          <w:tcPr>
            <w:tcW w:w="992" w:type="dxa"/>
            <w:noWrap w:val="0"/>
            <w:vAlign w:val="center"/>
          </w:tcPr>
          <w:p w14:paraId="60C2BE1E">
            <w:pPr>
              <w:jc w:val="center"/>
              <w:rPr>
                <w:color w:val="auto"/>
                <w:szCs w:val="21"/>
                <w:highlight w:val="none"/>
              </w:rPr>
            </w:pPr>
            <w:r>
              <w:rPr>
                <w:color w:val="auto"/>
                <w:szCs w:val="21"/>
                <w:highlight w:val="none"/>
              </w:rPr>
              <w:t>备注</w:t>
            </w:r>
          </w:p>
        </w:tc>
      </w:tr>
      <w:tr w14:paraId="39943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39648015">
            <w:pPr>
              <w:spacing w:line="360" w:lineRule="auto"/>
              <w:rPr>
                <w:color w:val="auto"/>
                <w:szCs w:val="21"/>
                <w:highlight w:val="none"/>
              </w:rPr>
            </w:pPr>
          </w:p>
        </w:tc>
        <w:tc>
          <w:tcPr>
            <w:tcW w:w="1226" w:type="dxa"/>
            <w:noWrap w:val="0"/>
            <w:vAlign w:val="top"/>
          </w:tcPr>
          <w:p w14:paraId="5D5557B9">
            <w:pPr>
              <w:spacing w:line="360" w:lineRule="auto"/>
              <w:ind w:firstLine="420" w:firstLineChars="200"/>
              <w:rPr>
                <w:color w:val="auto"/>
                <w:szCs w:val="21"/>
                <w:highlight w:val="none"/>
              </w:rPr>
            </w:pPr>
          </w:p>
        </w:tc>
        <w:tc>
          <w:tcPr>
            <w:tcW w:w="851" w:type="dxa"/>
            <w:noWrap w:val="0"/>
            <w:vAlign w:val="top"/>
          </w:tcPr>
          <w:p w14:paraId="477DC80C">
            <w:pPr>
              <w:spacing w:line="360" w:lineRule="auto"/>
              <w:rPr>
                <w:color w:val="auto"/>
                <w:szCs w:val="21"/>
                <w:highlight w:val="none"/>
              </w:rPr>
            </w:pPr>
          </w:p>
        </w:tc>
        <w:tc>
          <w:tcPr>
            <w:tcW w:w="708" w:type="dxa"/>
            <w:noWrap w:val="0"/>
            <w:vAlign w:val="top"/>
          </w:tcPr>
          <w:p w14:paraId="348D1735">
            <w:pPr>
              <w:spacing w:line="360" w:lineRule="auto"/>
              <w:rPr>
                <w:color w:val="auto"/>
                <w:szCs w:val="21"/>
                <w:highlight w:val="none"/>
              </w:rPr>
            </w:pPr>
          </w:p>
        </w:tc>
        <w:tc>
          <w:tcPr>
            <w:tcW w:w="709" w:type="dxa"/>
            <w:noWrap w:val="0"/>
            <w:vAlign w:val="top"/>
          </w:tcPr>
          <w:p w14:paraId="681823AA">
            <w:pPr>
              <w:spacing w:line="360" w:lineRule="auto"/>
              <w:rPr>
                <w:color w:val="auto"/>
                <w:szCs w:val="21"/>
                <w:highlight w:val="none"/>
              </w:rPr>
            </w:pPr>
          </w:p>
        </w:tc>
        <w:tc>
          <w:tcPr>
            <w:tcW w:w="851" w:type="dxa"/>
            <w:noWrap w:val="0"/>
            <w:vAlign w:val="top"/>
          </w:tcPr>
          <w:p w14:paraId="35E10C6C">
            <w:pPr>
              <w:spacing w:line="360" w:lineRule="auto"/>
              <w:rPr>
                <w:color w:val="auto"/>
                <w:szCs w:val="21"/>
                <w:highlight w:val="none"/>
              </w:rPr>
            </w:pPr>
          </w:p>
        </w:tc>
        <w:tc>
          <w:tcPr>
            <w:tcW w:w="1134" w:type="dxa"/>
            <w:noWrap w:val="0"/>
            <w:vAlign w:val="top"/>
          </w:tcPr>
          <w:p w14:paraId="332367AC">
            <w:pPr>
              <w:spacing w:line="360" w:lineRule="auto"/>
              <w:rPr>
                <w:color w:val="auto"/>
                <w:szCs w:val="21"/>
                <w:highlight w:val="none"/>
              </w:rPr>
            </w:pPr>
          </w:p>
        </w:tc>
        <w:tc>
          <w:tcPr>
            <w:tcW w:w="992" w:type="dxa"/>
            <w:noWrap w:val="0"/>
            <w:vAlign w:val="top"/>
          </w:tcPr>
          <w:p w14:paraId="3DC6C7FA">
            <w:pPr>
              <w:spacing w:line="360" w:lineRule="auto"/>
              <w:rPr>
                <w:color w:val="auto"/>
                <w:szCs w:val="21"/>
                <w:highlight w:val="none"/>
              </w:rPr>
            </w:pPr>
          </w:p>
        </w:tc>
        <w:tc>
          <w:tcPr>
            <w:tcW w:w="1134" w:type="dxa"/>
            <w:noWrap w:val="0"/>
            <w:vAlign w:val="top"/>
          </w:tcPr>
          <w:p w14:paraId="6D17B6D8">
            <w:pPr>
              <w:spacing w:line="360" w:lineRule="auto"/>
              <w:rPr>
                <w:color w:val="auto"/>
                <w:szCs w:val="21"/>
                <w:highlight w:val="none"/>
              </w:rPr>
            </w:pPr>
          </w:p>
        </w:tc>
        <w:tc>
          <w:tcPr>
            <w:tcW w:w="992" w:type="dxa"/>
            <w:noWrap w:val="0"/>
            <w:vAlign w:val="top"/>
          </w:tcPr>
          <w:p w14:paraId="098C9103">
            <w:pPr>
              <w:spacing w:line="360" w:lineRule="auto"/>
              <w:rPr>
                <w:color w:val="auto"/>
                <w:szCs w:val="21"/>
                <w:highlight w:val="none"/>
              </w:rPr>
            </w:pPr>
          </w:p>
        </w:tc>
      </w:tr>
      <w:tr w14:paraId="136AC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2A0128ED">
            <w:pPr>
              <w:spacing w:line="360" w:lineRule="auto"/>
              <w:rPr>
                <w:color w:val="auto"/>
                <w:szCs w:val="21"/>
                <w:highlight w:val="none"/>
              </w:rPr>
            </w:pPr>
          </w:p>
        </w:tc>
        <w:tc>
          <w:tcPr>
            <w:tcW w:w="1226" w:type="dxa"/>
            <w:noWrap w:val="0"/>
            <w:vAlign w:val="top"/>
          </w:tcPr>
          <w:p w14:paraId="4B7308B7">
            <w:pPr>
              <w:spacing w:line="360" w:lineRule="auto"/>
              <w:rPr>
                <w:color w:val="auto"/>
                <w:szCs w:val="21"/>
                <w:highlight w:val="none"/>
              </w:rPr>
            </w:pPr>
          </w:p>
        </w:tc>
        <w:tc>
          <w:tcPr>
            <w:tcW w:w="851" w:type="dxa"/>
            <w:noWrap w:val="0"/>
            <w:vAlign w:val="top"/>
          </w:tcPr>
          <w:p w14:paraId="793211A5">
            <w:pPr>
              <w:spacing w:line="360" w:lineRule="auto"/>
              <w:rPr>
                <w:color w:val="auto"/>
                <w:szCs w:val="21"/>
                <w:highlight w:val="none"/>
              </w:rPr>
            </w:pPr>
          </w:p>
        </w:tc>
        <w:tc>
          <w:tcPr>
            <w:tcW w:w="708" w:type="dxa"/>
            <w:noWrap w:val="0"/>
            <w:vAlign w:val="top"/>
          </w:tcPr>
          <w:p w14:paraId="6030541A">
            <w:pPr>
              <w:spacing w:line="360" w:lineRule="auto"/>
              <w:rPr>
                <w:color w:val="auto"/>
                <w:szCs w:val="21"/>
                <w:highlight w:val="none"/>
              </w:rPr>
            </w:pPr>
          </w:p>
        </w:tc>
        <w:tc>
          <w:tcPr>
            <w:tcW w:w="709" w:type="dxa"/>
            <w:noWrap w:val="0"/>
            <w:vAlign w:val="top"/>
          </w:tcPr>
          <w:p w14:paraId="3C5A0EB3">
            <w:pPr>
              <w:spacing w:line="360" w:lineRule="auto"/>
              <w:rPr>
                <w:color w:val="auto"/>
                <w:szCs w:val="21"/>
                <w:highlight w:val="none"/>
              </w:rPr>
            </w:pPr>
          </w:p>
        </w:tc>
        <w:tc>
          <w:tcPr>
            <w:tcW w:w="851" w:type="dxa"/>
            <w:noWrap w:val="0"/>
            <w:vAlign w:val="top"/>
          </w:tcPr>
          <w:p w14:paraId="5FD04C57">
            <w:pPr>
              <w:spacing w:line="360" w:lineRule="auto"/>
              <w:rPr>
                <w:color w:val="auto"/>
                <w:szCs w:val="21"/>
                <w:highlight w:val="none"/>
              </w:rPr>
            </w:pPr>
          </w:p>
        </w:tc>
        <w:tc>
          <w:tcPr>
            <w:tcW w:w="1134" w:type="dxa"/>
            <w:noWrap w:val="0"/>
            <w:vAlign w:val="top"/>
          </w:tcPr>
          <w:p w14:paraId="7D31EAC1">
            <w:pPr>
              <w:spacing w:line="360" w:lineRule="auto"/>
              <w:rPr>
                <w:color w:val="auto"/>
                <w:szCs w:val="21"/>
                <w:highlight w:val="none"/>
              </w:rPr>
            </w:pPr>
          </w:p>
        </w:tc>
        <w:tc>
          <w:tcPr>
            <w:tcW w:w="992" w:type="dxa"/>
            <w:noWrap w:val="0"/>
            <w:vAlign w:val="top"/>
          </w:tcPr>
          <w:p w14:paraId="545E584A">
            <w:pPr>
              <w:spacing w:line="360" w:lineRule="auto"/>
              <w:rPr>
                <w:color w:val="auto"/>
                <w:szCs w:val="21"/>
                <w:highlight w:val="none"/>
              </w:rPr>
            </w:pPr>
          </w:p>
        </w:tc>
        <w:tc>
          <w:tcPr>
            <w:tcW w:w="1134" w:type="dxa"/>
            <w:noWrap w:val="0"/>
            <w:vAlign w:val="top"/>
          </w:tcPr>
          <w:p w14:paraId="21576C19">
            <w:pPr>
              <w:spacing w:line="360" w:lineRule="auto"/>
              <w:rPr>
                <w:color w:val="auto"/>
                <w:szCs w:val="21"/>
                <w:highlight w:val="none"/>
              </w:rPr>
            </w:pPr>
          </w:p>
        </w:tc>
        <w:tc>
          <w:tcPr>
            <w:tcW w:w="992" w:type="dxa"/>
            <w:noWrap w:val="0"/>
            <w:vAlign w:val="top"/>
          </w:tcPr>
          <w:p w14:paraId="084E2CD6">
            <w:pPr>
              <w:spacing w:line="360" w:lineRule="auto"/>
              <w:rPr>
                <w:color w:val="auto"/>
                <w:szCs w:val="21"/>
                <w:highlight w:val="none"/>
              </w:rPr>
            </w:pPr>
          </w:p>
        </w:tc>
      </w:tr>
      <w:tr w14:paraId="653F8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7242EF32">
            <w:pPr>
              <w:spacing w:line="360" w:lineRule="auto"/>
              <w:rPr>
                <w:color w:val="auto"/>
                <w:szCs w:val="21"/>
                <w:highlight w:val="none"/>
              </w:rPr>
            </w:pPr>
          </w:p>
        </w:tc>
        <w:tc>
          <w:tcPr>
            <w:tcW w:w="1226" w:type="dxa"/>
            <w:noWrap w:val="0"/>
            <w:vAlign w:val="top"/>
          </w:tcPr>
          <w:p w14:paraId="5D4D99B1">
            <w:pPr>
              <w:spacing w:line="360" w:lineRule="auto"/>
              <w:rPr>
                <w:color w:val="auto"/>
                <w:szCs w:val="21"/>
                <w:highlight w:val="none"/>
              </w:rPr>
            </w:pPr>
          </w:p>
        </w:tc>
        <w:tc>
          <w:tcPr>
            <w:tcW w:w="851" w:type="dxa"/>
            <w:noWrap w:val="0"/>
            <w:vAlign w:val="top"/>
          </w:tcPr>
          <w:p w14:paraId="0A69215B">
            <w:pPr>
              <w:spacing w:line="360" w:lineRule="auto"/>
              <w:rPr>
                <w:color w:val="auto"/>
                <w:szCs w:val="21"/>
                <w:highlight w:val="none"/>
              </w:rPr>
            </w:pPr>
          </w:p>
        </w:tc>
        <w:tc>
          <w:tcPr>
            <w:tcW w:w="708" w:type="dxa"/>
            <w:noWrap w:val="0"/>
            <w:vAlign w:val="top"/>
          </w:tcPr>
          <w:p w14:paraId="6BAFB6CE">
            <w:pPr>
              <w:spacing w:line="360" w:lineRule="auto"/>
              <w:rPr>
                <w:color w:val="auto"/>
                <w:szCs w:val="21"/>
                <w:highlight w:val="none"/>
              </w:rPr>
            </w:pPr>
          </w:p>
        </w:tc>
        <w:tc>
          <w:tcPr>
            <w:tcW w:w="709" w:type="dxa"/>
            <w:noWrap w:val="0"/>
            <w:vAlign w:val="top"/>
          </w:tcPr>
          <w:p w14:paraId="6793335E">
            <w:pPr>
              <w:spacing w:line="360" w:lineRule="auto"/>
              <w:rPr>
                <w:color w:val="auto"/>
                <w:szCs w:val="21"/>
                <w:highlight w:val="none"/>
              </w:rPr>
            </w:pPr>
          </w:p>
        </w:tc>
        <w:tc>
          <w:tcPr>
            <w:tcW w:w="851" w:type="dxa"/>
            <w:noWrap w:val="0"/>
            <w:vAlign w:val="top"/>
          </w:tcPr>
          <w:p w14:paraId="393811D1">
            <w:pPr>
              <w:spacing w:line="360" w:lineRule="auto"/>
              <w:rPr>
                <w:color w:val="auto"/>
                <w:szCs w:val="21"/>
                <w:highlight w:val="none"/>
              </w:rPr>
            </w:pPr>
          </w:p>
        </w:tc>
        <w:tc>
          <w:tcPr>
            <w:tcW w:w="1134" w:type="dxa"/>
            <w:noWrap w:val="0"/>
            <w:vAlign w:val="top"/>
          </w:tcPr>
          <w:p w14:paraId="13A2D638">
            <w:pPr>
              <w:spacing w:line="360" w:lineRule="auto"/>
              <w:rPr>
                <w:color w:val="auto"/>
                <w:szCs w:val="21"/>
                <w:highlight w:val="none"/>
              </w:rPr>
            </w:pPr>
          </w:p>
        </w:tc>
        <w:tc>
          <w:tcPr>
            <w:tcW w:w="992" w:type="dxa"/>
            <w:noWrap w:val="0"/>
            <w:vAlign w:val="top"/>
          </w:tcPr>
          <w:p w14:paraId="5D518F50">
            <w:pPr>
              <w:spacing w:line="360" w:lineRule="auto"/>
              <w:rPr>
                <w:color w:val="auto"/>
                <w:szCs w:val="21"/>
                <w:highlight w:val="none"/>
              </w:rPr>
            </w:pPr>
          </w:p>
        </w:tc>
        <w:tc>
          <w:tcPr>
            <w:tcW w:w="1134" w:type="dxa"/>
            <w:noWrap w:val="0"/>
            <w:vAlign w:val="top"/>
          </w:tcPr>
          <w:p w14:paraId="2909B2D8">
            <w:pPr>
              <w:spacing w:line="360" w:lineRule="auto"/>
              <w:rPr>
                <w:color w:val="auto"/>
                <w:szCs w:val="21"/>
                <w:highlight w:val="none"/>
              </w:rPr>
            </w:pPr>
          </w:p>
        </w:tc>
        <w:tc>
          <w:tcPr>
            <w:tcW w:w="992" w:type="dxa"/>
            <w:noWrap w:val="0"/>
            <w:vAlign w:val="top"/>
          </w:tcPr>
          <w:p w14:paraId="07229D4F">
            <w:pPr>
              <w:spacing w:line="360" w:lineRule="auto"/>
              <w:rPr>
                <w:color w:val="auto"/>
                <w:szCs w:val="21"/>
                <w:highlight w:val="none"/>
              </w:rPr>
            </w:pPr>
          </w:p>
        </w:tc>
      </w:tr>
      <w:tr w14:paraId="3A3C6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04BE832C">
            <w:pPr>
              <w:spacing w:line="360" w:lineRule="auto"/>
              <w:rPr>
                <w:color w:val="auto"/>
                <w:szCs w:val="21"/>
                <w:highlight w:val="none"/>
              </w:rPr>
            </w:pPr>
          </w:p>
        </w:tc>
        <w:tc>
          <w:tcPr>
            <w:tcW w:w="1226" w:type="dxa"/>
            <w:noWrap w:val="0"/>
            <w:vAlign w:val="top"/>
          </w:tcPr>
          <w:p w14:paraId="0979BB98">
            <w:pPr>
              <w:spacing w:line="360" w:lineRule="auto"/>
              <w:rPr>
                <w:color w:val="auto"/>
                <w:szCs w:val="21"/>
                <w:highlight w:val="none"/>
              </w:rPr>
            </w:pPr>
          </w:p>
        </w:tc>
        <w:tc>
          <w:tcPr>
            <w:tcW w:w="851" w:type="dxa"/>
            <w:noWrap w:val="0"/>
            <w:vAlign w:val="top"/>
          </w:tcPr>
          <w:p w14:paraId="3D92E1A2">
            <w:pPr>
              <w:spacing w:line="360" w:lineRule="auto"/>
              <w:rPr>
                <w:color w:val="auto"/>
                <w:szCs w:val="21"/>
                <w:highlight w:val="none"/>
              </w:rPr>
            </w:pPr>
          </w:p>
        </w:tc>
        <w:tc>
          <w:tcPr>
            <w:tcW w:w="708" w:type="dxa"/>
            <w:noWrap w:val="0"/>
            <w:vAlign w:val="top"/>
          </w:tcPr>
          <w:p w14:paraId="4EAA2347">
            <w:pPr>
              <w:spacing w:line="360" w:lineRule="auto"/>
              <w:rPr>
                <w:color w:val="auto"/>
                <w:szCs w:val="21"/>
                <w:highlight w:val="none"/>
              </w:rPr>
            </w:pPr>
          </w:p>
        </w:tc>
        <w:tc>
          <w:tcPr>
            <w:tcW w:w="709" w:type="dxa"/>
            <w:noWrap w:val="0"/>
            <w:vAlign w:val="top"/>
          </w:tcPr>
          <w:p w14:paraId="522FEBF5">
            <w:pPr>
              <w:spacing w:line="360" w:lineRule="auto"/>
              <w:rPr>
                <w:color w:val="auto"/>
                <w:szCs w:val="21"/>
                <w:highlight w:val="none"/>
              </w:rPr>
            </w:pPr>
          </w:p>
        </w:tc>
        <w:tc>
          <w:tcPr>
            <w:tcW w:w="851" w:type="dxa"/>
            <w:noWrap w:val="0"/>
            <w:vAlign w:val="top"/>
          </w:tcPr>
          <w:p w14:paraId="49D725C3">
            <w:pPr>
              <w:spacing w:line="360" w:lineRule="auto"/>
              <w:rPr>
                <w:color w:val="auto"/>
                <w:szCs w:val="21"/>
                <w:highlight w:val="none"/>
              </w:rPr>
            </w:pPr>
          </w:p>
        </w:tc>
        <w:tc>
          <w:tcPr>
            <w:tcW w:w="1134" w:type="dxa"/>
            <w:noWrap w:val="0"/>
            <w:vAlign w:val="top"/>
          </w:tcPr>
          <w:p w14:paraId="77CF88FA">
            <w:pPr>
              <w:spacing w:line="360" w:lineRule="auto"/>
              <w:rPr>
                <w:color w:val="auto"/>
                <w:szCs w:val="21"/>
                <w:highlight w:val="none"/>
              </w:rPr>
            </w:pPr>
          </w:p>
        </w:tc>
        <w:tc>
          <w:tcPr>
            <w:tcW w:w="992" w:type="dxa"/>
            <w:noWrap w:val="0"/>
            <w:vAlign w:val="top"/>
          </w:tcPr>
          <w:p w14:paraId="0F906732">
            <w:pPr>
              <w:spacing w:line="360" w:lineRule="auto"/>
              <w:rPr>
                <w:color w:val="auto"/>
                <w:szCs w:val="21"/>
                <w:highlight w:val="none"/>
              </w:rPr>
            </w:pPr>
          </w:p>
        </w:tc>
        <w:tc>
          <w:tcPr>
            <w:tcW w:w="1134" w:type="dxa"/>
            <w:noWrap w:val="0"/>
            <w:vAlign w:val="top"/>
          </w:tcPr>
          <w:p w14:paraId="3814D9A2">
            <w:pPr>
              <w:spacing w:line="360" w:lineRule="auto"/>
              <w:rPr>
                <w:color w:val="auto"/>
                <w:szCs w:val="21"/>
                <w:highlight w:val="none"/>
              </w:rPr>
            </w:pPr>
          </w:p>
        </w:tc>
        <w:tc>
          <w:tcPr>
            <w:tcW w:w="992" w:type="dxa"/>
            <w:noWrap w:val="0"/>
            <w:vAlign w:val="top"/>
          </w:tcPr>
          <w:p w14:paraId="3CC2A412">
            <w:pPr>
              <w:spacing w:line="360" w:lineRule="auto"/>
              <w:rPr>
                <w:color w:val="auto"/>
                <w:szCs w:val="21"/>
                <w:highlight w:val="none"/>
              </w:rPr>
            </w:pPr>
          </w:p>
        </w:tc>
      </w:tr>
      <w:tr w14:paraId="41446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6B6682D6">
            <w:pPr>
              <w:spacing w:line="360" w:lineRule="auto"/>
              <w:rPr>
                <w:color w:val="auto"/>
                <w:szCs w:val="21"/>
                <w:highlight w:val="none"/>
              </w:rPr>
            </w:pPr>
          </w:p>
        </w:tc>
        <w:tc>
          <w:tcPr>
            <w:tcW w:w="1226" w:type="dxa"/>
            <w:noWrap w:val="0"/>
            <w:vAlign w:val="top"/>
          </w:tcPr>
          <w:p w14:paraId="47163FAA">
            <w:pPr>
              <w:spacing w:line="360" w:lineRule="auto"/>
              <w:rPr>
                <w:color w:val="auto"/>
                <w:szCs w:val="21"/>
                <w:highlight w:val="none"/>
              </w:rPr>
            </w:pPr>
          </w:p>
        </w:tc>
        <w:tc>
          <w:tcPr>
            <w:tcW w:w="851" w:type="dxa"/>
            <w:noWrap w:val="0"/>
            <w:vAlign w:val="top"/>
          </w:tcPr>
          <w:p w14:paraId="7F404213">
            <w:pPr>
              <w:spacing w:line="360" w:lineRule="auto"/>
              <w:rPr>
                <w:color w:val="auto"/>
                <w:szCs w:val="21"/>
                <w:highlight w:val="none"/>
              </w:rPr>
            </w:pPr>
          </w:p>
        </w:tc>
        <w:tc>
          <w:tcPr>
            <w:tcW w:w="708" w:type="dxa"/>
            <w:noWrap w:val="0"/>
            <w:vAlign w:val="top"/>
          </w:tcPr>
          <w:p w14:paraId="3EDDDD11">
            <w:pPr>
              <w:spacing w:line="360" w:lineRule="auto"/>
              <w:rPr>
                <w:color w:val="auto"/>
                <w:szCs w:val="21"/>
                <w:highlight w:val="none"/>
              </w:rPr>
            </w:pPr>
          </w:p>
        </w:tc>
        <w:tc>
          <w:tcPr>
            <w:tcW w:w="709" w:type="dxa"/>
            <w:noWrap w:val="0"/>
            <w:vAlign w:val="top"/>
          </w:tcPr>
          <w:p w14:paraId="4DE3F8FE">
            <w:pPr>
              <w:spacing w:line="360" w:lineRule="auto"/>
              <w:rPr>
                <w:color w:val="auto"/>
                <w:szCs w:val="21"/>
                <w:highlight w:val="none"/>
              </w:rPr>
            </w:pPr>
          </w:p>
        </w:tc>
        <w:tc>
          <w:tcPr>
            <w:tcW w:w="851" w:type="dxa"/>
            <w:noWrap w:val="0"/>
            <w:vAlign w:val="top"/>
          </w:tcPr>
          <w:p w14:paraId="7F7B7D41">
            <w:pPr>
              <w:spacing w:line="360" w:lineRule="auto"/>
              <w:rPr>
                <w:color w:val="auto"/>
                <w:szCs w:val="21"/>
                <w:highlight w:val="none"/>
              </w:rPr>
            </w:pPr>
          </w:p>
        </w:tc>
        <w:tc>
          <w:tcPr>
            <w:tcW w:w="1134" w:type="dxa"/>
            <w:noWrap w:val="0"/>
            <w:vAlign w:val="top"/>
          </w:tcPr>
          <w:p w14:paraId="2861DEA8">
            <w:pPr>
              <w:spacing w:line="360" w:lineRule="auto"/>
              <w:rPr>
                <w:color w:val="auto"/>
                <w:szCs w:val="21"/>
                <w:highlight w:val="none"/>
              </w:rPr>
            </w:pPr>
          </w:p>
        </w:tc>
        <w:tc>
          <w:tcPr>
            <w:tcW w:w="992" w:type="dxa"/>
            <w:noWrap w:val="0"/>
            <w:vAlign w:val="top"/>
          </w:tcPr>
          <w:p w14:paraId="309A7FCC">
            <w:pPr>
              <w:spacing w:line="360" w:lineRule="auto"/>
              <w:rPr>
                <w:color w:val="auto"/>
                <w:szCs w:val="21"/>
                <w:highlight w:val="none"/>
              </w:rPr>
            </w:pPr>
          </w:p>
        </w:tc>
        <w:tc>
          <w:tcPr>
            <w:tcW w:w="1134" w:type="dxa"/>
            <w:noWrap w:val="0"/>
            <w:vAlign w:val="top"/>
          </w:tcPr>
          <w:p w14:paraId="28958082">
            <w:pPr>
              <w:spacing w:line="360" w:lineRule="auto"/>
              <w:rPr>
                <w:color w:val="auto"/>
                <w:szCs w:val="21"/>
                <w:highlight w:val="none"/>
              </w:rPr>
            </w:pPr>
          </w:p>
        </w:tc>
        <w:tc>
          <w:tcPr>
            <w:tcW w:w="992" w:type="dxa"/>
            <w:noWrap w:val="0"/>
            <w:vAlign w:val="top"/>
          </w:tcPr>
          <w:p w14:paraId="05CB9AE6">
            <w:pPr>
              <w:spacing w:line="360" w:lineRule="auto"/>
              <w:rPr>
                <w:color w:val="auto"/>
                <w:szCs w:val="21"/>
                <w:highlight w:val="none"/>
              </w:rPr>
            </w:pPr>
          </w:p>
        </w:tc>
      </w:tr>
    </w:tbl>
    <w:p w14:paraId="504BB646">
      <w:pPr>
        <w:rPr>
          <w:color w:val="auto"/>
          <w:highlight w:val="none"/>
        </w:rPr>
      </w:pPr>
    </w:p>
    <w:p w14:paraId="12E82101">
      <w:pPr>
        <w:rPr>
          <w:color w:val="auto"/>
          <w:highlight w:val="none"/>
        </w:rPr>
      </w:pPr>
    </w:p>
    <w:p w14:paraId="57E11134">
      <w:pPr>
        <w:rPr>
          <w:color w:val="auto"/>
          <w:highlight w:val="none"/>
        </w:rPr>
      </w:pPr>
      <w:r>
        <w:rPr>
          <w:color w:val="auto"/>
          <w:highlight w:val="none"/>
        </w:rPr>
        <w:t>附表二：拟配备本工程的试验和检测仪器设备表</w:t>
      </w:r>
    </w:p>
    <w:tbl>
      <w:tblPr>
        <w:tblStyle w:val="5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226"/>
        <w:gridCol w:w="851"/>
        <w:gridCol w:w="708"/>
        <w:gridCol w:w="709"/>
        <w:gridCol w:w="1134"/>
        <w:gridCol w:w="1276"/>
        <w:gridCol w:w="1134"/>
        <w:gridCol w:w="1559"/>
      </w:tblGrid>
      <w:tr w14:paraId="14D03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noWrap w:val="0"/>
            <w:vAlign w:val="center"/>
          </w:tcPr>
          <w:p w14:paraId="0E8A4E66">
            <w:pPr>
              <w:jc w:val="center"/>
              <w:rPr>
                <w:color w:val="auto"/>
                <w:szCs w:val="21"/>
                <w:highlight w:val="none"/>
              </w:rPr>
            </w:pPr>
            <w:r>
              <w:rPr>
                <w:color w:val="auto"/>
                <w:szCs w:val="21"/>
                <w:highlight w:val="none"/>
              </w:rPr>
              <w:t>序号</w:t>
            </w:r>
          </w:p>
        </w:tc>
        <w:tc>
          <w:tcPr>
            <w:tcW w:w="1226" w:type="dxa"/>
            <w:noWrap w:val="0"/>
            <w:vAlign w:val="center"/>
          </w:tcPr>
          <w:p w14:paraId="530FB34D">
            <w:pPr>
              <w:jc w:val="center"/>
              <w:rPr>
                <w:color w:val="auto"/>
                <w:szCs w:val="21"/>
                <w:highlight w:val="none"/>
              </w:rPr>
            </w:pPr>
            <w:r>
              <w:rPr>
                <w:color w:val="auto"/>
                <w:szCs w:val="21"/>
                <w:highlight w:val="none"/>
              </w:rPr>
              <w:t>仪器设备名称</w:t>
            </w:r>
          </w:p>
        </w:tc>
        <w:tc>
          <w:tcPr>
            <w:tcW w:w="851" w:type="dxa"/>
            <w:noWrap w:val="0"/>
            <w:vAlign w:val="center"/>
          </w:tcPr>
          <w:p w14:paraId="75A0AF29">
            <w:pPr>
              <w:jc w:val="center"/>
              <w:rPr>
                <w:color w:val="auto"/>
                <w:szCs w:val="21"/>
                <w:highlight w:val="none"/>
              </w:rPr>
            </w:pPr>
            <w:r>
              <w:rPr>
                <w:color w:val="auto"/>
                <w:szCs w:val="21"/>
                <w:highlight w:val="none"/>
              </w:rPr>
              <w:t>型号</w:t>
            </w:r>
          </w:p>
          <w:p w14:paraId="163EDD56">
            <w:pPr>
              <w:jc w:val="center"/>
              <w:rPr>
                <w:color w:val="auto"/>
                <w:szCs w:val="21"/>
                <w:highlight w:val="none"/>
              </w:rPr>
            </w:pPr>
            <w:r>
              <w:rPr>
                <w:color w:val="auto"/>
                <w:szCs w:val="21"/>
                <w:highlight w:val="none"/>
              </w:rPr>
              <w:t>规格</w:t>
            </w:r>
          </w:p>
        </w:tc>
        <w:tc>
          <w:tcPr>
            <w:tcW w:w="708" w:type="dxa"/>
            <w:noWrap w:val="0"/>
            <w:vAlign w:val="center"/>
          </w:tcPr>
          <w:p w14:paraId="6B3A3D25">
            <w:pPr>
              <w:jc w:val="center"/>
              <w:rPr>
                <w:color w:val="auto"/>
                <w:szCs w:val="21"/>
                <w:highlight w:val="none"/>
              </w:rPr>
            </w:pPr>
            <w:r>
              <w:rPr>
                <w:color w:val="auto"/>
                <w:szCs w:val="21"/>
                <w:highlight w:val="none"/>
              </w:rPr>
              <w:t>数量</w:t>
            </w:r>
          </w:p>
        </w:tc>
        <w:tc>
          <w:tcPr>
            <w:tcW w:w="709" w:type="dxa"/>
            <w:noWrap w:val="0"/>
            <w:vAlign w:val="center"/>
          </w:tcPr>
          <w:p w14:paraId="497A9453">
            <w:pPr>
              <w:jc w:val="center"/>
              <w:rPr>
                <w:color w:val="auto"/>
                <w:szCs w:val="21"/>
                <w:highlight w:val="none"/>
              </w:rPr>
            </w:pPr>
            <w:r>
              <w:rPr>
                <w:color w:val="auto"/>
                <w:szCs w:val="21"/>
                <w:highlight w:val="none"/>
              </w:rPr>
              <w:t>国别</w:t>
            </w:r>
          </w:p>
          <w:p w14:paraId="0A1E6551">
            <w:pPr>
              <w:jc w:val="center"/>
              <w:rPr>
                <w:color w:val="auto"/>
                <w:szCs w:val="21"/>
                <w:highlight w:val="none"/>
              </w:rPr>
            </w:pPr>
            <w:r>
              <w:rPr>
                <w:color w:val="auto"/>
                <w:szCs w:val="21"/>
                <w:highlight w:val="none"/>
              </w:rPr>
              <w:t>产地</w:t>
            </w:r>
          </w:p>
        </w:tc>
        <w:tc>
          <w:tcPr>
            <w:tcW w:w="1134" w:type="dxa"/>
            <w:noWrap w:val="0"/>
            <w:vAlign w:val="center"/>
          </w:tcPr>
          <w:p w14:paraId="3628CB03">
            <w:pPr>
              <w:jc w:val="center"/>
              <w:rPr>
                <w:color w:val="auto"/>
                <w:szCs w:val="21"/>
                <w:highlight w:val="none"/>
              </w:rPr>
            </w:pPr>
            <w:r>
              <w:rPr>
                <w:color w:val="auto"/>
                <w:szCs w:val="21"/>
                <w:highlight w:val="none"/>
              </w:rPr>
              <w:t>制造年份</w:t>
            </w:r>
          </w:p>
        </w:tc>
        <w:tc>
          <w:tcPr>
            <w:tcW w:w="1276" w:type="dxa"/>
            <w:noWrap w:val="0"/>
            <w:vAlign w:val="center"/>
          </w:tcPr>
          <w:p w14:paraId="2C959641">
            <w:pPr>
              <w:jc w:val="center"/>
              <w:rPr>
                <w:color w:val="auto"/>
                <w:szCs w:val="21"/>
                <w:highlight w:val="none"/>
              </w:rPr>
            </w:pPr>
            <w:r>
              <w:rPr>
                <w:color w:val="auto"/>
                <w:szCs w:val="21"/>
                <w:highlight w:val="none"/>
              </w:rPr>
              <w:t>已使用</w:t>
            </w:r>
          </w:p>
          <w:p w14:paraId="52EED52B">
            <w:pPr>
              <w:jc w:val="center"/>
              <w:rPr>
                <w:color w:val="auto"/>
                <w:szCs w:val="21"/>
                <w:highlight w:val="none"/>
              </w:rPr>
            </w:pPr>
            <w:r>
              <w:rPr>
                <w:color w:val="auto"/>
                <w:szCs w:val="21"/>
                <w:highlight w:val="none"/>
              </w:rPr>
              <w:t>台时数</w:t>
            </w:r>
          </w:p>
        </w:tc>
        <w:tc>
          <w:tcPr>
            <w:tcW w:w="1134" w:type="dxa"/>
            <w:noWrap w:val="0"/>
            <w:vAlign w:val="center"/>
          </w:tcPr>
          <w:p w14:paraId="57E48072">
            <w:pPr>
              <w:jc w:val="center"/>
              <w:rPr>
                <w:color w:val="auto"/>
                <w:szCs w:val="21"/>
                <w:highlight w:val="none"/>
              </w:rPr>
            </w:pPr>
            <w:r>
              <w:rPr>
                <w:color w:val="auto"/>
                <w:szCs w:val="21"/>
                <w:highlight w:val="none"/>
              </w:rPr>
              <w:t>用途</w:t>
            </w:r>
          </w:p>
        </w:tc>
        <w:tc>
          <w:tcPr>
            <w:tcW w:w="1559" w:type="dxa"/>
            <w:noWrap w:val="0"/>
            <w:vAlign w:val="center"/>
          </w:tcPr>
          <w:p w14:paraId="5DA5DC06">
            <w:pPr>
              <w:jc w:val="center"/>
              <w:rPr>
                <w:color w:val="auto"/>
                <w:szCs w:val="21"/>
                <w:highlight w:val="none"/>
              </w:rPr>
            </w:pPr>
            <w:r>
              <w:rPr>
                <w:color w:val="auto"/>
                <w:szCs w:val="21"/>
                <w:highlight w:val="none"/>
              </w:rPr>
              <w:t>备注</w:t>
            </w:r>
          </w:p>
        </w:tc>
      </w:tr>
      <w:tr w14:paraId="4C9E4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noWrap w:val="0"/>
            <w:vAlign w:val="center"/>
          </w:tcPr>
          <w:p w14:paraId="4EA42574">
            <w:pPr>
              <w:spacing w:line="360" w:lineRule="auto"/>
              <w:ind w:firstLine="420" w:firstLineChars="200"/>
              <w:rPr>
                <w:color w:val="auto"/>
                <w:szCs w:val="21"/>
                <w:highlight w:val="none"/>
              </w:rPr>
            </w:pPr>
          </w:p>
        </w:tc>
        <w:tc>
          <w:tcPr>
            <w:tcW w:w="1226" w:type="dxa"/>
            <w:noWrap w:val="0"/>
            <w:vAlign w:val="center"/>
          </w:tcPr>
          <w:p w14:paraId="5CB8561D">
            <w:pPr>
              <w:spacing w:line="360" w:lineRule="auto"/>
              <w:ind w:firstLine="420" w:firstLineChars="200"/>
              <w:rPr>
                <w:color w:val="auto"/>
                <w:szCs w:val="21"/>
                <w:highlight w:val="none"/>
              </w:rPr>
            </w:pPr>
          </w:p>
        </w:tc>
        <w:tc>
          <w:tcPr>
            <w:tcW w:w="851" w:type="dxa"/>
            <w:noWrap w:val="0"/>
            <w:vAlign w:val="center"/>
          </w:tcPr>
          <w:p w14:paraId="2FB2E5B2">
            <w:pPr>
              <w:spacing w:line="360" w:lineRule="auto"/>
              <w:ind w:firstLine="420" w:firstLineChars="200"/>
              <w:rPr>
                <w:color w:val="auto"/>
                <w:szCs w:val="21"/>
                <w:highlight w:val="none"/>
              </w:rPr>
            </w:pPr>
          </w:p>
        </w:tc>
        <w:tc>
          <w:tcPr>
            <w:tcW w:w="708" w:type="dxa"/>
            <w:noWrap w:val="0"/>
            <w:vAlign w:val="center"/>
          </w:tcPr>
          <w:p w14:paraId="49CED995">
            <w:pPr>
              <w:spacing w:line="360" w:lineRule="auto"/>
              <w:ind w:firstLine="420" w:firstLineChars="200"/>
              <w:rPr>
                <w:color w:val="auto"/>
                <w:szCs w:val="21"/>
                <w:highlight w:val="none"/>
              </w:rPr>
            </w:pPr>
          </w:p>
        </w:tc>
        <w:tc>
          <w:tcPr>
            <w:tcW w:w="709" w:type="dxa"/>
            <w:noWrap w:val="0"/>
            <w:vAlign w:val="center"/>
          </w:tcPr>
          <w:p w14:paraId="42DC118F">
            <w:pPr>
              <w:spacing w:line="360" w:lineRule="auto"/>
              <w:ind w:firstLine="420" w:firstLineChars="200"/>
              <w:rPr>
                <w:color w:val="auto"/>
                <w:szCs w:val="21"/>
                <w:highlight w:val="none"/>
              </w:rPr>
            </w:pPr>
          </w:p>
        </w:tc>
        <w:tc>
          <w:tcPr>
            <w:tcW w:w="1134" w:type="dxa"/>
            <w:noWrap w:val="0"/>
            <w:vAlign w:val="center"/>
          </w:tcPr>
          <w:p w14:paraId="316BCEC8">
            <w:pPr>
              <w:spacing w:line="360" w:lineRule="auto"/>
              <w:ind w:firstLine="420" w:firstLineChars="200"/>
              <w:rPr>
                <w:color w:val="auto"/>
                <w:szCs w:val="21"/>
                <w:highlight w:val="none"/>
              </w:rPr>
            </w:pPr>
          </w:p>
        </w:tc>
        <w:tc>
          <w:tcPr>
            <w:tcW w:w="1276" w:type="dxa"/>
            <w:noWrap w:val="0"/>
            <w:vAlign w:val="center"/>
          </w:tcPr>
          <w:p w14:paraId="6B79F87C">
            <w:pPr>
              <w:spacing w:line="360" w:lineRule="auto"/>
              <w:ind w:firstLine="420" w:firstLineChars="200"/>
              <w:rPr>
                <w:color w:val="auto"/>
                <w:szCs w:val="21"/>
                <w:highlight w:val="none"/>
              </w:rPr>
            </w:pPr>
          </w:p>
        </w:tc>
        <w:tc>
          <w:tcPr>
            <w:tcW w:w="1134" w:type="dxa"/>
            <w:noWrap w:val="0"/>
            <w:vAlign w:val="center"/>
          </w:tcPr>
          <w:p w14:paraId="6C657575">
            <w:pPr>
              <w:spacing w:line="360" w:lineRule="auto"/>
              <w:ind w:firstLine="420" w:firstLineChars="200"/>
              <w:rPr>
                <w:color w:val="auto"/>
                <w:szCs w:val="21"/>
                <w:highlight w:val="none"/>
              </w:rPr>
            </w:pPr>
          </w:p>
        </w:tc>
        <w:tc>
          <w:tcPr>
            <w:tcW w:w="1559" w:type="dxa"/>
            <w:noWrap w:val="0"/>
            <w:vAlign w:val="center"/>
          </w:tcPr>
          <w:p w14:paraId="634B2D4A">
            <w:pPr>
              <w:spacing w:line="360" w:lineRule="auto"/>
              <w:ind w:firstLine="420" w:firstLineChars="200"/>
              <w:rPr>
                <w:color w:val="auto"/>
                <w:szCs w:val="21"/>
                <w:highlight w:val="none"/>
              </w:rPr>
            </w:pPr>
          </w:p>
        </w:tc>
      </w:tr>
      <w:tr w14:paraId="37ACF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noWrap w:val="0"/>
            <w:vAlign w:val="center"/>
          </w:tcPr>
          <w:p w14:paraId="61A35D8E">
            <w:pPr>
              <w:spacing w:line="360" w:lineRule="auto"/>
              <w:ind w:firstLine="420" w:firstLineChars="200"/>
              <w:rPr>
                <w:color w:val="auto"/>
                <w:szCs w:val="21"/>
                <w:highlight w:val="none"/>
              </w:rPr>
            </w:pPr>
          </w:p>
        </w:tc>
        <w:tc>
          <w:tcPr>
            <w:tcW w:w="1226" w:type="dxa"/>
            <w:noWrap w:val="0"/>
            <w:vAlign w:val="center"/>
          </w:tcPr>
          <w:p w14:paraId="4B7E058F">
            <w:pPr>
              <w:spacing w:line="360" w:lineRule="auto"/>
              <w:ind w:firstLine="420" w:firstLineChars="200"/>
              <w:rPr>
                <w:color w:val="auto"/>
                <w:szCs w:val="21"/>
                <w:highlight w:val="none"/>
              </w:rPr>
            </w:pPr>
          </w:p>
        </w:tc>
        <w:tc>
          <w:tcPr>
            <w:tcW w:w="851" w:type="dxa"/>
            <w:noWrap w:val="0"/>
            <w:vAlign w:val="center"/>
          </w:tcPr>
          <w:p w14:paraId="2461EBFF">
            <w:pPr>
              <w:spacing w:line="360" w:lineRule="auto"/>
              <w:ind w:firstLine="420" w:firstLineChars="200"/>
              <w:rPr>
                <w:color w:val="auto"/>
                <w:szCs w:val="21"/>
                <w:highlight w:val="none"/>
              </w:rPr>
            </w:pPr>
          </w:p>
        </w:tc>
        <w:tc>
          <w:tcPr>
            <w:tcW w:w="708" w:type="dxa"/>
            <w:noWrap w:val="0"/>
            <w:vAlign w:val="center"/>
          </w:tcPr>
          <w:p w14:paraId="59024354">
            <w:pPr>
              <w:spacing w:line="360" w:lineRule="auto"/>
              <w:ind w:firstLine="420" w:firstLineChars="200"/>
              <w:rPr>
                <w:color w:val="auto"/>
                <w:szCs w:val="21"/>
                <w:highlight w:val="none"/>
              </w:rPr>
            </w:pPr>
          </w:p>
        </w:tc>
        <w:tc>
          <w:tcPr>
            <w:tcW w:w="709" w:type="dxa"/>
            <w:noWrap w:val="0"/>
            <w:vAlign w:val="center"/>
          </w:tcPr>
          <w:p w14:paraId="78609DFD">
            <w:pPr>
              <w:spacing w:line="360" w:lineRule="auto"/>
              <w:ind w:firstLine="420" w:firstLineChars="200"/>
              <w:rPr>
                <w:color w:val="auto"/>
                <w:szCs w:val="21"/>
                <w:highlight w:val="none"/>
              </w:rPr>
            </w:pPr>
          </w:p>
        </w:tc>
        <w:tc>
          <w:tcPr>
            <w:tcW w:w="1134" w:type="dxa"/>
            <w:noWrap w:val="0"/>
            <w:vAlign w:val="center"/>
          </w:tcPr>
          <w:p w14:paraId="1EA60C45">
            <w:pPr>
              <w:spacing w:line="360" w:lineRule="auto"/>
              <w:ind w:firstLine="420" w:firstLineChars="200"/>
              <w:rPr>
                <w:color w:val="auto"/>
                <w:szCs w:val="21"/>
                <w:highlight w:val="none"/>
              </w:rPr>
            </w:pPr>
          </w:p>
        </w:tc>
        <w:tc>
          <w:tcPr>
            <w:tcW w:w="1276" w:type="dxa"/>
            <w:noWrap w:val="0"/>
            <w:vAlign w:val="center"/>
          </w:tcPr>
          <w:p w14:paraId="7370CE9E">
            <w:pPr>
              <w:spacing w:line="360" w:lineRule="auto"/>
              <w:ind w:firstLine="420" w:firstLineChars="200"/>
              <w:rPr>
                <w:color w:val="auto"/>
                <w:szCs w:val="21"/>
                <w:highlight w:val="none"/>
              </w:rPr>
            </w:pPr>
          </w:p>
        </w:tc>
        <w:tc>
          <w:tcPr>
            <w:tcW w:w="1134" w:type="dxa"/>
            <w:noWrap w:val="0"/>
            <w:vAlign w:val="center"/>
          </w:tcPr>
          <w:p w14:paraId="647C6527">
            <w:pPr>
              <w:spacing w:line="360" w:lineRule="auto"/>
              <w:ind w:firstLine="420" w:firstLineChars="200"/>
              <w:rPr>
                <w:color w:val="auto"/>
                <w:szCs w:val="21"/>
                <w:highlight w:val="none"/>
              </w:rPr>
            </w:pPr>
          </w:p>
        </w:tc>
        <w:tc>
          <w:tcPr>
            <w:tcW w:w="1559" w:type="dxa"/>
            <w:noWrap w:val="0"/>
            <w:vAlign w:val="center"/>
          </w:tcPr>
          <w:p w14:paraId="0201025A">
            <w:pPr>
              <w:spacing w:line="360" w:lineRule="auto"/>
              <w:ind w:firstLine="420" w:firstLineChars="200"/>
              <w:rPr>
                <w:color w:val="auto"/>
                <w:szCs w:val="21"/>
                <w:highlight w:val="none"/>
              </w:rPr>
            </w:pPr>
          </w:p>
        </w:tc>
      </w:tr>
      <w:tr w14:paraId="709DC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noWrap w:val="0"/>
            <w:vAlign w:val="center"/>
          </w:tcPr>
          <w:p w14:paraId="478254A5">
            <w:pPr>
              <w:spacing w:line="360" w:lineRule="auto"/>
              <w:ind w:firstLine="420" w:firstLineChars="200"/>
              <w:rPr>
                <w:color w:val="auto"/>
                <w:szCs w:val="21"/>
                <w:highlight w:val="none"/>
              </w:rPr>
            </w:pPr>
          </w:p>
        </w:tc>
        <w:tc>
          <w:tcPr>
            <w:tcW w:w="1226" w:type="dxa"/>
            <w:noWrap w:val="0"/>
            <w:vAlign w:val="center"/>
          </w:tcPr>
          <w:p w14:paraId="37FC37EA">
            <w:pPr>
              <w:spacing w:line="360" w:lineRule="auto"/>
              <w:ind w:firstLine="420" w:firstLineChars="200"/>
              <w:rPr>
                <w:color w:val="auto"/>
                <w:szCs w:val="21"/>
                <w:highlight w:val="none"/>
              </w:rPr>
            </w:pPr>
          </w:p>
        </w:tc>
        <w:tc>
          <w:tcPr>
            <w:tcW w:w="851" w:type="dxa"/>
            <w:noWrap w:val="0"/>
            <w:vAlign w:val="center"/>
          </w:tcPr>
          <w:p w14:paraId="1A267404">
            <w:pPr>
              <w:spacing w:line="360" w:lineRule="auto"/>
              <w:ind w:firstLine="420" w:firstLineChars="200"/>
              <w:rPr>
                <w:color w:val="auto"/>
                <w:szCs w:val="21"/>
                <w:highlight w:val="none"/>
              </w:rPr>
            </w:pPr>
          </w:p>
        </w:tc>
        <w:tc>
          <w:tcPr>
            <w:tcW w:w="708" w:type="dxa"/>
            <w:noWrap w:val="0"/>
            <w:vAlign w:val="center"/>
          </w:tcPr>
          <w:p w14:paraId="0A82FDF3">
            <w:pPr>
              <w:spacing w:line="360" w:lineRule="auto"/>
              <w:ind w:firstLine="420" w:firstLineChars="200"/>
              <w:rPr>
                <w:color w:val="auto"/>
                <w:szCs w:val="21"/>
                <w:highlight w:val="none"/>
              </w:rPr>
            </w:pPr>
          </w:p>
        </w:tc>
        <w:tc>
          <w:tcPr>
            <w:tcW w:w="709" w:type="dxa"/>
            <w:noWrap w:val="0"/>
            <w:vAlign w:val="center"/>
          </w:tcPr>
          <w:p w14:paraId="39412290">
            <w:pPr>
              <w:spacing w:line="360" w:lineRule="auto"/>
              <w:ind w:firstLine="420" w:firstLineChars="200"/>
              <w:rPr>
                <w:color w:val="auto"/>
                <w:szCs w:val="21"/>
                <w:highlight w:val="none"/>
              </w:rPr>
            </w:pPr>
          </w:p>
        </w:tc>
        <w:tc>
          <w:tcPr>
            <w:tcW w:w="1134" w:type="dxa"/>
            <w:noWrap w:val="0"/>
            <w:vAlign w:val="center"/>
          </w:tcPr>
          <w:p w14:paraId="75D4A188">
            <w:pPr>
              <w:spacing w:line="360" w:lineRule="auto"/>
              <w:ind w:firstLine="420" w:firstLineChars="200"/>
              <w:rPr>
                <w:color w:val="auto"/>
                <w:szCs w:val="21"/>
                <w:highlight w:val="none"/>
              </w:rPr>
            </w:pPr>
          </w:p>
        </w:tc>
        <w:tc>
          <w:tcPr>
            <w:tcW w:w="1276" w:type="dxa"/>
            <w:noWrap w:val="0"/>
            <w:vAlign w:val="center"/>
          </w:tcPr>
          <w:p w14:paraId="3884E269">
            <w:pPr>
              <w:spacing w:line="360" w:lineRule="auto"/>
              <w:ind w:firstLine="420" w:firstLineChars="200"/>
              <w:rPr>
                <w:color w:val="auto"/>
                <w:szCs w:val="21"/>
                <w:highlight w:val="none"/>
              </w:rPr>
            </w:pPr>
          </w:p>
        </w:tc>
        <w:tc>
          <w:tcPr>
            <w:tcW w:w="1134" w:type="dxa"/>
            <w:noWrap w:val="0"/>
            <w:vAlign w:val="center"/>
          </w:tcPr>
          <w:p w14:paraId="62111A14">
            <w:pPr>
              <w:spacing w:line="360" w:lineRule="auto"/>
              <w:ind w:firstLine="420" w:firstLineChars="200"/>
              <w:rPr>
                <w:color w:val="auto"/>
                <w:szCs w:val="21"/>
                <w:highlight w:val="none"/>
              </w:rPr>
            </w:pPr>
          </w:p>
        </w:tc>
        <w:tc>
          <w:tcPr>
            <w:tcW w:w="1559" w:type="dxa"/>
            <w:noWrap w:val="0"/>
            <w:vAlign w:val="center"/>
          </w:tcPr>
          <w:p w14:paraId="16BA3161">
            <w:pPr>
              <w:spacing w:line="360" w:lineRule="auto"/>
              <w:ind w:firstLine="420" w:firstLineChars="200"/>
              <w:rPr>
                <w:color w:val="auto"/>
                <w:szCs w:val="21"/>
                <w:highlight w:val="none"/>
              </w:rPr>
            </w:pPr>
          </w:p>
        </w:tc>
      </w:tr>
      <w:tr w14:paraId="3A23E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noWrap w:val="0"/>
            <w:vAlign w:val="center"/>
          </w:tcPr>
          <w:p w14:paraId="6F74FD89">
            <w:pPr>
              <w:spacing w:line="360" w:lineRule="auto"/>
              <w:ind w:firstLine="420" w:firstLineChars="200"/>
              <w:rPr>
                <w:color w:val="auto"/>
                <w:szCs w:val="21"/>
                <w:highlight w:val="none"/>
              </w:rPr>
            </w:pPr>
          </w:p>
        </w:tc>
        <w:tc>
          <w:tcPr>
            <w:tcW w:w="1226" w:type="dxa"/>
            <w:noWrap w:val="0"/>
            <w:vAlign w:val="center"/>
          </w:tcPr>
          <w:p w14:paraId="7038FB0D">
            <w:pPr>
              <w:spacing w:line="360" w:lineRule="auto"/>
              <w:ind w:firstLine="420" w:firstLineChars="200"/>
              <w:rPr>
                <w:color w:val="auto"/>
                <w:szCs w:val="21"/>
                <w:highlight w:val="none"/>
              </w:rPr>
            </w:pPr>
          </w:p>
        </w:tc>
        <w:tc>
          <w:tcPr>
            <w:tcW w:w="851" w:type="dxa"/>
            <w:noWrap w:val="0"/>
            <w:vAlign w:val="center"/>
          </w:tcPr>
          <w:p w14:paraId="3962DCC5">
            <w:pPr>
              <w:spacing w:line="360" w:lineRule="auto"/>
              <w:ind w:firstLine="420" w:firstLineChars="200"/>
              <w:rPr>
                <w:color w:val="auto"/>
                <w:szCs w:val="21"/>
                <w:highlight w:val="none"/>
              </w:rPr>
            </w:pPr>
          </w:p>
        </w:tc>
        <w:tc>
          <w:tcPr>
            <w:tcW w:w="708" w:type="dxa"/>
            <w:noWrap w:val="0"/>
            <w:vAlign w:val="center"/>
          </w:tcPr>
          <w:p w14:paraId="0632A79F">
            <w:pPr>
              <w:spacing w:line="360" w:lineRule="auto"/>
              <w:ind w:firstLine="420" w:firstLineChars="200"/>
              <w:rPr>
                <w:color w:val="auto"/>
                <w:szCs w:val="21"/>
                <w:highlight w:val="none"/>
              </w:rPr>
            </w:pPr>
          </w:p>
        </w:tc>
        <w:tc>
          <w:tcPr>
            <w:tcW w:w="709" w:type="dxa"/>
            <w:noWrap w:val="0"/>
            <w:vAlign w:val="center"/>
          </w:tcPr>
          <w:p w14:paraId="22B98571">
            <w:pPr>
              <w:spacing w:line="360" w:lineRule="auto"/>
              <w:ind w:firstLine="420" w:firstLineChars="200"/>
              <w:rPr>
                <w:color w:val="auto"/>
                <w:szCs w:val="21"/>
                <w:highlight w:val="none"/>
              </w:rPr>
            </w:pPr>
          </w:p>
        </w:tc>
        <w:tc>
          <w:tcPr>
            <w:tcW w:w="1134" w:type="dxa"/>
            <w:noWrap w:val="0"/>
            <w:vAlign w:val="center"/>
          </w:tcPr>
          <w:p w14:paraId="259CEEA3">
            <w:pPr>
              <w:spacing w:line="360" w:lineRule="auto"/>
              <w:ind w:firstLine="420" w:firstLineChars="200"/>
              <w:rPr>
                <w:color w:val="auto"/>
                <w:szCs w:val="21"/>
                <w:highlight w:val="none"/>
              </w:rPr>
            </w:pPr>
          </w:p>
        </w:tc>
        <w:tc>
          <w:tcPr>
            <w:tcW w:w="1276" w:type="dxa"/>
            <w:noWrap w:val="0"/>
            <w:vAlign w:val="center"/>
          </w:tcPr>
          <w:p w14:paraId="4CC13BA4">
            <w:pPr>
              <w:spacing w:line="360" w:lineRule="auto"/>
              <w:ind w:firstLine="420" w:firstLineChars="200"/>
              <w:rPr>
                <w:color w:val="auto"/>
                <w:szCs w:val="21"/>
                <w:highlight w:val="none"/>
              </w:rPr>
            </w:pPr>
          </w:p>
        </w:tc>
        <w:tc>
          <w:tcPr>
            <w:tcW w:w="1134" w:type="dxa"/>
            <w:noWrap w:val="0"/>
            <w:vAlign w:val="center"/>
          </w:tcPr>
          <w:p w14:paraId="612D7340">
            <w:pPr>
              <w:spacing w:line="360" w:lineRule="auto"/>
              <w:ind w:firstLine="420" w:firstLineChars="200"/>
              <w:rPr>
                <w:color w:val="auto"/>
                <w:szCs w:val="21"/>
                <w:highlight w:val="none"/>
              </w:rPr>
            </w:pPr>
          </w:p>
        </w:tc>
        <w:tc>
          <w:tcPr>
            <w:tcW w:w="1559" w:type="dxa"/>
            <w:noWrap w:val="0"/>
            <w:vAlign w:val="center"/>
          </w:tcPr>
          <w:p w14:paraId="5C843EA9">
            <w:pPr>
              <w:spacing w:line="360" w:lineRule="auto"/>
              <w:ind w:firstLine="420" w:firstLineChars="200"/>
              <w:rPr>
                <w:color w:val="auto"/>
                <w:szCs w:val="21"/>
                <w:highlight w:val="none"/>
              </w:rPr>
            </w:pPr>
          </w:p>
        </w:tc>
      </w:tr>
      <w:tr w14:paraId="47B6E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noWrap w:val="0"/>
            <w:vAlign w:val="center"/>
          </w:tcPr>
          <w:p w14:paraId="6D8BA1C9">
            <w:pPr>
              <w:spacing w:line="360" w:lineRule="auto"/>
              <w:ind w:firstLine="420" w:firstLineChars="200"/>
              <w:rPr>
                <w:color w:val="auto"/>
                <w:szCs w:val="21"/>
                <w:highlight w:val="none"/>
              </w:rPr>
            </w:pPr>
          </w:p>
        </w:tc>
        <w:tc>
          <w:tcPr>
            <w:tcW w:w="1226" w:type="dxa"/>
            <w:noWrap w:val="0"/>
            <w:vAlign w:val="center"/>
          </w:tcPr>
          <w:p w14:paraId="1949C7B9">
            <w:pPr>
              <w:spacing w:line="360" w:lineRule="auto"/>
              <w:ind w:firstLine="420" w:firstLineChars="200"/>
              <w:rPr>
                <w:color w:val="auto"/>
                <w:szCs w:val="21"/>
                <w:highlight w:val="none"/>
              </w:rPr>
            </w:pPr>
          </w:p>
        </w:tc>
        <w:tc>
          <w:tcPr>
            <w:tcW w:w="851" w:type="dxa"/>
            <w:noWrap w:val="0"/>
            <w:vAlign w:val="center"/>
          </w:tcPr>
          <w:p w14:paraId="271D7DBB">
            <w:pPr>
              <w:spacing w:line="360" w:lineRule="auto"/>
              <w:ind w:firstLine="420" w:firstLineChars="200"/>
              <w:rPr>
                <w:color w:val="auto"/>
                <w:szCs w:val="21"/>
                <w:highlight w:val="none"/>
              </w:rPr>
            </w:pPr>
          </w:p>
        </w:tc>
        <w:tc>
          <w:tcPr>
            <w:tcW w:w="708" w:type="dxa"/>
            <w:noWrap w:val="0"/>
            <w:vAlign w:val="center"/>
          </w:tcPr>
          <w:p w14:paraId="431AA086">
            <w:pPr>
              <w:spacing w:line="360" w:lineRule="auto"/>
              <w:ind w:firstLine="420" w:firstLineChars="200"/>
              <w:rPr>
                <w:color w:val="auto"/>
                <w:szCs w:val="21"/>
                <w:highlight w:val="none"/>
              </w:rPr>
            </w:pPr>
          </w:p>
        </w:tc>
        <w:tc>
          <w:tcPr>
            <w:tcW w:w="709" w:type="dxa"/>
            <w:noWrap w:val="0"/>
            <w:vAlign w:val="center"/>
          </w:tcPr>
          <w:p w14:paraId="388C1F21">
            <w:pPr>
              <w:spacing w:line="360" w:lineRule="auto"/>
              <w:ind w:firstLine="420" w:firstLineChars="200"/>
              <w:rPr>
                <w:color w:val="auto"/>
                <w:szCs w:val="21"/>
                <w:highlight w:val="none"/>
              </w:rPr>
            </w:pPr>
          </w:p>
        </w:tc>
        <w:tc>
          <w:tcPr>
            <w:tcW w:w="1134" w:type="dxa"/>
            <w:noWrap w:val="0"/>
            <w:vAlign w:val="center"/>
          </w:tcPr>
          <w:p w14:paraId="253CADB8">
            <w:pPr>
              <w:spacing w:line="360" w:lineRule="auto"/>
              <w:ind w:firstLine="420" w:firstLineChars="200"/>
              <w:rPr>
                <w:color w:val="auto"/>
                <w:szCs w:val="21"/>
                <w:highlight w:val="none"/>
              </w:rPr>
            </w:pPr>
          </w:p>
        </w:tc>
        <w:tc>
          <w:tcPr>
            <w:tcW w:w="1276" w:type="dxa"/>
            <w:noWrap w:val="0"/>
            <w:vAlign w:val="center"/>
          </w:tcPr>
          <w:p w14:paraId="6AA00895">
            <w:pPr>
              <w:spacing w:line="360" w:lineRule="auto"/>
              <w:ind w:firstLine="420" w:firstLineChars="200"/>
              <w:rPr>
                <w:color w:val="auto"/>
                <w:szCs w:val="21"/>
                <w:highlight w:val="none"/>
              </w:rPr>
            </w:pPr>
          </w:p>
        </w:tc>
        <w:tc>
          <w:tcPr>
            <w:tcW w:w="1134" w:type="dxa"/>
            <w:noWrap w:val="0"/>
            <w:vAlign w:val="center"/>
          </w:tcPr>
          <w:p w14:paraId="668F78CB">
            <w:pPr>
              <w:spacing w:line="360" w:lineRule="auto"/>
              <w:ind w:firstLine="420" w:firstLineChars="200"/>
              <w:rPr>
                <w:color w:val="auto"/>
                <w:szCs w:val="21"/>
                <w:highlight w:val="none"/>
              </w:rPr>
            </w:pPr>
          </w:p>
        </w:tc>
        <w:tc>
          <w:tcPr>
            <w:tcW w:w="1559" w:type="dxa"/>
            <w:noWrap w:val="0"/>
            <w:vAlign w:val="center"/>
          </w:tcPr>
          <w:p w14:paraId="726A25B8">
            <w:pPr>
              <w:spacing w:line="360" w:lineRule="auto"/>
              <w:ind w:firstLine="420" w:firstLineChars="200"/>
              <w:rPr>
                <w:color w:val="auto"/>
                <w:szCs w:val="21"/>
                <w:highlight w:val="none"/>
              </w:rPr>
            </w:pPr>
          </w:p>
        </w:tc>
      </w:tr>
    </w:tbl>
    <w:p w14:paraId="39AAC7E1">
      <w:pPr>
        <w:rPr>
          <w:color w:val="auto"/>
          <w:highlight w:val="none"/>
        </w:rPr>
      </w:pPr>
    </w:p>
    <w:p w14:paraId="75614DFB">
      <w:pPr>
        <w:rPr>
          <w:color w:val="auto"/>
          <w:highlight w:val="none"/>
        </w:rPr>
      </w:pPr>
    </w:p>
    <w:p w14:paraId="6B68F07F">
      <w:pPr>
        <w:rPr>
          <w:color w:val="auto"/>
          <w:highlight w:val="none"/>
        </w:rPr>
      </w:pPr>
      <w:r>
        <w:rPr>
          <w:color w:val="auto"/>
          <w:highlight w:val="none"/>
        </w:rPr>
        <w:t>附表三：劳动力计划表</w:t>
      </w:r>
    </w:p>
    <w:p w14:paraId="3FC8B731">
      <w:pPr>
        <w:ind w:firstLine="7245" w:firstLineChars="3450"/>
        <w:rPr>
          <w:color w:val="auto"/>
          <w:szCs w:val="21"/>
          <w:highlight w:val="none"/>
        </w:rPr>
      </w:pPr>
      <w:r>
        <w:rPr>
          <w:color w:val="auto"/>
          <w:szCs w:val="21"/>
          <w:highlight w:val="none"/>
        </w:rPr>
        <w:t xml:space="preserve">    单位：人</w:t>
      </w:r>
    </w:p>
    <w:tbl>
      <w:tblPr>
        <w:tblStyle w:val="5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3"/>
        <w:gridCol w:w="961"/>
        <w:gridCol w:w="1257"/>
        <w:gridCol w:w="1258"/>
        <w:gridCol w:w="1257"/>
        <w:gridCol w:w="1258"/>
        <w:gridCol w:w="1257"/>
        <w:gridCol w:w="1258"/>
      </w:tblGrid>
      <w:tr w14:paraId="307C8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69186D5E">
            <w:pPr>
              <w:spacing w:line="360" w:lineRule="auto"/>
              <w:jc w:val="center"/>
              <w:rPr>
                <w:color w:val="auto"/>
                <w:szCs w:val="21"/>
                <w:highlight w:val="none"/>
              </w:rPr>
            </w:pPr>
            <w:r>
              <w:rPr>
                <w:color w:val="auto"/>
                <w:szCs w:val="21"/>
                <w:highlight w:val="none"/>
              </w:rPr>
              <w:t>工种</w:t>
            </w:r>
          </w:p>
        </w:tc>
        <w:tc>
          <w:tcPr>
            <w:tcW w:w="8506" w:type="dxa"/>
            <w:gridSpan w:val="7"/>
            <w:noWrap w:val="0"/>
            <w:vAlign w:val="center"/>
          </w:tcPr>
          <w:p w14:paraId="0093D4B5">
            <w:pPr>
              <w:spacing w:line="360" w:lineRule="auto"/>
              <w:jc w:val="center"/>
              <w:rPr>
                <w:color w:val="auto"/>
                <w:szCs w:val="21"/>
                <w:highlight w:val="none"/>
              </w:rPr>
            </w:pPr>
            <w:r>
              <w:rPr>
                <w:color w:val="auto"/>
                <w:szCs w:val="21"/>
                <w:highlight w:val="none"/>
              </w:rPr>
              <w:t>按工程施工阶段投入劳动力情况</w:t>
            </w:r>
          </w:p>
        </w:tc>
      </w:tr>
      <w:tr w14:paraId="1C043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6BA7268B">
            <w:pPr>
              <w:spacing w:line="360" w:lineRule="auto"/>
              <w:jc w:val="center"/>
              <w:rPr>
                <w:color w:val="auto"/>
                <w:szCs w:val="21"/>
                <w:highlight w:val="none"/>
              </w:rPr>
            </w:pPr>
          </w:p>
        </w:tc>
        <w:tc>
          <w:tcPr>
            <w:tcW w:w="961" w:type="dxa"/>
            <w:noWrap w:val="0"/>
            <w:vAlign w:val="center"/>
          </w:tcPr>
          <w:p w14:paraId="3CBDDFD1">
            <w:pPr>
              <w:spacing w:line="360" w:lineRule="auto"/>
              <w:jc w:val="center"/>
              <w:rPr>
                <w:color w:val="auto"/>
                <w:szCs w:val="21"/>
                <w:highlight w:val="none"/>
              </w:rPr>
            </w:pPr>
          </w:p>
        </w:tc>
        <w:tc>
          <w:tcPr>
            <w:tcW w:w="1257" w:type="dxa"/>
            <w:noWrap w:val="0"/>
            <w:vAlign w:val="center"/>
          </w:tcPr>
          <w:p w14:paraId="7018C000">
            <w:pPr>
              <w:spacing w:line="360" w:lineRule="auto"/>
              <w:jc w:val="center"/>
              <w:rPr>
                <w:color w:val="auto"/>
                <w:szCs w:val="21"/>
                <w:highlight w:val="none"/>
              </w:rPr>
            </w:pPr>
          </w:p>
        </w:tc>
        <w:tc>
          <w:tcPr>
            <w:tcW w:w="1258" w:type="dxa"/>
            <w:noWrap w:val="0"/>
            <w:vAlign w:val="center"/>
          </w:tcPr>
          <w:p w14:paraId="33F4F960">
            <w:pPr>
              <w:spacing w:line="360" w:lineRule="auto"/>
              <w:jc w:val="center"/>
              <w:rPr>
                <w:color w:val="auto"/>
                <w:szCs w:val="21"/>
                <w:highlight w:val="none"/>
              </w:rPr>
            </w:pPr>
          </w:p>
        </w:tc>
        <w:tc>
          <w:tcPr>
            <w:tcW w:w="1257" w:type="dxa"/>
            <w:noWrap w:val="0"/>
            <w:vAlign w:val="center"/>
          </w:tcPr>
          <w:p w14:paraId="3781DC99">
            <w:pPr>
              <w:spacing w:line="360" w:lineRule="auto"/>
              <w:jc w:val="center"/>
              <w:rPr>
                <w:color w:val="auto"/>
                <w:szCs w:val="21"/>
                <w:highlight w:val="none"/>
              </w:rPr>
            </w:pPr>
          </w:p>
        </w:tc>
        <w:tc>
          <w:tcPr>
            <w:tcW w:w="1258" w:type="dxa"/>
            <w:noWrap w:val="0"/>
            <w:vAlign w:val="center"/>
          </w:tcPr>
          <w:p w14:paraId="0F06F911">
            <w:pPr>
              <w:spacing w:line="360" w:lineRule="auto"/>
              <w:jc w:val="center"/>
              <w:rPr>
                <w:color w:val="auto"/>
                <w:szCs w:val="21"/>
                <w:highlight w:val="none"/>
              </w:rPr>
            </w:pPr>
          </w:p>
        </w:tc>
        <w:tc>
          <w:tcPr>
            <w:tcW w:w="1257" w:type="dxa"/>
            <w:noWrap w:val="0"/>
            <w:vAlign w:val="center"/>
          </w:tcPr>
          <w:p w14:paraId="479DDF23">
            <w:pPr>
              <w:spacing w:line="360" w:lineRule="auto"/>
              <w:jc w:val="center"/>
              <w:rPr>
                <w:color w:val="auto"/>
                <w:szCs w:val="21"/>
                <w:highlight w:val="none"/>
              </w:rPr>
            </w:pPr>
          </w:p>
        </w:tc>
        <w:tc>
          <w:tcPr>
            <w:tcW w:w="1258" w:type="dxa"/>
            <w:noWrap w:val="0"/>
            <w:vAlign w:val="center"/>
          </w:tcPr>
          <w:p w14:paraId="129162AE">
            <w:pPr>
              <w:spacing w:line="360" w:lineRule="auto"/>
              <w:jc w:val="center"/>
              <w:rPr>
                <w:color w:val="auto"/>
                <w:szCs w:val="21"/>
                <w:highlight w:val="none"/>
              </w:rPr>
            </w:pPr>
          </w:p>
        </w:tc>
      </w:tr>
      <w:tr w14:paraId="6B3F3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316A671D">
            <w:pPr>
              <w:spacing w:line="360" w:lineRule="auto"/>
              <w:jc w:val="center"/>
              <w:rPr>
                <w:color w:val="auto"/>
                <w:szCs w:val="21"/>
                <w:highlight w:val="none"/>
              </w:rPr>
            </w:pPr>
          </w:p>
        </w:tc>
        <w:tc>
          <w:tcPr>
            <w:tcW w:w="961" w:type="dxa"/>
            <w:noWrap w:val="0"/>
            <w:vAlign w:val="center"/>
          </w:tcPr>
          <w:p w14:paraId="784AB187">
            <w:pPr>
              <w:spacing w:line="360" w:lineRule="auto"/>
              <w:jc w:val="center"/>
              <w:rPr>
                <w:color w:val="auto"/>
                <w:szCs w:val="21"/>
                <w:highlight w:val="none"/>
              </w:rPr>
            </w:pPr>
          </w:p>
        </w:tc>
        <w:tc>
          <w:tcPr>
            <w:tcW w:w="1257" w:type="dxa"/>
            <w:noWrap w:val="0"/>
            <w:vAlign w:val="center"/>
          </w:tcPr>
          <w:p w14:paraId="7FA5D8DA">
            <w:pPr>
              <w:spacing w:line="360" w:lineRule="auto"/>
              <w:jc w:val="center"/>
              <w:rPr>
                <w:color w:val="auto"/>
                <w:szCs w:val="21"/>
                <w:highlight w:val="none"/>
              </w:rPr>
            </w:pPr>
          </w:p>
        </w:tc>
        <w:tc>
          <w:tcPr>
            <w:tcW w:w="1258" w:type="dxa"/>
            <w:noWrap w:val="0"/>
            <w:vAlign w:val="center"/>
          </w:tcPr>
          <w:p w14:paraId="3B91E9EB">
            <w:pPr>
              <w:spacing w:line="360" w:lineRule="auto"/>
              <w:jc w:val="center"/>
              <w:rPr>
                <w:color w:val="auto"/>
                <w:szCs w:val="21"/>
                <w:highlight w:val="none"/>
              </w:rPr>
            </w:pPr>
          </w:p>
        </w:tc>
        <w:tc>
          <w:tcPr>
            <w:tcW w:w="1257" w:type="dxa"/>
            <w:noWrap w:val="0"/>
            <w:vAlign w:val="center"/>
          </w:tcPr>
          <w:p w14:paraId="6401D9C6">
            <w:pPr>
              <w:spacing w:line="360" w:lineRule="auto"/>
              <w:jc w:val="center"/>
              <w:rPr>
                <w:color w:val="auto"/>
                <w:szCs w:val="21"/>
                <w:highlight w:val="none"/>
              </w:rPr>
            </w:pPr>
          </w:p>
        </w:tc>
        <w:tc>
          <w:tcPr>
            <w:tcW w:w="1258" w:type="dxa"/>
            <w:noWrap w:val="0"/>
            <w:vAlign w:val="center"/>
          </w:tcPr>
          <w:p w14:paraId="193F4AE5">
            <w:pPr>
              <w:spacing w:line="360" w:lineRule="auto"/>
              <w:jc w:val="center"/>
              <w:rPr>
                <w:color w:val="auto"/>
                <w:szCs w:val="21"/>
                <w:highlight w:val="none"/>
              </w:rPr>
            </w:pPr>
          </w:p>
        </w:tc>
        <w:tc>
          <w:tcPr>
            <w:tcW w:w="1257" w:type="dxa"/>
            <w:noWrap w:val="0"/>
            <w:vAlign w:val="center"/>
          </w:tcPr>
          <w:p w14:paraId="7336D1BC">
            <w:pPr>
              <w:spacing w:line="360" w:lineRule="auto"/>
              <w:jc w:val="center"/>
              <w:rPr>
                <w:color w:val="auto"/>
                <w:szCs w:val="21"/>
                <w:highlight w:val="none"/>
              </w:rPr>
            </w:pPr>
          </w:p>
        </w:tc>
        <w:tc>
          <w:tcPr>
            <w:tcW w:w="1258" w:type="dxa"/>
            <w:noWrap w:val="0"/>
            <w:vAlign w:val="center"/>
          </w:tcPr>
          <w:p w14:paraId="3FB1F2F4">
            <w:pPr>
              <w:spacing w:line="360" w:lineRule="auto"/>
              <w:jc w:val="center"/>
              <w:rPr>
                <w:color w:val="auto"/>
                <w:szCs w:val="21"/>
                <w:highlight w:val="none"/>
              </w:rPr>
            </w:pPr>
          </w:p>
        </w:tc>
      </w:tr>
      <w:tr w14:paraId="3CA92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68543E50">
            <w:pPr>
              <w:spacing w:line="360" w:lineRule="auto"/>
              <w:jc w:val="center"/>
              <w:rPr>
                <w:color w:val="auto"/>
                <w:szCs w:val="21"/>
                <w:highlight w:val="none"/>
              </w:rPr>
            </w:pPr>
          </w:p>
        </w:tc>
        <w:tc>
          <w:tcPr>
            <w:tcW w:w="961" w:type="dxa"/>
            <w:noWrap w:val="0"/>
            <w:vAlign w:val="center"/>
          </w:tcPr>
          <w:p w14:paraId="5A8F0ECE">
            <w:pPr>
              <w:spacing w:line="360" w:lineRule="auto"/>
              <w:jc w:val="center"/>
              <w:rPr>
                <w:color w:val="auto"/>
                <w:szCs w:val="21"/>
                <w:highlight w:val="none"/>
              </w:rPr>
            </w:pPr>
          </w:p>
        </w:tc>
        <w:tc>
          <w:tcPr>
            <w:tcW w:w="1257" w:type="dxa"/>
            <w:noWrap w:val="0"/>
            <w:vAlign w:val="center"/>
          </w:tcPr>
          <w:p w14:paraId="501D5A9F">
            <w:pPr>
              <w:spacing w:line="360" w:lineRule="auto"/>
              <w:jc w:val="center"/>
              <w:rPr>
                <w:color w:val="auto"/>
                <w:szCs w:val="21"/>
                <w:highlight w:val="none"/>
              </w:rPr>
            </w:pPr>
          </w:p>
        </w:tc>
        <w:tc>
          <w:tcPr>
            <w:tcW w:w="1258" w:type="dxa"/>
            <w:noWrap w:val="0"/>
            <w:vAlign w:val="center"/>
          </w:tcPr>
          <w:p w14:paraId="43427E34">
            <w:pPr>
              <w:spacing w:line="360" w:lineRule="auto"/>
              <w:jc w:val="center"/>
              <w:rPr>
                <w:color w:val="auto"/>
                <w:szCs w:val="21"/>
                <w:highlight w:val="none"/>
              </w:rPr>
            </w:pPr>
          </w:p>
        </w:tc>
        <w:tc>
          <w:tcPr>
            <w:tcW w:w="1257" w:type="dxa"/>
            <w:noWrap w:val="0"/>
            <w:vAlign w:val="center"/>
          </w:tcPr>
          <w:p w14:paraId="27669883">
            <w:pPr>
              <w:spacing w:line="360" w:lineRule="auto"/>
              <w:jc w:val="center"/>
              <w:rPr>
                <w:color w:val="auto"/>
                <w:szCs w:val="21"/>
                <w:highlight w:val="none"/>
              </w:rPr>
            </w:pPr>
          </w:p>
        </w:tc>
        <w:tc>
          <w:tcPr>
            <w:tcW w:w="1258" w:type="dxa"/>
            <w:noWrap w:val="0"/>
            <w:vAlign w:val="center"/>
          </w:tcPr>
          <w:p w14:paraId="2FCF7C57">
            <w:pPr>
              <w:spacing w:line="360" w:lineRule="auto"/>
              <w:jc w:val="center"/>
              <w:rPr>
                <w:color w:val="auto"/>
                <w:szCs w:val="21"/>
                <w:highlight w:val="none"/>
              </w:rPr>
            </w:pPr>
          </w:p>
        </w:tc>
        <w:tc>
          <w:tcPr>
            <w:tcW w:w="1257" w:type="dxa"/>
            <w:noWrap w:val="0"/>
            <w:vAlign w:val="center"/>
          </w:tcPr>
          <w:p w14:paraId="234E4B71">
            <w:pPr>
              <w:spacing w:line="360" w:lineRule="auto"/>
              <w:jc w:val="center"/>
              <w:rPr>
                <w:color w:val="auto"/>
                <w:szCs w:val="21"/>
                <w:highlight w:val="none"/>
              </w:rPr>
            </w:pPr>
          </w:p>
        </w:tc>
        <w:tc>
          <w:tcPr>
            <w:tcW w:w="1258" w:type="dxa"/>
            <w:noWrap w:val="0"/>
            <w:vAlign w:val="center"/>
          </w:tcPr>
          <w:p w14:paraId="1F6E8B1D">
            <w:pPr>
              <w:spacing w:line="360" w:lineRule="auto"/>
              <w:jc w:val="center"/>
              <w:rPr>
                <w:color w:val="auto"/>
                <w:szCs w:val="21"/>
                <w:highlight w:val="none"/>
              </w:rPr>
            </w:pPr>
          </w:p>
        </w:tc>
      </w:tr>
      <w:tr w14:paraId="3F76A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7840C911">
            <w:pPr>
              <w:spacing w:line="360" w:lineRule="auto"/>
              <w:jc w:val="center"/>
              <w:rPr>
                <w:color w:val="auto"/>
                <w:szCs w:val="21"/>
                <w:highlight w:val="none"/>
              </w:rPr>
            </w:pPr>
          </w:p>
        </w:tc>
        <w:tc>
          <w:tcPr>
            <w:tcW w:w="961" w:type="dxa"/>
            <w:noWrap w:val="0"/>
            <w:vAlign w:val="center"/>
          </w:tcPr>
          <w:p w14:paraId="7CF8C77A">
            <w:pPr>
              <w:spacing w:line="360" w:lineRule="auto"/>
              <w:jc w:val="center"/>
              <w:rPr>
                <w:color w:val="auto"/>
                <w:szCs w:val="21"/>
                <w:highlight w:val="none"/>
              </w:rPr>
            </w:pPr>
          </w:p>
        </w:tc>
        <w:tc>
          <w:tcPr>
            <w:tcW w:w="1257" w:type="dxa"/>
            <w:noWrap w:val="0"/>
            <w:vAlign w:val="center"/>
          </w:tcPr>
          <w:p w14:paraId="239E263B">
            <w:pPr>
              <w:spacing w:line="360" w:lineRule="auto"/>
              <w:jc w:val="center"/>
              <w:rPr>
                <w:color w:val="auto"/>
                <w:szCs w:val="21"/>
                <w:highlight w:val="none"/>
              </w:rPr>
            </w:pPr>
          </w:p>
        </w:tc>
        <w:tc>
          <w:tcPr>
            <w:tcW w:w="1258" w:type="dxa"/>
            <w:noWrap w:val="0"/>
            <w:vAlign w:val="center"/>
          </w:tcPr>
          <w:p w14:paraId="6A489291">
            <w:pPr>
              <w:spacing w:line="360" w:lineRule="auto"/>
              <w:jc w:val="center"/>
              <w:rPr>
                <w:color w:val="auto"/>
                <w:szCs w:val="21"/>
                <w:highlight w:val="none"/>
              </w:rPr>
            </w:pPr>
          </w:p>
        </w:tc>
        <w:tc>
          <w:tcPr>
            <w:tcW w:w="1257" w:type="dxa"/>
            <w:noWrap w:val="0"/>
            <w:vAlign w:val="center"/>
          </w:tcPr>
          <w:p w14:paraId="2C5FE939">
            <w:pPr>
              <w:spacing w:line="360" w:lineRule="auto"/>
              <w:jc w:val="center"/>
              <w:rPr>
                <w:color w:val="auto"/>
                <w:szCs w:val="21"/>
                <w:highlight w:val="none"/>
              </w:rPr>
            </w:pPr>
          </w:p>
        </w:tc>
        <w:tc>
          <w:tcPr>
            <w:tcW w:w="1258" w:type="dxa"/>
            <w:noWrap w:val="0"/>
            <w:vAlign w:val="center"/>
          </w:tcPr>
          <w:p w14:paraId="5A4FDBD3">
            <w:pPr>
              <w:spacing w:line="360" w:lineRule="auto"/>
              <w:jc w:val="center"/>
              <w:rPr>
                <w:color w:val="auto"/>
                <w:szCs w:val="21"/>
                <w:highlight w:val="none"/>
              </w:rPr>
            </w:pPr>
          </w:p>
        </w:tc>
        <w:tc>
          <w:tcPr>
            <w:tcW w:w="1257" w:type="dxa"/>
            <w:noWrap w:val="0"/>
            <w:vAlign w:val="center"/>
          </w:tcPr>
          <w:p w14:paraId="75F529FE">
            <w:pPr>
              <w:spacing w:line="360" w:lineRule="auto"/>
              <w:jc w:val="center"/>
              <w:rPr>
                <w:color w:val="auto"/>
                <w:szCs w:val="21"/>
                <w:highlight w:val="none"/>
              </w:rPr>
            </w:pPr>
          </w:p>
        </w:tc>
        <w:tc>
          <w:tcPr>
            <w:tcW w:w="1258" w:type="dxa"/>
            <w:noWrap w:val="0"/>
            <w:vAlign w:val="center"/>
          </w:tcPr>
          <w:p w14:paraId="1F052715">
            <w:pPr>
              <w:spacing w:line="360" w:lineRule="auto"/>
              <w:jc w:val="center"/>
              <w:rPr>
                <w:color w:val="auto"/>
                <w:szCs w:val="21"/>
                <w:highlight w:val="none"/>
              </w:rPr>
            </w:pPr>
          </w:p>
        </w:tc>
      </w:tr>
      <w:tr w14:paraId="13370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31398604">
            <w:pPr>
              <w:spacing w:line="360" w:lineRule="auto"/>
              <w:jc w:val="center"/>
              <w:rPr>
                <w:color w:val="auto"/>
                <w:szCs w:val="21"/>
                <w:highlight w:val="none"/>
              </w:rPr>
            </w:pPr>
          </w:p>
        </w:tc>
        <w:tc>
          <w:tcPr>
            <w:tcW w:w="961" w:type="dxa"/>
            <w:noWrap w:val="0"/>
            <w:vAlign w:val="center"/>
          </w:tcPr>
          <w:p w14:paraId="79A90FD1">
            <w:pPr>
              <w:spacing w:line="360" w:lineRule="auto"/>
              <w:jc w:val="center"/>
              <w:rPr>
                <w:color w:val="auto"/>
                <w:szCs w:val="21"/>
                <w:highlight w:val="none"/>
              </w:rPr>
            </w:pPr>
          </w:p>
        </w:tc>
        <w:tc>
          <w:tcPr>
            <w:tcW w:w="1257" w:type="dxa"/>
            <w:noWrap w:val="0"/>
            <w:vAlign w:val="center"/>
          </w:tcPr>
          <w:p w14:paraId="1447E407">
            <w:pPr>
              <w:spacing w:line="360" w:lineRule="auto"/>
              <w:jc w:val="center"/>
              <w:rPr>
                <w:color w:val="auto"/>
                <w:szCs w:val="21"/>
                <w:highlight w:val="none"/>
              </w:rPr>
            </w:pPr>
          </w:p>
        </w:tc>
        <w:tc>
          <w:tcPr>
            <w:tcW w:w="1258" w:type="dxa"/>
            <w:noWrap w:val="0"/>
            <w:vAlign w:val="center"/>
          </w:tcPr>
          <w:p w14:paraId="036E40F2">
            <w:pPr>
              <w:spacing w:line="360" w:lineRule="auto"/>
              <w:jc w:val="center"/>
              <w:rPr>
                <w:color w:val="auto"/>
                <w:szCs w:val="21"/>
                <w:highlight w:val="none"/>
              </w:rPr>
            </w:pPr>
          </w:p>
        </w:tc>
        <w:tc>
          <w:tcPr>
            <w:tcW w:w="1257" w:type="dxa"/>
            <w:noWrap w:val="0"/>
            <w:vAlign w:val="center"/>
          </w:tcPr>
          <w:p w14:paraId="66533C0C">
            <w:pPr>
              <w:spacing w:line="360" w:lineRule="auto"/>
              <w:jc w:val="center"/>
              <w:rPr>
                <w:color w:val="auto"/>
                <w:szCs w:val="21"/>
                <w:highlight w:val="none"/>
              </w:rPr>
            </w:pPr>
          </w:p>
        </w:tc>
        <w:tc>
          <w:tcPr>
            <w:tcW w:w="1258" w:type="dxa"/>
            <w:noWrap w:val="0"/>
            <w:vAlign w:val="center"/>
          </w:tcPr>
          <w:p w14:paraId="73F797C2">
            <w:pPr>
              <w:spacing w:line="360" w:lineRule="auto"/>
              <w:jc w:val="center"/>
              <w:rPr>
                <w:color w:val="auto"/>
                <w:szCs w:val="21"/>
                <w:highlight w:val="none"/>
              </w:rPr>
            </w:pPr>
          </w:p>
        </w:tc>
        <w:tc>
          <w:tcPr>
            <w:tcW w:w="1257" w:type="dxa"/>
            <w:noWrap w:val="0"/>
            <w:vAlign w:val="center"/>
          </w:tcPr>
          <w:p w14:paraId="45AA937A">
            <w:pPr>
              <w:spacing w:line="360" w:lineRule="auto"/>
              <w:jc w:val="center"/>
              <w:rPr>
                <w:color w:val="auto"/>
                <w:szCs w:val="21"/>
                <w:highlight w:val="none"/>
              </w:rPr>
            </w:pPr>
          </w:p>
        </w:tc>
        <w:tc>
          <w:tcPr>
            <w:tcW w:w="1258" w:type="dxa"/>
            <w:noWrap w:val="0"/>
            <w:vAlign w:val="center"/>
          </w:tcPr>
          <w:p w14:paraId="048E5094">
            <w:pPr>
              <w:spacing w:line="360" w:lineRule="auto"/>
              <w:jc w:val="center"/>
              <w:rPr>
                <w:color w:val="auto"/>
                <w:szCs w:val="21"/>
                <w:highlight w:val="none"/>
              </w:rPr>
            </w:pPr>
          </w:p>
        </w:tc>
      </w:tr>
      <w:tr w14:paraId="37623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69906820">
            <w:pPr>
              <w:spacing w:line="360" w:lineRule="auto"/>
              <w:jc w:val="center"/>
              <w:rPr>
                <w:color w:val="auto"/>
                <w:szCs w:val="21"/>
                <w:highlight w:val="none"/>
              </w:rPr>
            </w:pPr>
          </w:p>
        </w:tc>
        <w:tc>
          <w:tcPr>
            <w:tcW w:w="961" w:type="dxa"/>
            <w:noWrap w:val="0"/>
            <w:vAlign w:val="center"/>
          </w:tcPr>
          <w:p w14:paraId="7709BE15">
            <w:pPr>
              <w:spacing w:line="360" w:lineRule="auto"/>
              <w:jc w:val="center"/>
              <w:rPr>
                <w:color w:val="auto"/>
                <w:szCs w:val="21"/>
                <w:highlight w:val="none"/>
              </w:rPr>
            </w:pPr>
          </w:p>
        </w:tc>
        <w:tc>
          <w:tcPr>
            <w:tcW w:w="1257" w:type="dxa"/>
            <w:noWrap w:val="0"/>
            <w:vAlign w:val="center"/>
          </w:tcPr>
          <w:p w14:paraId="409EBED4">
            <w:pPr>
              <w:spacing w:line="360" w:lineRule="auto"/>
              <w:jc w:val="center"/>
              <w:rPr>
                <w:color w:val="auto"/>
                <w:szCs w:val="21"/>
                <w:highlight w:val="none"/>
              </w:rPr>
            </w:pPr>
          </w:p>
        </w:tc>
        <w:tc>
          <w:tcPr>
            <w:tcW w:w="1258" w:type="dxa"/>
            <w:noWrap w:val="0"/>
            <w:vAlign w:val="center"/>
          </w:tcPr>
          <w:p w14:paraId="7CBA3413">
            <w:pPr>
              <w:spacing w:line="360" w:lineRule="auto"/>
              <w:jc w:val="center"/>
              <w:rPr>
                <w:color w:val="auto"/>
                <w:szCs w:val="21"/>
                <w:highlight w:val="none"/>
              </w:rPr>
            </w:pPr>
          </w:p>
        </w:tc>
        <w:tc>
          <w:tcPr>
            <w:tcW w:w="1257" w:type="dxa"/>
            <w:noWrap w:val="0"/>
            <w:vAlign w:val="center"/>
          </w:tcPr>
          <w:p w14:paraId="3FEA9BDE">
            <w:pPr>
              <w:spacing w:line="360" w:lineRule="auto"/>
              <w:jc w:val="center"/>
              <w:rPr>
                <w:color w:val="auto"/>
                <w:szCs w:val="21"/>
                <w:highlight w:val="none"/>
              </w:rPr>
            </w:pPr>
          </w:p>
        </w:tc>
        <w:tc>
          <w:tcPr>
            <w:tcW w:w="1258" w:type="dxa"/>
            <w:noWrap w:val="0"/>
            <w:vAlign w:val="center"/>
          </w:tcPr>
          <w:p w14:paraId="2650F654">
            <w:pPr>
              <w:spacing w:line="360" w:lineRule="auto"/>
              <w:jc w:val="center"/>
              <w:rPr>
                <w:color w:val="auto"/>
                <w:szCs w:val="21"/>
                <w:highlight w:val="none"/>
              </w:rPr>
            </w:pPr>
          </w:p>
        </w:tc>
        <w:tc>
          <w:tcPr>
            <w:tcW w:w="1257" w:type="dxa"/>
            <w:noWrap w:val="0"/>
            <w:vAlign w:val="center"/>
          </w:tcPr>
          <w:p w14:paraId="05CBAF68">
            <w:pPr>
              <w:spacing w:line="360" w:lineRule="auto"/>
              <w:jc w:val="center"/>
              <w:rPr>
                <w:color w:val="auto"/>
                <w:szCs w:val="21"/>
                <w:highlight w:val="none"/>
              </w:rPr>
            </w:pPr>
          </w:p>
        </w:tc>
        <w:tc>
          <w:tcPr>
            <w:tcW w:w="1258" w:type="dxa"/>
            <w:noWrap w:val="0"/>
            <w:vAlign w:val="center"/>
          </w:tcPr>
          <w:p w14:paraId="28C012B2">
            <w:pPr>
              <w:spacing w:line="360" w:lineRule="auto"/>
              <w:jc w:val="center"/>
              <w:rPr>
                <w:color w:val="auto"/>
                <w:szCs w:val="21"/>
                <w:highlight w:val="none"/>
              </w:rPr>
            </w:pPr>
          </w:p>
        </w:tc>
      </w:tr>
      <w:tr w14:paraId="3BC24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568B59C0">
            <w:pPr>
              <w:spacing w:line="360" w:lineRule="auto"/>
              <w:jc w:val="center"/>
              <w:rPr>
                <w:color w:val="auto"/>
                <w:szCs w:val="21"/>
                <w:highlight w:val="none"/>
              </w:rPr>
            </w:pPr>
          </w:p>
        </w:tc>
        <w:tc>
          <w:tcPr>
            <w:tcW w:w="961" w:type="dxa"/>
            <w:noWrap w:val="0"/>
            <w:vAlign w:val="center"/>
          </w:tcPr>
          <w:p w14:paraId="03DEECD2">
            <w:pPr>
              <w:spacing w:line="360" w:lineRule="auto"/>
              <w:jc w:val="center"/>
              <w:rPr>
                <w:color w:val="auto"/>
                <w:szCs w:val="21"/>
                <w:highlight w:val="none"/>
              </w:rPr>
            </w:pPr>
          </w:p>
        </w:tc>
        <w:tc>
          <w:tcPr>
            <w:tcW w:w="1257" w:type="dxa"/>
            <w:noWrap w:val="0"/>
            <w:vAlign w:val="center"/>
          </w:tcPr>
          <w:p w14:paraId="387E2273">
            <w:pPr>
              <w:spacing w:line="360" w:lineRule="auto"/>
              <w:jc w:val="center"/>
              <w:rPr>
                <w:color w:val="auto"/>
                <w:szCs w:val="21"/>
                <w:highlight w:val="none"/>
              </w:rPr>
            </w:pPr>
          </w:p>
        </w:tc>
        <w:tc>
          <w:tcPr>
            <w:tcW w:w="1258" w:type="dxa"/>
            <w:noWrap w:val="0"/>
            <w:vAlign w:val="center"/>
          </w:tcPr>
          <w:p w14:paraId="353BCF56">
            <w:pPr>
              <w:spacing w:line="360" w:lineRule="auto"/>
              <w:jc w:val="center"/>
              <w:rPr>
                <w:color w:val="auto"/>
                <w:szCs w:val="21"/>
                <w:highlight w:val="none"/>
              </w:rPr>
            </w:pPr>
          </w:p>
        </w:tc>
        <w:tc>
          <w:tcPr>
            <w:tcW w:w="1257" w:type="dxa"/>
            <w:noWrap w:val="0"/>
            <w:vAlign w:val="center"/>
          </w:tcPr>
          <w:p w14:paraId="40AC5A02">
            <w:pPr>
              <w:spacing w:line="360" w:lineRule="auto"/>
              <w:jc w:val="center"/>
              <w:rPr>
                <w:color w:val="auto"/>
                <w:szCs w:val="21"/>
                <w:highlight w:val="none"/>
              </w:rPr>
            </w:pPr>
          </w:p>
        </w:tc>
        <w:tc>
          <w:tcPr>
            <w:tcW w:w="1258" w:type="dxa"/>
            <w:noWrap w:val="0"/>
            <w:vAlign w:val="center"/>
          </w:tcPr>
          <w:p w14:paraId="53E38009">
            <w:pPr>
              <w:spacing w:line="360" w:lineRule="auto"/>
              <w:jc w:val="center"/>
              <w:rPr>
                <w:color w:val="auto"/>
                <w:szCs w:val="21"/>
                <w:highlight w:val="none"/>
              </w:rPr>
            </w:pPr>
          </w:p>
        </w:tc>
        <w:tc>
          <w:tcPr>
            <w:tcW w:w="1257" w:type="dxa"/>
            <w:noWrap w:val="0"/>
            <w:vAlign w:val="center"/>
          </w:tcPr>
          <w:p w14:paraId="019E574D">
            <w:pPr>
              <w:spacing w:line="360" w:lineRule="auto"/>
              <w:jc w:val="center"/>
              <w:rPr>
                <w:color w:val="auto"/>
                <w:szCs w:val="21"/>
                <w:highlight w:val="none"/>
              </w:rPr>
            </w:pPr>
          </w:p>
        </w:tc>
        <w:tc>
          <w:tcPr>
            <w:tcW w:w="1258" w:type="dxa"/>
            <w:noWrap w:val="0"/>
            <w:vAlign w:val="center"/>
          </w:tcPr>
          <w:p w14:paraId="0720952C">
            <w:pPr>
              <w:spacing w:line="360" w:lineRule="auto"/>
              <w:jc w:val="center"/>
              <w:rPr>
                <w:color w:val="auto"/>
                <w:szCs w:val="21"/>
                <w:highlight w:val="none"/>
              </w:rPr>
            </w:pPr>
          </w:p>
        </w:tc>
      </w:tr>
    </w:tbl>
    <w:p w14:paraId="283DC056">
      <w:pPr>
        <w:rPr>
          <w:color w:val="auto"/>
          <w:highlight w:val="none"/>
        </w:rPr>
      </w:pPr>
    </w:p>
    <w:p w14:paraId="50B2C408">
      <w:pPr>
        <w:rPr>
          <w:b/>
          <w:color w:val="auto"/>
          <w:highlight w:val="none"/>
        </w:rPr>
      </w:pPr>
    </w:p>
    <w:p w14:paraId="28FC82DF">
      <w:pPr>
        <w:rPr>
          <w:color w:val="auto"/>
          <w:highlight w:val="none"/>
        </w:rPr>
      </w:pPr>
      <w:r>
        <w:rPr>
          <w:color w:val="auto"/>
          <w:highlight w:val="none"/>
        </w:rPr>
        <w:t>附表四：计划开、竣工日期和施工进度计划（网络图或横道图）</w:t>
      </w:r>
    </w:p>
    <w:p w14:paraId="3552539D">
      <w:pPr>
        <w:spacing w:line="460" w:lineRule="exact"/>
        <w:ind w:left="-6" w:firstLine="420"/>
        <w:rPr>
          <w:color w:val="auto"/>
          <w:highlight w:val="none"/>
        </w:rPr>
      </w:pPr>
      <w:r>
        <w:rPr>
          <w:rFonts w:hint="eastAsia"/>
          <w:color w:val="auto"/>
          <w:highlight w:val="none"/>
        </w:rPr>
        <w:t>（1）</w:t>
      </w:r>
      <w:r>
        <w:rPr>
          <w:color w:val="auto"/>
          <w:highlight w:val="none"/>
        </w:rPr>
        <w:t>供应商应提交施工进度计划，说明按采购文件要求的工期进行施工的各个关键日期。成交的供应商还应按合同条件有关条款的要求提交详细的施工进度计划。</w:t>
      </w:r>
    </w:p>
    <w:p w14:paraId="5AA7D11E">
      <w:pPr>
        <w:spacing w:line="460" w:lineRule="exact"/>
        <w:ind w:left="-6" w:firstLine="420"/>
        <w:rPr>
          <w:color w:val="auto"/>
          <w:highlight w:val="none"/>
        </w:rPr>
      </w:pPr>
      <w:r>
        <w:rPr>
          <w:rFonts w:hint="eastAsia"/>
          <w:color w:val="auto"/>
          <w:highlight w:val="none"/>
        </w:rPr>
        <w:t>（2）</w:t>
      </w:r>
      <w:r>
        <w:rPr>
          <w:color w:val="auto"/>
          <w:highlight w:val="none"/>
        </w:rPr>
        <w:t>施工进度计划可采用网络图（或横道图）表示，说明计划开工日期和各分项工程各阶段的完工日期和分包合同签订的日期。</w:t>
      </w:r>
    </w:p>
    <w:p w14:paraId="2C875724">
      <w:pPr>
        <w:spacing w:line="460" w:lineRule="exact"/>
        <w:ind w:left="-6" w:firstLine="420"/>
        <w:rPr>
          <w:color w:val="auto"/>
          <w:highlight w:val="none"/>
        </w:rPr>
      </w:pPr>
      <w:r>
        <w:rPr>
          <w:rFonts w:hint="eastAsia"/>
          <w:color w:val="auto"/>
          <w:highlight w:val="none"/>
        </w:rPr>
        <w:t>（</w:t>
      </w:r>
      <w:r>
        <w:rPr>
          <w:color w:val="auto"/>
          <w:highlight w:val="none"/>
        </w:rPr>
        <w:t>3</w:t>
      </w:r>
      <w:r>
        <w:rPr>
          <w:rFonts w:hint="eastAsia"/>
          <w:color w:val="auto"/>
          <w:highlight w:val="none"/>
        </w:rPr>
        <w:t>）</w:t>
      </w:r>
      <w:r>
        <w:rPr>
          <w:color w:val="auto"/>
          <w:highlight w:val="none"/>
        </w:rPr>
        <w:t>施工进度计划应与施工组织设计相适应。</w:t>
      </w:r>
    </w:p>
    <w:p w14:paraId="32A16486">
      <w:pPr>
        <w:rPr>
          <w:color w:val="auto"/>
          <w:highlight w:val="none"/>
        </w:rPr>
      </w:pPr>
    </w:p>
    <w:p w14:paraId="7495BA99">
      <w:pPr>
        <w:rPr>
          <w:color w:val="auto"/>
          <w:highlight w:val="none"/>
        </w:rPr>
      </w:pPr>
      <w:r>
        <w:rPr>
          <w:color w:val="auto"/>
          <w:highlight w:val="none"/>
        </w:rPr>
        <w:t>附表五：施工总平面图</w:t>
      </w:r>
    </w:p>
    <w:p w14:paraId="6E7C3D7D">
      <w:pPr>
        <w:spacing w:line="460" w:lineRule="exact"/>
        <w:ind w:firstLine="420" w:firstLineChars="200"/>
        <w:rPr>
          <w:color w:val="auto"/>
          <w:szCs w:val="21"/>
          <w:highlight w:val="none"/>
        </w:rPr>
      </w:pPr>
      <w:r>
        <w:rPr>
          <w:color w:val="auto"/>
          <w:szCs w:val="21"/>
          <w:highlight w:val="none"/>
        </w:rPr>
        <w:t>供应商应递交一份施工总平面图，绘出现场临时设施布置图表并附文字说明，说明临时设施、加工车间、现场办公、设备及仓储、供电、供水、卫生、生活、道路、消防等设施的情况和布置。</w:t>
      </w:r>
    </w:p>
    <w:p w14:paraId="0203F5AF">
      <w:pPr>
        <w:rPr>
          <w:color w:val="auto"/>
          <w:highlight w:val="none"/>
        </w:rPr>
      </w:pPr>
    </w:p>
    <w:p w14:paraId="7B486DE7">
      <w:pPr>
        <w:rPr>
          <w:color w:val="auto"/>
          <w:highlight w:val="none"/>
        </w:rPr>
      </w:pPr>
    </w:p>
    <w:p w14:paraId="5C721A9A">
      <w:pPr>
        <w:rPr>
          <w:color w:val="auto"/>
          <w:highlight w:val="none"/>
        </w:rPr>
      </w:pPr>
      <w:r>
        <w:rPr>
          <w:color w:val="auto"/>
          <w:highlight w:val="none"/>
        </w:rPr>
        <w:t>附表六：临时用地表</w:t>
      </w:r>
    </w:p>
    <w:p w14:paraId="06E7F62E">
      <w:pPr>
        <w:rPr>
          <w:color w:val="auto"/>
          <w:highlight w:val="none"/>
        </w:rPr>
      </w:pPr>
    </w:p>
    <w:tbl>
      <w:tblPr>
        <w:tblStyle w:val="5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0"/>
        <w:gridCol w:w="2091"/>
        <w:gridCol w:w="2090"/>
        <w:gridCol w:w="2091"/>
      </w:tblGrid>
      <w:tr w14:paraId="153C9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2090" w:type="dxa"/>
            <w:noWrap w:val="0"/>
            <w:vAlign w:val="center"/>
          </w:tcPr>
          <w:p w14:paraId="4C10181B">
            <w:pPr>
              <w:jc w:val="center"/>
              <w:rPr>
                <w:color w:val="auto"/>
                <w:highlight w:val="none"/>
              </w:rPr>
            </w:pPr>
            <w:r>
              <w:rPr>
                <w:color w:val="auto"/>
                <w:szCs w:val="21"/>
                <w:highlight w:val="none"/>
              </w:rPr>
              <w:t>用途</w:t>
            </w:r>
          </w:p>
        </w:tc>
        <w:tc>
          <w:tcPr>
            <w:tcW w:w="2091" w:type="dxa"/>
            <w:noWrap w:val="0"/>
            <w:vAlign w:val="center"/>
          </w:tcPr>
          <w:p w14:paraId="6A94CF73">
            <w:pPr>
              <w:jc w:val="center"/>
              <w:rPr>
                <w:color w:val="auto"/>
                <w:highlight w:val="none"/>
              </w:rPr>
            </w:pPr>
            <w:r>
              <w:rPr>
                <w:color w:val="auto"/>
                <w:szCs w:val="21"/>
                <w:highlight w:val="none"/>
              </w:rPr>
              <w:t>面积（平方米）</w:t>
            </w:r>
          </w:p>
        </w:tc>
        <w:tc>
          <w:tcPr>
            <w:tcW w:w="2090" w:type="dxa"/>
            <w:noWrap w:val="0"/>
            <w:vAlign w:val="center"/>
          </w:tcPr>
          <w:p w14:paraId="3DF01E70">
            <w:pPr>
              <w:jc w:val="center"/>
              <w:rPr>
                <w:color w:val="auto"/>
                <w:highlight w:val="none"/>
              </w:rPr>
            </w:pPr>
            <w:r>
              <w:rPr>
                <w:color w:val="auto"/>
                <w:szCs w:val="21"/>
                <w:highlight w:val="none"/>
              </w:rPr>
              <w:t>位置</w:t>
            </w:r>
          </w:p>
        </w:tc>
        <w:tc>
          <w:tcPr>
            <w:tcW w:w="2091" w:type="dxa"/>
            <w:noWrap w:val="0"/>
            <w:vAlign w:val="center"/>
          </w:tcPr>
          <w:p w14:paraId="72AD2CBC">
            <w:pPr>
              <w:jc w:val="center"/>
              <w:rPr>
                <w:color w:val="auto"/>
                <w:highlight w:val="none"/>
              </w:rPr>
            </w:pPr>
            <w:r>
              <w:rPr>
                <w:color w:val="auto"/>
                <w:szCs w:val="21"/>
                <w:highlight w:val="none"/>
              </w:rPr>
              <w:t>需用时间</w:t>
            </w:r>
          </w:p>
        </w:tc>
      </w:tr>
      <w:tr w14:paraId="119BC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090" w:type="dxa"/>
            <w:noWrap w:val="0"/>
            <w:vAlign w:val="top"/>
          </w:tcPr>
          <w:p w14:paraId="1EDFDF84">
            <w:pPr>
              <w:rPr>
                <w:color w:val="auto"/>
                <w:highlight w:val="none"/>
              </w:rPr>
            </w:pPr>
          </w:p>
        </w:tc>
        <w:tc>
          <w:tcPr>
            <w:tcW w:w="2091" w:type="dxa"/>
            <w:noWrap w:val="0"/>
            <w:vAlign w:val="top"/>
          </w:tcPr>
          <w:p w14:paraId="78FBBC1B">
            <w:pPr>
              <w:rPr>
                <w:color w:val="auto"/>
                <w:highlight w:val="none"/>
              </w:rPr>
            </w:pPr>
          </w:p>
        </w:tc>
        <w:tc>
          <w:tcPr>
            <w:tcW w:w="2090" w:type="dxa"/>
            <w:noWrap w:val="0"/>
            <w:vAlign w:val="top"/>
          </w:tcPr>
          <w:p w14:paraId="0DB5F527">
            <w:pPr>
              <w:rPr>
                <w:color w:val="auto"/>
                <w:highlight w:val="none"/>
              </w:rPr>
            </w:pPr>
          </w:p>
        </w:tc>
        <w:tc>
          <w:tcPr>
            <w:tcW w:w="2091" w:type="dxa"/>
            <w:noWrap w:val="0"/>
            <w:vAlign w:val="top"/>
          </w:tcPr>
          <w:p w14:paraId="4B848F29">
            <w:pPr>
              <w:rPr>
                <w:color w:val="auto"/>
                <w:highlight w:val="none"/>
              </w:rPr>
            </w:pPr>
          </w:p>
        </w:tc>
      </w:tr>
      <w:tr w14:paraId="44765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090" w:type="dxa"/>
            <w:noWrap w:val="0"/>
            <w:vAlign w:val="top"/>
          </w:tcPr>
          <w:p w14:paraId="331CF10E">
            <w:pPr>
              <w:rPr>
                <w:color w:val="auto"/>
                <w:highlight w:val="none"/>
              </w:rPr>
            </w:pPr>
          </w:p>
        </w:tc>
        <w:tc>
          <w:tcPr>
            <w:tcW w:w="2091" w:type="dxa"/>
            <w:noWrap w:val="0"/>
            <w:vAlign w:val="top"/>
          </w:tcPr>
          <w:p w14:paraId="296BF4B9">
            <w:pPr>
              <w:rPr>
                <w:color w:val="auto"/>
                <w:highlight w:val="none"/>
              </w:rPr>
            </w:pPr>
          </w:p>
        </w:tc>
        <w:tc>
          <w:tcPr>
            <w:tcW w:w="2090" w:type="dxa"/>
            <w:noWrap w:val="0"/>
            <w:vAlign w:val="top"/>
          </w:tcPr>
          <w:p w14:paraId="7424A36D">
            <w:pPr>
              <w:rPr>
                <w:color w:val="auto"/>
                <w:highlight w:val="none"/>
              </w:rPr>
            </w:pPr>
          </w:p>
        </w:tc>
        <w:tc>
          <w:tcPr>
            <w:tcW w:w="2091" w:type="dxa"/>
            <w:noWrap w:val="0"/>
            <w:vAlign w:val="top"/>
          </w:tcPr>
          <w:p w14:paraId="77C0AB8F">
            <w:pPr>
              <w:rPr>
                <w:color w:val="auto"/>
                <w:highlight w:val="none"/>
              </w:rPr>
            </w:pPr>
          </w:p>
        </w:tc>
      </w:tr>
      <w:tr w14:paraId="4B442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2090" w:type="dxa"/>
            <w:noWrap w:val="0"/>
            <w:vAlign w:val="top"/>
          </w:tcPr>
          <w:p w14:paraId="4FD177F9">
            <w:pPr>
              <w:rPr>
                <w:color w:val="auto"/>
                <w:highlight w:val="none"/>
              </w:rPr>
            </w:pPr>
          </w:p>
        </w:tc>
        <w:tc>
          <w:tcPr>
            <w:tcW w:w="2091" w:type="dxa"/>
            <w:noWrap w:val="0"/>
            <w:vAlign w:val="top"/>
          </w:tcPr>
          <w:p w14:paraId="2E2D731A">
            <w:pPr>
              <w:rPr>
                <w:color w:val="auto"/>
                <w:highlight w:val="none"/>
              </w:rPr>
            </w:pPr>
          </w:p>
        </w:tc>
        <w:tc>
          <w:tcPr>
            <w:tcW w:w="2090" w:type="dxa"/>
            <w:noWrap w:val="0"/>
            <w:vAlign w:val="top"/>
          </w:tcPr>
          <w:p w14:paraId="65593642">
            <w:pPr>
              <w:rPr>
                <w:color w:val="auto"/>
                <w:highlight w:val="none"/>
              </w:rPr>
            </w:pPr>
          </w:p>
        </w:tc>
        <w:tc>
          <w:tcPr>
            <w:tcW w:w="2091" w:type="dxa"/>
            <w:noWrap w:val="0"/>
            <w:vAlign w:val="top"/>
          </w:tcPr>
          <w:p w14:paraId="06BDD7E0">
            <w:pPr>
              <w:rPr>
                <w:color w:val="auto"/>
                <w:highlight w:val="none"/>
              </w:rPr>
            </w:pPr>
          </w:p>
        </w:tc>
      </w:tr>
      <w:tr w14:paraId="4F3D4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090" w:type="dxa"/>
            <w:noWrap w:val="0"/>
            <w:vAlign w:val="top"/>
          </w:tcPr>
          <w:p w14:paraId="620F41A6">
            <w:pPr>
              <w:rPr>
                <w:color w:val="auto"/>
                <w:highlight w:val="none"/>
              </w:rPr>
            </w:pPr>
          </w:p>
        </w:tc>
        <w:tc>
          <w:tcPr>
            <w:tcW w:w="2091" w:type="dxa"/>
            <w:noWrap w:val="0"/>
            <w:vAlign w:val="top"/>
          </w:tcPr>
          <w:p w14:paraId="15CC9654">
            <w:pPr>
              <w:rPr>
                <w:color w:val="auto"/>
                <w:highlight w:val="none"/>
              </w:rPr>
            </w:pPr>
          </w:p>
        </w:tc>
        <w:tc>
          <w:tcPr>
            <w:tcW w:w="2090" w:type="dxa"/>
            <w:noWrap w:val="0"/>
            <w:vAlign w:val="top"/>
          </w:tcPr>
          <w:p w14:paraId="498E5879">
            <w:pPr>
              <w:rPr>
                <w:color w:val="auto"/>
                <w:highlight w:val="none"/>
              </w:rPr>
            </w:pPr>
          </w:p>
        </w:tc>
        <w:tc>
          <w:tcPr>
            <w:tcW w:w="2091" w:type="dxa"/>
            <w:noWrap w:val="0"/>
            <w:vAlign w:val="top"/>
          </w:tcPr>
          <w:p w14:paraId="794D7D3B">
            <w:pPr>
              <w:rPr>
                <w:color w:val="auto"/>
                <w:highlight w:val="none"/>
              </w:rPr>
            </w:pPr>
          </w:p>
        </w:tc>
      </w:tr>
      <w:tr w14:paraId="57F36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090" w:type="dxa"/>
            <w:noWrap w:val="0"/>
            <w:vAlign w:val="top"/>
          </w:tcPr>
          <w:p w14:paraId="5CB567E3">
            <w:pPr>
              <w:rPr>
                <w:color w:val="auto"/>
                <w:highlight w:val="none"/>
              </w:rPr>
            </w:pPr>
          </w:p>
        </w:tc>
        <w:tc>
          <w:tcPr>
            <w:tcW w:w="2091" w:type="dxa"/>
            <w:noWrap w:val="0"/>
            <w:vAlign w:val="top"/>
          </w:tcPr>
          <w:p w14:paraId="753EB152">
            <w:pPr>
              <w:rPr>
                <w:color w:val="auto"/>
                <w:highlight w:val="none"/>
              </w:rPr>
            </w:pPr>
          </w:p>
        </w:tc>
        <w:tc>
          <w:tcPr>
            <w:tcW w:w="2090" w:type="dxa"/>
            <w:noWrap w:val="0"/>
            <w:vAlign w:val="top"/>
          </w:tcPr>
          <w:p w14:paraId="1D79B671">
            <w:pPr>
              <w:rPr>
                <w:color w:val="auto"/>
                <w:highlight w:val="none"/>
              </w:rPr>
            </w:pPr>
          </w:p>
        </w:tc>
        <w:tc>
          <w:tcPr>
            <w:tcW w:w="2091" w:type="dxa"/>
            <w:noWrap w:val="0"/>
            <w:vAlign w:val="top"/>
          </w:tcPr>
          <w:p w14:paraId="2712308F">
            <w:pPr>
              <w:rPr>
                <w:color w:val="auto"/>
                <w:highlight w:val="none"/>
              </w:rPr>
            </w:pPr>
          </w:p>
        </w:tc>
      </w:tr>
    </w:tbl>
    <w:p w14:paraId="7E81013D">
      <w:pPr>
        <w:rPr>
          <w:color w:val="auto"/>
          <w:highlight w:val="none"/>
        </w:rPr>
      </w:pPr>
    </w:p>
    <w:p w14:paraId="4FB95F0B">
      <w:pPr>
        <w:rPr>
          <w:rFonts w:hint="eastAsia"/>
          <w:color w:val="auto"/>
          <w:highlight w:val="none"/>
        </w:rPr>
      </w:pPr>
    </w:p>
    <w:p w14:paraId="35C01ABC">
      <w:pPr>
        <w:rPr>
          <w:rFonts w:hint="eastAsia"/>
          <w:color w:val="auto"/>
          <w:highlight w:val="none"/>
        </w:rPr>
      </w:pPr>
    </w:p>
    <w:p w14:paraId="69985AF9">
      <w:pPr>
        <w:rPr>
          <w:color w:val="auto"/>
          <w:highlight w:val="none"/>
        </w:rPr>
      </w:pPr>
      <w:r>
        <w:rPr>
          <w:color w:val="auto"/>
          <w:highlight w:val="none"/>
        </w:rPr>
        <w:t>附表七：拟分包计划表</w:t>
      </w:r>
    </w:p>
    <w:p w14:paraId="22383311">
      <w:pPr>
        <w:jc w:val="left"/>
        <w:rPr>
          <w:color w:val="auto"/>
          <w:szCs w:val="21"/>
          <w:highlight w:val="none"/>
        </w:rPr>
      </w:pPr>
    </w:p>
    <w:p w14:paraId="66CF0E3B">
      <w:pPr>
        <w:rPr>
          <w:color w:val="auto"/>
          <w:szCs w:val="21"/>
          <w:highlight w:val="none"/>
        </w:rPr>
      </w:pPr>
      <w:r>
        <w:rPr>
          <w:color w:val="auto"/>
          <w:szCs w:val="21"/>
          <w:highlight w:val="none"/>
        </w:rPr>
        <w:t>如供应商须知注明不允许分包，则本表无须提供，反之须提供。</w:t>
      </w:r>
    </w:p>
    <w:p w14:paraId="0334E92F">
      <w:pPr>
        <w:pStyle w:val="197"/>
        <w:jc w:val="center"/>
        <w:rPr>
          <w:rFonts w:ascii="Times New Roman" w:hAnsi="Times New Roman"/>
          <w:b/>
          <w:color w:val="auto"/>
          <w:sz w:val="28"/>
          <w:szCs w:val="28"/>
          <w:highlight w:val="none"/>
        </w:rPr>
      </w:pPr>
    </w:p>
    <w:tbl>
      <w:tblPr>
        <w:tblStyle w:val="5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8"/>
        <w:gridCol w:w="1843"/>
        <w:gridCol w:w="751"/>
        <w:gridCol w:w="950"/>
        <w:gridCol w:w="1123"/>
        <w:gridCol w:w="1090"/>
        <w:gridCol w:w="1197"/>
        <w:gridCol w:w="1268"/>
      </w:tblGrid>
      <w:tr w14:paraId="7A5D5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restart"/>
            <w:noWrap w:val="0"/>
            <w:tcMar>
              <w:left w:w="108" w:type="dxa"/>
              <w:right w:w="108" w:type="dxa"/>
            </w:tcMar>
            <w:vAlign w:val="center"/>
          </w:tcPr>
          <w:p w14:paraId="3EE91554">
            <w:pPr>
              <w:jc w:val="center"/>
              <w:rPr>
                <w:color w:val="auto"/>
                <w:szCs w:val="21"/>
                <w:highlight w:val="none"/>
              </w:rPr>
            </w:pPr>
            <w:r>
              <w:rPr>
                <w:color w:val="auto"/>
                <w:szCs w:val="21"/>
                <w:highlight w:val="none"/>
              </w:rPr>
              <w:t>序</w:t>
            </w:r>
          </w:p>
          <w:p w14:paraId="602C0DF7">
            <w:pPr>
              <w:jc w:val="center"/>
              <w:rPr>
                <w:color w:val="auto"/>
                <w:szCs w:val="21"/>
                <w:highlight w:val="none"/>
              </w:rPr>
            </w:pPr>
            <w:r>
              <w:rPr>
                <w:color w:val="auto"/>
                <w:szCs w:val="21"/>
                <w:highlight w:val="none"/>
              </w:rPr>
              <w:t>号</w:t>
            </w:r>
          </w:p>
        </w:tc>
        <w:tc>
          <w:tcPr>
            <w:tcW w:w="1843" w:type="dxa"/>
            <w:vMerge w:val="restart"/>
            <w:noWrap w:val="0"/>
            <w:tcMar>
              <w:left w:w="108" w:type="dxa"/>
              <w:right w:w="108" w:type="dxa"/>
            </w:tcMar>
            <w:vAlign w:val="center"/>
          </w:tcPr>
          <w:p w14:paraId="75F4B8F9">
            <w:pPr>
              <w:jc w:val="center"/>
              <w:rPr>
                <w:color w:val="auto"/>
                <w:szCs w:val="21"/>
                <w:highlight w:val="none"/>
              </w:rPr>
            </w:pPr>
            <w:r>
              <w:rPr>
                <w:color w:val="auto"/>
                <w:szCs w:val="21"/>
                <w:highlight w:val="none"/>
              </w:rPr>
              <w:t>拟分包项目名称、范围及理由</w:t>
            </w:r>
          </w:p>
        </w:tc>
        <w:tc>
          <w:tcPr>
            <w:tcW w:w="5111" w:type="dxa"/>
            <w:gridSpan w:val="5"/>
            <w:noWrap w:val="0"/>
            <w:tcMar>
              <w:left w:w="108" w:type="dxa"/>
              <w:right w:w="108" w:type="dxa"/>
            </w:tcMar>
            <w:vAlign w:val="center"/>
          </w:tcPr>
          <w:p w14:paraId="074BEE52">
            <w:pPr>
              <w:jc w:val="center"/>
              <w:rPr>
                <w:color w:val="auto"/>
                <w:szCs w:val="21"/>
                <w:highlight w:val="none"/>
              </w:rPr>
            </w:pPr>
            <w:r>
              <w:rPr>
                <w:color w:val="auto"/>
                <w:szCs w:val="21"/>
                <w:highlight w:val="none"/>
              </w:rPr>
              <w:t>拟选分包人</w:t>
            </w:r>
          </w:p>
        </w:tc>
        <w:tc>
          <w:tcPr>
            <w:tcW w:w="1268" w:type="dxa"/>
            <w:vMerge w:val="restart"/>
            <w:noWrap w:val="0"/>
            <w:tcMar>
              <w:left w:w="108" w:type="dxa"/>
              <w:right w:w="108" w:type="dxa"/>
            </w:tcMar>
            <w:vAlign w:val="center"/>
          </w:tcPr>
          <w:p w14:paraId="5AEC2E44">
            <w:pPr>
              <w:jc w:val="center"/>
              <w:rPr>
                <w:color w:val="auto"/>
                <w:szCs w:val="21"/>
                <w:highlight w:val="none"/>
              </w:rPr>
            </w:pPr>
            <w:r>
              <w:rPr>
                <w:color w:val="auto"/>
                <w:szCs w:val="21"/>
                <w:highlight w:val="none"/>
              </w:rPr>
              <w:t>备注</w:t>
            </w:r>
          </w:p>
        </w:tc>
      </w:tr>
      <w:tr w14:paraId="39AE2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continue"/>
            <w:noWrap w:val="0"/>
            <w:tcMar>
              <w:left w:w="108" w:type="dxa"/>
              <w:right w:w="108" w:type="dxa"/>
            </w:tcMar>
            <w:vAlign w:val="center"/>
          </w:tcPr>
          <w:p w14:paraId="4C71FC3B">
            <w:pPr>
              <w:jc w:val="center"/>
              <w:rPr>
                <w:color w:val="auto"/>
                <w:szCs w:val="21"/>
                <w:highlight w:val="none"/>
              </w:rPr>
            </w:pPr>
          </w:p>
        </w:tc>
        <w:tc>
          <w:tcPr>
            <w:tcW w:w="1843" w:type="dxa"/>
            <w:vMerge w:val="continue"/>
            <w:noWrap w:val="0"/>
            <w:tcMar>
              <w:left w:w="108" w:type="dxa"/>
              <w:right w:w="108" w:type="dxa"/>
            </w:tcMar>
            <w:vAlign w:val="center"/>
          </w:tcPr>
          <w:p w14:paraId="2D94871B">
            <w:pPr>
              <w:jc w:val="center"/>
              <w:rPr>
                <w:color w:val="auto"/>
                <w:szCs w:val="21"/>
                <w:highlight w:val="none"/>
              </w:rPr>
            </w:pPr>
          </w:p>
        </w:tc>
        <w:tc>
          <w:tcPr>
            <w:tcW w:w="1701" w:type="dxa"/>
            <w:gridSpan w:val="2"/>
            <w:noWrap w:val="0"/>
            <w:tcMar>
              <w:left w:w="108" w:type="dxa"/>
              <w:right w:w="108" w:type="dxa"/>
            </w:tcMar>
            <w:vAlign w:val="center"/>
          </w:tcPr>
          <w:p w14:paraId="1FDB7467">
            <w:pPr>
              <w:jc w:val="center"/>
              <w:rPr>
                <w:color w:val="auto"/>
                <w:szCs w:val="21"/>
                <w:highlight w:val="none"/>
              </w:rPr>
            </w:pPr>
            <w:r>
              <w:rPr>
                <w:color w:val="auto"/>
                <w:szCs w:val="21"/>
                <w:highlight w:val="none"/>
              </w:rPr>
              <w:t>拟选分包人名称</w:t>
            </w:r>
          </w:p>
        </w:tc>
        <w:tc>
          <w:tcPr>
            <w:tcW w:w="1123" w:type="dxa"/>
            <w:noWrap w:val="0"/>
            <w:tcMar>
              <w:left w:w="108" w:type="dxa"/>
              <w:right w:w="108" w:type="dxa"/>
            </w:tcMar>
            <w:vAlign w:val="center"/>
          </w:tcPr>
          <w:p w14:paraId="7BEFF971">
            <w:pPr>
              <w:jc w:val="center"/>
              <w:rPr>
                <w:color w:val="auto"/>
                <w:szCs w:val="21"/>
                <w:highlight w:val="none"/>
              </w:rPr>
            </w:pPr>
            <w:r>
              <w:rPr>
                <w:color w:val="auto"/>
                <w:szCs w:val="21"/>
                <w:highlight w:val="none"/>
              </w:rPr>
              <w:t>注册地点</w:t>
            </w:r>
          </w:p>
        </w:tc>
        <w:tc>
          <w:tcPr>
            <w:tcW w:w="1090" w:type="dxa"/>
            <w:noWrap w:val="0"/>
            <w:tcMar>
              <w:left w:w="108" w:type="dxa"/>
              <w:right w:w="108" w:type="dxa"/>
            </w:tcMar>
            <w:vAlign w:val="center"/>
          </w:tcPr>
          <w:p w14:paraId="5A91BFC0">
            <w:pPr>
              <w:jc w:val="center"/>
              <w:rPr>
                <w:color w:val="auto"/>
                <w:szCs w:val="21"/>
                <w:highlight w:val="none"/>
              </w:rPr>
            </w:pPr>
            <w:r>
              <w:rPr>
                <w:color w:val="auto"/>
                <w:szCs w:val="21"/>
                <w:highlight w:val="none"/>
              </w:rPr>
              <w:t>企业资质</w:t>
            </w:r>
          </w:p>
        </w:tc>
        <w:tc>
          <w:tcPr>
            <w:tcW w:w="1197" w:type="dxa"/>
            <w:noWrap w:val="0"/>
            <w:tcMar>
              <w:left w:w="108" w:type="dxa"/>
              <w:right w:w="108" w:type="dxa"/>
            </w:tcMar>
            <w:vAlign w:val="center"/>
          </w:tcPr>
          <w:p w14:paraId="1989557F">
            <w:pPr>
              <w:jc w:val="center"/>
              <w:rPr>
                <w:color w:val="auto"/>
                <w:szCs w:val="21"/>
                <w:highlight w:val="none"/>
              </w:rPr>
            </w:pPr>
            <w:r>
              <w:rPr>
                <w:color w:val="auto"/>
                <w:szCs w:val="21"/>
                <w:highlight w:val="none"/>
              </w:rPr>
              <w:t>有关业绩</w:t>
            </w:r>
          </w:p>
        </w:tc>
        <w:tc>
          <w:tcPr>
            <w:tcW w:w="1268" w:type="dxa"/>
            <w:vMerge w:val="continue"/>
            <w:noWrap w:val="0"/>
            <w:tcMar>
              <w:left w:w="108" w:type="dxa"/>
              <w:right w:w="108" w:type="dxa"/>
            </w:tcMar>
            <w:vAlign w:val="center"/>
          </w:tcPr>
          <w:p w14:paraId="71896523">
            <w:pPr>
              <w:jc w:val="center"/>
              <w:rPr>
                <w:color w:val="auto"/>
                <w:szCs w:val="21"/>
                <w:highlight w:val="none"/>
              </w:rPr>
            </w:pPr>
          </w:p>
        </w:tc>
      </w:tr>
      <w:tr w14:paraId="6E956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restart"/>
            <w:noWrap w:val="0"/>
            <w:tcMar>
              <w:left w:w="108" w:type="dxa"/>
              <w:right w:w="108" w:type="dxa"/>
            </w:tcMar>
            <w:vAlign w:val="center"/>
          </w:tcPr>
          <w:p w14:paraId="714FA4DB">
            <w:pPr>
              <w:jc w:val="center"/>
              <w:rPr>
                <w:color w:val="auto"/>
                <w:szCs w:val="21"/>
                <w:highlight w:val="none"/>
              </w:rPr>
            </w:pPr>
          </w:p>
        </w:tc>
        <w:tc>
          <w:tcPr>
            <w:tcW w:w="1843" w:type="dxa"/>
            <w:vMerge w:val="restart"/>
            <w:noWrap w:val="0"/>
            <w:tcMar>
              <w:left w:w="108" w:type="dxa"/>
              <w:right w:w="108" w:type="dxa"/>
            </w:tcMar>
            <w:vAlign w:val="center"/>
          </w:tcPr>
          <w:p w14:paraId="5AA26C11">
            <w:pPr>
              <w:jc w:val="center"/>
              <w:rPr>
                <w:color w:val="auto"/>
                <w:szCs w:val="21"/>
                <w:highlight w:val="none"/>
              </w:rPr>
            </w:pPr>
          </w:p>
        </w:tc>
        <w:tc>
          <w:tcPr>
            <w:tcW w:w="751" w:type="dxa"/>
            <w:noWrap w:val="0"/>
            <w:tcMar>
              <w:left w:w="108" w:type="dxa"/>
              <w:right w:w="108" w:type="dxa"/>
            </w:tcMar>
            <w:vAlign w:val="center"/>
          </w:tcPr>
          <w:p w14:paraId="6D71F9DF">
            <w:pPr>
              <w:jc w:val="center"/>
              <w:rPr>
                <w:color w:val="auto"/>
                <w:szCs w:val="21"/>
                <w:highlight w:val="none"/>
              </w:rPr>
            </w:pPr>
            <w:r>
              <w:rPr>
                <w:color w:val="auto"/>
                <w:szCs w:val="21"/>
                <w:highlight w:val="none"/>
              </w:rPr>
              <w:t>1</w:t>
            </w:r>
          </w:p>
        </w:tc>
        <w:tc>
          <w:tcPr>
            <w:tcW w:w="950" w:type="dxa"/>
            <w:noWrap w:val="0"/>
            <w:tcMar>
              <w:left w:w="108" w:type="dxa"/>
              <w:right w:w="108" w:type="dxa"/>
            </w:tcMar>
            <w:vAlign w:val="center"/>
          </w:tcPr>
          <w:p w14:paraId="0BEE7665">
            <w:pPr>
              <w:jc w:val="center"/>
              <w:rPr>
                <w:color w:val="auto"/>
                <w:szCs w:val="21"/>
                <w:highlight w:val="none"/>
              </w:rPr>
            </w:pPr>
          </w:p>
        </w:tc>
        <w:tc>
          <w:tcPr>
            <w:tcW w:w="1123" w:type="dxa"/>
            <w:noWrap w:val="0"/>
            <w:tcMar>
              <w:left w:w="108" w:type="dxa"/>
              <w:right w:w="108" w:type="dxa"/>
            </w:tcMar>
            <w:vAlign w:val="center"/>
          </w:tcPr>
          <w:p w14:paraId="7922BB48">
            <w:pPr>
              <w:jc w:val="center"/>
              <w:rPr>
                <w:color w:val="auto"/>
                <w:szCs w:val="21"/>
                <w:highlight w:val="none"/>
              </w:rPr>
            </w:pPr>
          </w:p>
        </w:tc>
        <w:tc>
          <w:tcPr>
            <w:tcW w:w="1090" w:type="dxa"/>
            <w:noWrap w:val="0"/>
            <w:tcMar>
              <w:left w:w="108" w:type="dxa"/>
              <w:right w:w="108" w:type="dxa"/>
            </w:tcMar>
            <w:vAlign w:val="center"/>
          </w:tcPr>
          <w:p w14:paraId="72620D64">
            <w:pPr>
              <w:jc w:val="center"/>
              <w:rPr>
                <w:color w:val="auto"/>
                <w:szCs w:val="21"/>
                <w:highlight w:val="none"/>
              </w:rPr>
            </w:pPr>
          </w:p>
        </w:tc>
        <w:tc>
          <w:tcPr>
            <w:tcW w:w="1197" w:type="dxa"/>
            <w:noWrap w:val="0"/>
            <w:tcMar>
              <w:left w:w="108" w:type="dxa"/>
              <w:right w:w="108" w:type="dxa"/>
            </w:tcMar>
            <w:vAlign w:val="center"/>
          </w:tcPr>
          <w:p w14:paraId="4F68E8DA">
            <w:pPr>
              <w:jc w:val="center"/>
              <w:rPr>
                <w:color w:val="auto"/>
                <w:szCs w:val="21"/>
                <w:highlight w:val="none"/>
              </w:rPr>
            </w:pPr>
          </w:p>
        </w:tc>
        <w:tc>
          <w:tcPr>
            <w:tcW w:w="1268" w:type="dxa"/>
            <w:noWrap w:val="0"/>
            <w:tcMar>
              <w:left w:w="108" w:type="dxa"/>
              <w:right w:w="108" w:type="dxa"/>
            </w:tcMar>
            <w:vAlign w:val="center"/>
          </w:tcPr>
          <w:p w14:paraId="7A467EE9">
            <w:pPr>
              <w:jc w:val="center"/>
              <w:rPr>
                <w:color w:val="auto"/>
                <w:szCs w:val="21"/>
                <w:highlight w:val="none"/>
              </w:rPr>
            </w:pPr>
          </w:p>
        </w:tc>
      </w:tr>
      <w:tr w14:paraId="1F2D2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continue"/>
            <w:noWrap w:val="0"/>
            <w:tcMar>
              <w:left w:w="108" w:type="dxa"/>
              <w:right w:w="108" w:type="dxa"/>
            </w:tcMar>
            <w:vAlign w:val="center"/>
          </w:tcPr>
          <w:p w14:paraId="27F70CBC">
            <w:pPr>
              <w:jc w:val="center"/>
              <w:rPr>
                <w:color w:val="auto"/>
                <w:szCs w:val="21"/>
                <w:highlight w:val="none"/>
              </w:rPr>
            </w:pPr>
          </w:p>
        </w:tc>
        <w:tc>
          <w:tcPr>
            <w:tcW w:w="1843" w:type="dxa"/>
            <w:vMerge w:val="continue"/>
            <w:noWrap w:val="0"/>
            <w:tcMar>
              <w:left w:w="108" w:type="dxa"/>
              <w:right w:w="108" w:type="dxa"/>
            </w:tcMar>
            <w:vAlign w:val="center"/>
          </w:tcPr>
          <w:p w14:paraId="7061277E">
            <w:pPr>
              <w:jc w:val="center"/>
              <w:rPr>
                <w:color w:val="auto"/>
                <w:szCs w:val="21"/>
                <w:highlight w:val="none"/>
              </w:rPr>
            </w:pPr>
          </w:p>
        </w:tc>
        <w:tc>
          <w:tcPr>
            <w:tcW w:w="751" w:type="dxa"/>
            <w:noWrap w:val="0"/>
            <w:tcMar>
              <w:left w:w="108" w:type="dxa"/>
              <w:right w:w="108" w:type="dxa"/>
            </w:tcMar>
            <w:vAlign w:val="center"/>
          </w:tcPr>
          <w:p w14:paraId="292DBA85">
            <w:pPr>
              <w:jc w:val="center"/>
              <w:rPr>
                <w:color w:val="auto"/>
                <w:szCs w:val="21"/>
                <w:highlight w:val="none"/>
              </w:rPr>
            </w:pPr>
            <w:r>
              <w:rPr>
                <w:color w:val="auto"/>
                <w:szCs w:val="21"/>
                <w:highlight w:val="none"/>
              </w:rPr>
              <w:t>2</w:t>
            </w:r>
          </w:p>
        </w:tc>
        <w:tc>
          <w:tcPr>
            <w:tcW w:w="950" w:type="dxa"/>
            <w:noWrap w:val="0"/>
            <w:tcMar>
              <w:left w:w="108" w:type="dxa"/>
              <w:right w:w="108" w:type="dxa"/>
            </w:tcMar>
            <w:vAlign w:val="center"/>
          </w:tcPr>
          <w:p w14:paraId="16587E2F">
            <w:pPr>
              <w:jc w:val="center"/>
              <w:rPr>
                <w:color w:val="auto"/>
                <w:szCs w:val="21"/>
                <w:highlight w:val="none"/>
              </w:rPr>
            </w:pPr>
          </w:p>
        </w:tc>
        <w:tc>
          <w:tcPr>
            <w:tcW w:w="1123" w:type="dxa"/>
            <w:noWrap w:val="0"/>
            <w:tcMar>
              <w:left w:w="108" w:type="dxa"/>
              <w:right w:w="108" w:type="dxa"/>
            </w:tcMar>
            <w:vAlign w:val="center"/>
          </w:tcPr>
          <w:p w14:paraId="7080CDE3">
            <w:pPr>
              <w:jc w:val="center"/>
              <w:rPr>
                <w:color w:val="auto"/>
                <w:szCs w:val="21"/>
                <w:highlight w:val="none"/>
              </w:rPr>
            </w:pPr>
          </w:p>
        </w:tc>
        <w:tc>
          <w:tcPr>
            <w:tcW w:w="1090" w:type="dxa"/>
            <w:noWrap w:val="0"/>
            <w:tcMar>
              <w:left w:w="108" w:type="dxa"/>
              <w:right w:w="108" w:type="dxa"/>
            </w:tcMar>
            <w:vAlign w:val="center"/>
          </w:tcPr>
          <w:p w14:paraId="27FCA046">
            <w:pPr>
              <w:jc w:val="center"/>
              <w:rPr>
                <w:color w:val="auto"/>
                <w:szCs w:val="21"/>
                <w:highlight w:val="none"/>
              </w:rPr>
            </w:pPr>
          </w:p>
        </w:tc>
        <w:tc>
          <w:tcPr>
            <w:tcW w:w="1197" w:type="dxa"/>
            <w:noWrap w:val="0"/>
            <w:tcMar>
              <w:left w:w="108" w:type="dxa"/>
              <w:right w:w="108" w:type="dxa"/>
            </w:tcMar>
            <w:vAlign w:val="center"/>
          </w:tcPr>
          <w:p w14:paraId="1F2F0577">
            <w:pPr>
              <w:jc w:val="center"/>
              <w:rPr>
                <w:color w:val="auto"/>
                <w:szCs w:val="21"/>
                <w:highlight w:val="none"/>
              </w:rPr>
            </w:pPr>
          </w:p>
        </w:tc>
        <w:tc>
          <w:tcPr>
            <w:tcW w:w="1268" w:type="dxa"/>
            <w:noWrap w:val="0"/>
            <w:tcMar>
              <w:left w:w="108" w:type="dxa"/>
              <w:right w:w="108" w:type="dxa"/>
            </w:tcMar>
            <w:vAlign w:val="center"/>
          </w:tcPr>
          <w:p w14:paraId="2B961A38">
            <w:pPr>
              <w:jc w:val="center"/>
              <w:rPr>
                <w:color w:val="auto"/>
                <w:szCs w:val="21"/>
                <w:highlight w:val="none"/>
              </w:rPr>
            </w:pPr>
          </w:p>
        </w:tc>
      </w:tr>
      <w:tr w14:paraId="19B93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continue"/>
            <w:noWrap w:val="0"/>
            <w:tcMar>
              <w:left w:w="108" w:type="dxa"/>
              <w:right w:w="108" w:type="dxa"/>
            </w:tcMar>
            <w:vAlign w:val="center"/>
          </w:tcPr>
          <w:p w14:paraId="2D101784">
            <w:pPr>
              <w:jc w:val="center"/>
              <w:rPr>
                <w:color w:val="auto"/>
                <w:szCs w:val="21"/>
                <w:highlight w:val="none"/>
              </w:rPr>
            </w:pPr>
          </w:p>
        </w:tc>
        <w:tc>
          <w:tcPr>
            <w:tcW w:w="1843" w:type="dxa"/>
            <w:vMerge w:val="continue"/>
            <w:noWrap w:val="0"/>
            <w:tcMar>
              <w:left w:w="108" w:type="dxa"/>
              <w:right w:w="108" w:type="dxa"/>
            </w:tcMar>
            <w:vAlign w:val="center"/>
          </w:tcPr>
          <w:p w14:paraId="4D0A27B9">
            <w:pPr>
              <w:jc w:val="center"/>
              <w:rPr>
                <w:color w:val="auto"/>
                <w:szCs w:val="21"/>
                <w:highlight w:val="none"/>
              </w:rPr>
            </w:pPr>
          </w:p>
        </w:tc>
        <w:tc>
          <w:tcPr>
            <w:tcW w:w="751" w:type="dxa"/>
            <w:noWrap w:val="0"/>
            <w:tcMar>
              <w:left w:w="108" w:type="dxa"/>
              <w:right w:w="108" w:type="dxa"/>
            </w:tcMar>
            <w:vAlign w:val="center"/>
          </w:tcPr>
          <w:p w14:paraId="4726F30F">
            <w:pPr>
              <w:jc w:val="center"/>
              <w:rPr>
                <w:color w:val="auto"/>
                <w:szCs w:val="21"/>
                <w:highlight w:val="none"/>
              </w:rPr>
            </w:pPr>
            <w:r>
              <w:rPr>
                <w:color w:val="auto"/>
                <w:szCs w:val="21"/>
                <w:highlight w:val="none"/>
              </w:rPr>
              <w:t>3</w:t>
            </w:r>
          </w:p>
        </w:tc>
        <w:tc>
          <w:tcPr>
            <w:tcW w:w="950" w:type="dxa"/>
            <w:noWrap w:val="0"/>
            <w:tcMar>
              <w:left w:w="108" w:type="dxa"/>
              <w:right w:w="108" w:type="dxa"/>
            </w:tcMar>
            <w:vAlign w:val="center"/>
          </w:tcPr>
          <w:p w14:paraId="1F78A048">
            <w:pPr>
              <w:jc w:val="center"/>
              <w:rPr>
                <w:color w:val="auto"/>
                <w:szCs w:val="21"/>
                <w:highlight w:val="none"/>
              </w:rPr>
            </w:pPr>
          </w:p>
        </w:tc>
        <w:tc>
          <w:tcPr>
            <w:tcW w:w="1123" w:type="dxa"/>
            <w:noWrap w:val="0"/>
            <w:tcMar>
              <w:left w:w="108" w:type="dxa"/>
              <w:right w:w="108" w:type="dxa"/>
            </w:tcMar>
            <w:vAlign w:val="center"/>
          </w:tcPr>
          <w:p w14:paraId="31B94430">
            <w:pPr>
              <w:jc w:val="center"/>
              <w:rPr>
                <w:color w:val="auto"/>
                <w:szCs w:val="21"/>
                <w:highlight w:val="none"/>
              </w:rPr>
            </w:pPr>
          </w:p>
        </w:tc>
        <w:tc>
          <w:tcPr>
            <w:tcW w:w="1090" w:type="dxa"/>
            <w:noWrap w:val="0"/>
            <w:tcMar>
              <w:left w:w="108" w:type="dxa"/>
              <w:right w:w="108" w:type="dxa"/>
            </w:tcMar>
            <w:vAlign w:val="center"/>
          </w:tcPr>
          <w:p w14:paraId="58762212">
            <w:pPr>
              <w:jc w:val="center"/>
              <w:rPr>
                <w:color w:val="auto"/>
                <w:szCs w:val="21"/>
                <w:highlight w:val="none"/>
              </w:rPr>
            </w:pPr>
          </w:p>
        </w:tc>
        <w:tc>
          <w:tcPr>
            <w:tcW w:w="1197" w:type="dxa"/>
            <w:noWrap w:val="0"/>
            <w:tcMar>
              <w:left w:w="108" w:type="dxa"/>
              <w:right w:w="108" w:type="dxa"/>
            </w:tcMar>
            <w:vAlign w:val="center"/>
          </w:tcPr>
          <w:p w14:paraId="1343FA3F">
            <w:pPr>
              <w:jc w:val="center"/>
              <w:rPr>
                <w:color w:val="auto"/>
                <w:szCs w:val="21"/>
                <w:highlight w:val="none"/>
              </w:rPr>
            </w:pPr>
          </w:p>
        </w:tc>
        <w:tc>
          <w:tcPr>
            <w:tcW w:w="1268" w:type="dxa"/>
            <w:noWrap w:val="0"/>
            <w:tcMar>
              <w:left w:w="108" w:type="dxa"/>
              <w:right w:w="108" w:type="dxa"/>
            </w:tcMar>
            <w:vAlign w:val="center"/>
          </w:tcPr>
          <w:p w14:paraId="3515414F">
            <w:pPr>
              <w:jc w:val="center"/>
              <w:rPr>
                <w:color w:val="auto"/>
                <w:szCs w:val="21"/>
                <w:highlight w:val="none"/>
              </w:rPr>
            </w:pPr>
          </w:p>
        </w:tc>
      </w:tr>
      <w:tr w14:paraId="794DE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restart"/>
            <w:noWrap w:val="0"/>
            <w:tcMar>
              <w:left w:w="108" w:type="dxa"/>
              <w:right w:w="108" w:type="dxa"/>
            </w:tcMar>
            <w:vAlign w:val="center"/>
          </w:tcPr>
          <w:p w14:paraId="7A1C3123">
            <w:pPr>
              <w:jc w:val="center"/>
              <w:rPr>
                <w:color w:val="auto"/>
                <w:szCs w:val="21"/>
                <w:highlight w:val="none"/>
              </w:rPr>
            </w:pPr>
          </w:p>
        </w:tc>
        <w:tc>
          <w:tcPr>
            <w:tcW w:w="1843" w:type="dxa"/>
            <w:vMerge w:val="restart"/>
            <w:noWrap w:val="0"/>
            <w:tcMar>
              <w:left w:w="108" w:type="dxa"/>
              <w:right w:w="108" w:type="dxa"/>
            </w:tcMar>
            <w:vAlign w:val="center"/>
          </w:tcPr>
          <w:p w14:paraId="397FD8E5">
            <w:pPr>
              <w:jc w:val="center"/>
              <w:rPr>
                <w:color w:val="auto"/>
                <w:szCs w:val="21"/>
                <w:highlight w:val="none"/>
              </w:rPr>
            </w:pPr>
          </w:p>
        </w:tc>
        <w:tc>
          <w:tcPr>
            <w:tcW w:w="751" w:type="dxa"/>
            <w:noWrap w:val="0"/>
            <w:tcMar>
              <w:left w:w="108" w:type="dxa"/>
              <w:right w:w="108" w:type="dxa"/>
            </w:tcMar>
            <w:vAlign w:val="center"/>
          </w:tcPr>
          <w:p w14:paraId="18F86005">
            <w:pPr>
              <w:jc w:val="center"/>
              <w:rPr>
                <w:color w:val="auto"/>
                <w:szCs w:val="21"/>
                <w:highlight w:val="none"/>
              </w:rPr>
            </w:pPr>
            <w:r>
              <w:rPr>
                <w:color w:val="auto"/>
                <w:szCs w:val="21"/>
                <w:highlight w:val="none"/>
              </w:rPr>
              <w:t>1</w:t>
            </w:r>
          </w:p>
        </w:tc>
        <w:tc>
          <w:tcPr>
            <w:tcW w:w="950" w:type="dxa"/>
            <w:noWrap w:val="0"/>
            <w:tcMar>
              <w:left w:w="108" w:type="dxa"/>
              <w:right w:w="108" w:type="dxa"/>
            </w:tcMar>
            <w:vAlign w:val="center"/>
          </w:tcPr>
          <w:p w14:paraId="7030B600">
            <w:pPr>
              <w:jc w:val="center"/>
              <w:rPr>
                <w:color w:val="auto"/>
                <w:szCs w:val="21"/>
                <w:highlight w:val="none"/>
              </w:rPr>
            </w:pPr>
          </w:p>
        </w:tc>
        <w:tc>
          <w:tcPr>
            <w:tcW w:w="1123" w:type="dxa"/>
            <w:noWrap w:val="0"/>
            <w:tcMar>
              <w:left w:w="108" w:type="dxa"/>
              <w:right w:w="108" w:type="dxa"/>
            </w:tcMar>
            <w:vAlign w:val="center"/>
          </w:tcPr>
          <w:p w14:paraId="3ABB46B8">
            <w:pPr>
              <w:jc w:val="center"/>
              <w:rPr>
                <w:color w:val="auto"/>
                <w:szCs w:val="21"/>
                <w:highlight w:val="none"/>
              </w:rPr>
            </w:pPr>
          </w:p>
        </w:tc>
        <w:tc>
          <w:tcPr>
            <w:tcW w:w="1090" w:type="dxa"/>
            <w:noWrap w:val="0"/>
            <w:tcMar>
              <w:left w:w="108" w:type="dxa"/>
              <w:right w:w="108" w:type="dxa"/>
            </w:tcMar>
            <w:vAlign w:val="center"/>
          </w:tcPr>
          <w:p w14:paraId="6111DDFC">
            <w:pPr>
              <w:jc w:val="center"/>
              <w:rPr>
                <w:color w:val="auto"/>
                <w:szCs w:val="21"/>
                <w:highlight w:val="none"/>
              </w:rPr>
            </w:pPr>
          </w:p>
        </w:tc>
        <w:tc>
          <w:tcPr>
            <w:tcW w:w="1197" w:type="dxa"/>
            <w:noWrap w:val="0"/>
            <w:tcMar>
              <w:left w:w="108" w:type="dxa"/>
              <w:right w:w="108" w:type="dxa"/>
            </w:tcMar>
            <w:vAlign w:val="center"/>
          </w:tcPr>
          <w:p w14:paraId="774CAFD5">
            <w:pPr>
              <w:jc w:val="center"/>
              <w:rPr>
                <w:color w:val="auto"/>
                <w:szCs w:val="21"/>
                <w:highlight w:val="none"/>
              </w:rPr>
            </w:pPr>
          </w:p>
        </w:tc>
        <w:tc>
          <w:tcPr>
            <w:tcW w:w="1268" w:type="dxa"/>
            <w:noWrap w:val="0"/>
            <w:tcMar>
              <w:left w:w="108" w:type="dxa"/>
              <w:right w:w="108" w:type="dxa"/>
            </w:tcMar>
            <w:vAlign w:val="center"/>
          </w:tcPr>
          <w:p w14:paraId="63165B9C">
            <w:pPr>
              <w:jc w:val="center"/>
              <w:rPr>
                <w:color w:val="auto"/>
                <w:szCs w:val="21"/>
                <w:highlight w:val="none"/>
              </w:rPr>
            </w:pPr>
          </w:p>
        </w:tc>
      </w:tr>
      <w:tr w14:paraId="60074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continue"/>
            <w:noWrap w:val="0"/>
            <w:tcMar>
              <w:left w:w="108" w:type="dxa"/>
              <w:right w:w="108" w:type="dxa"/>
            </w:tcMar>
            <w:vAlign w:val="center"/>
          </w:tcPr>
          <w:p w14:paraId="7E11CC18">
            <w:pPr>
              <w:jc w:val="center"/>
              <w:rPr>
                <w:color w:val="auto"/>
                <w:szCs w:val="21"/>
                <w:highlight w:val="none"/>
              </w:rPr>
            </w:pPr>
          </w:p>
        </w:tc>
        <w:tc>
          <w:tcPr>
            <w:tcW w:w="1843" w:type="dxa"/>
            <w:vMerge w:val="continue"/>
            <w:noWrap w:val="0"/>
            <w:tcMar>
              <w:left w:w="108" w:type="dxa"/>
              <w:right w:w="108" w:type="dxa"/>
            </w:tcMar>
            <w:vAlign w:val="center"/>
          </w:tcPr>
          <w:p w14:paraId="47847302">
            <w:pPr>
              <w:jc w:val="center"/>
              <w:rPr>
                <w:color w:val="auto"/>
                <w:szCs w:val="21"/>
                <w:highlight w:val="none"/>
              </w:rPr>
            </w:pPr>
          </w:p>
        </w:tc>
        <w:tc>
          <w:tcPr>
            <w:tcW w:w="751" w:type="dxa"/>
            <w:noWrap w:val="0"/>
            <w:tcMar>
              <w:left w:w="108" w:type="dxa"/>
              <w:right w:w="108" w:type="dxa"/>
            </w:tcMar>
            <w:vAlign w:val="center"/>
          </w:tcPr>
          <w:p w14:paraId="469F709A">
            <w:pPr>
              <w:jc w:val="center"/>
              <w:rPr>
                <w:color w:val="auto"/>
                <w:szCs w:val="21"/>
                <w:highlight w:val="none"/>
              </w:rPr>
            </w:pPr>
            <w:r>
              <w:rPr>
                <w:color w:val="auto"/>
                <w:szCs w:val="21"/>
                <w:highlight w:val="none"/>
              </w:rPr>
              <w:t>2</w:t>
            </w:r>
          </w:p>
        </w:tc>
        <w:tc>
          <w:tcPr>
            <w:tcW w:w="950" w:type="dxa"/>
            <w:noWrap w:val="0"/>
            <w:tcMar>
              <w:left w:w="108" w:type="dxa"/>
              <w:right w:w="108" w:type="dxa"/>
            </w:tcMar>
            <w:vAlign w:val="center"/>
          </w:tcPr>
          <w:p w14:paraId="77EC545C">
            <w:pPr>
              <w:jc w:val="center"/>
              <w:rPr>
                <w:color w:val="auto"/>
                <w:szCs w:val="21"/>
                <w:highlight w:val="none"/>
              </w:rPr>
            </w:pPr>
          </w:p>
        </w:tc>
        <w:tc>
          <w:tcPr>
            <w:tcW w:w="1123" w:type="dxa"/>
            <w:noWrap w:val="0"/>
            <w:tcMar>
              <w:left w:w="108" w:type="dxa"/>
              <w:right w:w="108" w:type="dxa"/>
            </w:tcMar>
            <w:vAlign w:val="center"/>
          </w:tcPr>
          <w:p w14:paraId="7308E5AC">
            <w:pPr>
              <w:jc w:val="center"/>
              <w:rPr>
                <w:color w:val="auto"/>
                <w:szCs w:val="21"/>
                <w:highlight w:val="none"/>
              </w:rPr>
            </w:pPr>
          </w:p>
        </w:tc>
        <w:tc>
          <w:tcPr>
            <w:tcW w:w="1090" w:type="dxa"/>
            <w:noWrap w:val="0"/>
            <w:tcMar>
              <w:left w:w="108" w:type="dxa"/>
              <w:right w:w="108" w:type="dxa"/>
            </w:tcMar>
            <w:vAlign w:val="center"/>
          </w:tcPr>
          <w:p w14:paraId="37046040">
            <w:pPr>
              <w:jc w:val="center"/>
              <w:rPr>
                <w:color w:val="auto"/>
                <w:szCs w:val="21"/>
                <w:highlight w:val="none"/>
              </w:rPr>
            </w:pPr>
          </w:p>
        </w:tc>
        <w:tc>
          <w:tcPr>
            <w:tcW w:w="1197" w:type="dxa"/>
            <w:noWrap w:val="0"/>
            <w:tcMar>
              <w:left w:w="108" w:type="dxa"/>
              <w:right w:w="108" w:type="dxa"/>
            </w:tcMar>
            <w:vAlign w:val="center"/>
          </w:tcPr>
          <w:p w14:paraId="17862F49">
            <w:pPr>
              <w:jc w:val="center"/>
              <w:rPr>
                <w:color w:val="auto"/>
                <w:szCs w:val="21"/>
                <w:highlight w:val="none"/>
              </w:rPr>
            </w:pPr>
          </w:p>
        </w:tc>
        <w:tc>
          <w:tcPr>
            <w:tcW w:w="1268" w:type="dxa"/>
            <w:noWrap w:val="0"/>
            <w:tcMar>
              <w:left w:w="108" w:type="dxa"/>
              <w:right w:w="108" w:type="dxa"/>
            </w:tcMar>
            <w:vAlign w:val="center"/>
          </w:tcPr>
          <w:p w14:paraId="5E957199">
            <w:pPr>
              <w:jc w:val="center"/>
              <w:rPr>
                <w:color w:val="auto"/>
                <w:szCs w:val="21"/>
                <w:highlight w:val="none"/>
              </w:rPr>
            </w:pPr>
          </w:p>
        </w:tc>
      </w:tr>
      <w:tr w14:paraId="3FD4B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continue"/>
            <w:noWrap w:val="0"/>
            <w:tcMar>
              <w:left w:w="108" w:type="dxa"/>
              <w:right w:w="108" w:type="dxa"/>
            </w:tcMar>
            <w:vAlign w:val="center"/>
          </w:tcPr>
          <w:p w14:paraId="08665BBE">
            <w:pPr>
              <w:jc w:val="center"/>
              <w:rPr>
                <w:color w:val="auto"/>
                <w:szCs w:val="21"/>
                <w:highlight w:val="none"/>
              </w:rPr>
            </w:pPr>
          </w:p>
        </w:tc>
        <w:tc>
          <w:tcPr>
            <w:tcW w:w="1843" w:type="dxa"/>
            <w:vMerge w:val="continue"/>
            <w:noWrap w:val="0"/>
            <w:tcMar>
              <w:left w:w="108" w:type="dxa"/>
              <w:right w:w="108" w:type="dxa"/>
            </w:tcMar>
            <w:vAlign w:val="center"/>
          </w:tcPr>
          <w:p w14:paraId="250A750E">
            <w:pPr>
              <w:jc w:val="center"/>
              <w:rPr>
                <w:color w:val="auto"/>
                <w:szCs w:val="21"/>
                <w:highlight w:val="none"/>
              </w:rPr>
            </w:pPr>
          </w:p>
        </w:tc>
        <w:tc>
          <w:tcPr>
            <w:tcW w:w="751" w:type="dxa"/>
            <w:noWrap w:val="0"/>
            <w:tcMar>
              <w:left w:w="108" w:type="dxa"/>
              <w:right w:w="108" w:type="dxa"/>
            </w:tcMar>
            <w:vAlign w:val="center"/>
          </w:tcPr>
          <w:p w14:paraId="2B8C3127">
            <w:pPr>
              <w:jc w:val="center"/>
              <w:rPr>
                <w:color w:val="auto"/>
                <w:szCs w:val="21"/>
                <w:highlight w:val="none"/>
              </w:rPr>
            </w:pPr>
            <w:r>
              <w:rPr>
                <w:color w:val="auto"/>
                <w:szCs w:val="21"/>
                <w:highlight w:val="none"/>
              </w:rPr>
              <w:t>3</w:t>
            </w:r>
          </w:p>
        </w:tc>
        <w:tc>
          <w:tcPr>
            <w:tcW w:w="950" w:type="dxa"/>
            <w:noWrap w:val="0"/>
            <w:tcMar>
              <w:left w:w="108" w:type="dxa"/>
              <w:right w:w="108" w:type="dxa"/>
            </w:tcMar>
            <w:vAlign w:val="center"/>
          </w:tcPr>
          <w:p w14:paraId="46DDB97C">
            <w:pPr>
              <w:jc w:val="center"/>
              <w:rPr>
                <w:color w:val="auto"/>
                <w:szCs w:val="21"/>
                <w:highlight w:val="none"/>
              </w:rPr>
            </w:pPr>
          </w:p>
        </w:tc>
        <w:tc>
          <w:tcPr>
            <w:tcW w:w="1123" w:type="dxa"/>
            <w:noWrap w:val="0"/>
            <w:tcMar>
              <w:left w:w="108" w:type="dxa"/>
              <w:right w:w="108" w:type="dxa"/>
            </w:tcMar>
            <w:vAlign w:val="center"/>
          </w:tcPr>
          <w:p w14:paraId="597152ED">
            <w:pPr>
              <w:jc w:val="center"/>
              <w:rPr>
                <w:color w:val="auto"/>
                <w:szCs w:val="21"/>
                <w:highlight w:val="none"/>
              </w:rPr>
            </w:pPr>
          </w:p>
        </w:tc>
        <w:tc>
          <w:tcPr>
            <w:tcW w:w="1090" w:type="dxa"/>
            <w:noWrap w:val="0"/>
            <w:tcMar>
              <w:left w:w="108" w:type="dxa"/>
              <w:right w:w="108" w:type="dxa"/>
            </w:tcMar>
            <w:vAlign w:val="center"/>
          </w:tcPr>
          <w:p w14:paraId="7BCCD89E">
            <w:pPr>
              <w:jc w:val="center"/>
              <w:rPr>
                <w:color w:val="auto"/>
                <w:szCs w:val="21"/>
                <w:highlight w:val="none"/>
              </w:rPr>
            </w:pPr>
          </w:p>
        </w:tc>
        <w:tc>
          <w:tcPr>
            <w:tcW w:w="1197" w:type="dxa"/>
            <w:noWrap w:val="0"/>
            <w:tcMar>
              <w:left w:w="108" w:type="dxa"/>
              <w:right w:w="108" w:type="dxa"/>
            </w:tcMar>
            <w:vAlign w:val="center"/>
          </w:tcPr>
          <w:p w14:paraId="3C804B34">
            <w:pPr>
              <w:jc w:val="center"/>
              <w:rPr>
                <w:color w:val="auto"/>
                <w:szCs w:val="21"/>
                <w:highlight w:val="none"/>
              </w:rPr>
            </w:pPr>
          </w:p>
        </w:tc>
        <w:tc>
          <w:tcPr>
            <w:tcW w:w="1268" w:type="dxa"/>
            <w:noWrap w:val="0"/>
            <w:tcMar>
              <w:left w:w="108" w:type="dxa"/>
              <w:right w:w="108" w:type="dxa"/>
            </w:tcMar>
            <w:vAlign w:val="center"/>
          </w:tcPr>
          <w:p w14:paraId="6DA59369">
            <w:pPr>
              <w:jc w:val="center"/>
              <w:rPr>
                <w:color w:val="auto"/>
                <w:szCs w:val="21"/>
                <w:highlight w:val="none"/>
              </w:rPr>
            </w:pPr>
          </w:p>
        </w:tc>
      </w:tr>
    </w:tbl>
    <w:p w14:paraId="7D86A478">
      <w:pPr>
        <w:spacing w:line="440" w:lineRule="exact"/>
        <w:ind w:right="420" w:firstLine="420" w:firstLineChars="200"/>
        <w:rPr>
          <w:color w:val="auto"/>
          <w:szCs w:val="21"/>
          <w:highlight w:val="none"/>
        </w:rPr>
      </w:pPr>
      <w:r>
        <w:rPr>
          <w:color w:val="auto"/>
          <w:szCs w:val="21"/>
          <w:highlight w:val="none"/>
        </w:rPr>
        <w:t>备注：本表所列分包仅限于承包人自行施工范围内的非主体、非关键工程。</w:t>
      </w:r>
    </w:p>
    <w:p w14:paraId="7CA0A986">
      <w:pPr>
        <w:wordWrap w:val="0"/>
        <w:spacing w:line="440" w:lineRule="exact"/>
        <w:ind w:right="420"/>
        <w:jc w:val="right"/>
        <w:rPr>
          <w:color w:val="auto"/>
          <w:highlight w:val="none"/>
        </w:rPr>
      </w:pPr>
      <w:r>
        <w:rPr>
          <w:color w:val="auto"/>
          <w:highlight w:val="none"/>
        </w:rPr>
        <w:t>日期：       年     月     日</w:t>
      </w:r>
    </w:p>
    <w:p w14:paraId="64FE52FB">
      <w:pPr>
        <w:pStyle w:val="27"/>
        <w:tabs>
          <w:tab w:val="left" w:pos="2127"/>
        </w:tabs>
        <w:spacing w:line="340" w:lineRule="exact"/>
        <w:rPr>
          <w:rFonts w:ascii="Times New Roman" w:hAnsi="Times New Roman" w:cs="Times New Roman"/>
          <w:color w:val="auto"/>
          <w:highlight w:val="none"/>
        </w:rPr>
      </w:pPr>
      <w:r>
        <w:rPr>
          <w:color w:val="auto"/>
          <w:highlight w:val="none"/>
        </w:rPr>
        <w:br w:type="page"/>
      </w:r>
      <w:r>
        <w:rPr>
          <w:rFonts w:hint="eastAsia"/>
          <w:color w:val="auto"/>
          <w:highlight w:val="none"/>
          <w:lang w:val="en-US" w:eastAsia="zh-CN"/>
        </w:rPr>
        <w:t>3</w:t>
      </w:r>
      <w:r>
        <w:rPr>
          <w:color w:val="auto"/>
          <w:highlight w:val="none"/>
        </w:rPr>
        <w:t>.</w:t>
      </w:r>
      <w:r>
        <w:rPr>
          <w:rFonts w:ascii="Times New Roman" w:hAnsi="Times New Roman" w:cs="Times New Roman"/>
          <w:color w:val="auto"/>
          <w:highlight w:val="none"/>
        </w:rPr>
        <w:t>近年已完成类似工程一览表</w:t>
      </w:r>
    </w:p>
    <w:tbl>
      <w:tblPr>
        <w:tblStyle w:val="54"/>
        <w:tblW w:w="93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701"/>
        <w:gridCol w:w="1417"/>
        <w:gridCol w:w="851"/>
        <w:gridCol w:w="992"/>
        <w:gridCol w:w="1134"/>
        <w:gridCol w:w="1276"/>
        <w:gridCol w:w="1134"/>
      </w:tblGrid>
      <w:tr w14:paraId="49B7D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51" w:type="dxa"/>
            <w:noWrap w:val="0"/>
            <w:vAlign w:val="center"/>
          </w:tcPr>
          <w:p w14:paraId="243D9C58">
            <w:pPr>
              <w:jc w:val="center"/>
              <w:rPr>
                <w:color w:val="auto"/>
                <w:highlight w:val="none"/>
              </w:rPr>
            </w:pPr>
            <w:r>
              <w:rPr>
                <w:color w:val="auto"/>
                <w:highlight w:val="none"/>
              </w:rPr>
              <w:t>序号</w:t>
            </w:r>
          </w:p>
        </w:tc>
        <w:tc>
          <w:tcPr>
            <w:tcW w:w="1701" w:type="dxa"/>
            <w:noWrap w:val="0"/>
            <w:vAlign w:val="center"/>
          </w:tcPr>
          <w:p w14:paraId="518E1261">
            <w:pPr>
              <w:jc w:val="center"/>
              <w:rPr>
                <w:color w:val="auto"/>
                <w:highlight w:val="none"/>
              </w:rPr>
            </w:pPr>
            <w:r>
              <w:rPr>
                <w:color w:val="auto"/>
                <w:highlight w:val="none"/>
              </w:rPr>
              <w:t>发包人名称</w:t>
            </w:r>
          </w:p>
        </w:tc>
        <w:tc>
          <w:tcPr>
            <w:tcW w:w="1417" w:type="dxa"/>
            <w:noWrap w:val="0"/>
            <w:vAlign w:val="center"/>
          </w:tcPr>
          <w:p w14:paraId="36831F00">
            <w:pPr>
              <w:jc w:val="center"/>
              <w:rPr>
                <w:color w:val="auto"/>
                <w:highlight w:val="none"/>
              </w:rPr>
            </w:pPr>
            <w:r>
              <w:rPr>
                <w:color w:val="auto"/>
                <w:highlight w:val="none"/>
              </w:rPr>
              <w:t>工程名称</w:t>
            </w:r>
          </w:p>
          <w:p w14:paraId="6B6FAE19">
            <w:pPr>
              <w:jc w:val="center"/>
              <w:rPr>
                <w:color w:val="auto"/>
                <w:highlight w:val="none"/>
              </w:rPr>
            </w:pPr>
            <w:r>
              <w:rPr>
                <w:color w:val="auto"/>
                <w:highlight w:val="none"/>
              </w:rPr>
              <w:t>及建设地点</w:t>
            </w:r>
          </w:p>
        </w:tc>
        <w:tc>
          <w:tcPr>
            <w:tcW w:w="851" w:type="dxa"/>
            <w:noWrap w:val="0"/>
            <w:vAlign w:val="center"/>
          </w:tcPr>
          <w:p w14:paraId="3321E364">
            <w:pPr>
              <w:jc w:val="center"/>
              <w:rPr>
                <w:color w:val="auto"/>
                <w:highlight w:val="none"/>
              </w:rPr>
            </w:pPr>
            <w:r>
              <w:rPr>
                <w:color w:val="auto"/>
                <w:highlight w:val="none"/>
              </w:rPr>
              <w:t>结构</w:t>
            </w:r>
          </w:p>
          <w:p w14:paraId="64AC947E">
            <w:pPr>
              <w:jc w:val="center"/>
              <w:rPr>
                <w:color w:val="auto"/>
                <w:highlight w:val="none"/>
              </w:rPr>
            </w:pPr>
            <w:r>
              <w:rPr>
                <w:color w:val="auto"/>
                <w:highlight w:val="none"/>
              </w:rPr>
              <w:t>类型</w:t>
            </w:r>
          </w:p>
        </w:tc>
        <w:tc>
          <w:tcPr>
            <w:tcW w:w="992" w:type="dxa"/>
            <w:noWrap w:val="0"/>
            <w:vAlign w:val="center"/>
          </w:tcPr>
          <w:p w14:paraId="65723623">
            <w:pPr>
              <w:jc w:val="center"/>
              <w:rPr>
                <w:color w:val="auto"/>
                <w:highlight w:val="none"/>
              </w:rPr>
            </w:pPr>
            <w:r>
              <w:rPr>
                <w:color w:val="auto"/>
                <w:highlight w:val="none"/>
              </w:rPr>
              <w:t>建设</w:t>
            </w:r>
          </w:p>
          <w:p w14:paraId="2FA06691">
            <w:pPr>
              <w:jc w:val="center"/>
              <w:rPr>
                <w:color w:val="auto"/>
                <w:highlight w:val="none"/>
              </w:rPr>
            </w:pPr>
            <w:r>
              <w:rPr>
                <w:color w:val="auto"/>
                <w:highlight w:val="none"/>
              </w:rPr>
              <w:t>规模</w:t>
            </w:r>
          </w:p>
        </w:tc>
        <w:tc>
          <w:tcPr>
            <w:tcW w:w="1134" w:type="dxa"/>
            <w:noWrap w:val="0"/>
            <w:vAlign w:val="center"/>
          </w:tcPr>
          <w:p w14:paraId="3555037E">
            <w:pPr>
              <w:jc w:val="center"/>
              <w:rPr>
                <w:color w:val="auto"/>
                <w:highlight w:val="none"/>
              </w:rPr>
            </w:pPr>
            <w:r>
              <w:rPr>
                <w:color w:val="auto"/>
                <w:highlight w:val="none"/>
              </w:rPr>
              <w:t>合同金额</w:t>
            </w:r>
          </w:p>
          <w:p w14:paraId="78AC5A60">
            <w:pPr>
              <w:jc w:val="center"/>
              <w:rPr>
                <w:color w:val="auto"/>
                <w:highlight w:val="none"/>
              </w:rPr>
            </w:pPr>
            <w:r>
              <w:rPr>
                <w:color w:val="auto"/>
                <w:highlight w:val="none"/>
              </w:rPr>
              <w:t>（万元）</w:t>
            </w:r>
          </w:p>
        </w:tc>
        <w:tc>
          <w:tcPr>
            <w:tcW w:w="1276" w:type="dxa"/>
            <w:noWrap w:val="0"/>
            <w:vAlign w:val="center"/>
          </w:tcPr>
          <w:p w14:paraId="3393DD9B">
            <w:pPr>
              <w:jc w:val="center"/>
              <w:rPr>
                <w:color w:val="auto"/>
                <w:highlight w:val="none"/>
              </w:rPr>
            </w:pPr>
            <w:r>
              <w:rPr>
                <w:color w:val="auto"/>
                <w:highlight w:val="none"/>
              </w:rPr>
              <w:t>竣工达到</w:t>
            </w:r>
          </w:p>
          <w:p w14:paraId="0335B4A1">
            <w:pPr>
              <w:jc w:val="center"/>
              <w:rPr>
                <w:color w:val="auto"/>
                <w:highlight w:val="none"/>
              </w:rPr>
            </w:pPr>
            <w:r>
              <w:rPr>
                <w:color w:val="auto"/>
                <w:highlight w:val="none"/>
              </w:rPr>
              <w:t>质量标准</w:t>
            </w:r>
          </w:p>
        </w:tc>
        <w:tc>
          <w:tcPr>
            <w:tcW w:w="1134" w:type="dxa"/>
            <w:noWrap w:val="0"/>
            <w:vAlign w:val="center"/>
          </w:tcPr>
          <w:p w14:paraId="06803060">
            <w:pPr>
              <w:jc w:val="center"/>
              <w:rPr>
                <w:color w:val="auto"/>
                <w:highlight w:val="none"/>
              </w:rPr>
            </w:pPr>
            <w:r>
              <w:rPr>
                <w:color w:val="auto"/>
                <w:highlight w:val="none"/>
              </w:rPr>
              <w:t>开竣工</w:t>
            </w:r>
          </w:p>
          <w:p w14:paraId="12951800">
            <w:pPr>
              <w:jc w:val="center"/>
              <w:rPr>
                <w:color w:val="auto"/>
                <w:highlight w:val="none"/>
              </w:rPr>
            </w:pPr>
            <w:r>
              <w:rPr>
                <w:color w:val="auto"/>
                <w:highlight w:val="none"/>
              </w:rPr>
              <w:t>日  期</w:t>
            </w:r>
          </w:p>
        </w:tc>
      </w:tr>
      <w:tr w14:paraId="2B34A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51" w:type="dxa"/>
            <w:noWrap w:val="0"/>
            <w:vAlign w:val="center"/>
          </w:tcPr>
          <w:p w14:paraId="053CA82B">
            <w:pPr>
              <w:jc w:val="center"/>
              <w:rPr>
                <w:color w:val="auto"/>
                <w:highlight w:val="none"/>
              </w:rPr>
            </w:pPr>
            <w:r>
              <w:rPr>
                <w:color w:val="auto"/>
                <w:highlight w:val="none"/>
              </w:rPr>
              <w:t>1</w:t>
            </w:r>
          </w:p>
        </w:tc>
        <w:tc>
          <w:tcPr>
            <w:tcW w:w="1701" w:type="dxa"/>
            <w:noWrap w:val="0"/>
            <w:vAlign w:val="center"/>
          </w:tcPr>
          <w:p w14:paraId="66FEB9D3">
            <w:pPr>
              <w:jc w:val="center"/>
              <w:rPr>
                <w:color w:val="auto"/>
                <w:highlight w:val="none"/>
              </w:rPr>
            </w:pPr>
          </w:p>
        </w:tc>
        <w:tc>
          <w:tcPr>
            <w:tcW w:w="1417" w:type="dxa"/>
            <w:noWrap w:val="0"/>
            <w:vAlign w:val="center"/>
          </w:tcPr>
          <w:p w14:paraId="1F8E58AF">
            <w:pPr>
              <w:jc w:val="center"/>
              <w:rPr>
                <w:color w:val="auto"/>
                <w:highlight w:val="none"/>
              </w:rPr>
            </w:pPr>
          </w:p>
        </w:tc>
        <w:tc>
          <w:tcPr>
            <w:tcW w:w="851" w:type="dxa"/>
            <w:noWrap w:val="0"/>
            <w:vAlign w:val="center"/>
          </w:tcPr>
          <w:p w14:paraId="63018002">
            <w:pPr>
              <w:jc w:val="center"/>
              <w:rPr>
                <w:color w:val="auto"/>
                <w:highlight w:val="none"/>
              </w:rPr>
            </w:pPr>
          </w:p>
        </w:tc>
        <w:tc>
          <w:tcPr>
            <w:tcW w:w="992" w:type="dxa"/>
            <w:noWrap w:val="0"/>
            <w:vAlign w:val="center"/>
          </w:tcPr>
          <w:p w14:paraId="0631CEB7">
            <w:pPr>
              <w:jc w:val="center"/>
              <w:rPr>
                <w:color w:val="auto"/>
                <w:highlight w:val="none"/>
              </w:rPr>
            </w:pPr>
          </w:p>
        </w:tc>
        <w:tc>
          <w:tcPr>
            <w:tcW w:w="1134" w:type="dxa"/>
            <w:noWrap w:val="0"/>
            <w:vAlign w:val="center"/>
          </w:tcPr>
          <w:p w14:paraId="48C3EE65">
            <w:pPr>
              <w:jc w:val="center"/>
              <w:rPr>
                <w:color w:val="auto"/>
                <w:highlight w:val="none"/>
              </w:rPr>
            </w:pPr>
          </w:p>
        </w:tc>
        <w:tc>
          <w:tcPr>
            <w:tcW w:w="1276" w:type="dxa"/>
            <w:noWrap w:val="0"/>
            <w:vAlign w:val="center"/>
          </w:tcPr>
          <w:p w14:paraId="0130636B">
            <w:pPr>
              <w:jc w:val="center"/>
              <w:rPr>
                <w:color w:val="auto"/>
                <w:highlight w:val="none"/>
              </w:rPr>
            </w:pPr>
          </w:p>
        </w:tc>
        <w:tc>
          <w:tcPr>
            <w:tcW w:w="1134" w:type="dxa"/>
            <w:noWrap w:val="0"/>
            <w:vAlign w:val="center"/>
          </w:tcPr>
          <w:p w14:paraId="52491607">
            <w:pPr>
              <w:jc w:val="center"/>
              <w:rPr>
                <w:color w:val="auto"/>
                <w:highlight w:val="none"/>
              </w:rPr>
            </w:pPr>
          </w:p>
        </w:tc>
      </w:tr>
      <w:tr w14:paraId="1DE96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51" w:type="dxa"/>
            <w:noWrap w:val="0"/>
            <w:vAlign w:val="center"/>
          </w:tcPr>
          <w:p w14:paraId="4F9E2DA2">
            <w:pPr>
              <w:jc w:val="center"/>
              <w:rPr>
                <w:color w:val="auto"/>
                <w:highlight w:val="none"/>
              </w:rPr>
            </w:pPr>
            <w:r>
              <w:rPr>
                <w:color w:val="auto"/>
                <w:highlight w:val="none"/>
              </w:rPr>
              <w:t>2</w:t>
            </w:r>
          </w:p>
        </w:tc>
        <w:tc>
          <w:tcPr>
            <w:tcW w:w="1701" w:type="dxa"/>
            <w:noWrap w:val="0"/>
            <w:vAlign w:val="center"/>
          </w:tcPr>
          <w:p w14:paraId="3DEBC902">
            <w:pPr>
              <w:jc w:val="center"/>
              <w:rPr>
                <w:color w:val="auto"/>
                <w:highlight w:val="none"/>
              </w:rPr>
            </w:pPr>
          </w:p>
        </w:tc>
        <w:tc>
          <w:tcPr>
            <w:tcW w:w="1417" w:type="dxa"/>
            <w:noWrap w:val="0"/>
            <w:vAlign w:val="center"/>
          </w:tcPr>
          <w:p w14:paraId="766BFE4D">
            <w:pPr>
              <w:jc w:val="center"/>
              <w:rPr>
                <w:color w:val="auto"/>
                <w:highlight w:val="none"/>
              </w:rPr>
            </w:pPr>
          </w:p>
        </w:tc>
        <w:tc>
          <w:tcPr>
            <w:tcW w:w="851" w:type="dxa"/>
            <w:noWrap w:val="0"/>
            <w:vAlign w:val="center"/>
          </w:tcPr>
          <w:p w14:paraId="6529933B">
            <w:pPr>
              <w:jc w:val="center"/>
              <w:rPr>
                <w:color w:val="auto"/>
                <w:highlight w:val="none"/>
              </w:rPr>
            </w:pPr>
          </w:p>
        </w:tc>
        <w:tc>
          <w:tcPr>
            <w:tcW w:w="992" w:type="dxa"/>
            <w:noWrap w:val="0"/>
            <w:vAlign w:val="center"/>
          </w:tcPr>
          <w:p w14:paraId="38D07BAC">
            <w:pPr>
              <w:jc w:val="center"/>
              <w:rPr>
                <w:color w:val="auto"/>
                <w:highlight w:val="none"/>
              </w:rPr>
            </w:pPr>
          </w:p>
        </w:tc>
        <w:tc>
          <w:tcPr>
            <w:tcW w:w="1134" w:type="dxa"/>
            <w:noWrap w:val="0"/>
            <w:vAlign w:val="center"/>
          </w:tcPr>
          <w:p w14:paraId="01B300D4">
            <w:pPr>
              <w:jc w:val="center"/>
              <w:rPr>
                <w:color w:val="auto"/>
                <w:highlight w:val="none"/>
              </w:rPr>
            </w:pPr>
          </w:p>
        </w:tc>
        <w:tc>
          <w:tcPr>
            <w:tcW w:w="1276" w:type="dxa"/>
            <w:noWrap w:val="0"/>
            <w:vAlign w:val="center"/>
          </w:tcPr>
          <w:p w14:paraId="1097D51A">
            <w:pPr>
              <w:jc w:val="center"/>
              <w:rPr>
                <w:color w:val="auto"/>
                <w:highlight w:val="none"/>
              </w:rPr>
            </w:pPr>
          </w:p>
        </w:tc>
        <w:tc>
          <w:tcPr>
            <w:tcW w:w="1134" w:type="dxa"/>
            <w:noWrap w:val="0"/>
            <w:vAlign w:val="center"/>
          </w:tcPr>
          <w:p w14:paraId="61B431F7">
            <w:pPr>
              <w:jc w:val="center"/>
              <w:rPr>
                <w:color w:val="auto"/>
                <w:highlight w:val="none"/>
              </w:rPr>
            </w:pPr>
          </w:p>
        </w:tc>
      </w:tr>
      <w:tr w14:paraId="1C35E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51" w:type="dxa"/>
            <w:noWrap w:val="0"/>
            <w:vAlign w:val="center"/>
          </w:tcPr>
          <w:p w14:paraId="5E44611B">
            <w:pPr>
              <w:jc w:val="center"/>
              <w:rPr>
                <w:color w:val="auto"/>
                <w:highlight w:val="none"/>
              </w:rPr>
            </w:pPr>
            <w:r>
              <w:rPr>
                <w:color w:val="auto"/>
                <w:highlight w:val="none"/>
              </w:rPr>
              <w:t>3</w:t>
            </w:r>
          </w:p>
        </w:tc>
        <w:tc>
          <w:tcPr>
            <w:tcW w:w="1701" w:type="dxa"/>
            <w:noWrap w:val="0"/>
            <w:vAlign w:val="center"/>
          </w:tcPr>
          <w:p w14:paraId="6E798009">
            <w:pPr>
              <w:jc w:val="center"/>
              <w:rPr>
                <w:color w:val="auto"/>
                <w:highlight w:val="none"/>
              </w:rPr>
            </w:pPr>
          </w:p>
        </w:tc>
        <w:tc>
          <w:tcPr>
            <w:tcW w:w="1417" w:type="dxa"/>
            <w:noWrap w:val="0"/>
            <w:vAlign w:val="center"/>
          </w:tcPr>
          <w:p w14:paraId="7F2B5E9E">
            <w:pPr>
              <w:jc w:val="center"/>
              <w:rPr>
                <w:color w:val="auto"/>
                <w:highlight w:val="none"/>
              </w:rPr>
            </w:pPr>
          </w:p>
        </w:tc>
        <w:tc>
          <w:tcPr>
            <w:tcW w:w="851" w:type="dxa"/>
            <w:noWrap w:val="0"/>
            <w:vAlign w:val="center"/>
          </w:tcPr>
          <w:p w14:paraId="3A6B9947">
            <w:pPr>
              <w:jc w:val="center"/>
              <w:rPr>
                <w:color w:val="auto"/>
                <w:highlight w:val="none"/>
              </w:rPr>
            </w:pPr>
          </w:p>
        </w:tc>
        <w:tc>
          <w:tcPr>
            <w:tcW w:w="992" w:type="dxa"/>
            <w:noWrap w:val="0"/>
            <w:vAlign w:val="center"/>
          </w:tcPr>
          <w:p w14:paraId="5ADF91C9">
            <w:pPr>
              <w:jc w:val="center"/>
              <w:rPr>
                <w:color w:val="auto"/>
                <w:highlight w:val="none"/>
              </w:rPr>
            </w:pPr>
          </w:p>
        </w:tc>
        <w:tc>
          <w:tcPr>
            <w:tcW w:w="1134" w:type="dxa"/>
            <w:noWrap w:val="0"/>
            <w:vAlign w:val="center"/>
          </w:tcPr>
          <w:p w14:paraId="3D405D7E">
            <w:pPr>
              <w:jc w:val="center"/>
              <w:rPr>
                <w:color w:val="auto"/>
                <w:highlight w:val="none"/>
              </w:rPr>
            </w:pPr>
          </w:p>
        </w:tc>
        <w:tc>
          <w:tcPr>
            <w:tcW w:w="1276" w:type="dxa"/>
            <w:noWrap w:val="0"/>
            <w:vAlign w:val="center"/>
          </w:tcPr>
          <w:p w14:paraId="2D59197C">
            <w:pPr>
              <w:jc w:val="center"/>
              <w:rPr>
                <w:color w:val="auto"/>
                <w:highlight w:val="none"/>
              </w:rPr>
            </w:pPr>
          </w:p>
        </w:tc>
        <w:tc>
          <w:tcPr>
            <w:tcW w:w="1134" w:type="dxa"/>
            <w:noWrap w:val="0"/>
            <w:vAlign w:val="center"/>
          </w:tcPr>
          <w:p w14:paraId="011B5771">
            <w:pPr>
              <w:jc w:val="center"/>
              <w:rPr>
                <w:color w:val="auto"/>
                <w:highlight w:val="none"/>
              </w:rPr>
            </w:pPr>
          </w:p>
        </w:tc>
      </w:tr>
      <w:tr w14:paraId="135E2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51" w:type="dxa"/>
            <w:noWrap w:val="0"/>
            <w:vAlign w:val="center"/>
          </w:tcPr>
          <w:p w14:paraId="12898EB1">
            <w:pPr>
              <w:jc w:val="center"/>
              <w:rPr>
                <w:color w:val="auto"/>
                <w:highlight w:val="none"/>
              </w:rPr>
            </w:pPr>
            <w:r>
              <w:rPr>
                <w:color w:val="auto"/>
                <w:highlight w:val="none"/>
              </w:rPr>
              <w:t>…</w:t>
            </w:r>
          </w:p>
        </w:tc>
        <w:tc>
          <w:tcPr>
            <w:tcW w:w="1701" w:type="dxa"/>
            <w:noWrap w:val="0"/>
            <w:vAlign w:val="center"/>
          </w:tcPr>
          <w:p w14:paraId="7CF8CB20">
            <w:pPr>
              <w:jc w:val="center"/>
              <w:rPr>
                <w:color w:val="auto"/>
                <w:highlight w:val="none"/>
              </w:rPr>
            </w:pPr>
          </w:p>
        </w:tc>
        <w:tc>
          <w:tcPr>
            <w:tcW w:w="1417" w:type="dxa"/>
            <w:noWrap w:val="0"/>
            <w:vAlign w:val="center"/>
          </w:tcPr>
          <w:p w14:paraId="715220EF">
            <w:pPr>
              <w:jc w:val="center"/>
              <w:rPr>
                <w:color w:val="auto"/>
                <w:highlight w:val="none"/>
              </w:rPr>
            </w:pPr>
          </w:p>
        </w:tc>
        <w:tc>
          <w:tcPr>
            <w:tcW w:w="851" w:type="dxa"/>
            <w:noWrap w:val="0"/>
            <w:vAlign w:val="center"/>
          </w:tcPr>
          <w:p w14:paraId="14B241FA">
            <w:pPr>
              <w:jc w:val="center"/>
              <w:rPr>
                <w:color w:val="auto"/>
                <w:highlight w:val="none"/>
              </w:rPr>
            </w:pPr>
          </w:p>
        </w:tc>
        <w:tc>
          <w:tcPr>
            <w:tcW w:w="992" w:type="dxa"/>
            <w:noWrap w:val="0"/>
            <w:vAlign w:val="center"/>
          </w:tcPr>
          <w:p w14:paraId="06A1DD26">
            <w:pPr>
              <w:jc w:val="center"/>
              <w:rPr>
                <w:color w:val="auto"/>
                <w:highlight w:val="none"/>
              </w:rPr>
            </w:pPr>
          </w:p>
        </w:tc>
        <w:tc>
          <w:tcPr>
            <w:tcW w:w="1134" w:type="dxa"/>
            <w:noWrap w:val="0"/>
            <w:vAlign w:val="center"/>
          </w:tcPr>
          <w:p w14:paraId="188B85B7">
            <w:pPr>
              <w:jc w:val="center"/>
              <w:rPr>
                <w:color w:val="auto"/>
                <w:highlight w:val="none"/>
              </w:rPr>
            </w:pPr>
          </w:p>
        </w:tc>
        <w:tc>
          <w:tcPr>
            <w:tcW w:w="1276" w:type="dxa"/>
            <w:noWrap w:val="0"/>
            <w:vAlign w:val="center"/>
          </w:tcPr>
          <w:p w14:paraId="1E4B6747">
            <w:pPr>
              <w:jc w:val="center"/>
              <w:rPr>
                <w:color w:val="auto"/>
                <w:highlight w:val="none"/>
              </w:rPr>
            </w:pPr>
          </w:p>
        </w:tc>
        <w:tc>
          <w:tcPr>
            <w:tcW w:w="1134" w:type="dxa"/>
            <w:noWrap w:val="0"/>
            <w:vAlign w:val="center"/>
          </w:tcPr>
          <w:p w14:paraId="489EDF69">
            <w:pPr>
              <w:jc w:val="center"/>
              <w:rPr>
                <w:color w:val="auto"/>
                <w:highlight w:val="none"/>
              </w:rPr>
            </w:pPr>
          </w:p>
        </w:tc>
      </w:tr>
    </w:tbl>
    <w:p w14:paraId="3E2C0063">
      <w:pPr>
        <w:pStyle w:val="27"/>
        <w:tabs>
          <w:tab w:val="left" w:pos="2127"/>
        </w:tabs>
        <w:spacing w:line="340" w:lineRule="exact"/>
        <w:rPr>
          <w:rFonts w:ascii="Times New Roman" w:hAnsi="Times New Roman" w:cs="Times New Roman"/>
          <w:color w:val="auto"/>
          <w:highlight w:val="none"/>
        </w:rPr>
      </w:pPr>
      <w:r>
        <w:rPr>
          <w:rFonts w:ascii="Times New Roman" w:hAnsi="Times New Roman" w:cs="Times New Roman"/>
          <w:color w:val="auto"/>
          <w:highlight w:val="none"/>
        </w:rPr>
        <w:t>备注：</w:t>
      </w:r>
      <w:bookmarkStart w:id="1078" w:name="OLE_LINK26"/>
      <w:r>
        <w:rPr>
          <w:rFonts w:ascii="Times New Roman" w:hAnsi="Times New Roman" w:cs="Times New Roman"/>
          <w:color w:val="auto"/>
          <w:highlight w:val="none"/>
        </w:rPr>
        <w:t>附以上类似工程的中标（成交）通知书、工程合同协议书、工程竣工验收证明材料，</w:t>
      </w:r>
      <w:bookmarkStart w:id="1079" w:name="OLE_LINK22"/>
      <w:r>
        <w:rPr>
          <w:rFonts w:ascii="Times New Roman" w:hAnsi="Times New Roman" w:cs="Times New Roman"/>
          <w:color w:val="auto"/>
          <w:highlight w:val="none"/>
        </w:rPr>
        <w:t>以及供应商认为需要增加的其他证明材料</w:t>
      </w:r>
      <w:r>
        <w:rPr>
          <w:rFonts w:hint="eastAsia"/>
          <w:color w:val="auto"/>
          <w:highlight w:val="none"/>
        </w:rPr>
        <w:t>扫描件</w:t>
      </w:r>
      <w:r>
        <w:rPr>
          <w:rFonts w:ascii="Times New Roman" w:hAnsi="Times New Roman" w:cs="Times New Roman"/>
          <w:color w:val="auto"/>
          <w:highlight w:val="none"/>
        </w:rPr>
        <w:t>，以上</w:t>
      </w:r>
      <w:r>
        <w:rPr>
          <w:rFonts w:hint="eastAsia"/>
          <w:color w:val="auto"/>
          <w:highlight w:val="none"/>
        </w:rPr>
        <w:t>扫描件</w:t>
      </w:r>
      <w:r>
        <w:rPr>
          <w:rFonts w:ascii="Times New Roman" w:hAnsi="Times New Roman" w:cs="Times New Roman"/>
          <w:color w:val="auto"/>
          <w:highlight w:val="none"/>
        </w:rPr>
        <w:t>均须加盖</w:t>
      </w:r>
      <w:bookmarkEnd w:id="1079"/>
      <w:r>
        <w:rPr>
          <w:color w:val="auto"/>
          <w:highlight w:val="none"/>
        </w:rPr>
        <w:t>供应商</w:t>
      </w:r>
      <w:r>
        <w:rPr>
          <w:rFonts w:hint="eastAsia"/>
          <w:color w:val="auto"/>
          <w:highlight w:val="none"/>
        </w:rPr>
        <w:t>电子签章</w:t>
      </w:r>
      <w:r>
        <w:rPr>
          <w:rFonts w:ascii="Times New Roman" w:hAnsi="Times New Roman" w:cs="Times New Roman"/>
          <w:color w:val="auto"/>
          <w:highlight w:val="none"/>
        </w:rPr>
        <w:t>。</w:t>
      </w:r>
      <w:bookmarkEnd w:id="1078"/>
    </w:p>
    <w:p w14:paraId="616A6644">
      <w:pPr>
        <w:spacing w:line="360" w:lineRule="exact"/>
        <w:rPr>
          <w:color w:val="auto"/>
          <w:kern w:val="0"/>
          <w:szCs w:val="21"/>
          <w:highlight w:val="none"/>
        </w:rPr>
      </w:pPr>
      <w:r>
        <w:rPr>
          <w:color w:val="auto"/>
          <w:szCs w:val="21"/>
          <w:highlight w:val="none"/>
        </w:rPr>
        <w:br w:type="page"/>
      </w:r>
      <w:r>
        <w:rPr>
          <w:rFonts w:hint="eastAsia"/>
          <w:color w:val="auto"/>
          <w:szCs w:val="21"/>
          <w:highlight w:val="none"/>
          <w:lang w:val="en-US" w:eastAsia="zh-CN"/>
        </w:rPr>
        <w:t>4</w:t>
      </w:r>
      <w:r>
        <w:rPr>
          <w:color w:val="auto"/>
          <w:szCs w:val="21"/>
          <w:highlight w:val="none"/>
        </w:rPr>
        <w:t>．</w:t>
      </w:r>
      <w:bookmarkStart w:id="1080" w:name="_Hlk160731747"/>
      <w:r>
        <w:rPr>
          <w:rFonts w:hint="eastAsia"/>
          <w:color w:val="auto"/>
          <w:szCs w:val="21"/>
          <w:highlight w:val="none"/>
        </w:rPr>
        <w:t>符合政府采购政策的证明材料。</w:t>
      </w:r>
      <w:bookmarkEnd w:id="1080"/>
      <w:r>
        <w:rPr>
          <w:rFonts w:hint="eastAsia"/>
          <w:color w:val="auto"/>
          <w:kern w:val="0"/>
          <w:szCs w:val="21"/>
          <w:highlight w:val="none"/>
        </w:rPr>
        <w:t>【备注：非专门面向中小企业采购的项目、预留份额项目中的非预留部分采购包时提供】</w:t>
      </w:r>
      <w:r>
        <w:rPr>
          <w:color w:val="auto"/>
          <w:kern w:val="0"/>
          <w:szCs w:val="21"/>
          <w:highlight w:val="none"/>
        </w:rPr>
        <w:t>。</w:t>
      </w:r>
    </w:p>
    <w:p w14:paraId="30551299">
      <w:pPr>
        <w:jc w:val="center"/>
        <w:rPr>
          <w:b/>
          <w:color w:val="auto"/>
          <w:szCs w:val="21"/>
          <w:highlight w:val="none"/>
        </w:rPr>
      </w:pPr>
    </w:p>
    <w:p w14:paraId="0C2BE1BC">
      <w:pPr>
        <w:rPr>
          <w:rFonts w:hint="eastAsia"/>
          <w:color w:val="auto"/>
          <w:szCs w:val="21"/>
          <w:highlight w:val="none"/>
        </w:rPr>
      </w:pPr>
    </w:p>
    <w:p w14:paraId="1216E4BD">
      <w:pPr>
        <w:rPr>
          <w:color w:val="auto"/>
          <w:szCs w:val="21"/>
          <w:highlight w:val="none"/>
        </w:rPr>
      </w:pPr>
      <w:r>
        <w:rPr>
          <w:rFonts w:hint="eastAsia"/>
          <w:color w:val="auto"/>
          <w:szCs w:val="21"/>
          <w:highlight w:val="none"/>
          <w:lang w:val="en-US" w:eastAsia="zh-CN"/>
        </w:rPr>
        <w:t>4</w:t>
      </w:r>
      <w:r>
        <w:rPr>
          <w:color w:val="auto"/>
          <w:szCs w:val="21"/>
          <w:highlight w:val="none"/>
        </w:rPr>
        <w:t>.</w:t>
      </w:r>
      <w:r>
        <w:rPr>
          <w:rFonts w:hint="eastAsia"/>
          <w:color w:val="auto"/>
          <w:szCs w:val="21"/>
          <w:highlight w:val="none"/>
        </w:rPr>
        <w:t>1</w:t>
      </w:r>
      <w:r>
        <w:rPr>
          <w:rFonts w:hint="eastAsia"/>
          <w:bCs/>
          <w:color w:val="auto"/>
          <w:szCs w:val="21"/>
          <w:highlight w:val="none"/>
        </w:rPr>
        <w:t>中小企业声明函</w:t>
      </w:r>
    </w:p>
    <w:p w14:paraId="7497C3D3">
      <w:pPr>
        <w:rPr>
          <w:color w:val="auto"/>
          <w:szCs w:val="21"/>
          <w:highlight w:val="none"/>
        </w:rPr>
      </w:pPr>
    </w:p>
    <w:p w14:paraId="01F8A501">
      <w:pPr>
        <w:rPr>
          <w:color w:val="auto"/>
          <w:szCs w:val="21"/>
          <w:highlight w:val="none"/>
        </w:rPr>
      </w:pPr>
    </w:p>
    <w:p w14:paraId="5FEA374E">
      <w:pPr>
        <w:spacing w:line="360" w:lineRule="auto"/>
        <w:jc w:val="center"/>
        <w:rPr>
          <w:b/>
          <w:color w:val="auto"/>
          <w:szCs w:val="21"/>
          <w:highlight w:val="none"/>
        </w:rPr>
      </w:pPr>
      <w:bookmarkStart w:id="1081" w:name="_Hlk60822128"/>
    </w:p>
    <w:p w14:paraId="5D672C1C">
      <w:pPr>
        <w:spacing w:line="360" w:lineRule="auto"/>
        <w:ind w:firstLine="420"/>
        <w:jc w:val="center"/>
        <w:rPr>
          <w:b/>
          <w:color w:val="auto"/>
          <w:szCs w:val="21"/>
          <w:highlight w:val="none"/>
        </w:rPr>
      </w:pPr>
      <w:bookmarkStart w:id="1082" w:name="_Hlk133424993"/>
      <w:r>
        <w:rPr>
          <w:rFonts w:hint="eastAsia"/>
          <w:b/>
          <w:color w:val="auto"/>
          <w:szCs w:val="21"/>
          <w:highlight w:val="none"/>
        </w:rPr>
        <w:t>中小企业声明函</w:t>
      </w:r>
      <w:bookmarkEnd w:id="1082"/>
      <w:r>
        <w:rPr>
          <w:rFonts w:hint="eastAsia"/>
          <w:b/>
          <w:color w:val="auto"/>
          <w:szCs w:val="21"/>
          <w:highlight w:val="none"/>
        </w:rPr>
        <w:t>（工程）</w:t>
      </w:r>
    </w:p>
    <w:p w14:paraId="23EC63FA">
      <w:pPr>
        <w:spacing w:line="360" w:lineRule="auto"/>
        <w:ind w:firstLine="420"/>
        <w:rPr>
          <w:bCs/>
          <w:color w:val="auto"/>
          <w:szCs w:val="21"/>
          <w:highlight w:val="none"/>
        </w:rPr>
      </w:pPr>
      <w:r>
        <w:rPr>
          <w:rFonts w:hint="eastAsia"/>
          <w:bCs/>
          <w:color w:val="auto"/>
          <w:szCs w:val="21"/>
          <w:highlight w:val="none"/>
        </w:rPr>
        <w:t>本公司（联合体）郑重声明，根据《政府采购促进中小企业发展管理办法》（财库﹝2020﹞46 号）的规定，本公司（联合体）参加</w:t>
      </w:r>
      <w:r>
        <w:rPr>
          <w:rFonts w:hint="eastAsia"/>
          <w:bCs/>
          <w:color w:val="auto"/>
          <w:szCs w:val="21"/>
          <w:highlight w:val="none"/>
          <w:u w:val="single"/>
        </w:rPr>
        <w:t>（单位名称）</w:t>
      </w:r>
      <w:r>
        <w:rPr>
          <w:rFonts w:hint="eastAsia"/>
          <w:bCs/>
          <w:color w:val="auto"/>
          <w:szCs w:val="21"/>
          <w:highlight w:val="none"/>
        </w:rPr>
        <w:t>的</w:t>
      </w:r>
      <w:r>
        <w:rPr>
          <w:rFonts w:hint="eastAsia"/>
          <w:bCs/>
          <w:color w:val="auto"/>
          <w:szCs w:val="21"/>
          <w:highlight w:val="none"/>
          <w:u w:val="single"/>
        </w:rPr>
        <w:t>（项目名称）</w:t>
      </w:r>
      <w:r>
        <w:rPr>
          <w:rFonts w:hint="eastAsia"/>
          <w:bCs/>
          <w:color w:val="auto"/>
          <w:szCs w:val="21"/>
          <w:highlight w:val="none"/>
        </w:rPr>
        <w:t>采购活动，服务全部由符合政策要求的中小企业承接。相关企业（含联合体中的中小企业、签订分包意向协议的中小企业） 的具体情况如下：</w:t>
      </w:r>
    </w:p>
    <w:p w14:paraId="0D733150">
      <w:pPr>
        <w:spacing w:line="360" w:lineRule="auto"/>
        <w:ind w:firstLine="420"/>
        <w:rPr>
          <w:bCs/>
          <w:color w:val="auto"/>
          <w:szCs w:val="21"/>
          <w:highlight w:val="none"/>
        </w:rPr>
      </w:pPr>
      <w:r>
        <w:rPr>
          <w:bCs/>
          <w:color w:val="auto"/>
          <w:szCs w:val="21"/>
          <w:highlight w:val="none"/>
        </w:rPr>
        <w:t>1.</w:t>
      </w:r>
      <w:r>
        <w:rPr>
          <w:rFonts w:hint="eastAsia"/>
          <w:bCs/>
          <w:color w:val="auto"/>
          <w:szCs w:val="21"/>
          <w:highlight w:val="none"/>
          <w:u w:val="single"/>
        </w:rPr>
        <w:t>（标的名称）</w:t>
      </w:r>
      <w:r>
        <w:rPr>
          <w:rFonts w:hint="eastAsia"/>
          <w:bCs/>
          <w:color w:val="auto"/>
          <w:szCs w:val="21"/>
          <w:highlight w:val="none"/>
        </w:rPr>
        <w:t>，属于</w:t>
      </w:r>
      <w:r>
        <w:rPr>
          <w:rFonts w:hint="eastAsia"/>
          <w:bCs/>
          <w:color w:val="auto"/>
          <w:szCs w:val="21"/>
          <w:highlight w:val="none"/>
          <w:u w:val="single"/>
        </w:rPr>
        <w:t>（采购文件中明确的所属行业）</w:t>
      </w:r>
      <w:r>
        <w:rPr>
          <w:rFonts w:hint="eastAsia"/>
          <w:bCs/>
          <w:color w:val="auto"/>
          <w:szCs w:val="21"/>
          <w:highlight w:val="none"/>
        </w:rPr>
        <w:t>行业；承建（承接）企业为</w:t>
      </w:r>
      <w:r>
        <w:rPr>
          <w:rFonts w:hint="eastAsia"/>
          <w:bCs/>
          <w:color w:val="auto"/>
          <w:szCs w:val="21"/>
          <w:highlight w:val="none"/>
          <w:u w:val="single"/>
        </w:rPr>
        <w:t>（企业名称）</w:t>
      </w:r>
      <w:r>
        <w:rPr>
          <w:rFonts w:hint="eastAsia"/>
          <w:bCs/>
          <w:color w:val="auto"/>
          <w:szCs w:val="21"/>
          <w:highlight w:val="none"/>
        </w:rPr>
        <w:t>，从业人员</w:t>
      </w:r>
      <w:r>
        <w:rPr>
          <w:bCs/>
          <w:color w:val="auto"/>
          <w:szCs w:val="21"/>
          <w:highlight w:val="none"/>
          <w:u w:val="single"/>
        </w:rPr>
        <w:t xml:space="preserve">    </w:t>
      </w:r>
      <w:r>
        <w:rPr>
          <w:rFonts w:hint="eastAsia"/>
          <w:bCs/>
          <w:color w:val="auto"/>
          <w:szCs w:val="21"/>
          <w:highlight w:val="none"/>
        </w:rPr>
        <w:t>人，营业收入为</w:t>
      </w:r>
      <w:r>
        <w:rPr>
          <w:rFonts w:hint="eastAsia"/>
          <w:bCs/>
          <w:color w:val="auto"/>
          <w:szCs w:val="21"/>
          <w:highlight w:val="none"/>
          <w:u w:val="single"/>
        </w:rPr>
        <w:t xml:space="preserve"> </w:t>
      </w:r>
      <w:r>
        <w:rPr>
          <w:bCs/>
          <w:color w:val="auto"/>
          <w:szCs w:val="21"/>
          <w:highlight w:val="none"/>
          <w:u w:val="single"/>
        </w:rPr>
        <w:t xml:space="preserve">  </w:t>
      </w:r>
      <w:r>
        <w:rPr>
          <w:rFonts w:hint="eastAsia"/>
          <w:bCs/>
          <w:color w:val="auto"/>
          <w:szCs w:val="21"/>
          <w:highlight w:val="none"/>
          <w:u w:val="single"/>
        </w:rPr>
        <w:t xml:space="preserve"> </w:t>
      </w:r>
      <w:r>
        <w:rPr>
          <w:rFonts w:hint="eastAsia"/>
          <w:bCs/>
          <w:color w:val="auto"/>
          <w:szCs w:val="21"/>
          <w:highlight w:val="none"/>
        </w:rPr>
        <w:t>万元，资产总额为</w:t>
      </w:r>
      <w:r>
        <w:rPr>
          <w:rFonts w:hint="eastAsia"/>
          <w:bCs/>
          <w:color w:val="auto"/>
          <w:szCs w:val="21"/>
          <w:highlight w:val="none"/>
          <w:u w:val="single"/>
        </w:rPr>
        <w:t xml:space="preserve">    </w:t>
      </w:r>
      <w:r>
        <w:rPr>
          <w:rFonts w:hint="eastAsia"/>
          <w:bCs/>
          <w:color w:val="auto"/>
          <w:szCs w:val="21"/>
          <w:highlight w:val="none"/>
        </w:rPr>
        <w:t>万元，属于</w:t>
      </w:r>
      <w:r>
        <w:rPr>
          <w:rFonts w:hint="eastAsia"/>
          <w:bCs/>
          <w:color w:val="auto"/>
          <w:szCs w:val="21"/>
          <w:highlight w:val="none"/>
          <w:u w:val="single"/>
        </w:rPr>
        <w:t>（中型企业、小型企业、微型企业）</w:t>
      </w:r>
      <w:r>
        <w:rPr>
          <w:rFonts w:hint="eastAsia"/>
          <w:bCs/>
          <w:color w:val="auto"/>
          <w:szCs w:val="21"/>
          <w:highlight w:val="none"/>
        </w:rPr>
        <w:t>；</w:t>
      </w:r>
    </w:p>
    <w:p w14:paraId="28A9227A">
      <w:pPr>
        <w:spacing w:line="360" w:lineRule="auto"/>
        <w:ind w:firstLine="420"/>
        <w:rPr>
          <w:bCs/>
          <w:color w:val="auto"/>
          <w:szCs w:val="21"/>
          <w:highlight w:val="none"/>
        </w:rPr>
      </w:pPr>
      <w:r>
        <w:rPr>
          <w:bCs/>
          <w:color w:val="auto"/>
          <w:szCs w:val="21"/>
          <w:highlight w:val="none"/>
        </w:rPr>
        <w:t>2.</w:t>
      </w:r>
      <w:r>
        <w:rPr>
          <w:rFonts w:hint="eastAsia"/>
          <w:bCs/>
          <w:color w:val="auto"/>
          <w:szCs w:val="21"/>
          <w:highlight w:val="none"/>
          <w:u w:val="single"/>
        </w:rPr>
        <w:t>（标的名称）</w:t>
      </w:r>
      <w:r>
        <w:rPr>
          <w:rFonts w:hint="eastAsia"/>
          <w:bCs/>
          <w:color w:val="auto"/>
          <w:szCs w:val="21"/>
          <w:highlight w:val="none"/>
        </w:rPr>
        <w:t>，属于</w:t>
      </w:r>
      <w:r>
        <w:rPr>
          <w:rFonts w:hint="eastAsia"/>
          <w:bCs/>
          <w:color w:val="auto"/>
          <w:szCs w:val="21"/>
          <w:highlight w:val="none"/>
          <w:u w:val="single"/>
        </w:rPr>
        <w:t>（采购文件中明确的所属行业）</w:t>
      </w:r>
      <w:r>
        <w:rPr>
          <w:rFonts w:hint="eastAsia"/>
          <w:bCs/>
          <w:color w:val="auto"/>
          <w:szCs w:val="21"/>
          <w:highlight w:val="none"/>
        </w:rPr>
        <w:t>行业；承建（承接）企业为</w:t>
      </w:r>
      <w:r>
        <w:rPr>
          <w:rFonts w:hint="eastAsia"/>
          <w:bCs/>
          <w:color w:val="auto"/>
          <w:szCs w:val="21"/>
          <w:highlight w:val="none"/>
          <w:u w:val="single"/>
        </w:rPr>
        <w:t>（企业名称）</w:t>
      </w:r>
      <w:r>
        <w:rPr>
          <w:rFonts w:hint="eastAsia"/>
          <w:bCs/>
          <w:color w:val="auto"/>
          <w:szCs w:val="21"/>
          <w:highlight w:val="none"/>
        </w:rPr>
        <w:t>，从业人员</w:t>
      </w:r>
      <w:r>
        <w:rPr>
          <w:rFonts w:hint="eastAsia"/>
          <w:bCs/>
          <w:color w:val="auto"/>
          <w:szCs w:val="21"/>
          <w:highlight w:val="none"/>
          <w:u w:val="single"/>
        </w:rPr>
        <w:t xml:space="preserve">       </w:t>
      </w:r>
      <w:r>
        <w:rPr>
          <w:rFonts w:hint="eastAsia"/>
          <w:bCs/>
          <w:color w:val="auto"/>
          <w:szCs w:val="21"/>
          <w:highlight w:val="none"/>
        </w:rPr>
        <w:t>人，营业收入为</w:t>
      </w:r>
      <w:r>
        <w:rPr>
          <w:rFonts w:hint="eastAsia"/>
          <w:bCs/>
          <w:color w:val="auto"/>
          <w:szCs w:val="21"/>
          <w:highlight w:val="none"/>
          <w:u w:val="single"/>
        </w:rPr>
        <w:t xml:space="preserve">     </w:t>
      </w:r>
      <w:r>
        <w:rPr>
          <w:rFonts w:hint="eastAsia"/>
          <w:bCs/>
          <w:color w:val="auto"/>
          <w:szCs w:val="21"/>
          <w:highlight w:val="none"/>
        </w:rPr>
        <w:t>万元，资产总额为</w:t>
      </w:r>
      <w:r>
        <w:rPr>
          <w:rFonts w:hint="eastAsia"/>
          <w:bCs/>
          <w:color w:val="auto"/>
          <w:szCs w:val="21"/>
          <w:highlight w:val="none"/>
          <w:u w:val="single"/>
        </w:rPr>
        <w:t xml:space="preserve"> </w:t>
      </w:r>
      <w:r>
        <w:rPr>
          <w:bCs/>
          <w:color w:val="auto"/>
          <w:szCs w:val="21"/>
          <w:highlight w:val="none"/>
          <w:u w:val="single"/>
        </w:rPr>
        <w:t xml:space="preserve">     </w:t>
      </w:r>
      <w:r>
        <w:rPr>
          <w:rFonts w:hint="eastAsia"/>
          <w:bCs/>
          <w:color w:val="auto"/>
          <w:szCs w:val="21"/>
          <w:highlight w:val="none"/>
          <w:u w:val="single"/>
        </w:rPr>
        <w:t xml:space="preserve"> </w:t>
      </w:r>
      <w:r>
        <w:rPr>
          <w:rFonts w:hint="eastAsia"/>
          <w:bCs/>
          <w:color w:val="auto"/>
          <w:szCs w:val="21"/>
          <w:highlight w:val="none"/>
        </w:rPr>
        <w:t>万元，属于</w:t>
      </w:r>
      <w:r>
        <w:rPr>
          <w:rFonts w:hint="eastAsia"/>
          <w:bCs/>
          <w:color w:val="auto"/>
          <w:szCs w:val="21"/>
          <w:highlight w:val="none"/>
          <w:u w:val="single"/>
        </w:rPr>
        <w:t>（中型企业、小型企业、微型企业）</w:t>
      </w:r>
      <w:r>
        <w:rPr>
          <w:rFonts w:hint="eastAsia"/>
          <w:bCs/>
          <w:color w:val="auto"/>
          <w:szCs w:val="21"/>
          <w:highlight w:val="none"/>
        </w:rPr>
        <w:t>；</w:t>
      </w:r>
    </w:p>
    <w:p w14:paraId="4162712E">
      <w:pPr>
        <w:spacing w:line="360" w:lineRule="auto"/>
        <w:ind w:firstLine="420"/>
        <w:rPr>
          <w:bCs/>
          <w:color w:val="auto"/>
          <w:szCs w:val="21"/>
          <w:highlight w:val="none"/>
        </w:rPr>
      </w:pPr>
      <w:r>
        <w:rPr>
          <w:rFonts w:hint="eastAsia"/>
          <w:bCs/>
          <w:color w:val="auto"/>
          <w:szCs w:val="21"/>
          <w:highlight w:val="none"/>
        </w:rPr>
        <w:t>……</w:t>
      </w:r>
    </w:p>
    <w:p w14:paraId="08E838EF">
      <w:pPr>
        <w:spacing w:line="360" w:lineRule="auto"/>
        <w:ind w:firstLine="420"/>
        <w:rPr>
          <w:bCs/>
          <w:color w:val="auto"/>
          <w:szCs w:val="21"/>
          <w:highlight w:val="none"/>
        </w:rPr>
      </w:pPr>
      <w:r>
        <w:rPr>
          <w:rFonts w:hint="eastAsia"/>
          <w:bCs/>
          <w:color w:val="auto"/>
          <w:szCs w:val="21"/>
          <w:highlight w:val="none"/>
        </w:rPr>
        <w:t>以上企业，不属于大企业的分支机构，不存在控股股东为大企业的情形，也不存在与大企业的负责人为同一人的情形。</w:t>
      </w:r>
    </w:p>
    <w:p w14:paraId="06F931B7">
      <w:pPr>
        <w:spacing w:line="360" w:lineRule="auto"/>
        <w:ind w:firstLine="420"/>
        <w:rPr>
          <w:bCs/>
          <w:color w:val="auto"/>
          <w:szCs w:val="21"/>
          <w:highlight w:val="none"/>
        </w:rPr>
      </w:pPr>
      <w:r>
        <w:rPr>
          <w:rFonts w:hint="eastAsia"/>
          <w:bCs/>
          <w:color w:val="auto"/>
          <w:szCs w:val="21"/>
          <w:highlight w:val="none"/>
        </w:rPr>
        <w:t>本企业对上述声明内容的真实性负责。如有虚假，将依法承担相应责任。</w:t>
      </w:r>
    </w:p>
    <w:p w14:paraId="24896616">
      <w:pPr>
        <w:spacing w:line="360" w:lineRule="auto"/>
        <w:ind w:firstLine="3150" w:firstLineChars="1500"/>
        <w:rPr>
          <w:rFonts w:hint="eastAsia"/>
          <w:bCs/>
          <w:color w:val="auto"/>
          <w:szCs w:val="21"/>
          <w:highlight w:val="none"/>
        </w:rPr>
      </w:pPr>
      <w:r>
        <w:rPr>
          <w:rFonts w:hint="eastAsia"/>
          <w:bCs/>
          <w:color w:val="auto"/>
          <w:szCs w:val="21"/>
          <w:highlight w:val="none"/>
        </w:rPr>
        <w:t>企业名称（</w:t>
      </w:r>
      <w:bookmarkStart w:id="1083" w:name="_Hlk89191194"/>
      <w:r>
        <w:rPr>
          <w:rFonts w:hint="eastAsia"/>
          <w:color w:val="auto"/>
          <w:szCs w:val="21"/>
          <w:highlight w:val="none"/>
        </w:rPr>
        <w:t>电子签章</w:t>
      </w:r>
      <w:bookmarkEnd w:id="1083"/>
      <w:r>
        <w:rPr>
          <w:rFonts w:hint="eastAsia"/>
          <w:bCs/>
          <w:color w:val="auto"/>
          <w:szCs w:val="21"/>
          <w:highlight w:val="none"/>
        </w:rPr>
        <w:t>）：日期：</w:t>
      </w:r>
    </w:p>
    <w:bookmarkEnd w:id="1081"/>
    <w:p w14:paraId="1AA754D9">
      <w:pPr>
        <w:spacing w:line="360" w:lineRule="auto"/>
        <w:jc w:val="left"/>
        <w:rPr>
          <w:bCs/>
          <w:color w:val="auto"/>
          <w:szCs w:val="21"/>
          <w:highlight w:val="none"/>
        </w:rPr>
      </w:pPr>
      <w:bookmarkStart w:id="1084" w:name="_Hlk65852026"/>
      <w:r>
        <w:rPr>
          <w:rFonts w:hint="eastAsia"/>
          <w:bCs/>
          <w:color w:val="auto"/>
          <w:szCs w:val="21"/>
          <w:highlight w:val="none"/>
        </w:rPr>
        <w:t>注：</w:t>
      </w:r>
      <w:bookmarkEnd w:id="1084"/>
      <w:r>
        <w:rPr>
          <w:rFonts w:hint="eastAsia"/>
          <w:bCs/>
          <w:color w:val="auto"/>
          <w:szCs w:val="21"/>
          <w:highlight w:val="none"/>
        </w:rPr>
        <w:t>（1）标的名称按照第二章采购需求中的名称填写，</w:t>
      </w:r>
      <w:r>
        <w:rPr>
          <w:color w:val="auto"/>
          <w:szCs w:val="21"/>
          <w:highlight w:val="none"/>
        </w:rPr>
        <w:t>所属行业标明“/”的</w:t>
      </w:r>
      <w:r>
        <w:rPr>
          <w:rFonts w:hint="eastAsia"/>
          <w:bCs/>
          <w:color w:val="auto"/>
          <w:szCs w:val="21"/>
          <w:highlight w:val="none"/>
        </w:rPr>
        <w:t>，无需在上表填写。</w:t>
      </w:r>
    </w:p>
    <w:p w14:paraId="57BD2700">
      <w:pPr>
        <w:spacing w:line="360" w:lineRule="auto"/>
        <w:jc w:val="left"/>
        <w:rPr>
          <w:bCs/>
          <w:color w:val="auto"/>
          <w:szCs w:val="21"/>
          <w:highlight w:val="none"/>
        </w:rPr>
      </w:pPr>
      <w:r>
        <w:rPr>
          <w:rFonts w:hint="eastAsia"/>
          <w:bCs/>
          <w:color w:val="auto"/>
          <w:szCs w:val="21"/>
          <w:highlight w:val="none"/>
        </w:rPr>
        <w:t>（</w:t>
      </w:r>
      <w:r>
        <w:rPr>
          <w:bCs/>
          <w:color w:val="auto"/>
          <w:szCs w:val="21"/>
          <w:highlight w:val="none"/>
        </w:rPr>
        <w:t>2</w:t>
      </w:r>
      <w:r>
        <w:rPr>
          <w:rFonts w:hint="eastAsia"/>
          <w:bCs/>
          <w:color w:val="auto"/>
          <w:szCs w:val="21"/>
          <w:highlight w:val="none"/>
        </w:rPr>
        <w:t>）如供应商为联合体或分包的，声明函中“项目名称”应填写联合体中小微企业承担的具体内容或者小微企业具体分包内容。</w:t>
      </w:r>
    </w:p>
    <w:p w14:paraId="2EC41B0D">
      <w:pPr>
        <w:spacing w:line="360" w:lineRule="auto"/>
        <w:jc w:val="left"/>
        <w:rPr>
          <w:bCs/>
          <w:color w:val="auto"/>
          <w:szCs w:val="21"/>
          <w:highlight w:val="none"/>
        </w:rPr>
      </w:pPr>
      <w:r>
        <w:rPr>
          <w:rFonts w:hint="eastAsia"/>
          <w:bCs/>
          <w:color w:val="auto"/>
          <w:szCs w:val="21"/>
          <w:highlight w:val="none"/>
        </w:rPr>
        <w:t>（</w:t>
      </w:r>
      <w:r>
        <w:rPr>
          <w:bCs/>
          <w:color w:val="auto"/>
          <w:szCs w:val="21"/>
          <w:highlight w:val="none"/>
        </w:rPr>
        <w:t>3</w:t>
      </w:r>
      <w:r>
        <w:rPr>
          <w:rFonts w:hint="eastAsia"/>
          <w:bCs/>
          <w:color w:val="auto"/>
          <w:szCs w:val="21"/>
          <w:highlight w:val="none"/>
        </w:rPr>
        <w:t>）从业人员、营业收入、资产总额填报上一年度数据，无上一年度数据的新成立企业参照国务院批准的中小企业划分标准，根据企业自身情况如实判断。</w:t>
      </w:r>
    </w:p>
    <w:p w14:paraId="6F639722">
      <w:pPr>
        <w:spacing w:line="360" w:lineRule="auto"/>
        <w:jc w:val="left"/>
        <w:rPr>
          <w:bCs/>
          <w:color w:val="auto"/>
          <w:szCs w:val="21"/>
          <w:highlight w:val="none"/>
        </w:rPr>
      </w:pPr>
      <w:r>
        <w:rPr>
          <w:rFonts w:hint="eastAsia"/>
          <w:bCs/>
          <w:color w:val="auto"/>
          <w:szCs w:val="21"/>
          <w:highlight w:val="none"/>
        </w:rPr>
        <w:t>（</w:t>
      </w:r>
      <w:r>
        <w:rPr>
          <w:bCs/>
          <w:color w:val="auto"/>
          <w:szCs w:val="21"/>
          <w:highlight w:val="none"/>
        </w:rPr>
        <w:t>4</w:t>
      </w:r>
      <w:r>
        <w:rPr>
          <w:rFonts w:hint="eastAsia"/>
          <w:bCs/>
          <w:color w:val="auto"/>
          <w:szCs w:val="21"/>
          <w:highlight w:val="none"/>
        </w:rPr>
        <w:t>）根据工业和信息化部对“从业人员”定义的答复，《民法典》、《公司法》等法律规定，分公司不具有法人资格，其民事责任由总公司承担。企业划型时，应将分公司的从业人员、营业收入、资产总额等指标数据纳入合并计算。</w:t>
      </w:r>
    </w:p>
    <w:p w14:paraId="66AD7E6F">
      <w:pPr>
        <w:spacing w:line="360" w:lineRule="auto"/>
        <w:jc w:val="left"/>
        <w:rPr>
          <w:bCs/>
          <w:color w:val="auto"/>
          <w:szCs w:val="21"/>
          <w:highlight w:val="none"/>
        </w:rPr>
      </w:pPr>
      <w:r>
        <w:rPr>
          <w:rFonts w:hint="eastAsia"/>
          <w:bCs/>
          <w:color w:val="auto"/>
          <w:szCs w:val="21"/>
          <w:highlight w:val="none"/>
        </w:rPr>
        <w:t>（5）根据</w:t>
      </w:r>
      <w:r>
        <w:rPr>
          <w:rFonts w:hint="eastAsia"/>
          <w:bCs/>
          <w:color w:val="auto"/>
          <w:szCs w:val="21"/>
          <w:highlight w:val="none"/>
          <w:lang w:val="en-US" w:eastAsia="zh-CN"/>
        </w:rPr>
        <w:t>国家</w:t>
      </w:r>
      <w:r>
        <w:rPr>
          <w:rFonts w:hint="eastAsia"/>
          <w:bCs/>
          <w:color w:val="auto"/>
          <w:szCs w:val="21"/>
          <w:highlight w:val="none"/>
        </w:rPr>
        <w:t>统计局《劳动工资统计报表制度》，从业人员数是指本单位工作，并取得工资</w:t>
      </w:r>
      <w:r>
        <w:rPr>
          <w:rFonts w:hint="eastAsia"/>
          <w:bCs/>
          <w:color w:val="auto"/>
          <w:szCs w:val="21"/>
          <w:highlight w:val="none"/>
          <w:lang w:val="en-US" w:eastAsia="zh-CN"/>
        </w:rPr>
        <w:t>或</w:t>
      </w:r>
      <w:r>
        <w:rPr>
          <w:rFonts w:hint="eastAsia"/>
          <w:bCs/>
          <w:color w:val="auto"/>
          <w:szCs w:val="21"/>
          <w:highlight w:val="none"/>
        </w:rPr>
        <w:t>其他形式劳动报酬的人员数，是在岗职工、劳务派遣人员及其他从业人员之和。</w:t>
      </w:r>
    </w:p>
    <w:p w14:paraId="13A4CAAA">
      <w:pPr>
        <w:spacing w:line="360" w:lineRule="auto"/>
        <w:jc w:val="left"/>
        <w:rPr>
          <w:bCs/>
          <w:color w:val="auto"/>
          <w:szCs w:val="21"/>
          <w:highlight w:val="none"/>
        </w:rPr>
      </w:pPr>
      <w:r>
        <w:rPr>
          <w:rFonts w:hint="eastAsia"/>
          <w:bCs/>
          <w:color w:val="auto"/>
          <w:szCs w:val="21"/>
          <w:highlight w:val="none"/>
        </w:rPr>
        <w:t>（</w:t>
      </w:r>
      <w:r>
        <w:rPr>
          <w:bCs/>
          <w:color w:val="auto"/>
          <w:szCs w:val="21"/>
          <w:highlight w:val="none"/>
        </w:rPr>
        <w:t>6</w:t>
      </w:r>
      <w:r>
        <w:rPr>
          <w:rFonts w:hint="eastAsia"/>
          <w:bCs/>
          <w:color w:val="auto"/>
          <w:szCs w:val="21"/>
          <w:highlight w:val="none"/>
        </w:rPr>
        <w:t>）本声明函由供应商填写，供应商应按中小企业划分标准《关于印发中小企业划型标准规定的通知》（工信部联企业〔2011〕300号</w:t>
      </w:r>
      <w:r>
        <w:rPr>
          <w:rFonts w:hint="eastAsia"/>
          <w:color w:val="auto"/>
          <w:szCs w:val="21"/>
          <w:highlight w:val="none"/>
        </w:rPr>
        <w:t>以及《金融业企业划型标准规定》（银发〔2015〕309号）</w:t>
      </w:r>
      <w:r>
        <w:rPr>
          <w:rFonts w:hint="eastAsia"/>
          <w:bCs/>
          <w:color w:val="auto"/>
          <w:szCs w:val="21"/>
          <w:highlight w:val="none"/>
        </w:rPr>
        <w:t>）判断是否为中小企业。</w:t>
      </w:r>
    </w:p>
    <w:p w14:paraId="25336513">
      <w:pPr>
        <w:spacing w:line="360" w:lineRule="auto"/>
        <w:jc w:val="left"/>
        <w:rPr>
          <w:bCs/>
          <w:color w:val="auto"/>
          <w:szCs w:val="21"/>
          <w:highlight w:val="none"/>
        </w:rPr>
      </w:pPr>
      <w:r>
        <w:rPr>
          <w:rFonts w:hint="eastAsia"/>
          <w:bCs/>
          <w:color w:val="auto"/>
          <w:szCs w:val="21"/>
          <w:highlight w:val="none"/>
        </w:rPr>
        <w:t>（</w:t>
      </w:r>
      <w:r>
        <w:rPr>
          <w:bCs/>
          <w:color w:val="auto"/>
          <w:szCs w:val="21"/>
          <w:highlight w:val="none"/>
        </w:rPr>
        <w:t>7</w:t>
      </w:r>
      <w:r>
        <w:rPr>
          <w:rFonts w:hint="eastAsia"/>
          <w:bCs/>
          <w:color w:val="auto"/>
          <w:szCs w:val="21"/>
          <w:highlight w:val="none"/>
        </w:rPr>
        <w:t>）供应商对《中小企业声明函》的真实性负责，如有虚假则需承担不利后果。依法享受中小企业优惠政策的，采购人或采购代理机构在公告成交结果时，同时公告其《中小企业声明函》，接受社会监督。</w:t>
      </w:r>
    </w:p>
    <w:p w14:paraId="495157B6">
      <w:pPr>
        <w:spacing w:line="360" w:lineRule="auto"/>
        <w:jc w:val="left"/>
        <w:rPr>
          <w:bCs/>
          <w:color w:val="auto"/>
          <w:szCs w:val="21"/>
          <w:highlight w:val="none"/>
        </w:rPr>
      </w:pPr>
      <w:r>
        <w:rPr>
          <w:rFonts w:hint="eastAsia"/>
          <w:bCs/>
          <w:color w:val="auto"/>
          <w:szCs w:val="21"/>
          <w:highlight w:val="none"/>
        </w:rPr>
        <w:t>（</w:t>
      </w:r>
      <w:r>
        <w:rPr>
          <w:bCs/>
          <w:color w:val="auto"/>
          <w:szCs w:val="21"/>
          <w:highlight w:val="none"/>
        </w:rPr>
        <w:t>8</w:t>
      </w:r>
      <w:r>
        <w:rPr>
          <w:rFonts w:hint="eastAsia"/>
          <w:bCs/>
          <w:color w:val="auto"/>
          <w:szCs w:val="21"/>
          <w:highlight w:val="none"/>
        </w:rPr>
        <w:t>）上述企业属于大企业的分支机构或控股股东为大企业或与大企业的负责人为同一人的，不得享受价格扣除优惠政策。接受分包的小微企业与分包企业之间存在直接控股、管理关系的，不得享受价格扣除优惠政策。</w:t>
      </w:r>
    </w:p>
    <w:p w14:paraId="3AFFFCF8">
      <w:pPr>
        <w:spacing w:line="360" w:lineRule="auto"/>
        <w:jc w:val="left"/>
        <w:rPr>
          <w:rFonts w:hint="eastAsia"/>
          <w:color w:val="auto"/>
          <w:szCs w:val="21"/>
          <w:highlight w:val="none"/>
        </w:rPr>
      </w:pPr>
    </w:p>
    <w:p w14:paraId="771B6A56">
      <w:pPr>
        <w:ind w:right="420" w:firstLine="5355" w:firstLineChars="2550"/>
        <w:rPr>
          <w:color w:val="auto"/>
          <w:szCs w:val="21"/>
          <w:highlight w:val="none"/>
        </w:rPr>
      </w:pPr>
    </w:p>
    <w:p w14:paraId="024EB161">
      <w:pPr>
        <w:snapToGrid w:val="0"/>
        <w:spacing w:before="50" w:after="120" w:afterLines="50"/>
        <w:jc w:val="left"/>
        <w:rPr>
          <w:rFonts w:hint="eastAsia"/>
          <w:color w:val="auto"/>
          <w:szCs w:val="21"/>
          <w:highlight w:val="none"/>
        </w:rPr>
      </w:pPr>
      <w:r>
        <w:rPr>
          <w:rFonts w:hint="eastAsia"/>
          <w:color w:val="auto"/>
          <w:szCs w:val="21"/>
          <w:highlight w:val="none"/>
          <w:lang w:val="en-US" w:eastAsia="zh-CN"/>
        </w:rPr>
        <w:t>4</w:t>
      </w:r>
      <w:r>
        <w:rPr>
          <w:color w:val="auto"/>
          <w:szCs w:val="21"/>
          <w:highlight w:val="none"/>
        </w:rPr>
        <w:t>.</w:t>
      </w:r>
      <w:r>
        <w:rPr>
          <w:rFonts w:hint="eastAsia"/>
          <w:color w:val="auto"/>
          <w:szCs w:val="21"/>
          <w:highlight w:val="none"/>
        </w:rPr>
        <w:t>2</w:t>
      </w:r>
      <w:r>
        <w:rPr>
          <w:color w:val="auto"/>
          <w:szCs w:val="21"/>
          <w:highlight w:val="none"/>
        </w:rPr>
        <w:t xml:space="preserve"> 监狱企业须提供最新一期《XX省监狱企业</w:t>
      </w:r>
      <w:r>
        <w:rPr>
          <w:rFonts w:hint="eastAsia"/>
          <w:color w:val="auto"/>
          <w:szCs w:val="21"/>
          <w:highlight w:val="none"/>
        </w:rPr>
        <w:t>产品</w:t>
      </w:r>
      <w:r>
        <w:rPr>
          <w:color w:val="auto"/>
          <w:szCs w:val="21"/>
          <w:highlight w:val="none"/>
        </w:rPr>
        <w:t>目录》或其他监狱企业证明材料。（非监狱企业无需提供）</w:t>
      </w:r>
    </w:p>
    <w:p w14:paraId="6CA0CAFC">
      <w:pPr>
        <w:snapToGrid w:val="0"/>
        <w:spacing w:before="50" w:after="120" w:afterLines="50"/>
        <w:jc w:val="left"/>
        <w:rPr>
          <w:rFonts w:hint="eastAsia"/>
          <w:color w:val="auto"/>
          <w:szCs w:val="21"/>
          <w:highlight w:val="none"/>
        </w:rPr>
      </w:pPr>
    </w:p>
    <w:p w14:paraId="5AA1E8C2">
      <w:pPr>
        <w:snapToGrid w:val="0"/>
        <w:spacing w:before="50" w:after="120" w:afterLines="50"/>
        <w:jc w:val="left"/>
        <w:rPr>
          <w:color w:val="auto"/>
          <w:szCs w:val="21"/>
          <w:highlight w:val="none"/>
        </w:rPr>
      </w:pPr>
    </w:p>
    <w:p w14:paraId="1CB33059">
      <w:pPr>
        <w:snapToGrid w:val="0"/>
        <w:spacing w:before="50" w:after="120" w:afterLines="50"/>
        <w:jc w:val="left"/>
        <w:rPr>
          <w:rFonts w:hint="eastAsia"/>
          <w:color w:val="auto"/>
          <w:highlight w:val="none"/>
        </w:rPr>
      </w:pPr>
      <w:r>
        <w:rPr>
          <w:rFonts w:hint="eastAsia"/>
          <w:color w:val="auto"/>
          <w:szCs w:val="21"/>
          <w:highlight w:val="none"/>
          <w:lang w:val="en-US" w:eastAsia="zh-CN"/>
        </w:rPr>
        <w:t>4</w:t>
      </w:r>
      <w:r>
        <w:rPr>
          <w:color w:val="auto"/>
          <w:szCs w:val="21"/>
          <w:highlight w:val="none"/>
        </w:rPr>
        <w:t>.</w:t>
      </w:r>
      <w:r>
        <w:rPr>
          <w:rFonts w:hint="eastAsia"/>
          <w:color w:val="auto"/>
          <w:szCs w:val="21"/>
          <w:highlight w:val="none"/>
        </w:rPr>
        <w:t>3</w:t>
      </w:r>
      <w:r>
        <w:rPr>
          <w:color w:val="auto"/>
          <w:szCs w:val="21"/>
          <w:highlight w:val="none"/>
        </w:rPr>
        <w:t>残疾人福利性单位须提供《残疾人福利性单位声明</w:t>
      </w:r>
      <w:r>
        <w:rPr>
          <w:color w:val="auto"/>
          <w:highlight w:val="none"/>
        </w:rPr>
        <w:t>函》，格式如下。</w:t>
      </w:r>
      <w:r>
        <w:rPr>
          <w:color w:val="auto"/>
          <w:szCs w:val="21"/>
          <w:highlight w:val="none"/>
        </w:rPr>
        <w:t>（非残疾人福利性单位无需提供）</w:t>
      </w:r>
      <w:r>
        <w:rPr>
          <w:rFonts w:hint="eastAsia"/>
          <w:color w:val="auto"/>
          <w:szCs w:val="21"/>
          <w:highlight w:val="none"/>
        </w:rPr>
        <w:t>。</w:t>
      </w:r>
      <w:bookmarkStart w:id="1085" w:name="OLE_LINK14"/>
      <w:bookmarkStart w:id="1086" w:name="OLE_LINK13"/>
    </w:p>
    <w:p w14:paraId="71CBA3CB">
      <w:pPr>
        <w:spacing w:line="360" w:lineRule="auto"/>
        <w:jc w:val="center"/>
        <w:rPr>
          <w:b/>
          <w:color w:val="auto"/>
          <w:szCs w:val="21"/>
          <w:highlight w:val="none"/>
        </w:rPr>
      </w:pPr>
      <w:r>
        <w:rPr>
          <w:b/>
          <w:color w:val="auto"/>
          <w:szCs w:val="21"/>
          <w:highlight w:val="none"/>
        </w:rPr>
        <w:t>残疾人福利性单位声明函</w:t>
      </w:r>
    </w:p>
    <w:bookmarkEnd w:id="1085"/>
    <w:bookmarkEnd w:id="1086"/>
    <w:p w14:paraId="02F7571D">
      <w:pPr>
        <w:spacing w:line="588" w:lineRule="exact"/>
        <w:rPr>
          <w:rFonts w:eastAsia="仿宋_GB2312"/>
          <w:b/>
          <w:color w:val="auto"/>
          <w:spacing w:val="6"/>
          <w:sz w:val="30"/>
          <w:szCs w:val="30"/>
          <w:highlight w:val="none"/>
        </w:rPr>
      </w:pPr>
    </w:p>
    <w:p w14:paraId="6496ACE7">
      <w:pPr>
        <w:spacing w:line="360" w:lineRule="auto"/>
        <w:ind w:firstLine="420"/>
        <w:jc w:val="left"/>
        <w:rPr>
          <w:color w:val="auto"/>
          <w:szCs w:val="21"/>
          <w:highlight w:val="none"/>
        </w:rPr>
      </w:pPr>
      <w:r>
        <w:rPr>
          <w:color w:val="auto"/>
          <w:szCs w:val="21"/>
          <w:highlight w:val="none"/>
        </w:rPr>
        <w:t>本单位郑重声明，根据《财政部 民政部 中国残疾人联合会关于促进残疾人就业政府采购政策的通知》（财库〔2017〕141号）的规定，本单位为符合条件的残疾人福利性单位，且本单位参加</w:t>
      </w:r>
      <w:r>
        <w:rPr>
          <w:color w:val="auto"/>
          <w:szCs w:val="21"/>
          <w:highlight w:val="none"/>
          <w:u w:val="single"/>
        </w:rPr>
        <w:t xml:space="preserve">        </w:t>
      </w:r>
      <w:r>
        <w:rPr>
          <w:color w:val="auto"/>
          <w:szCs w:val="21"/>
          <w:highlight w:val="none"/>
        </w:rPr>
        <w:t>单位的</w:t>
      </w:r>
      <w:r>
        <w:rPr>
          <w:color w:val="auto"/>
          <w:szCs w:val="21"/>
          <w:highlight w:val="none"/>
          <w:u w:val="single"/>
        </w:rPr>
        <w:t xml:space="preserve">           </w:t>
      </w:r>
      <w:r>
        <w:rPr>
          <w:color w:val="auto"/>
          <w:szCs w:val="21"/>
          <w:highlight w:val="none"/>
        </w:rPr>
        <w:t>项目采购活动提供本单位制造的货物（由本单位承担工程/提供服务），或者提供其他残疾人福利性单位制造的货物（不包括使用非残疾人福利性单位注册商标的货物）。</w:t>
      </w:r>
    </w:p>
    <w:p w14:paraId="38801B65">
      <w:pPr>
        <w:spacing w:line="360" w:lineRule="auto"/>
        <w:ind w:firstLine="420"/>
        <w:rPr>
          <w:color w:val="auto"/>
          <w:szCs w:val="21"/>
          <w:highlight w:val="none"/>
        </w:rPr>
      </w:pPr>
      <w:r>
        <w:rPr>
          <w:color w:val="auto"/>
          <w:szCs w:val="21"/>
          <w:highlight w:val="none"/>
        </w:rPr>
        <w:t>本单位对上述声明的真实性负责。如有虚假，将依法承担相应责任。</w:t>
      </w:r>
    </w:p>
    <w:p w14:paraId="3838B1B6">
      <w:pPr>
        <w:tabs>
          <w:tab w:val="left" w:pos="4860"/>
        </w:tabs>
        <w:spacing w:line="588" w:lineRule="exact"/>
        <w:ind w:right="1560" w:firstLine="624" w:firstLineChars="200"/>
        <w:jc w:val="center"/>
        <w:rPr>
          <w:color w:val="auto"/>
          <w:spacing w:val="6"/>
          <w:szCs w:val="21"/>
          <w:highlight w:val="none"/>
        </w:rPr>
      </w:pPr>
      <w:r>
        <w:rPr>
          <w:rFonts w:eastAsia="仿宋_GB2312"/>
          <w:color w:val="auto"/>
          <w:spacing w:val="6"/>
          <w:sz w:val="30"/>
          <w:szCs w:val="30"/>
          <w:highlight w:val="none"/>
        </w:rPr>
        <w:t xml:space="preserve">              </w:t>
      </w:r>
      <w:r>
        <w:rPr>
          <w:color w:val="auto"/>
          <w:spacing w:val="6"/>
          <w:szCs w:val="21"/>
          <w:highlight w:val="none"/>
        </w:rPr>
        <w:t xml:space="preserve"> </w:t>
      </w:r>
      <w:r>
        <w:rPr>
          <w:rFonts w:hint="eastAsia"/>
          <w:color w:val="auto"/>
          <w:spacing w:val="6"/>
          <w:szCs w:val="21"/>
          <w:highlight w:val="none"/>
        </w:rPr>
        <w:t xml:space="preserve">    </w:t>
      </w:r>
      <w:r>
        <w:rPr>
          <w:color w:val="auto"/>
          <w:spacing w:val="6"/>
          <w:szCs w:val="21"/>
          <w:highlight w:val="none"/>
        </w:rPr>
        <w:t>单位名称（</w:t>
      </w:r>
      <w:r>
        <w:rPr>
          <w:rFonts w:hint="eastAsia"/>
          <w:color w:val="auto"/>
          <w:szCs w:val="21"/>
          <w:highlight w:val="none"/>
        </w:rPr>
        <w:t>电子签章</w:t>
      </w:r>
      <w:r>
        <w:rPr>
          <w:color w:val="auto"/>
          <w:spacing w:val="6"/>
          <w:szCs w:val="21"/>
          <w:highlight w:val="none"/>
        </w:rPr>
        <w:t>）：</w:t>
      </w:r>
    </w:p>
    <w:p w14:paraId="18594541">
      <w:pPr>
        <w:snapToGrid w:val="0"/>
        <w:spacing w:before="50" w:after="120" w:afterLines="50"/>
        <w:jc w:val="left"/>
        <w:rPr>
          <w:color w:val="auto"/>
          <w:spacing w:val="6"/>
          <w:szCs w:val="21"/>
          <w:highlight w:val="none"/>
        </w:rPr>
      </w:pPr>
      <w:r>
        <w:rPr>
          <w:color w:val="auto"/>
          <w:spacing w:val="6"/>
          <w:szCs w:val="21"/>
          <w:highlight w:val="none"/>
        </w:rPr>
        <w:t xml:space="preserve">                                           </w:t>
      </w:r>
      <w:r>
        <w:rPr>
          <w:rFonts w:hint="eastAsia"/>
          <w:color w:val="auto"/>
          <w:spacing w:val="6"/>
          <w:szCs w:val="21"/>
          <w:highlight w:val="none"/>
        </w:rPr>
        <w:t xml:space="preserve">     </w:t>
      </w:r>
      <w:r>
        <w:rPr>
          <w:color w:val="auto"/>
          <w:spacing w:val="6"/>
          <w:szCs w:val="21"/>
          <w:highlight w:val="none"/>
        </w:rPr>
        <w:t xml:space="preserve"> 日  期：</w:t>
      </w:r>
    </w:p>
    <w:p w14:paraId="6CD7B1CF">
      <w:pPr>
        <w:rPr>
          <w:rFonts w:hint="eastAsia"/>
          <w:color w:val="auto"/>
          <w:szCs w:val="21"/>
          <w:highlight w:val="none"/>
        </w:rPr>
      </w:pPr>
    </w:p>
    <w:p w14:paraId="05661CE8">
      <w:pPr>
        <w:pStyle w:val="8"/>
        <w:overflowPunct w:val="0"/>
        <w:ind w:firstLine="367" w:firstLineChars="175"/>
        <w:rPr>
          <w:b/>
          <w:bCs/>
          <w:color w:val="auto"/>
          <w:szCs w:val="21"/>
          <w:highlight w:val="none"/>
        </w:rPr>
      </w:pPr>
      <w:r>
        <w:rPr>
          <w:color w:val="auto"/>
          <w:szCs w:val="21"/>
          <w:highlight w:val="none"/>
        </w:rPr>
        <w:br w:type="page"/>
      </w:r>
      <w:r>
        <w:rPr>
          <w:rFonts w:hint="eastAsia"/>
          <w:color w:val="auto"/>
          <w:szCs w:val="21"/>
          <w:highlight w:val="none"/>
          <w:lang w:val="en-US" w:eastAsia="zh-CN"/>
        </w:rPr>
        <w:t>5</w:t>
      </w:r>
      <w:r>
        <w:rPr>
          <w:color w:val="auto"/>
          <w:szCs w:val="21"/>
          <w:highlight w:val="none"/>
        </w:rPr>
        <w:t>.</w:t>
      </w:r>
      <w:r>
        <w:rPr>
          <w:rFonts w:hint="eastAsia"/>
          <w:b/>
          <w:bCs/>
          <w:color w:val="auto"/>
          <w:szCs w:val="21"/>
          <w:highlight w:val="none"/>
        </w:rPr>
        <w:t>无串标行为承诺函</w:t>
      </w:r>
    </w:p>
    <w:p w14:paraId="2D2EB9A7">
      <w:pPr>
        <w:snapToGrid w:val="0"/>
        <w:spacing w:before="50" w:after="120" w:afterLines="50"/>
        <w:jc w:val="center"/>
        <w:rPr>
          <w:color w:val="auto"/>
          <w:szCs w:val="21"/>
          <w:highlight w:val="none"/>
        </w:rPr>
      </w:pPr>
    </w:p>
    <w:p w14:paraId="553D5FBC">
      <w:pPr>
        <w:snapToGrid w:val="0"/>
        <w:spacing w:before="50" w:after="120" w:afterLines="50"/>
        <w:jc w:val="center"/>
        <w:rPr>
          <w:color w:val="auto"/>
          <w:szCs w:val="21"/>
          <w:highlight w:val="none"/>
        </w:rPr>
      </w:pPr>
      <w:r>
        <w:rPr>
          <w:rFonts w:hint="eastAsia"/>
          <w:color w:val="auto"/>
          <w:szCs w:val="21"/>
          <w:highlight w:val="none"/>
        </w:rPr>
        <w:t>供应商参加本项目无围标串标行为的承诺函</w:t>
      </w:r>
    </w:p>
    <w:p w14:paraId="21FFD11B">
      <w:pPr>
        <w:snapToGrid w:val="0"/>
        <w:spacing w:before="50" w:after="120" w:afterLines="50"/>
        <w:jc w:val="left"/>
        <w:rPr>
          <w:color w:val="auto"/>
          <w:szCs w:val="21"/>
          <w:highlight w:val="none"/>
        </w:rPr>
      </w:pPr>
    </w:p>
    <w:p w14:paraId="2922E551">
      <w:pPr>
        <w:snapToGrid w:val="0"/>
        <w:spacing w:before="50" w:after="120" w:afterLines="50"/>
        <w:jc w:val="left"/>
        <w:rPr>
          <w:color w:val="auto"/>
          <w:szCs w:val="21"/>
          <w:highlight w:val="none"/>
        </w:rPr>
      </w:pPr>
      <w:r>
        <w:rPr>
          <w:rFonts w:hint="eastAsia"/>
          <w:color w:val="auto"/>
          <w:szCs w:val="21"/>
          <w:highlight w:val="none"/>
        </w:rPr>
        <w:t>一、我方承诺无下列相互串通投标的情形：</w:t>
      </w:r>
    </w:p>
    <w:p w14:paraId="3C46CA0D">
      <w:pPr>
        <w:snapToGrid w:val="0"/>
        <w:spacing w:before="50" w:after="120" w:afterLines="50"/>
        <w:jc w:val="left"/>
        <w:rPr>
          <w:color w:val="auto"/>
          <w:szCs w:val="21"/>
          <w:highlight w:val="none"/>
        </w:rPr>
      </w:pPr>
      <w:r>
        <w:rPr>
          <w:rFonts w:hint="eastAsia"/>
          <w:color w:val="auto"/>
          <w:szCs w:val="21"/>
          <w:highlight w:val="none"/>
        </w:rPr>
        <w:t>1.不同供应商的响应文件由同一单位或者个人编制；或者不同供应商报名的IP地址一致的；</w:t>
      </w:r>
    </w:p>
    <w:p w14:paraId="0D742754">
      <w:pPr>
        <w:snapToGrid w:val="0"/>
        <w:spacing w:before="50" w:after="120" w:afterLines="50"/>
        <w:jc w:val="left"/>
        <w:rPr>
          <w:color w:val="auto"/>
          <w:szCs w:val="21"/>
          <w:highlight w:val="none"/>
        </w:rPr>
      </w:pPr>
      <w:r>
        <w:rPr>
          <w:rFonts w:hint="eastAsia"/>
          <w:color w:val="auto"/>
          <w:szCs w:val="21"/>
          <w:highlight w:val="none"/>
        </w:rPr>
        <w:t>2.不同供应商委托同一单位或者个人办理投标事宜；</w:t>
      </w:r>
    </w:p>
    <w:p w14:paraId="56051013">
      <w:pPr>
        <w:snapToGrid w:val="0"/>
        <w:spacing w:before="50" w:after="120" w:afterLines="50"/>
        <w:jc w:val="left"/>
        <w:rPr>
          <w:color w:val="auto"/>
          <w:szCs w:val="21"/>
          <w:highlight w:val="none"/>
        </w:rPr>
      </w:pPr>
      <w:r>
        <w:rPr>
          <w:rFonts w:hint="eastAsia"/>
          <w:color w:val="auto"/>
          <w:szCs w:val="21"/>
          <w:highlight w:val="none"/>
        </w:rPr>
        <w:t>3.不同的供应商的响应文件载明的项目管理员为同一个人；</w:t>
      </w:r>
    </w:p>
    <w:p w14:paraId="1541D0A6">
      <w:pPr>
        <w:snapToGrid w:val="0"/>
        <w:spacing w:before="50" w:after="120" w:afterLines="50"/>
        <w:jc w:val="left"/>
        <w:rPr>
          <w:color w:val="auto"/>
          <w:szCs w:val="21"/>
          <w:highlight w:val="none"/>
        </w:rPr>
      </w:pPr>
      <w:r>
        <w:rPr>
          <w:rFonts w:hint="eastAsia"/>
          <w:color w:val="auto"/>
          <w:szCs w:val="21"/>
          <w:highlight w:val="none"/>
        </w:rPr>
        <w:t>4.不同供应商的响应文件异常一致或者投标报价呈规律性差异；</w:t>
      </w:r>
    </w:p>
    <w:p w14:paraId="1007411B">
      <w:pPr>
        <w:snapToGrid w:val="0"/>
        <w:spacing w:before="50" w:after="120" w:afterLines="50"/>
        <w:jc w:val="left"/>
        <w:rPr>
          <w:color w:val="auto"/>
          <w:szCs w:val="21"/>
          <w:highlight w:val="none"/>
        </w:rPr>
      </w:pPr>
      <w:r>
        <w:rPr>
          <w:rFonts w:hint="eastAsia"/>
          <w:color w:val="auto"/>
          <w:szCs w:val="21"/>
          <w:highlight w:val="none"/>
        </w:rPr>
        <w:t>5.不同供应商的响应文件相互混装；</w:t>
      </w:r>
    </w:p>
    <w:p w14:paraId="4C7475A2">
      <w:pPr>
        <w:snapToGrid w:val="0"/>
        <w:spacing w:before="50" w:after="120" w:afterLines="50"/>
        <w:jc w:val="left"/>
        <w:rPr>
          <w:color w:val="auto"/>
          <w:szCs w:val="21"/>
          <w:highlight w:val="none"/>
        </w:rPr>
      </w:pPr>
      <w:r>
        <w:rPr>
          <w:rFonts w:hint="eastAsia"/>
          <w:color w:val="auto"/>
          <w:szCs w:val="21"/>
          <w:highlight w:val="none"/>
        </w:rPr>
        <w:t>6.不同供应商的磋商保证金从同一单位或者个人账户转出。</w:t>
      </w:r>
    </w:p>
    <w:p w14:paraId="73A2AE68">
      <w:pPr>
        <w:snapToGrid w:val="0"/>
        <w:spacing w:before="50" w:after="120" w:afterLines="50"/>
        <w:jc w:val="left"/>
        <w:rPr>
          <w:color w:val="auto"/>
          <w:szCs w:val="21"/>
          <w:highlight w:val="none"/>
        </w:rPr>
      </w:pPr>
      <w:r>
        <w:rPr>
          <w:rFonts w:hint="eastAsia"/>
          <w:color w:val="auto"/>
          <w:szCs w:val="21"/>
          <w:highlight w:val="none"/>
        </w:rPr>
        <w:t>二、我方承诺无下列恶意串通的情形：</w:t>
      </w:r>
    </w:p>
    <w:p w14:paraId="7FDDF05C">
      <w:pPr>
        <w:snapToGrid w:val="0"/>
        <w:spacing w:before="50" w:after="120" w:afterLines="50"/>
        <w:jc w:val="left"/>
        <w:rPr>
          <w:color w:val="auto"/>
          <w:szCs w:val="21"/>
          <w:highlight w:val="none"/>
        </w:rPr>
      </w:pPr>
      <w:r>
        <w:rPr>
          <w:rFonts w:hint="eastAsia"/>
          <w:color w:val="auto"/>
          <w:szCs w:val="21"/>
          <w:highlight w:val="none"/>
        </w:rPr>
        <w:t>1.供应商直接或者间接从采购人或者采购代理机构处获得其他供应商的相关信息并修改其响应文件或者响应文件；</w:t>
      </w:r>
    </w:p>
    <w:p w14:paraId="190071E9">
      <w:pPr>
        <w:snapToGrid w:val="0"/>
        <w:spacing w:before="50" w:after="120" w:afterLines="50"/>
        <w:jc w:val="left"/>
        <w:rPr>
          <w:color w:val="auto"/>
          <w:szCs w:val="21"/>
          <w:highlight w:val="none"/>
        </w:rPr>
      </w:pPr>
      <w:r>
        <w:rPr>
          <w:rFonts w:hint="eastAsia"/>
          <w:color w:val="auto"/>
          <w:szCs w:val="21"/>
          <w:highlight w:val="none"/>
        </w:rPr>
        <w:t>2.供应商按照采购人或者采购代理机构的授意撤换、修改响应文件或者响应文件；</w:t>
      </w:r>
    </w:p>
    <w:p w14:paraId="28F075B9">
      <w:pPr>
        <w:snapToGrid w:val="0"/>
        <w:spacing w:before="50" w:after="120" w:afterLines="50"/>
        <w:jc w:val="left"/>
        <w:rPr>
          <w:color w:val="auto"/>
          <w:szCs w:val="21"/>
          <w:highlight w:val="none"/>
        </w:rPr>
      </w:pPr>
      <w:r>
        <w:rPr>
          <w:rFonts w:hint="eastAsia"/>
          <w:color w:val="auto"/>
          <w:szCs w:val="21"/>
          <w:highlight w:val="none"/>
        </w:rPr>
        <w:t>3.供应商之间协商报价、技术方案等响应文件或者响应文件的实质性内容；</w:t>
      </w:r>
    </w:p>
    <w:p w14:paraId="4C60F07F">
      <w:pPr>
        <w:snapToGrid w:val="0"/>
        <w:spacing w:before="50" w:after="120" w:afterLines="50"/>
        <w:jc w:val="left"/>
        <w:rPr>
          <w:color w:val="auto"/>
          <w:szCs w:val="21"/>
          <w:highlight w:val="none"/>
        </w:rPr>
      </w:pPr>
      <w:r>
        <w:rPr>
          <w:rFonts w:hint="eastAsia"/>
          <w:color w:val="auto"/>
          <w:szCs w:val="21"/>
          <w:highlight w:val="none"/>
        </w:rPr>
        <w:t>4.属于同一集团、协会、商会等组织成员的供应商按照该组织要求协同参加政府采购活动；</w:t>
      </w:r>
    </w:p>
    <w:p w14:paraId="76B4FF82">
      <w:pPr>
        <w:snapToGrid w:val="0"/>
        <w:spacing w:before="50" w:after="120" w:afterLines="50"/>
        <w:jc w:val="left"/>
        <w:rPr>
          <w:color w:val="auto"/>
          <w:szCs w:val="21"/>
          <w:highlight w:val="none"/>
        </w:rPr>
      </w:pPr>
      <w:r>
        <w:rPr>
          <w:rFonts w:hint="eastAsia"/>
          <w:color w:val="auto"/>
          <w:szCs w:val="21"/>
          <w:highlight w:val="none"/>
        </w:rPr>
        <w:t>5.供应商之间事先约定一致抬高或者压低投标报价，或者在招标项目中事先约定轮流以高价位或者低价位中标，或者事先约定由某一特定供应商中标，然后再参加投标；</w:t>
      </w:r>
    </w:p>
    <w:p w14:paraId="46CE8BA1">
      <w:pPr>
        <w:snapToGrid w:val="0"/>
        <w:spacing w:before="50" w:after="120" w:afterLines="50"/>
        <w:jc w:val="left"/>
        <w:rPr>
          <w:color w:val="auto"/>
          <w:szCs w:val="21"/>
          <w:highlight w:val="none"/>
        </w:rPr>
      </w:pPr>
      <w:r>
        <w:rPr>
          <w:rFonts w:hint="eastAsia"/>
          <w:color w:val="auto"/>
          <w:szCs w:val="21"/>
          <w:highlight w:val="none"/>
        </w:rPr>
        <w:t>6.供应商之间商定部分供应商放弃参加政府采购活动或者放弃中标；</w:t>
      </w:r>
    </w:p>
    <w:p w14:paraId="09677B1D">
      <w:pPr>
        <w:snapToGrid w:val="0"/>
        <w:spacing w:before="50" w:after="120" w:afterLines="50"/>
        <w:jc w:val="left"/>
        <w:rPr>
          <w:color w:val="auto"/>
          <w:szCs w:val="21"/>
          <w:highlight w:val="none"/>
        </w:rPr>
      </w:pPr>
      <w:r>
        <w:rPr>
          <w:rFonts w:hint="eastAsia"/>
          <w:color w:val="auto"/>
          <w:szCs w:val="21"/>
          <w:highlight w:val="none"/>
        </w:rPr>
        <w:t>7.供应商与采购人或者采购代理机构之间、供应商相互之间，为谋求特定供应商中标或者排斥其他供应商的其他串通行为。</w:t>
      </w:r>
    </w:p>
    <w:p w14:paraId="2BCA5EA4">
      <w:pPr>
        <w:snapToGrid w:val="0"/>
        <w:spacing w:before="50" w:after="120" w:afterLines="50"/>
        <w:jc w:val="left"/>
        <w:rPr>
          <w:color w:val="auto"/>
          <w:szCs w:val="21"/>
          <w:highlight w:val="none"/>
        </w:rPr>
      </w:pPr>
      <w:r>
        <w:rPr>
          <w:rFonts w:hint="eastAsia"/>
          <w:color w:val="auto"/>
          <w:szCs w:val="21"/>
          <w:highlight w:val="none"/>
        </w:rPr>
        <w:t>以上情形一经核查属实，我方愿意承担一切后果，并不再寻求任何旨在减轻或者免除法律责任的辩解。</w:t>
      </w:r>
    </w:p>
    <w:p w14:paraId="2D1F14A4">
      <w:pPr>
        <w:snapToGrid w:val="0"/>
        <w:spacing w:before="50" w:after="120" w:afterLines="50"/>
        <w:jc w:val="center"/>
        <w:rPr>
          <w:color w:val="auto"/>
          <w:szCs w:val="21"/>
          <w:highlight w:val="none"/>
        </w:rPr>
      </w:pPr>
      <w:r>
        <w:rPr>
          <w:rFonts w:hint="eastAsia"/>
          <w:color w:val="auto"/>
          <w:szCs w:val="21"/>
          <w:highlight w:val="none"/>
        </w:rPr>
        <w:t xml:space="preserve"> </w:t>
      </w:r>
      <w:r>
        <w:rPr>
          <w:color w:val="auto"/>
          <w:szCs w:val="21"/>
          <w:highlight w:val="none"/>
        </w:rPr>
        <w:t xml:space="preserve"> </w:t>
      </w:r>
    </w:p>
    <w:p w14:paraId="08BC44A5">
      <w:pPr>
        <w:snapToGrid w:val="0"/>
        <w:spacing w:before="50" w:after="120" w:afterLines="50"/>
        <w:jc w:val="center"/>
        <w:rPr>
          <w:color w:val="auto"/>
          <w:szCs w:val="21"/>
          <w:highlight w:val="none"/>
        </w:rPr>
      </w:pPr>
    </w:p>
    <w:p w14:paraId="0CA138E7">
      <w:pPr>
        <w:snapToGrid w:val="0"/>
        <w:spacing w:before="50" w:after="120" w:afterLines="50"/>
        <w:jc w:val="center"/>
        <w:rPr>
          <w:color w:val="auto"/>
          <w:szCs w:val="21"/>
          <w:highlight w:val="none"/>
        </w:rPr>
      </w:pPr>
    </w:p>
    <w:p w14:paraId="38673DBC">
      <w:pPr>
        <w:snapToGrid w:val="0"/>
        <w:spacing w:before="50" w:after="120" w:afterLines="50"/>
        <w:jc w:val="center"/>
        <w:rPr>
          <w:color w:val="auto"/>
          <w:szCs w:val="21"/>
          <w:highlight w:val="none"/>
        </w:rPr>
      </w:pPr>
      <w:r>
        <w:rPr>
          <w:color w:val="auto"/>
          <w:szCs w:val="21"/>
          <w:highlight w:val="none"/>
        </w:rPr>
        <w:t>供应商</w:t>
      </w:r>
      <w:r>
        <w:rPr>
          <w:rFonts w:hint="eastAsia"/>
          <w:color w:val="auto"/>
          <w:szCs w:val="21"/>
          <w:highlight w:val="none"/>
        </w:rPr>
        <w:t>名称(电子签章</w:t>
      </w:r>
      <w:r>
        <w:rPr>
          <w:color w:val="auto"/>
          <w:szCs w:val="21"/>
          <w:highlight w:val="none"/>
        </w:rPr>
        <w:t>)</w:t>
      </w:r>
      <w:r>
        <w:rPr>
          <w:rFonts w:hint="eastAsia"/>
          <w:color w:val="auto"/>
          <w:szCs w:val="21"/>
          <w:highlight w:val="none"/>
        </w:rPr>
        <w:t>：</w:t>
      </w:r>
    </w:p>
    <w:p w14:paraId="5513310C">
      <w:pPr>
        <w:snapToGrid w:val="0"/>
        <w:spacing w:before="50" w:after="120" w:afterLines="50"/>
        <w:jc w:val="center"/>
        <w:rPr>
          <w:color w:val="auto"/>
          <w:szCs w:val="21"/>
          <w:highlight w:val="none"/>
        </w:rPr>
      </w:pPr>
      <w:r>
        <w:rPr>
          <w:rFonts w:hint="eastAsia"/>
          <w:color w:val="auto"/>
          <w:szCs w:val="21"/>
          <w:highlight w:val="none"/>
        </w:rPr>
        <w:t>日期：  年  月   日</w:t>
      </w:r>
    </w:p>
    <w:p w14:paraId="2783B157">
      <w:pPr>
        <w:spacing w:line="360" w:lineRule="exact"/>
        <w:rPr>
          <w:color w:val="auto"/>
          <w:szCs w:val="21"/>
          <w:highlight w:val="none"/>
        </w:rPr>
      </w:pPr>
    </w:p>
    <w:p w14:paraId="40B96853">
      <w:pPr>
        <w:spacing w:line="360" w:lineRule="exact"/>
        <w:rPr>
          <w:rFonts w:hint="eastAsia"/>
          <w:b/>
          <w:bCs/>
          <w:color w:val="auto"/>
          <w:szCs w:val="21"/>
          <w:highlight w:val="none"/>
        </w:rPr>
      </w:pPr>
      <w:r>
        <w:rPr>
          <w:color w:val="auto"/>
          <w:szCs w:val="21"/>
          <w:highlight w:val="none"/>
        </w:rPr>
        <w:br w:type="page"/>
      </w:r>
      <w:r>
        <w:rPr>
          <w:rFonts w:hint="eastAsia"/>
          <w:color w:val="auto"/>
          <w:szCs w:val="21"/>
          <w:highlight w:val="none"/>
          <w:lang w:val="en-US" w:eastAsia="zh-CN"/>
        </w:rPr>
        <w:t>6</w:t>
      </w:r>
      <w:r>
        <w:rPr>
          <w:color w:val="auto"/>
          <w:szCs w:val="21"/>
          <w:highlight w:val="none"/>
        </w:rPr>
        <w:t>.</w:t>
      </w:r>
      <w:r>
        <w:rPr>
          <w:b/>
          <w:bCs/>
          <w:color w:val="auto"/>
          <w:szCs w:val="21"/>
          <w:highlight w:val="none"/>
        </w:rPr>
        <w:t>代理服务费承诺书</w:t>
      </w:r>
    </w:p>
    <w:p w14:paraId="5DC910EC">
      <w:pPr>
        <w:spacing w:line="360" w:lineRule="exact"/>
        <w:rPr>
          <w:color w:val="auto"/>
          <w:szCs w:val="21"/>
          <w:highlight w:val="none"/>
        </w:rPr>
      </w:pPr>
      <w:r>
        <w:rPr>
          <w:color w:val="auto"/>
          <w:szCs w:val="21"/>
          <w:highlight w:val="none"/>
        </w:rPr>
        <w:t>致：广西机电设备招标有限公司</w:t>
      </w:r>
    </w:p>
    <w:p w14:paraId="3BD13CF4">
      <w:pPr>
        <w:spacing w:line="360" w:lineRule="exact"/>
        <w:ind w:firstLine="420" w:firstLineChars="200"/>
        <w:rPr>
          <w:color w:val="auto"/>
          <w:szCs w:val="21"/>
          <w:highlight w:val="none"/>
        </w:rPr>
      </w:pPr>
      <w:r>
        <w:rPr>
          <w:color w:val="auto"/>
          <w:szCs w:val="21"/>
          <w:highlight w:val="none"/>
        </w:rPr>
        <w:t>我单位参加了贵方组织的</w:t>
      </w:r>
      <w:r>
        <w:rPr>
          <w:rFonts w:hint="eastAsia"/>
          <w:color w:val="auto"/>
          <w:szCs w:val="21"/>
          <w:highlight w:val="none"/>
        </w:rPr>
        <w:t>磋商</w:t>
      </w:r>
      <w:r>
        <w:rPr>
          <w:color w:val="auto"/>
          <w:szCs w:val="21"/>
          <w:highlight w:val="none"/>
        </w:rPr>
        <w:t>项目编号为</w:t>
      </w:r>
      <w:r>
        <w:rPr>
          <w:b/>
          <w:color w:val="auto"/>
          <w:szCs w:val="21"/>
          <w:highlight w:val="none"/>
        </w:rPr>
        <w:t>（</w:t>
      </w:r>
      <w:r>
        <w:rPr>
          <w:color w:val="auto"/>
          <w:szCs w:val="21"/>
          <w:highlight w:val="none"/>
          <w:u w:val="single"/>
        </w:rPr>
        <w:t xml:space="preserve">                    )</w:t>
      </w:r>
      <w:r>
        <w:rPr>
          <w:color w:val="auto"/>
          <w:szCs w:val="21"/>
          <w:highlight w:val="none"/>
        </w:rPr>
        <w:t>的响应，并递交了</w:t>
      </w:r>
      <w:r>
        <w:rPr>
          <w:rFonts w:hint="eastAsia"/>
          <w:color w:val="auto"/>
          <w:szCs w:val="21"/>
          <w:highlight w:val="none"/>
        </w:rPr>
        <w:t>磋商</w:t>
      </w:r>
      <w:r>
        <w:rPr>
          <w:color w:val="auto"/>
          <w:szCs w:val="21"/>
          <w:highlight w:val="none"/>
        </w:rPr>
        <w:t>保证金</w:t>
      </w:r>
      <w:r>
        <w:rPr>
          <w:color w:val="auto"/>
          <w:szCs w:val="21"/>
          <w:highlight w:val="none"/>
          <w:u w:val="single"/>
        </w:rPr>
        <w:t xml:space="preserve">                  </w:t>
      </w:r>
      <w:r>
        <w:rPr>
          <w:color w:val="auto"/>
          <w:szCs w:val="21"/>
          <w:highlight w:val="none"/>
        </w:rPr>
        <w:t>（</w:t>
      </w:r>
      <w:r>
        <w:rPr>
          <w:color w:val="auto"/>
          <w:kern w:val="0"/>
          <w:szCs w:val="21"/>
          <w:highlight w:val="none"/>
        </w:rPr>
        <w:t>¥</w:t>
      </w:r>
      <w:r>
        <w:rPr>
          <w:color w:val="auto"/>
          <w:szCs w:val="21"/>
          <w:highlight w:val="none"/>
          <w:u w:val="single"/>
        </w:rPr>
        <w:t xml:space="preserve">       </w:t>
      </w:r>
      <w:r>
        <w:rPr>
          <w:color w:val="auto"/>
          <w:szCs w:val="21"/>
          <w:highlight w:val="none"/>
        </w:rPr>
        <w:t>），在此我方说明如下：</w:t>
      </w:r>
    </w:p>
    <w:p w14:paraId="674C4BF8">
      <w:pPr>
        <w:spacing w:line="360" w:lineRule="exact"/>
        <w:ind w:firstLine="420" w:firstLineChars="200"/>
        <w:rPr>
          <w:color w:val="auto"/>
          <w:szCs w:val="21"/>
          <w:highlight w:val="none"/>
        </w:rPr>
      </w:pPr>
      <w:r>
        <w:rPr>
          <w:color w:val="auto"/>
          <w:szCs w:val="21"/>
          <w:highlight w:val="none"/>
        </w:rPr>
        <w:t>1．我方承诺，若我单位</w:t>
      </w:r>
      <w:r>
        <w:rPr>
          <w:rFonts w:hint="eastAsia"/>
          <w:color w:val="auto"/>
          <w:szCs w:val="21"/>
          <w:highlight w:val="none"/>
        </w:rPr>
        <w:t>成交</w:t>
      </w:r>
      <w:r>
        <w:rPr>
          <w:color w:val="auto"/>
          <w:szCs w:val="21"/>
          <w:highlight w:val="none"/>
        </w:rPr>
        <w:t>，保证在领取</w:t>
      </w:r>
      <w:r>
        <w:rPr>
          <w:rFonts w:hint="eastAsia"/>
          <w:color w:val="auto"/>
          <w:szCs w:val="21"/>
          <w:highlight w:val="none"/>
        </w:rPr>
        <w:t>成交</w:t>
      </w:r>
      <w:r>
        <w:rPr>
          <w:color w:val="auto"/>
          <w:szCs w:val="21"/>
          <w:highlight w:val="none"/>
        </w:rPr>
        <w:t>通知书之前，按本项目</w:t>
      </w:r>
      <w:r>
        <w:rPr>
          <w:rFonts w:hint="eastAsia"/>
          <w:color w:val="auto"/>
          <w:szCs w:val="21"/>
          <w:highlight w:val="none"/>
        </w:rPr>
        <w:t>采购文件</w:t>
      </w:r>
      <w:r>
        <w:rPr>
          <w:color w:val="auto"/>
          <w:szCs w:val="21"/>
          <w:highlight w:val="none"/>
        </w:rPr>
        <w:t>的规定标准向贵单位支付代理服务费。如我单位未按规定缴纳代理服务费，贵方可</w:t>
      </w:r>
      <w:r>
        <w:rPr>
          <w:rFonts w:hint="eastAsia"/>
          <w:color w:val="auto"/>
          <w:szCs w:val="21"/>
          <w:highlight w:val="none"/>
        </w:rPr>
        <w:t>不退还</w:t>
      </w:r>
      <w:r>
        <w:rPr>
          <w:color w:val="auto"/>
          <w:szCs w:val="21"/>
          <w:highlight w:val="none"/>
        </w:rPr>
        <w:t>我单位提交的</w:t>
      </w:r>
      <w:r>
        <w:rPr>
          <w:rFonts w:hint="eastAsia"/>
          <w:color w:val="auto"/>
          <w:szCs w:val="21"/>
          <w:highlight w:val="none"/>
        </w:rPr>
        <w:t>磋商</w:t>
      </w:r>
      <w:r>
        <w:rPr>
          <w:color w:val="auto"/>
          <w:szCs w:val="21"/>
          <w:highlight w:val="none"/>
        </w:rPr>
        <w:t>保证金</w:t>
      </w:r>
      <w:r>
        <w:rPr>
          <w:rFonts w:hint="eastAsia"/>
          <w:color w:val="auto"/>
          <w:szCs w:val="21"/>
          <w:highlight w:val="none"/>
        </w:rPr>
        <w:t>，并从中</w:t>
      </w:r>
      <w:r>
        <w:rPr>
          <w:color w:val="auto"/>
          <w:szCs w:val="21"/>
          <w:highlight w:val="none"/>
        </w:rPr>
        <w:t>扣除</w:t>
      </w:r>
      <w:r>
        <w:rPr>
          <w:rFonts w:hint="eastAsia"/>
          <w:color w:val="auto"/>
          <w:szCs w:val="21"/>
          <w:highlight w:val="none"/>
        </w:rPr>
        <w:t>代理服务费</w:t>
      </w:r>
      <w:r>
        <w:rPr>
          <w:color w:val="auto"/>
          <w:szCs w:val="21"/>
          <w:highlight w:val="none"/>
        </w:rPr>
        <w:t>，余款按下列账户退回。</w:t>
      </w:r>
    </w:p>
    <w:p w14:paraId="74DAFE57">
      <w:pPr>
        <w:snapToGrid w:val="0"/>
        <w:spacing w:before="50" w:after="120" w:afterLines="50"/>
        <w:ind w:firstLine="420" w:firstLineChars="200"/>
        <w:jc w:val="left"/>
        <w:rPr>
          <w:color w:val="auto"/>
          <w:szCs w:val="21"/>
          <w:highlight w:val="none"/>
        </w:rPr>
      </w:pPr>
      <w:r>
        <w:rPr>
          <w:color w:val="auto"/>
          <w:szCs w:val="21"/>
          <w:highlight w:val="none"/>
        </w:rPr>
        <w:t>我公司选择第</w:t>
      </w:r>
      <w:r>
        <w:rPr>
          <w:color w:val="auto"/>
          <w:szCs w:val="21"/>
          <w:highlight w:val="none"/>
          <w:u w:val="single"/>
        </w:rPr>
        <w:t xml:space="preserve">     </w:t>
      </w:r>
      <w:r>
        <w:rPr>
          <w:color w:val="auto"/>
          <w:szCs w:val="21"/>
          <w:highlight w:val="none"/>
        </w:rPr>
        <w:t>种方式缴纳代理服务费。</w:t>
      </w:r>
    </w:p>
    <w:p w14:paraId="44A27B34">
      <w:pPr>
        <w:spacing w:line="360" w:lineRule="exact"/>
        <w:ind w:firstLine="420" w:firstLineChars="200"/>
        <w:rPr>
          <w:color w:val="auto"/>
          <w:szCs w:val="21"/>
          <w:highlight w:val="none"/>
        </w:rPr>
      </w:pPr>
      <w:r>
        <w:rPr>
          <w:color w:val="auto"/>
          <w:szCs w:val="21"/>
          <w:highlight w:val="none"/>
        </w:rPr>
        <w:t>第一种方式：一次性足额缴纳代理服务费。</w:t>
      </w:r>
    </w:p>
    <w:p w14:paraId="6D661C55">
      <w:pPr>
        <w:spacing w:line="360" w:lineRule="exact"/>
        <w:ind w:firstLine="420" w:firstLineChars="200"/>
        <w:rPr>
          <w:color w:val="auto"/>
          <w:szCs w:val="21"/>
          <w:highlight w:val="none"/>
        </w:rPr>
      </w:pPr>
      <w:r>
        <w:rPr>
          <w:color w:val="auto"/>
          <w:szCs w:val="21"/>
          <w:highlight w:val="none"/>
        </w:rPr>
        <w:t>第二种方式：从磋商保证金中抵扣代理服务费，不足部分补交。</w:t>
      </w:r>
    </w:p>
    <w:p w14:paraId="28344BC6">
      <w:pPr>
        <w:spacing w:line="360" w:lineRule="exact"/>
        <w:ind w:firstLine="420" w:firstLineChars="200"/>
        <w:rPr>
          <w:color w:val="auto"/>
          <w:szCs w:val="21"/>
          <w:highlight w:val="none"/>
        </w:rPr>
      </w:pPr>
      <w:r>
        <w:rPr>
          <w:color w:val="auto"/>
          <w:szCs w:val="21"/>
          <w:highlight w:val="none"/>
        </w:rPr>
        <w:t>2．如我单位磋商保证金无法原路返回，请按下表账户信息无息退还。</w:t>
      </w:r>
    </w:p>
    <w:tbl>
      <w:tblPr>
        <w:tblStyle w:val="5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33"/>
        <w:gridCol w:w="5431"/>
      </w:tblGrid>
      <w:tr w14:paraId="5310C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3533" w:type="dxa"/>
            <w:noWrap w:val="0"/>
            <w:vAlign w:val="center"/>
          </w:tcPr>
          <w:p w14:paraId="135F63EF">
            <w:pPr>
              <w:spacing w:line="360" w:lineRule="exact"/>
              <w:jc w:val="center"/>
              <w:rPr>
                <w:color w:val="auto"/>
                <w:szCs w:val="21"/>
                <w:highlight w:val="none"/>
              </w:rPr>
            </w:pPr>
            <w:r>
              <w:rPr>
                <w:color w:val="auto"/>
                <w:szCs w:val="21"/>
                <w:highlight w:val="none"/>
              </w:rPr>
              <w:t>收款户名</w:t>
            </w:r>
          </w:p>
        </w:tc>
        <w:tc>
          <w:tcPr>
            <w:tcW w:w="5431" w:type="dxa"/>
            <w:noWrap w:val="0"/>
            <w:vAlign w:val="center"/>
          </w:tcPr>
          <w:p w14:paraId="7357978E">
            <w:pPr>
              <w:spacing w:line="360" w:lineRule="exact"/>
              <w:jc w:val="center"/>
              <w:rPr>
                <w:color w:val="auto"/>
                <w:szCs w:val="21"/>
                <w:highlight w:val="none"/>
              </w:rPr>
            </w:pPr>
          </w:p>
        </w:tc>
      </w:tr>
      <w:tr w14:paraId="18C8E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3533" w:type="dxa"/>
            <w:noWrap w:val="0"/>
            <w:vAlign w:val="center"/>
          </w:tcPr>
          <w:p w14:paraId="3E83AC5E">
            <w:pPr>
              <w:spacing w:line="360" w:lineRule="exact"/>
              <w:jc w:val="center"/>
              <w:rPr>
                <w:color w:val="auto"/>
                <w:szCs w:val="21"/>
                <w:highlight w:val="none"/>
              </w:rPr>
            </w:pPr>
            <w:r>
              <w:rPr>
                <w:color w:val="auto"/>
                <w:szCs w:val="21"/>
                <w:highlight w:val="none"/>
              </w:rPr>
              <w:t>账    号</w:t>
            </w:r>
          </w:p>
        </w:tc>
        <w:tc>
          <w:tcPr>
            <w:tcW w:w="5431" w:type="dxa"/>
            <w:noWrap w:val="0"/>
            <w:vAlign w:val="center"/>
          </w:tcPr>
          <w:p w14:paraId="73CCB4F6">
            <w:pPr>
              <w:spacing w:line="360" w:lineRule="exact"/>
              <w:jc w:val="center"/>
              <w:rPr>
                <w:color w:val="auto"/>
                <w:szCs w:val="21"/>
                <w:highlight w:val="none"/>
              </w:rPr>
            </w:pPr>
          </w:p>
        </w:tc>
      </w:tr>
      <w:tr w14:paraId="7BFBA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3533" w:type="dxa"/>
            <w:noWrap w:val="0"/>
            <w:vAlign w:val="center"/>
          </w:tcPr>
          <w:p w14:paraId="5225D272">
            <w:pPr>
              <w:spacing w:line="360" w:lineRule="exact"/>
              <w:jc w:val="center"/>
              <w:rPr>
                <w:color w:val="auto"/>
                <w:szCs w:val="21"/>
                <w:highlight w:val="none"/>
              </w:rPr>
            </w:pPr>
            <w:r>
              <w:rPr>
                <w:color w:val="auto"/>
                <w:szCs w:val="21"/>
                <w:highlight w:val="none"/>
              </w:rPr>
              <w:t>开户银行</w:t>
            </w:r>
          </w:p>
        </w:tc>
        <w:tc>
          <w:tcPr>
            <w:tcW w:w="5431" w:type="dxa"/>
            <w:noWrap w:val="0"/>
            <w:vAlign w:val="center"/>
          </w:tcPr>
          <w:p w14:paraId="506AE680">
            <w:pPr>
              <w:spacing w:line="360" w:lineRule="exact"/>
              <w:jc w:val="center"/>
              <w:rPr>
                <w:color w:val="auto"/>
                <w:szCs w:val="21"/>
                <w:highlight w:val="none"/>
              </w:rPr>
            </w:pPr>
          </w:p>
        </w:tc>
      </w:tr>
      <w:tr w14:paraId="49F78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3533" w:type="dxa"/>
            <w:noWrap w:val="0"/>
            <w:vAlign w:val="center"/>
          </w:tcPr>
          <w:p w14:paraId="415594C5">
            <w:pPr>
              <w:spacing w:line="360" w:lineRule="exact"/>
              <w:jc w:val="center"/>
              <w:rPr>
                <w:color w:val="auto"/>
                <w:szCs w:val="21"/>
                <w:highlight w:val="none"/>
              </w:rPr>
            </w:pPr>
            <w:r>
              <w:rPr>
                <w:color w:val="auto"/>
                <w:szCs w:val="21"/>
                <w:highlight w:val="none"/>
              </w:rPr>
              <w:t>银行行号</w:t>
            </w:r>
          </w:p>
        </w:tc>
        <w:tc>
          <w:tcPr>
            <w:tcW w:w="5431" w:type="dxa"/>
            <w:noWrap w:val="0"/>
            <w:vAlign w:val="center"/>
          </w:tcPr>
          <w:p w14:paraId="7A365C3D">
            <w:pPr>
              <w:spacing w:line="360" w:lineRule="exact"/>
              <w:jc w:val="center"/>
              <w:rPr>
                <w:color w:val="auto"/>
                <w:szCs w:val="21"/>
                <w:highlight w:val="none"/>
              </w:rPr>
            </w:pPr>
          </w:p>
        </w:tc>
      </w:tr>
    </w:tbl>
    <w:p w14:paraId="5C1691D2">
      <w:pPr>
        <w:spacing w:line="360" w:lineRule="exact"/>
        <w:ind w:firstLine="420" w:firstLineChars="200"/>
        <w:rPr>
          <w:color w:val="auto"/>
          <w:szCs w:val="21"/>
          <w:highlight w:val="none"/>
        </w:rPr>
      </w:pPr>
      <w:r>
        <w:rPr>
          <w:color w:val="auto"/>
          <w:szCs w:val="21"/>
          <w:highlight w:val="none"/>
        </w:rPr>
        <w:t>3．如果我单位未遵守有关采购文件关于磋商保证金的规定，贵方可以没收我单位磋商保证金。</w:t>
      </w:r>
    </w:p>
    <w:p w14:paraId="40E5D4E8">
      <w:pPr>
        <w:spacing w:line="360" w:lineRule="exact"/>
        <w:ind w:firstLine="420" w:firstLineChars="200"/>
        <w:rPr>
          <w:color w:val="auto"/>
          <w:szCs w:val="21"/>
          <w:highlight w:val="none"/>
        </w:rPr>
      </w:pPr>
      <w:r>
        <w:rPr>
          <w:color w:val="auto"/>
          <w:szCs w:val="21"/>
          <w:highlight w:val="none"/>
        </w:rPr>
        <w:t>4. 我单位选择第</w:t>
      </w:r>
      <w:r>
        <w:rPr>
          <w:color w:val="auto"/>
          <w:szCs w:val="21"/>
          <w:highlight w:val="none"/>
          <w:u w:val="single"/>
        </w:rPr>
        <w:t xml:space="preserve">     </w:t>
      </w:r>
      <w:r>
        <w:rPr>
          <w:color w:val="auto"/>
          <w:szCs w:val="21"/>
          <w:highlight w:val="none"/>
        </w:rPr>
        <w:t>种方式作为代理服务费开票类型：</w:t>
      </w:r>
    </w:p>
    <w:p w14:paraId="08048EAD">
      <w:pPr>
        <w:spacing w:line="360" w:lineRule="exact"/>
        <w:ind w:firstLine="420" w:firstLineChars="200"/>
        <w:rPr>
          <w:color w:val="auto"/>
          <w:szCs w:val="21"/>
          <w:highlight w:val="none"/>
        </w:rPr>
      </w:pPr>
      <w:r>
        <w:rPr>
          <w:color w:val="auto"/>
          <w:szCs w:val="21"/>
          <w:highlight w:val="none"/>
        </w:rPr>
        <w:t>第一种方式：开具收据。</w:t>
      </w:r>
    </w:p>
    <w:p w14:paraId="1F890AD0">
      <w:pPr>
        <w:spacing w:line="360" w:lineRule="exact"/>
        <w:ind w:firstLine="420" w:firstLineChars="200"/>
        <w:rPr>
          <w:color w:val="auto"/>
          <w:szCs w:val="21"/>
          <w:highlight w:val="none"/>
        </w:rPr>
      </w:pPr>
      <w:r>
        <w:rPr>
          <w:color w:val="auto"/>
          <w:szCs w:val="21"/>
          <w:highlight w:val="none"/>
        </w:rPr>
        <w:t>第二种方式：开具增值税普通发票。 1.公司名称</w:t>
      </w:r>
      <w:r>
        <w:rPr>
          <w:color w:val="auto"/>
          <w:szCs w:val="21"/>
          <w:highlight w:val="none"/>
          <w:u w:val="single"/>
        </w:rPr>
        <w:t xml:space="preserve">                      </w:t>
      </w:r>
      <w:r>
        <w:rPr>
          <w:color w:val="auto"/>
          <w:szCs w:val="21"/>
          <w:highlight w:val="none"/>
        </w:rPr>
        <w:t>；2.纳税人识别号</w:t>
      </w:r>
      <w:r>
        <w:rPr>
          <w:color w:val="auto"/>
          <w:szCs w:val="21"/>
          <w:highlight w:val="none"/>
          <w:u w:val="single"/>
        </w:rPr>
        <w:t xml:space="preserve">                     </w:t>
      </w:r>
      <w:r>
        <w:rPr>
          <w:color w:val="auto"/>
          <w:szCs w:val="21"/>
          <w:highlight w:val="none"/>
        </w:rPr>
        <w:t>；</w:t>
      </w:r>
    </w:p>
    <w:p w14:paraId="0CAA3D6B">
      <w:pPr>
        <w:spacing w:line="360" w:lineRule="exact"/>
        <w:ind w:firstLine="420" w:firstLineChars="200"/>
        <w:rPr>
          <w:color w:val="auto"/>
          <w:szCs w:val="21"/>
          <w:highlight w:val="none"/>
        </w:rPr>
      </w:pPr>
      <w:r>
        <w:rPr>
          <w:color w:val="auto"/>
          <w:szCs w:val="21"/>
          <w:highlight w:val="none"/>
        </w:rPr>
        <w:t>第三种方式：开具增值税专用发票，开票信息如下：1.公司名称</w:t>
      </w:r>
      <w:r>
        <w:rPr>
          <w:color w:val="auto"/>
          <w:szCs w:val="21"/>
          <w:highlight w:val="none"/>
          <w:u w:val="single"/>
        </w:rPr>
        <w:t xml:space="preserve">                      </w:t>
      </w:r>
      <w:r>
        <w:rPr>
          <w:color w:val="auto"/>
          <w:szCs w:val="21"/>
          <w:highlight w:val="none"/>
        </w:rPr>
        <w:t>；2.纳税人识别号</w:t>
      </w:r>
      <w:r>
        <w:rPr>
          <w:color w:val="auto"/>
          <w:szCs w:val="21"/>
          <w:highlight w:val="none"/>
          <w:u w:val="single"/>
        </w:rPr>
        <w:t xml:space="preserve">                     </w:t>
      </w:r>
      <w:r>
        <w:rPr>
          <w:color w:val="auto"/>
          <w:szCs w:val="21"/>
          <w:highlight w:val="none"/>
        </w:rPr>
        <w:t>；3.税局登记地址</w:t>
      </w:r>
      <w:r>
        <w:rPr>
          <w:color w:val="auto"/>
          <w:szCs w:val="21"/>
          <w:highlight w:val="none"/>
          <w:u w:val="single"/>
        </w:rPr>
        <w:t xml:space="preserve">                     </w:t>
      </w:r>
      <w:r>
        <w:rPr>
          <w:color w:val="auto"/>
          <w:szCs w:val="21"/>
          <w:highlight w:val="none"/>
        </w:rPr>
        <w:t>；4.税局登记电话</w:t>
      </w:r>
      <w:r>
        <w:rPr>
          <w:color w:val="auto"/>
          <w:szCs w:val="21"/>
          <w:highlight w:val="none"/>
          <w:u w:val="single"/>
        </w:rPr>
        <w:t xml:space="preserve">             </w:t>
      </w:r>
      <w:r>
        <w:rPr>
          <w:color w:val="auto"/>
          <w:szCs w:val="21"/>
          <w:highlight w:val="none"/>
        </w:rPr>
        <w:t>；5.开户银行</w:t>
      </w:r>
      <w:r>
        <w:rPr>
          <w:color w:val="auto"/>
          <w:szCs w:val="21"/>
          <w:highlight w:val="none"/>
          <w:u w:val="single"/>
        </w:rPr>
        <w:t xml:space="preserve">                 </w:t>
      </w:r>
      <w:r>
        <w:rPr>
          <w:color w:val="auto"/>
          <w:szCs w:val="21"/>
          <w:highlight w:val="none"/>
        </w:rPr>
        <w:t>；6.银行账户</w:t>
      </w:r>
      <w:r>
        <w:rPr>
          <w:color w:val="auto"/>
          <w:szCs w:val="21"/>
          <w:highlight w:val="none"/>
          <w:u w:val="single"/>
        </w:rPr>
        <w:t xml:space="preserve">                         </w:t>
      </w:r>
      <w:r>
        <w:rPr>
          <w:color w:val="auto"/>
          <w:szCs w:val="21"/>
          <w:highlight w:val="none"/>
        </w:rPr>
        <w:t>。</w:t>
      </w:r>
    </w:p>
    <w:p w14:paraId="26A815B0">
      <w:pPr>
        <w:spacing w:before="120" w:beforeLines="50" w:line="360" w:lineRule="auto"/>
        <w:jc w:val="left"/>
        <w:rPr>
          <w:color w:val="auto"/>
          <w:szCs w:val="21"/>
          <w:highlight w:val="none"/>
        </w:rPr>
      </w:pPr>
    </w:p>
    <w:p w14:paraId="6FCE40EE">
      <w:pPr>
        <w:spacing w:before="120" w:beforeLines="50" w:line="360" w:lineRule="auto"/>
        <w:jc w:val="left"/>
        <w:rPr>
          <w:color w:val="auto"/>
          <w:szCs w:val="21"/>
          <w:highlight w:val="none"/>
          <w:u w:val="single"/>
        </w:rPr>
      </w:pPr>
      <w:r>
        <w:rPr>
          <w:color w:val="auto"/>
          <w:szCs w:val="21"/>
          <w:highlight w:val="none"/>
        </w:rPr>
        <w:t>供应商</w:t>
      </w:r>
      <w:r>
        <w:rPr>
          <w:rFonts w:hint="eastAsia"/>
          <w:color w:val="auto"/>
          <w:szCs w:val="21"/>
          <w:highlight w:val="none"/>
        </w:rPr>
        <w:t>名称(电子签章</w:t>
      </w:r>
      <w:r>
        <w:rPr>
          <w:color w:val="auto"/>
          <w:szCs w:val="21"/>
          <w:highlight w:val="none"/>
        </w:rPr>
        <w:t>)：</w:t>
      </w:r>
      <w:r>
        <w:rPr>
          <w:color w:val="auto"/>
          <w:szCs w:val="21"/>
          <w:highlight w:val="none"/>
          <w:u w:val="single"/>
        </w:rPr>
        <w:t xml:space="preserve">                              </w:t>
      </w:r>
    </w:p>
    <w:p w14:paraId="7EB65F11">
      <w:pPr>
        <w:spacing w:before="120" w:beforeLines="50" w:line="360" w:lineRule="auto"/>
        <w:jc w:val="left"/>
        <w:rPr>
          <w:color w:val="auto"/>
          <w:szCs w:val="21"/>
          <w:highlight w:val="none"/>
        </w:rPr>
      </w:pPr>
      <w:r>
        <w:rPr>
          <w:color w:val="auto"/>
          <w:szCs w:val="21"/>
          <w:highlight w:val="none"/>
        </w:rPr>
        <w:t>供应商地址：</w:t>
      </w:r>
      <w:r>
        <w:rPr>
          <w:color w:val="auto"/>
          <w:szCs w:val="21"/>
          <w:highlight w:val="none"/>
          <w:u w:val="single"/>
        </w:rPr>
        <w:t xml:space="preserve">                                     </w:t>
      </w:r>
    </w:p>
    <w:p w14:paraId="707DC32C">
      <w:pPr>
        <w:wordWrap w:val="0"/>
        <w:spacing w:before="120" w:beforeLines="50" w:line="360" w:lineRule="auto"/>
        <w:jc w:val="right"/>
        <w:rPr>
          <w:color w:val="auto"/>
          <w:szCs w:val="21"/>
          <w:highlight w:val="none"/>
        </w:rPr>
      </w:pPr>
      <w:r>
        <w:rPr>
          <w:color w:val="auto"/>
          <w:szCs w:val="21"/>
          <w:highlight w:val="none"/>
        </w:rPr>
        <w:t>日期：</w:t>
      </w:r>
      <w:r>
        <w:rPr>
          <w:color w:val="auto"/>
          <w:szCs w:val="21"/>
          <w:highlight w:val="none"/>
          <w:u w:val="single"/>
        </w:rPr>
        <w:t xml:space="preserve">      </w:t>
      </w:r>
      <w:r>
        <w:rPr>
          <w:color w:val="auto"/>
          <w:szCs w:val="21"/>
          <w:highlight w:val="none"/>
        </w:rPr>
        <w:t>年</w:t>
      </w:r>
      <w:r>
        <w:rPr>
          <w:color w:val="auto"/>
          <w:szCs w:val="21"/>
          <w:highlight w:val="none"/>
          <w:u w:val="single"/>
        </w:rPr>
        <w:t xml:space="preserve">    </w:t>
      </w:r>
      <w:r>
        <w:rPr>
          <w:color w:val="auto"/>
          <w:szCs w:val="21"/>
          <w:highlight w:val="none"/>
        </w:rPr>
        <w:t>月</w:t>
      </w:r>
      <w:r>
        <w:rPr>
          <w:color w:val="auto"/>
          <w:szCs w:val="21"/>
          <w:highlight w:val="none"/>
          <w:u w:val="single"/>
        </w:rPr>
        <w:t xml:space="preserve">    </w:t>
      </w:r>
      <w:r>
        <w:rPr>
          <w:color w:val="auto"/>
          <w:szCs w:val="21"/>
          <w:highlight w:val="none"/>
        </w:rPr>
        <w:t>日</w:t>
      </w:r>
    </w:p>
    <w:p w14:paraId="2A6AE260">
      <w:pPr>
        <w:spacing w:before="120" w:beforeLines="50"/>
        <w:rPr>
          <w:color w:val="auto"/>
          <w:szCs w:val="21"/>
          <w:highlight w:val="none"/>
        </w:rPr>
      </w:pPr>
      <w:r>
        <w:rPr>
          <w:color w:val="auto"/>
          <w:szCs w:val="21"/>
          <w:highlight w:val="none"/>
        </w:rPr>
        <w:t>说明：</w:t>
      </w:r>
    </w:p>
    <w:p w14:paraId="526BC4D7">
      <w:pPr>
        <w:spacing w:line="340" w:lineRule="exact"/>
        <w:ind w:firstLine="420" w:firstLineChars="200"/>
        <w:rPr>
          <w:color w:val="auto"/>
          <w:szCs w:val="21"/>
          <w:highlight w:val="none"/>
        </w:rPr>
      </w:pPr>
      <w:r>
        <w:rPr>
          <w:color w:val="auto"/>
          <w:szCs w:val="21"/>
          <w:highlight w:val="none"/>
        </w:rPr>
        <w:t>（1）为保障资金安全，上述账户不能为私人账户。</w:t>
      </w:r>
    </w:p>
    <w:p w14:paraId="7566453E">
      <w:pPr>
        <w:spacing w:line="340" w:lineRule="exact"/>
        <w:ind w:firstLine="420" w:firstLineChars="200"/>
        <w:rPr>
          <w:color w:val="auto"/>
          <w:szCs w:val="21"/>
          <w:highlight w:val="none"/>
        </w:rPr>
      </w:pPr>
      <w:r>
        <w:rPr>
          <w:color w:val="auto"/>
          <w:szCs w:val="21"/>
          <w:highlight w:val="none"/>
        </w:rPr>
        <w:t>（2）如因未按要求缴纳磋商保证金，导致磋商保证金无法退还或丢失等可能产生的一切后果由供应商自行负责。如需要，采购代理机构将按上述所填信息办理代理服务费发票事宜。如所填信息有误导致开票信息错误等可能产生的一切后果由供应商自行负责。</w:t>
      </w:r>
    </w:p>
    <w:p w14:paraId="6C3E050E">
      <w:pPr>
        <w:spacing w:line="340" w:lineRule="exact"/>
        <w:ind w:firstLine="420" w:firstLineChars="200"/>
        <w:rPr>
          <w:color w:val="auto"/>
          <w:szCs w:val="21"/>
          <w:highlight w:val="none"/>
        </w:rPr>
      </w:pPr>
      <w:r>
        <w:rPr>
          <w:color w:val="auto"/>
          <w:szCs w:val="21"/>
          <w:highlight w:val="none"/>
        </w:rPr>
        <w:t>（3）如供应商未及时收到退回款项，请与广西机电设备招标有限公司财务部联系。广西机电设备招标有限公司财务部联系方式：联系人：吴茜；电话：0771-2821398；传真：0771-2843545。</w:t>
      </w:r>
    </w:p>
    <w:p w14:paraId="1AF3D20C">
      <w:pPr>
        <w:snapToGrid w:val="0"/>
        <w:spacing w:before="120" w:beforeLines="50" w:after="50" w:line="440" w:lineRule="exact"/>
        <w:jc w:val="center"/>
        <w:outlineLvl w:val="1"/>
        <w:rPr>
          <w:bCs/>
          <w:color w:val="auto"/>
          <w:sz w:val="24"/>
          <w:highlight w:val="none"/>
        </w:rPr>
      </w:pPr>
      <w:r>
        <w:rPr>
          <w:color w:val="auto"/>
          <w:szCs w:val="21"/>
          <w:highlight w:val="none"/>
        </w:rPr>
        <w:br w:type="page"/>
      </w:r>
      <w:r>
        <w:rPr>
          <w:bCs/>
          <w:color w:val="auto"/>
          <w:sz w:val="24"/>
          <w:highlight w:val="none"/>
        </w:rPr>
        <w:t>第三部分 报价文件</w:t>
      </w:r>
    </w:p>
    <w:p w14:paraId="53B575E7">
      <w:pPr>
        <w:jc w:val="center"/>
        <w:rPr>
          <w:b/>
          <w:bCs/>
          <w:color w:val="auto"/>
          <w:szCs w:val="21"/>
          <w:highlight w:val="none"/>
        </w:rPr>
      </w:pPr>
    </w:p>
    <w:p w14:paraId="420D1BBD">
      <w:pPr>
        <w:rPr>
          <w:color w:val="auto"/>
          <w:highlight w:val="none"/>
        </w:rPr>
      </w:pPr>
      <w:r>
        <w:rPr>
          <w:color w:val="auto"/>
          <w:highlight w:val="none"/>
        </w:rPr>
        <w:t>1．</w:t>
      </w:r>
      <w:r>
        <w:rPr>
          <w:rFonts w:hint="eastAsia"/>
          <w:color w:val="auto"/>
          <w:highlight w:val="none"/>
        </w:rPr>
        <w:t>响应</w:t>
      </w:r>
      <w:r>
        <w:rPr>
          <w:color w:val="auto"/>
          <w:highlight w:val="none"/>
        </w:rPr>
        <w:t>函格式：</w:t>
      </w:r>
    </w:p>
    <w:p w14:paraId="451D83D7">
      <w:pPr>
        <w:jc w:val="center"/>
        <w:rPr>
          <w:rFonts w:hint="eastAsia"/>
          <w:b/>
          <w:bCs/>
          <w:color w:val="auto"/>
          <w:szCs w:val="21"/>
          <w:highlight w:val="none"/>
        </w:rPr>
      </w:pPr>
    </w:p>
    <w:p w14:paraId="2DE1F9E7">
      <w:pPr>
        <w:jc w:val="center"/>
        <w:rPr>
          <w:b/>
          <w:color w:val="auto"/>
          <w:szCs w:val="21"/>
          <w:highlight w:val="none"/>
        </w:rPr>
      </w:pPr>
      <w:r>
        <w:rPr>
          <w:b/>
          <w:color w:val="auto"/>
          <w:szCs w:val="21"/>
          <w:highlight w:val="none"/>
        </w:rPr>
        <w:t>响 应 函</w:t>
      </w:r>
    </w:p>
    <w:p w14:paraId="1DEE1293">
      <w:pPr>
        <w:rPr>
          <w:rFonts w:hint="eastAsia"/>
          <w:b/>
          <w:color w:val="auto"/>
          <w:szCs w:val="21"/>
          <w:highlight w:val="none"/>
        </w:rPr>
      </w:pPr>
    </w:p>
    <w:p w14:paraId="535DC5F1">
      <w:pPr>
        <w:snapToGrid w:val="0"/>
        <w:spacing w:before="120" w:beforeLines="50" w:after="50" w:line="360" w:lineRule="exact"/>
        <w:rPr>
          <w:color w:val="auto"/>
          <w:szCs w:val="21"/>
          <w:highlight w:val="none"/>
        </w:rPr>
      </w:pPr>
      <w:r>
        <w:rPr>
          <w:color w:val="auto"/>
          <w:szCs w:val="21"/>
          <w:highlight w:val="none"/>
        </w:rPr>
        <w:t>致：</w:t>
      </w:r>
      <w:bookmarkStart w:id="1087" w:name="_Hlk19051378"/>
      <w:r>
        <w:rPr>
          <w:i/>
          <w:iCs/>
          <w:color w:val="auto"/>
          <w:szCs w:val="21"/>
          <w:highlight w:val="none"/>
          <w:u w:val="single"/>
        </w:rPr>
        <w:t>（采购</w:t>
      </w:r>
      <w:r>
        <w:rPr>
          <w:rFonts w:hint="eastAsia"/>
          <w:i/>
          <w:iCs/>
          <w:color w:val="auto"/>
          <w:szCs w:val="21"/>
          <w:highlight w:val="none"/>
          <w:u w:val="single"/>
        </w:rPr>
        <w:t>人</w:t>
      </w:r>
      <w:r>
        <w:rPr>
          <w:i/>
          <w:iCs/>
          <w:color w:val="auto"/>
          <w:szCs w:val="21"/>
          <w:highlight w:val="none"/>
          <w:u w:val="single"/>
        </w:rPr>
        <w:t>名称）</w:t>
      </w:r>
      <w:bookmarkEnd w:id="1087"/>
      <w:r>
        <w:rPr>
          <w:color w:val="auto"/>
          <w:szCs w:val="21"/>
          <w:highlight w:val="none"/>
        </w:rPr>
        <w:t>：</w:t>
      </w:r>
    </w:p>
    <w:p w14:paraId="29D52313">
      <w:pPr>
        <w:rPr>
          <w:b/>
          <w:color w:val="auto"/>
          <w:szCs w:val="21"/>
          <w:highlight w:val="none"/>
        </w:rPr>
      </w:pPr>
    </w:p>
    <w:p w14:paraId="72623A5E">
      <w:pPr>
        <w:spacing w:line="360" w:lineRule="auto"/>
        <w:ind w:firstLine="420" w:firstLineChars="200"/>
        <w:rPr>
          <w:color w:val="auto"/>
          <w:szCs w:val="21"/>
          <w:highlight w:val="none"/>
        </w:rPr>
      </w:pPr>
      <w:r>
        <w:rPr>
          <w:color w:val="auto"/>
          <w:szCs w:val="21"/>
          <w:highlight w:val="none"/>
        </w:rPr>
        <w:t>1.根据你方项目编号为</w:t>
      </w:r>
      <w:r>
        <w:rPr>
          <w:color w:val="auto"/>
          <w:szCs w:val="21"/>
          <w:highlight w:val="none"/>
          <w:u w:val="single"/>
        </w:rPr>
        <w:t xml:space="preserve">  </w:t>
      </w:r>
      <w:r>
        <w:rPr>
          <w:i/>
          <w:iCs/>
          <w:color w:val="auto"/>
          <w:szCs w:val="21"/>
          <w:highlight w:val="none"/>
          <w:u w:val="single"/>
        </w:rPr>
        <w:t>（项目编号）</w:t>
      </w:r>
      <w:r>
        <w:rPr>
          <w:color w:val="auto"/>
          <w:szCs w:val="21"/>
          <w:highlight w:val="none"/>
          <w:u w:val="single"/>
        </w:rPr>
        <w:t xml:space="preserve">  </w:t>
      </w:r>
      <w:r>
        <w:rPr>
          <w:color w:val="auto"/>
          <w:szCs w:val="21"/>
          <w:highlight w:val="none"/>
        </w:rPr>
        <w:t>的</w:t>
      </w:r>
      <w:r>
        <w:rPr>
          <w:color w:val="auto"/>
          <w:szCs w:val="21"/>
          <w:highlight w:val="none"/>
          <w:u w:val="single"/>
        </w:rPr>
        <w:t xml:space="preserve">  </w:t>
      </w:r>
      <w:r>
        <w:rPr>
          <w:i/>
          <w:iCs/>
          <w:color w:val="auto"/>
          <w:szCs w:val="21"/>
          <w:highlight w:val="none"/>
          <w:u w:val="single"/>
        </w:rPr>
        <w:t>（工程项目名称）</w:t>
      </w:r>
      <w:r>
        <w:rPr>
          <w:color w:val="auto"/>
          <w:szCs w:val="21"/>
          <w:highlight w:val="none"/>
          <w:u w:val="single"/>
        </w:rPr>
        <w:t xml:space="preserve">  </w:t>
      </w:r>
      <w:r>
        <w:rPr>
          <w:color w:val="auto"/>
          <w:szCs w:val="21"/>
          <w:highlight w:val="none"/>
        </w:rPr>
        <w:t>工程采购文件，遵照《中华人民共和国政府采购法》、《中华人民共和国</w:t>
      </w:r>
      <w:r>
        <w:rPr>
          <w:rFonts w:hint="eastAsia"/>
          <w:color w:val="auto"/>
          <w:szCs w:val="21"/>
          <w:highlight w:val="none"/>
        </w:rPr>
        <w:t>建筑</w:t>
      </w:r>
      <w:r>
        <w:rPr>
          <w:color w:val="auto"/>
          <w:szCs w:val="21"/>
          <w:highlight w:val="none"/>
        </w:rPr>
        <w:t>法》等有关规定，经踏勘项目现场和研究上述采购文件的供应商须知、合同条款、图纸、工程建设内容和工程量清单及其他有关文件后，我方愿以人民币</w:t>
      </w:r>
      <w:r>
        <w:rPr>
          <w:color w:val="auto"/>
          <w:szCs w:val="21"/>
          <w:highlight w:val="none"/>
          <w:u w:val="single"/>
        </w:rPr>
        <w:t>（大写）    元（RMB￥    元）</w:t>
      </w:r>
      <w:r>
        <w:rPr>
          <w:color w:val="auto"/>
          <w:szCs w:val="21"/>
          <w:highlight w:val="none"/>
        </w:rPr>
        <w:t>的磋商报价并按上述图纸、合同条款、工程建设内容和工程量清单的条件要求承包上述工程的施工、竣工，并承担任何质量缺陷保修责任。我方保证工程质量达到</w:t>
      </w:r>
      <w:r>
        <w:rPr>
          <w:color w:val="auto"/>
          <w:szCs w:val="21"/>
          <w:highlight w:val="none"/>
          <w:u w:val="single"/>
        </w:rPr>
        <w:t xml:space="preserve">     </w:t>
      </w:r>
      <w:r>
        <w:rPr>
          <w:color w:val="auto"/>
          <w:szCs w:val="21"/>
          <w:highlight w:val="none"/>
        </w:rPr>
        <w:t>等级。</w:t>
      </w:r>
    </w:p>
    <w:p w14:paraId="6BF8F35C">
      <w:pPr>
        <w:spacing w:line="360" w:lineRule="auto"/>
        <w:ind w:firstLine="420" w:firstLineChars="200"/>
        <w:rPr>
          <w:color w:val="auto"/>
          <w:szCs w:val="21"/>
          <w:highlight w:val="none"/>
        </w:rPr>
      </w:pPr>
      <w:r>
        <w:rPr>
          <w:color w:val="auto"/>
          <w:szCs w:val="21"/>
          <w:highlight w:val="none"/>
        </w:rPr>
        <w:t>2.我方已详细审核全部采购文件，包括修改文件（如有时）及有关附件。</w:t>
      </w:r>
    </w:p>
    <w:p w14:paraId="4893FA7E">
      <w:pPr>
        <w:spacing w:line="360" w:lineRule="auto"/>
        <w:ind w:firstLine="420" w:firstLineChars="200"/>
        <w:rPr>
          <w:color w:val="auto"/>
          <w:szCs w:val="21"/>
          <w:highlight w:val="none"/>
        </w:rPr>
      </w:pPr>
      <w:r>
        <w:rPr>
          <w:color w:val="auto"/>
          <w:szCs w:val="21"/>
          <w:highlight w:val="none"/>
        </w:rPr>
        <w:t>3.我方承认响应函附录是我方响应函的组成部分。</w:t>
      </w:r>
    </w:p>
    <w:p w14:paraId="66503A61">
      <w:pPr>
        <w:spacing w:line="360" w:lineRule="auto"/>
        <w:ind w:firstLine="420" w:firstLineChars="200"/>
        <w:rPr>
          <w:color w:val="auto"/>
          <w:szCs w:val="21"/>
          <w:highlight w:val="none"/>
        </w:rPr>
      </w:pPr>
      <w:r>
        <w:rPr>
          <w:color w:val="auto"/>
          <w:szCs w:val="21"/>
          <w:highlight w:val="none"/>
        </w:rPr>
        <w:t>4.一旦我方成交，我方保证按合同书中规定的工期</w:t>
      </w:r>
      <w:r>
        <w:rPr>
          <w:color w:val="auto"/>
          <w:szCs w:val="21"/>
          <w:highlight w:val="none"/>
          <w:u w:val="single"/>
        </w:rPr>
        <w:t xml:space="preserve">        </w:t>
      </w:r>
      <w:r>
        <w:rPr>
          <w:color w:val="auto"/>
          <w:szCs w:val="21"/>
          <w:highlight w:val="none"/>
        </w:rPr>
        <w:t>日历天内完成并移交全部工程</w:t>
      </w:r>
      <w:r>
        <w:rPr>
          <w:rFonts w:hint="eastAsia"/>
          <w:color w:val="auto"/>
          <w:szCs w:val="21"/>
          <w:highlight w:val="none"/>
        </w:rPr>
        <w:t>，并承诺</w:t>
      </w:r>
      <w:r>
        <w:rPr>
          <w:color w:val="auto"/>
          <w:szCs w:val="21"/>
          <w:highlight w:val="none"/>
        </w:rPr>
        <w:t>不分包及转包他人。</w:t>
      </w:r>
    </w:p>
    <w:p w14:paraId="5955A261">
      <w:pPr>
        <w:spacing w:line="360" w:lineRule="auto"/>
        <w:ind w:firstLine="420" w:firstLineChars="200"/>
        <w:rPr>
          <w:color w:val="auto"/>
          <w:szCs w:val="21"/>
          <w:highlight w:val="none"/>
        </w:rPr>
      </w:pPr>
      <w:r>
        <w:rPr>
          <w:color w:val="auto"/>
          <w:szCs w:val="21"/>
          <w:highlight w:val="none"/>
        </w:rPr>
        <w:t>5.如果我方成交，我方将按照文件规定提交履约保证金作为履约担保。</w:t>
      </w:r>
    </w:p>
    <w:p w14:paraId="138DD54D">
      <w:pPr>
        <w:spacing w:line="360" w:lineRule="auto"/>
        <w:ind w:firstLine="420" w:firstLineChars="200"/>
        <w:rPr>
          <w:color w:val="auto"/>
          <w:szCs w:val="21"/>
          <w:highlight w:val="none"/>
        </w:rPr>
      </w:pPr>
      <w:r>
        <w:rPr>
          <w:color w:val="auto"/>
          <w:szCs w:val="21"/>
          <w:highlight w:val="none"/>
        </w:rPr>
        <w:t>6.我方同意所提交的响应文件在采购文件的“供应商须知”中规定的</w:t>
      </w:r>
      <w:r>
        <w:rPr>
          <w:rFonts w:hint="eastAsia"/>
          <w:color w:val="auto"/>
          <w:szCs w:val="21"/>
          <w:highlight w:val="none"/>
        </w:rPr>
        <w:t>响应</w:t>
      </w:r>
      <w:r>
        <w:rPr>
          <w:color w:val="auto"/>
          <w:szCs w:val="21"/>
          <w:highlight w:val="none"/>
        </w:rPr>
        <w:t>有效期内有效，在此期间内如果成交，我方将受此约束。</w:t>
      </w:r>
    </w:p>
    <w:p w14:paraId="3310D94A">
      <w:pPr>
        <w:spacing w:line="360" w:lineRule="auto"/>
        <w:ind w:firstLine="420" w:firstLineChars="200"/>
        <w:rPr>
          <w:color w:val="auto"/>
          <w:szCs w:val="21"/>
          <w:highlight w:val="none"/>
        </w:rPr>
      </w:pPr>
      <w:r>
        <w:rPr>
          <w:color w:val="auto"/>
          <w:szCs w:val="21"/>
          <w:highlight w:val="none"/>
        </w:rPr>
        <w:t>7.除非另外达成协议并生效，你方的成交通知书和本响应文件将成为约束双方的合同文件的组成部分。</w:t>
      </w:r>
    </w:p>
    <w:p w14:paraId="238E0537">
      <w:pPr>
        <w:spacing w:line="360" w:lineRule="auto"/>
        <w:ind w:firstLine="420" w:firstLineChars="200"/>
        <w:rPr>
          <w:color w:val="auto"/>
          <w:szCs w:val="21"/>
          <w:highlight w:val="none"/>
        </w:rPr>
      </w:pPr>
      <w:r>
        <w:rPr>
          <w:color w:val="auto"/>
          <w:szCs w:val="21"/>
          <w:highlight w:val="none"/>
        </w:rPr>
        <w:t>8.我方将与本响应函一起，提交人民币</w:t>
      </w:r>
      <w:r>
        <w:rPr>
          <w:color w:val="auto"/>
          <w:szCs w:val="21"/>
          <w:highlight w:val="none"/>
          <w:u w:val="single"/>
        </w:rPr>
        <w:t>       </w:t>
      </w:r>
      <w:r>
        <w:rPr>
          <w:color w:val="auto"/>
          <w:szCs w:val="21"/>
          <w:highlight w:val="none"/>
        </w:rPr>
        <w:t>元作为磋商保证金。</w:t>
      </w:r>
    </w:p>
    <w:p w14:paraId="7D4EEE70">
      <w:pPr>
        <w:spacing w:line="360" w:lineRule="auto"/>
        <w:ind w:firstLine="420" w:firstLineChars="200"/>
        <w:rPr>
          <w:rFonts w:hint="eastAsia"/>
          <w:color w:val="auto"/>
          <w:szCs w:val="21"/>
          <w:highlight w:val="none"/>
        </w:rPr>
      </w:pPr>
      <w:bookmarkStart w:id="1088" w:name="_Hlk33002211"/>
      <w:r>
        <w:rPr>
          <w:rFonts w:hint="eastAsia"/>
          <w:color w:val="auto"/>
          <w:szCs w:val="21"/>
          <w:highlight w:val="none"/>
        </w:rPr>
        <w:t>9</w:t>
      </w:r>
      <w:r>
        <w:rPr>
          <w:color w:val="auto"/>
          <w:szCs w:val="21"/>
          <w:highlight w:val="none"/>
        </w:rPr>
        <w:t>.</w:t>
      </w:r>
      <w:r>
        <w:rPr>
          <w:rFonts w:hint="eastAsia"/>
          <w:color w:val="auto"/>
          <w:highlight w:val="none"/>
        </w:rPr>
        <w:t xml:space="preserve"> </w:t>
      </w:r>
      <w:r>
        <w:rPr>
          <w:rFonts w:hint="eastAsia"/>
          <w:color w:val="auto"/>
          <w:szCs w:val="21"/>
          <w:highlight w:val="none"/>
        </w:rPr>
        <w:t>与本项目有关的一切正式往来信函请寄：</w:t>
      </w:r>
    </w:p>
    <w:p w14:paraId="764C81DF">
      <w:pPr>
        <w:spacing w:line="360" w:lineRule="auto"/>
        <w:ind w:firstLine="420" w:firstLineChars="200"/>
        <w:rPr>
          <w:rFonts w:hint="eastAsia"/>
          <w:color w:val="auto"/>
          <w:szCs w:val="21"/>
          <w:highlight w:val="none"/>
          <w:u w:val="single"/>
        </w:rPr>
      </w:pPr>
      <w:r>
        <w:rPr>
          <w:rFonts w:hint="eastAsia"/>
          <w:color w:val="auto"/>
          <w:szCs w:val="21"/>
          <w:highlight w:val="none"/>
        </w:rPr>
        <w:t>地址：</w:t>
      </w:r>
      <w:r>
        <w:rPr>
          <w:rFonts w:hint="eastAsia"/>
          <w:color w:val="auto"/>
          <w:szCs w:val="21"/>
          <w:highlight w:val="none"/>
          <w:u w:val="single"/>
        </w:rPr>
        <w:t xml:space="preserve">                     </w:t>
      </w:r>
      <w:r>
        <w:rPr>
          <w:rFonts w:hint="eastAsia"/>
          <w:color w:val="auto"/>
          <w:szCs w:val="21"/>
          <w:highlight w:val="none"/>
        </w:rPr>
        <w:t xml:space="preserve"> 邮编：</w:t>
      </w:r>
      <w:r>
        <w:rPr>
          <w:rFonts w:hint="eastAsia"/>
          <w:color w:val="auto"/>
          <w:szCs w:val="21"/>
          <w:highlight w:val="none"/>
          <w:u w:val="single"/>
        </w:rPr>
        <w:t xml:space="preserve">           </w:t>
      </w:r>
      <w:r>
        <w:rPr>
          <w:rFonts w:hint="eastAsia"/>
          <w:color w:val="auto"/>
          <w:szCs w:val="21"/>
          <w:highlight w:val="none"/>
        </w:rPr>
        <w:t>电话：</w:t>
      </w:r>
      <w:r>
        <w:rPr>
          <w:rFonts w:hint="eastAsia"/>
          <w:color w:val="auto"/>
          <w:szCs w:val="21"/>
          <w:highlight w:val="none"/>
          <w:u w:val="single"/>
        </w:rPr>
        <w:t xml:space="preserve">            </w:t>
      </w:r>
    </w:p>
    <w:p w14:paraId="00E5BB44">
      <w:pPr>
        <w:spacing w:line="360" w:lineRule="auto"/>
        <w:ind w:firstLine="420" w:firstLineChars="200"/>
        <w:rPr>
          <w:rFonts w:hint="eastAsia"/>
          <w:color w:val="auto"/>
          <w:szCs w:val="21"/>
          <w:highlight w:val="none"/>
          <w:u w:val="single"/>
        </w:rPr>
      </w:pPr>
      <w:r>
        <w:rPr>
          <w:rFonts w:hint="eastAsia"/>
          <w:color w:val="auto"/>
          <w:szCs w:val="21"/>
          <w:highlight w:val="none"/>
        </w:rPr>
        <w:t>传真：</w:t>
      </w:r>
      <w:r>
        <w:rPr>
          <w:rFonts w:hint="eastAsia"/>
          <w:color w:val="auto"/>
          <w:szCs w:val="21"/>
          <w:highlight w:val="none"/>
          <w:u w:val="single"/>
        </w:rPr>
        <w:t xml:space="preserve">             </w:t>
      </w:r>
    </w:p>
    <w:p w14:paraId="235DF6E5">
      <w:pPr>
        <w:spacing w:line="360" w:lineRule="auto"/>
        <w:ind w:firstLine="420" w:firstLineChars="200"/>
        <w:rPr>
          <w:rFonts w:hint="eastAsia"/>
          <w:color w:val="auto"/>
          <w:szCs w:val="21"/>
          <w:highlight w:val="none"/>
          <w:u w:val="single"/>
        </w:rPr>
      </w:pPr>
      <w:r>
        <w:rPr>
          <w:rFonts w:hint="eastAsia"/>
          <w:color w:val="auto"/>
          <w:szCs w:val="21"/>
          <w:highlight w:val="none"/>
        </w:rPr>
        <w:t>供应商代表姓名</w:t>
      </w:r>
      <w:r>
        <w:rPr>
          <w:rFonts w:hint="eastAsia"/>
          <w:color w:val="auto"/>
          <w:szCs w:val="21"/>
          <w:highlight w:val="none"/>
          <w:u w:val="single"/>
        </w:rPr>
        <w:t xml:space="preserve">          </w:t>
      </w:r>
      <w:r>
        <w:rPr>
          <w:rFonts w:hint="eastAsia"/>
          <w:color w:val="auto"/>
          <w:szCs w:val="21"/>
          <w:highlight w:val="none"/>
        </w:rPr>
        <w:t xml:space="preserve"> 职务：</w:t>
      </w:r>
      <w:r>
        <w:rPr>
          <w:rFonts w:hint="eastAsia"/>
          <w:color w:val="auto"/>
          <w:szCs w:val="21"/>
          <w:highlight w:val="none"/>
          <w:u w:val="single"/>
        </w:rPr>
        <w:t xml:space="preserve">            </w:t>
      </w:r>
      <w:r>
        <w:rPr>
          <w:rFonts w:hint="eastAsia"/>
          <w:color w:val="auto"/>
          <w:szCs w:val="21"/>
          <w:highlight w:val="none"/>
        </w:rPr>
        <w:t>邮箱：</w:t>
      </w:r>
      <w:r>
        <w:rPr>
          <w:rFonts w:hint="eastAsia"/>
          <w:color w:val="auto"/>
          <w:szCs w:val="21"/>
          <w:highlight w:val="none"/>
          <w:u w:val="single"/>
        </w:rPr>
        <w:t xml:space="preserve">              </w:t>
      </w:r>
    </w:p>
    <w:bookmarkEnd w:id="1088"/>
    <w:p w14:paraId="7F1CF042">
      <w:pPr>
        <w:spacing w:line="360" w:lineRule="auto"/>
        <w:ind w:firstLine="420" w:firstLineChars="200"/>
        <w:rPr>
          <w:rFonts w:hint="eastAsia"/>
          <w:color w:val="auto"/>
          <w:szCs w:val="21"/>
          <w:highlight w:val="none"/>
        </w:rPr>
      </w:pPr>
    </w:p>
    <w:p w14:paraId="3D8DFFCB">
      <w:pPr>
        <w:spacing w:line="360" w:lineRule="auto"/>
        <w:rPr>
          <w:color w:val="auto"/>
          <w:szCs w:val="21"/>
          <w:highlight w:val="none"/>
        </w:rPr>
      </w:pPr>
    </w:p>
    <w:p w14:paraId="0A23C6E7">
      <w:pPr>
        <w:spacing w:line="360" w:lineRule="auto"/>
        <w:rPr>
          <w:color w:val="auto"/>
          <w:szCs w:val="21"/>
          <w:highlight w:val="none"/>
        </w:rPr>
      </w:pPr>
      <w:bookmarkStart w:id="1089" w:name="_Hlk89191117"/>
      <w:r>
        <w:rPr>
          <w:color w:val="auto"/>
          <w:szCs w:val="21"/>
          <w:highlight w:val="none"/>
        </w:rPr>
        <w:t>供应商名称</w:t>
      </w:r>
      <w:r>
        <w:rPr>
          <w:rFonts w:hint="eastAsia"/>
          <w:color w:val="auto"/>
          <w:szCs w:val="21"/>
          <w:highlight w:val="none"/>
        </w:rPr>
        <w:t>(电子签章</w:t>
      </w:r>
      <w:r>
        <w:rPr>
          <w:color w:val="auto"/>
          <w:szCs w:val="21"/>
          <w:highlight w:val="none"/>
        </w:rPr>
        <w:t>)：</w:t>
      </w:r>
      <w:r>
        <w:rPr>
          <w:color w:val="auto"/>
          <w:szCs w:val="21"/>
          <w:highlight w:val="none"/>
          <w:u w:val="single"/>
        </w:rPr>
        <w:t xml:space="preserve">                  </w:t>
      </w:r>
    </w:p>
    <w:bookmarkEnd w:id="1089"/>
    <w:p w14:paraId="27D1A054">
      <w:pPr>
        <w:spacing w:line="360" w:lineRule="auto"/>
        <w:rPr>
          <w:color w:val="auto"/>
          <w:szCs w:val="21"/>
          <w:highlight w:val="none"/>
        </w:rPr>
      </w:pPr>
    </w:p>
    <w:p w14:paraId="1B2F80DC">
      <w:pPr>
        <w:spacing w:line="360" w:lineRule="auto"/>
        <w:rPr>
          <w:color w:val="auto"/>
          <w:szCs w:val="21"/>
          <w:highlight w:val="none"/>
        </w:rPr>
      </w:pPr>
      <w:r>
        <w:rPr>
          <w:color w:val="auto"/>
          <w:szCs w:val="21"/>
          <w:highlight w:val="none"/>
        </w:rPr>
        <w:t>日期：</w:t>
      </w:r>
      <w:r>
        <w:rPr>
          <w:color w:val="auto"/>
          <w:szCs w:val="21"/>
          <w:highlight w:val="none"/>
          <w:u w:val="single"/>
        </w:rPr>
        <w:t xml:space="preserve">      </w:t>
      </w:r>
      <w:r>
        <w:rPr>
          <w:color w:val="auto"/>
          <w:szCs w:val="21"/>
          <w:highlight w:val="none"/>
        </w:rPr>
        <w:t>年</w:t>
      </w:r>
      <w:r>
        <w:rPr>
          <w:color w:val="auto"/>
          <w:szCs w:val="21"/>
          <w:highlight w:val="none"/>
          <w:u w:val="single"/>
        </w:rPr>
        <w:t xml:space="preserve">    </w:t>
      </w:r>
      <w:r>
        <w:rPr>
          <w:color w:val="auto"/>
          <w:szCs w:val="21"/>
          <w:highlight w:val="none"/>
        </w:rPr>
        <w:t>月</w:t>
      </w:r>
      <w:r>
        <w:rPr>
          <w:color w:val="auto"/>
          <w:szCs w:val="21"/>
          <w:highlight w:val="none"/>
          <w:u w:val="single"/>
        </w:rPr>
        <w:t xml:space="preserve">   </w:t>
      </w:r>
      <w:r>
        <w:rPr>
          <w:color w:val="auto"/>
          <w:szCs w:val="21"/>
          <w:highlight w:val="none"/>
        </w:rPr>
        <w:t>日</w:t>
      </w:r>
    </w:p>
    <w:p w14:paraId="33C439D8">
      <w:pPr>
        <w:jc w:val="left"/>
        <w:rPr>
          <w:b/>
          <w:color w:val="auto"/>
          <w:szCs w:val="21"/>
          <w:highlight w:val="none"/>
        </w:rPr>
      </w:pPr>
      <w:r>
        <w:rPr>
          <w:b/>
          <w:color w:val="auto"/>
          <w:szCs w:val="21"/>
          <w:highlight w:val="none"/>
        </w:rPr>
        <w:br w:type="page"/>
      </w:r>
      <w:r>
        <w:rPr>
          <w:color w:val="auto"/>
          <w:highlight w:val="none"/>
        </w:rPr>
        <w:t>2．</w:t>
      </w:r>
      <w:r>
        <w:rPr>
          <w:rFonts w:hint="eastAsia"/>
          <w:color w:val="auto"/>
          <w:highlight w:val="none"/>
        </w:rPr>
        <w:t>响应函附录</w:t>
      </w:r>
      <w:r>
        <w:rPr>
          <w:color w:val="auto"/>
          <w:highlight w:val="none"/>
        </w:rPr>
        <w:t>格式：</w:t>
      </w:r>
    </w:p>
    <w:p w14:paraId="50314CB9">
      <w:pPr>
        <w:jc w:val="center"/>
        <w:rPr>
          <w:b/>
          <w:color w:val="auto"/>
          <w:szCs w:val="21"/>
          <w:highlight w:val="none"/>
        </w:rPr>
      </w:pPr>
      <w:r>
        <w:rPr>
          <w:b/>
          <w:color w:val="auto"/>
          <w:szCs w:val="21"/>
          <w:highlight w:val="none"/>
        </w:rPr>
        <w:t>响应函附录</w:t>
      </w:r>
    </w:p>
    <w:p w14:paraId="54E5E995">
      <w:pPr>
        <w:rPr>
          <w:b/>
          <w:color w:val="auto"/>
          <w:szCs w:val="21"/>
          <w:highlight w:val="none"/>
        </w:rPr>
      </w:pPr>
    </w:p>
    <w:p w14:paraId="204CEC15">
      <w:pPr>
        <w:ind w:firstLine="514" w:firstLineChars="245"/>
        <w:rPr>
          <w:color w:val="auto"/>
          <w:szCs w:val="21"/>
          <w:highlight w:val="none"/>
        </w:rPr>
      </w:pPr>
      <w:r>
        <w:rPr>
          <w:color w:val="auto"/>
          <w:szCs w:val="21"/>
          <w:highlight w:val="none"/>
        </w:rPr>
        <w:t>项目名称：</w:t>
      </w:r>
      <w:r>
        <w:rPr>
          <w:color w:val="auto"/>
          <w:szCs w:val="21"/>
          <w:highlight w:val="none"/>
          <w:u w:val="single"/>
        </w:rPr>
        <w:t xml:space="preserve">                               </w:t>
      </w:r>
      <w:r>
        <w:rPr>
          <w:color w:val="auto"/>
          <w:szCs w:val="21"/>
          <w:highlight w:val="none"/>
        </w:rPr>
        <w:t xml:space="preserve"> 项目编号：</w:t>
      </w:r>
      <w:r>
        <w:rPr>
          <w:color w:val="auto"/>
          <w:szCs w:val="21"/>
          <w:highlight w:val="none"/>
          <w:u w:val="single"/>
        </w:rPr>
        <w:t xml:space="preserve">            </w:t>
      </w:r>
    </w:p>
    <w:tbl>
      <w:tblPr>
        <w:tblStyle w:val="5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2"/>
        <w:gridCol w:w="1985"/>
        <w:gridCol w:w="2126"/>
        <w:gridCol w:w="1984"/>
        <w:gridCol w:w="1843"/>
      </w:tblGrid>
      <w:tr w14:paraId="40C5F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4BBFECA7">
            <w:pPr>
              <w:jc w:val="center"/>
              <w:rPr>
                <w:color w:val="auto"/>
                <w:szCs w:val="21"/>
                <w:highlight w:val="none"/>
              </w:rPr>
            </w:pPr>
            <w:r>
              <w:rPr>
                <w:color w:val="auto"/>
                <w:szCs w:val="21"/>
                <w:highlight w:val="none"/>
              </w:rPr>
              <w:t>序 号</w:t>
            </w:r>
          </w:p>
        </w:tc>
        <w:tc>
          <w:tcPr>
            <w:tcW w:w="1985" w:type="dxa"/>
            <w:noWrap w:val="0"/>
            <w:vAlign w:val="center"/>
          </w:tcPr>
          <w:p w14:paraId="5932D464">
            <w:pPr>
              <w:jc w:val="center"/>
              <w:rPr>
                <w:color w:val="auto"/>
                <w:szCs w:val="21"/>
                <w:highlight w:val="none"/>
              </w:rPr>
            </w:pPr>
            <w:r>
              <w:rPr>
                <w:color w:val="auto"/>
                <w:szCs w:val="21"/>
                <w:highlight w:val="none"/>
              </w:rPr>
              <w:t>条款内容</w:t>
            </w:r>
          </w:p>
        </w:tc>
        <w:tc>
          <w:tcPr>
            <w:tcW w:w="2126" w:type="dxa"/>
            <w:noWrap w:val="0"/>
            <w:vAlign w:val="center"/>
          </w:tcPr>
          <w:p w14:paraId="43829E3B">
            <w:pPr>
              <w:jc w:val="center"/>
              <w:rPr>
                <w:color w:val="auto"/>
                <w:szCs w:val="21"/>
                <w:highlight w:val="none"/>
              </w:rPr>
            </w:pPr>
            <w:r>
              <w:rPr>
                <w:color w:val="auto"/>
                <w:szCs w:val="21"/>
                <w:highlight w:val="none"/>
              </w:rPr>
              <w:t>合同条款号</w:t>
            </w:r>
          </w:p>
        </w:tc>
        <w:tc>
          <w:tcPr>
            <w:tcW w:w="1984" w:type="dxa"/>
            <w:noWrap w:val="0"/>
            <w:vAlign w:val="center"/>
          </w:tcPr>
          <w:p w14:paraId="6207B2EA">
            <w:pPr>
              <w:jc w:val="center"/>
              <w:rPr>
                <w:color w:val="auto"/>
                <w:szCs w:val="21"/>
                <w:highlight w:val="none"/>
              </w:rPr>
            </w:pPr>
            <w:r>
              <w:rPr>
                <w:color w:val="auto"/>
                <w:szCs w:val="21"/>
                <w:highlight w:val="none"/>
              </w:rPr>
              <w:t>约定内容</w:t>
            </w:r>
          </w:p>
        </w:tc>
        <w:tc>
          <w:tcPr>
            <w:tcW w:w="1843" w:type="dxa"/>
            <w:noWrap w:val="0"/>
            <w:vAlign w:val="center"/>
          </w:tcPr>
          <w:p w14:paraId="4A4A6529">
            <w:pPr>
              <w:jc w:val="center"/>
              <w:rPr>
                <w:color w:val="auto"/>
                <w:szCs w:val="21"/>
                <w:highlight w:val="none"/>
              </w:rPr>
            </w:pPr>
            <w:r>
              <w:rPr>
                <w:color w:val="auto"/>
                <w:szCs w:val="21"/>
                <w:highlight w:val="none"/>
              </w:rPr>
              <w:t>备注</w:t>
            </w:r>
          </w:p>
        </w:tc>
      </w:tr>
      <w:tr w14:paraId="5BF6E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1B33646E">
            <w:pPr>
              <w:jc w:val="center"/>
              <w:rPr>
                <w:color w:val="auto"/>
                <w:szCs w:val="21"/>
                <w:highlight w:val="none"/>
              </w:rPr>
            </w:pPr>
            <w:r>
              <w:rPr>
                <w:color w:val="auto"/>
                <w:szCs w:val="21"/>
                <w:highlight w:val="none"/>
              </w:rPr>
              <w:t>1</w:t>
            </w:r>
          </w:p>
        </w:tc>
        <w:tc>
          <w:tcPr>
            <w:tcW w:w="1985" w:type="dxa"/>
            <w:noWrap w:val="0"/>
            <w:vAlign w:val="center"/>
          </w:tcPr>
          <w:p w14:paraId="427496F7">
            <w:pPr>
              <w:rPr>
                <w:color w:val="auto"/>
                <w:szCs w:val="21"/>
                <w:highlight w:val="none"/>
              </w:rPr>
            </w:pPr>
            <w:r>
              <w:rPr>
                <w:color w:val="auto"/>
                <w:szCs w:val="21"/>
                <w:highlight w:val="none"/>
              </w:rPr>
              <w:t>项目经理</w:t>
            </w:r>
          </w:p>
        </w:tc>
        <w:tc>
          <w:tcPr>
            <w:tcW w:w="2126" w:type="dxa"/>
            <w:noWrap w:val="0"/>
            <w:tcMar>
              <w:left w:w="170" w:type="dxa"/>
            </w:tcMar>
            <w:vAlign w:val="center"/>
          </w:tcPr>
          <w:p w14:paraId="006EE004">
            <w:pPr>
              <w:jc w:val="center"/>
              <w:rPr>
                <w:color w:val="auto"/>
                <w:szCs w:val="21"/>
                <w:highlight w:val="none"/>
              </w:rPr>
            </w:pPr>
            <w:r>
              <w:rPr>
                <w:color w:val="auto"/>
                <w:szCs w:val="21"/>
                <w:highlight w:val="none"/>
              </w:rPr>
              <w:t>专用条款</w:t>
            </w:r>
          </w:p>
        </w:tc>
        <w:tc>
          <w:tcPr>
            <w:tcW w:w="1984" w:type="dxa"/>
            <w:noWrap w:val="0"/>
            <w:vAlign w:val="center"/>
          </w:tcPr>
          <w:p w14:paraId="4EF4EB91">
            <w:pPr>
              <w:rPr>
                <w:color w:val="auto"/>
                <w:szCs w:val="21"/>
                <w:highlight w:val="none"/>
              </w:rPr>
            </w:pPr>
            <w:r>
              <w:rPr>
                <w:color w:val="auto"/>
                <w:szCs w:val="21"/>
                <w:highlight w:val="none"/>
              </w:rPr>
              <w:t>姓名：</w:t>
            </w:r>
            <w:r>
              <w:rPr>
                <w:color w:val="auto"/>
                <w:szCs w:val="21"/>
                <w:highlight w:val="none"/>
                <w:u w:val="single"/>
              </w:rPr>
              <w:t xml:space="preserve">          </w:t>
            </w:r>
          </w:p>
        </w:tc>
        <w:tc>
          <w:tcPr>
            <w:tcW w:w="1843" w:type="dxa"/>
            <w:noWrap w:val="0"/>
            <w:vAlign w:val="center"/>
          </w:tcPr>
          <w:p w14:paraId="4783B0DE">
            <w:pPr>
              <w:jc w:val="center"/>
              <w:rPr>
                <w:color w:val="auto"/>
                <w:szCs w:val="21"/>
                <w:highlight w:val="none"/>
              </w:rPr>
            </w:pPr>
          </w:p>
        </w:tc>
      </w:tr>
      <w:tr w14:paraId="58FD0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3306ABE8">
            <w:pPr>
              <w:jc w:val="center"/>
              <w:rPr>
                <w:color w:val="auto"/>
                <w:szCs w:val="21"/>
                <w:highlight w:val="none"/>
              </w:rPr>
            </w:pPr>
            <w:r>
              <w:rPr>
                <w:color w:val="auto"/>
                <w:szCs w:val="21"/>
                <w:highlight w:val="none"/>
              </w:rPr>
              <w:t>2</w:t>
            </w:r>
          </w:p>
        </w:tc>
        <w:tc>
          <w:tcPr>
            <w:tcW w:w="1985" w:type="dxa"/>
            <w:noWrap w:val="0"/>
            <w:vAlign w:val="center"/>
          </w:tcPr>
          <w:p w14:paraId="7832512F">
            <w:pPr>
              <w:rPr>
                <w:color w:val="auto"/>
                <w:szCs w:val="21"/>
                <w:highlight w:val="none"/>
              </w:rPr>
            </w:pPr>
            <w:r>
              <w:rPr>
                <w:rFonts w:hint="eastAsia"/>
                <w:color w:val="auto"/>
                <w:szCs w:val="21"/>
                <w:highlight w:val="none"/>
              </w:rPr>
              <w:t>响应</w:t>
            </w:r>
            <w:r>
              <w:rPr>
                <w:color w:val="auto"/>
                <w:szCs w:val="21"/>
                <w:highlight w:val="none"/>
              </w:rPr>
              <w:t>有效期</w:t>
            </w:r>
          </w:p>
        </w:tc>
        <w:tc>
          <w:tcPr>
            <w:tcW w:w="2126" w:type="dxa"/>
            <w:noWrap w:val="0"/>
            <w:tcMar>
              <w:left w:w="170" w:type="dxa"/>
            </w:tcMar>
            <w:vAlign w:val="center"/>
          </w:tcPr>
          <w:p w14:paraId="548E4DA1">
            <w:pPr>
              <w:rPr>
                <w:color w:val="auto"/>
                <w:szCs w:val="21"/>
                <w:highlight w:val="none"/>
              </w:rPr>
            </w:pPr>
          </w:p>
        </w:tc>
        <w:tc>
          <w:tcPr>
            <w:tcW w:w="1984" w:type="dxa"/>
            <w:noWrap w:val="0"/>
            <w:vAlign w:val="center"/>
          </w:tcPr>
          <w:p w14:paraId="3B883285">
            <w:pPr>
              <w:jc w:val="center"/>
              <w:rPr>
                <w:color w:val="auto"/>
                <w:szCs w:val="21"/>
                <w:highlight w:val="none"/>
                <w:u w:val="single"/>
              </w:rPr>
            </w:pPr>
            <w:r>
              <w:rPr>
                <w:color w:val="auto"/>
                <w:szCs w:val="21"/>
                <w:highlight w:val="none"/>
                <w:u w:val="single"/>
              </w:rPr>
              <w:t xml:space="preserve">          </w:t>
            </w:r>
            <w:r>
              <w:rPr>
                <w:color w:val="auto"/>
                <w:szCs w:val="21"/>
                <w:highlight w:val="none"/>
              </w:rPr>
              <w:t>日历天</w:t>
            </w:r>
          </w:p>
        </w:tc>
        <w:tc>
          <w:tcPr>
            <w:tcW w:w="1843" w:type="dxa"/>
            <w:noWrap w:val="0"/>
            <w:vAlign w:val="center"/>
          </w:tcPr>
          <w:p w14:paraId="5A1C3910">
            <w:pPr>
              <w:jc w:val="center"/>
              <w:rPr>
                <w:color w:val="auto"/>
                <w:szCs w:val="21"/>
                <w:highlight w:val="none"/>
              </w:rPr>
            </w:pPr>
          </w:p>
        </w:tc>
      </w:tr>
      <w:tr w14:paraId="614F9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3717AB71">
            <w:pPr>
              <w:jc w:val="center"/>
              <w:rPr>
                <w:color w:val="auto"/>
                <w:szCs w:val="21"/>
                <w:highlight w:val="none"/>
              </w:rPr>
            </w:pPr>
            <w:r>
              <w:rPr>
                <w:color w:val="auto"/>
                <w:szCs w:val="21"/>
                <w:highlight w:val="none"/>
              </w:rPr>
              <w:t>3</w:t>
            </w:r>
          </w:p>
        </w:tc>
        <w:tc>
          <w:tcPr>
            <w:tcW w:w="1985" w:type="dxa"/>
            <w:noWrap w:val="0"/>
            <w:vAlign w:val="center"/>
          </w:tcPr>
          <w:p w14:paraId="63B66547">
            <w:pPr>
              <w:rPr>
                <w:color w:val="auto"/>
                <w:szCs w:val="21"/>
                <w:highlight w:val="none"/>
              </w:rPr>
            </w:pPr>
            <w:r>
              <w:rPr>
                <w:color w:val="auto"/>
                <w:szCs w:val="21"/>
                <w:highlight w:val="none"/>
              </w:rPr>
              <w:t>工期</w:t>
            </w:r>
          </w:p>
        </w:tc>
        <w:tc>
          <w:tcPr>
            <w:tcW w:w="2126" w:type="dxa"/>
            <w:noWrap w:val="0"/>
            <w:tcMar>
              <w:left w:w="170" w:type="dxa"/>
            </w:tcMar>
            <w:vAlign w:val="center"/>
          </w:tcPr>
          <w:p w14:paraId="68E68EF0">
            <w:pPr>
              <w:jc w:val="center"/>
              <w:rPr>
                <w:color w:val="auto"/>
                <w:highlight w:val="none"/>
              </w:rPr>
            </w:pPr>
            <w:r>
              <w:rPr>
                <w:color w:val="auto"/>
                <w:szCs w:val="21"/>
                <w:highlight w:val="none"/>
              </w:rPr>
              <w:t>专用条款</w:t>
            </w:r>
          </w:p>
        </w:tc>
        <w:tc>
          <w:tcPr>
            <w:tcW w:w="1984" w:type="dxa"/>
            <w:noWrap w:val="0"/>
            <w:vAlign w:val="center"/>
          </w:tcPr>
          <w:p w14:paraId="6B6E1FD3">
            <w:pPr>
              <w:jc w:val="center"/>
              <w:rPr>
                <w:color w:val="auto"/>
                <w:szCs w:val="21"/>
                <w:highlight w:val="none"/>
              </w:rPr>
            </w:pPr>
            <w:r>
              <w:rPr>
                <w:color w:val="auto"/>
                <w:szCs w:val="21"/>
                <w:highlight w:val="none"/>
                <w:u w:val="single"/>
              </w:rPr>
              <w:t xml:space="preserve">          </w:t>
            </w:r>
            <w:r>
              <w:rPr>
                <w:color w:val="auto"/>
                <w:szCs w:val="21"/>
                <w:highlight w:val="none"/>
              </w:rPr>
              <w:t>日历天</w:t>
            </w:r>
          </w:p>
        </w:tc>
        <w:tc>
          <w:tcPr>
            <w:tcW w:w="1843" w:type="dxa"/>
            <w:noWrap w:val="0"/>
            <w:vAlign w:val="center"/>
          </w:tcPr>
          <w:p w14:paraId="31D00710">
            <w:pPr>
              <w:jc w:val="center"/>
              <w:rPr>
                <w:color w:val="auto"/>
                <w:szCs w:val="21"/>
                <w:highlight w:val="none"/>
              </w:rPr>
            </w:pPr>
          </w:p>
        </w:tc>
      </w:tr>
      <w:tr w14:paraId="6FBC4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6C3EB50F">
            <w:pPr>
              <w:jc w:val="center"/>
              <w:rPr>
                <w:color w:val="auto"/>
                <w:szCs w:val="21"/>
                <w:highlight w:val="none"/>
              </w:rPr>
            </w:pPr>
            <w:r>
              <w:rPr>
                <w:color w:val="auto"/>
                <w:szCs w:val="21"/>
                <w:highlight w:val="none"/>
              </w:rPr>
              <w:t>4</w:t>
            </w:r>
          </w:p>
        </w:tc>
        <w:tc>
          <w:tcPr>
            <w:tcW w:w="1985" w:type="dxa"/>
            <w:noWrap w:val="0"/>
            <w:vAlign w:val="center"/>
          </w:tcPr>
          <w:p w14:paraId="06E88C16">
            <w:pPr>
              <w:rPr>
                <w:color w:val="auto"/>
                <w:szCs w:val="21"/>
                <w:highlight w:val="none"/>
              </w:rPr>
            </w:pPr>
            <w:r>
              <w:rPr>
                <w:color w:val="auto"/>
                <w:szCs w:val="21"/>
                <w:highlight w:val="none"/>
              </w:rPr>
              <w:t>缺陷责任期</w:t>
            </w:r>
          </w:p>
        </w:tc>
        <w:tc>
          <w:tcPr>
            <w:tcW w:w="2126" w:type="dxa"/>
            <w:noWrap w:val="0"/>
            <w:tcMar>
              <w:left w:w="170" w:type="dxa"/>
            </w:tcMar>
            <w:vAlign w:val="center"/>
          </w:tcPr>
          <w:p w14:paraId="351917DC">
            <w:pPr>
              <w:jc w:val="center"/>
              <w:rPr>
                <w:color w:val="auto"/>
                <w:highlight w:val="none"/>
              </w:rPr>
            </w:pPr>
            <w:r>
              <w:rPr>
                <w:color w:val="auto"/>
                <w:szCs w:val="21"/>
                <w:highlight w:val="none"/>
              </w:rPr>
              <w:t>专用条款</w:t>
            </w:r>
          </w:p>
        </w:tc>
        <w:tc>
          <w:tcPr>
            <w:tcW w:w="1984" w:type="dxa"/>
            <w:noWrap w:val="0"/>
            <w:vAlign w:val="center"/>
          </w:tcPr>
          <w:p w14:paraId="4F082041">
            <w:pPr>
              <w:jc w:val="center"/>
              <w:rPr>
                <w:color w:val="auto"/>
                <w:szCs w:val="21"/>
                <w:highlight w:val="none"/>
              </w:rPr>
            </w:pPr>
          </w:p>
        </w:tc>
        <w:tc>
          <w:tcPr>
            <w:tcW w:w="1843" w:type="dxa"/>
            <w:noWrap w:val="0"/>
            <w:vAlign w:val="center"/>
          </w:tcPr>
          <w:p w14:paraId="2D291FAF">
            <w:pPr>
              <w:jc w:val="center"/>
              <w:rPr>
                <w:color w:val="auto"/>
                <w:szCs w:val="21"/>
                <w:highlight w:val="none"/>
              </w:rPr>
            </w:pPr>
          </w:p>
        </w:tc>
      </w:tr>
      <w:tr w14:paraId="6A220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0DD7F567">
            <w:pPr>
              <w:jc w:val="center"/>
              <w:rPr>
                <w:color w:val="auto"/>
                <w:szCs w:val="21"/>
                <w:highlight w:val="none"/>
              </w:rPr>
            </w:pPr>
            <w:r>
              <w:rPr>
                <w:color w:val="auto"/>
                <w:szCs w:val="21"/>
                <w:highlight w:val="none"/>
              </w:rPr>
              <w:t>5</w:t>
            </w:r>
          </w:p>
        </w:tc>
        <w:tc>
          <w:tcPr>
            <w:tcW w:w="1985" w:type="dxa"/>
            <w:noWrap w:val="0"/>
            <w:vAlign w:val="center"/>
          </w:tcPr>
          <w:p w14:paraId="652A8455">
            <w:pPr>
              <w:rPr>
                <w:color w:val="auto"/>
                <w:szCs w:val="21"/>
                <w:highlight w:val="none"/>
              </w:rPr>
            </w:pPr>
            <w:r>
              <w:rPr>
                <w:color w:val="auto"/>
                <w:szCs w:val="21"/>
                <w:highlight w:val="none"/>
              </w:rPr>
              <w:t>发包人支付担保</w:t>
            </w:r>
          </w:p>
        </w:tc>
        <w:tc>
          <w:tcPr>
            <w:tcW w:w="2126" w:type="dxa"/>
            <w:noWrap w:val="0"/>
            <w:tcMar>
              <w:left w:w="170" w:type="dxa"/>
            </w:tcMar>
            <w:vAlign w:val="center"/>
          </w:tcPr>
          <w:p w14:paraId="7CEC39F5">
            <w:pPr>
              <w:jc w:val="center"/>
              <w:rPr>
                <w:color w:val="auto"/>
                <w:highlight w:val="none"/>
              </w:rPr>
            </w:pPr>
            <w:r>
              <w:rPr>
                <w:color w:val="auto"/>
                <w:szCs w:val="21"/>
                <w:highlight w:val="none"/>
              </w:rPr>
              <w:t>专用条款</w:t>
            </w:r>
          </w:p>
        </w:tc>
        <w:tc>
          <w:tcPr>
            <w:tcW w:w="1984" w:type="dxa"/>
            <w:noWrap w:val="0"/>
            <w:vAlign w:val="center"/>
          </w:tcPr>
          <w:p w14:paraId="027F1353">
            <w:pPr>
              <w:jc w:val="center"/>
              <w:rPr>
                <w:color w:val="auto"/>
                <w:szCs w:val="21"/>
                <w:highlight w:val="none"/>
              </w:rPr>
            </w:pPr>
          </w:p>
        </w:tc>
        <w:tc>
          <w:tcPr>
            <w:tcW w:w="1843" w:type="dxa"/>
            <w:noWrap w:val="0"/>
            <w:vAlign w:val="center"/>
          </w:tcPr>
          <w:p w14:paraId="651D38F7">
            <w:pPr>
              <w:jc w:val="center"/>
              <w:rPr>
                <w:color w:val="auto"/>
                <w:szCs w:val="21"/>
                <w:highlight w:val="none"/>
              </w:rPr>
            </w:pPr>
          </w:p>
        </w:tc>
      </w:tr>
      <w:tr w14:paraId="4A84B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73D797D6">
            <w:pPr>
              <w:jc w:val="center"/>
              <w:rPr>
                <w:color w:val="auto"/>
                <w:szCs w:val="21"/>
                <w:highlight w:val="none"/>
              </w:rPr>
            </w:pPr>
            <w:r>
              <w:rPr>
                <w:color w:val="auto"/>
                <w:szCs w:val="21"/>
                <w:highlight w:val="none"/>
              </w:rPr>
              <w:t>6</w:t>
            </w:r>
          </w:p>
        </w:tc>
        <w:tc>
          <w:tcPr>
            <w:tcW w:w="1985" w:type="dxa"/>
            <w:noWrap w:val="0"/>
            <w:vAlign w:val="center"/>
          </w:tcPr>
          <w:p w14:paraId="43EC5917">
            <w:pPr>
              <w:rPr>
                <w:color w:val="auto"/>
                <w:szCs w:val="21"/>
                <w:highlight w:val="none"/>
              </w:rPr>
            </w:pPr>
            <w:r>
              <w:rPr>
                <w:color w:val="auto"/>
                <w:szCs w:val="21"/>
                <w:highlight w:val="none"/>
              </w:rPr>
              <w:t>承包人履约担保金额</w:t>
            </w:r>
          </w:p>
        </w:tc>
        <w:tc>
          <w:tcPr>
            <w:tcW w:w="2126" w:type="dxa"/>
            <w:noWrap w:val="0"/>
            <w:tcMar>
              <w:left w:w="170" w:type="dxa"/>
            </w:tcMar>
            <w:vAlign w:val="center"/>
          </w:tcPr>
          <w:p w14:paraId="7E8E1D4D">
            <w:pPr>
              <w:jc w:val="center"/>
              <w:rPr>
                <w:color w:val="auto"/>
                <w:highlight w:val="none"/>
              </w:rPr>
            </w:pPr>
            <w:r>
              <w:rPr>
                <w:color w:val="auto"/>
                <w:szCs w:val="21"/>
                <w:highlight w:val="none"/>
              </w:rPr>
              <w:t>专用条款</w:t>
            </w:r>
          </w:p>
        </w:tc>
        <w:tc>
          <w:tcPr>
            <w:tcW w:w="1984" w:type="dxa"/>
            <w:noWrap w:val="0"/>
            <w:vAlign w:val="center"/>
          </w:tcPr>
          <w:p w14:paraId="01DA191A">
            <w:pPr>
              <w:jc w:val="center"/>
              <w:rPr>
                <w:color w:val="auto"/>
                <w:szCs w:val="21"/>
                <w:highlight w:val="none"/>
              </w:rPr>
            </w:pPr>
          </w:p>
        </w:tc>
        <w:tc>
          <w:tcPr>
            <w:tcW w:w="1843" w:type="dxa"/>
            <w:noWrap w:val="0"/>
            <w:vAlign w:val="center"/>
          </w:tcPr>
          <w:p w14:paraId="144DF708">
            <w:pPr>
              <w:jc w:val="center"/>
              <w:rPr>
                <w:color w:val="auto"/>
                <w:szCs w:val="21"/>
                <w:highlight w:val="none"/>
              </w:rPr>
            </w:pPr>
          </w:p>
        </w:tc>
      </w:tr>
      <w:tr w14:paraId="2DC4C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4366D833">
            <w:pPr>
              <w:jc w:val="center"/>
              <w:rPr>
                <w:rFonts w:hint="eastAsia" w:eastAsia="宋体"/>
                <w:color w:val="auto"/>
                <w:szCs w:val="21"/>
                <w:highlight w:val="none"/>
                <w:lang w:val="en-US" w:eastAsia="zh-CN"/>
              </w:rPr>
            </w:pPr>
            <w:r>
              <w:rPr>
                <w:rFonts w:hint="eastAsia"/>
                <w:color w:val="auto"/>
                <w:szCs w:val="21"/>
                <w:highlight w:val="none"/>
                <w:lang w:val="en-US" w:eastAsia="zh-CN"/>
              </w:rPr>
              <w:t>7</w:t>
            </w:r>
          </w:p>
        </w:tc>
        <w:tc>
          <w:tcPr>
            <w:tcW w:w="1985" w:type="dxa"/>
            <w:noWrap w:val="0"/>
            <w:vAlign w:val="center"/>
          </w:tcPr>
          <w:p w14:paraId="1E133292">
            <w:pPr>
              <w:keepNext w:val="0"/>
              <w:keepLines w:val="0"/>
              <w:suppressLineNumbers w:val="0"/>
              <w:spacing w:before="0" w:beforeAutospacing="0" w:after="0" w:afterAutospacing="0"/>
              <w:ind w:left="0" w:leftChars="0" w:right="0" w:rightChars="0"/>
              <w:rPr>
                <w:rFonts w:hint="default" w:ascii="Calibri" w:hAnsi="Calibri" w:eastAsia="宋体" w:cs="Times New Roman"/>
                <w:color w:val="auto"/>
                <w:kern w:val="2"/>
                <w:sz w:val="21"/>
                <w:szCs w:val="24"/>
                <w:highlight w:val="none"/>
                <w:lang w:val="en-US" w:eastAsia="zh-CN" w:bidi="ar-SA"/>
              </w:rPr>
            </w:pPr>
            <w:r>
              <w:rPr>
                <w:rFonts w:hint="eastAsia" w:ascii="Calibri" w:hAnsi="Calibri" w:eastAsia="宋体" w:cs="宋体"/>
                <w:color w:val="auto"/>
                <w:highlight w:val="none"/>
              </w:rPr>
              <w:t>分包</w:t>
            </w:r>
          </w:p>
        </w:tc>
        <w:tc>
          <w:tcPr>
            <w:tcW w:w="2126" w:type="dxa"/>
            <w:noWrap w:val="0"/>
            <w:tcMar>
              <w:left w:w="170" w:type="dxa"/>
            </w:tcMar>
            <w:vAlign w:val="center"/>
          </w:tcPr>
          <w:p w14:paraId="2158FD6F">
            <w:pPr>
              <w:keepNext w:val="0"/>
              <w:keepLines w:val="0"/>
              <w:suppressLineNumbers w:val="0"/>
              <w:spacing w:before="0" w:beforeAutospacing="0" w:after="0" w:afterAutospacing="0"/>
              <w:ind w:left="0" w:leftChars="0" w:right="0" w:rightChars="0"/>
              <w:jc w:val="center"/>
              <w:rPr>
                <w:rFonts w:hint="default" w:ascii="Calibri" w:hAnsi="Calibri" w:eastAsia="宋体" w:cs="Times New Roman"/>
                <w:color w:val="auto"/>
                <w:kern w:val="2"/>
                <w:sz w:val="21"/>
                <w:szCs w:val="24"/>
                <w:highlight w:val="none"/>
                <w:lang w:val="en-US" w:eastAsia="zh-CN" w:bidi="ar-SA"/>
              </w:rPr>
            </w:pPr>
            <w:r>
              <w:rPr>
                <w:rFonts w:hint="eastAsia" w:ascii="Calibri" w:hAnsi="Calibri" w:eastAsia="宋体" w:cs="宋体"/>
                <w:color w:val="auto"/>
                <w:highlight w:val="none"/>
              </w:rPr>
              <w:t>专用条款</w:t>
            </w:r>
          </w:p>
        </w:tc>
        <w:tc>
          <w:tcPr>
            <w:tcW w:w="1984" w:type="dxa"/>
            <w:noWrap w:val="0"/>
            <w:vAlign w:val="center"/>
          </w:tcPr>
          <w:p w14:paraId="7F860BCE">
            <w:pPr>
              <w:keepNext w:val="0"/>
              <w:keepLines w:val="0"/>
              <w:suppressLineNumbers w:val="0"/>
              <w:spacing w:before="0" w:beforeAutospacing="0" w:after="0" w:afterAutospacing="0"/>
              <w:ind w:left="0" w:leftChars="0" w:right="0" w:rightChars="0"/>
              <w:jc w:val="center"/>
              <w:rPr>
                <w:rFonts w:hint="default" w:ascii="Calibri" w:hAnsi="Calibri" w:eastAsia="宋体" w:cs="Times New Roman"/>
                <w:color w:val="auto"/>
                <w:kern w:val="2"/>
                <w:sz w:val="21"/>
                <w:szCs w:val="24"/>
                <w:highlight w:val="none"/>
                <w:lang w:val="en-US" w:eastAsia="zh-CN" w:bidi="ar-SA"/>
              </w:rPr>
            </w:pPr>
            <w:r>
              <w:rPr>
                <w:rFonts w:hint="default" w:ascii="Calibri" w:hAnsi="Calibri" w:eastAsia="宋体" w:cs="Times New Roman"/>
                <w:color w:val="auto"/>
                <w:highlight w:val="none"/>
              </w:rPr>
              <w:t>见分包项目情况表</w:t>
            </w:r>
          </w:p>
        </w:tc>
        <w:tc>
          <w:tcPr>
            <w:tcW w:w="1843" w:type="dxa"/>
            <w:noWrap w:val="0"/>
            <w:vAlign w:val="center"/>
          </w:tcPr>
          <w:p w14:paraId="08BAA0F1">
            <w:pPr>
              <w:jc w:val="center"/>
              <w:rPr>
                <w:color w:val="auto"/>
                <w:szCs w:val="21"/>
                <w:highlight w:val="none"/>
              </w:rPr>
            </w:pPr>
          </w:p>
        </w:tc>
      </w:tr>
      <w:tr w14:paraId="07E97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3B9836EE">
            <w:pPr>
              <w:jc w:val="center"/>
              <w:rPr>
                <w:rFonts w:hint="eastAsia"/>
                <w:color w:val="auto"/>
                <w:szCs w:val="21"/>
                <w:highlight w:val="none"/>
              </w:rPr>
            </w:pPr>
            <w:r>
              <w:rPr>
                <w:rFonts w:hint="eastAsia"/>
                <w:color w:val="auto"/>
                <w:szCs w:val="21"/>
                <w:highlight w:val="none"/>
                <w:lang w:eastAsia="zh-CN"/>
              </w:rPr>
              <w:t>8</w:t>
            </w:r>
          </w:p>
        </w:tc>
        <w:tc>
          <w:tcPr>
            <w:tcW w:w="1985" w:type="dxa"/>
            <w:noWrap w:val="0"/>
            <w:vAlign w:val="center"/>
          </w:tcPr>
          <w:p w14:paraId="023E6258">
            <w:pPr>
              <w:rPr>
                <w:color w:val="auto"/>
                <w:szCs w:val="21"/>
                <w:highlight w:val="none"/>
              </w:rPr>
            </w:pPr>
            <w:r>
              <w:rPr>
                <w:color w:val="auto"/>
                <w:szCs w:val="21"/>
                <w:highlight w:val="none"/>
              </w:rPr>
              <w:t>逾期竣工违约金</w:t>
            </w:r>
          </w:p>
        </w:tc>
        <w:tc>
          <w:tcPr>
            <w:tcW w:w="2126" w:type="dxa"/>
            <w:noWrap w:val="0"/>
            <w:tcMar>
              <w:left w:w="170" w:type="dxa"/>
            </w:tcMar>
            <w:vAlign w:val="center"/>
          </w:tcPr>
          <w:p w14:paraId="6EDF5959">
            <w:pPr>
              <w:jc w:val="center"/>
              <w:rPr>
                <w:color w:val="auto"/>
                <w:highlight w:val="none"/>
              </w:rPr>
            </w:pPr>
            <w:r>
              <w:rPr>
                <w:color w:val="auto"/>
                <w:szCs w:val="21"/>
                <w:highlight w:val="none"/>
              </w:rPr>
              <w:t>专用条款</w:t>
            </w:r>
          </w:p>
        </w:tc>
        <w:tc>
          <w:tcPr>
            <w:tcW w:w="1984" w:type="dxa"/>
            <w:noWrap w:val="0"/>
            <w:vAlign w:val="center"/>
          </w:tcPr>
          <w:p w14:paraId="762894C1">
            <w:pPr>
              <w:rPr>
                <w:color w:val="auto"/>
                <w:szCs w:val="21"/>
                <w:highlight w:val="none"/>
              </w:rPr>
            </w:pPr>
            <w:r>
              <w:rPr>
                <w:color w:val="auto"/>
                <w:szCs w:val="21"/>
                <w:highlight w:val="none"/>
              </w:rPr>
              <w:t>合同价款</w:t>
            </w:r>
            <w:r>
              <w:rPr>
                <w:color w:val="auto"/>
                <w:szCs w:val="21"/>
                <w:highlight w:val="none"/>
                <w:u w:val="single"/>
              </w:rPr>
              <w:t xml:space="preserve">    </w:t>
            </w:r>
            <w:r>
              <w:rPr>
                <w:color w:val="auto"/>
                <w:szCs w:val="21"/>
                <w:highlight w:val="none"/>
              </w:rPr>
              <w:t>%/天</w:t>
            </w:r>
          </w:p>
        </w:tc>
        <w:tc>
          <w:tcPr>
            <w:tcW w:w="1843" w:type="dxa"/>
            <w:noWrap w:val="0"/>
            <w:vAlign w:val="center"/>
          </w:tcPr>
          <w:p w14:paraId="103DC859">
            <w:pPr>
              <w:jc w:val="center"/>
              <w:rPr>
                <w:color w:val="auto"/>
                <w:szCs w:val="21"/>
                <w:highlight w:val="none"/>
              </w:rPr>
            </w:pPr>
          </w:p>
        </w:tc>
      </w:tr>
      <w:tr w14:paraId="0C76F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70570FF5">
            <w:pPr>
              <w:jc w:val="center"/>
              <w:rPr>
                <w:rFonts w:hint="eastAsia"/>
                <w:color w:val="auto"/>
                <w:szCs w:val="21"/>
                <w:highlight w:val="none"/>
              </w:rPr>
            </w:pPr>
            <w:r>
              <w:rPr>
                <w:rFonts w:hint="eastAsia"/>
                <w:color w:val="auto"/>
                <w:szCs w:val="21"/>
                <w:highlight w:val="none"/>
                <w:lang w:eastAsia="zh-CN"/>
              </w:rPr>
              <w:t>9</w:t>
            </w:r>
          </w:p>
        </w:tc>
        <w:tc>
          <w:tcPr>
            <w:tcW w:w="1985" w:type="dxa"/>
            <w:noWrap w:val="0"/>
            <w:vAlign w:val="center"/>
          </w:tcPr>
          <w:p w14:paraId="6D2AACC1">
            <w:pPr>
              <w:rPr>
                <w:color w:val="auto"/>
                <w:szCs w:val="21"/>
                <w:highlight w:val="none"/>
              </w:rPr>
            </w:pPr>
            <w:r>
              <w:rPr>
                <w:color w:val="auto"/>
                <w:szCs w:val="21"/>
                <w:highlight w:val="none"/>
              </w:rPr>
              <w:t>逾期竣工违约金最高限额</w:t>
            </w:r>
          </w:p>
        </w:tc>
        <w:tc>
          <w:tcPr>
            <w:tcW w:w="2126" w:type="dxa"/>
            <w:noWrap w:val="0"/>
            <w:tcMar>
              <w:left w:w="170" w:type="dxa"/>
            </w:tcMar>
            <w:vAlign w:val="center"/>
          </w:tcPr>
          <w:p w14:paraId="48AD8634">
            <w:pPr>
              <w:jc w:val="center"/>
              <w:rPr>
                <w:color w:val="auto"/>
                <w:highlight w:val="none"/>
              </w:rPr>
            </w:pPr>
            <w:r>
              <w:rPr>
                <w:color w:val="auto"/>
                <w:szCs w:val="21"/>
                <w:highlight w:val="none"/>
              </w:rPr>
              <w:t>专用条款</w:t>
            </w:r>
          </w:p>
        </w:tc>
        <w:tc>
          <w:tcPr>
            <w:tcW w:w="1984" w:type="dxa"/>
            <w:noWrap w:val="0"/>
            <w:vAlign w:val="center"/>
          </w:tcPr>
          <w:p w14:paraId="43B0327C">
            <w:pPr>
              <w:rPr>
                <w:color w:val="auto"/>
                <w:szCs w:val="21"/>
                <w:highlight w:val="none"/>
              </w:rPr>
            </w:pPr>
            <w:r>
              <w:rPr>
                <w:color w:val="auto"/>
                <w:szCs w:val="21"/>
                <w:highlight w:val="none"/>
              </w:rPr>
              <w:t>合同价款</w:t>
            </w:r>
            <w:r>
              <w:rPr>
                <w:color w:val="auto"/>
                <w:szCs w:val="21"/>
                <w:highlight w:val="none"/>
                <w:u w:val="single"/>
              </w:rPr>
              <w:t xml:space="preserve">    %</w:t>
            </w:r>
          </w:p>
        </w:tc>
        <w:tc>
          <w:tcPr>
            <w:tcW w:w="1843" w:type="dxa"/>
            <w:noWrap w:val="0"/>
            <w:vAlign w:val="center"/>
          </w:tcPr>
          <w:p w14:paraId="44D7A928">
            <w:pPr>
              <w:jc w:val="center"/>
              <w:rPr>
                <w:color w:val="auto"/>
                <w:szCs w:val="21"/>
                <w:highlight w:val="none"/>
              </w:rPr>
            </w:pPr>
          </w:p>
        </w:tc>
      </w:tr>
      <w:tr w14:paraId="259C6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3D25690C">
            <w:pPr>
              <w:jc w:val="center"/>
              <w:rPr>
                <w:rFonts w:hint="default"/>
                <w:color w:val="auto"/>
                <w:szCs w:val="21"/>
                <w:highlight w:val="none"/>
              </w:rPr>
            </w:pPr>
            <w:r>
              <w:rPr>
                <w:rFonts w:hint="eastAsia"/>
                <w:color w:val="auto"/>
                <w:szCs w:val="21"/>
                <w:highlight w:val="none"/>
                <w:lang w:eastAsia="zh-CN"/>
              </w:rPr>
              <w:t>1</w:t>
            </w:r>
            <w:r>
              <w:rPr>
                <w:rFonts w:hint="eastAsia"/>
                <w:color w:val="auto"/>
                <w:szCs w:val="21"/>
                <w:highlight w:val="none"/>
                <w:lang w:val="en-US" w:eastAsia="zh-CN"/>
              </w:rPr>
              <w:t>0</w:t>
            </w:r>
          </w:p>
        </w:tc>
        <w:tc>
          <w:tcPr>
            <w:tcW w:w="1985" w:type="dxa"/>
            <w:noWrap w:val="0"/>
            <w:vAlign w:val="center"/>
          </w:tcPr>
          <w:p w14:paraId="291EF575">
            <w:pPr>
              <w:rPr>
                <w:color w:val="auto"/>
                <w:szCs w:val="21"/>
                <w:highlight w:val="none"/>
              </w:rPr>
            </w:pPr>
            <w:r>
              <w:rPr>
                <w:color w:val="auto"/>
                <w:szCs w:val="21"/>
                <w:highlight w:val="none"/>
              </w:rPr>
              <w:t>质量标准</w:t>
            </w:r>
          </w:p>
        </w:tc>
        <w:tc>
          <w:tcPr>
            <w:tcW w:w="2126" w:type="dxa"/>
            <w:noWrap w:val="0"/>
            <w:tcMar>
              <w:left w:w="170" w:type="dxa"/>
            </w:tcMar>
            <w:vAlign w:val="center"/>
          </w:tcPr>
          <w:p w14:paraId="24650C60">
            <w:pPr>
              <w:jc w:val="center"/>
              <w:rPr>
                <w:color w:val="auto"/>
                <w:highlight w:val="none"/>
              </w:rPr>
            </w:pPr>
            <w:r>
              <w:rPr>
                <w:color w:val="auto"/>
                <w:szCs w:val="21"/>
                <w:highlight w:val="none"/>
              </w:rPr>
              <w:t>专用条款</w:t>
            </w:r>
          </w:p>
        </w:tc>
        <w:tc>
          <w:tcPr>
            <w:tcW w:w="1984" w:type="dxa"/>
            <w:noWrap w:val="0"/>
            <w:vAlign w:val="center"/>
          </w:tcPr>
          <w:p w14:paraId="5DAC6A6A">
            <w:pPr>
              <w:jc w:val="center"/>
              <w:rPr>
                <w:color w:val="auto"/>
                <w:szCs w:val="21"/>
                <w:highlight w:val="none"/>
              </w:rPr>
            </w:pPr>
            <w:r>
              <w:rPr>
                <w:color w:val="auto"/>
                <w:szCs w:val="21"/>
                <w:highlight w:val="none"/>
                <w:u w:val="single"/>
              </w:rPr>
              <w:t xml:space="preserve">       </w:t>
            </w:r>
          </w:p>
        </w:tc>
        <w:tc>
          <w:tcPr>
            <w:tcW w:w="1843" w:type="dxa"/>
            <w:noWrap w:val="0"/>
            <w:vAlign w:val="center"/>
          </w:tcPr>
          <w:p w14:paraId="360BE346">
            <w:pPr>
              <w:jc w:val="center"/>
              <w:rPr>
                <w:color w:val="auto"/>
                <w:szCs w:val="21"/>
                <w:highlight w:val="none"/>
              </w:rPr>
            </w:pPr>
          </w:p>
        </w:tc>
      </w:tr>
      <w:tr w14:paraId="60EB3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7CA1712C">
            <w:pPr>
              <w:jc w:val="center"/>
              <w:rPr>
                <w:rFonts w:hint="default"/>
                <w:color w:val="auto"/>
                <w:szCs w:val="21"/>
                <w:highlight w:val="none"/>
              </w:rPr>
            </w:pPr>
            <w:r>
              <w:rPr>
                <w:rFonts w:hint="eastAsia"/>
                <w:color w:val="auto"/>
                <w:szCs w:val="21"/>
                <w:highlight w:val="none"/>
                <w:lang w:eastAsia="zh-CN"/>
              </w:rPr>
              <w:t>1</w:t>
            </w:r>
            <w:r>
              <w:rPr>
                <w:rFonts w:hint="eastAsia"/>
                <w:color w:val="auto"/>
                <w:szCs w:val="21"/>
                <w:highlight w:val="none"/>
                <w:lang w:val="en-US" w:eastAsia="zh-CN"/>
              </w:rPr>
              <w:t>1</w:t>
            </w:r>
          </w:p>
        </w:tc>
        <w:tc>
          <w:tcPr>
            <w:tcW w:w="1985" w:type="dxa"/>
            <w:noWrap w:val="0"/>
            <w:vAlign w:val="center"/>
          </w:tcPr>
          <w:p w14:paraId="51405501">
            <w:pPr>
              <w:rPr>
                <w:color w:val="auto"/>
                <w:szCs w:val="21"/>
                <w:highlight w:val="none"/>
              </w:rPr>
            </w:pPr>
            <w:r>
              <w:rPr>
                <w:color w:val="auto"/>
                <w:szCs w:val="21"/>
                <w:highlight w:val="none"/>
              </w:rPr>
              <w:t>预付款额度</w:t>
            </w:r>
          </w:p>
        </w:tc>
        <w:tc>
          <w:tcPr>
            <w:tcW w:w="2126" w:type="dxa"/>
            <w:noWrap w:val="0"/>
            <w:tcMar>
              <w:left w:w="170" w:type="dxa"/>
            </w:tcMar>
            <w:vAlign w:val="center"/>
          </w:tcPr>
          <w:p w14:paraId="0A6E1BCA">
            <w:pPr>
              <w:jc w:val="center"/>
              <w:rPr>
                <w:color w:val="auto"/>
                <w:highlight w:val="none"/>
              </w:rPr>
            </w:pPr>
            <w:r>
              <w:rPr>
                <w:color w:val="auto"/>
                <w:szCs w:val="21"/>
                <w:highlight w:val="none"/>
              </w:rPr>
              <w:t>专用条款</w:t>
            </w:r>
          </w:p>
        </w:tc>
        <w:tc>
          <w:tcPr>
            <w:tcW w:w="1984" w:type="dxa"/>
            <w:noWrap w:val="0"/>
            <w:vAlign w:val="center"/>
          </w:tcPr>
          <w:p w14:paraId="570194A4">
            <w:pPr>
              <w:jc w:val="center"/>
              <w:rPr>
                <w:color w:val="auto"/>
                <w:szCs w:val="21"/>
                <w:highlight w:val="none"/>
              </w:rPr>
            </w:pPr>
            <w:r>
              <w:rPr>
                <w:color w:val="auto"/>
                <w:szCs w:val="21"/>
                <w:highlight w:val="none"/>
                <w:u w:val="single"/>
              </w:rPr>
              <w:t xml:space="preserve">       </w:t>
            </w:r>
          </w:p>
        </w:tc>
        <w:tc>
          <w:tcPr>
            <w:tcW w:w="1843" w:type="dxa"/>
            <w:noWrap w:val="0"/>
            <w:vAlign w:val="center"/>
          </w:tcPr>
          <w:p w14:paraId="30940C84">
            <w:pPr>
              <w:jc w:val="center"/>
              <w:rPr>
                <w:color w:val="auto"/>
                <w:szCs w:val="21"/>
                <w:highlight w:val="none"/>
              </w:rPr>
            </w:pPr>
          </w:p>
        </w:tc>
      </w:tr>
      <w:tr w14:paraId="1F181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7E18B61F">
            <w:pPr>
              <w:jc w:val="center"/>
              <w:rPr>
                <w:rFonts w:hint="default"/>
                <w:color w:val="auto"/>
                <w:szCs w:val="21"/>
                <w:highlight w:val="none"/>
              </w:rPr>
            </w:pPr>
            <w:r>
              <w:rPr>
                <w:rFonts w:hint="eastAsia"/>
                <w:color w:val="auto"/>
                <w:szCs w:val="21"/>
                <w:highlight w:val="none"/>
                <w:lang w:eastAsia="zh-CN"/>
              </w:rPr>
              <w:t>1</w:t>
            </w:r>
            <w:r>
              <w:rPr>
                <w:rFonts w:hint="eastAsia"/>
                <w:color w:val="auto"/>
                <w:szCs w:val="21"/>
                <w:highlight w:val="none"/>
                <w:lang w:val="en-US" w:eastAsia="zh-CN"/>
              </w:rPr>
              <w:t>2</w:t>
            </w:r>
          </w:p>
        </w:tc>
        <w:tc>
          <w:tcPr>
            <w:tcW w:w="1985" w:type="dxa"/>
            <w:noWrap w:val="0"/>
            <w:vAlign w:val="center"/>
          </w:tcPr>
          <w:p w14:paraId="77A540C5">
            <w:pPr>
              <w:rPr>
                <w:color w:val="auto"/>
                <w:szCs w:val="21"/>
                <w:highlight w:val="none"/>
              </w:rPr>
            </w:pPr>
            <w:r>
              <w:rPr>
                <w:color w:val="auto"/>
                <w:szCs w:val="21"/>
                <w:highlight w:val="none"/>
              </w:rPr>
              <w:t>预付款保函金额</w:t>
            </w:r>
          </w:p>
        </w:tc>
        <w:tc>
          <w:tcPr>
            <w:tcW w:w="2126" w:type="dxa"/>
            <w:noWrap w:val="0"/>
            <w:tcMar>
              <w:left w:w="170" w:type="dxa"/>
            </w:tcMar>
            <w:vAlign w:val="center"/>
          </w:tcPr>
          <w:p w14:paraId="18F20843">
            <w:pPr>
              <w:jc w:val="center"/>
              <w:rPr>
                <w:color w:val="auto"/>
                <w:highlight w:val="none"/>
              </w:rPr>
            </w:pPr>
            <w:r>
              <w:rPr>
                <w:color w:val="auto"/>
                <w:szCs w:val="21"/>
                <w:highlight w:val="none"/>
              </w:rPr>
              <w:t>专用条款</w:t>
            </w:r>
          </w:p>
        </w:tc>
        <w:tc>
          <w:tcPr>
            <w:tcW w:w="1984" w:type="dxa"/>
            <w:noWrap w:val="0"/>
            <w:vAlign w:val="center"/>
          </w:tcPr>
          <w:p w14:paraId="59C137DB">
            <w:pPr>
              <w:jc w:val="center"/>
              <w:rPr>
                <w:color w:val="auto"/>
                <w:szCs w:val="21"/>
                <w:highlight w:val="none"/>
              </w:rPr>
            </w:pPr>
            <w:r>
              <w:rPr>
                <w:color w:val="auto"/>
                <w:szCs w:val="21"/>
                <w:highlight w:val="none"/>
                <w:u w:val="single"/>
              </w:rPr>
              <w:t xml:space="preserve">       </w:t>
            </w:r>
          </w:p>
        </w:tc>
        <w:tc>
          <w:tcPr>
            <w:tcW w:w="1843" w:type="dxa"/>
            <w:noWrap w:val="0"/>
            <w:vAlign w:val="center"/>
          </w:tcPr>
          <w:p w14:paraId="62DEA750">
            <w:pPr>
              <w:jc w:val="center"/>
              <w:rPr>
                <w:color w:val="auto"/>
                <w:szCs w:val="21"/>
                <w:highlight w:val="none"/>
              </w:rPr>
            </w:pPr>
          </w:p>
        </w:tc>
      </w:tr>
      <w:tr w14:paraId="1DF66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511BD409">
            <w:pPr>
              <w:jc w:val="center"/>
              <w:rPr>
                <w:rFonts w:hint="eastAsia"/>
                <w:color w:val="auto"/>
                <w:szCs w:val="21"/>
                <w:highlight w:val="none"/>
              </w:rPr>
            </w:pPr>
            <w:r>
              <w:rPr>
                <w:color w:val="auto"/>
                <w:szCs w:val="21"/>
                <w:highlight w:val="none"/>
              </w:rPr>
              <w:t>1</w:t>
            </w:r>
            <w:r>
              <w:rPr>
                <w:rFonts w:hint="eastAsia"/>
                <w:color w:val="auto"/>
                <w:szCs w:val="21"/>
                <w:highlight w:val="none"/>
                <w:lang w:eastAsia="zh-CN"/>
              </w:rPr>
              <w:t>3</w:t>
            </w:r>
          </w:p>
        </w:tc>
        <w:tc>
          <w:tcPr>
            <w:tcW w:w="1985" w:type="dxa"/>
            <w:noWrap w:val="0"/>
            <w:vAlign w:val="center"/>
          </w:tcPr>
          <w:p w14:paraId="01FB67FC">
            <w:pPr>
              <w:rPr>
                <w:color w:val="auto"/>
                <w:szCs w:val="21"/>
                <w:highlight w:val="none"/>
              </w:rPr>
            </w:pPr>
            <w:r>
              <w:rPr>
                <w:color w:val="auto"/>
                <w:szCs w:val="21"/>
                <w:highlight w:val="none"/>
              </w:rPr>
              <w:t>质量保证金额度</w:t>
            </w:r>
          </w:p>
        </w:tc>
        <w:tc>
          <w:tcPr>
            <w:tcW w:w="2126" w:type="dxa"/>
            <w:noWrap w:val="0"/>
            <w:tcMar>
              <w:left w:w="170" w:type="dxa"/>
            </w:tcMar>
            <w:vAlign w:val="center"/>
          </w:tcPr>
          <w:p w14:paraId="2DC0B241">
            <w:pPr>
              <w:jc w:val="center"/>
              <w:rPr>
                <w:color w:val="auto"/>
                <w:highlight w:val="none"/>
              </w:rPr>
            </w:pPr>
            <w:r>
              <w:rPr>
                <w:color w:val="auto"/>
                <w:szCs w:val="21"/>
                <w:highlight w:val="none"/>
              </w:rPr>
              <w:t>专用条款</w:t>
            </w:r>
          </w:p>
        </w:tc>
        <w:tc>
          <w:tcPr>
            <w:tcW w:w="1984" w:type="dxa"/>
            <w:noWrap w:val="0"/>
            <w:vAlign w:val="center"/>
          </w:tcPr>
          <w:p w14:paraId="5A852637">
            <w:pPr>
              <w:jc w:val="center"/>
              <w:rPr>
                <w:color w:val="auto"/>
                <w:szCs w:val="21"/>
                <w:highlight w:val="none"/>
              </w:rPr>
            </w:pPr>
            <w:r>
              <w:rPr>
                <w:color w:val="auto"/>
                <w:szCs w:val="21"/>
                <w:highlight w:val="none"/>
              </w:rPr>
              <w:t>结算价的</w:t>
            </w:r>
            <w:r>
              <w:rPr>
                <w:color w:val="auto"/>
                <w:szCs w:val="21"/>
                <w:highlight w:val="none"/>
                <w:u w:val="single"/>
              </w:rPr>
              <w:t xml:space="preserve">     </w:t>
            </w:r>
            <w:r>
              <w:rPr>
                <w:color w:val="auto"/>
                <w:szCs w:val="21"/>
                <w:highlight w:val="none"/>
              </w:rPr>
              <w:t xml:space="preserve">% </w:t>
            </w:r>
            <w:r>
              <w:rPr>
                <w:color w:val="auto"/>
                <w:szCs w:val="21"/>
                <w:highlight w:val="none"/>
                <w:u w:val="single"/>
              </w:rPr>
              <w:t xml:space="preserve"> </w:t>
            </w:r>
          </w:p>
        </w:tc>
        <w:tc>
          <w:tcPr>
            <w:tcW w:w="1843" w:type="dxa"/>
            <w:noWrap w:val="0"/>
            <w:vAlign w:val="center"/>
          </w:tcPr>
          <w:p w14:paraId="2E56E159">
            <w:pPr>
              <w:jc w:val="center"/>
              <w:rPr>
                <w:color w:val="auto"/>
                <w:szCs w:val="21"/>
                <w:highlight w:val="none"/>
              </w:rPr>
            </w:pPr>
          </w:p>
        </w:tc>
      </w:tr>
      <w:tr w14:paraId="6210F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225E926A">
            <w:pPr>
              <w:jc w:val="center"/>
              <w:rPr>
                <w:color w:val="auto"/>
                <w:szCs w:val="21"/>
                <w:highlight w:val="none"/>
              </w:rPr>
            </w:pPr>
            <w:r>
              <w:rPr>
                <w:color w:val="auto"/>
                <w:szCs w:val="21"/>
                <w:highlight w:val="none"/>
              </w:rPr>
              <w:t>…</w:t>
            </w:r>
          </w:p>
        </w:tc>
        <w:tc>
          <w:tcPr>
            <w:tcW w:w="1985" w:type="dxa"/>
            <w:noWrap w:val="0"/>
            <w:vAlign w:val="center"/>
          </w:tcPr>
          <w:p w14:paraId="339C2EA5">
            <w:pPr>
              <w:jc w:val="center"/>
              <w:rPr>
                <w:color w:val="auto"/>
                <w:szCs w:val="21"/>
                <w:highlight w:val="none"/>
              </w:rPr>
            </w:pPr>
            <w:r>
              <w:rPr>
                <w:color w:val="auto"/>
                <w:szCs w:val="21"/>
                <w:highlight w:val="none"/>
              </w:rPr>
              <w:t>…</w:t>
            </w:r>
          </w:p>
        </w:tc>
        <w:tc>
          <w:tcPr>
            <w:tcW w:w="2126" w:type="dxa"/>
            <w:noWrap w:val="0"/>
            <w:tcMar>
              <w:left w:w="170" w:type="dxa"/>
            </w:tcMar>
            <w:vAlign w:val="center"/>
          </w:tcPr>
          <w:p w14:paraId="6888CB86">
            <w:pPr>
              <w:jc w:val="center"/>
              <w:rPr>
                <w:color w:val="auto"/>
                <w:szCs w:val="21"/>
                <w:highlight w:val="none"/>
              </w:rPr>
            </w:pPr>
          </w:p>
        </w:tc>
        <w:tc>
          <w:tcPr>
            <w:tcW w:w="1984" w:type="dxa"/>
            <w:noWrap w:val="0"/>
            <w:vAlign w:val="center"/>
          </w:tcPr>
          <w:p w14:paraId="5DB67763">
            <w:pPr>
              <w:jc w:val="center"/>
              <w:rPr>
                <w:color w:val="auto"/>
                <w:szCs w:val="21"/>
                <w:highlight w:val="none"/>
              </w:rPr>
            </w:pPr>
          </w:p>
        </w:tc>
        <w:tc>
          <w:tcPr>
            <w:tcW w:w="1843" w:type="dxa"/>
            <w:noWrap w:val="0"/>
            <w:vAlign w:val="center"/>
          </w:tcPr>
          <w:p w14:paraId="0A5A1F74">
            <w:pPr>
              <w:jc w:val="center"/>
              <w:rPr>
                <w:color w:val="auto"/>
                <w:szCs w:val="21"/>
                <w:highlight w:val="none"/>
              </w:rPr>
            </w:pPr>
          </w:p>
        </w:tc>
      </w:tr>
      <w:tr w14:paraId="4066A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8930" w:type="dxa"/>
            <w:gridSpan w:val="5"/>
            <w:noWrap w:val="0"/>
            <w:vAlign w:val="center"/>
          </w:tcPr>
          <w:p w14:paraId="497AC198">
            <w:pPr>
              <w:spacing w:line="360" w:lineRule="auto"/>
              <w:rPr>
                <w:color w:val="auto"/>
                <w:szCs w:val="21"/>
                <w:highlight w:val="none"/>
              </w:rPr>
            </w:pPr>
            <w:r>
              <w:rPr>
                <w:color w:val="auto"/>
                <w:szCs w:val="21"/>
                <w:highlight w:val="none"/>
              </w:rPr>
              <w:t>备注：供应商在响应采购文件中规定的实质性要求和条件的基础上，可做出其他有利于采购单位的承诺。此类承诺可在本表中予以补充填写。</w:t>
            </w:r>
          </w:p>
        </w:tc>
      </w:tr>
    </w:tbl>
    <w:p w14:paraId="7659BDD3">
      <w:pPr>
        <w:rPr>
          <w:color w:val="auto"/>
          <w:spacing w:val="20"/>
          <w:szCs w:val="21"/>
          <w:highlight w:val="none"/>
          <w:u w:val="single"/>
        </w:rPr>
      </w:pPr>
    </w:p>
    <w:p w14:paraId="28B679B4">
      <w:pPr>
        <w:spacing w:line="360" w:lineRule="auto"/>
        <w:rPr>
          <w:color w:val="auto"/>
          <w:spacing w:val="20"/>
          <w:szCs w:val="21"/>
          <w:highlight w:val="none"/>
        </w:rPr>
      </w:pPr>
    </w:p>
    <w:p w14:paraId="5B1B710B">
      <w:pPr>
        <w:jc w:val="left"/>
        <w:rPr>
          <w:color w:val="auto"/>
          <w:szCs w:val="21"/>
          <w:highlight w:val="none"/>
        </w:rPr>
      </w:pPr>
    </w:p>
    <w:p w14:paraId="70D46783">
      <w:pPr>
        <w:spacing w:line="360" w:lineRule="auto"/>
        <w:rPr>
          <w:color w:val="auto"/>
          <w:spacing w:val="20"/>
          <w:szCs w:val="21"/>
          <w:highlight w:val="none"/>
        </w:rPr>
      </w:pPr>
    </w:p>
    <w:p w14:paraId="5CBB16F8">
      <w:pPr>
        <w:spacing w:line="360" w:lineRule="auto"/>
        <w:rPr>
          <w:color w:val="auto"/>
          <w:szCs w:val="21"/>
          <w:highlight w:val="none"/>
        </w:rPr>
      </w:pPr>
      <w:bookmarkStart w:id="1090" w:name="_Hlk89191140"/>
      <w:r>
        <w:rPr>
          <w:color w:val="auto"/>
          <w:szCs w:val="21"/>
          <w:highlight w:val="none"/>
        </w:rPr>
        <w:t>供应商名称（</w:t>
      </w:r>
      <w:r>
        <w:rPr>
          <w:rFonts w:hint="eastAsia"/>
          <w:color w:val="auto"/>
          <w:szCs w:val="21"/>
          <w:highlight w:val="none"/>
        </w:rPr>
        <w:t>电子签章</w:t>
      </w:r>
      <w:r>
        <w:rPr>
          <w:color w:val="auto"/>
          <w:szCs w:val="21"/>
          <w:highlight w:val="none"/>
        </w:rPr>
        <w:t>）</w:t>
      </w:r>
      <w:bookmarkEnd w:id="1090"/>
      <w:r>
        <w:rPr>
          <w:color w:val="auto"/>
          <w:szCs w:val="21"/>
          <w:highlight w:val="none"/>
        </w:rPr>
        <w:t>：</w:t>
      </w:r>
      <w:r>
        <w:rPr>
          <w:color w:val="auto"/>
          <w:szCs w:val="21"/>
          <w:highlight w:val="none"/>
          <w:u w:val="single"/>
        </w:rPr>
        <w:t xml:space="preserve">                          </w:t>
      </w:r>
    </w:p>
    <w:p w14:paraId="45D88A35">
      <w:pPr>
        <w:spacing w:line="360" w:lineRule="auto"/>
        <w:rPr>
          <w:color w:val="auto"/>
          <w:szCs w:val="21"/>
          <w:highlight w:val="none"/>
        </w:rPr>
      </w:pPr>
      <w:r>
        <w:rPr>
          <w:color w:val="auto"/>
          <w:szCs w:val="21"/>
          <w:highlight w:val="none"/>
        </w:rPr>
        <w:t>日  期：：</w:t>
      </w:r>
      <w:r>
        <w:rPr>
          <w:color w:val="auto"/>
          <w:szCs w:val="21"/>
          <w:highlight w:val="none"/>
          <w:u w:val="single"/>
        </w:rPr>
        <w:t xml:space="preserve">         </w:t>
      </w:r>
      <w:r>
        <w:rPr>
          <w:color w:val="auto"/>
          <w:szCs w:val="21"/>
          <w:highlight w:val="none"/>
        </w:rPr>
        <w:t>年</w:t>
      </w:r>
      <w:r>
        <w:rPr>
          <w:color w:val="auto"/>
          <w:szCs w:val="21"/>
          <w:highlight w:val="none"/>
          <w:u w:val="single"/>
        </w:rPr>
        <w:t xml:space="preserve">   </w:t>
      </w:r>
      <w:r>
        <w:rPr>
          <w:color w:val="auto"/>
          <w:szCs w:val="21"/>
          <w:highlight w:val="none"/>
        </w:rPr>
        <w:t>月</w:t>
      </w:r>
      <w:r>
        <w:rPr>
          <w:color w:val="auto"/>
          <w:szCs w:val="21"/>
          <w:highlight w:val="none"/>
          <w:u w:val="single"/>
        </w:rPr>
        <w:t xml:space="preserve">   </w:t>
      </w:r>
      <w:r>
        <w:rPr>
          <w:color w:val="auto"/>
          <w:szCs w:val="21"/>
          <w:highlight w:val="none"/>
        </w:rPr>
        <w:t xml:space="preserve">日 </w:t>
      </w:r>
    </w:p>
    <w:p w14:paraId="56BAC9FA">
      <w:pPr>
        <w:spacing w:line="360" w:lineRule="auto"/>
        <w:rPr>
          <w:color w:val="auto"/>
          <w:szCs w:val="21"/>
          <w:highlight w:val="none"/>
        </w:rPr>
      </w:pPr>
    </w:p>
    <w:p w14:paraId="4C12153A">
      <w:pPr>
        <w:jc w:val="left"/>
        <w:rPr>
          <w:rFonts w:hint="eastAsia"/>
          <w:color w:val="auto"/>
          <w:szCs w:val="21"/>
          <w:highlight w:val="none"/>
        </w:rPr>
      </w:pPr>
      <w:r>
        <w:rPr>
          <w:color w:val="auto"/>
          <w:szCs w:val="21"/>
          <w:highlight w:val="none"/>
        </w:rPr>
        <w:br w:type="page"/>
      </w:r>
      <w:r>
        <w:rPr>
          <w:rFonts w:hint="eastAsia"/>
          <w:color w:val="auto"/>
          <w:szCs w:val="21"/>
          <w:highlight w:val="none"/>
          <w:lang w:eastAsia="zh-CN"/>
        </w:rPr>
        <w:t>3</w:t>
      </w:r>
      <w:r>
        <w:rPr>
          <w:color w:val="auto"/>
          <w:szCs w:val="21"/>
          <w:highlight w:val="none"/>
        </w:rPr>
        <w:t>．已标价工程量清单</w:t>
      </w:r>
      <w:r>
        <w:rPr>
          <w:rFonts w:hint="eastAsia"/>
          <w:color w:val="auto"/>
          <w:szCs w:val="21"/>
          <w:highlight w:val="none"/>
        </w:rPr>
        <w:t>：</w:t>
      </w:r>
    </w:p>
    <w:p w14:paraId="1C602CC3">
      <w:pPr>
        <w:spacing w:line="360" w:lineRule="exact"/>
        <w:ind w:firstLine="420" w:firstLineChars="200"/>
        <w:rPr>
          <w:color w:val="auto"/>
          <w:szCs w:val="21"/>
          <w:highlight w:val="none"/>
        </w:rPr>
      </w:pPr>
      <w:r>
        <w:rPr>
          <w:rFonts w:hint="eastAsia"/>
          <w:color w:val="auto"/>
          <w:szCs w:val="21"/>
          <w:highlight w:val="none"/>
        </w:rPr>
        <w:t>（</w:t>
      </w:r>
      <w:r>
        <w:rPr>
          <w:color w:val="auto"/>
          <w:szCs w:val="21"/>
          <w:highlight w:val="none"/>
        </w:rPr>
        <w:t>已标价工程量清单应按</w:t>
      </w:r>
      <w:bookmarkStart w:id="1091" w:name="_Hlk89191177"/>
      <w:r>
        <w:rPr>
          <w:color w:val="auto"/>
          <w:szCs w:val="21"/>
          <w:highlight w:val="none"/>
        </w:rPr>
        <w:t>第</w:t>
      </w:r>
      <w:r>
        <w:rPr>
          <w:rFonts w:hint="eastAsia"/>
          <w:color w:val="auto"/>
          <w:szCs w:val="21"/>
          <w:highlight w:val="none"/>
        </w:rPr>
        <w:t>二</w:t>
      </w:r>
      <w:r>
        <w:rPr>
          <w:color w:val="auto"/>
          <w:szCs w:val="21"/>
          <w:highlight w:val="none"/>
        </w:rPr>
        <w:t>章</w:t>
      </w:r>
      <w:bookmarkEnd w:id="1091"/>
      <w:r>
        <w:rPr>
          <w:color w:val="auto"/>
          <w:szCs w:val="21"/>
          <w:highlight w:val="none"/>
        </w:rPr>
        <w:t>“工程量清单”中的相关表格及报价说明填写。构成合同文件的已标价工程量清单包括第</w:t>
      </w:r>
      <w:r>
        <w:rPr>
          <w:rFonts w:hint="eastAsia"/>
          <w:color w:val="auto"/>
          <w:szCs w:val="21"/>
          <w:highlight w:val="none"/>
        </w:rPr>
        <w:t>二</w:t>
      </w:r>
      <w:r>
        <w:rPr>
          <w:color w:val="auto"/>
          <w:szCs w:val="21"/>
          <w:highlight w:val="none"/>
        </w:rPr>
        <w:t>章“工程量清单”有关工程量清单、报价以及其他说明的内容。</w:t>
      </w:r>
    </w:p>
    <w:p w14:paraId="54E3FD3D">
      <w:pPr>
        <w:spacing w:line="360" w:lineRule="exact"/>
        <w:ind w:firstLine="420" w:firstLineChars="200"/>
        <w:rPr>
          <w:rFonts w:hint="eastAsia"/>
          <w:color w:val="auto"/>
          <w:szCs w:val="21"/>
          <w:highlight w:val="none"/>
        </w:rPr>
      </w:pPr>
    </w:p>
    <w:p w14:paraId="6677D545">
      <w:pPr>
        <w:snapToGrid w:val="0"/>
        <w:spacing w:before="50" w:after="120" w:afterLines="50"/>
        <w:jc w:val="left"/>
        <w:rPr>
          <w:color w:val="auto"/>
          <w:szCs w:val="21"/>
          <w:highlight w:val="none"/>
        </w:rPr>
      </w:pPr>
      <w:bookmarkStart w:id="1092" w:name="_Hlk60822154"/>
    </w:p>
    <w:bookmarkEnd w:id="1092"/>
    <w:p w14:paraId="44D547E2">
      <w:pPr>
        <w:snapToGrid w:val="0"/>
        <w:spacing w:before="50" w:after="120" w:afterLines="50"/>
        <w:jc w:val="left"/>
        <w:rPr>
          <w:color w:val="auto"/>
          <w:szCs w:val="21"/>
          <w:highlight w:val="none"/>
        </w:rPr>
      </w:pPr>
      <w:r>
        <w:rPr>
          <w:color w:val="auto"/>
          <w:szCs w:val="21"/>
          <w:highlight w:val="none"/>
        </w:rPr>
        <w:br w:type="page"/>
      </w:r>
      <w:bookmarkStart w:id="1093" w:name="_Hlk89191232"/>
      <w:r>
        <w:rPr>
          <w:rFonts w:hint="eastAsia"/>
          <w:color w:val="auto"/>
          <w:szCs w:val="21"/>
          <w:highlight w:val="none"/>
          <w:lang w:val="en-US" w:eastAsia="zh-CN"/>
        </w:rPr>
        <w:t>4.</w:t>
      </w:r>
      <w:r>
        <w:rPr>
          <w:color w:val="auto"/>
          <w:szCs w:val="21"/>
          <w:highlight w:val="none"/>
        </w:rPr>
        <w:t>过低报价合理性的说明。（如有）</w:t>
      </w:r>
    </w:p>
    <w:p w14:paraId="5CEC4C78">
      <w:pPr>
        <w:spacing w:line="360" w:lineRule="auto"/>
        <w:ind w:firstLine="420" w:firstLineChars="200"/>
        <w:rPr>
          <w:rFonts w:hint="eastAsia"/>
          <w:color w:val="auto"/>
          <w:szCs w:val="21"/>
          <w:highlight w:val="none"/>
        </w:rPr>
      </w:pPr>
      <w:r>
        <w:rPr>
          <w:color w:val="auto"/>
          <w:szCs w:val="21"/>
          <w:highlight w:val="none"/>
        </w:rPr>
        <w:t>评审委员会认为的报价</w:t>
      </w:r>
      <w:r>
        <w:rPr>
          <w:rFonts w:hint="eastAsia"/>
          <w:color w:val="auto"/>
          <w:szCs w:val="21"/>
          <w:highlight w:val="none"/>
          <w:lang w:val="en-US" w:eastAsia="zh-CN"/>
        </w:rPr>
        <w:t>存在异常低价问题的情形</w:t>
      </w:r>
      <w:r>
        <w:rPr>
          <w:color w:val="auto"/>
          <w:szCs w:val="21"/>
          <w:highlight w:val="none"/>
        </w:rPr>
        <w:t>，供应商将被要求以书面方式提供</w:t>
      </w:r>
      <w:r>
        <w:rPr>
          <w:rFonts w:hint="eastAsia"/>
          <w:color w:val="auto"/>
          <w:szCs w:val="21"/>
          <w:highlight w:val="none"/>
          <w:lang w:val="en-US" w:eastAsia="zh-CN"/>
        </w:rPr>
        <w:t>项目具体成本测算等与报价合理性相关的书面说明及必要的证明材料</w:t>
      </w:r>
      <w:r>
        <w:rPr>
          <w:color w:val="auto"/>
          <w:szCs w:val="21"/>
          <w:highlight w:val="none"/>
        </w:rPr>
        <w:t>。为避免在评审现场因未能及时提供说明而导致被评审委员会作为无效</w:t>
      </w:r>
      <w:r>
        <w:rPr>
          <w:rFonts w:hint="eastAsia"/>
          <w:color w:val="auto"/>
          <w:szCs w:val="21"/>
          <w:highlight w:val="none"/>
          <w:lang w:eastAsia="zh-CN"/>
        </w:rPr>
        <w:t>响应</w:t>
      </w:r>
      <w:r>
        <w:rPr>
          <w:color w:val="auto"/>
          <w:szCs w:val="21"/>
          <w:highlight w:val="none"/>
        </w:rPr>
        <w:t>，供应商</w:t>
      </w:r>
      <w:r>
        <w:rPr>
          <w:rFonts w:hint="eastAsia"/>
          <w:color w:val="auto"/>
          <w:highlight w:val="none"/>
        </w:rPr>
        <w:t>自行决定是否</w:t>
      </w:r>
      <w:r>
        <w:rPr>
          <w:color w:val="auto"/>
          <w:kern w:val="1"/>
          <w:szCs w:val="21"/>
          <w:highlight w:val="none"/>
        </w:rPr>
        <w:t>直接在</w:t>
      </w:r>
      <w:r>
        <w:rPr>
          <w:color w:val="auto"/>
          <w:szCs w:val="21"/>
          <w:highlight w:val="none"/>
        </w:rPr>
        <w:t>此处</w:t>
      </w:r>
      <w:r>
        <w:rPr>
          <w:rFonts w:hint="eastAsia"/>
          <w:color w:val="auto"/>
          <w:szCs w:val="21"/>
          <w:highlight w:val="none"/>
        </w:rPr>
        <w:t>进行陈述</w:t>
      </w:r>
      <w:r>
        <w:rPr>
          <w:color w:val="auto"/>
          <w:szCs w:val="21"/>
          <w:highlight w:val="none"/>
        </w:rPr>
        <w:t>。格式自拟。</w:t>
      </w:r>
      <w:r>
        <w:rPr>
          <w:rFonts w:hint="eastAsia"/>
          <w:color w:val="auto"/>
          <w:szCs w:val="21"/>
          <w:highlight w:val="none"/>
        </w:rPr>
        <w:t>（</w:t>
      </w:r>
      <w:r>
        <w:rPr>
          <w:rFonts w:hint="eastAsia"/>
          <w:color w:val="auto"/>
          <w:kern w:val="1"/>
          <w:szCs w:val="21"/>
          <w:highlight w:val="none"/>
        </w:rPr>
        <w:t>具体要求详见第四章评审方法及标准“过低报价合理性的审查”</w:t>
      </w:r>
      <w:r>
        <w:rPr>
          <w:rFonts w:hint="eastAsia"/>
          <w:color w:val="auto"/>
          <w:szCs w:val="21"/>
          <w:highlight w:val="none"/>
        </w:rPr>
        <w:t>）</w:t>
      </w:r>
    </w:p>
    <w:p w14:paraId="14B97175">
      <w:pPr>
        <w:snapToGrid w:val="0"/>
        <w:spacing w:before="50" w:after="120" w:afterLines="50"/>
        <w:jc w:val="left"/>
        <w:rPr>
          <w:color w:val="auto"/>
          <w:szCs w:val="21"/>
          <w:highlight w:val="none"/>
        </w:rPr>
      </w:pPr>
      <w:r>
        <w:rPr>
          <w:color w:val="auto"/>
          <w:szCs w:val="21"/>
          <w:highlight w:val="none"/>
        </w:rPr>
        <w:br w:type="page"/>
      </w:r>
      <w:r>
        <w:rPr>
          <w:rFonts w:hint="eastAsia"/>
          <w:color w:val="auto"/>
          <w:szCs w:val="21"/>
          <w:highlight w:val="none"/>
          <w:lang w:val="en-US" w:eastAsia="zh-CN"/>
        </w:rPr>
        <w:t>5</w:t>
      </w:r>
      <w:r>
        <w:rPr>
          <w:rFonts w:hint="eastAsia"/>
          <w:color w:val="auto"/>
          <w:szCs w:val="21"/>
          <w:highlight w:val="none"/>
        </w:rPr>
        <w:t>.开标一览表</w:t>
      </w:r>
    </w:p>
    <w:p w14:paraId="3FBA14D1">
      <w:pPr>
        <w:widowControl/>
        <w:jc w:val="left"/>
        <w:rPr>
          <w:color w:val="auto"/>
          <w:szCs w:val="21"/>
          <w:highlight w:val="none"/>
        </w:rPr>
      </w:pPr>
    </w:p>
    <w:p w14:paraId="4D3B6D03">
      <w:pPr>
        <w:widowControl/>
        <w:jc w:val="left"/>
        <w:rPr>
          <w:color w:val="auto"/>
          <w:szCs w:val="21"/>
          <w:highlight w:val="none"/>
        </w:rPr>
      </w:pPr>
    </w:p>
    <w:p w14:paraId="22A6B9C7">
      <w:pPr>
        <w:widowControl/>
        <w:jc w:val="left"/>
        <w:rPr>
          <w:color w:val="auto"/>
          <w:szCs w:val="21"/>
          <w:highlight w:val="none"/>
        </w:rPr>
      </w:pPr>
    </w:p>
    <w:p w14:paraId="507B2489">
      <w:pPr>
        <w:rPr>
          <w:b/>
          <w:color w:val="auto"/>
          <w:szCs w:val="21"/>
          <w:highlight w:val="none"/>
        </w:rPr>
      </w:pPr>
    </w:p>
    <w:p w14:paraId="248205B7">
      <w:pPr>
        <w:rPr>
          <w:b/>
          <w:color w:val="auto"/>
          <w:szCs w:val="21"/>
          <w:highlight w:val="none"/>
        </w:rPr>
      </w:pPr>
    </w:p>
    <w:p w14:paraId="06730453">
      <w:pPr>
        <w:rPr>
          <w:b/>
          <w:color w:val="auto"/>
          <w:szCs w:val="21"/>
          <w:highlight w:val="none"/>
        </w:rPr>
      </w:pPr>
      <w:r>
        <w:rPr>
          <w:rFonts w:hint="eastAsia"/>
          <w:b/>
          <w:color w:val="auto"/>
          <w:szCs w:val="21"/>
          <w:highlight w:val="none"/>
        </w:rPr>
        <w:t>格式详见广西政府采购云平台，且仅在广西政府采购云平台填写即可。</w:t>
      </w:r>
    </w:p>
    <w:bookmarkEnd w:id="1093"/>
    <w:p w14:paraId="143A58B0">
      <w:pPr>
        <w:rPr>
          <w:color w:val="auto"/>
          <w:szCs w:val="21"/>
          <w:highlight w:val="none"/>
        </w:rPr>
      </w:pPr>
    </w:p>
    <w:p w14:paraId="1630A8D6">
      <w:pPr>
        <w:rPr>
          <w:color w:val="auto"/>
          <w:szCs w:val="21"/>
          <w:highlight w:val="none"/>
        </w:rPr>
      </w:pPr>
    </w:p>
    <w:sectPr>
      <w:headerReference r:id="rId16" w:type="default"/>
      <w:pgSz w:w="11906" w:h="16838"/>
      <w:pgMar w:top="1418" w:right="1274" w:bottom="1418" w:left="1418"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F"/>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51D0DB6A-6832-4D0B-AE18-EE04541EB50C}"/>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097165F4-9361-46F6-BCD1-C6928B389D4B}"/>
  </w:font>
  <w:font w:name="仿宋_GB2312">
    <w:panose1 w:val="02010609030101010101"/>
    <w:charset w:val="86"/>
    <w:family w:val="modern"/>
    <w:pitch w:val="default"/>
    <w:sig w:usb0="00000001" w:usb1="080E0000" w:usb2="00000000" w:usb3="00000000" w:csb0="00040000" w:csb1="00000000"/>
    <w:embedRegular r:id="rId3" w:fontKey="{F2010A06-6840-4196-BFC1-05D1D0F58F2D}"/>
  </w:font>
  <w:font w:name="Cambria">
    <w:panose1 w:val="02040503050406030204"/>
    <w:charset w:val="00"/>
    <w:family w:val="roman"/>
    <w:pitch w:val="default"/>
    <w:sig w:usb0="E00006FF" w:usb1="420024FF" w:usb2="02000000" w:usb3="00000000" w:csb0="2000019F" w:csb1="00000000"/>
  </w:font>
  <w:font w:name="_x000B__x000C_">
    <w:altName w:val="Times New Roman"/>
    <w:panose1 w:val="00000000000000000000"/>
    <w:charset w:val="00"/>
    <w:family w:val="roman"/>
    <w:pitch w:val="default"/>
    <w:sig w:usb0="00000000" w:usb1="00000000" w:usb2="00000000" w:usb3="00000000" w:csb0="00040001"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Wingdings 2">
    <w:panose1 w:val="05020102010507070707"/>
    <w:charset w:val="02"/>
    <w:family w:val="auto"/>
    <w:pitch w:val="default"/>
    <w:sig w:usb0="00000000" w:usb1="00000000" w:usb2="00000000" w:usb3="00000000" w:csb0="80000000" w:csb1="00000000"/>
    <w:embedRegular r:id="rId4" w:fontKey="{E29A5BDA-91BC-4C4B-B868-B48E20DE0E1A}"/>
  </w:font>
  <w:font w:name="楷体_GB2312">
    <w:panose1 w:val="02010609030101010101"/>
    <w:charset w:val="86"/>
    <w:family w:val="modern"/>
    <w:pitch w:val="default"/>
    <w:sig w:usb0="00000001" w:usb1="080E0000" w:usb2="00000000" w:usb3="00000000" w:csb0="00040000" w:csb1="00000000"/>
    <w:embedRegular r:id="rId5" w:fontKey="{CE9FCB0F-00A0-463B-AC4C-0E2ED73BF8FC}"/>
  </w:font>
  <w:font w:name="方正仿宋_GBK">
    <w:panose1 w:val="02000000000000000000"/>
    <w:charset w:val="86"/>
    <w:family w:val="script"/>
    <w:pitch w:val="default"/>
    <w:sig w:usb0="A00002BF" w:usb1="38CF7CFA" w:usb2="00082016" w:usb3="00000000" w:csb0="00040001" w:csb1="00000000"/>
    <w:embedRegular r:id="rId6" w:fontKey="{3DAB4169-FF60-4C2E-830B-285F563A9510}"/>
  </w:font>
  <w:font w:name="Helvetica">
    <w:altName w:val="Arial"/>
    <w:panose1 w:val="020B0604020202020204"/>
    <w:charset w:val="00"/>
    <w:family w:val="swiss"/>
    <w:pitch w:val="default"/>
    <w:sig w:usb0="00000000" w:usb1="00000000" w:usb2="00000009" w:usb3="00000000" w:csb0="000001FF" w:csb1="00000000"/>
    <w:embedRegular r:id="rId7" w:fontKey="{CF6E0241-10FB-4F72-879A-5758EDDB261C}"/>
  </w:font>
  <w:font w:name="WPSEMBED1">
    <w:panose1 w:val="02010609030101010101"/>
    <w:charset w:val="86"/>
    <w:family w:val="auto"/>
    <w:pitch w:val="default"/>
    <w:sig w:usb0="00000001" w:usb1="080E0000" w:usb2="00000000" w:usb3="00000000" w:csb0="00040000" w:csb1="00000000"/>
  </w:font>
  <w:font w:name="WPSEMBED2">
    <w:panose1 w:val="02010609030101010101"/>
    <w:charset w:val="86"/>
    <w:family w:val="auto"/>
    <w:pitch w:val="default"/>
    <w:sig w:usb0="00000001" w:usb1="080E0000" w:usb2="00000000" w:usb3="00000000" w:csb0="00040000" w:csb1="00000000"/>
  </w:font>
  <w:font w:name="WPSEMBED3">
    <w:panose1 w:val="02000000000000000000"/>
    <w:charset w:val="86"/>
    <w:family w:val="auto"/>
    <w:pitch w:val="default"/>
    <w:sig w:usb0="A00002BF" w:usb1="38CF7CFA" w:usb2="00082016" w:usb3="00000000" w:csb0="00040001"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A39BFD">
    <w:pPr>
      <w:pStyle w:val="32"/>
      <w:ind w:right="360"/>
      <w:jc w:val="both"/>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E35EDD">
    <w:pPr>
      <w:pStyle w:val="32"/>
      <w:framePr w:wrap="around" w:vAnchor="text" w:hAnchor="margin" w:xAlign="center" w:y="1"/>
      <w:rPr>
        <w:rStyle w:val="58"/>
      </w:rPr>
    </w:pPr>
    <w:r>
      <w:fldChar w:fldCharType="begin"/>
    </w:r>
    <w:r>
      <w:rPr>
        <w:rStyle w:val="58"/>
      </w:rPr>
      <w:instrText xml:space="preserve">PAGE  </w:instrText>
    </w:r>
    <w:r>
      <w:fldChar w:fldCharType="separate"/>
    </w:r>
    <w:r>
      <w:rPr>
        <w:rStyle w:val="58"/>
      </w:rPr>
      <w:t>5</w:t>
    </w:r>
    <w:r>
      <w:fldChar w:fldCharType="end"/>
    </w:r>
  </w:p>
  <w:p w14:paraId="623C7A15">
    <w:pPr>
      <w:pStyle w:val="32"/>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C356BF">
    <w:pPr>
      <w:pStyle w:val="32"/>
      <w:ind w:right="360"/>
      <w:jc w:val="both"/>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3CACE6">
    <w:pPr>
      <w:pStyle w:val="32"/>
      <w:jc w:val="center"/>
      <w:rPr>
        <w:rFonts w:hint="eastAsia"/>
      </w:rPr>
    </w:pPr>
    <w:r>
      <w:fldChar w:fldCharType="begin"/>
    </w:r>
    <w:r>
      <w:instrText xml:space="preserve">PAGE   \* MERGEFORMAT</w:instrText>
    </w:r>
    <w:r>
      <w:fldChar w:fldCharType="separate"/>
    </w:r>
    <w:r>
      <w:rPr>
        <w:lang w:val="zh-CN"/>
      </w:rPr>
      <w:t>4</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288467">
    <w:pPr>
      <w:pStyle w:val="3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EA6B8">
    <w:pPr>
      <w:pStyle w:val="33"/>
      <w:jc w:val="left"/>
    </w:pPr>
    <w:r>
      <w:rPr>
        <w:rFonts w:hint="eastAsia"/>
      </w:rPr>
      <w:t xml:space="preserve">广西机电设备招标有限公司采购文件                                                               </w:t>
    </w:r>
  </w:p>
  <w:p w14:paraId="488C4AFC">
    <w:pPr>
      <w:pStyle w:val="33"/>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5E72D4">
    <w:pPr>
      <w:pStyle w:val="33"/>
      <w:pBdr>
        <w:bottom w:val="single" w:color="auto" w:sz="6" w:space="0"/>
      </w:pBdr>
      <w:jc w:val="left"/>
    </w:pPr>
    <w:r>
      <w:rPr>
        <w:rFonts w:hint="eastAsia"/>
      </w:rPr>
      <w:t xml:space="preserve">广西机电设备招标有限公司采购文件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322D37">
    <w:pPr>
      <w:pStyle w:val="33"/>
      <w:jc w:val="left"/>
    </w:pPr>
    <w:r>
      <w:rPr>
        <w:rFonts w:hint="eastAsia"/>
      </w:rPr>
      <w:t xml:space="preserve">广西机电设备招标有限公司采购文件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031EF6">
    <w:pPr>
      <w:pStyle w:val="33"/>
      <w:jc w:val="left"/>
    </w:pPr>
    <w:r>
      <w:rPr>
        <w:rFonts w:hint="eastAsia"/>
      </w:rPr>
      <w:t xml:space="preserve">广西机电设备招标有限公司磋商文件                                                    </w:t>
    </w:r>
  </w:p>
  <w:p w14:paraId="536EE196">
    <w:pPr>
      <w:pStyle w:val="33"/>
      <w:pBdr>
        <w:bottom w:val="none" w:color="auto" w:sz="0" w:space="0"/>
      </w:pBdr>
      <w:jc w:val="lef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BB7B8A">
    <w:pPr>
      <w:pStyle w:val="33"/>
      <w:jc w:val="left"/>
    </w:pPr>
    <w:r>
      <w:rPr>
        <w:rFonts w:hint="eastAsia"/>
      </w:rPr>
      <w:t xml:space="preserve">广西机电设备招标有限公司采购文件                                                     </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53C4F5">
    <w:pPr>
      <w:pStyle w:val="33"/>
      <w:jc w:val="left"/>
    </w:pPr>
    <w:r>
      <w:rPr>
        <w:rFonts w:hint="eastAsia"/>
      </w:rPr>
      <w:t xml:space="preserve">广西机电设备招标有限公司采购文件                                                           </w:t>
    </w:r>
  </w:p>
  <w:p w14:paraId="262AFDA0">
    <w:pPr>
      <w:pStyle w:val="33"/>
      <w:pBdr>
        <w:bottom w:val="none" w:color="auto" w:sz="0" w:space="0"/>
      </w:pBdr>
      <w:jc w:val="left"/>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BB528">
    <w:pPr>
      <w:pStyle w:val="33"/>
      <w:jc w:val="left"/>
    </w:pPr>
    <w:r>
      <w:rPr>
        <w:rFonts w:hint="eastAsia"/>
      </w:rPr>
      <w:t xml:space="preserve">广西机电设备招标有限公司采购文件                                                    </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15DDC1">
    <w:pPr>
      <w:pStyle w:val="33"/>
      <w:jc w:val="left"/>
    </w:pPr>
    <w:r>
      <w:rPr>
        <w:rFonts w:hint="eastAsia"/>
      </w:rPr>
      <w:t>广西机电设备招标有限公司磋商文件                                                     评审方法及评审标准</w:t>
    </w:r>
  </w:p>
  <w:p w14:paraId="1A13E7DA">
    <w:pPr>
      <w:pStyle w:val="33"/>
      <w:pBdr>
        <w:bottom w:val="none" w:color="auto" w:sz="0" w:space="0"/>
      </w:pBdr>
      <w:jc w:val="left"/>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20F366">
    <w:pPr>
      <w:rPr>
        <w:sz w:val="18"/>
        <w:szCs w:val="18"/>
        <w:u w:val="single"/>
      </w:rPr>
    </w:pPr>
    <w:r>
      <w:rPr>
        <w:rFonts w:hint="eastAsia"/>
        <w:sz w:val="18"/>
        <w:szCs w:val="18"/>
        <w:u w:val="single"/>
      </w:rPr>
      <w:t xml:space="preserve">广西机电设备招标有限公司采购文件                      </w:t>
    </w:r>
    <w:r>
      <w:rPr>
        <w:sz w:val="18"/>
        <w:szCs w:val="18"/>
        <w:u w:val="single"/>
      </w:rPr>
      <w:t xml:space="preserve">             </w:t>
    </w:r>
    <w:r>
      <w:rPr>
        <w:rFonts w:hint="eastAsia"/>
        <w:sz w:val="18"/>
        <w:szCs w:val="18"/>
        <w:u w:val="single"/>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3"/>
    <w:multiLevelType w:val="multilevel"/>
    <w:tmpl w:val="00000013"/>
    <w:lvl w:ilvl="0" w:tentative="0">
      <w:start w:val="1"/>
      <w:numFmt w:val="decimal"/>
      <w:lvlText w:val="（%1）"/>
      <w:lvlJc w:val="left"/>
      <w:pPr>
        <w:ind w:left="1140" w:hanging="7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6EDD6596"/>
    <w:multiLevelType w:val="singleLevel"/>
    <w:tmpl w:val="6EDD6596"/>
    <w:lvl w:ilvl="0" w:tentative="0">
      <w:start w:val="1"/>
      <w:numFmt w:val="decimal"/>
      <w:suff w:val="space"/>
      <w:lvlText w:val="%1."/>
      <w:lvlJc w:val="left"/>
    </w:lvl>
  </w:abstractNum>
  <w:abstractNum w:abstractNumId="2">
    <w:nsid w:val="6EDD6597"/>
    <w:multiLevelType w:val="multilevel"/>
    <w:tmpl w:val="6EDD6597"/>
    <w:lvl w:ilvl="0" w:tentative="0">
      <w:start w:val="11"/>
      <w:numFmt w:val="decimal"/>
      <w:suff w:val="space"/>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6EDD6598"/>
    <w:multiLevelType w:val="multilevel"/>
    <w:tmpl w:val="6EDD6598"/>
    <w:lvl w:ilvl="0" w:tentative="0">
      <w:start w:val="14"/>
      <w:numFmt w:val="decimal"/>
      <w:suff w:val="space"/>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 w:numId="2">
    <w:abstractNumId w:val="2"/>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U0NTg3Njg0YjQ4NmUzYjk0MzI2OWM1NzY1OGJiYmEifQ=="/>
  </w:docVars>
  <w:rsids>
    <w:rsidRoot w:val="00172A27"/>
    <w:rsid w:val="000003EF"/>
    <w:rsid w:val="0000091B"/>
    <w:rsid w:val="00000D0A"/>
    <w:rsid w:val="00000D19"/>
    <w:rsid w:val="00000D8B"/>
    <w:rsid w:val="00000E1A"/>
    <w:rsid w:val="00001B3E"/>
    <w:rsid w:val="00001B8A"/>
    <w:rsid w:val="00001CD6"/>
    <w:rsid w:val="00002DDA"/>
    <w:rsid w:val="000030E9"/>
    <w:rsid w:val="00003DAE"/>
    <w:rsid w:val="00004D3E"/>
    <w:rsid w:val="000058D7"/>
    <w:rsid w:val="00005E55"/>
    <w:rsid w:val="00006E2C"/>
    <w:rsid w:val="000079FF"/>
    <w:rsid w:val="00007B0D"/>
    <w:rsid w:val="00007D2F"/>
    <w:rsid w:val="000102A9"/>
    <w:rsid w:val="000105E8"/>
    <w:rsid w:val="00011D72"/>
    <w:rsid w:val="00012078"/>
    <w:rsid w:val="00013748"/>
    <w:rsid w:val="00013D41"/>
    <w:rsid w:val="000143A3"/>
    <w:rsid w:val="00014DD6"/>
    <w:rsid w:val="0001598C"/>
    <w:rsid w:val="00015C2A"/>
    <w:rsid w:val="00016C31"/>
    <w:rsid w:val="000178A5"/>
    <w:rsid w:val="00017C54"/>
    <w:rsid w:val="0002040C"/>
    <w:rsid w:val="00020B37"/>
    <w:rsid w:val="00020BB1"/>
    <w:rsid w:val="00020BF0"/>
    <w:rsid w:val="0002150B"/>
    <w:rsid w:val="000215B7"/>
    <w:rsid w:val="000217BF"/>
    <w:rsid w:val="00021C98"/>
    <w:rsid w:val="00021CCD"/>
    <w:rsid w:val="00021EE3"/>
    <w:rsid w:val="00022132"/>
    <w:rsid w:val="000228AB"/>
    <w:rsid w:val="0002330D"/>
    <w:rsid w:val="000233CA"/>
    <w:rsid w:val="00023652"/>
    <w:rsid w:val="000240D4"/>
    <w:rsid w:val="0002424E"/>
    <w:rsid w:val="00024633"/>
    <w:rsid w:val="0002560A"/>
    <w:rsid w:val="00025DA0"/>
    <w:rsid w:val="0002696D"/>
    <w:rsid w:val="0002754D"/>
    <w:rsid w:val="00027666"/>
    <w:rsid w:val="000276B2"/>
    <w:rsid w:val="00027A46"/>
    <w:rsid w:val="00027AF3"/>
    <w:rsid w:val="00030024"/>
    <w:rsid w:val="00030124"/>
    <w:rsid w:val="000305FD"/>
    <w:rsid w:val="000306E8"/>
    <w:rsid w:val="0003084F"/>
    <w:rsid w:val="00030B45"/>
    <w:rsid w:val="00030C2F"/>
    <w:rsid w:val="00030DAA"/>
    <w:rsid w:val="000311F9"/>
    <w:rsid w:val="00031757"/>
    <w:rsid w:val="00032686"/>
    <w:rsid w:val="0003274B"/>
    <w:rsid w:val="00032AD8"/>
    <w:rsid w:val="000331CC"/>
    <w:rsid w:val="0003322E"/>
    <w:rsid w:val="00033927"/>
    <w:rsid w:val="00035840"/>
    <w:rsid w:val="00035844"/>
    <w:rsid w:val="00036BAA"/>
    <w:rsid w:val="000370C6"/>
    <w:rsid w:val="00037C63"/>
    <w:rsid w:val="00037CE4"/>
    <w:rsid w:val="00037E01"/>
    <w:rsid w:val="00040187"/>
    <w:rsid w:val="00040351"/>
    <w:rsid w:val="00040AC1"/>
    <w:rsid w:val="00040D93"/>
    <w:rsid w:val="000418B1"/>
    <w:rsid w:val="00042BF9"/>
    <w:rsid w:val="00043295"/>
    <w:rsid w:val="00043592"/>
    <w:rsid w:val="00043796"/>
    <w:rsid w:val="00044708"/>
    <w:rsid w:val="00045069"/>
    <w:rsid w:val="00045443"/>
    <w:rsid w:val="00045947"/>
    <w:rsid w:val="000462A8"/>
    <w:rsid w:val="00046360"/>
    <w:rsid w:val="00046485"/>
    <w:rsid w:val="0004653D"/>
    <w:rsid w:val="000465AB"/>
    <w:rsid w:val="000467A3"/>
    <w:rsid w:val="00046E59"/>
    <w:rsid w:val="000471CF"/>
    <w:rsid w:val="000472E6"/>
    <w:rsid w:val="000479CD"/>
    <w:rsid w:val="00047FD9"/>
    <w:rsid w:val="000500E6"/>
    <w:rsid w:val="000504FE"/>
    <w:rsid w:val="00050F9F"/>
    <w:rsid w:val="00052A50"/>
    <w:rsid w:val="00052C85"/>
    <w:rsid w:val="00053BFC"/>
    <w:rsid w:val="00053D00"/>
    <w:rsid w:val="0005428F"/>
    <w:rsid w:val="00054870"/>
    <w:rsid w:val="00054ABD"/>
    <w:rsid w:val="00054F7D"/>
    <w:rsid w:val="00055230"/>
    <w:rsid w:val="00055557"/>
    <w:rsid w:val="00055A8A"/>
    <w:rsid w:val="00055E6D"/>
    <w:rsid w:val="0005625F"/>
    <w:rsid w:val="0005649E"/>
    <w:rsid w:val="00056597"/>
    <w:rsid w:val="0005700C"/>
    <w:rsid w:val="00057393"/>
    <w:rsid w:val="00057E45"/>
    <w:rsid w:val="000606B6"/>
    <w:rsid w:val="0006192F"/>
    <w:rsid w:val="00061AB7"/>
    <w:rsid w:val="00061F82"/>
    <w:rsid w:val="00062637"/>
    <w:rsid w:val="000631AC"/>
    <w:rsid w:val="000631B7"/>
    <w:rsid w:val="000639D4"/>
    <w:rsid w:val="00064A48"/>
    <w:rsid w:val="00064C80"/>
    <w:rsid w:val="00065AB7"/>
    <w:rsid w:val="00065D71"/>
    <w:rsid w:val="00066111"/>
    <w:rsid w:val="000673D8"/>
    <w:rsid w:val="00067DD2"/>
    <w:rsid w:val="00067DE7"/>
    <w:rsid w:val="00067ED4"/>
    <w:rsid w:val="00070500"/>
    <w:rsid w:val="000706AC"/>
    <w:rsid w:val="00070950"/>
    <w:rsid w:val="000709D3"/>
    <w:rsid w:val="00070B1F"/>
    <w:rsid w:val="000712F8"/>
    <w:rsid w:val="00071587"/>
    <w:rsid w:val="00071A6A"/>
    <w:rsid w:val="00071C95"/>
    <w:rsid w:val="0007216A"/>
    <w:rsid w:val="00072A95"/>
    <w:rsid w:val="00072C12"/>
    <w:rsid w:val="000737A9"/>
    <w:rsid w:val="00074923"/>
    <w:rsid w:val="000750EA"/>
    <w:rsid w:val="00075DF5"/>
    <w:rsid w:val="00075E3B"/>
    <w:rsid w:val="00077698"/>
    <w:rsid w:val="00077891"/>
    <w:rsid w:val="0007797E"/>
    <w:rsid w:val="00077D86"/>
    <w:rsid w:val="0008017C"/>
    <w:rsid w:val="00080AA6"/>
    <w:rsid w:val="00081751"/>
    <w:rsid w:val="00081C1C"/>
    <w:rsid w:val="00082255"/>
    <w:rsid w:val="000822F0"/>
    <w:rsid w:val="00082611"/>
    <w:rsid w:val="0008264F"/>
    <w:rsid w:val="0008372E"/>
    <w:rsid w:val="00083A64"/>
    <w:rsid w:val="00083B97"/>
    <w:rsid w:val="00084575"/>
    <w:rsid w:val="00084AB1"/>
    <w:rsid w:val="00084F10"/>
    <w:rsid w:val="0008521D"/>
    <w:rsid w:val="00085A04"/>
    <w:rsid w:val="000866A9"/>
    <w:rsid w:val="00086EC2"/>
    <w:rsid w:val="00087358"/>
    <w:rsid w:val="000873F5"/>
    <w:rsid w:val="000900DF"/>
    <w:rsid w:val="00090193"/>
    <w:rsid w:val="0009021F"/>
    <w:rsid w:val="00091D8D"/>
    <w:rsid w:val="00091EDA"/>
    <w:rsid w:val="00092713"/>
    <w:rsid w:val="0009353F"/>
    <w:rsid w:val="00093DF8"/>
    <w:rsid w:val="000941F6"/>
    <w:rsid w:val="000945C5"/>
    <w:rsid w:val="00094ECF"/>
    <w:rsid w:val="0009592E"/>
    <w:rsid w:val="00095FB4"/>
    <w:rsid w:val="00096224"/>
    <w:rsid w:val="0009715C"/>
    <w:rsid w:val="000A10DB"/>
    <w:rsid w:val="000A1429"/>
    <w:rsid w:val="000A2968"/>
    <w:rsid w:val="000A29DC"/>
    <w:rsid w:val="000A3515"/>
    <w:rsid w:val="000A3518"/>
    <w:rsid w:val="000A487D"/>
    <w:rsid w:val="000A6F1D"/>
    <w:rsid w:val="000A70C7"/>
    <w:rsid w:val="000A7238"/>
    <w:rsid w:val="000A791D"/>
    <w:rsid w:val="000B09FE"/>
    <w:rsid w:val="000B15EF"/>
    <w:rsid w:val="000B26D6"/>
    <w:rsid w:val="000B316D"/>
    <w:rsid w:val="000B3194"/>
    <w:rsid w:val="000B33E8"/>
    <w:rsid w:val="000B3CFE"/>
    <w:rsid w:val="000B4164"/>
    <w:rsid w:val="000B4397"/>
    <w:rsid w:val="000B4EF3"/>
    <w:rsid w:val="000B554C"/>
    <w:rsid w:val="000B5D87"/>
    <w:rsid w:val="000B63FE"/>
    <w:rsid w:val="000B642F"/>
    <w:rsid w:val="000B6F18"/>
    <w:rsid w:val="000B7E6D"/>
    <w:rsid w:val="000C1414"/>
    <w:rsid w:val="000C350A"/>
    <w:rsid w:val="000C4988"/>
    <w:rsid w:val="000C591F"/>
    <w:rsid w:val="000C59D1"/>
    <w:rsid w:val="000C5FC6"/>
    <w:rsid w:val="000C60D0"/>
    <w:rsid w:val="000C7045"/>
    <w:rsid w:val="000C757A"/>
    <w:rsid w:val="000C7D9F"/>
    <w:rsid w:val="000C7DC8"/>
    <w:rsid w:val="000D0974"/>
    <w:rsid w:val="000D1B95"/>
    <w:rsid w:val="000D3613"/>
    <w:rsid w:val="000D3E1B"/>
    <w:rsid w:val="000D4061"/>
    <w:rsid w:val="000D471A"/>
    <w:rsid w:val="000D4860"/>
    <w:rsid w:val="000D48FB"/>
    <w:rsid w:val="000D4B4F"/>
    <w:rsid w:val="000D4EC1"/>
    <w:rsid w:val="000D4EF1"/>
    <w:rsid w:val="000D55FD"/>
    <w:rsid w:val="000D5F11"/>
    <w:rsid w:val="000D7588"/>
    <w:rsid w:val="000D7BE7"/>
    <w:rsid w:val="000E0106"/>
    <w:rsid w:val="000E01DF"/>
    <w:rsid w:val="000E14FC"/>
    <w:rsid w:val="000E16B2"/>
    <w:rsid w:val="000E173A"/>
    <w:rsid w:val="000E1C04"/>
    <w:rsid w:val="000E216E"/>
    <w:rsid w:val="000E2AD1"/>
    <w:rsid w:val="000E2D70"/>
    <w:rsid w:val="000E3898"/>
    <w:rsid w:val="000E3C38"/>
    <w:rsid w:val="000E3D2F"/>
    <w:rsid w:val="000E4712"/>
    <w:rsid w:val="000E612C"/>
    <w:rsid w:val="000E6CF4"/>
    <w:rsid w:val="000E6D38"/>
    <w:rsid w:val="000E72E7"/>
    <w:rsid w:val="000E72F6"/>
    <w:rsid w:val="000E75B3"/>
    <w:rsid w:val="000E763C"/>
    <w:rsid w:val="000E7CC8"/>
    <w:rsid w:val="000F03A5"/>
    <w:rsid w:val="000F10D4"/>
    <w:rsid w:val="000F1B78"/>
    <w:rsid w:val="000F1BF5"/>
    <w:rsid w:val="000F1F51"/>
    <w:rsid w:val="000F1FB0"/>
    <w:rsid w:val="000F2181"/>
    <w:rsid w:val="000F24AC"/>
    <w:rsid w:val="000F2F60"/>
    <w:rsid w:val="000F4B3A"/>
    <w:rsid w:val="000F5331"/>
    <w:rsid w:val="000F55C9"/>
    <w:rsid w:val="000F6242"/>
    <w:rsid w:val="000F6F32"/>
    <w:rsid w:val="000F708C"/>
    <w:rsid w:val="000F75A8"/>
    <w:rsid w:val="000F76E0"/>
    <w:rsid w:val="00100331"/>
    <w:rsid w:val="00100DD5"/>
    <w:rsid w:val="00101255"/>
    <w:rsid w:val="001016BB"/>
    <w:rsid w:val="0010251A"/>
    <w:rsid w:val="00102BC3"/>
    <w:rsid w:val="001033BA"/>
    <w:rsid w:val="00103458"/>
    <w:rsid w:val="001047E3"/>
    <w:rsid w:val="00104AFF"/>
    <w:rsid w:val="00105A06"/>
    <w:rsid w:val="001070CD"/>
    <w:rsid w:val="001076E0"/>
    <w:rsid w:val="001078F4"/>
    <w:rsid w:val="00110001"/>
    <w:rsid w:val="00110797"/>
    <w:rsid w:val="00110E81"/>
    <w:rsid w:val="00111ECD"/>
    <w:rsid w:val="001121DD"/>
    <w:rsid w:val="00112592"/>
    <w:rsid w:val="00112DBF"/>
    <w:rsid w:val="00113646"/>
    <w:rsid w:val="0011487E"/>
    <w:rsid w:val="00114BB0"/>
    <w:rsid w:val="00116258"/>
    <w:rsid w:val="0011630D"/>
    <w:rsid w:val="00117559"/>
    <w:rsid w:val="0012077F"/>
    <w:rsid w:val="00120813"/>
    <w:rsid w:val="0012099E"/>
    <w:rsid w:val="00120E60"/>
    <w:rsid w:val="0012130E"/>
    <w:rsid w:val="001213B0"/>
    <w:rsid w:val="00121724"/>
    <w:rsid w:val="00121741"/>
    <w:rsid w:val="00121832"/>
    <w:rsid w:val="0012235C"/>
    <w:rsid w:val="00122A75"/>
    <w:rsid w:val="00122D41"/>
    <w:rsid w:val="001241D1"/>
    <w:rsid w:val="00124985"/>
    <w:rsid w:val="00124A27"/>
    <w:rsid w:val="00125609"/>
    <w:rsid w:val="0012573D"/>
    <w:rsid w:val="0012598F"/>
    <w:rsid w:val="0012611E"/>
    <w:rsid w:val="00126655"/>
    <w:rsid w:val="00126707"/>
    <w:rsid w:val="001269E0"/>
    <w:rsid w:val="00126CE5"/>
    <w:rsid w:val="001303CD"/>
    <w:rsid w:val="00130612"/>
    <w:rsid w:val="00130C61"/>
    <w:rsid w:val="0013190A"/>
    <w:rsid w:val="00131C94"/>
    <w:rsid w:val="00131DE6"/>
    <w:rsid w:val="001326DF"/>
    <w:rsid w:val="00132AD8"/>
    <w:rsid w:val="00132CCE"/>
    <w:rsid w:val="00133884"/>
    <w:rsid w:val="00133D01"/>
    <w:rsid w:val="00133E50"/>
    <w:rsid w:val="001341B0"/>
    <w:rsid w:val="00134510"/>
    <w:rsid w:val="0013590D"/>
    <w:rsid w:val="00136073"/>
    <w:rsid w:val="001361F7"/>
    <w:rsid w:val="00136606"/>
    <w:rsid w:val="00136806"/>
    <w:rsid w:val="001369A6"/>
    <w:rsid w:val="00136BD6"/>
    <w:rsid w:val="00136DBC"/>
    <w:rsid w:val="00136F77"/>
    <w:rsid w:val="00137856"/>
    <w:rsid w:val="00137877"/>
    <w:rsid w:val="00137BD8"/>
    <w:rsid w:val="00140221"/>
    <w:rsid w:val="00140291"/>
    <w:rsid w:val="001404CD"/>
    <w:rsid w:val="001406D8"/>
    <w:rsid w:val="00140823"/>
    <w:rsid w:val="001422D4"/>
    <w:rsid w:val="00142632"/>
    <w:rsid w:val="0014309F"/>
    <w:rsid w:val="001442C2"/>
    <w:rsid w:val="001449E1"/>
    <w:rsid w:val="00144D5F"/>
    <w:rsid w:val="001454DB"/>
    <w:rsid w:val="0014560F"/>
    <w:rsid w:val="00145878"/>
    <w:rsid w:val="0014647C"/>
    <w:rsid w:val="00146D04"/>
    <w:rsid w:val="0014723D"/>
    <w:rsid w:val="00147916"/>
    <w:rsid w:val="0014795D"/>
    <w:rsid w:val="001479AA"/>
    <w:rsid w:val="00147F00"/>
    <w:rsid w:val="00150564"/>
    <w:rsid w:val="001506A7"/>
    <w:rsid w:val="00150882"/>
    <w:rsid w:val="00150A4A"/>
    <w:rsid w:val="001518B5"/>
    <w:rsid w:val="00151BBA"/>
    <w:rsid w:val="0015252D"/>
    <w:rsid w:val="00152656"/>
    <w:rsid w:val="00152C00"/>
    <w:rsid w:val="00152C2B"/>
    <w:rsid w:val="00152E98"/>
    <w:rsid w:val="00153084"/>
    <w:rsid w:val="00153A52"/>
    <w:rsid w:val="00154103"/>
    <w:rsid w:val="00154304"/>
    <w:rsid w:val="0015477A"/>
    <w:rsid w:val="00154F0A"/>
    <w:rsid w:val="0015516F"/>
    <w:rsid w:val="00156891"/>
    <w:rsid w:val="00156BA3"/>
    <w:rsid w:val="00156D2F"/>
    <w:rsid w:val="00157320"/>
    <w:rsid w:val="00157505"/>
    <w:rsid w:val="001579B9"/>
    <w:rsid w:val="001602EB"/>
    <w:rsid w:val="001610EB"/>
    <w:rsid w:val="001619B6"/>
    <w:rsid w:val="00161C1F"/>
    <w:rsid w:val="00161C2F"/>
    <w:rsid w:val="001620B6"/>
    <w:rsid w:val="00162664"/>
    <w:rsid w:val="001627CA"/>
    <w:rsid w:val="00163005"/>
    <w:rsid w:val="00163194"/>
    <w:rsid w:val="00163311"/>
    <w:rsid w:val="00163DB9"/>
    <w:rsid w:val="001642FB"/>
    <w:rsid w:val="00164475"/>
    <w:rsid w:val="00164F8F"/>
    <w:rsid w:val="0016529F"/>
    <w:rsid w:val="001658F5"/>
    <w:rsid w:val="00165F38"/>
    <w:rsid w:val="001661B8"/>
    <w:rsid w:val="00166237"/>
    <w:rsid w:val="0016644D"/>
    <w:rsid w:val="00166EE6"/>
    <w:rsid w:val="001672AF"/>
    <w:rsid w:val="00170A14"/>
    <w:rsid w:val="00170E8E"/>
    <w:rsid w:val="0017112B"/>
    <w:rsid w:val="001726CF"/>
    <w:rsid w:val="00172BAF"/>
    <w:rsid w:val="00172BD9"/>
    <w:rsid w:val="00172C93"/>
    <w:rsid w:val="00172EC0"/>
    <w:rsid w:val="00173191"/>
    <w:rsid w:val="001731C7"/>
    <w:rsid w:val="00173704"/>
    <w:rsid w:val="001737FE"/>
    <w:rsid w:val="0017426E"/>
    <w:rsid w:val="001742BE"/>
    <w:rsid w:val="001758FF"/>
    <w:rsid w:val="00176E50"/>
    <w:rsid w:val="0017723E"/>
    <w:rsid w:val="00177470"/>
    <w:rsid w:val="001775DA"/>
    <w:rsid w:val="00177AD0"/>
    <w:rsid w:val="001810F6"/>
    <w:rsid w:val="00181135"/>
    <w:rsid w:val="00181C0B"/>
    <w:rsid w:val="00182382"/>
    <w:rsid w:val="00182DF8"/>
    <w:rsid w:val="00182FF0"/>
    <w:rsid w:val="00183F76"/>
    <w:rsid w:val="001844C2"/>
    <w:rsid w:val="00185C66"/>
    <w:rsid w:val="00185C84"/>
    <w:rsid w:val="00187892"/>
    <w:rsid w:val="00187DFB"/>
    <w:rsid w:val="00187FF5"/>
    <w:rsid w:val="00190463"/>
    <w:rsid w:val="00191435"/>
    <w:rsid w:val="00192213"/>
    <w:rsid w:val="001927A2"/>
    <w:rsid w:val="001927AF"/>
    <w:rsid w:val="0019335B"/>
    <w:rsid w:val="0019423A"/>
    <w:rsid w:val="00195648"/>
    <w:rsid w:val="001959DC"/>
    <w:rsid w:val="00195F44"/>
    <w:rsid w:val="00196019"/>
    <w:rsid w:val="00196C83"/>
    <w:rsid w:val="00196E92"/>
    <w:rsid w:val="001A0896"/>
    <w:rsid w:val="001A2362"/>
    <w:rsid w:val="001A3116"/>
    <w:rsid w:val="001A315B"/>
    <w:rsid w:val="001A3856"/>
    <w:rsid w:val="001A3C38"/>
    <w:rsid w:val="001A3F6D"/>
    <w:rsid w:val="001A4C94"/>
    <w:rsid w:val="001A4E6D"/>
    <w:rsid w:val="001A5DA1"/>
    <w:rsid w:val="001A6E3F"/>
    <w:rsid w:val="001A6EBA"/>
    <w:rsid w:val="001A70D4"/>
    <w:rsid w:val="001A775C"/>
    <w:rsid w:val="001A7CBA"/>
    <w:rsid w:val="001B02BE"/>
    <w:rsid w:val="001B1736"/>
    <w:rsid w:val="001B1AE6"/>
    <w:rsid w:val="001B32D3"/>
    <w:rsid w:val="001B32E4"/>
    <w:rsid w:val="001B35B1"/>
    <w:rsid w:val="001B3778"/>
    <w:rsid w:val="001B3E30"/>
    <w:rsid w:val="001B4794"/>
    <w:rsid w:val="001B4B55"/>
    <w:rsid w:val="001B4ED3"/>
    <w:rsid w:val="001B50CC"/>
    <w:rsid w:val="001B5355"/>
    <w:rsid w:val="001B6049"/>
    <w:rsid w:val="001B60D4"/>
    <w:rsid w:val="001B6482"/>
    <w:rsid w:val="001B7014"/>
    <w:rsid w:val="001B76D5"/>
    <w:rsid w:val="001B7C32"/>
    <w:rsid w:val="001B7CBF"/>
    <w:rsid w:val="001C0279"/>
    <w:rsid w:val="001C0352"/>
    <w:rsid w:val="001C148A"/>
    <w:rsid w:val="001C15DB"/>
    <w:rsid w:val="001C1814"/>
    <w:rsid w:val="001C1A4B"/>
    <w:rsid w:val="001C3D80"/>
    <w:rsid w:val="001C405C"/>
    <w:rsid w:val="001C4361"/>
    <w:rsid w:val="001C51A3"/>
    <w:rsid w:val="001C5358"/>
    <w:rsid w:val="001C56D1"/>
    <w:rsid w:val="001C6921"/>
    <w:rsid w:val="001C7A8C"/>
    <w:rsid w:val="001C7DB6"/>
    <w:rsid w:val="001D04A2"/>
    <w:rsid w:val="001D15D9"/>
    <w:rsid w:val="001D23EF"/>
    <w:rsid w:val="001D23F7"/>
    <w:rsid w:val="001D3534"/>
    <w:rsid w:val="001D40F4"/>
    <w:rsid w:val="001D537F"/>
    <w:rsid w:val="001D5BDC"/>
    <w:rsid w:val="001D6910"/>
    <w:rsid w:val="001D723E"/>
    <w:rsid w:val="001D746C"/>
    <w:rsid w:val="001D7681"/>
    <w:rsid w:val="001E131D"/>
    <w:rsid w:val="001E1FA3"/>
    <w:rsid w:val="001E21AC"/>
    <w:rsid w:val="001E24A4"/>
    <w:rsid w:val="001E2754"/>
    <w:rsid w:val="001E28CC"/>
    <w:rsid w:val="001E2EC4"/>
    <w:rsid w:val="001E321D"/>
    <w:rsid w:val="001E3451"/>
    <w:rsid w:val="001E38B1"/>
    <w:rsid w:val="001E3991"/>
    <w:rsid w:val="001E478C"/>
    <w:rsid w:val="001E4C00"/>
    <w:rsid w:val="001E4D12"/>
    <w:rsid w:val="001E4D56"/>
    <w:rsid w:val="001E4DF5"/>
    <w:rsid w:val="001E5E13"/>
    <w:rsid w:val="001E63D0"/>
    <w:rsid w:val="001E72E0"/>
    <w:rsid w:val="001E76D5"/>
    <w:rsid w:val="001F0064"/>
    <w:rsid w:val="001F02AE"/>
    <w:rsid w:val="001F03EF"/>
    <w:rsid w:val="001F0487"/>
    <w:rsid w:val="001F0F38"/>
    <w:rsid w:val="001F16DF"/>
    <w:rsid w:val="001F1960"/>
    <w:rsid w:val="001F1E4A"/>
    <w:rsid w:val="001F3706"/>
    <w:rsid w:val="001F3995"/>
    <w:rsid w:val="001F3BF9"/>
    <w:rsid w:val="001F3DAE"/>
    <w:rsid w:val="001F4685"/>
    <w:rsid w:val="001F4A98"/>
    <w:rsid w:val="001F5245"/>
    <w:rsid w:val="001F55F3"/>
    <w:rsid w:val="001F6159"/>
    <w:rsid w:val="001F6680"/>
    <w:rsid w:val="001F6B74"/>
    <w:rsid w:val="001F6FB6"/>
    <w:rsid w:val="001F740D"/>
    <w:rsid w:val="001F792F"/>
    <w:rsid w:val="001F7AC9"/>
    <w:rsid w:val="001F7B9E"/>
    <w:rsid w:val="001F7BE1"/>
    <w:rsid w:val="001F7C97"/>
    <w:rsid w:val="0020095B"/>
    <w:rsid w:val="00200A84"/>
    <w:rsid w:val="002014F7"/>
    <w:rsid w:val="00201CB4"/>
    <w:rsid w:val="00201ED0"/>
    <w:rsid w:val="00201FFC"/>
    <w:rsid w:val="00202576"/>
    <w:rsid w:val="00202B50"/>
    <w:rsid w:val="00202EF9"/>
    <w:rsid w:val="00203041"/>
    <w:rsid w:val="00203204"/>
    <w:rsid w:val="00203236"/>
    <w:rsid w:val="002036E8"/>
    <w:rsid w:val="00203946"/>
    <w:rsid w:val="00203B3F"/>
    <w:rsid w:val="002045CB"/>
    <w:rsid w:val="002048AD"/>
    <w:rsid w:val="0020494A"/>
    <w:rsid w:val="00204AF8"/>
    <w:rsid w:val="002051F7"/>
    <w:rsid w:val="002052C4"/>
    <w:rsid w:val="0020531C"/>
    <w:rsid w:val="00205EF5"/>
    <w:rsid w:val="002062B5"/>
    <w:rsid w:val="002067D2"/>
    <w:rsid w:val="0020708A"/>
    <w:rsid w:val="00207642"/>
    <w:rsid w:val="00207F6A"/>
    <w:rsid w:val="00207F97"/>
    <w:rsid w:val="00210256"/>
    <w:rsid w:val="00210394"/>
    <w:rsid w:val="0021076E"/>
    <w:rsid w:val="00210B83"/>
    <w:rsid w:val="00210E82"/>
    <w:rsid w:val="00212B08"/>
    <w:rsid w:val="00213289"/>
    <w:rsid w:val="00213825"/>
    <w:rsid w:val="00214189"/>
    <w:rsid w:val="00214ADD"/>
    <w:rsid w:val="0021525B"/>
    <w:rsid w:val="0021565D"/>
    <w:rsid w:val="00216998"/>
    <w:rsid w:val="00216B19"/>
    <w:rsid w:val="00216CCC"/>
    <w:rsid w:val="00216E16"/>
    <w:rsid w:val="0021738B"/>
    <w:rsid w:val="002176D8"/>
    <w:rsid w:val="00220082"/>
    <w:rsid w:val="002203BD"/>
    <w:rsid w:val="0022040C"/>
    <w:rsid w:val="0022054A"/>
    <w:rsid w:val="00220771"/>
    <w:rsid w:val="00220776"/>
    <w:rsid w:val="00220C7C"/>
    <w:rsid w:val="002221C3"/>
    <w:rsid w:val="002223BA"/>
    <w:rsid w:val="0022299A"/>
    <w:rsid w:val="00222B91"/>
    <w:rsid w:val="002230FD"/>
    <w:rsid w:val="002232B3"/>
    <w:rsid w:val="002242A5"/>
    <w:rsid w:val="002242DB"/>
    <w:rsid w:val="00224756"/>
    <w:rsid w:val="00224878"/>
    <w:rsid w:val="0022514D"/>
    <w:rsid w:val="00225CEE"/>
    <w:rsid w:val="00226447"/>
    <w:rsid w:val="002266DB"/>
    <w:rsid w:val="002267DA"/>
    <w:rsid w:val="00226894"/>
    <w:rsid w:val="002268B0"/>
    <w:rsid w:val="00227577"/>
    <w:rsid w:val="002277E9"/>
    <w:rsid w:val="00227BB3"/>
    <w:rsid w:val="002303A6"/>
    <w:rsid w:val="0023069A"/>
    <w:rsid w:val="00230894"/>
    <w:rsid w:val="002308E9"/>
    <w:rsid w:val="00231442"/>
    <w:rsid w:val="00231B36"/>
    <w:rsid w:val="00231F9E"/>
    <w:rsid w:val="00232498"/>
    <w:rsid w:val="0023254E"/>
    <w:rsid w:val="00232918"/>
    <w:rsid w:val="00233114"/>
    <w:rsid w:val="0023350C"/>
    <w:rsid w:val="002336EE"/>
    <w:rsid w:val="00233D53"/>
    <w:rsid w:val="00233E70"/>
    <w:rsid w:val="00234281"/>
    <w:rsid w:val="00234A21"/>
    <w:rsid w:val="00234F9A"/>
    <w:rsid w:val="00234FD3"/>
    <w:rsid w:val="0023515B"/>
    <w:rsid w:val="00236B90"/>
    <w:rsid w:val="002371BF"/>
    <w:rsid w:val="00237A87"/>
    <w:rsid w:val="002404C3"/>
    <w:rsid w:val="00241129"/>
    <w:rsid w:val="002417E9"/>
    <w:rsid w:val="00241840"/>
    <w:rsid w:val="00241C36"/>
    <w:rsid w:val="002422D1"/>
    <w:rsid w:val="002427EB"/>
    <w:rsid w:val="002427F0"/>
    <w:rsid w:val="002428BD"/>
    <w:rsid w:val="00242E09"/>
    <w:rsid w:val="002432B7"/>
    <w:rsid w:val="002440B2"/>
    <w:rsid w:val="00244CC2"/>
    <w:rsid w:val="00245019"/>
    <w:rsid w:val="002452D5"/>
    <w:rsid w:val="002458CE"/>
    <w:rsid w:val="0024635A"/>
    <w:rsid w:val="0024638F"/>
    <w:rsid w:val="00246513"/>
    <w:rsid w:val="00246B1D"/>
    <w:rsid w:val="00247BDE"/>
    <w:rsid w:val="002507C4"/>
    <w:rsid w:val="00250B11"/>
    <w:rsid w:val="00251257"/>
    <w:rsid w:val="00251EB3"/>
    <w:rsid w:val="00252159"/>
    <w:rsid w:val="002531E5"/>
    <w:rsid w:val="0025329B"/>
    <w:rsid w:val="002538BA"/>
    <w:rsid w:val="00253EC4"/>
    <w:rsid w:val="0025418A"/>
    <w:rsid w:val="00254240"/>
    <w:rsid w:val="002545D0"/>
    <w:rsid w:val="00255255"/>
    <w:rsid w:val="00255BC2"/>
    <w:rsid w:val="00256113"/>
    <w:rsid w:val="00256539"/>
    <w:rsid w:val="00256DEA"/>
    <w:rsid w:val="00257C49"/>
    <w:rsid w:val="00260271"/>
    <w:rsid w:val="0026072F"/>
    <w:rsid w:val="00260952"/>
    <w:rsid w:val="00261192"/>
    <w:rsid w:val="00261A11"/>
    <w:rsid w:val="00261CB5"/>
    <w:rsid w:val="002625F2"/>
    <w:rsid w:val="00262F10"/>
    <w:rsid w:val="0026323A"/>
    <w:rsid w:val="00263413"/>
    <w:rsid w:val="0026431A"/>
    <w:rsid w:val="002644A4"/>
    <w:rsid w:val="00265066"/>
    <w:rsid w:val="00265238"/>
    <w:rsid w:val="00265C93"/>
    <w:rsid w:val="00265F00"/>
    <w:rsid w:val="00266300"/>
    <w:rsid w:val="00266BD0"/>
    <w:rsid w:val="002675AE"/>
    <w:rsid w:val="00267702"/>
    <w:rsid w:val="002700AA"/>
    <w:rsid w:val="002708B2"/>
    <w:rsid w:val="00270B46"/>
    <w:rsid w:val="00271150"/>
    <w:rsid w:val="00273F48"/>
    <w:rsid w:val="002747CC"/>
    <w:rsid w:val="00274830"/>
    <w:rsid w:val="00274DF9"/>
    <w:rsid w:val="00275170"/>
    <w:rsid w:val="00275A41"/>
    <w:rsid w:val="00275D77"/>
    <w:rsid w:val="0027695D"/>
    <w:rsid w:val="002778F2"/>
    <w:rsid w:val="00277F52"/>
    <w:rsid w:val="002809A3"/>
    <w:rsid w:val="00281979"/>
    <w:rsid w:val="00281E85"/>
    <w:rsid w:val="00282B8A"/>
    <w:rsid w:val="002837F8"/>
    <w:rsid w:val="00283ACF"/>
    <w:rsid w:val="00283C99"/>
    <w:rsid w:val="0028473D"/>
    <w:rsid w:val="00284850"/>
    <w:rsid w:val="00284D22"/>
    <w:rsid w:val="00285326"/>
    <w:rsid w:val="00285587"/>
    <w:rsid w:val="00285A10"/>
    <w:rsid w:val="00285DE8"/>
    <w:rsid w:val="00286213"/>
    <w:rsid w:val="0029007B"/>
    <w:rsid w:val="00290891"/>
    <w:rsid w:val="00291493"/>
    <w:rsid w:val="00291DA9"/>
    <w:rsid w:val="00292608"/>
    <w:rsid w:val="00292773"/>
    <w:rsid w:val="002927AC"/>
    <w:rsid w:val="0029469F"/>
    <w:rsid w:val="00295405"/>
    <w:rsid w:val="002954FB"/>
    <w:rsid w:val="00295DF7"/>
    <w:rsid w:val="0029618D"/>
    <w:rsid w:val="002965BA"/>
    <w:rsid w:val="00296814"/>
    <w:rsid w:val="00296D06"/>
    <w:rsid w:val="002970BE"/>
    <w:rsid w:val="0029716C"/>
    <w:rsid w:val="002A0DD4"/>
    <w:rsid w:val="002A2537"/>
    <w:rsid w:val="002A2AB8"/>
    <w:rsid w:val="002A2B8E"/>
    <w:rsid w:val="002A30E1"/>
    <w:rsid w:val="002A3E01"/>
    <w:rsid w:val="002A50ED"/>
    <w:rsid w:val="002A5126"/>
    <w:rsid w:val="002A5536"/>
    <w:rsid w:val="002A560A"/>
    <w:rsid w:val="002A5774"/>
    <w:rsid w:val="002A5948"/>
    <w:rsid w:val="002A5A54"/>
    <w:rsid w:val="002A5C00"/>
    <w:rsid w:val="002A64F2"/>
    <w:rsid w:val="002A6590"/>
    <w:rsid w:val="002A6F79"/>
    <w:rsid w:val="002A7478"/>
    <w:rsid w:val="002A7B26"/>
    <w:rsid w:val="002B01AD"/>
    <w:rsid w:val="002B047F"/>
    <w:rsid w:val="002B1791"/>
    <w:rsid w:val="002B1FDA"/>
    <w:rsid w:val="002B2B0C"/>
    <w:rsid w:val="002B2D78"/>
    <w:rsid w:val="002B32C9"/>
    <w:rsid w:val="002B3736"/>
    <w:rsid w:val="002B4054"/>
    <w:rsid w:val="002B46FF"/>
    <w:rsid w:val="002B497D"/>
    <w:rsid w:val="002B4A06"/>
    <w:rsid w:val="002B4D0E"/>
    <w:rsid w:val="002B542A"/>
    <w:rsid w:val="002B5495"/>
    <w:rsid w:val="002B54C5"/>
    <w:rsid w:val="002B55E5"/>
    <w:rsid w:val="002B612D"/>
    <w:rsid w:val="002B653E"/>
    <w:rsid w:val="002B6703"/>
    <w:rsid w:val="002B6D69"/>
    <w:rsid w:val="002B6F67"/>
    <w:rsid w:val="002B7411"/>
    <w:rsid w:val="002B7B88"/>
    <w:rsid w:val="002B7F1B"/>
    <w:rsid w:val="002B7F30"/>
    <w:rsid w:val="002B7F5B"/>
    <w:rsid w:val="002C0083"/>
    <w:rsid w:val="002C032E"/>
    <w:rsid w:val="002C081A"/>
    <w:rsid w:val="002C108A"/>
    <w:rsid w:val="002C1553"/>
    <w:rsid w:val="002C2CCD"/>
    <w:rsid w:val="002C2F7F"/>
    <w:rsid w:val="002C2FB4"/>
    <w:rsid w:val="002C2FD3"/>
    <w:rsid w:val="002C3683"/>
    <w:rsid w:val="002C369F"/>
    <w:rsid w:val="002C41BC"/>
    <w:rsid w:val="002C6751"/>
    <w:rsid w:val="002C6DC2"/>
    <w:rsid w:val="002C6DDA"/>
    <w:rsid w:val="002C713E"/>
    <w:rsid w:val="002D053D"/>
    <w:rsid w:val="002D0A97"/>
    <w:rsid w:val="002D0B99"/>
    <w:rsid w:val="002D10FA"/>
    <w:rsid w:val="002D1936"/>
    <w:rsid w:val="002D1CE8"/>
    <w:rsid w:val="002D2FB2"/>
    <w:rsid w:val="002D337C"/>
    <w:rsid w:val="002D3782"/>
    <w:rsid w:val="002D3EBD"/>
    <w:rsid w:val="002D48E6"/>
    <w:rsid w:val="002D5B16"/>
    <w:rsid w:val="002D6AAE"/>
    <w:rsid w:val="002D769A"/>
    <w:rsid w:val="002D7789"/>
    <w:rsid w:val="002D77B7"/>
    <w:rsid w:val="002D7CC4"/>
    <w:rsid w:val="002D7DBC"/>
    <w:rsid w:val="002E0C21"/>
    <w:rsid w:val="002E0FA4"/>
    <w:rsid w:val="002E192A"/>
    <w:rsid w:val="002E1AE0"/>
    <w:rsid w:val="002E2471"/>
    <w:rsid w:val="002E2B84"/>
    <w:rsid w:val="002E2C75"/>
    <w:rsid w:val="002E2DD9"/>
    <w:rsid w:val="002E300A"/>
    <w:rsid w:val="002E3543"/>
    <w:rsid w:val="002E3B50"/>
    <w:rsid w:val="002E3B82"/>
    <w:rsid w:val="002E3C95"/>
    <w:rsid w:val="002E40D7"/>
    <w:rsid w:val="002E4BB3"/>
    <w:rsid w:val="002E56CE"/>
    <w:rsid w:val="002E59BE"/>
    <w:rsid w:val="002E5F0D"/>
    <w:rsid w:val="002E6EE7"/>
    <w:rsid w:val="002E758B"/>
    <w:rsid w:val="002F07FF"/>
    <w:rsid w:val="002F0C6B"/>
    <w:rsid w:val="002F1CD0"/>
    <w:rsid w:val="002F1D5C"/>
    <w:rsid w:val="002F207F"/>
    <w:rsid w:val="002F24AF"/>
    <w:rsid w:val="002F32ED"/>
    <w:rsid w:val="002F34EA"/>
    <w:rsid w:val="002F3799"/>
    <w:rsid w:val="002F43B6"/>
    <w:rsid w:val="002F49F9"/>
    <w:rsid w:val="002F515D"/>
    <w:rsid w:val="002F594A"/>
    <w:rsid w:val="002F6291"/>
    <w:rsid w:val="002F6673"/>
    <w:rsid w:val="002F66DB"/>
    <w:rsid w:val="002F6DBD"/>
    <w:rsid w:val="002F7256"/>
    <w:rsid w:val="002F74B2"/>
    <w:rsid w:val="002F7EB8"/>
    <w:rsid w:val="0030086D"/>
    <w:rsid w:val="00300D86"/>
    <w:rsid w:val="003016E9"/>
    <w:rsid w:val="003017E1"/>
    <w:rsid w:val="00302F6A"/>
    <w:rsid w:val="00303B54"/>
    <w:rsid w:val="003040C0"/>
    <w:rsid w:val="00305CC7"/>
    <w:rsid w:val="00305F62"/>
    <w:rsid w:val="0030688B"/>
    <w:rsid w:val="00306A10"/>
    <w:rsid w:val="003074FD"/>
    <w:rsid w:val="00307A2D"/>
    <w:rsid w:val="00310204"/>
    <w:rsid w:val="00310272"/>
    <w:rsid w:val="00310D86"/>
    <w:rsid w:val="00310F34"/>
    <w:rsid w:val="00311FC0"/>
    <w:rsid w:val="00312321"/>
    <w:rsid w:val="00312AF6"/>
    <w:rsid w:val="00312CB7"/>
    <w:rsid w:val="00312E68"/>
    <w:rsid w:val="0031351A"/>
    <w:rsid w:val="003161E5"/>
    <w:rsid w:val="0031654B"/>
    <w:rsid w:val="00316C18"/>
    <w:rsid w:val="00317071"/>
    <w:rsid w:val="003170F2"/>
    <w:rsid w:val="00320199"/>
    <w:rsid w:val="003204DA"/>
    <w:rsid w:val="00320582"/>
    <w:rsid w:val="003206BE"/>
    <w:rsid w:val="00321282"/>
    <w:rsid w:val="0032130E"/>
    <w:rsid w:val="0032187E"/>
    <w:rsid w:val="003218EA"/>
    <w:rsid w:val="00321F93"/>
    <w:rsid w:val="0032278A"/>
    <w:rsid w:val="0032279E"/>
    <w:rsid w:val="00322A25"/>
    <w:rsid w:val="0032318E"/>
    <w:rsid w:val="00323440"/>
    <w:rsid w:val="00323480"/>
    <w:rsid w:val="00324A14"/>
    <w:rsid w:val="00325085"/>
    <w:rsid w:val="00325665"/>
    <w:rsid w:val="00325668"/>
    <w:rsid w:val="003262AB"/>
    <w:rsid w:val="0032659C"/>
    <w:rsid w:val="00326D8F"/>
    <w:rsid w:val="00327292"/>
    <w:rsid w:val="003272FD"/>
    <w:rsid w:val="0032744E"/>
    <w:rsid w:val="00327480"/>
    <w:rsid w:val="0032757F"/>
    <w:rsid w:val="00330A37"/>
    <w:rsid w:val="00330B81"/>
    <w:rsid w:val="00332C4C"/>
    <w:rsid w:val="003332AB"/>
    <w:rsid w:val="00333A15"/>
    <w:rsid w:val="00333A6D"/>
    <w:rsid w:val="00333EC2"/>
    <w:rsid w:val="00333F1D"/>
    <w:rsid w:val="00335776"/>
    <w:rsid w:val="00336075"/>
    <w:rsid w:val="003374B9"/>
    <w:rsid w:val="003375AB"/>
    <w:rsid w:val="003378B1"/>
    <w:rsid w:val="003408E2"/>
    <w:rsid w:val="003415A2"/>
    <w:rsid w:val="0034312D"/>
    <w:rsid w:val="0034330F"/>
    <w:rsid w:val="00343669"/>
    <w:rsid w:val="00343C67"/>
    <w:rsid w:val="0034413A"/>
    <w:rsid w:val="0034446D"/>
    <w:rsid w:val="00344BA3"/>
    <w:rsid w:val="00344BDC"/>
    <w:rsid w:val="00344D5E"/>
    <w:rsid w:val="00345475"/>
    <w:rsid w:val="00345FC8"/>
    <w:rsid w:val="003467F2"/>
    <w:rsid w:val="00346844"/>
    <w:rsid w:val="00346945"/>
    <w:rsid w:val="00346AE5"/>
    <w:rsid w:val="00346C56"/>
    <w:rsid w:val="00347782"/>
    <w:rsid w:val="00347D51"/>
    <w:rsid w:val="00347E11"/>
    <w:rsid w:val="003500C9"/>
    <w:rsid w:val="00350268"/>
    <w:rsid w:val="00350594"/>
    <w:rsid w:val="003508FB"/>
    <w:rsid w:val="00350C4A"/>
    <w:rsid w:val="003518DC"/>
    <w:rsid w:val="00352542"/>
    <w:rsid w:val="0035269B"/>
    <w:rsid w:val="00352F72"/>
    <w:rsid w:val="00353202"/>
    <w:rsid w:val="0035326A"/>
    <w:rsid w:val="0035327A"/>
    <w:rsid w:val="003534CB"/>
    <w:rsid w:val="00353FC5"/>
    <w:rsid w:val="00354112"/>
    <w:rsid w:val="00354407"/>
    <w:rsid w:val="00354730"/>
    <w:rsid w:val="00354CDA"/>
    <w:rsid w:val="003555CF"/>
    <w:rsid w:val="00355B59"/>
    <w:rsid w:val="0035620E"/>
    <w:rsid w:val="003564B6"/>
    <w:rsid w:val="0035659C"/>
    <w:rsid w:val="0035669E"/>
    <w:rsid w:val="00356C67"/>
    <w:rsid w:val="003574FA"/>
    <w:rsid w:val="00357700"/>
    <w:rsid w:val="00357C05"/>
    <w:rsid w:val="00357DE5"/>
    <w:rsid w:val="00360509"/>
    <w:rsid w:val="0036056F"/>
    <w:rsid w:val="0036071E"/>
    <w:rsid w:val="00360E9D"/>
    <w:rsid w:val="0036171C"/>
    <w:rsid w:val="00362E59"/>
    <w:rsid w:val="00363B12"/>
    <w:rsid w:val="0036402D"/>
    <w:rsid w:val="0036423C"/>
    <w:rsid w:val="003648BB"/>
    <w:rsid w:val="003649CB"/>
    <w:rsid w:val="00364D59"/>
    <w:rsid w:val="003654BE"/>
    <w:rsid w:val="003654DD"/>
    <w:rsid w:val="00365D2E"/>
    <w:rsid w:val="00365DBB"/>
    <w:rsid w:val="00366EE9"/>
    <w:rsid w:val="00367202"/>
    <w:rsid w:val="003673E6"/>
    <w:rsid w:val="003675F0"/>
    <w:rsid w:val="00367A90"/>
    <w:rsid w:val="003703EC"/>
    <w:rsid w:val="00370963"/>
    <w:rsid w:val="00371009"/>
    <w:rsid w:val="00371BC4"/>
    <w:rsid w:val="003722E8"/>
    <w:rsid w:val="00372733"/>
    <w:rsid w:val="0037280D"/>
    <w:rsid w:val="003728E1"/>
    <w:rsid w:val="00372968"/>
    <w:rsid w:val="00372C4C"/>
    <w:rsid w:val="00373496"/>
    <w:rsid w:val="003736A7"/>
    <w:rsid w:val="00373B43"/>
    <w:rsid w:val="00373B9D"/>
    <w:rsid w:val="00373E1B"/>
    <w:rsid w:val="00374508"/>
    <w:rsid w:val="003745D0"/>
    <w:rsid w:val="003748B9"/>
    <w:rsid w:val="00374FD6"/>
    <w:rsid w:val="00375B8A"/>
    <w:rsid w:val="00375E04"/>
    <w:rsid w:val="0037642E"/>
    <w:rsid w:val="003776AD"/>
    <w:rsid w:val="00377D45"/>
    <w:rsid w:val="003801DC"/>
    <w:rsid w:val="00380720"/>
    <w:rsid w:val="00380E15"/>
    <w:rsid w:val="00380F51"/>
    <w:rsid w:val="00381301"/>
    <w:rsid w:val="003817B5"/>
    <w:rsid w:val="00381993"/>
    <w:rsid w:val="00381B3A"/>
    <w:rsid w:val="00381F75"/>
    <w:rsid w:val="0038248C"/>
    <w:rsid w:val="003829A5"/>
    <w:rsid w:val="00383E24"/>
    <w:rsid w:val="00384837"/>
    <w:rsid w:val="00384A4B"/>
    <w:rsid w:val="00384C2C"/>
    <w:rsid w:val="00384CEB"/>
    <w:rsid w:val="003856C6"/>
    <w:rsid w:val="00385E25"/>
    <w:rsid w:val="00385E50"/>
    <w:rsid w:val="0038685F"/>
    <w:rsid w:val="00386B43"/>
    <w:rsid w:val="00386B52"/>
    <w:rsid w:val="00386CBA"/>
    <w:rsid w:val="00386FC4"/>
    <w:rsid w:val="00391901"/>
    <w:rsid w:val="00391AC1"/>
    <w:rsid w:val="00391B2B"/>
    <w:rsid w:val="003923E6"/>
    <w:rsid w:val="003930D6"/>
    <w:rsid w:val="003934D5"/>
    <w:rsid w:val="00393FE9"/>
    <w:rsid w:val="0039476B"/>
    <w:rsid w:val="0039525C"/>
    <w:rsid w:val="00396113"/>
    <w:rsid w:val="00396F26"/>
    <w:rsid w:val="003973FD"/>
    <w:rsid w:val="00397413"/>
    <w:rsid w:val="003976E4"/>
    <w:rsid w:val="00397E21"/>
    <w:rsid w:val="00397FDC"/>
    <w:rsid w:val="003A04AE"/>
    <w:rsid w:val="003A0667"/>
    <w:rsid w:val="003A0696"/>
    <w:rsid w:val="003A19D6"/>
    <w:rsid w:val="003A2D4E"/>
    <w:rsid w:val="003A3999"/>
    <w:rsid w:val="003A4220"/>
    <w:rsid w:val="003A4462"/>
    <w:rsid w:val="003A4663"/>
    <w:rsid w:val="003A4BFF"/>
    <w:rsid w:val="003A4F4E"/>
    <w:rsid w:val="003A5575"/>
    <w:rsid w:val="003A5D90"/>
    <w:rsid w:val="003A62DA"/>
    <w:rsid w:val="003A7B14"/>
    <w:rsid w:val="003A7B7B"/>
    <w:rsid w:val="003A7D2A"/>
    <w:rsid w:val="003A7D38"/>
    <w:rsid w:val="003B08CD"/>
    <w:rsid w:val="003B14FD"/>
    <w:rsid w:val="003B2427"/>
    <w:rsid w:val="003B2D7D"/>
    <w:rsid w:val="003B3C57"/>
    <w:rsid w:val="003B3DC3"/>
    <w:rsid w:val="003B3E12"/>
    <w:rsid w:val="003B3E38"/>
    <w:rsid w:val="003B42B7"/>
    <w:rsid w:val="003B4696"/>
    <w:rsid w:val="003B4E65"/>
    <w:rsid w:val="003B4EB6"/>
    <w:rsid w:val="003B5038"/>
    <w:rsid w:val="003B5EBF"/>
    <w:rsid w:val="003B6031"/>
    <w:rsid w:val="003B6E81"/>
    <w:rsid w:val="003B77E5"/>
    <w:rsid w:val="003B7E05"/>
    <w:rsid w:val="003C0480"/>
    <w:rsid w:val="003C052A"/>
    <w:rsid w:val="003C131E"/>
    <w:rsid w:val="003C14CC"/>
    <w:rsid w:val="003C19A5"/>
    <w:rsid w:val="003C1C85"/>
    <w:rsid w:val="003C1F69"/>
    <w:rsid w:val="003C2D12"/>
    <w:rsid w:val="003C37E3"/>
    <w:rsid w:val="003C3A2A"/>
    <w:rsid w:val="003C3E7F"/>
    <w:rsid w:val="003C4482"/>
    <w:rsid w:val="003C4B8F"/>
    <w:rsid w:val="003C4E73"/>
    <w:rsid w:val="003C4F92"/>
    <w:rsid w:val="003C5260"/>
    <w:rsid w:val="003C612F"/>
    <w:rsid w:val="003C6468"/>
    <w:rsid w:val="003C752B"/>
    <w:rsid w:val="003D0AF6"/>
    <w:rsid w:val="003D0BFD"/>
    <w:rsid w:val="003D114D"/>
    <w:rsid w:val="003D11D9"/>
    <w:rsid w:val="003D1494"/>
    <w:rsid w:val="003D156A"/>
    <w:rsid w:val="003D1938"/>
    <w:rsid w:val="003D1E5A"/>
    <w:rsid w:val="003D2D69"/>
    <w:rsid w:val="003D3990"/>
    <w:rsid w:val="003D42B5"/>
    <w:rsid w:val="003D42CB"/>
    <w:rsid w:val="003D43E2"/>
    <w:rsid w:val="003D4B62"/>
    <w:rsid w:val="003D4E9A"/>
    <w:rsid w:val="003D51F4"/>
    <w:rsid w:val="003D5589"/>
    <w:rsid w:val="003D5811"/>
    <w:rsid w:val="003D58C5"/>
    <w:rsid w:val="003D6638"/>
    <w:rsid w:val="003D7786"/>
    <w:rsid w:val="003D7DB8"/>
    <w:rsid w:val="003D7FC4"/>
    <w:rsid w:val="003E0354"/>
    <w:rsid w:val="003E08DC"/>
    <w:rsid w:val="003E1802"/>
    <w:rsid w:val="003E184A"/>
    <w:rsid w:val="003E1887"/>
    <w:rsid w:val="003E18C9"/>
    <w:rsid w:val="003E19E2"/>
    <w:rsid w:val="003E2538"/>
    <w:rsid w:val="003E278F"/>
    <w:rsid w:val="003E2B0B"/>
    <w:rsid w:val="003E2E55"/>
    <w:rsid w:val="003E2F98"/>
    <w:rsid w:val="003E3327"/>
    <w:rsid w:val="003E3F81"/>
    <w:rsid w:val="003E4296"/>
    <w:rsid w:val="003E43C8"/>
    <w:rsid w:val="003E4B5F"/>
    <w:rsid w:val="003E4BA6"/>
    <w:rsid w:val="003E530F"/>
    <w:rsid w:val="003E5A33"/>
    <w:rsid w:val="003E5FD7"/>
    <w:rsid w:val="003E63B5"/>
    <w:rsid w:val="003E65FD"/>
    <w:rsid w:val="003E680A"/>
    <w:rsid w:val="003E69CF"/>
    <w:rsid w:val="003E6B2B"/>
    <w:rsid w:val="003E6DA0"/>
    <w:rsid w:val="003E72DA"/>
    <w:rsid w:val="003E7915"/>
    <w:rsid w:val="003E7D34"/>
    <w:rsid w:val="003F031C"/>
    <w:rsid w:val="003F132C"/>
    <w:rsid w:val="003F1622"/>
    <w:rsid w:val="003F1AA3"/>
    <w:rsid w:val="003F25EF"/>
    <w:rsid w:val="003F2E1D"/>
    <w:rsid w:val="003F3277"/>
    <w:rsid w:val="003F4C79"/>
    <w:rsid w:val="003F4E06"/>
    <w:rsid w:val="003F5819"/>
    <w:rsid w:val="003F5925"/>
    <w:rsid w:val="003F5E3F"/>
    <w:rsid w:val="003F67CB"/>
    <w:rsid w:val="003F759C"/>
    <w:rsid w:val="003F7E6D"/>
    <w:rsid w:val="00401A8B"/>
    <w:rsid w:val="00401CD0"/>
    <w:rsid w:val="00402608"/>
    <w:rsid w:val="0040276A"/>
    <w:rsid w:val="00402A5A"/>
    <w:rsid w:val="00403542"/>
    <w:rsid w:val="00403A15"/>
    <w:rsid w:val="00404115"/>
    <w:rsid w:val="00405461"/>
    <w:rsid w:val="00405477"/>
    <w:rsid w:val="0040566B"/>
    <w:rsid w:val="0040604A"/>
    <w:rsid w:val="004067F1"/>
    <w:rsid w:val="004068A7"/>
    <w:rsid w:val="00406C91"/>
    <w:rsid w:val="004071C3"/>
    <w:rsid w:val="00410441"/>
    <w:rsid w:val="00410650"/>
    <w:rsid w:val="00410747"/>
    <w:rsid w:val="0041078F"/>
    <w:rsid w:val="00410B78"/>
    <w:rsid w:val="00410F4A"/>
    <w:rsid w:val="0041102C"/>
    <w:rsid w:val="00411154"/>
    <w:rsid w:val="00412BDE"/>
    <w:rsid w:val="00413E42"/>
    <w:rsid w:val="004146E5"/>
    <w:rsid w:val="00414DE0"/>
    <w:rsid w:val="004150A6"/>
    <w:rsid w:val="004150FE"/>
    <w:rsid w:val="004157FA"/>
    <w:rsid w:val="004158A0"/>
    <w:rsid w:val="00415D69"/>
    <w:rsid w:val="00415FAD"/>
    <w:rsid w:val="0041619C"/>
    <w:rsid w:val="0041747C"/>
    <w:rsid w:val="00417701"/>
    <w:rsid w:val="00417C68"/>
    <w:rsid w:val="00417D7A"/>
    <w:rsid w:val="004203AA"/>
    <w:rsid w:val="00420BA6"/>
    <w:rsid w:val="0042121D"/>
    <w:rsid w:val="004213E0"/>
    <w:rsid w:val="0042181C"/>
    <w:rsid w:val="00421BAA"/>
    <w:rsid w:val="00422508"/>
    <w:rsid w:val="0042267A"/>
    <w:rsid w:val="00422C59"/>
    <w:rsid w:val="00422CFC"/>
    <w:rsid w:val="0042412E"/>
    <w:rsid w:val="0042472D"/>
    <w:rsid w:val="0042505E"/>
    <w:rsid w:val="004252E0"/>
    <w:rsid w:val="004257A7"/>
    <w:rsid w:val="00425EF9"/>
    <w:rsid w:val="00425F92"/>
    <w:rsid w:val="0042613E"/>
    <w:rsid w:val="0042754D"/>
    <w:rsid w:val="00430459"/>
    <w:rsid w:val="004305C5"/>
    <w:rsid w:val="004318F9"/>
    <w:rsid w:val="00431B6B"/>
    <w:rsid w:val="00432B95"/>
    <w:rsid w:val="00432B9E"/>
    <w:rsid w:val="004330F7"/>
    <w:rsid w:val="00433D08"/>
    <w:rsid w:val="004342CB"/>
    <w:rsid w:val="00434374"/>
    <w:rsid w:val="00435197"/>
    <w:rsid w:val="004360AB"/>
    <w:rsid w:val="004364B8"/>
    <w:rsid w:val="0043678E"/>
    <w:rsid w:val="00437B57"/>
    <w:rsid w:val="00440E6C"/>
    <w:rsid w:val="00440F46"/>
    <w:rsid w:val="004410BC"/>
    <w:rsid w:val="00441164"/>
    <w:rsid w:val="004414D3"/>
    <w:rsid w:val="00441A6C"/>
    <w:rsid w:val="004420F9"/>
    <w:rsid w:val="00442BD0"/>
    <w:rsid w:val="004435D7"/>
    <w:rsid w:val="00444188"/>
    <w:rsid w:val="00444473"/>
    <w:rsid w:val="0044482D"/>
    <w:rsid w:val="00444927"/>
    <w:rsid w:val="00444FEA"/>
    <w:rsid w:val="00445837"/>
    <w:rsid w:val="004458AB"/>
    <w:rsid w:val="00445C9F"/>
    <w:rsid w:val="00446409"/>
    <w:rsid w:val="00446D64"/>
    <w:rsid w:val="00447C52"/>
    <w:rsid w:val="004503A1"/>
    <w:rsid w:val="00450674"/>
    <w:rsid w:val="004516E4"/>
    <w:rsid w:val="0045201A"/>
    <w:rsid w:val="00452210"/>
    <w:rsid w:val="0045241D"/>
    <w:rsid w:val="00453779"/>
    <w:rsid w:val="00453A77"/>
    <w:rsid w:val="00453DB3"/>
    <w:rsid w:val="00454B8F"/>
    <w:rsid w:val="00454C20"/>
    <w:rsid w:val="00454C71"/>
    <w:rsid w:val="0045521F"/>
    <w:rsid w:val="004558FA"/>
    <w:rsid w:val="00455CAE"/>
    <w:rsid w:val="00455E9B"/>
    <w:rsid w:val="00456D15"/>
    <w:rsid w:val="004572D8"/>
    <w:rsid w:val="004578E3"/>
    <w:rsid w:val="00457ADE"/>
    <w:rsid w:val="004602D4"/>
    <w:rsid w:val="00460A4B"/>
    <w:rsid w:val="00461252"/>
    <w:rsid w:val="0046159B"/>
    <w:rsid w:val="00461A84"/>
    <w:rsid w:val="00462286"/>
    <w:rsid w:val="00462F25"/>
    <w:rsid w:val="00462FE8"/>
    <w:rsid w:val="004631A1"/>
    <w:rsid w:val="0046330C"/>
    <w:rsid w:val="00463717"/>
    <w:rsid w:val="00463754"/>
    <w:rsid w:val="004637CD"/>
    <w:rsid w:val="00463F45"/>
    <w:rsid w:val="004644D1"/>
    <w:rsid w:val="004648BA"/>
    <w:rsid w:val="00464F7F"/>
    <w:rsid w:val="004653AD"/>
    <w:rsid w:val="00465498"/>
    <w:rsid w:val="00465A3C"/>
    <w:rsid w:val="00465F55"/>
    <w:rsid w:val="0046615C"/>
    <w:rsid w:val="00466742"/>
    <w:rsid w:val="00466AE4"/>
    <w:rsid w:val="00466D82"/>
    <w:rsid w:val="0046756D"/>
    <w:rsid w:val="00467B68"/>
    <w:rsid w:val="0047045E"/>
    <w:rsid w:val="00471361"/>
    <w:rsid w:val="00472834"/>
    <w:rsid w:val="00472ADA"/>
    <w:rsid w:val="00472AF9"/>
    <w:rsid w:val="00472CD8"/>
    <w:rsid w:val="00472E87"/>
    <w:rsid w:val="004738FD"/>
    <w:rsid w:val="00474322"/>
    <w:rsid w:val="00474620"/>
    <w:rsid w:val="00474E06"/>
    <w:rsid w:val="004753CD"/>
    <w:rsid w:val="0047548C"/>
    <w:rsid w:val="004761F1"/>
    <w:rsid w:val="00476446"/>
    <w:rsid w:val="00476A2F"/>
    <w:rsid w:val="004779AB"/>
    <w:rsid w:val="00477FA2"/>
    <w:rsid w:val="004801BA"/>
    <w:rsid w:val="0048028B"/>
    <w:rsid w:val="00480455"/>
    <w:rsid w:val="00481C87"/>
    <w:rsid w:val="00481F70"/>
    <w:rsid w:val="004827D8"/>
    <w:rsid w:val="004828B4"/>
    <w:rsid w:val="00482F94"/>
    <w:rsid w:val="004840B7"/>
    <w:rsid w:val="00485352"/>
    <w:rsid w:val="00485776"/>
    <w:rsid w:val="00485B53"/>
    <w:rsid w:val="0048639E"/>
    <w:rsid w:val="00486E14"/>
    <w:rsid w:val="004876C2"/>
    <w:rsid w:val="004878B6"/>
    <w:rsid w:val="00487EBB"/>
    <w:rsid w:val="00490370"/>
    <w:rsid w:val="00490831"/>
    <w:rsid w:val="00491095"/>
    <w:rsid w:val="004918B1"/>
    <w:rsid w:val="00491A74"/>
    <w:rsid w:val="00492C56"/>
    <w:rsid w:val="00492DA7"/>
    <w:rsid w:val="00492F1A"/>
    <w:rsid w:val="00493782"/>
    <w:rsid w:val="00493CF5"/>
    <w:rsid w:val="00493E2D"/>
    <w:rsid w:val="00494B2E"/>
    <w:rsid w:val="00494C91"/>
    <w:rsid w:val="0049521E"/>
    <w:rsid w:val="004952A2"/>
    <w:rsid w:val="0049590C"/>
    <w:rsid w:val="00495D9A"/>
    <w:rsid w:val="004966E0"/>
    <w:rsid w:val="00496AD7"/>
    <w:rsid w:val="004A0CEF"/>
    <w:rsid w:val="004A0E02"/>
    <w:rsid w:val="004A0ECC"/>
    <w:rsid w:val="004A1246"/>
    <w:rsid w:val="004A17FA"/>
    <w:rsid w:val="004A25D9"/>
    <w:rsid w:val="004A3F18"/>
    <w:rsid w:val="004A4D06"/>
    <w:rsid w:val="004A4FC8"/>
    <w:rsid w:val="004A51CD"/>
    <w:rsid w:val="004A5232"/>
    <w:rsid w:val="004A558B"/>
    <w:rsid w:val="004A59C2"/>
    <w:rsid w:val="004A7125"/>
    <w:rsid w:val="004A76F0"/>
    <w:rsid w:val="004B0727"/>
    <w:rsid w:val="004B0A5F"/>
    <w:rsid w:val="004B11AD"/>
    <w:rsid w:val="004B15CE"/>
    <w:rsid w:val="004B2630"/>
    <w:rsid w:val="004B51A3"/>
    <w:rsid w:val="004B534E"/>
    <w:rsid w:val="004B557C"/>
    <w:rsid w:val="004B586C"/>
    <w:rsid w:val="004B59CB"/>
    <w:rsid w:val="004B5E58"/>
    <w:rsid w:val="004B5FD0"/>
    <w:rsid w:val="004B6901"/>
    <w:rsid w:val="004B6E67"/>
    <w:rsid w:val="004B6F05"/>
    <w:rsid w:val="004B776B"/>
    <w:rsid w:val="004C0712"/>
    <w:rsid w:val="004C0F0D"/>
    <w:rsid w:val="004C1639"/>
    <w:rsid w:val="004C1838"/>
    <w:rsid w:val="004C1CE3"/>
    <w:rsid w:val="004C2605"/>
    <w:rsid w:val="004C3B2D"/>
    <w:rsid w:val="004C3FD7"/>
    <w:rsid w:val="004C4B3E"/>
    <w:rsid w:val="004C5AA1"/>
    <w:rsid w:val="004C600D"/>
    <w:rsid w:val="004C6374"/>
    <w:rsid w:val="004C64D0"/>
    <w:rsid w:val="004C683A"/>
    <w:rsid w:val="004C6B4F"/>
    <w:rsid w:val="004C6D63"/>
    <w:rsid w:val="004C6DF5"/>
    <w:rsid w:val="004C755F"/>
    <w:rsid w:val="004C79D9"/>
    <w:rsid w:val="004D0FA3"/>
    <w:rsid w:val="004D1629"/>
    <w:rsid w:val="004D25E2"/>
    <w:rsid w:val="004D2602"/>
    <w:rsid w:val="004D3A17"/>
    <w:rsid w:val="004D4AC2"/>
    <w:rsid w:val="004D5038"/>
    <w:rsid w:val="004D5710"/>
    <w:rsid w:val="004D5891"/>
    <w:rsid w:val="004D5EBD"/>
    <w:rsid w:val="004D6314"/>
    <w:rsid w:val="004D6A67"/>
    <w:rsid w:val="004D7312"/>
    <w:rsid w:val="004D7420"/>
    <w:rsid w:val="004D757A"/>
    <w:rsid w:val="004E054D"/>
    <w:rsid w:val="004E07DA"/>
    <w:rsid w:val="004E1454"/>
    <w:rsid w:val="004E234B"/>
    <w:rsid w:val="004E2921"/>
    <w:rsid w:val="004E2BC5"/>
    <w:rsid w:val="004E305F"/>
    <w:rsid w:val="004E3C85"/>
    <w:rsid w:val="004E3FB6"/>
    <w:rsid w:val="004E4100"/>
    <w:rsid w:val="004E41AF"/>
    <w:rsid w:val="004E4277"/>
    <w:rsid w:val="004E4F95"/>
    <w:rsid w:val="004E53FC"/>
    <w:rsid w:val="004E578F"/>
    <w:rsid w:val="004E596F"/>
    <w:rsid w:val="004E5A30"/>
    <w:rsid w:val="004E5CF5"/>
    <w:rsid w:val="004E750F"/>
    <w:rsid w:val="004E7540"/>
    <w:rsid w:val="004E7FC0"/>
    <w:rsid w:val="004F042A"/>
    <w:rsid w:val="004F05B8"/>
    <w:rsid w:val="004F1A7E"/>
    <w:rsid w:val="004F2B0B"/>
    <w:rsid w:val="004F2D06"/>
    <w:rsid w:val="004F2F35"/>
    <w:rsid w:val="004F3046"/>
    <w:rsid w:val="004F341C"/>
    <w:rsid w:val="004F3442"/>
    <w:rsid w:val="004F35EB"/>
    <w:rsid w:val="004F3723"/>
    <w:rsid w:val="004F38BC"/>
    <w:rsid w:val="004F3BE6"/>
    <w:rsid w:val="004F3D20"/>
    <w:rsid w:val="004F3F17"/>
    <w:rsid w:val="004F4978"/>
    <w:rsid w:val="004F4F47"/>
    <w:rsid w:val="004F56ED"/>
    <w:rsid w:val="004F5D56"/>
    <w:rsid w:val="004F5FA0"/>
    <w:rsid w:val="004F6045"/>
    <w:rsid w:val="004F6147"/>
    <w:rsid w:val="004F614F"/>
    <w:rsid w:val="004F69FE"/>
    <w:rsid w:val="004F752A"/>
    <w:rsid w:val="004F781C"/>
    <w:rsid w:val="004F7918"/>
    <w:rsid w:val="0050029F"/>
    <w:rsid w:val="0050084B"/>
    <w:rsid w:val="0050098F"/>
    <w:rsid w:val="00500CC6"/>
    <w:rsid w:val="0050145C"/>
    <w:rsid w:val="00501758"/>
    <w:rsid w:val="005020D3"/>
    <w:rsid w:val="005029A6"/>
    <w:rsid w:val="00503797"/>
    <w:rsid w:val="0050398F"/>
    <w:rsid w:val="00503C92"/>
    <w:rsid w:val="00503F6D"/>
    <w:rsid w:val="00504F8A"/>
    <w:rsid w:val="00505B35"/>
    <w:rsid w:val="005064B5"/>
    <w:rsid w:val="00506536"/>
    <w:rsid w:val="005067EB"/>
    <w:rsid w:val="00506B64"/>
    <w:rsid w:val="005111E1"/>
    <w:rsid w:val="00511F82"/>
    <w:rsid w:val="0051227C"/>
    <w:rsid w:val="0051254F"/>
    <w:rsid w:val="005130A1"/>
    <w:rsid w:val="00513B6A"/>
    <w:rsid w:val="00513E25"/>
    <w:rsid w:val="0051430B"/>
    <w:rsid w:val="005144B5"/>
    <w:rsid w:val="00514710"/>
    <w:rsid w:val="00515B13"/>
    <w:rsid w:val="005162F1"/>
    <w:rsid w:val="00516603"/>
    <w:rsid w:val="00516AD0"/>
    <w:rsid w:val="0051766E"/>
    <w:rsid w:val="0051788F"/>
    <w:rsid w:val="005205CA"/>
    <w:rsid w:val="00520C96"/>
    <w:rsid w:val="00521896"/>
    <w:rsid w:val="005219BF"/>
    <w:rsid w:val="00522928"/>
    <w:rsid w:val="005234BC"/>
    <w:rsid w:val="00523D53"/>
    <w:rsid w:val="00523F12"/>
    <w:rsid w:val="00523FCF"/>
    <w:rsid w:val="00524E9C"/>
    <w:rsid w:val="00525285"/>
    <w:rsid w:val="0052553B"/>
    <w:rsid w:val="00525BBB"/>
    <w:rsid w:val="00526118"/>
    <w:rsid w:val="00526346"/>
    <w:rsid w:val="005263EB"/>
    <w:rsid w:val="00526771"/>
    <w:rsid w:val="0052699C"/>
    <w:rsid w:val="0052700A"/>
    <w:rsid w:val="00527056"/>
    <w:rsid w:val="00527A5E"/>
    <w:rsid w:val="00527BA9"/>
    <w:rsid w:val="00527D95"/>
    <w:rsid w:val="00530166"/>
    <w:rsid w:val="00530771"/>
    <w:rsid w:val="00530783"/>
    <w:rsid w:val="00530833"/>
    <w:rsid w:val="00530DE9"/>
    <w:rsid w:val="00531C5F"/>
    <w:rsid w:val="005320EA"/>
    <w:rsid w:val="005327B6"/>
    <w:rsid w:val="0053625D"/>
    <w:rsid w:val="00536871"/>
    <w:rsid w:val="00536F59"/>
    <w:rsid w:val="00537507"/>
    <w:rsid w:val="00537A32"/>
    <w:rsid w:val="0054077E"/>
    <w:rsid w:val="00540889"/>
    <w:rsid w:val="00540997"/>
    <w:rsid w:val="005410A4"/>
    <w:rsid w:val="00541214"/>
    <w:rsid w:val="005412F3"/>
    <w:rsid w:val="0054133F"/>
    <w:rsid w:val="00541413"/>
    <w:rsid w:val="00541F64"/>
    <w:rsid w:val="00542F75"/>
    <w:rsid w:val="005431F0"/>
    <w:rsid w:val="005431FC"/>
    <w:rsid w:val="0054327C"/>
    <w:rsid w:val="005442D2"/>
    <w:rsid w:val="00544329"/>
    <w:rsid w:val="00544453"/>
    <w:rsid w:val="005446AA"/>
    <w:rsid w:val="00544DD3"/>
    <w:rsid w:val="00545215"/>
    <w:rsid w:val="00545E44"/>
    <w:rsid w:val="0054766B"/>
    <w:rsid w:val="005507D5"/>
    <w:rsid w:val="00550AA6"/>
    <w:rsid w:val="00550B24"/>
    <w:rsid w:val="005516BD"/>
    <w:rsid w:val="00552E58"/>
    <w:rsid w:val="005530E3"/>
    <w:rsid w:val="00553457"/>
    <w:rsid w:val="00553838"/>
    <w:rsid w:val="00553860"/>
    <w:rsid w:val="005539EC"/>
    <w:rsid w:val="00553A0B"/>
    <w:rsid w:val="00553E32"/>
    <w:rsid w:val="00554607"/>
    <w:rsid w:val="00554627"/>
    <w:rsid w:val="005547FF"/>
    <w:rsid w:val="00555E12"/>
    <w:rsid w:val="005563C9"/>
    <w:rsid w:val="005569F0"/>
    <w:rsid w:val="005572AA"/>
    <w:rsid w:val="0055735D"/>
    <w:rsid w:val="005574F9"/>
    <w:rsid w:val="00560031"/>
    <w:rsid w:val="00560624"/>
    <w:rsid w:val="00560894"/>
    <w:rsid w:val="005608D0"/>
    <w:rsid w:val="00560C38"/>
    <w:rsid w:val="00560DE2"/>
    <w:rsid w:val="00560FAC"/>
    <w:rsid w:val="005612D4"/>
    <w:rsid w:val="005613A3"/>
    <w:rsid w:val="005613A7"/>
    <w:rsid w:val="005619B7"/>
    <w:rsid w:val="00561A59"/>
    <w:rsid w:val="00561C1C"/>
    <w:rsid w:val="00562E3D"/>
    <w:rsid w:val="00563ADB"/>
    <w:rsid w:val="00563F75"/>
    <w:rsid w:val="005640EB"/>
    <w:rsid w:val="00565514"/>
    <w:rsid w:val="00565A6B"/>
    <w:rsid w:val="00565D96"/>
    <w:rsid w:val="00566845"/>
    <w:rsid w:val="00566EC1"/>
    <w:rsid w:val="00570584"/>
    <w:rsid w:val="00570871"/>
    <w:rsid w:val="00570DD9"/>
    <w:rsid w:val="005712D6"/>
    <w:rsid w:val="00571812"/>
    <w:rsid w:val="0057190F"/>
    <w:rsid w:val="00571DCD"/>
    <w:rsid w:val="0057218C"/>
    <w:rsid w:val="00572C81"/>
    <w:rsid w:val="00572E70"/>
    <w:rsid w:val="00572F0A"/>
    <w:rsid w:val="00573369"/>
    <w:rsid w:val="005739FF"/>
    <w:rsid w:val="00573AA7"/>
    <w:rsid w:val="00573C20"/>
    <w:rsid w:val="00574135"/>
    <w:rsid w:val="0057418A"/>
    <w:rsid w:val="0057459F"/>
    <w:rsid w:val="00574923"/>
    <w:rsid w:val="00574D59"/>
    <w:rsid w:val="00575C24"/>
    <w:rsid w:val="00576226"/>
    <w:rsid w:val="005762EA"/>
    <w:rsid w:val="005767AE"/>
    <w:rsid w:val="00580390"/>
    <w:rsid w:val="005817B2"/>
    <w:rsid w:val="005819F7"/>
    <w:rsid w:val="00581C35"/>
    <w:rsid w:val="00582102"/>
    <w:rsid w:val="0058214E"/>
    <w:rsid w:val="005824C6"/>
    <w:rsid w:val="00582674"/>
    <w:rsid w:val="0058271E"/>
    <w:rsid w:val="00582761"/>
    <w:rsid w:val="0058283F"/>
    <w:rsid w:val="00583296"/>
    <w:rsid w:val="00583930"/>
    <w:rsid w:val="00583BFE"/>
    <w:rsid w:val="00583D8A"/>
    <w:rsid w:val="005840EF"/>
    <w:rsid w:val="005845A3"/>
    <w:rsid w:val="005848F8"/>
    <w:rsid w:val="00584E2F"/>
    <w:rsid w:val="00585049"/>
    <w:rsid w:val="00585151"/>
    <w:rsid w:val="0058525B"/>
    <w:rsid w:val="00585C03"/>
    <w:rsid w:val="0058619F"/>
    <w:rsid w:val="00586637"/>
    <w:rsid w:val="00587C46"/>
    <w:rsid w:val="00587F56"/>
    <w:rsid w:val="00587FD9"/>
    <w:rsid w:val="00590065"/>
    <w:rsid w:val="0059008C"/>
    <w:rsid w:val="005908B9"/>
    <w:rsid w:val="00591265"/>
    <w:rsid w:val="00591283"/>
    <w:rsid w:val="005915A4"/>
    <w:rsid w:val="00591C3C"/>
    <w:rsid w:val="005924D3"/>
    <w:rsid w:val="005924F1"/>
    <w:rsid w:val="005925E3"/>
    <w:rsid w:val="00592A7A"/>
    <w:rsid w:val="0059304D"/>
    <w:rsid w:val="005933AE"/>
    <w:rsid w:val="00593554"/>
    <w:rsid w:val="00593F60"/>
    <w:rsid w:val="0059420C"/>
    <w:rsid w:val="00594579"/>
    <w:rsid w:val="00595156"/>
    <w:rsid w:val="00595677"/>
    <w:rsid w:val="00596322"/>
    <w:rsid w:val="00596832"/>
    <w:rsid w:val="00596CCB"/>
    <w:rsid w:val="00596DB6"/>
    <w:rsid w:val="00597753"/>
    <w:rsid w:val="00597BED"/>
    <w:rsid w:val="00597E6F"/>
    <w:rsid w:val="005A0203"/>
    <w:rsid w:val="005A052F"/>
    <w:rsid w:val="005A06BA"/>
    <w:rsid w:val="005A0EFC"/>
    <w:rsid w:val="005A1018"/>
    <w:rsid w:val="005A1099"/>
    <w:rsid w:val="005A12EF"/>
    <w:rsid w:val="005A1980"/>
    <w:rsid w:val="005A1A26"/>
    <w:rsid w:val="005A1C52"/>
    <w:rsid w:val="005A1F74"/>
    <w:rsid w:val="005A2593"/>
    <w:rsid w:val="005A3196"/>
    <w:rsid w:val="005A339E"/>
    <w:rsid w:val="005A408B"/>
    <w:rsid w:val="005A582B"/>
    <w:rsid w:val="005A5AD3"/>
    <w:rsid w:val="005A6F80"/>
    <w:rsid w:val="005A6FBA"/>
    <w:rsid w:val="005A7215"/>
    <w:rsid w:val="005A726F"/>
    <w:rsid w:val="005A7629"/>
    <w:rsid w:val="005A782E"/>
    <w:rsid w:val="005A791B"/>
    <w:rsid w:val="005A793B"/>
    <w:rsid w:val="005A79AE"/>
    <w:rsid w:val="005B0150"/>
    <w:rsid w:val="005B0489"/>
    <w:rsid w:val="005B0566"/>
    <w:rsid w:val="005B2054"/>
    <w:rsid w:val="005B2607"/>
    <w:rsid w:val="005B26FD"/>
    <w:rsid w:val="005B40A1"/>
    <w:rsid w:val="005B429E"/>
    <w:rsid w:val="005B44D0"/>
    <w:rsid w:val="005B4CD8"/>
    <w:rsid w:val="005B5B11"/>
    <w:rsid w:val="005B5DAB"/>
    <w:rsid w:val="005B5E15"/>
    <w:rsid w:val="005B60BD"/>
    <w:rsid w:val="005B6184"/>
    <w:rsid w:val="005B6837"/>
    <w:rsid w:val="005B78D4"/>
    <w:rsid w:val="005C0607"/>
    <w:rsid w:val="005C0A76"/>
    <w:rsid w:val="005C0BE5"/>
    <w:rsid w:val="005C0F51"/>
    <w:rsid w:val="005C11E6"/>
    <w:rsid w:val="005C152C"/>
    <w:rsid w:val="005C1F3B"/>
    <w:rsid w:val="005C208C"/>
    <w:rsid w:val="005C210A"/>
    <w:rsid w:val="005C2E67"/>
    <w:rsid w:val="005C35ED"/>
    <w:rsid w:val="005C35FA"/>
    <w:rsid w:val="005C3CEA"/>
    <w:rsid w:val="005C4122"/>
    <w:rsid w:val="005C4351"/>
    <w:rsid w:val="005C4D24"/>
    <w:rsid w:val="005C4DD7"/>
    <w:rsid w:val="005C539A"/>
    <w:rsid w:val="005C53BB"/>
    <w:rsid w:val="005C5ADF"/>
    <w:rsid w:val="005C5CAB"/>
    <w:rsid w:val="005C6F81"/>
    <w:rsid w:val="005C778A"/>
    <w:rsid w:val="005C794A"/>
    <w:rsid w:val="005C7B1F"/>
    <w:rsid w:val="005D00EF"/>
    <w:rsid w:val="005D05AF"/>
    <w:rsid w:val="005D0923"/>
    <w:rsid w:val="005D1184"/>
    <w:rsid w:val="005D12BF"/>
    <w:rsid w:val="005D14E9"/>
    <w:rsid w:val="005D1B75"/>
    <w:rsid w:val="005D1C71"/>
    <w:rsid w:val="005D1DA4"/>
    <w:rsid w:val="005D21A6"/>
    <w:rsid w:val="005D29D5"/>
    <w:rsid w:val="005D30B1"/>
    <w:rsid w:val="005D32CB"/>
    <w:rsid w:val="005D3E97"/>
    <w:rsid w:val="005D3EF3"/>
    <w:rsid w:val="005D4095"/>
    <w:rsid w:val="005D4641"/>
    <w:rsid w:val="005D49FF"/>
    <w:rsid w:val="005D4D0A"/>
    <w:rsid w:val="005D5695"/>
    <w:rsid w:val="005D63D6"/>
    <w:rsid w:val="005D77A0"/>
    <w:rsid w:val="005D7ED3"/>
    <w:rsid w:val="005E0862"/>
    <w:rsid w:val="005E0F9E"/>
    <w:rsid w:val="005E1375"/>
    <w:rsid w:val="005E147F"/>
    <w:rsid w:val="005E1CEB"/>
    <w:rsid w:val="005E2A30"/>
    <w:rsid w:val="005E2FF1"/>
    <w:rsid w:val="005E3850"/>
    <w:rsid w:val="005E39F3"/>
    <w:rsid w:val="005E3B89"/>
    <w:rsid w:val="005E3DEF"/>
    <w:rsid w:val="005E46C1"/>
    <w:rsid w:val="005E4C8F"/>
    <w:rsid w:val="005E4E97"/>
    <w:rsid w:val="005E4FA2"/>
    <w:rsid w:val="005E51C5"/>
    <w:rsid w:val="005E58D5"/>
    <w:rsid w:val="005E5C65"/>
    <w:rsid w:val="005E5DFA"/>
    <w:rsid w:val="005E682E"/>
    <w:rsid w:val="005E6F86"/>
    <w:rsid w:val="005E7479"/>
    <w:rsid w:val="005E7892"/>
    <w:rsid w:val="005F0245"/>
    <w:rsid w:val="005F0652"/>
    <w:rsid w:val="005F07BE"/>
    <w:rsid w:val="005F1146"/>
    <w:rsid w:val="005F352E"/>
    <w:rsid w:val="005F3CEA"/>
    <w:rsid w:val="005F4A97"/>
    <w:rsid w:val="005F4E85"/>
    <w:rsid w:val="005F546F"/>
    <w:rsid w:val="005F5479"/>
    <w:rsid w:val="005F5B32"/>
    <w:rsid w:val="005F62D7"/>
    <w:rsid w:val="005F66DC"/>
    <w:rsid w:val="005F731B"/>
    <w:rsid w:val="006002D9"/>
    <w:rsid w:val="006006C9"/>
    <w:rsid w:val="006013FB"/>
    <w:rsid w:val="00601BBE"/>
    <w:rsid w:val="00601F1A"/>
    <w:rsid w:val="00601FAB"/>
    <w:rsid w:val="00602746"/>
    <w:rsid w:val="0060294C"/>
    <w:rsid w:val="00603073"/>
    <w:rsid w:val="00603128"/>
    <w:rsid w:val="006031A0"/>
    <w:rsid w:val="0060359E"/>
    <w:rsid w:val="006036E2"/>
    <w:rsid w:val="006037C5"/>
    <w:rsid w:val="00603BCB"/>
    <w:rsid w:val="00603DE5"/>
    <w:rsid w:val="0060471F"/>
    <w:rsid w:val="0060483C"/>
    <w:rsid w:val="00604D4B"/>
    <w:rsid w:val="00604F87"/>
    <w:rsid w:val="006052B9"/>
    <w:rsid w:val="00605607"/>
    <w:rsid w:val="00605E4D"/>
    <w:rsid w:val="00606050"/>
    <w:rsid w:val="00606458"/>
    <w:rsid w:val="00606CC5"/>
    <w:rsid w:val="00606D2A"/>
    <w:rsid w:val="00607141"/>
    <w:rsid w:val="00607B23"/>
    <w:rsid w:val="00611189"/>
    <w:rsid w:val="006114F8"/>
    <w:rsid w:val="006125C5"/>
    <w:rsid w:val="0061276D"/>
    <w:rsid w:val="0061278B"/>
    <w:rsid w:val="00613A41"/>
    <w:rsid w:val="006144BB"/>
    <w:rsid w:val="006145A4"/>
    <w:rsid w:val="00614B54"/>
    <w:rsid w:val="00616900"/>
    <w:rsid w:val="00616ACC"/>
    <w:rsid w:val="00616B2A"/>
    <w:rsid w:val="0061744E"/>
    <w:rsid w:val="0061799E"/>
    <w:rsid w:val="00617CDA"/>
    <w:rsid w:val="006204D9"/>
    <w:rsid w:val="006205AD"/>
    <w:rsid w:val="00620CAC"/>
    <w:rsid w:val="00621934"/>
    <w:rsid w:val="00622007"/>
    <w:rsid w:val="00623C5C"/>
    <w:rsid w:val="00623D94"/>
    <w:rsid w:val="00623F1D"/>
    <w:rsid w:val="006240EA"/>
    <w:rsid w:val="00624B58"/>
    <w:rsid w:val="00624D93"/>
    <w:rsid w:val="006254B1"/>
    <w:rsid w:val="0062711B"/>
    <w:rsid w:val="00630007"/>
    <w:rsid w:val="006305AE"/>
    <w:rsid w:val="00630940"/>
    <w:rsid w:val="00630B6A"/>
    <w:rsid w:val="006312F7"/>
    <w:rsid w:val="00631585"/>
    <w:rsid w:val="006320CB"/>
    <w:rsid w:val="00632656"/>
    <w:rsid w:val="00632F67"/>
    <w:rsid w:val="00633CF5"/>
    <w:rsid w:val="006345ED"/>
    <w:rsid w:val="006345EE"/>
    <w:rsid w:val="00635387"/>
    <w:rsid w:val="00635D9C"/>
    <w:rsid w:val="00636367"/>
    <w:rsid w:val="00636BD8"/>
    <w:rsid w:val="00640005"/>
    <w:rsid w:val="0064043A"/>
    <w:rsid w:val="0064099A"/>
    <w:rsid w:val="00641758"/>
    <w:rsid w:val="00641C1A"/>
    <w:rsid w:val="00641DF1"/>
    <w:rsid w:val="00642B83"/>
    <w:rsid w:val="0064341D"/>
    <w:rsid w:val="006436ED"/>
    <w:rsid w:val="00643ACA"/>
    <w:rsid w:val="00645164"/>
    <w:rsid w:val="00645E35"/>
    <w:rsid w:val="006469A2"/>
    <w:rsid w:val="00646AB8"/>
    <w:rsid w:val="00646D0D"/>
    <w:rsid w:val="006471F9"/>
    <w:rsid w:val="0064782E"/>
    <w:rsid w:val="006507E9"/>
    <w:rsid w:val="00650822"/>
    <w:rsid w:val="00650A98"/>
    <w:rsid w:val="00652863"/>
    <w:rsid w:val="0065290E"/>
    <w:rsid w:val="00652921"/>
    <w:rsid w:val="00653C4B"/>
    <w:rsid w:val="00653D6D"/>
    <w:rsid w:val="00654978"/>
    <w:rsid w:val="006560A2"/>
    <w:rsid w:val="00656401"/>
    <w:rsid w:val="00656989"/>
    <w:rsid w:val="00656A0C"/>
    <w:rsid w:val="006572C7"/>
    <w:rsid w:val="006578FA"/>
    <w:rsid w:val="0066025F"/>
    <w:rsid w:val="0066047B"/>
    <w:rsid w:val="00660E13"/>
    <w:rsid w:val="0066141F"/>
    <w:rsid w:val="00661B9D"/>
    <w:rsid w:val="0066220A"/>
    <w:rsid w:val="00662A45"/>
    <w:rsid w:val="00662E8A"/>
    <w:rsid w:val="00663136"/>
    <w:rsid w:val="00663832"/>
    <w:rsid w:val="00663BB8"/>
    <w:rsid w:val="0066419D"/>
    <w:rsid w:val="0066434A"/>
    <w:rsid w:val="00664A82"/>
    <w:rsid w:val="0066555D"/>
    <w:rsid w:val="006655C3"/>
    <w:rsid w:val="00665844"/>
    <w:rsid w:val="006661AE"/>
    <w:rsid w:val="006661E7"/>
    <w:rsid w:val="006668DC"/>
    <w:rsid w:val="0066711D"/>
    <w:rsid w:val="006674AF"/>
    <w:rsid w:val="00667861"/>
    <w:rsid w:val="00667EF3"/>
    <w:rsid w:val="00667FEE"/>
    <w:rsid w:val="006701A1"/>
    <w:rsid w:val="006707CC"/>
    <w:rsid w:val="00670E7B"/>
    <w:rsid w:val="00670ECD"/>
    <w:rsid w:val="0067129B"/>
    <w:rsid w:val="00671D95"/>
    <w:rsid w:val="0067241E"/>
    <w:rsid w:val="00672AFD"/>
    <w:rsid w:val="00673BEE"/>
    <w:rsid w:val="006740EF"/>
    <w:rsid w:val="006746D0"/>
    <w:rsid w:val="00675115"/>
    <w:rsid w:val="00675FA0"/>
    <w:rsid w:val="00676A07"/>
    <w:rsid w:val="00677B79"/>
    <w:rsid w:val="00677FAC"/>
    <w:rsid w:val="00680B1F"/>
    <w:rsid w:val="00680E20"/>
    <w:rsid w:val="006810EF"/>
    <w:rsid w:val="00681D97"/>
    <w:rsid w:val="00681F24"/>
    <w:rsid w:val="006826D6"/>
    <w:rsid w:val="00682983"/>
    <w:rsid w:val="00682F41"/>
    <w:rsid w:val="00682F49"/>
    <w:rsid w:val="006838FF"/>
    <w:rsid w:val="00683AED"/>
    <w:rsid w:val="006840C7"/>
    <w:rsid w:val="0068441B"/>
    <w:rsid w:val="0068476F"/>
    <w:rsid w:val="00684C89"/>
    <w:rsid w:val="0068553C"/>
    <w:rsid w:val="00685567"/>
    <w:rsid w:val="006860EB"/>
    <w:rsid w:val="00686E4A"/>
    <w:rsid w:val="00686F72"/>
    <w:rsid w:val="0068744E"/>
    <w:rsid w:val="00687644"/>
    <w:rsid w:val="00687A58"/>
    <w:rsid w:val="00687CF6"/>
    <w:rsid w:val="00687D00"/>
    <w:rsid w:val="0069098B"/>
    <w:rsid w:val="006914F0"/>
    <w:rsid w:val="00691E08"/>
    <w:rsid w:val="00692724"/>
    <w:rsid w:val="00692FA9"/>
    <w:rsid w:val="006930F8"/>
    <w:rsid w:val="00693912"/>
    <w:rsid w:val="00693BDB"/>
    <w:rsid w:val="006940D3"/>
    <w:rsid w:val="006940F0"/>
    <w:rsid w:val="00694113"/>
    <w:rsid w:val="006949CD"/>
    <w:rsid w:val="00695C9D"/>
    <w:rsid w:val="006964AC"/>
    <w:rsid w:val="006966DF"/>
    <w:rsid w:val="006968F8"/>
    <w:rsid w:val="00697D39"/>
    <w:rsid w:val="006A0747"/>
    <w:rsid w:val="006A13E2"/>
    <w:rsid w:val="006A178A"/>
    <w:rsid w:val="006A18E6"/>
    <w:rsid w:val="006A1DBF"/>
    <w:rsid w:val="006A1F3C"/>
    <w:rsid w:val="006A2901"/>
    <w:rsid w:val="006A29F8"/>
    <w:rsid w:val="006A2DA4"/>
    <w:rsid w:val="006A31DF"/>
    <w:rsid w:val="006A55B0"/>
    <w:rsid w:val="006A5615"/>
    <w:rsid w:val="006A6C1F"/>
    <w:rsid w:val="006A728C"/>
    <w:rsid w:val="006A77AB"/>
    <w:rsid w:val="006A7D09"/>
    <w:rsid w:val="006B0557"/>
    <w:rsid w:val="006B059E"/>
    <w:rsid w:val="006B0723"/>
    <w:rsid w:val="006B0794"/>
    <w:rsid w:val="006B1043"/>
    <w:rsid w:val="006B14B4"/>
    <w:rsid w:val="006B1692"/>
    <w:rsid w:val="006B230A"/>
    <w:rsid w:val="006B25B8"/>
    <w:rsid w:val="006B37BB"/>
    <w:rsid w:val="006B3E1A"/>
    <w:rsid w:val="006B3F37"/>
    <w:rsid w:val="006B51B9"/>
    <w:rsid w:val="006B679F"/>
    <w:rsid w:val="006B68A7"/>
    <w:rsid w:val="006B6AD5"/>
    <w:rsid w:val="006B75B6"/>
    <w:rsid w:val="006B7772"/>
    <w:rsid w:val="006C0484"/>
    <w:rsid w:val="006C05A9"/>
    <w:rsid w:val="006C179E"/>
    <w:rsid w:val="006C1850"/>
    <w:rsid w:val="006C2DCD"/>
    <w:rsid w:val="006C3AB5"/>
    <w:rsid w:val="006C562C"/>
    <w:rsid w:val="006C57D9"/>
    <w:rsid w:val="006C61A8"/>
    <w:rsid w:val="006C65A0"/>
    <w:rsid w:val="006C68FB"/>
    <w:rsid w:val="006C6E7A"/>
    <w:rsid w:val="006C76C7"/>
    <w:rsid w:val="006C7C2E"/>
    <w:rsid w:val="006C7EC3"/>
    <w:rsid w:val="006D0793"/>
    <w:rsid w:val="006D0A2D"/>
    <w:rsid w:val="006D0F97"/>
    <w:rsid w:val="006D127D"/>
    <w:rsid w:val="006D1436"/>
    <w:rsid w:val="006D1FF9"/>
    <w:rsid w:val="006D22A2"/>
    <w:rsid w:val="006D348B"/>
    <w:rsid w:val="006D3522"/>
    <w:rsid w:val="006D3530"/>
    <w:rsid w:val="006D3751"/>
    <w:rsid w:val="006D4300"/>
    <w:rsid w:val="006D4415"/>
    <w:rsid w:val="006D47F4"/>
    <w:rsid w:val="006D5425"/>
    <w:rsid w:val="006D5683"/>
    <w:rsid w:val="006D60C9"/>
    <w:rsid w:val="006D7B59"/>
    <w:rsid w:val="006D7EAC"/>
    <w:rsid w:val="006E17E8"/>
    <w:rsid w:val="006E1A47"/>
    <w:rsid w:val="006E202A"/>
    <w:rsid w:val="006E566E"/>
    <w:rsid w:val="006E6232"/>
    <w:rsid w:val="006E6FDA"/>
    <w:rsid w:val="006E7361"/>
    <w:rsid w:val="006E737E"/>
    <w:rsid w:val="006E7CBD"/>
    <w:rsid w:val="006F003B"/>
    <w:rsid w:val="006F007B"/>
    <w:rsid w:val="006F130B"/>
    <w:rsid w:val="006F27E3"/>
    <w:rsid w:val="006F28FB"/>
    <w:rsid w:val="006F2DA1"/>
    <w:rsid w:val="006F316D"/>
    <w:rsid w:val="006F39CD"/>
    <w:rsid w:val="006F3BAC"/>
    <w:rsid w:val="006F3DAA"/>
    <w:rsid w:val="006F53B3"/>
    <w:rsid w:val="006F7DDF"/>
    <w:rsid w:val="00700123"/>
    <w:rsid w:val="007004A0"/>
    <w:rsid w:val="00700692"/>
    <w:rsid w:val="0070109F"/>
    <w:rsid w:val="00701447"/>
    <w:rsid w:val="007016D3"/>
    <w:rsid w:val="00701979"/>
    <w:rsid w:val="00701F65"/>
    <w:rsid w:val="007021DE"/>
    <w:rsid w:val="007023A5"/>
    <w:rsid w:val="007023F8"/>
    <w:rsid w:val="00702F78"/>
    <w:rsid w:val="00702F7F"/>
    <w:rsid w:val="00703C9A"/>
    <w:rsid w:val="00703E2E"/>
    <w:rsid w:val="00703FAC"/>
    <w:rsid w:val="0070489F"/>
    <w:rsid w:val="00704A0E"/>
    <w:rsid w:val="00705495"/>
    <w:rsid w:val="007055DE"/>
    <w:rsid w:val="007056E8"/>
    <w:rsid w:val="0070606F"/>
    <w:rsid w:val="007068CB"/>
    <w:rsid w:val="0070698D"/>
    <w:rsid w:val="00706A6B"/>
    <w:rsid w:val="00706F45"/>
    <w:rsid w:val="00706FCE"/>
    <w:rsid w:val="00707892"/>
    <w:rsid w:val="007104CC"/>
    <w:rsid w:val="007104DD"/>
    <w:rsid w:val="00710C50"/>
    <w:rsid w:val="00711196"/>
    <w:rsid w:val="00711B3F"/>
    <w:rsid w:val="00711C22"/>
    <w:rsid w:val="007121B4"/>
    <w:rsid w:val="00712320"/>
    <w:rsid w:val="00712886"/>
    <w:rsid w:val="0071340D"/>
    <w:rsid w:val="00714306"/>
    <w:rsid w:val="007150D4"/>
    <w:rsid w:val="0071614C"/>
    <w:rsid w:val="00716D7F"/>
    <w:rsid w:val="00717B75"/>
    <w:rsid w:val="00717ECB"/>
    <w:rsid w:val="00717FE8"/>
    <w:rsid w:val="007203E3"/>
    <w:rsid w:val="007203F0"/>
    <w:rsid w:val="00720C72"/>
    <w:rsid w:val="00720E6C"/>
    <w:rsid w:val="007213E4"/>
    <w:rsid w:val="0072163E"/>
    <w:rsid w:val="0072193D"/>
    <w:rsid w:val="00721998"/>
    <w:rsid w:val="00721D82"/>
    <w:rsid w:val="00723CE2"/>
    <w:rsid w:val="00723F70"/>
    <w:rsid w:val="00724E2D"/>
    <w:rsid w:val="0072578A"/>
    <w:rsid w:val="00726518"/>
    <w:rsid w:val="00726599"/>
    <w:rsid w:val="0072662E"/>
    <w:rsid w:val="00726A7E"/>
    <w:rsid w:val="00726CE0"/>
    <w:rsid w:val="007272A9"/>
    <w:rsid w:val="00730355"/>
    <w:rsid w:val="00730888"/>
    <w:rsid w:val="00730BAB"/>
    <w:rsid w:val="0073158E"/>
    <w:rsid w:val="0073172A"/>
    <w:rsid w:val="00732773"/>
    <w:rsid w:val="0073289F"/>
    <w:rsid w:val="00732EBC"/>
    <w:rsid w:val="00733672"/>
    <w:rsid w:val="0073379C"/>
    <w:rsid w:val="00733FFC"/>
    <w:rsid w:val="0073414D"/>
    <w:rsid w:val="00734289"/>
    <w:rsid w:val="007345C7"/>
    <w:rsid w:val="00735101"/>
    <w:rsid w:val="00735263"/>
    <w:rsid w:val="00735626"/>
    <w:rsid w:val="00735C2D"/>
    <w:rsid w:val="00735E52"/>
    <w:rsid w:val="00736733"/>
    <w:rsid w:val="0073687B"/>
    <w:rsid w:val="007371A6"/>
    <w:rsid w:val="00737264"/>
    <w:rsid w:val="00737BA6"/>
    <w:rsid w:val="007402CB"/>
    <w:rsid w:val="007409B2"/>
    <w:rsid w:val="00741510"/>
    <w:rsid w:val="007415A7"/>
    <w:rsid w:val="00743ADC"/>
    <w:rsid w:val="00744416"/>
    <w:rsid w:val="00744493"/>
    <w:rsid w:val="00744C97"/>
    <w:rsid w:val="00745217"/>
    <w:rsid w:val="007462EC"/>
    <w:rsid w:val="007463E6"/>
    <w:rsid w:val="00746589"/>
    <w:rsid w:val="0074663B"/>
    <w:rsid w:val="00747835"/>
    <w:rsid w:val="00747A0B"/>
    <w:rsid w:val="0075090A"/>
    <w:rsid w:val="00750B94"/>
    <w:rsid w:val="00751195"/>
    <w:rsid w:val="00751BBA"/>
    <w:rsid w:val="00751FBE"/>
    <w:rsid w:val="007522AF"/>
    <w:rsid w:val="007524B5"/>
    <w:rsid w:val="00752528"/>
    <w:rsid w:val="007533C9"/>
    <w:rsid w:val="007539CB"/>
    <w:rsid w:val="007544A9"/>
    <w:rsid w:val="0075460F"/>
    <w:rsid w:val="00755D9A"/>
    <w:rsid w:val="007560F8"/>
    <w:rsid w:val="00756B31"/>
    <w:rsid w:val="00756D76"/>
    <w:rsid w:val="00757425"/>
    <w:rsid w:val="007600C9"/>
    <w:rsid w:val="00761AC8"/>
    <w:rsid w:val="0076206F"/>
    <w:rsid w:val="00762606"/>
    <w:rsid w:val="00762CF0"/>
    <w:rsid w:val="00762F5F"/>
    <w:rsid w:val="007632E0"/>
    <w:rsid w:val="007637E0"/>
    <w:rsid w:val="00764453"/>
    <w:rsid w:val="00764801"/>
    <w:rsid w:val="00764C4A"/>
    <w:rsid w:val="0076515D"/>
    <w:rsid w:val="007655FA"/>
    <w:rsid w:val="007658E5"/>
    <w:rsid w:val="00765AA7"/>
    <w:rsid w:val="00766A81"/>
    <w:rsid w:val="00767451"/>
    <w:rsid w:val="007679EB"/>
    <w:rsid w:val="00770488"/>
    <w:rsid w:val="00770D94"/>
    <w:rsid w:val="00771631"/>
    <w:rsid w:val="00771F9B"/>
    <w:rsid w:val="0077261D"/>
    <w:rsid w:val="0077271B"/>
    <w:rsid w:val="00772ADE"/>
    <w:rsid w:val="007756C4"/>
    <w:rsid w:val="00775F72"/>
    <w:rsid w:val="0077621A"/>
    <w:rsid w:val="007762CD"/>
    <w:rsid w:val="007768E1"/>
    <w:rsid w:val="0077713B"/>
    <w:rsid w:val="00777290"/>
    <w:rsid w:val="007777C3"/>
    <w:rsid w:val="00777CF3"/>
    <w:rsid w:val="00777F49"/>
    <w:rsid w:val="00780273"/>
    <w:rsid w:val="00780956"/>
    <w:rsid w:val="0078155A"/>
    <w:rsid w:val="0078233F"/>
    <w:rsid w:val="00782D8F"/>
    <w:rsid w:val="00782F00"/>
    <w:rsid w:val="00782FC5"/>
    <w:rsid w:val="0078357E"/>
    <w:rsid w:val="0078385A"/>
    <w:rsid w:val="007839E7"/>
    <w:rsid w:val="007841FF"/>
    <w:rsid w:val="00784828"/>
    <w:rsid w:val="00785009"/>
    <w:rsid w:val="00785E26"/>
    <w:rsid w:val="00785EFF"/>
    <w:rsid w:val="00786556"/>
    <w:rsid w:val="00786824"/>
    <w:rsid w:val="0078724C"/>
    <w:rsid w:val="007872AD"/>
    <w:rsid w:val="007872E4"/>
    <w:rsid w:val="00787C9D"/>
    <w:rsid w:val="007906CA"/>
    <w:rsid w:val="00791503"/>
    <w:rsid w:val="00791FAF"/>
    <w:rsid w:val="00792289"/>
    <w:rsid w:val="00793054"/>
    <w:rsid w:val="0079347A"/>
    <w:rsid w:val="007934D4"/>
    <w:rsid w:val="007939BD"/>
    <w:rsid w:val="00793C16"/>
    <w:rsid w:val="00793FBD"/>
    <w:rsid w:val="00794198"/>
    <w:rsid w:val="00795610"/>
    <w:rsid w:val="00795792"/>
    <w:rsid w:val="00796AC3"/>
    <w:rsid w:val="00796C5E"/>
    <w:rsid w:val="0079775B"/>
    <w:rsid w:val="007977F9"/>
    <w:rsid w:val="007A0253"/>
    <w:rsid w:val="007A0692"/>
    <w:rsid w:val="007A0B62"/>
    <w:rsid w:val="007A11B0"/>
    <w:rsid w:val="007A1236"/>
    <w:rsid w:val="007A1816"/>
    <w:rsid w:val="007A1D32"/>
    <w:rsid w:val="007A1EA0"/>
    <w:rsid w:val="007A21A0"/>
    <w:rsid w:val="007A2A69"/>
    <w:rsid w:val="007A2A6F"/>
    <w:rsid w:val="007A39D3"/>
    <w:rsid w:val="007A3BDD"/>
    <w:rsid w:val="007A3E4D"/>
    <w:rsid w:val="007A4385"/>
    <w:rsid w:val="007A4506"/>
    <w:rsid w:val="007A50EE"/>
    <w:rsid w:val="007A55B9"/>
    <w:rsid w:val="007A57AE"/>
    <w:rsid w:val="007A5B4D"/>
    <w:rsid w:val="007A6285"/>
    <w:rsid w:val="007A6599"/>
    <w:rsid w:val="007A6E20"/>
    <w:rsid w:val="007A73DA"/>
    <w:rsid w:val="007A74B2"/>
    <w:rsid w:val="007B07C4"/>
    <w:rsid w:val="007B07E3"/>
    <w:rsid w:val="007B0982"/>
    <w:rsid w:val="007B0B94"/>
    <w:rsid w:val="007B11EC"/>
    <w:rsid w:val="007B1F57"/>
    <w:rsid w:val="007B2F7B"/>
    <w:rsid w:val="007B31E9"/>
    <w:rsid w:val="007B37DB"/>
    <w:rsid w:val="007B3EBC"/>
    <w:rsid w:val="007B43B6"/>
    <w:rsid w:val="007B4597"/>
    <w:rsid w:val="007B47A0"/>
    <w:rsid w:val="007B5174"/>
    <w:rsid w:val="007B5336"/>
    <w:rsid w:val="007B55C5"/>
    <w:rsid w:val="007B57D2"/>
    <w:rsid w:val="007B5E43"/>
    <w:rsid w:val="007B60DF"/>
    <w:rsid w:val="007B70FB"/>
    <w:rsid w:val="007B74DB"/>
    <w:rsid w:val="007B79AC"/>
    <w:rsid w:val="007B7A1A"/>
    <w:rsid w:val="007C0482"/>
    <w:rsid w:val="007C0D56"/>
    <w:rsid w:val="007C123C"/>
    <w:rsid w:val="007C1DC9"/>
    <w:rsid w:val="007C20FE"/>
    <w:rsid w:val="007C2678"/>
    <w:rsid w:val="007C3435"/>
    <w:rsid w:val="007C369F"/>
    <w:rsid w:val="007C376A"/>
    <w:rsid w:val="007C3E04"/>
    <w:rsid w:val="007C4A77"/>
    <w:rsid w:val="007C4D6B"/>
    <w:rsid w:val="007C55BE"/>
    <w:rsid w:val="007C5AB5"/>
    <w:rsid w:val="007C766F"/>
    <w:rsid w:val="007C7AD6"/>
    <w:rsid w:val="007C7C59"/>
    <w:rsid w:val="007C7DC7"/>
    <w:rsid w:val="007D01C5"/>
    <w:rsid w:val="007D0BB9"/>
    <w:rsid w:val="007D0D62"/>
    <w:rsid w:val="007D0E7B"/>
    <w:rsid w:val="007D10C0"/>
    <w:rsid w:val="007D17E9"/>
    <w:rsid w:val="007D2A26"/>
    <w:rsid w:val="007D33F7"/>
    <w:rsid w:val="007D40F5"/>
    <w:rsid w:val="007D41FB"/>
    <w:rsid w:val="007D4385"/>
    <w:rsid w:val="007D46D8"/>
    <w:rsid w:val="007D4892"/>
    <w:rsid w:val="007D48E9"/>
    <w:rsid w:val="007D5207"/>
    <w:rsid w:val="007D53CB"/>
    <w:rsid w:val="007D5857"/>
    <w:rsid w:val="007D5A2E"/>
    <w:rsid w:val="007D6F86"/>
    <w:rsid w:val="007D72EB"/>
    <w:rsid w:val="007D7CD6"/>
    <w:rsid w:val="007E0F37"/>
    <w:rsid w:val="007E0F8F"/>
    <w:rsid w:val="007E1DA1"/>
    <w:rsid w:val="007E317C"/>
    <w:rsid w:val="007E38F5"/>
    <w:rsid w:val="007E3DBA"/>
    <w:rsid w:val="007E3E82"/>
    <w:rsid w:val="007E4225"/>
    <w:rsid w:val="007E44F9"/>
    <w:rsid w:val="007E49AE"/>
    <w:rsid w:val="007E54D0"/>
    <w:rsid w:val="007E5E79"/>
    <w:rsid w:val="007E5ED9"/>
    <w:rsid w:val="007E5EDC"/>
    <w:rsid w:val="007E5F31"/>
    <w:rsid w:val="007E6646"/>
    <w:rsid w:val="007E6C51"/>
    <w:rsid w:val="007E7232"/>
    <w:rsid w:val="007E72AB"/>
    <w:rsid w:val="007F0378"/>
    <w:rsid w:val="007F0684"/>
    <w:rsid w:val="007F06B6"/>
    <w:rsid w:val="007F06E8"/>
    <w:rsid w:val="007F0AF8"/>
    <w:rsid w:val="007F1411"/>
    <w:rsid w:val="007F20F1"/>
    <w:rsid w:val="007F219A"/>
    <w:rsid w:val="007F3F16"/>
    <w:rsid w:val="007F43AE"/>
    <w:rsid w:val="007F4981"/>
    <w:rsid w:val="007F5AA1"/>
    <w:rsid w:val="007F5DA6"/>
    <w:rsid w:val="007F65DB"/>
    <w:rsid w:val="007F6761"/>
    <w:rsid w:val="007F6BC4"/>
    <w:rsid w:val="007F70D4"/>
    <w:rsid w:val="007F76B6"/>
    <w:rsid w:val="0080009A"/>
    <w:rsid w:val="00800120"/>
    <w:rsid w:val="0080073F"/>
    <w:rsid w:val="0080085D"/>
    <w:rsid w:val="00800E5E"/>
    <w:rsid w:val="0080155D"/>
    <w:rsid w:val="00801CB1"/>
    <w:rsid w:val="00802AA7"/>
    <w:rsid w:val="00802B43"/>
    <w:rsid w:val="00802B6F"/>
    <w:rsid w:val="00803A0C"/>
    <w:rsid w:val="00803ACE"/>
    <w:rsid w:val="008051E1"/>
    <w:rsid w:val="00805B99"/>
    <w:rsid w:val="00806A74"/>
    <w:rsid w:val="00806E9B"/>
    <w:rsid w:val="00806F6F"/>
    <w:rsid w:val="00807090"/>
    <w:rsid w:val="008071E0"/>
    <w:rsid w:val="00807926"/>
    <w:rsid w:val="00807A15"/>
    <w:rsid w:val="00807AB5"/>
    <w:rsid w:val="008100A2"/>
    <w:rsid w:val="008101CB"/>
    <w:rsid w:val="008103E2"/>
    <w:rsid w:val="0081040A"/>
    <w:rsid w:val="008107F5"/>
    <w:rsid w:val="00810E30"/>
    <w:rsid w:val="00810ED7"/>
    <w:rsid w:val="00810F19"/>
    <w:rsid w:val="0081355C"/>
    <w:rsid w:val="00813AEB"/>
    <w:rsid w:val="008146E1"/>
    <w:rsid w:val="00814CAD"/>
    <w:rsid w:val="00815D4E"/>
    <w:rsid w:val="00816EFC"/>
    <w:rsid w:val="00817D96"/>
    <w:rsid w:val="00817F9A"/>
    <w:rsid w:val="0082093A"/>
    <w:rsid w:val="00822459"/>
    <w:rsid w:val="008227FA"/>
    <w:rsid w:val="008229A2"/>
    <w:rsid w:val="00822BCB"/>
    <w:rsid w:val="008231C0"/>
    <w:rsid w:val="00823F22"/>
    <w:rsid w:val="0082443D"/>
    <w:rsid w:val="00824A9E"/>
    <w:rsid w:val="008254DF"/>
    <w:rsid w:val="00825EA0"/>
    <w:rsid w:val="00825F58"/>
    <w:rsid w:val="008268CF"/>
    <w:rsid w:val="00826C5B"/>
    <w:rsid w:val="008270EE"/>
    <w:rsid w:val="00827497"/>
    <w:rsid w:val="00827A1F"/>
    <w:rsid w:val="00827C4B"/>
    <w:rsid w:val="0083026B"/>
    <w:rsid w:val="00830BC7"/>
    <w:rsid w:val="00831472"/>
    <w:rsid w:val="00831689"/>
    <w:rsid w:val="008329FF"/>
    <w:rsid w:val="00832ECB"/>
    <w:rsid w:val="0083336A"/>
    <w:rsid w:val="00833526"/>
    <w:rsid w:val="008340EC"/>
    <w:rsid w:val="008347FA"/>
    <w:rsid w:val="00834B47"/>
    <w:rsid w:val="00835459"/>
    <w:rsid w:val="00837C41"/>
    <w:rsid w:val="00837C92"/>
    <w:rsid w:val="00837F0F"/>
    <w:rsid w:val="008416E5"/>
    <w:rsid w:val="0084210C"/>
    <w:rsid w:val="00842BBA"/>
    <w:rsid w:val="00842D41"/>
    <w:rsid w:val="00843029"/>
    <w:rsid w:val="00843420"/>
    <w:rsid w:val="00843B5D"/>
    <w:rsid w:val="008447D4"/>
    <w:rsid w:val="00845029"/>
    <w:rsid w:val="0084506C"/>
    <w:rsid w:val="008454BD"/>
    <w:rsid w:val="00845692"/>
    <w:rsid w:val="008463F3"/>
    <w:rsid w:val="00846D76"/>
    <w:rsid w:val="0085005F"/>
    <w:rsid w:val="0085062F"/>
    <w:rsid w:val="00850CB2"/>
    <w:rsid w:val="00851307"/>
    <w:rsid w:val="008515B1"/>
    <w:rsid w:val="00852508"/>
    <w:rsid w:val="00852E5B"/>
    <w:rsid w:val="00852EAC"/>
    <w:rsid w:val="00853677"/>
    <w:rsid w:val="008536B3"/>
    <w:rsid w:val="00853ACD"/>
    <w:rsid w:val="00853ACF"/>
    <w:rsid w:val="00853F1F"/>
    <w:rsid w:val="008544D3"/>
    <w:rsid w:val="00854659"/>
    <w:rsid w:val="008558A1"/>
    <w:rsid w:val="0085642F"/>
    <w:rsid w:val="008573AF"/>
    <w:rsid w:val="00857645"/>
    <w:rsid w:val="008577C4"/>
    <w:rsid w:val="00857A98"/>
    <w:rsid w:val="00857D80"/>
    <w:rsid w:val="008602FC"/>
    <w:rsid w:val="008607D5"/>
    <w:rsid w:val="00860989"/>
    <w:rsid w:val="00860CF9"/>
    <w:rsid w:val="008617FB"/>
    <w:rsid w:val="008622D3"/>
    <w:rsid w:val="0086257B"/>
    <w:rsid w:val="0086268A"/>
    <w:rsid w:val="008639A2"/>
    <w:rsid w:val="00863BBB"/>
    <w:rsid w:val="00863E4F"/>
    <w:rsid w:val="008640FD"/>
    <w:rsid w:val="0086426C"/>
    <w:rsid w:val="0086564F"/>
    <w:rsid w:val="00865681"/>
    <w:rsid w:val="0086583F"/>
    <w:rsid w:val="00866618"/>
    <w:rsid w:val="00866658"/>
    <w:rsid w:val="008666EF"/>
    <w:rsid w:val="00867B6B"/>
    <w:rsid w:val="0087032E"/>
    <w:rsid w:val="0087057E"/>
    <w:rsid w:val="00870AFC"/>
    <w:rsid w:val="008715CC"/>
    <w:rsid w:val="00872589"/>
    <w:rsid w:val="00872770"/>
    <w:rsid w:val="00873754"/>
    <w:rsid w:val="00873C68"/>
    <w:rsid w:val="00873CFE"/>
    <w:rsid w:val="008752FC"/>
    <w:rsid w:val="00875FA4"/>
    <w:rsid w:val="008763C8"/>
    <w:rsid w:val="00877D6E"/>
    <w:rsid w:val="00877E35"/>
    <w:rsid w:val="0088014E"/>
    <w:rsid w:val="00880BAB"/>
    <w:rsid w:val="00880BC0"/>
    <w:rsid w:val="0088130D"/>
    <w:rsid w:val="008817FF"/>
    <w:rsid w:val="00881D3D"/>
    <w:rsid w:val="00881E98"/>
    <w:rsid w:val="0088239C"/>
    <w:rsid w:val="00882745"/>
    <w:rsid w:val="008828F7"/>
    <w:rsid w:val="00882941"/>
    <w:rsid w:val="00882A65"/>
    <w:rsid w:val="00882E58"/>
    <w:rsid w:val="00882F87"/>
    <w:rsid w:val="008835B1"/>
    <w:rsid w:val="00883B3F"/>
    <w:rsid w:val="00884A5C"/>
    <w:rsid w:val="008851BE"/>
    <w:rsid w:val="00885538"/>
    <w:rsid w:val="00885691"/>
    <w:rsid w:val="0088600C"/>
    <w:rsid w:val="00886188"/>
    <w:rsid w:val="00887063"/>
    <w:rsid w:val="008874AA"/>
    <w:rsid w:val="00887F1B"/>
    <w:rsid w:val="00887FD1"/>
    <w:rsid w:val="008900CF"/>
    <w:rsid w:val="00890CE5"/>
    <w:rsid w:val="008917C0"/>
    <w:rsid w:val="00891CE4"/>
    <w:rsid w:val="008922CF"/>
    <w:rsid w:val="008923D1"/>
    <w:rsid w:val="008925B9"/>
    <w:rsid w:val="00892A4E"/>
    <w:rsid w:val="008937CB"/>
    <w:rsid w:val="0089427B"/>
    <w:rsid w:val="0089483C"/>
    <w:rsid w:val="00894A6B"/>
    <w:rsid w:val="00894A7F"/>
    <w:rsid w:val="00895E5A"/>
    <w:rsid w:val="00896EB4"/>
    <w:rsid w:val="00896F0D"/>
    <w:rsid w:val="00897502"/>
    <w:rsid w:val="008976C8"/>
    <w:rsid w:val="00897813"/>
    <w:rsid w:val="00897855"/>
    <w:rsid w:val="008A06A1"/>
    <w:rsid w:val="008A0E63"/>
    <w:rsid w:val="008A109A"/>
    <w:rsid w:val="008A173F"/>
    <w:rsid w:val="008A1EFD"/>
    <w:rsid w:val="008A2790"/>
    <w:rsid w:val="008A2C5D"/>
    <w:rsid w:val="008A3C32"/>
    <w:rsid w:val="008A3D8A"/>
    <w:rsid w:val="008A40AB"/>
    <w:rsid w:val="008A4EBA"/>
    <w:rsid w:val="008A4F57"/>
    <w:rsid w:val="008A52CE"/>
    <w:rsid w:val="008A574C"/>
    <w:rsid w:val="008A6A25"/>
    <w:rsid w:val="008A7D28"/>
    <w:rsid w:val="008B0BA7"/>
    <w:rsid w:val="008B0C78"/>
    <w:rsid w:val="008B1E06"/>
    <w:rsid w:val="008B1F77"/>
    <w:rsid w:val="008B20A4"/>
    <w:rsid w:val="008B284C"/>
    <w:rsid w:val="008B2EF5"/>
    <w:rsid w:val="008B2F1A"/>
    <w:rsid w:val="008B31AD"/>
    <w:rsid w:val="008B3278"/>
    <w:rsid w:val="008B331F"/>
    <w:rsid w:val="008B3A87"/>
    <w:rsid w:val="008B3C1F"/>
    <w:rsid w:val="008B3FAC"/>
    <w:rsid w:val="008B4243"/>
    <w:rsid w:val="008B4953"/>
    <w:rsid w:val="008B4B1A"/>
    <w:rsid w:val="008B4E19"/>
    <w:rsid w:val="008B4F72"/>
    <w:rsid w:val="008B5F58"/>
    <w:rsid w:val="008B60CB"/>
    <w:rsid w:val="008B6367"/>
    <w:rsid w:val="008B63AD"/>
    <w:rsid w:val="008B7546"/>
    <w:rsid w:val="008C0557"/>
    <w:rsid w:val="008C055E"/>
    <w:rsid w:val="008C0771"/>
    <w:rsid w:val="008C0845"/>
    <w:rsid w:val="008C15A7"/>
    <w:rsid w:val="008C1715"/>
    <w:rsid w:val="008C1779"/>
    <w:rsid w:val="008C1DC1"/>
    <w:rsid w:val="008C28B3"/>
    <w:rsid w:val="008C2B85"/>
    <w:rsid w:val="008C3591"/>
    <w:rsid w:val="008C3A88"/>
    <w:rsid w:val="008C3AC1"/>
    <w:rsid w:val="008C4EB8"/>
    <w:rsid w:val="008C61B0"/>
    <w:rsid w:val="008C6282"/>
    <w:rsid w:val="008C68A8"/>
    <w:rsid w:val="008C6FD3"/>
    <w:rsid w:val="008C70EB"/>
    <w:rsid w:val="008C7FA7"/>
    <w:rsid w:val="008D0065"/>
    <w:rsid w:val="008D0F7D"/>
    <w:rsid w:val="008D155D"/>
    <w:rsid w:val="008D15E6"/>
    <w:rsid w:val="008D19DB"/>
    <w:rsid w:val="008D229E"/>
    <w:rsid w:val="008D24C5"/>
    <w:rsid w:val="008D36D2"/>
    <w:rsid w:val="008D3FE4"/>
    <w:rsid w:val="008D415F"/>
    <w:rsid w:val="008D5506"/>
    <w:rsid w:val="008D56FC"/>
    <w:rsid w:val="008D5DAB"/>
    <w:rsid w:val="008D6641"/>
    <w:rsid w:val="008D6847"/>
    <w:rsid w:val="008D6968"/>
    <w:rsid w:val="008D6B22"/>
    <w:rsid w:val="008D6C68"/>
    <w:rsid w:val="008D71F3"/>
    <w:rsid w:val="008D7AFD"/>
    <w:rsid w:val="008D7E3E"/>
    <w:rsid w:val="008D7EA6"/>
    <w:rsid w:val="008D7FCC"/>
    <w:rsid w:val="008E0029"/>
    <w:rsid w:val="008E01BA"/>
    <w:rsid w:val="008E0219"/>
    <w:rsid w:val="008E0253"/>
    <w:rsid w:val="008E0C73"/>
    <w:rsid w:val="008E0DE2"/>
    <w:rsid w:val="008E1746"/>
    <w:rsid w:val="008E1CA4"/>
    <w:rsid w:val="008E2BCC"/>
    <w:rsid w:val="008E5A4E"/>
    <w:rsid w:val="008E6A58"/>
    <w:rsid w:val="008E6D37"/>
    <w:rsid w:val="008E6F6B"/>
    <w:rsid w:val="008E7155"/>
    <w:rsid w:val="008E71FB"/>
    <w:rsid w:val="008E7365"/>
    <w:rsid w:val="008E7A5B"/>
    <w:rsid w:val="008E7F33"/>
    <w:rsid w:val="008F0248"/>
    <w:rsid w:val="008F07B8"/>
    <w:rsid w:val="008F0932"/>
    <w:rsid w:val="008F0EF5"/>
    <w:rsid w:val="008F0FE8"/>
    <w:rsid w:val="008F1238"/>
    <w:rsid w:val="008F232D"/>
    <w:rsid w:val="008F257A"/>
    <w:rsid w:val="008F35D9"/>
    <w:rsid w:val="008F3793"/>
    <w:rsid w:val="008F438C"/>
    <w:rsid w:val="008F525C"/>
    <w:rsid w:val="008F540C"/>
    <w:rsid w:val="008F6060"/>
    <w:rsid w:val="008F6426"/>
    <w:rsid w:val="008F6B8B"/>
    <w:rsid w:val="008F77B4"/>
    <w:rsid w:val="00900B52"/>
    <w:rsid w:val="00900C3B"/>
    <w:rsid w:val="0090146E"/>
    <w:rsid w:val="00901E4D"/>
    <w:rsid w:val="00901F1F"/>
    <w:rsid w:val="00902957"/>
    <w:rsid w:val="00902C22"/>
    <w:rsid w:val="00903424"/>
    <w:rsid w:val="00903553"/>
    <w:rsid w:val="00903D84"/>
    <w:rsid w:val="00904206"/>
    <w:rsid w:val="009042F1"/>
    <w:rsid w:val="009047F2"/>
    <w:rsid w:val="00905456"/>
    <w:rsid w:val="0090621C"/>
    <w:rsid w:val="00906618"/>
    <w:rsid w:val="00906C4A"/>
    <w:rsid w:val="00907C2A"/>
    <w:rsid w:val="00910866"/>
    <w:rsid w:val="009110AD"/>
    <w:rsid w:val="009111CC"/>
    <w:rsid w:val="009114FF"/>
    <w:rsid w:val="00911888"/>
    <w:rsid w:val="00911A79"/>
    <w:rsid w:val="00911D8B"/>
    <w:rsid w:val="009127CC"/>
    <w:rsid w:val="009130D1"/>
    <w:rsid w:val="009158B9"/>
    <w:rsid w:val="00915FE3"/>
    <w:rsid w:val="0091620A"/>
    <w:rsid w:val="00916863"/>
    <w:rsid w:val="00917458"/>
    <w:rsid w:val="00917BB3"/>
    <w:rsid w:val="0092096D"/>
    <w:rsid w:val="00921B73"/>
    <w:rsid w:val="00921E56"/>
    <w:rsid w:val="009221ED"/>
    <w:rsid w:val="0092259C"/>
    <w:rsid w:val="00923187"/>
    <w:rsid w:val="00926F12"/>
    <w:rsid w:val="00927309"/>
    <w:rsid w:val="00927DE3"/>
    <w:rsid w:val="00930212"/>
    <w:rsid w:val="00930591"/>
    <w:rsid w:val="00930609"/>
    <w:rsid w:val="00930B72"/>
    <w:rsid w:val="0093196E"/>
    <w:rsid w:val="00931A58"/>
    <w:rsid w:val="00931C19"/>
    <w:rsid w:val="0093207F"/>
    <w:rsid w:val="00932113"/>
    <w:rsid w:val="00932239"/>
    <w:rsid w:val="00932AD7"/>
    <w:rsid w:val="00932E71"/>
    <w:rsid w:val="0093456C"/>
    <w:rsid w:val="00934640"/>
    <w:rsid w:val="009352C5"/>
    <w:rsid w:val="00935534"/>
    <w:rsid w:val="0093562F"/>
    <w:rsid w:val="00935F61"/>
    <w:rsid w:val="009360BB"/>
    <w:rsid w:val="00936B1F"/>
    <w:rsid w:val="009379F0"/>
    <w:rsid w:val="00937A14"/>
    <w:rsid w:val="00937A67"/>
    <w:rsid w:val="00940946"/>
    <w:rsid w:val="00942B2E"/>
    <w:rsid w:val="00942D2B"/>
    <w:rsid w:val="009431F7"/>
    <w:rsid w:val="00943238"/>
    <w:rsid w:val="00943CFE"/>
    <w:rsid w:val="00943E5A"/>
    <w:rsid w:val="00943F96"/>
    <w:rsid w:val="00943FA2"/>
    <w:rsid w:val="0094494D"/>
    <w:rsid w:val="00944E59"/>
    <w:rsid w:val="00945225"/>
    <w:rsid w:val="00945401"/>
    <w:rsid w:val="009459F4"/>
    <w:rsid w:val="00945ABE"/>
    <w:rsid w:val="00945E58"/>
    <w:rsid w:val="00946127"/>
    <w:rsid w:val="00946907"/>
    <w:rsid w:val="00950CAE"/>
    <w:rsid w:val="009512EC"/>
    <w:rsid w:val="009519A8"/>
    <w:rsid w:val="00951D65"/>
    <w:rsid w:val="00952499"/>
    <w:rsid w:val="0095315A"/>
    <w:rsid w:val="009534DD"/>
    <w:rsid w:val="0095356B"/>
    <w:rsid w:val="009535C2"/>
    <w:rsid w:val="00953A73"/>
    <w:rsid w:val="00954926"/>
    <w:rsid w:val="00954D5A"/>
    <w:rsid w:val="009551A8"/>
    <w:rsid w:val="00955645"/>
    <w:rsid w:val="00956510"/>
    <w:rsid w:val="00956B6C"/>
    <w:rsid w:val="00957B5B"/>
    <w:rsid w:val="009601CB"/>
    <w:rsid w:val="0096059A"/>
    <w:rsid w:val="0096081E"/>
    <w:rsid w:val="00960D39"/>
    <w:rsid w:val="00960F7E"/>
    <w:rsid w:val="00961022"/>
    <w:rsid w:val="009611A5"/>
    <w:rsid w:val="0096193B"/>
    <w:rsid w:val="00961BC2"/>
    <w:rsid w:val="00963188"/>
    <w:rsid w:val="00963240"/>
    <w:rsid w:val="00963B82"/>
    <w:rsid w:val="00964475"/>
    <w:rsid w:val="0096456D"/>
    <w:rsid w:val="00964A6E"/>
    <w:rsid w:val="00964FB4"/>
    <w:rsid w:val="00965084"/>
    <w:rsid w:val="0096516C"/>
    <w:rsid w:val="009666BD"/>
    <w:rsid w:val="0096670E"/>
    <w:rsid w:val="00966BFB"/>
    <w:rsid w:val="00967CDA"/>
    <w:rsid w:val="00970048"/>
    <w:rsid w:val="009701AF"/>
    <w:rsid w:val="00971366"/>
    <w:rsid w:val="00971831"/>
    <w:rsid w:val="0097216D"/>
    <w:rsid w:val="00972C88"/>
    <w:rsid w:val="00972D8F"/>
    <w:rsid w:val="0097396E"/>
    <w:rsid w:val="00973C2B"/>
    <w:rsid w:val="0097437B"/>
    <w:rsid w:val="0097441E"/>
    <w:rsid w:val="0097529C"/>
    <w:rsid w:val="00975680"/>
    <w:rsid w:val="00975FB0"/>
    <w:rsid w:val="009762C7"/>
    <w:rsid w:val="0097670F"/>
    <w:rsid w:val="00976C61"/>
    <w:rsid w:val="009776B1"/>
    <w:rsid w:val="00977E1E"/>
    <w:rsid w:val="009803E7"/>
    <w:rsid w:val="009803EC"/>
    <w:rsid w:val="00981215"/>
    <w:rsid w:val="009812FC"/>
    <w:rsid w:val="009813BF"/>
    <w:rsid w:val="00981987"/>
    <w:rsid w:val="009819CD"/>
    <w:rsid w:val="00982C0D"/>
    <w:rsid w:val="009832E2"/>
    <w:rsid w:val="00983D98"/>
    <w:rsid w:val="00983F22"/>
    <w:rsid w:val="009844B4"/>
    <w:rsid w:val="0098453B"/>
    <w:rsid w:val="00984D82"/>
    <w:rsid w:val="0098572B"/>
    <w:rsid w:val="00985CDA"/>
    <w:rsid w:val="0098603A"/>
    <w:rsid w:val="00986137"/>
    <w:rsid w:val="009865B1"/>
    <w:rsid w:val="00986B96"/>
    <w:rsid w:val="0098740B"/>
    <w:rsid w:val="00987C6F"/>
    <w:rsid w:val="0099018C"/>
    <w:rsid w:val="00990708"/>
    <w:rsid w:val="00990C3D"/>
    <w:rsid w:val="009915EB"/>
    <w:rsid w:val="0099199D"/>
    <w:rsid w:val="00991B9A"/>
    <w:rsid w:val="00993499"/>
    <w:rsid w:val="009934DB"/>
    <w:rsid w:val="009939CB"/>
    <w:rsid w:val="00993D95"/>
    <w:rsid w:val="009940EA"/>
    <w:rsid w:val="009948FE"/>
    <w:rsid w:val="00995756"/>
    <w:rsid w:val="00997125"/>
    <w:rsid w:val="009A0208"/>
    <w:rsid w:val="009A09C0"/>
    <w:rsid w:val="009A0B05"/>
    <w:rsid w:val="009A17B5"/>
    <w:rsid w:val="009A1B80"/>
    <w:rsid w:val="009A21EE"/>
    <w:rsid w:val="009A253B"/>
    <w:rsid w:val="009A3C6E"/>
    <w:rsid w:val="009A4532"/>
    <w:rsid w:val="009A640C"/>
    <w:rsid w:val="009A6974"/>
    <w:rsid w:val="009A6A04"/>
    <w:rsid w:val="009A6A34"/>
    <w:rsid w:val="009A6FB1"/>
    <w:rsid w:val="009A78A6"/>
    <w:rsid w:val="009B01AE"/>
    <w:rsid w:val="009B0346"/>
    <w:rsid w:val="009B04F2"/>
    <w:rsid w:val="009B0A43"/>
    <w:rsid w:val="009B0DBE"/>
    <w:rsid w:val="009B123D"/>
    <w:rsid w:val="009B1462"/>
    <w:rsid w:val="009B1C1B"/>
    <w:rsid w:val="009B1E55"/>
    <w:rsid w:val="009B1EB7"/>
    <w:rsid w:val="009B21E5"/>
    <w:rsid w:val="009B35BF"/>
    <w:rsid w:val="009B4B37"/>
    <w:rsid w:val="009B4C3E"/>
    <w:rsid w:val="009B4D2F"/>
    <w:rsid w:val="009B5038"/>
    <w:rsid w:val="009B56BE"/>
    <w:rsid w:val="009B573C"/>
    <w:rsid w:val="009B6E0F"/>
    <w:rsid w:val="009B6FC0"/>
    <w:rsid w:val="009B7356"/>
    <w:rsid w:val="009B7A8A"/>
    <w:rsid w:val="009B7E1C"/>
    <w:rsid w:val="009C099B"/>
    <w:rsid w:val="009C0B86"/>
    <w:rsid w:val="009C1604"/>
    <w:rsid w:val="009C1ADB"/>
    <w:rsid w:val="009C3452"/>
    <w:rsid w:val="009C37BF"/>
    <w:rsid w:val="009C398A"/>
    <w:rsid w:val="009C4676"/>
    <w:rsid w:val="009C4DCF"/>
    <w:rsid w:val="009C5C73"/>
    <w:rsid w:val="009C5FC3"/>
    <w:rsid w:val="009C60E9"/>
    <w:rsid w:val="009C65B1"/>
    <w:rsid w:val="009C6629"/>
    <w:rsid w:val="009C6DDC"/>
    <w:rsid w:val="009C6E65"/>
    <w:rsid w:val="009C758C"/>
    <w:rsid w:val="009C7896"/>
    <w:rsid w:val="009D0530"/>
    <w:rsid w:val="009D0C23"/>
    <w:rsid w:val="009D0CF4"/>
    <w:rsid w:val="009D0D52"/>
    <w:rsid w:val="009D0E1C"/>
    <w:rsid w:val="009D140A"/>
    <w:rsid w:val="009D1A74"/>
    <w:rsid w:val="009D2988"/>
    <w:rsid w:val="009D2B87"/>
    <w:rsid w:val="009D3160"/>
    <w:rsid w:val="009D39E1"/>
    <w:rsid w:val="009D3D90"/>
    <w:rsid w:val="009D43C4"/>
    <w:rsid w:val="009D4C5D"/>
    <w:rsid w:val="009D645F"/>
    <w:rsid w:val="009D6D3F"/>
    <w:rsid w:val="009D7206"/>
    <w:rsid w:val="009D7410"/>
    <w:rsid w:val="009D7601"/>
    <w:rsid w:val="009D7622"/>
    <w:rsid w:val="009D7D34"/>
    <w:rsid w:val="009E075E"/>
    <w:rsid w:val="009E1908"/>
    <w:rsid w:val="009E2463"/>
    <w:rsid w:val="009E24F0"/>
    <w:rsid w:val="009E2B4C"/>
    <w:rsid w:val="009E2C55"/>
    <w:rsid w:val="009E2E3F"/>
    <w:rsid w:val="009E2EA8"/>
    <w:rsid w:val="009E2FAC"/>
    <w:rsid w:val="009E3197"/>
    <w:rsid w:val="009E3A1D"/>
    <w:rsid w:val="009E44A4"/>
    <w:rsid w:val="009E4A34"/>
    <w:rsid w:val="009E4D58"/>
    <w:rsid w:val="009E4E3B"/>
    <w:rsid w:val="009E5198"/>
    <w:rsid w:val="009E59F4"/>
    <w:rsid w:val="009E5A45"/>
    <w:rsid w:val="009E6113"/>
    <w:rsid w:val="009E61B0"/>
    <w:rsid w:val="009E63F0"/>
    <w:rsid w:val="009E6B44"/>
    <w:rsid w:val="009E7BCD"/>
    <w:rsid w:val="009F012F"/>
    <w:rsid w:val="009F016E"/>
    <w:rsid w:val="009F056D"/>
    <w:rsid w:val="009F05AC"/>
    <w:rsid w:val="009F086C"/>
    <w:rsid w:val="009F1443"/>
    <w:rsid w:val="009F14F3"/>
    <w:rsid w:val="009F1544"/>
    <w:rsid w:val="009F1778"/>
    <w:rsid w:val="009F1EEE"/>
    <w:rsid w:val="009F239C"/>
    <w:rsid w:val="009F2545"/>
    <w:rsid w:val="009F2E88"/>
    <w:rsid w:val="009F4825"/>
    <w:rsid w:val="009F49FF"/>
    <w:rsid w:val="009F5B77"/>
    <w:rsid w:val="009F5CE6"/>
    <w:rsid w:val="009F60E0"/>
    <w:rsid w:val="009F6125"/>
    <w:rsid w:val="009F68A3"/>
    <w:rsid w:val="009F6B75"/>
    <w:rsid w:val="009F6C90"/>
    <w:rsid w:val="009F73D9"/>
    <w:rsid w:val="009F74DB"/>
    <w:rsid w:val="009F77DF"/>
    <w:rsid w:val="009F7813"/>
    <w:rsid w:val="009F78B6"/>
    <w:rsid w:val="00A00221"/>
    <w:rsid w:val="00A00437"/>
    <w:rsid w:val="00A00AB9"/>
    <w:rsid w:val="00A00DDA"/>
    <w:rsid w:val="00A01057"/>
    <w:rsid w:val="00A01385"/>
    <w:rsid w:val="00A01B4F"/>
    <w:rsid w:val="00A01B9D"/>
    <w:rsid w:val="00A02C0A"/>
    <w:rsid w:val="00A03652"/>
    <w:rsid w:val="00A03A2A"/>
    <w:rsid w:val="00A03B1A"/>
    <w:rsid w:val="00A03D17"/>
    <w:rsid w:val="00A04482"/>
    <w:rsid w:val="00A0480E"/>
    <w:rsid w:val="00A04844"/>
    <w:rsid w:val="00A04B36"/>
    <w:rsid w:val="00A050B2"/>
    <w:rsid w:val="00A05EC4"/>
    <w:rsid w:val="00A064E2"/>
    <w:rsid w:val="00A06ED8"/>
    <w:rsid w:val="00A07570"/>
    <w:rsid w:val="00A07B75"/>
    <w:rsid w:val="00A10103"/>
    <w:rsid w:val="00A104EC"/>
    <w:rsid w:val="00A11137"/>
    <w:rsid w:val="00A111EA"/>
    <w:rsid w:val="00A1135E"/>
    <w:rsid w:val="00A11447"/>
    <w:rsid w:val="00A11B67"/>
    <w:rsid w:val="00A11DEE"/>
    <w:rsid w:val="00A12996"/>
    <w:rsid w:val="00A12B28"/>
    <w:rsid w:val="00A12F3C"/>
    <w:rsid w:val="00A138E4"/>
    <w:rsid w:val="00A13EAB"/>
    <w:rsid w:val="00A143DD"/>
    <w:rsid w:val="00A162DF"/>
    <w:rsid w:val="00A16324"/>
    <w:rsid w:val="00A17013"/>
    <w:rsid w:val="00A175C6"/>
    <w:rsid w:val="00A178DD"/>
    <w:rsid w:val="00A17AF1"/>
    <w:rsid w:val="00A17B4D"/>
    <w:rsid w:val="00A17B91"/>
    <w:rsid w:val="00A17ED1"/>
    <w:rsid w:val="00A20220"/>
    <w:rsid w:val="00A20CAE"/>
    <w:rsid w:val="00A21440"/>
    <w:rsid w:val="00A216BF"/>
    <w:rsid w:val="00A21A99"/>
    <w:rsid w:val="00A21BFD"/>
    <w:rsid w:val="00A21C7C"/>
    <w:rsid w:val="00A22E21"/>
    <w:rsid w:val="00A22FBA"/>
    <w:rsid w:val="00A23269"/>
    <w:rsid w:val="00A23F95"/>
    <w:rsid w:val="00A25E6E"/>
    <w:rsid w:val="00A26462"/>
    <w:rsid w:val="00A265C3"/>
    <w:rsid w:val="00A26700"/>
    <w:rsid w:val="00A26B21"/>
    <w:rsid w:val="00A274E2"/>
    <w:rsid w:val="00A30B97"/>
    <w:rsid w:val="00A30BDB"/>
    <w:rsid w:val="00A31193"/>
    <w:rsid w:val="00A312FC"/>
    <w:rsid w:val="00A31F9A"/>
    <w:rsid w:val="00A3288D"/>
    <w:rsid w:val="00A32CA4"/>
    <w:rsid w:val="00A32D72"/>
    <w:rsid w:val="00A3307A"/>
    <w:rsid w:val="00A33B96"/>
    <w:rsid w:val="00A34BDA"/>
    <w:rsid w:val="00A358DC"/>
    <w:rsid w:val="00A362FE"/>
    <w:rsid w:val="00A37A3E"/>
    <w:rsid w:val="00A4164A"/>
    <w:rsid w:val="00A4189A"/>
    <w:rsid w:val="00A41C3D"/>
    <w:rsid w:val="00A41F2E"/>
    <w:rsid w:val="00A4265F"/>
    <w:rsid w:val="00A432A0"/>
    <w:rsid w:val="00A4354B"/>
    <w:rsid w:val="00A43EDD"/>
    <w:rsid w:val="00A43F0A"/>
    <w:rsid w:val="00A43FF9"/>
    <w:rsid w:val="00A4404B"/>
    <w:rsid w:val="00A44085"/>
    <w:rsid w:val="00A44220"/>
    <w:rsid w:val="00A465E9"/>
    <w:rsid w:val="00A46A4B"/>
    <w:rsid w:val="00A47774"/>
    <w:rsid w:val="00A47BC1"/>
    <w:rsid w:val="00A50899"/>
    <w:rsid w:val="00A508F1"/>
    <w:rsid w:val="00A50B69"/>
    <w:rsid w:val="00A512A2"/>
    <w:rsid w:val="00A5216F"/>
    <w:rsid w:val="00A52254"/>
    <w:rsid w:val="00A52401"/>
    <w:rsid w:val="00A5287D"/>
    <w:rsid w:val="00A539C0"/>
    <w:rsid w:val="00A550F7"/>
    <w:rsid w:val="00A559A4"/>
    <w:rsid w:val="00A55E33"/>
    <w:rsid w:val="00A562BE"/>
    <w:rsid w:val="00A56A4F"/>
    <w:rsid w:val="00A56DDE"/>
    <w:rsid w:val="00A5787F"/>
    <w:rsid w:val="00A57E73"/>
    <w:rsid w:val="00A60436"/>
    <w:rsid w:val="00A607D9"/>
    <w:rsid w:val="00A60C3A"/>
    <w:rsid w:val="00A619C8"/>
    <w:rsid w:val="00A621B7"/>
    <w:rsid w:val="00A63037"/>
    <w:rsid w:val="00A6323E"/>
    <w:rsid w:val="00A637A2"/>
    <w:rsid w:val="00A63AF3"/>
    <w:rsid w:val="00A6419E"/>
    <w:rsid w:val="00A64E8C"/>
    <w:rsid w:val="00A64EF8"/>
    <w:rsid w:val="00A65894"/>
    <w:rsid w:val="00A65E01"/>
    <w:rsid w:val="00A664B6"/>
    <w:rsid w:val="00A6677B"/>
    <w:rsid w:val="00A67643"/>
    <w:rsid w:val="00A6771B"/>
    <w:rsid w:val="00A67D1C"/>
    <w:rsid w:val="00A710AC"/>
    <w:rsid w:val="00A717AD"/>
    <w:rsid w:val="00A7186E"/>
    <w:rsid w:val="00A71FC9"/>
    <w:rsid w:val="00A725DB"/>
    <w:rsid w:val="00A7275A"/>
    <w:rsid w:val="00A73738"/>
    <w:rsid w:val="00A73D7C"/>
    <w:rsid w:val="00A73E8F"/>
    <w:rsid w:val="00A747DC"/>
    <w:rsid w:val="00A74904"/>
    <w:rsid w:val="00A74B57"/>
    <w:rsid w:val="00A74D4E"/>
    <w:rsid w:val="00A74E90"/>
    <w:rsid w:val="00A7511E"/>
    <w:rsid w:val="00A753BD"/>
    <w:rsid w:val="00A761EE"/>
    <w:rsid w:val="00A76B33"/>
    <w:rsid w:val="00A77933"/>
    <w:rsid w:val="00A77F98"/>
    <w:rsid w:val="00A80813"/>
    <w:rsid w:val="00A80EA4"/>
    <w:rsid w:val="00A81446"/>
    <w:rsid w:val="00A819BA"/>
    <w:rsid w:val="00A819DD"/>
    <w:rsid w:val="00A81C95"/>
    <w:rsid w:val="00A83A16"/>
    <w:rsid w:val="00A83CA5"/>
    <w:rsid w:val="00A83FDA"/>
    <w:rsid w:val="00A84336"/>
    <w:rsid w:val="00A84863"/>
    <w:rsid w:val="00A84EBD"/>
    <w:rsid w:val="00A84EDD"/>
    <w:rsid w:val="00A84F34"/>
    <w:rsid w:val="00A850D0"/>
    <w:rsid w:val="00A85382"/>
    <w:rsid w:val="00A85880"/>
    <w:rsid w:val="00A8620E"/>
    <w:rsid w:val="00A864E9"/>
    <w:rsid w:val="00A86CC9"/>
    <w:rsid w:val="00A86EAC"/>
    <w:rsid w:val="00A87906"/>
    <w:rsid w:val="00A87958"/>
    <w:rsid w:val="00A87E9E"/>
    <w:rsid w:val="00A901BE"/>
    <w:rsid w:val="00A904E2"/>
    <w:rsid w:val="00A90D2E"/>
    <w:rsid w:val="00A912E7"/>
    <w:rsid w:val="00A915A0"/>
    <w:rsid w:val="00A91E97"/>
    <w:rsid w:val="00A92BCF"/>
    <w:rsid w:val="00A93095"/>
    <w:rsid w:val="00A93246"/>
    <w:rsid w:val="00A93456"/>
    <w:rsid w:val="00A940BD"/>
    <w:rsid w:val="00A9479E"/>
    <w:rsid w:val="00A9520C"/>
    <w:rsid w:val="00A958FD"/>
    <w:rsid w:val="00A96085"/>
    <w:rsid w:val="00A96424"/>
    <w:rsid w:val="00A97744"/>
    <w:rsid w:val="00AA19A6"/>
    <w:rsid w:val="00AA1AED"/>
    <w:rsid w:val="00AA20B1"/>
    <w:rsid w:val="00AA262E"/>
    <w:rsid w:val="00AA2C89"/>
    <w:rsid w:val="00AA33FB"/>
    <w:rsid w:val="00AA3442"/>
    <w:rsid w:val="00AA3451"/>
    <w:rsid w:val="00AA3915"/>
    <w:rsid w:val="00AA43BD"/>
    <w:rsid w:val="00AA46E6"/>
    <w:rsid w:val="00AA48C1"/>
    <w:rsid w:val="00AA4B21"/>
    <w:rsid w:val="00AA5ADB"/>
    <w:rsid w:val="00AA604E"/>
    <w:rsid w:val="00AA60A4"/>
    <w:rsid w:val="00AA6240"/>
    <w:rsid w:val="00AA6C66"/>
    <w:rsid w:val="00AA73A8"/>
    <w:rsid w:val="00AA7827"/>
    <w:rsid w:val="00AA7DBA"/>
    <w:rsid w:val="00AB006F"/>
    <w:rsid w:val="00AB0AFE"/>
    <w:rsid w:val="00AB0EA2"/>
    <w:rsid w:val="00AB1A9F"/>
    <w:rsid w:val="00AB29BA"/>
    <w:rsid w:val="00AB3037"/>
    <w:rsid w:val="00AB3184"/>
    <w:rsid w:val="00AB33F9"/>
    <w:rsid w:val="00AB362C"/>
    <w:rsid w:val="00AB3661"/>
    <w:rsid w:val="00AB3CEC"/>
    <w:rsid w:val="00AB3E8B"/>
    <w:rsid w:val="00AB4AFF"/>
    <w:rsid w:val="00AB4D98"/>
    <w:rsid w:val="00AB537C"/>
    <w:rsid w:val="00AB5887"/>
    <w:rsid w:val="00AB5B81"/>
    <w:rsid w:val="00AB5C13"/>
    <w:rsid w:val="00AB5D24"/>
    <w:rsid w:val="00AB600F"/>
    <w:rsid w:val="00AB64E5"/>
    <w:rsid w:val="00AB6C31"/>
    <w:rsid w:val="00AB7213"/>
    <w:rsid w:val="00AB7442"/>
    <w:rsid w:val="00AB76D7"/>
    <w:rsid w:val="00AB7900"/>
    <w:rsid w:val="00AB7B70"/>
    <w:rsid w:val="00AC0846"/>
    <w:rsid w:val="00AC1226"/>
    <w:rsid w:val="00AC1686"/>
    <w:rsid w:val="00AC179A"/>
    <w:rsid w:val="00AC24F6"/>
    <w:rsid w:val="00AC2875"/>
    <w:rsid w:val="00AC299E"/>
    <w:rsid w:val="00AC2DD1"/>
    <w:rsid w:val="00AC388B"/>
    <w:rsid w:val="00AC4647"/>
    <w:rsid w:val="00AC4DEB"/>
    <w:rsid w:val="00AC5C6A"/>
    <w:rsid w:val="00AC65AF"/>
    <w:rsid w:val="00AC679D"/>
    <w:rsid w:val="00AC68C9"/>
    <w:rsid w:val="00AC7052"/>
    <w:rsid w:val="00AC7703"/>
    <w:rsid w:val="00AC7721"/>
    <w:rsid w:val="00AC7AB4"/>
    <w:rsid w:val="00AC7E57"/>
    <w:rsid w:val="00AC7E75"/>
    <w:rsid w:val="00AD0558"/>
    <w:rsid w:val="00AD0958"/>
    <w:rsid w:val="00AD10E5"/>
    <w:rsid w:val="00AD1592"/>
    <w:rsid w:val="00AD1FF4"/>
    <w:rsid w:val="00AD23CC"/>
    <w:rsid w:val="00AD2EE8"/>
    <w:rsid w:val="00AD31EC"/>
    <w:rsid w:val="00AD339F"/>
    <w:rsid w:val="00AD35A4"/>
    <w:rsid w:val="00AD37F0"/>
    <w:rsid w:val="00AD3C2A"/>
    <w:rsid w:val="00AD3E6B"/>
    <w:rsid w:val="00AD4379"/>
    <w:rsid w:val="00AD44D9"/>
    <w:rsid w:val="00AD4C0B"/>
    <w:rsid w:val="00AD51BE"/>
    <w:rsid w:val="00AD5D9A"/>
    <w:rsid w:val="00AD5FB3"/>
    <w:rsid w:val="00AD6676"/>
    <w:rsid w:val="00AD6833"/>
    <w:rsid w:val="00AD6861"/>
    <w:rsid w:val="00AD715B"/>
    <w:rsid w:val="00AD77FA"/>
    <w:rsid w:val="00AD7B4D"/>
    <w:rsid w:val="00AD7F39"/>
    <w:rsid w:val="00AE1212"/>
    <w:rsid w:val="00AE1923"/>
    <w:rsid w:val="00AE1D4C"/>
    <w:rsid w:val="00AE252A"/>
    <w:rsid w:val="00AE48A4"/>
    <w:rsid w:val="00AE4F38"/>
    <w:rsid w:val="00AE507F"/>
    <w:rsid w:val="00AE5D92"/>
    <w:rsid w:val="00AE5F47"/>
    <w:rsid w:val="00AE6873"/>
    <w:rsid w:val="00AE6D21"/>
    <w:rsid w:val="00AE7F9B"/>
    <w:rsid w:val="00AF0F0A"/>
    <w:rsid w:val="00AF1434"/>
    <w:rsid w:val="00AF1DE2"/>
    <w:rsid w:val="00AF2806"/>
    <w:rsid w:val="00AF31A2"/>
    <w:rsid w:val="00AF3C6E"/>
    <w:rsid w:val="00AF406C"/>
    <w:rsid w:val="00AF4076"/>
    <w:rsid w:val="00AF428A"/>
    <w:rsid w:val="00AF498E"/>
    <w:rsid w:val="00AF4AF0"/>
    <w:rsid w:val="00AF4BBB"/>
    <w:rsid w:val="00AF4E90"/>
    <w:rsid w:val="00AF5912"/>
    <w:rsid w:val="00AF5D8B"/>
    <w:rsid w:val="00AF63E5"/>
    <w:rsid w:val="00AF7341"/>
    <w:rsid w:val="00B0036F"/>
    <w:rsid w:val="00B0063B"/>
    <w:rsid w:val="00B00F17"/>
    <w:rsid w:val="00B00FC3"/>
    <w:rsid w:val="00B01DB9"/>
    <w:rsid w:val="00B01E36"/>
    <w:rsid w:val="00B01E94"/>
    <w:rsid w:val="00B0234A"/>
    <w:rsid w:val="00B036AC"/>
    <w:rsid w:val="00B04C10"/>
    <w:rsid w:val="00B0575B"/>
    <w:rsid w:val="00B05FCA"/>
    <w:rsid w:val="00B068E4"/>
    <w:rsid w:val="00B068FF"/>
    <w:rsid w:val="00B06960"/>
    <w:rsid w:val="00B06E84"/>
    <w:rsid w:val="00B07609"/>
    <w:rsid w:val="00B07D30"/>
    <w:rsid w:val="00B115ED"/>
    <w:rsid w:val="00B117CB"/>
    <w:rsid w:val="00B117D7"/>
    <w:rsid w:val="00B12121"/>
    <w:rsid w:val="00B1217E"/>
    <w:rsid w:val="00B12732"/>
    <w:rsid w:val="00B13480"/>
    <w:rsid w:val="00B13785"/>
    <w:rsid w:val="00B13B8E"/>
    <w:rsid w:val="00B13DEF"/>
    <w:rsid w:val="00B142E0"/>
    <w:rsid w:val="00B14E3F"/>
    <w:rsid w:val="00B15237"/>
    <w:rsid w:val="00B15293"/>
    <w:rsid w:val="00B16423"/>
    <w:rsid w:val="00B16A9E"/>
    <w:rsid w:val="00B17198"/>
    <w:rsid w:val="00B20FA4"/>
    <w:rsid w:val="00B21EF0"/>
    <w:rsid w:val="00B231BC"/>
    <w:rsid w:val="00B23573"/>
    <w:rsid w:val="00B23ABE"/>
    <w:rsid w:val="00B23B67"/>
    <w:rsid w:val="00B23BE1"/>
    <w:rsid w:val="00B24B78"/>
    <w:rsid w:val="00B24C0D"/>
    <w:rsid w:val="00B24E5B"/>
    <w:rsid w:val="00B253CC"/>
    <w:rsid w:val="00B26797"/>
    <w:rsid w:val="00B26C98"/>
    <w:rsid w:val="00B26E4F"/>
    <w:rsid w:val="00B271E8"/>
    <w:rsid w:val="00B275D8"/>
    <w:rsid w:val="00B27AC3"/>
    <w:rsid w:val="00B27EC5"/>
    <w:rsid w:val="00B3067B"/>
    <w:rsid w:val="00B30BFE"/>
    <w:rsid w:val="00B313F6"/>
    <w:rsid w:val="00B32506"/>
    <w:rsid w:val="00B32CD4"/>
    <w:rsid w:val="00B32F66"/>
    <w:rsid w:val="00B32F7E"/>
    <w:rsid w:val="00B33678"/>
    <w:rsid w:val="00B33DDF"/>
    <w:rsid w:val="00B33E80"/>
    <w:rsid w:val="00B33FD6"/>
    <w:rsid w:val="00B343CF"/>
    <w:rsid w:val="00B34AFD"/>
    <w:rsid w:val="00B3512D"/>
    <w:rsid w:val="00B354E2"/>
    <w:rsid w:val="00B358C1"/>
    <w:rsid w:val="00B35DD5"/>
    <w:rsid w:val="00B36705"/>
    <w:rsid w:val="00B37073"/>
    <w:rsid w:val="00B37F97"/>
    <w:rsid w:val="00B40037"/>
    <w:rsid w:val="00B403F2"/>
    <w:rsid w:val="00B41861"/>
    <w:rsid w:val="00B4194B"/>
    <w:rsid w:val="00B41A1A"/>
    <w:rsid w:val="00B42107"/>
    <w:rsid w:val="00B42370"/>
    <w:rsid w:val="00B42739"/>
    <w:rsid w:val="00B440D1"/>
    <w:rsid w:val="00B44A28"/>
    <w:rsid w:val="00B4527C"/>
    <w:rsid w:val="00B453BC"/>
    <w:rsid w:val="00B457F9"/>
    <w:rsid w:val="00B45BBA"/>
    <w:rsid w:val="00B462D8"/>
    <w:rsid w:val="00B46347"/>
    <w:rsid w:val="00B46444"/>
    <w:rsid w:val="00B47432"/>
    <w:rsid w:val="00B4762E"/>
    <w:rsid w:val="00B4766C"/>
    <w:rsid w:val="00B507E3"/>
    <w:rsid w:val="00B520DE"/>
    <w:rsid w:val="00B52EAD"/>
    <w:rsid w:val="00B52F36"/>
    <w:rsid w:val="00B53343"/>
    <w:rsid w:val="00B5474A"/>
    <w:rsid w:val="00B54B97"/>
    <w:rsid w:val="00B550D4"/>
    <w:rsid w:val="00B55825"/>
    <w:rsid w:val="00B55E9E"/>
    <w:rsid w:val="00B571CA"/>
    <w:rsid w:val="00B57320"/>
    <w:rsid w:val="00B57321"/>
    <w:rsid w:val="00B574FC"/>
    <w:rsid w:val="00B577AE"/>
    <w:rsid w:val="00B600F2"/>
    <w:rsid w:val="00B60E24"/>
    <w:rsid w:val="00B61068"/>
    <w:rsid w:val="00B6118D"/>
    <w:rsid w:val="00B636FD"/>
    <w:rsid w:val="00B6471F"/>
    <w:rsid w:val="00B65759"/>
    <w:rsid w:val="00B65A9D"/>
    <w:rsid w:val="00B674BE"/>
    <w:rsid w:val="00B67A5D"/>
    <w:rsid w:val="00B67BF5"/>
    <w:rsid w:val="00B70240"/>
    <w:rsid w:val="00B706E0"/>
    <w:rsid w:val="00B70E68"/>
    <w:rsid w:val="00B71BEA"/>
    <w:rsid w:val="00B71D0E"/>
    <w:rsid w:val="00B71D2A"/>
    <w:rsid w:val="00B71D57"/>
    <w:rsid w:val="00B72616"/>
    <w:rsid w:val="00B72B0E"/>
    <w:rsid w:val="00B72CAF"/>
    <w:rsid w:val="00B7346A"/>
    <w:rsid w:val="00B7351F"/>
    <w:rsid w:val="00B73E32"/>
    <w:rsid w:val="00B743DF"/>
    <w:rsid w:val="00B744BA"/>
    <w:rsid w:val="00B74B6F"/>
    <w:rsid w:val="00B752A3"/>
    <w:rsid w:val="00B754ED"/>
    <w:rsid w:val="00B75640"/>
    <w:rsid w:val="00B75690"/>
    <w:rsid w:val="00B75B01"/>
    <w:rsid w:val="00B76191"/>
    <w:rsid w:val="00B77355"/>
    <w:rsid w:val="00B77E94"/>
    <w:rsid w:val="00B80265"/>
    <w:rsid w:val="00B80321"/>
    <w:rsid w:val="00B805B9"/>
    <w:rsid w:val="00B80E01"/>
    <w:rsid w:val="00B81361"/>
    <w:rsid w:val="00B8186C"/>
    <w:rsid w:val="00B826B3"/>
    <w:rsid w:val="00B83A02"/>
    <w:rsid w:val="00B85FC8"/>
    <w:rsid w:val="00B863E7"/>
    <w:rsid w:val="00B8778B"/>
    <w:rsid w:val="00B9031C"/>
    <w:rsid w:val="00B90653"/>
    <w:rsid w:val="00B90BB3"/>
    <w:rsid w:val="00B91035"/>
    <w:rsid w:val="00B925DB"/>
    <w:rsid w:val="00B92CAE"/>
    <w:rsid w:val="00B9333B"/>
    <w:rsid w:val="00B938E4"/>
    <w:rsid w:val="00B93E85"/>
    <w:rsid w:val="00B947BF"/>
    <w:rsid w:val="00B94BC1"/>
    <w:rsid w:val="00B94E55"/>
    <w:rsid w:val="00B94F87"/>
    <w:rsid w:val="00B951C1"/>
    <w:rsid w:val="00B9556E"/>
    <w:rsid w:val="00B95B14"/>
    <w:rsid w:val="00B95DC7"/>
    <w:rsid w:val="00B96502"/>
    <w:rsid w:val="00B96BF1"/>
    <w:rsid w:val="00B96C53"/>
    <w:rsid w:val="00B975CF"/>
    <w:rsid w:val="00BA0E91"/>
    <w:rsid w:val="00BA0F89"/>
    <w:rsid w:val="00BA1049"/>
    <w:rsid w:val="00BA15EC"/>
    <w:rsid w:val="00BA179D"/>
    <w:rsid w:val="00BA1A50"/>
    <w:rsid w:val="00BA1AFD"/>
    <w:rsid w:val="00BA1E95"/>
    <w:rsid w:val="00BA217B"/>
    <w:rsid w:val="00BA2A85"/>
    <w:rsid w:val="00BA2EC7"/>
    <w:rsid w:val="00BA3490"/>
    <w:rsid w:val="00BA4525"/>
    <w:rsid w:val="00BA4BFB"/>
    <w:rsid w:val="00BA51F6"/>
    <w:rsid w:val="00BA5B47"/>
    <w:rsid w:val="00BA5ED6"/>
    <w:rsid w:val="00BA648B"/>
    <w:rsid w:val="00BA6818"/>
    <w:rsid w:val="00BA6862"/>
    <w:rsid w:val="00BA77DE"/>
    <w:rsid w:val="00BA782E"/>
    <w:rsid w:val="00BA7A25"/>
    <w:rsid w:val="00BB05F4"/>
    <w:rsid w:val="00BB0630"/>
    <w:rsid w:val="00BB12F6"/>
    <w:rsid w:val="00BB13AC"/>
    <w:rsid w:val="00BB2485"/>
    <w:rsid w:val="00BB3436"/>
    <w:rsid w:val="00BB3A7C"/>
    <w:rsid w:val="00BB3D9E"/>
    <w:rsid w:val="00BB48F9"/>
    <w:rsid w:val="00BB4D20"/>
    <w:rsid w:val="00BB51DC"/>
    <w:rsid w:val="00BB5776"/>
    <w:rsid w:val="00BB5ACB"/>
    <w:rsid w:val="00BB5B56"/>
    <w:rsid w:val="00BB6172"/>
    <w:rsid w:val="00BB62E3"/>
    <w:rsid w:val="00BB6853"/>
    <w:rsid w:val="00BB6B0B"/>
    <w:rsid w:val="00BB6C0B"/>
    <w:rsid w:val="00BB6DEB"/>
    <w:rsid w:val="00BB6F1C"/>
    <w:rsid w:val="00BB7538"/>
    <w:rsid w:val="00BB753B"/>
    <w:rsid w:val="00BB772D"/>
    <w:rsid w:val="00BB7DA0"/>
    <w:rsid w:val="00BB7EAC"/>
    <w:rsid w:val="00BC091B"/>
    <w:rsid w:val="00BC13E1"/>
    <w:rsid w:val="00BC23C0"/>
    <w:rsid w:val="00BC265B"/>
    <w:rsid w:val="00BC265E"/>
    <w:rsid w:val="00BC2978"/>
    <w:rsid w:val="00BC3563"/>
    <w:rsid w:val="00BC3677"/>
    <w:rsid w:val="00BC5C51"/>
    <w:rsid w:val="00BC60E1"/>
    <w:rsid w:val="00BC63AD"/>
    <w:rsid w:val="00BC6794"/>
    <w:rsid w:val="00BC730B"/>
    <w:rsid w:val="00BC7C23"/>
    <w:rsid w:val="00BD0750"/>
    <w:rsid w:val="00BD0DE3"/>
    <w:rsid w:val="00BD0E33"/>
    <w:rsid w:val="00BD1C8B"/>
    <w:rsid w:val="00BD1D83"/>
    <w:rsid w:val="00BD27DF"/>
    <w:rsid w:val="00BD2828"/>
    <w:rsid w:val="00BD35F1"/>
    <w:rsid w:val="00BD37BA"/>
    <w:rsid w:val="00BD383C"/>
    <w:rsid w:val="00BD45DA"/>
    <w:rsid w:val="00BD4720"/>
    <w:rsid w:val="00BD4CCC"/>
    <w:rsid w:val="00BD4EE6"/>
    <w:rsid w:val="00BD5BC3"/>
    <w:rsid w:val="00BD5CA3"/>
    <w:rsid w:val="00BD601C"/>
    <w:rsid w:val="00BD70AE"/>
    <w:rsid w:val="00BE0DCB"/>
    <w:rsid w:val="00BE1859"/>
    <w:rsid w:val="00BE24E9"/>
    <w:rsid w:val="00BE2CF2"/>
    <w:rsid w:val="00BE2D0C"/>
    <w:rsid w:val="00BE538C"/>
    <w:rsid w:val="00BE5CC6"/>
    <w:rsid w:val="00BE5FDD"/>
    <w:rsid w:val="00BE6339"/>
    <w:rsid w:val="00BE6738"/>
    <w:rsid w:val="00BE6981"/>
    <w:rsid w:val="00BE6A48"/>
    <w:rsid w:val="00BE756C"/>
    <w:rsid w:val="00BE7822"/>
    <w:rsid w:val="00BE7934"/>
    <w:rsid w:val="00BE7AC2"/>
    <w:rsid w:val="00BF01F1"/>
    <w:rsid w:val="00BF04AD"/>
    <w:rsid w:val="00BF07D6"/>
    <w:rsid w:val="00BF07EA"/>
    <w:rsid w:val="00BF16B9"/>
    <w:rsid w:val="00BF1740"/>
    <w:rsid w:val="00BF181A"/>
    <w:rsid w:val="00BF1A83"/>
    <w:rsid w:val="00BF1D78"/>
    <w:rsid w:val="00BF1E65"/>
    <w:rsid w:val="00BF2184"/>
    <w:rsid w:val="00BF2338"/>
    <w:rsid w:val="00BF27BB"/>
    <w:rsid w:val="00BF381C"/>
    <w:rsid w:val="00BF3965"/>
    <w:rsid w:val="00BF4733"/>
    <w:rsid w:val="00BF498B"/>
    <w:rsid w:val="00BF4EB8"/>
    <w:rsid w:val="00BF5D42"/>
    <w:rsid w:val="00BF6690"/>
    <w:rsid w:val="00BF7E99"/>
    <w:rsid w:val="00C00032"/>
    <w:rsid w:val="00C00469"/>
    <w:rsid w:val="00C0047B"/>
    <w:rsid w:val="00C010FA"/>
    <w:rsid w:val="00C012AA"/>
    <w:rsid w:val="00C01807"/>
    <w:rsid w:val="00C01BB0"/>
    <w:rsid w:val="00C021A6"/>
    <w:rsid w:val="00C03FC3"/>
    <w:rsid w:val="00C042FB"/>
    <w:rsid w:val="00C05422"/>
    <w:rsid w:val="00C05541"/>
    <w:rsid w:val="00C0591B"/>
    <w:rsid w:val="00C059F2"/>
    <w:rsid w:val="00C0643E"/>
    <w:rsid w:val="00C06AC7"/>
    <w:rsid w:val="00C06FD8"/>
    <w:rsid w:val="00C07AE4"/>
    <w:rsid w:val="00C10414"/>
    <w:rsid w:val="00C10E4A"/>
    <w:rsid w:val="00C10F84"/>
    <w:rsid w:val="00C11958"/>
    <w:rsid w:val="00C11E76"/>
    <w:rsid w:val="00C121E3"/>
    <w:rsid w:val="00C129C1"/>
    <w:rsid w:val="00C13EC6"/>
    <w:rsid w:val="00C14145"/>
    <w:rsid w:val="00C14D49"/>
    <w:rsid w:val="00C15346"/>
    <w:rsid w:val="00C15E18"/>
    <w:rsid w:val="00C16DA8"/>
    <w:rsid w:val="00C1791A"/>
    <w:rsid w:val="00C17D16"/>
    <w:rsid w:val="00C202DC"/>
    <w:rsid w:val="00C20431"/>
    <w:rsid w:val="00C20D32"/>
    <w:rsid w:val="00C20DA8"/>
    <w:rsid w:val="00C20DF3"/>
    <w:rsid w:val="00C21563"/>
    <w:rsid w:val="00C21792"/>
    <w:rsid w:val="00C21910"/>
    <w:rsid w:val="00C2200C"/>
    <w:rsid w:val="00C224D0"/>
    <w:rsid w:val="00C22E4B"/>
    <w:rsid w:val="00C23E65"/>
    <w:rsid w:val="00C240D2"/>
    <w:rsid w:val="00C24886"/>
    <w:rsid w:val="00C24A19"/>
    <w:rsid w:val="00C24A20"/>
    <w:rsid w:val="00C24ADB"/>
    <w:rsid w:val="00C25770"/>
    <w:rsid w:val="00C2620F"/>
    <w:rsid w:val="00C262DD"/>
    <w:rsid w:val="00C2636E"/>
    <w:rsid w:val="00C268C6"/>
    <w:rsid w:val="00C27904"/>
    <w:rsid w:val="00C27F83"/>
    <w:rsid w:val="00C3074B"/>
    <w:rsid w:val="00C30904"/>
    <w:rsid w:val="00C318AF"/>
    <w:rsid w:val="00C321FC"/>
    <w:rsid w:val="00C324F0"/>
    <w:rsid w:val="00C3267E"/>
    <w:rsid w:val="00C327BC"/>
    <w:rsid w:val="00C3385B"/>
    <w:rsid w:val="00C33C75"/>
    <w:rsid w:val="00C33F3D"/>
    <w:rsid w:val="00C34193"/>
    <w:rsid w:val="00C34711"/>
    <w:rsid w:val="00C35323"/>
    <w:rsid w:val="00C35747"/>
    <w:rsid w:val="00C35A2D"/>
    <w:rsid w:val="00C3671C"/>
    <w:rsid w:val="00C368B2"/>
    <w:rsid w:val="00C36FB7"/>
    <w:rsid w:val="00C37102"/>
    <w:rsid w:val="00C37A49"/>
    <w:rsid w:val="00C40850"/>
    <w:rsid w:val="00C4192E"/>
    <w:rsid w:val="00C4227F"/>
    <w:rsid w:val="00C43770"/>
    <w:rsid w:val="00C43DB2"/>
    <w:rsid w:val="00C43F3C"/>
    <w:rsid w:val="00C44B2F"/>
    <w:rsid w:val="00C4508E"/>
    <w:rsid w:val="00C45ADD"/>
    <w:rsid w:val="00C46477"/>
    <w:rsid w:val="00C46905"/>
    <w:rsid w:val="00C4690C"/>
    <w:rsid w:val="00C4786D"/>
    <w:rsid w:val="00C478FD"/>
    <w:rsid w:val="00C47DE2"/>
    <w:rsid w:val="00C50543"/>
    <w:rsid w:val="00C505BA"/>
    <w:rsid w:val="00C5085D"/>
    <w:rsid w:val="00C509B4"/>
    <w:rsid w:val="00C512A2"/>
    <w:rsid w:val="00C51566"/>
    <w:rsid w:val="00C5157D"/>
    <w:rsid w:val="00C51C34"/>
    <w:rsid w:val="00C52281"/>
    <w:rsid w:val="00C52CEE"/>
    <w:rsid w:val="00C530B7"/>
    <w:rsid w:val="00C53203"/>
    <w:rsid w:val="00C53C97"/>
    <w:rsid w:val="00C56DA7"/>
    <w:rsid w:val="00C56EA1"/>
    <w:rsid w:val="00C57A60"/>
    <w:rsid w:val="00C57BE5"/>
    <w:rsid w:val="00C57C31"/>
    <w:rsid w:val="00C60D5C"/>
    <w:rsid w:val="00C61102"/>
    <w:rsid w:val="00C61EC0"/>
    <w:rsid w:val="00C620C3"/>
    <w:rsid w:val="00C624A9"/>
    <w:rsid w:val="00C62B22"/>
    <w:rsid w:val="00C63304"/>
    <w:rsid w:val="00C63B94"/>
    <w:rsid w:val="00C63BC0"/>
    <w:rsid w:val="00C63D1F"/>
    <w:rsid w:val="00C63D7F"/>
    <w:rsid w:val="00C64D09"/>
    <w:rsid w:val="00C6582D"/>
    <w:rsid w:val="00C65AE0"/>
    <w:rsid w:val="00C661CD"/>
    <w:rsid w:val="00C663A7"/>
    <w:rsid w:val="00C66614"/>
    <w:rsid w:val="00C66925"/>
    <w:rsid w:val="00C66FFA"/>
    <w:rsid w:val="00C6779C"/>
    <w:rsid w:val="00C67BA4"/>
    <w:rsid w:val="00C709A2"/>
    <w:rsid w:val="00C7112E"/>
    <w:rsid w:val="00C71928"/>
    <w:rsid w:val="00C71A7E"/>
    <w:rsid w:val="00C71C06"/>
    <w:rsid w:val="00C72009"/>
    <w:rsid w:val="00C7346A"/>
    <w:rsid w:val="00C736A6"/>
    <w:rsid w:val="00C73BEB"/>
    <w:rsid w:val="00C73F09"/>
    <w:rsid w:val="00C7524C"/>
    <w:rsid w:val="00C759CB"/>
    <w:rsid w:val="00C762D7"/>
    <w:rsid w:val="00C766FC"/>
    <w:rsid w:val="00C76D6D"/>
    <w:rsid w:val="00C77248"/>
    <w:rsid w:val="00C776FD"/>
    <w:rsid w:val="00C77C40"/>
    <w:rsid w:val="00C8020F"/>
    <w:rsid w:val="00C804E2"/>
    <w:rsid w:val="00C81842"/>
    <w:rsid w:val="00C8225E"/>
    <w:rsid w:val="00C823CB"/>
    <w:rsid w:val="00C826EE"/>
    <w:rsid w:val="00C82B3B"/>
    <w:rsid w:val="00C82CB0"/>
    <w:rsid w:val="00C83948"/>
    <w:rsid w:val="00C83FC0"/>
    <w:rsid w:val="00C84351"/>
    <w:rsid w:val="00C848BA"/>
    <w:rsid w:val="00C84F98"/>
    <w:rsid w:val="00C852CD"/>
    <w:rsid w:val="00C85810"/>
    <w:rsid w:val="00C85898"/>
    <w:rsid w:val="00C85A8A"/>
    <w:rsid w:val="00C86A07"/>
    <w:rsid w:val="00C8799A"/>
    <w:rsid w:val="00C903B9"/>
    <w:rsid w:val="00C9072A"/>
    <w:rsid w:val="00C912F5"/>
    <w:rsid w:val="00C91C46"/>
    <w:rsid w:val="00C92372"/>
    <w:rsid w:val="00C93087"/>
    <w:rsid w:val="00C935C5"/>
    <w:rsid w:val="00C93944"/>
    <w:rsid w:val="00C9424C"/>
    <w:rsid w:val="00C94546"/>
    <w:rsid w:val="00C94660"/>
    <w:rsid w:val="00C94796"/>
    <w:rsid w:val="00C94C8D"/>
    <w:rsid w:val="00C951F5"/>
    <w:rsid w:val="00C955D7"/>
    <w:rsid w:val="00C95736"/>
    <w:rsid w:val="00C95F4E"/>
    <w:rsid w:val="00C96502"/>
    <w:rsid w:val="00C96D8A"/>
    <w:rsid w:val="00C96FF8"/>
    <w:rsid w:val="00C971AB"/>
    <w:rsid w:val="00C97C88"/>
    <w:rsid w:val="00CA043B"/>
    <w:rsid w:val="00CA062B"/>
    <w:rsid w:val="00CA0C6E"/>
    <w:rsid w:val="00CA0CFC"/>
    <w:rsid w:val="00CA1D40"/>
    <w:rsid w:val="00CA2076"/>
    <w:rsid w:val="00CA2AFD"/>
    <w:rsid w:val="00CA2BA3"/>
    <w:rsid w:val="00CA2E6A"/>
    <w:rsid w:val="00CA301A"/>
    <w:rsid w:val="00CA3981"/>
    <w:rsid w:val="00CA4024"/>
    <w:rsid w:val="00CA46A4"/>
    <w:rsid w:val="00CA4B8E"/>
    <w:rsid w:val="00CA4CB1"/>
    <w:rsid w:val="00CA57FE"/>
    <w:rsid w:val="00CA5A78"/>
    <w:rsid w:val="00CA6399"/>
    <w:rsid w:val="00CA64DD"/>
    <w:rsid w:val="00CA68D4"/>
    <w:rsid w:val="00CB0479"/>
    <w:rsid w:val="00CB0A16"/>
    <w:rsid w:val="00CB0CC8"/>
    <w:rsid w:val="00CB1696"/>
    <w:rsid w:val="00CB1DCD"/>
    <w:rsid w:val="00CB2774"/>
    <w:rsid w:val="00CB2A32"/>
    <w:rsid w:val="00CB4562"/>
    <w:rsid w:val="00CB47F9"/>
    <w:rsid w:val="00CB4E03"/>
    <w:rsid w:val="00CB5679"/>
    <w:rsid w:val="00CB5713"/>
    <w:rsid w:val="00CB5F3C"/>
    <w:rsid w:val="00CB68A2"/>
    <w:rsid w:val="00CB731B"/>
    <w:rsid w:val="00CB7F3B"/>
    <w:rsid w:val="00CC01EB"/>
    <w:rsid w:val="00CC03AE"/>
    <w:rsid w:val="00CC0A7F"/>
    <w:rsid w:val="00CC150E"/>
    <w:rsid w:val="00CC250D"/>
    <w:rsid w:val="00CC25FD"/>
    <w:rsid w:val="00CC2CA2"/>
    <w:rsid w:val="00CC31C4"/>
    <w:rsid w:val="00CC327F"/>
    <w:rsid w:val="00CC3697"/>
    <w:rsid w:val="00CC3D07"/>
    <w:rsid w:val="00CC41B7"/>
    <w:rsid w:val="00CC474A"/>
    <w:rsid w:val="00CC4C03"/>
    <w:rsid w:val="00CC52EC"/>
    <w:rsid w:val="00CC57D3"/>
    <w:rsid w:val="00CC5F28"/>
    <w:rsid w:val="00CC61AA"/>
    <w:rsid w:val="00CC6D64"/>
    <w:rsid w:val="00CC71A0"/>
    <w:rsid w:val="00CC75C2"/>
    <w:rsid w:val="00CC778A"/>
    <w:rsid w:val="00CC7F41"/>
    <w:rsid w:val="00CD0246"/>
    <w:rsid w:val="00CD05A3"/>
    <w:rsid w:val="00CD0842"/>
    <w:rsid w:val="00CD134D"/>
    <w:rsid w:val="00CD157B"/>
    <w:rsid w:val="00CD21B3"/>
    <w:rsid w:val="00CD2323"/>
    <w:rsid w:val="00CD23D6"/>
    <w:rsid w:val="00CD2656"/>
    <w:rsid w:val="00CD2ADC"/>
    <w:rsid w:val="00CD365A"/>
    <w:rsid w:val="00CD3F18"/>
    <w:rsid w:val="00CD442A"/>
    <w:rsid w:val="00CD45E3"/>
    <w:rsid w:val="00CD4B8D"/>
    <w:rsid w:val="00CD4F71"/>
    <w:rsid w:val="00CD5857"/>
    <w:rsid w:val="00CD5FFD"/>
    <w:rsid w:val="00CD688F"/>
    <w:rsid w:val="00CE02E6"/>
    <w:rsid w:val="00CE1043"/>
    <w:rsid w:val="00CE151A"/>
    <w:rsid w:val="00CE1EC6"/>
    <w:rsid w:val="00CE1F54"/>
    <w:rsid w:val="00CE24FA"/>
    <w:rsid w:val="00CE31E5"/>
    <w:rsid w:val="00CE3564"/>
    <w:rsid w:val="00CE36BB"/>
    <w:rsid w:val="00CE495D"/>
    <w:rsid w:val="00CE49BA"/>
    <w:rsid w:val="00CE4F45"/>
    <w:rsid w:val="00CE51F8"/>
    <w:rsid w:val="00CE628D"/>
    <w:rsid w:val="00CE6528"/>
    <w:rsid w:val="00CE67DA"/>
    <w:rsid w:val="00CE6804"/>
    <w:rsid w:val="00CE6B16"/>
    <w:rsid w:val="00CE6BB0"/>
    <w:rsid w:val="00CE6C89"/>
    <w:rsid w:val="00CE6F27"/>
    <w:rsid w:val="00CE79FE"/>
    <w:rsid w:val="00CE7E16"/>
    <w:rsid w:val="00CF010F"/>
    <w:rsid w:val="00CF072B"/>
    <w:rsid w:val="00CF0ADD"/>
    <w:rsid w:val="00CF0AFE"/>
    <w:rsid w:val="00CF0D20"/>
    <w:rsid w:val="00CF2363"/>
    <w:rsid w:val="00CF23EE"/>
    <w:rsid w:val="00CF28EE"/>
    <w:rsid w:val="00CF3159"/>
    <w:rsid w:val="00CF402D"/>
    <w:rsid w:val="00CF431B"/>
    <w:rsid w:val="00CF4820"/>
    <w:rsid w:val="00CF5388"/>
    <w:rsid w:val="00CF5577"/>
    <w:rsid w:val="00CF5DAF"/>
    <w:rsid w:val="00CF61B5"/>
    <w:rsid w:val="00CF62A8"/>
    <w:rsid w:val="00CF6DF4"/>
    <w:rsid w:val="00CF6EA7"/>
    <w:rsid w:val="00CF7684"/>
    <w:rsid w:val="00D0212E"/>
    <w:rsid w:val="00D0225B"/>
    <w:rsid w:val="00D02A19"/>
    <w:rsid w:val="00D04F7B"/>
    <w:rsid w:val="00D0512C"/>
    <w:rsid w:val="00D05456"/>
    <w:rsid w:val="00D05E29"/>
    <w:rsid w:val="00D06211"/>
    <w:rsid w:val="00D06DF6"/>
    <w:rsid w:val="00D06E9F"/>
    <w:rsid w:val="00D06FFF"/>
    <w:rsid w:val="00D0757E"/>
    <w:rsid w:val="00D07B7D"/>
    <w:rsid w:val="00D07E7E"/>
    <w:rsid w:val="00D113E7"/>
    <w:rsid w:val="00D116F0"/>
    <w:rsid w:val="00D119B8"/>
    <w:rsid w:val="00D11B26"/>
    <w:rsid w:val="00D122BD"/>
    <w:rsid w:val="00D12A77"/>
    <w:rsid w:val="00D12AB4"/>
    <w:rsid w:val="00D12E24"/>
    <w:rsid w:val="00D13CD4"/>
    <w:rsid w:val="00D13DBC"/>
    <w:rsid w:val="00D14332"/>
    <w:rsid w:val="00D15178"/>
    <w:rsid w:val="00D1522A"/>
    <w:rsid w:val="00D15B0C"/>
    <w:rsid w:val="00D167E6"/>
    <w:rsid w:val="00D16F9B"/>
    <w:rsid w:val="00D17611"/>
    <w:rsid w:val="00D17E36"/>
    <w:rsid w:val="00D200B1"/>
    <w:rsid w:val="00D201F2"/>
    <w:rsid w:val="00D20389"/>
    <w:rsid w:val="00D214CE"/>
    <w:rsid w:val="00D21901"/>
    <w:rsid w:val="00D21A5A"/>
    <w:rsid w:val="00D21DA4"/>
    <w:rsid w:val="00D22863"/>
    <w:rsid w:val="00D22A36"/>
    <w:rsid w:val="00D23502"/>
    <w:rsid w:val="00D24778"/>
    <w:rsid w:val="00D25322"/>
    <w:rsid w:val="00D25ADF"/>
    <w:rsid w:val="00D25BE6"/>
    <w:rsid w:val="00D25C2E"/>
    <w:rsid w:val="00D25FFA"/>
    <w:rsid w:val="00D26186"/>
    <w:rsid w:val="00D264A4"/>
    <w:rsid w:val="00D26DF4"/>
    <w:rsid w:val="00D26E87"/>
    <w:rsid w:val="00D27086"/>
    <w:rsid w:val="00D27715"/>
    <w:rsid w:val="00D27CDB"/>
    <w:rsid w:val="00D301B3"/>
    <w:rsid w:val="00D30458"/>
    <w:rsid w:val="00D30B67"/>
    <w:rsid w:val="00D30D2F"/>
    <w:rsid w:val="00D31529"/>
    <w:rsid w:val="00D3190D"/>
    <w:rsid w:val="00D3255F"/>
    <w:rsid w:val="00D3345B"/>
    <w:rsid w:val="00D334F0"/>
    <w:rsid w:val="00D33974"/>
    <w:rsid w:val="00D33C7E"/>
    <w:rsid w:val="00D34005"/>
    <w:rsid w:val="00D346EB"/>
    <w:rsid w:val="00D35DEF"/>
    <w:rsid w:val="00D35F0E"/>
    <w:rsid w:val="00D362D1"/>
    <w:rsid w:val="00D36FEC"/>
    <w:rsid w:val="00D3723B"/>
    <w:rsid w:val="00D377B1"/>
    <w:rsid w:val="00D37996"/>
    <w:rsid w:val="00D37DF7"/>
    <w:rsid w:val="00D405B2"/>
    <w:rsid w:val="00D40E5F"/>
    <w:rsid w:val="00D4101C"/>
    <w:rsid w:val="00D4115A"/>
    <w:rsid w:val="00D411AB"/>
    <w:rsid w:val="00D41BD7"/>
    <w:rsid w:val="00D41E32"/>
    <w:rsid w:val="00D42078"/>
    <w:rsid w:val="00D421C9"/>
    <w:rsid w:val="00D42CC1"/>
    <w:rsid w:val="00D42F6C"/>
    <w:rsid w:val="00D43A1F"/>
    <w:rsid w:val="00D44755"/>
    <w:rsid w:val="00D44B50"/>
    <w:rsid w:val="00D45EDA"/>
    <w:rsid w:val="00D45F80"/>
    <w:rsid w:val="00D46126"/>
    <w:rsid w:val="00D508A9"/>
    <w:rsid w:val="00D50DFF"/>
    <w:rsid w:val="00D512A4"/>
    <w:rsid w:val="00D5133C"/>
    <w:rsid w:val="00D5138A"/>
    <w:rsid w:val="00D51A7A"/>
    <w:rsid w:val="00D521C2"/>
    <w:rsid w:val="00D53401"/>
    <w:rsid w:val="00D5370C"/>
    <w:rsid w:val="00D53A72"/>
    <w:rsid w:val="00D54213"/>
    <w:rsid w:val="00D54416"/>
    <w:rsid w:val="00D54F96"/>
    <w:rsid w:val="00D5509A"/>
    <w:rsid w:val="00D5545B"/>
    <w:rsid w:val="00D557D8"/>
    <w:rsid w:val="00D56CC0"/>
    <w:rsid w:val="00D57027"/>
    <w:rsid w:val="00D578DF"/>
    <w:rsid w:val="00D60147"/>
    <w:rsid w:val="00D60291"/>
    <w:rsid w:val="00D60DEF"/>
    <w:rsid w:val="00D61D9D"/>
    <w:rsid w:val="00D6217D"/>
    <w:rsid w:val="00D6231B"/>
    <w:rsid w:val="00D625C5"/>
    <w:rsid w:val="00D62DFA"/>
    <w:rsid w:val="00D63ACC"/>
    <w:rsid w:val="00D663F0"/>
    <w:rsid w:val="00D66636"/>
    <w:rsid w:val="00D66949"/>
    <w:rsid w:val="00D672C4"/>
    <w:rsid w:val="00D67658"/>
    <w:rsid w:val="00D67A60"/>
    <w:rsid w:val="00D70016"/>
    <w:rsid w:val="00D70178"/>
    <w:rsid w:val="00D701D4"/>
    <w:rsid w:val="00D7100B"/>
    <w:rsid w:val="00D71336"/>
    <w:rsid w:val="00D71461"/>
    <w:rsid w:val="00D71471"/>
    <w:rsid w:val="00D71590"/>
    <w:rsid w:val="00D71AF4"/>
    <w:rsid w:val="00D71C56"/>
    <w:rsid w:val="00D73963"/>
    <w:rsid w:val="00D73C72"/>
    <w:rsid w:val="00D73DDB"/>
    <w:rsid w:val="00D7519D"/>
    <w:rsid w:val="00D75281"/>
    <w:rsid w:val="00D75B25"/>
    <w:rsid w:val="00D75D19"/>
    <w:rsid w:val="00D7657C"/>
    <w:rsid w:val="00D7676B"/>
    <w:rsid w:val="00D76BAD"/>
    <w:rsid w:val="00D76E8B"/>
    <w:rsid w:val="00D7706C"/>
    <w:rsid w:val="00D77359"/>
    <w:rsid w:val="00D77433"/>
    <w:rsid w:val="00D80F0E"/>
    <w:rsid w:val="00D810BB"/>
    <w:rsid w:val="00D81801"/>
    <w:rsid w:val="00D8205D"/>
    <w:rsid w:val="00D82646"/>
    <w:rsid w:val="00D82A69"/>
    <w:rsid w:val="00D83B93"/>
    <w:rsid w:val="00D844C1"/>
    <w:rsid w:val="00D846FB"/>
    <w:rsid w:val="00D847F9"/>
    <w:rsid w:val="00D84B28"/>
    <w:rsid w:val="00D84E58"/>
    <w:rsid w:val="00D85309"/>
    <w:rsid w:val="00D8567A"/>
    <w:rsid w:val="00D860C6"/>
    <w:rsid w:val="00D86512"/>
    <w:rsid w:val="00D86695"/>
    <w:rsid w:val="00D867A8"/>
    <w:rsid w:val="00D86A06"/>
    <w:rsid w:val="00D86ABB"/>
    <w:rsid w:val="00D86AD8"/>
    <w:rsid w:val="00D87080"/>
    <w:rsid w:val="00D87115"/>
    <w:rsid w:val="00D879C1"/>
    <w:rsid w:val="00D87D24"/>
    <w:rsid w:val="00D90453"/>
    <w:rsid w:val="00D90A07"/>
    <w:rsid w:val="00D90A77"/>
    <w:rsid w:val="00D90BA1"/>
    <w:rsid w:val="00D91911"/>
    <w:rsid w:val="00D919E3"/>
    <w:rsid w:val="00D91B8A"/>
    <w:rsid w:val="00D91D38"/>
    <w:rsid w:val="00D9376B"/>
    <w:rsid w:val="00D937CC"/>
    <w:rsid w:val="00D93E53"/>
    <w:rsid w:val="00D93EA5"/>
    <w:rsid w:val="00D93F56"/>
    <w:rsid w:val="00D9449B"/>
    <w:rsid w:val="00D94A33"/>
    <w:rsid w:val="00D94BC1"/>
    <w:rsid w:val="00D9550F"/>
    <w:rsid w:val="00D9562E"/>
    <w:rsid w:val="00D95B44"/>
    <w:rsid w:val="00D97CB3"/>
    <w:rsid w:val="00DA037D"/>
    <w:rsid w:val="00DA06CD"/>
    <w:rsid w:val="00DA182E"/>
    <w:rsid w:val="00DA18A4"/>
    <w:rsid w:val="00DA1E23"/>
    <w:rsid w:val="00DA30CC"/>
    <w:rsid w:val="00DA32AF"/>
    <w:rsid w:val="00DA33EF"/>
    <w:rsid w:val="00DA35AD"/>
    <w:rsid w:val="00DA3A33"/>
    <w:rsid w:val="00DA3EAD"/>
    <w:rsid w:val="00DA4370"/>
    <w:rsid w:val="00DA44F1"/>
    <w:rsid w:val="00DA477A"/>
    <w:rsid w:val="00DA4973"/>
    <w:rsid w:val="00DA5172"/>
    <w:rsid w:val="00DA5259"/>
    <w:rsid w:val="00DA545B"/>
    <w:rsid w:val="00DA5925"/>
    <w:rsid w:val="00DA67B4"/>
    <w:rsid w:val="00DA6B61"/>
    <w:rsid w:val="00DA6CF4"/>
    <w:rsid w:val="00DA70E8"/>
    <w:rsid w:val="00DA73AF"/>
    <w:rsid w:val="00DA7CFE"/>
    <w:rsid w:val="00DB0056"/>
    <w:rsid w:val="00DB016D"/>
    <w:rsid w:val="00DB0DD9"/>
    <w:rsid w:val="00DB30F4"/>
    <w:rsid w:val="00DB3165"/>
    <w:rsid w:val="00DB34B8"/>
    <w:rsid w:val="00DB38FF"/>
    <w:rsid w:val="00DB3A12"/>
    <w:rsid w:val="00DB3D95"/>
    <w:rsid w:val="00DB49CD"/>
    <w:rsid w:val="00DB59FC"/>
    <w:rsid w:val="00DB6CA0"/>
    <w:rsid w:val="00DB6E07"/>
    <w:rsid w:val="00DB73D7"/>
    <w:rsid w:val="00DB7934"/>
    <w:rsid w:val="00DB7ED2"/>
    <w:rsid w:val="00DC0D2B"/>
    <w:rsid w:val="00DC18B2"/>
    <w:rsid w:val="00DC1926"/>
    <w:rsid w:val="00DC1B1E"/>
    <w:rsid w:val="00DC1C01"/>
    <w:rsid w:val="00DC1E36"/>
    <w:rsid w:val="00DC274D"/>
    <w:rsid w:val="00DC2886"/>
    <w:rsid w:val="00DC2B8D"/>
    <w:rsid w:val="00DC390F"/>
    <w:rsid w:val="00DC3A85"/>
    <w:rsid w:val="00DC5DB6"/>
    <w:rsid w:val="00DC6928"/>
    <w:rsid w:val="00DC747E"/>
    <w:rsid w:val="00DC7C54"/>
    <w:rsid w:val="00DD0B8C"/>
    <w:rsid w:val="00DD1520"/>
    <w:rsid w:val="00DD18B5"/>
    <w:rsid w:val="00DD2301"/>
    <w:rsid w:val="00DD2520"/>
    <w:rsid w:val="00DD28FB"/>
    <w:rsid w:val="00DD30CB"/>
    <w:rsid w:val="00DD3791"/>
    <w:rsid w:val="00DD3820"/>
    <w:rsid w:val="00DD3A1E"/>
    <w:rsid w:val="00DD3D1C"/>
    <w:rsid w:val="00DD3EF2"/>
    <w:rsid w:val="00DD4752"/>
    <w:rsid w:val="00DD488F"/>
    <w:rsid w:val="00DD4D46"/>
    <w:rsid w:val="00DD4DAF"/>
    <w:rsid w:val="00DD521E"/>
    <w:rsid w:val="00DD57FF"/>
    <w:rsid w:val="00DD5948"/>
    <w:rsid w:val="00DD5AEB"/>
    <w:rsid w:val="00DD6294"/>
    <w:rsid w:val="00DD67E5"/>
    <w:rsid w:val="00DD6A57"/>
    <w:rsid w:val="00DD6A5E"/>
    <w:rsid w:val="00DD6A63"/>
    <w:rsid w:val="00DD6DE4"/>
    <w:rsid w:val="00DD7848"/>
    <w:rsid w:val="00DD7EAF"/>
    <w:rsid w:val="00DE0FBE"/>
    <w:rsid w:val="00DE1B18"/>
    <w:rsid w:val="00DE1D5F"/>
    <w:rsid w:val="00DE20F1"/>
    <w:rsid w:val="00DE21F5"/>
    <w:rsid w:val="00DE2445"/>
    <w:rsid w:val="00DE2792"/>
    <w:rsid w:val="00DE2EB4"/>
    <w:rsid w:val="00DE34E7"/>
    <w:rsid w:val="00DE357C"/>
    <w:rsid w:val="00DE38E9"/>
    <w:rsid w:val="00DE3A21"/>
    <w:rsid w:val="00DE3CE5"/>
    <w:rsid w:val="00DE4063"/>
    <w:rsid w:val="00DE4360"/>
    <w:rsid w:val="00DE472C"/>
    <w:rsid w:val="00DE4829"/>
    <w:rsid w:val="00DE6EB9"/>
    <w:rsid w:val="00DE7B6E"/>
    <w:rsid w:val="00DE7F9D"/>
    <w:rsid w:val="00DF074F"/>
    <w:rsid w:val="00DF12B3"/>
    <w:rsid w:val="00DF151A"/>
    <w:rsid w:val="00DF1A16"/>
    <w:rsid w:val="00DF1C08"/>
    <w:rsid w:val="00DF1E44"/>
    <w:rsid w:val="00DF21F4"/>
    <w:rsid w:val="00DF2583"/>
    <w:rsid w:val="00DF26B1"/>
    <w:rsid w:val="00DF2CE5"/>
    <w:rsid w:val="00DF2E7F"/>
    <w:rsid w:val="00DF3158"/>
    <w:rsid w:val="00DF3219"/>
    <w:rsid w:val="00DF3DA5"/>
    <w:rsid w:val="00DF45A1"/>
    <w:rsid w:val="00DF4FB9"/>
    <w:rsid w:val="00DF57F5"/>
    <w:rsid w:val="00DF6037"/>
    <w:rsid w:val="00DF7113"/>
    <w:rsid w:val="00E00775"/>
    <w:rsid w:val="00E0085F"/>
    <w:rsid w:val="00E011E9"/>
    <w:rsid w:val="00E01CA7"/>
    <w:rsid w:val="00E01F7A"/>
    <w:rsid w:val="00E02E95"/>
    <w:rsid w:val="00E033BA"/>
    <w:rsid w:val="00E03692"/>
    <w:rsid w:val="00E0382F"/>
    <w:rsid w:val="00E03980"/>
    <w:rsid w:val="00E041EC"/>
    <w:rsid w:val="00E047AD"/>
    <w:rsid w:val="00E054C6"/>
    <w:rsid w:val="00E058EE"/>
    <w:rsid w:val="00E06676"/>
    <w:rsid w:val="00E06A0D"/>
    <w:rsid w:val="00E06F9C"/>
    <w:rsid w:val="00E075DE"/>
    <w:rsid w:val="00E07AA3"/>
    <w:rsid w:val="00E07AB5"/>
    <w:rsid w:val="00E11DB0"/>
    <w:rsid w:val="00E1213E"/>
    <w:rsid w:val="00E128EB"/>
    <w:rsid w:val="00E12CBB"/>
    <w:rsid w:val="00E12D6C"/>
    <w:rsid w:val="00E12EDF"/>
    <w:rsid w:val="00E13299"/>
    <w:rsid w:val="00E1448C"/>
    <w:rsid w:val="00E147A2"/>
    <w:rsid w:val="00E14B7B"/>
    <w:rsid w:val="00E14D04"/>
    <w:rsid w:val="00E1520B"/>
    <w:rsid w:val="00E15B76"/>
    <w:rsid w:val="00E1663B"/>
    <w:rsid w:val="00E16B28"/>
    <w:rsid w:val="00E16D2F"/>
    <w:rsid w:val="00E17B40"/>
    <w:rsid w:val="00E17D6E"/>
    <w:rsid w:val="00E17F71"/>
    <w:rsid w:val="00E21224"/>
    <w:rsid w:val="00E22E87"/>
    <w:rsid w:val="00E2360B"/>
    <w:rsid w:val="00E23B81"/>
    <w:rsid w:val="00E23C52"/>
    <w:rsid w:val="00E23C67"/>
    <w:rsid w:val="00E23CEF"/>
    <w:rsid w:val="00E25073"/>
    <w:rsid w:val="00E250FA"/>
    <w:rsid w:val="00E25B09"/>
    <w:rsid w:val="00E26231"/>
    <w:rsid w:val="00E2631F"/>
    <w:rsid w:val="00E26729"/>
    <w:rsid w:val="00E26A6B"/>
    <w:rsid w:val="00E27665"/>
    <w:rsid w:val="00E278AC"/>
    <w:rsid w:val="00E27BEE"/>
    <w:rsid w:val="00E303AF"/>
    <w:rsid w:val="00E3052B"/>
    <w:rsid w:val="00E30807"/>
    <w:rsid w:val="00E31710"/>
    <w:rsid w:val="00E31C61"/>
    <w:rsid w:val="00E32188"/>
    <w:rsid w:val="00E323E7"/>
    <w:rsid w:val="00E32490"/>
    <w:rsid w:val="00E32616"/>
    <w:rsid w:val="00E328D8"/>
    <w:rsid w:val="00E32CE2"/>
    <w:rsid w:val="00E32D37"/>
    <w:rsid w:val="00E33C12"/>
    <w:rsid w:val="00E33F65"/>
    <w:rsid w:val="00E34142"/>
    <w:rsid w:val="00E3495E"/>
    <w:rsid w:val="00E34A32"/>
    <w:rsid w:val="00E3591A"/>
    <w:rsid w:val="00E35FEA"/>
    <w:rsid w:val="00E36E69"/>
    <w:rsid w:val="00E37667"/>
    <w:rsid w:val="00E406DA"/>
    <w:rsid w:val="00E40709"/>
    <w:rsid w:val="00E40ADA"/>
    <w:rsid w:val="00E40B89"/>
    <w:rsid w:val="00E415FC"/>
    <w:rsid w:val="00E4170E"/>
    <w:rsid w:val="00E419DD"/>
    <w:rsid w:val="00E41CC9"/>
    <w:rsid w:val="00E41D81"/>
    <w:rsid w:val="00E42F2A"/>
    <w:rsid w:val="00E4307E"/>
    <w:rsid w:val="00E43398"/>
    <w:rsid w:val="00E43559"/>
    <w:rsid w:val="00E43FB8"/>
    <w:rsid w:val="00E44214"/>
    <w:rsid w:val="00E44A83"/>
    <w:rsid w:val="00E44BFF"/>
    <w:rsid w:val="00E44C59"/>
    <w:rsid w:val="00E44E8D"/>
    <w:rsid w:val="00E4549D"/>
    <w:rsid w:val="00E45BF2"/>
    <w:rsid w:val="00E45DEA"/>
    <w:rsid w:val="00E469E5"/>
    <w:rsid w:val="00E47684"/>
    <w:rsid w:val="00E47FA6"/>
    <w:rsid w:val="00E50C4C"/>
    <w:rsid w:val="00E51829"/>
    <w:rsid w:val="00E51A0D"/>
    <w:rsid w:val="00E51E11"/>
    <w:rsid w:val="00E526E2"/>
    <w:rsid w:val="00E53BD5"/>
    <w:rsid w:val="00E54291"/>
    <w:rsid w:val="00E5459C"/>
    <w:rsid w:val="00E549C2"/>
    <w:rsid w:val="00E557B5"/>
    <w:rsid w:val="00E563A7"/>
    <w:rsid w:val="00E56BD8"/>
    <w:rsid w:val="00E56F3C"/>
    <w:rsid w:val="00E57B6A"/>
    <w:rsid w:val="00E57B77"/>
    <w:rsid w:val="00E60733"/>
    <w:rsid w:val="00E60952"/>
    <w:rsid w:val="00E61A4C"/>
    <w:rsid w:val="00E61E23"/>
    <w:rsid w:val="00E620A6"/>
    <w:rsid w:val="00E6210D"/>
    <w:rsid w:val="00E62171"/>
    <w:rsid w:val="00E62768"/>
    <w:rsid w:val="00E62966"/>
    <w:rsid w:val="00E6462C"/>
    <w:rsid w:val="00E649F9"/>
    <w:rsid w:val="00E65BCA"/>
    <w:rsid w:val="00E66365"/>
    <w:rsid w:val="00E672FB"/>
    <w:rsid w:val="00E676F9"/>
    <w:rsid w:val="00E70455"/>
    <w:rsid w:val="00E71702"/>
    <w:rsid w:val="00E719D3"/>
    <w:rsid w:val="00E71E37"/>
    <w:rsid w:val="00E720E5"/>
    <w:rsid w:val="00E720FE"/>
    <w:rsid w:val="00E72A86"/>
    <w:rsid w:val="00E72C29"/>
    <w:rsid w:val="00E730D2"/>
    <w:rsid w:val="00E73583"/>
    <w:rsid w:val="00E73996"/>
    <w:rsid w:val="00E74EE7"/>
    <w:rsid w:val="00E74FD9"/>
    <w:rsid w:val="00E76782"/>
    <w:rsid w:val="00E76956"/>
    <w:rsid w:val="00E77008"/>
    <w:rsid w:val="00E77030"/>
    <w:rsid w:val="00E779CB"/>
    <w:rsid w:val="00E80B80"/>
    <w:rsid w:val="00E814BC"/>
    <w:rsid w:val="00E81603"/>
    <w:rsid w:val="00E81A4E"/>
    <w:rsid w:val="00E82103"/>
    <w:rsid w:val="00E83D1B"/>
    <w:rsid w:val="00E84031"/>
    <w:rsid w:val="00E84AB4"/>
    <w:rsid w:val="00E84B48"/>
    <w:rsid w:val="00E84EBF"/>
    <w:rsid w:val="00E8590A"/>
    <w:rsid w:val="00E85F38"/>
    <w:rsid w:val="00E861A8"/>
    <w:rsid w:val="00E86216"/>
    <w:rsid w:val="00E869C0"/>
    <w:rsid w:val="00E86ED2"/>
    <w:rsid w:val="00E87629"/>
    <w:rsid w:val="00E87846"/>
    <w:rsid w:val="00E87853"/>
    <w:rsid w:val="00E90423"/>
    <w:rsid w:val="00E9047F"/>
    <w:rsid w:val="00E90630"/>
    <w:rsid w:val="00E91621"/>
    <w:rsid w:val="00E91C47"/>
    <w:rsid w:val="00E91D26"/>
    <w:rsid w:val="00E91D47"/>
    <w:rsid w:val="00E92935"/>
    <w:rsid w:val="00E93CE0"/>
    <w:rsid w:val="00E949D3"/>
    <w:rsid w:val="00E94C45"/>
    <w:rsid w:val="00E94C9C"/>
    <w:rsid w:val="00E957E1"/>
    <w:rsid w:val="00E95E9B"/>
    <w:rsid w:val="00E96473"/>
    <w:rsid w:val="00E96648"/>
    <w:rsid w:val="00E9686D"/>
    <w:rsid w:val="00E96BD9"/>
    <w:rsid w:val="00E97928"/>
    <w:rsid w:val="00E97A5E"/>
    <w:rsid w:val="00EA0284"/>
    <w:rsid w:val="00EA046C"/>
    <w:rsid w:val="00EA06E9"/>
    <w:rsid w:val="00EA0D57"/>
    <w:rsid w:val="00EA0E45"/>
    <w:rsid w:val="00EA1EAD"/>
    <w:rsid w:val="00EA1F92"/>
    <w:rsid w:val="00EA205B"/>
    <w:rsid w:val="00EA2486"/>
    <w:rsid w:val="00EA3682"/>
    <w:rsid w:val="00EA4907"/>
    <w:rsid w:val="00EA4974"/>
    <w:rsid w:val="00EA4A2E"/>
    <w:rsid w:val="00EA4C2C"/>
    <w:rsid w:val="00EA5618"/>
    <w:rsid w:val="00EA570D"/>
    <w:rsid w:val="00EA6303"/>
    <w:rsid w:val="00EA66D9"/>
    <w:rsid w:val="00EA67A1"/>
    <w:rsid w:val="00EA6872"/>
    <w:rsid w:val="00EA6B90"/>
    <w:rsid w:val="00EA6EA1"/>
    <w:rsid w:val="00EA7A0F"/>
    <w:rsid w:val="00EA7FDA"/>
    <w:rsid w:val="00EB04B5"/>
    <w:rsid w:val="00EB1073"/>
    <w:rsid w:val="00EB199B"/>
    <w:rsid w:val="00EB1E61"/>
    <w:rsid w:val="00EB210B"/>
    <w:rsid w:val="00EB269D"/>
    <w:rsid w:val="00EB2979"/>
    <w:rsid w:val="00EB2B62"/>
    <w:rsid w:val="00EB39F9"/>
    <w:rsid w:val="00EB3BCE"/>
    <w:rsid w:val="00EB47E5"/>
    <w:rsid w:val="00EB480C"/>
    <w:rsid w:val="00EB498A"/>
    <w:rsid w:val="00EB54B2"/>
    <w:rsid w:val="00EB5877"/>
    <w:rsid w:val="00EB5CAD"/>
    <w:rsid w:val="00EB621E"/>
    <w:rsid w:val="00EB65A1"/>
    <w:rsid w:val="00EB6633"/>
    <w:rsid w:val="00EB684B"/>
    <w:rsid w:val="00EB6D95"/>
    <w:rsid w:val="00EB7939"/>
    <w:rsid w:val="00EB7A37"/>
    <w:rsid w:val="00EB7C89"/>
    <w:rsid w:val="00EB7CD7"/>
    <w:rsid w:val="00EB7CFF"/>
    <w:rsid w:val="00EB7D0A"/>
    <w:rsid w:val="00EC0054"/>
    <w:rsid w:val="00EC0DD2"/>
    <w:rsid w:val="00EC0E73"/>
    <w:rsid w:val="00EC1543"/>
    <w:rsid w:val="00EC23B5"/>
    <w:rsid w:val="00EC2C2F"/>
    <w:rsid w:val="00EC2CF2"/>
    <w:rsid w:val="00EC3159"/>
    <w:rsid w:val="00EC323A"/>
    <w:rsid w:val="00EC34E3"/>
    <w:rsid w:val="00EC3D4A"/>
    <w:rsid w:val="00EC43D9"/>
    <w:rsid w:val="00EC4820"/>
    <w:rsid w:val="00EC52C7"/>
    <w:rsid w:val="00EC55F5"/>
    <w:rsid w:val="00EC5DD1"/>
    <w:rsid w:val="00EC70F7"/>
    <w:rsid w:val="00EC7EB7"/>
    <w:rsid w:val="00ED02EF"/>
    <w:rsid w:val="00ED053F"/>
    <w:rsid w:val="00ED1A2D"/>
    <w:rsid w:val="00ED241C"/>
    <w:rsid w:val="00ED28D4"/>
    <w:rsid w:val="00ED2F2E"/>
    <w:rsid w:val="00ED3A50"/>
    <w:rsid w:val="00ED44D1"/>
    <w:rsid w:val="00ED46D7"/>
    <w:rsid w:val="00ED542F"/>
    <w:rsid w:val="00ED56A7"/>
    <w:rsid w:val="00ED57AB"/>
    <w:rsid w:val="00ED6A8D"/>
    <w:rsid w:val="00ED6B2E"/>
    <w:rsid w:val="00ED710B"/>
    <w:rsid w:val="00ED7133"/>
    <w:rsid w:val="00ED78EF"/>
    <w:rsid w:val="00EE0223"/>
    <w:rsid w:val="00EE11F8"/>
    <w:rsid w:val="00EE1C45"/>
    <w:rsid w:val="00EE27E2"/>
    <w:rsid w:val="00EE2819"/>
    <w:rsid w:val="00EE2EC4"/>
    <w:rsid w:val="00EE33D3"/>
    <w:rsid w:val="00EE38B4"/>
    <w:rsid w:val="00EE392A"/>
    <w:rsid w:val="00EE3F23"/>
    <w:rsid w:val="00EE450F"/>
    <w:rsid w:val="00EE46F6"/>
    <w:rsid w:val="00EE59ED"/>
    <w:rsid w:val="00EE6168"/>
    <w:rsid w:val="00EE64FA"/>
    <w:rsid w:val="00EE6853"/>
    <w:rsid w:val="00EE6C9F"/>
    <w:rsid w:val="00EE7E5F"/>
    <w:rsid w:val="00EF04B9"/>
    <w:rsid w:val="00EF067D"/>
    <w:rsid w:val="00EF105D"/>
    <w:rsid w:val="00EF24F5"/>
    <w:rsid w:val="00EF2565"/>
    <w:rsid w:val="00EF27D0"/>
    <w:rsid w:val="00EF28B1"/>
    <w:rsid w:val="00EF2C41"/>
    <w:rsid w:val="00EF2DE8"/>
    <w:rsid w:val="00EF32F6"/>
    <w:rsid w:val="00EF36E5"/>
    <w:rsid w:val="00EF38E8"/>
    <w:rsid w:val="00EF4580"/>
    <w:rsid w:val="00EF503A"/>
    <w:rsid w:val="00EF539F"/>
    <w:rsid w:val="00EF662C"/>
    <w:rsid w:val="00EF6928"/>
    <w:rsid w:val="00F00C4E"/>
    <w:rsid w:val="00F01326"/>
    <w:rsid w:val="00F016E4"/>
    <w:rsid w:val="00F01B75"/>
    <w:rsid w:val="00F02297"/>
    <w:rsid w:val="00F023D3"/>
    <w:rsid w:val="00F0259B"/>
    <w:rsid w:val="00F03C06"/>
    <w:rsid w:val="00F04097"/>
    <w:rsid w:val="00F045E2"/>
    <w:rsid w:val="00F04B52"/>
    <w:rsid w:val="00F05409"/>
    <w:rsid w:val="00F0689B"/>
    <w:rsid w:val="00F06B5E"/>
    <w:rsid w:val="00F06E52"/>
    <w:rsid w:val="00F06F62"/>
    <w:rsid w:val="00F07EC3"/>
    <w:rsid w:val="00F100E0"/>
    <w:rsid w:val="00F10625"/>
    <w:rsid w:val="00F1079D"/>
    <w:rsid w:val="00F107E8"/>
    <w:rsid w:val="00F11209"/>
    <w:rsid w:val="00F1147E"/>
    <w:rsid w:val="00F11C39"/>
    <w:rsid w:val="00F11CEB"/>
    <w:rsid w:val="00F1248F"/>
    <w:rsid w:val="00F1264C"/>
    <w:rsid w:val="00F13573"/>
    <w:rsid w:val="00F13AB7"/>
    <w:rsid w:val="00F1432C"/>
    <w:rsid w:val="00F14673"/>
    <w:rsid w:val="00F1469A"/>
    <w:rsid w:val="00F1480E"/>
    <w:rsid w:val="00F149A3"/>
    <w:rsid w:val="00F153A2"/>
    <w:rsid w:val="00F15443"/>
    <w:rsid w:val="00F15BD1"/>
    <w:rsid w:val="00F1677E"/>
    <w:rsid w:val="00F16BB0"/>
    <w:rsid w:val="00F1767B"/>
    <w:rsid w:val="00F20D77"/>
    <w:rsid w:val="00F20E6E"/>
    <w:rsid w:val="00F210A3"/>
    <w:rsid w:val="00F211C1"/>
    <w:rsid w:val="00F21309"/>
    <w:rsid w:val="00F21537"/>
    <w:rsid w:val="00F21EEB"/>
    <w:rsid w:val="00F226EF"/>
    <w:rsid w:val="00F23077"/>
    <w:rsid w:val="00F234F2"/>
    <w:rsid w:val="00F23B62"/>
    <w:rsid w:val="00F24313"/>
    <w:rsid w:val="00F24A2F"/>
    <w:rsid w:val="00F252F7"/>
    <w:rsid w:val="00F25AC7"/>
    <w:rsid w:val="00F25F15"/>
    <w:rsid w:val="00F26171"/>
    <w:rsid w:val="00F261FF"/>
    <w:rsid w:val="00F2662F"/>
    <w:rsid w:val="00F26877"/>
    <w:rsid w:val="00F26C20"/>
    <w:rsid w:val="00F30562"/>
    <w:rsid w:val="00F30A69"/>
    <w:rsid w:val="00F30AD8"/>
    <w:rsid w:val="00F30CB3"/>
    <w:rsid w:val="00F315BC"/>
    <w:rsid w:val="00F3163A"/>
    <w:rsid w:val="00F31A97"/>
    <w:rsid w:val="00F31E33"/>
    <w:rsid w:val="00F320EB"/>
    <w:rsid w:val="00F32E30"/>
    <w:rsid w:val="00F3344A"/>
    <w:rsid w:val="00F3372C"/>
    <w:rsid w:val="00F33FEC"/>
    <w:rsid w:val="00F35842"/>
    <w:rsid w:val="00F36501"/>
    <w:rsid w:val="00F36694"/>
    <w:rsid w:val="00F367FB"/>
    <w:rsid w:val="00F36CD4"/>
    <w:rsid w:val="00F3767D"/>
    <w:rsid w:val="00F400F5"/>
    <w:rsid w:val="00F4093E"/>
    <w:rsid w:val="00F4170C"/>
    <w:rsid w:val="00F41879"/>
    <w:rsid w:val="00F41AD6"/>
    <w:rsid w:val="00F41B4F"/>
    <w:rsid w:val="00F41CFF"/>
    <w:rsid w:val="00F4243B"/>
    <w:rsid w:val="00F42646"/>
    <w:rsid w:val="00F42EA6"/>
    <w:rsid w:val="00F43598"/>
    <w:rsid w:val="00F43A0D"/>
    <w:rsid w:val="00F43A22"/>
    <w:rsid w:val="00F43F6D"/>
    <w:rsid w:val="00F4658D"/>
    <w:rsid w:val="00F4667C"/>
    <w:rsid w:val="00F46963"/>
    <w:rsid w:val="00F47047"/>
    <w:rsid w:val="00F50354"/>
    <w:rsid w:val="00F50392"/>
    <w:rsid w:val="00F50828"/>
    <w:rsid w:val="00F50AA7"/>
    <w:rsid w:val="00F50BC0"/>
    <w:rsid w:val="00F516EF"/>
    <w:rsid w:val="00F52F00"/>
    <w:rsid w:val="00F53002"/>
    <w:rsid w:val="00F541FA"/>
    <w:rsid w:val="00F54714"/>
    <w:rsid w:val="00F54BA2"/>
    <w:rsid w:val="00F558D4"/>
    <w:rsid w:val="00F55FFC"/>
    <w:rsid w:val="00F56F60"/>
    <w:rsid w:val="00F574F8"/>
    <w:rsid w:val="00F577C6"/>
    <w:rsid w:val="00F57800"/>
    <w:rsid w:val="00F603F5"/>
    <w:rsid w:val="00F604D4"/>
    <w:rsid w:val="00F60928"/>
    <w:rsid w:val="00F60A35"/>
    <w:rsid w:val="00F6185D"/>
    <w:rsid w:val="00F61F4B"/>
    <w:rsid w:val="00F62238"/>
    <w:rsid w:val="00F62391"/>
    <w:rsid w:val="00F62A2D"/>
    <w:rsid w:val="00F62C03"/>
    <w:rsid w:val="00F62D5E"/>
    <w:rsid w:val="00F63A0E"/>
    <w:rsid w:val="00F63CF0"/>
    <w:rsid w:val="00F642E8"/>
    <w:rsid w:val="00F64B72"/>
    <w:rsid w:val="00F64FC3"/>
    <w:rsid w:val="00F65A96"/>
    <w:rsid w:val="00F65B4B"/>
    <w:rsid w:val="00F66F43"/>
    <w:rsid w:val="00F70DE2"/>
    <w:rsid w:val="00F7113A"/>
    <w:rsid w:val="00F7132A"/>
    <w:rsid w:val="00F71783"/>
    <w:rsid w:val="00F721E8"/>
    <w:rsid w:val="00F721EA"/>
    <w:rsid w:val="00F72B0E"/>
    <w:rsid w:val="00F72BF8"/>
    <w:rsid w:val="00F72D40"/>
    <w:rsid w:val="00F72F42"/>
    <w:rsid w:val="00F731D2"/>
    <w:rsid w:val="00F73A5D"/>
    <w:rsid w:val="00F73C9D"/>
    <w:rsid w:val="00F73E94"/>
    <w:rsid w:val="00F740E5"/>
    <w:rsid w:val="00F743FE"/>
    <w:rsid w:val="00F747EF"/>
    <w:rsid w:val="00F74FA0"/>
    <w:rsid w:val="00F75320"/>
    <w:rsid w:val="00F75451"/>
    <w:rsid w:val="00F75913"/>
    <w:rsid w:val="00F75D82"/>
    <w:rsid w:val="00F76222"/>
    <w:rsid w:val="00F763DC"/>
    <w:rsid w:val="00F767A8"/>
    <w:rsid w:val="00F76D63"/>
    <w:rsid w:val="00F77748"/>
    <w:rsid w:val="00F77DB8"/>
    <w:rsid w:val="00F77E2A"/>
    <w:rsid w:val="00F8050A"/>
    <w:rsid w:val="00F8067F"/>
    <w:rsid w:val="00F80C8A"/>
    <w:rsid w:val="00F81169"/>
    <w:rsid w:val="00F82251"/>
    <w:rsid w:val="00F83339"/>
    <w:rsid w:val="00F83410"/>
    <w:rsid w:val="00F8345E"/>
    <w:rsid w:val="00F83651"/>
    <w:rsid w:val="00F84CA9"/>
    <w:rsid w:val="00F858A2"/>
    <w:rsid w:val="00F85A8A"/>
    <w:rsid w:val="00F85DB9"/>
    <w:rsid w:val="00F85E5F"/>
    <w:rsid w:val="00F8681C"/>
    <w:rsid w:val="00F86C07"/>
    <w:rsid w:val="00F870E1"/>
    <w:rsid w:val="00F87558"/>
    <w:rsid w:val="00F8775E"/>
    <w:rsid w:val="00F87A7C"/>
    <w:rsid w:val="00F9103A"/>
    <w:rsid w:val="00F912FF"/>
    <w:rsid w:val="00F938D7"/>
    <w:rsid w:val="00F9431A"/>
    <w:rsid w:val="00F94466"/>
    <w:rsid w:val="00F9465E"/>
    <w:rsid w:val="00F94CF3"/>
    <w:rsid w:val="00F94E66"/>
    <w:rsid w:val="00F957C9"/>
    <w:rsid w:val="00F96182"/>
    <w:rsid w:val="00F963DA"/>
    <w:rsid w:val="00F9643D"/>
    <w:rsid w:val="00F967F7"/>
    <w:rsid w:val="00F9702D"/>
    <w:rsid w:val="00F97BDC"/>
    <w:rsid w:val="00FA0311"/>
    <w:rsid w:val="00FA106A"/>
    <w:rsid w:val="00FA15C8"/>
    <w:rsid w:val="00FA2240"/>
    <w:rsid w:val="00FA27B3"/>
    <w:rsid w:val="00FA35F0"/>
    <w:rsid w:val="00FA560A"/>
    <w:rsid w:val="00FA5B44"/>
    <w:rsid w:val="00FA68B5"/>
    <w:rsid w:val="00FA7753"/>
    <w:rsid w:val="00FA77BD"/>
    <w:rsid w:val="00FB04B0"/>
    <w:rsid w:val="00FB188E"/>
    <w:rsid w:val="00FB20FB"/>
    <w:rsid w:val="00FB21C9"/>
    <w:rsid w:val="00FB240E"/>
    <w:rsid w:val="00FB280F"/>
    <w:rsid w:val="00FB3415"/>
    <w:rsid w:val="00FB35FD"/>
    <w:rsid w:val="00FB44B4"/>
    <w:rsid w:val="00FB4FC9"/>
    <w:rsid w:val="00FB5814"/>
    <w:rsid w:val="00FB599F"/>
    <w:rsid w:val="00FB6AE0"/>
    <w:rsid w:val="00FB791F"/>
    <w:rsid w:val="00FB7943"/>
    <w:rsid w:val="00FB7C6D"/>
    <w:rsid w:val="00FB7F47"/>
    <w:rsid w:val="00FC0372"/>
    <w:rsid w:val="00FC100B"/>
    <w:rsid w:val="00FC1B2C"/>
    <w:rsid w:val="00FC1F2F"/>
    <w:rsid w:val="00FC2034"/>
    <w:rsid w:val="00FC2109"/>
    <w:rsid w:val="00FC247E"/>
    <w:rsid w:val="00FC2DF9"/>
    <w:rsid w:val="00FC2EDD"/>
    <w:rsid w:val="00FC317E"/>
    <w:rsid w:val="00FC3FA0"/>
    <w:rsid w:val="00FC49E2"/>
    <w:rsid w:val="00FC503A"/>
    <w:rsid w:val="00FC58F4"/>
    <w:rsid w:val="00FC6803"/>
    <w:rsid w:val="00FC6D9B"/>
    <w:rsid w:val="00FC705B"/>
    <w:rsid w:val="00FC7517"/>
    <w:rsid w:val="00FC799F"/>
    <w:rsid w:val="00FC7B18"/>
    <w:rsid w:val="00FD0020"/>
    <w:rsid w:val="00FD007A"/>
    <w:rsid w:val="00FD11D9"/>
    <w:rsid w:val="00FD11F8"/>
    <w:rsid w:val="00FD1613"/>
    <w:rsid w:val="00FD22D4"/>
    <w:rsid w:val="00FD24B0"/>
    <w:rsid w:val="00FD3237"/>
    <w:rsid w:val="00FD36F8"/>
    <w:rsid w:val="00FD3917"/>
    <w:rsid w:val="00FD4326"/>
    <w:rsid w:val="00FD4BC6"/>
    <w:rsid w:val="00FD5554"/>
    <w:rsid w:val="00FD5C7D"/>
    <w:rsid w:val="00FD64EB"/>
    <w:rsid w:val="00FD6A99"/>
    <w:rsid w:val="00FD7A3D"/>
    <w:rsid w:val="00FD7C5E"/>
    <w:rsid w:val="00FE098C"/>
    <w:rsid w:val="00FE0AF5"/>
    <w:rsid w:val="00FE0D21"/>
    <w:rsid w:val="00FE162B"/>
    <w:rsid w:val="00FE21E9"/>
    <w:rsid w:val="00FE29CF"/>
    <w:rsid w:val="00FE2D16"/>
    <w:rsid w:val="00FE31B2"/>
    <w:rsid w:val="00FE3716"/>
    <w:rsid w:val="00FE4D74"/>
    <w:rsid w:val="00FE4F70"/>
    <w:rsid w:val="00FE4FCE"/>
    <w:rsid w:val="00FE559F"/>
    <w:rsid w:val="00FE6C1B"/>
    <w:rsid w:val="00FE712A"/>
    <w:rsid w:val="00FE721A"/>
    <w:rsid w:val="00FE7473"/>
    <w:rsid w:val="00FE77A6"/>
    <w:rsid w:val="00FE7B51"/>
    <w:rsid w:val="00FF0CD1"/>
    <w:rsid w:val="00FF0F4C"/>
    <w:rsid w:val="00FF1197"/>
    <w:rsid w:val="00FF12BE"/>
    <w:rsid w:val="00FF33A9"/>
    <w:rsid w:val="00FF34B4"/>
    <w:rsid w:val="00FF3582"/>
    <w:rsid w:val="00FF36DA"/>
    <w:rsid w:val="00FF3907"/>
    <w:rsid w:val="00FF3BC9"/>
    <w:rsid w:val="00FF4F68"/>
    <w:rsid w:val="00FF5044"/>
    <w:rsid w:val="00FF52DE"/>
    <w:rsid w:val="00FF565C"/>
    <w:rsid w:val="00FF5F0C"/>
    <w:rsid w:val="00FF601C"/>
    <w:rsid w:val="00FF61B2"/>
    <w:rsid w:val="00FF64BE"/>
    <w:rsid w:val="00FF70B5"/>
    <w:rsid w:val="00FF7189"/>
    <w:rsid w:val="00FF74A0"/>
    <w:rsid w:val="00FF7721"/>
    <w:rsid w:val="00FF7B45"/>
    <w:rsid w:val="00FF7F30"/>
    <w:rsid w:val="011A11A4"/>
    <w:rsid w:val="014B5B44"/>
    <w:rsid w:val="018C5F7F"/>
    <w:rsid w:val="01932DC6"/>
    <w:rsid w:val="01BE4069"/>
    <w:rsid w:val="01BE5800"/>
    <w:rsid w:val="01E144C8"/>
    <w:rsid w:val="01E46F65"/>
    <w:rsid w:val="023B4FA2"/>
    <w:rsid w:val="02E536DD"/>
    <w:rsid w:val="03F06C42"/>
    <w:rsid w:val="041B3357"/>
    <w:rsid w:val="04C34346"/>
    <w:rsid w:val="04E30437"/>
    <w:rsid w:val="054C00FE"/>
    <w:rsid w:val="05F41FAA"/>
    <w:rsid w:val="063B78DC"/>
    <w:rsid w:val="065B747D"/>
    <w:rsid w:val="074108D7"/>
    <w:rsid w:val="076E0F6D"/>
    <w:rsid w:val="07E84F31"/>
    <w:rsid w:val="0839529D"/>
    <w:rsid w:val="08B63BCD"/>
    <w:rsid w:val="09974C33"/>
    <w:rsid w:val="09B82947"/>
    <w:rsid w:val="0AB61D0E"/>
    <w:rsid w:val="0AFF69E2"/>
    <w:rsid w:val="0B1F460F"/>
    <w:rsid w:val="0B5D4C2E"/>
    <w:rsid w:val="0B7A60DC"/>
    <w:rsid w:val="0BF958C7"/>
    <w:rsid w:val="0C3F3332"/>
    <w:rsid w:val="0C5A09A9"/>
    <w:rsid w:val="0CDB719E"/>
    <w:rsid w:val="0CEE2B62"/>
    <w:rsid w:val="0E0812B7"/>
    <w:rsid w:val="0E712077"/>
    <w:rsid w:val="0EAB6A73"/>
    <w:rsid w:val="0F4D0707"/>
    <w:rsid w:val="0FBA2A45"/>
    <w:rsid w:val="0FC41654"/>
    <w:rsid w:val="0FDE7285"/>
    <w:rsid w:val="0FF52AC8"/>
    <w:rsid w:val="118C2ED5"/>
    <w:rsid w:val="11AB1672"/>
    <w:rsid w:val="11B83D31"/>
    <w:rsid w:val="126B4AD8"/>
    <w:rsid w:val="12795B29"/>
    <w:rsid w:val="12F62B63"/>
    <w:rsid w:val="13696837"/>
    <w:rsid w:val="13B31AEC"/>
    <w:rsid w:val="13FE3FBA"/>
    <w:rsid w:val="140E1568"/>
    <w:rsid w:val="14404369"/>
    <w:rsid w:val="144438C1"/>
    <w:rsid w:val="14743674"/>
    <w:rsid w:val="15190FE8"/>
    <w:rsid w:val="15C47445"/>
    <w:rsid w:val="16123557"/>
    <w:rsid w:val="168749ED"/>
    <w:rsid w:val="16F30739"/>
    <w:rsid w:val="17022978"/>
    <w:rsid w:val="175D674F"/>
    <w:rsid w:val="17CD2550"/>
    <w:rsid w:val="18114189"/>
    <w:rsid w:val="18A920E9"/>
    <w:rsid w:val="18EE0096"/>
    <w:rsid w:val="18F06F2D"/>
    <w:rsid w:val="18F60CCD"/>
    <w:rsid w:val="19337D29"/>
    <w:rsid w:val="197B7B7C"/>
    <w:rsid w:val="19AD7F51"/>
    <w:rsid w:val="1A4F113B"/>
    <w:rsid w:val="1A710F7F"/>
    <w:rsid w:val="1B744165"/>
    <w:rsid w:val="1B9969DF"/>
    <w:rsid w:val="1BA50D14"/>
    <w:rsid w:val="1BA677E7"/>
    <w:rsid w:val="1C625D30"/>
    <w:rsid w:val="1C73194E"/>
    <w:rsid w:val="1C7671E3"/>
    <w:rsid w:val="1C777601"/>
    <w:rsid w:val="1C8A493E"/>
    <w:rsid w:val="1CCB6998"/>
    <w:rsid w:val="1CD6623F"/>
    <w:rsid w:val="1CF90898"/>
    <w:rsid w:val="1CFA0FE7"/>
    <w:rsid w:val="1D8C69C4"/>
    <w:rsid w:val="1DDC4086"/>
    <w:rsid w:val="1E1C7C6C"/>
    <w:rsid w:val="1E786F00"/>
    <w:rsid w:val="1E8A1A8A"/>
    <w:rsid w:val="1EF67CA4"/>
    <w:rsid w:val="1F0E4FEE"/>
    <w:rsid w:val="1F1F65F5"/>
    <w:rsid w:val="1F343C02"/>
    <w:rsid w:val="1FAC7E53"/>
    <w:rsid w:val="1FBA5A84"/>
    <w:rsid w:val="1FC35DD8"/>
    <w:rsid w:val="20496B04"/>
    <w:rsid w:val="20517FE3"/>
    <w:rsid w:val="20AF1FB5"/>
    <w:rsid w:val="20CE2C18"/>
    <w:rsid w:val="20F45DCC"/>
    <w:rsid w:val="217C1DAF"/>
    <w:rsid w:val="218220DE"/>
    <w:rsid w:val="220B02F8"/>
    <w:rsid w:val="222C76C6"/>
    <w:rsid w:val="22466CF3"/>
    <w:rsid w:val="2266578A"/>
    <w:rsid w:val="227708C5"/>
    <w:rsid w:val="22A344E7"/>
    <w:rsid w:val="22CE467B"/>
    <w:rsid w:val="22DE3197"/>
    <w:rsid w:val="230E0741"/>
    <w:rsid w:val="23F63E16"/>
    <w:rsid w:val="241430A6"/>
    <w:rsid w:val="243A32C2"/>
    <w:rsid w:val="24594F5D"/>
    <w:rsid w:val="25093A3B"/>
    <w:rsid w:val="25236D0D"/>
    <w:rsid w:val="252F645D"/>
    <w:rsid w:val="258858A9"/>
    <w:rsid w:val="26757E2C"/>
    <w:rsid w:val="26790701"/>
    <w:rsid w:val="26DD563E"/>
    <w:rsid w:val="273508EE"/>
    <w:rsid w:val="273B1BA5"/>
    <w:rsid w:val="27483692"/>
    <w:rsid w:val="276F6E45"/>
    <w:rsid w:val="278066D7"/>
    <w:rsid w:val="27827B0F"/>
    <w:rsid w:val="27886287"/>
    <w:rsid w:val="27F53526"/>
    <w:rsid w:val="27FA5E76"/>
    <w:rsid w:val="28690FE5"/>
    <w:rsid w:val="288E2BD2"/>
    <w:rsid w:val="28A21943"/>
    <w:rsid w:val="28DC50AB"/>
    <w:rsid w:val="28E55271"/>
    <w:rsid w:val="2923374B"/>
    <w:rsid w:val="29BD796F"/>
    <w:rsid w:val="29D82DC8"/>
    <w:rsid w:val="2A24600D"/>
    <w:rsid w:val="2A995467"/>
    <w:rsid w:val="2AAC3644"/>
    <w:rsid w:val="2B883049"/>
    <w:rsid w:val="2B8946FF"/>
    <w:rsid w:val="2BAF564A"/>
    <w:rsid w:val="2C0A4741"/>
    <w:rsid w:val="2C922019"/>
    <w:rsid w:val="2CF86E08"/>
    <w:rsid w:val="2D9B15EF"/>
    <w:rsid w:val="2E304308"/>
    <w:rsid w:val="2E910D2C"/>
    <w:rsid w:val="2EB26D79"/>
    <w:rsid w:val="2F340E8F"/>
    <w:rsid w:val="2F7145F4"/>
    <w:rsid w:val="2FE83FB2"/>
    <w:rsid w:val="301B01E3"/>
    <w:rsid w:val="30580298"/>
    <w:rsid w:val="30646F90"/>
    <w:rsid w:val="30CB0402"/>
    <w:rsid w:val="3216448E"/>
    <w:rsid w:val="322D6032"/>
    <w:rsid w:val="323D57AC"/>
    <w:rsid w:val="324D2681"/>
    <w:rsid w:val="33105381"/>
    <w:rsid w:val="34457450"/>
    <w:rsid w:val="35373F98"/>
    <w:rsid w:val="354F72C2"/>
    <w:rsid w:val="35E429CC"/>
    <w:rsid w:val="363B7932"/>
    <w:rsid w:val="365D1494"/>
    <w:rsid w:val="369D4F5C"/>
    <w:rsid w:val="36D15C2A"/>
    <w:rsid w:val="36FA4BBC"/>
    <w:rsid w:val="371D61FE"/>
    <w:rsid w:val="37455E9B"/>
    <w:rsid w:val="374B5AC3"/>
    <w:rsid w:val="38187E4F"/>
    <w:rsid w:val="3820445B"/>
    <w:rsid w:val="38210467"/>
    <w:rsid w:val="38401B73"/>
    <w:rsid w:val="384B1D2A"/>
    <w:rsid w:val="3870241E"/>
    <w:rsid w:val="39780BBB"/>
    <w:rsid w:val="3986639D"/>
    <w:rsid w:val="39D617F2"/>
    <w:rsid w:val="3A6B4AD1"/>
    <w:rsid w:val="3AEF707A"/>
    <w:rsid w:val="3B731AB5"/>
    <w:rsid w:val="3B833738"/>
    <w:rsid w:val="3B874762"/>
    <w:rsid w:val="3C2527C5"/>
    <w:rsid w:val="3CF00489"/>
    <w:rsid w:val="3D6B7F55"/>
    <w:rsid w:val="3D6F75C9"/>
    <w:rsid w:val="3DE90F01"/>
    <w:rsid w:val="3E266E35"/>
    <w:rsid w:val="3EB1337A"/>
    <w:rsid w:val="3F7F04D5"/>
    <w:rsid w:val="40A005F0"/>
    <w:rsid w:val="4106488E"/>
    <w:rsid w:val="410B53D9"/>
    <w:rsid w:val="417E1386"/>
    <w:rsid w:val="41B07784"/>
    <w:rsid w:val="41F93B94"/>
    <w:rsid w:val="422B6BF4"/>
    <w:rsid w:val="42347713"/>
    <w:rsid w:val="423C7F99"/>
    <w:rsid w:val="43714941"/>
    <w:rsid w:val="43B00A8F"/>
    <w:rsid w:val="440356A1"/>
    <w:rsid w:val="45091B37"/>
    <w:rsid w:val="45511B47"/>
    <w:rsid w:val="45555346"/>
    <w:rsid w:val="45A15DDB"/>
    <w:rsid w:val="45AA2264"/>
    <w:rsid w:val="45B22926"/>
    <w:rsid w:val="4681712C"/>
    <w:rsid w:val="468B6718"/>
    <w:rsid w:val="471C758F"/>
    <w:rsid w:val="473B23EB"/>
    <w:rsid w:val="47B32EAB"/>
    <w:rsid w:val="47C40E8C"/>
    <w:rsid w:val="486F4BA5"/>
    <w:rsid w:val="48B1218F"/>
    <w:rsid w:val="48B14AB0"/>
    <w:rsid w:val="48D6123C"/>
    <w:rsid w:val="49150F51"/>
    <w:rsid w:val="49480BD4"/>
    <w:rsid w:val="497E0E3E"/>
    <w:rsid w:val="499F04DF"/>
    <w:rsid w:val="49CB3BFF"/>
    <w:rsid w:val="4AA4619B"/>
    <w:rsid w:val="4AC7413B"/>
    <w:rsid w:val="4B284D77"/>
    <w:rsid w:val="4B756271"/>
    <w:rsid w:val="4BD44D46"/>
    <w:rsid w:val="4BEC1507"/>
    <w:rsid w:val="4C8A18A8"/>
    <w:rsid w:val="4CC626B4"/>
    <w:rsid w:val="4CD363C9"/>
    <w:rsid w:val="4D7F6702"/>
    <w:rsid w:val="4DEA0BB0"/>
    <w:rsid w:val="4E3C181F"/>
    <w:rsid w:val="4ECB756D"/>
    <w:rsid w:val="4F123950"/>
    <w:rsid w:val="4F134C73"/>
    <w:rsid w:val="4F8E4787"/>
    <w:rsid w:val="507519D9"/>
    <w:rsid w:val="50BB6564"/>
    <w:rsid w:val="50D40CD5"/>
    <w:rsid w:val="50EC442B"/>
    <w:rsid w:val="511300BE"/>
    <w:rsid w:val="51C4760A"/>
    <w:rsid w:val="52081BED"/>
    <w:rsid w:val="52127D7D"/>
    <w:rsid w:val="522A26AA"/>
    <w:rsid w:val="52412A63"/>
    <w:rsid w:val="524B0C10"/>
    <w:rsid w:val="53763D4D"/>
    <w:rsid w:val="53F809FD"/>
    <w:rsid w:val="54135280"/>
    <w:rsid w:val="54315B48"/>
    <w:rsid w:val="5526139C"/>
    <w:rsid w:val="552B2D26"/>
    <w:rsid w:val="554E1470"/>
    <w:rsid w:val="556709D9"/>
    <w:rsid w:val="55986D51"/>
    <w:rsid w:val="55D42624"/>
    <w:rsid w:val="55E57850"/>
    <w:rsid w:val="55FD30EB"/>
    <w:rsid w:val="56133CA0"/>
    <w:rsid w:val="56302B18"/>
    <w:rsid w:val="566F5FFC"/>
    <w:rsid w:val="56805FC1"/>
    <w:rsid w:val="56DD4ABD"/>
    <w:rsid w:val="5703231E"/>
    <w:rsid w:val="5709772C"/>
    <w:rsid w:val="57116442"/>
    <w:rsid w:val="571D142C"/>
    <w:rsid w:val="578D3493"/>
    <w:rsid w:val="586A7A45"/>
    <w:rsid w:val="58914C8B"/>
    <w:rsid w:val="58E3423E"/>
    <w:rsid w:val="58F23ED5"/>
    <w:rsid w:val="5956205C"/>
    <w:rsid w:val="599E6CB8"/>
    <w:rsid w:val="59E031E2"/>
    <w:rsid w:val="5A3D43FE"/>
    <w:rsid w:val="5AA974E8"/>
    <w:rsid w:val="5B1A22E7"/>
    <w:rsid w:val="5B8340E7"/>
    <w:rsid w:val="5B8D0599"/>
    <w:rsid w:val="5B937814"/>
    <w:rsid w:val="5BA627EA"/>
    <w:rsid w:val="5BAA125C"/>
    <w:rsid w:val="5C6E79F1"/>
    <w:rsid w:val="5C7F6B83"/>
    <w:rsid w:val="5C8657B1"/>
    <w:rsid w:val="5CA73484"/>
    <w:rsid w:val="5CE5499C"/>
    <w:rsid w:val="5D02548B"/>
    <w:rsid w:val="5D6879E4"/>
    <w:rsid w:val="5D77243C"/>
    <w:rsid w:val="5DCF0A73"/>
    <w:rsid w:val="5DDB0BD4"/>
    <w:rsid w:val="5E2F13E4"/>
    <w:rsid w:val="5E420235"/>
    <w:rsid w:val="5E627B5B"/>
    <w:rsid w:val="5EC546B7"/>
    <w:rsid w:val="5ED75746"/>
    <w:rsid w:val="5EE01513"/>
    <w:rsid w:val="5F9B6257"/>
    <w:rsid w:val="5FA9036D"/>
    <w:rsid w:val="5FE20A6A"/>
    <w:rsid w:val="5FE80DF1"/>
    <w:rsid w:val="60394F33"/>
    <w:rsid w:val="607A028C"/>
    <w:rsid w:val="60DF4BB3"/>
    <w:rsid w:val="6171237D"/>
    <w:rsid w:val="61904268"/>
    <w:rsid w:val="61922827"/>
    <w:rsid w:val="61985AAE"/>
    <w:rsid w:val="619B21A0"/>
    <w:rsid w:val="61C95215"/>
    <w:rsid w:val="620863D2"/>
    <w:rsid w:val="62516C98"/>
    <w:rsid w:val="626058BD"/>
    <w:rsid w:val="62B52B8F"/>
    <w:rsid w:val="62D70238"/>
    <w:rsid w:val="63181501"/>
    <w:rsid w:val="634E5810"/>
    <w:rsid w:val="63905F97"/>
    <w:rsid w:val="63A81226"/>
    <w:rsid w:val="63BF7C32"/>
    <w:rsid w:val="649015CE"/>
    <w:rsid w:val="64BB2AEF"/>
    <w:rsid w:val="64EA33D4"/>
    <w:rsid w:val="650A079C"/>
    <w:rsid w:val="659C2D76"/>
    <w:rsid w:val="65E5355A"/>
    <w:rsid w:val="67317098"/>
    <w:rsid w:val="674A3D4F"/>
    <w:rsid w:val="677156E7"/>
    <w:rsid w:val="679006E0"/>
    <w:rsid w:val="67C65499"/>
    <w:rsid w:val="68084071"/>
    <w:rsid w:val="68184F01"/>
    <w:rsid w:val="6856490D"/>
    <w:rsid w:val="6864772D"/>
    <w:rsid w:val="68832D46"/>
    <w:rsid w:val="68BC6A3B"/>
    <w:rsid w:val="68DE0C94"/>
    <w:rsid w:val="68E43F44"/>
    <w:rsid w:val="692B080A"/>
    <w:rsid w:val="696C260A"/>
    <w:rsid w:val="6A121AD7"/>
    <w:rsid w:val="6A3C248C"/>
    <w:rsid w:val="6AD23B35"/>
    <w:rsid w:val="6AEF2AEE"/>
    <w:rsid w:val="6C3226C6"/>
    <w:rsid w:val="6C545FF5"/>
    <w:rsid w:val="6C591BE2"/>
    <w:rsid w:val="6E0A4A26"/>
    <w:rsid w:val="6E4B4EE3"/>
    <w:rsid w:val="6E5E1B6C"/>
    <w:rsid w:val="6EEF71D1"/>
    <w:rsid w:val="6F021A16"/>
    <w:rsid w:val="6F1D40CE"/>
    <w:rsid w:val="6F484F7F"/>
    <w:rsid w:val="6FC876A3"/>
    <w:rsid w:val="7051517A"/>
    <w:rsid w:val="70D85BD1"/>
    <w:rsid w:val="715B338A"/>
    <w:rsid w:val="715C2F64"/>
    <w:rsid w:val="716A7ADC"/>
    <w:rsid w:val="71BA237C"/>
    <w:rsid w:val="71CA7ECC"/>
    <w:rsid w:val="71DE2E53"/>
    <w:rsid w:val="721970A7"/>
    <w:rsid w:val="721F39FF"/>
    <w:rsid w:val="726C5429"/>
    <w:rsid w:val="729E121E"/>
    <w:rsid w:val="72E23A7A"/>
    <w:rsid w:val="72F6179B"/>
    <w:rsid w:val="736D0A7A"/>
    <w:rsid w:val="738003CA"/>
    <w:rsid w:val="739D6F30"/>
    <w:rsid w:val="73C56EED"/>
    <w:rsid w:val="745D4ADD"/>
    <w:rsid w:val="74D53759"/>
    <w:rsid w:val="758D4AB4"/>
    <w:rsid w:val="75D12961"/>
    <w:rsid w:val="765941C5"/>
    <w:rsid w:val="77067347"/>
    <w:rsid w:val="773B6CD4"/>
    <w:rsid w:val="776C2BC3"/>
    <w:rsid w:val="77CE284D"/>
    <w:rsid w:val="77E30949"/>
    <w:rsid w:val="77E635C6"/>
    <w:rsid w:val="77F04406"/>
    <w:rsid w:val="77F16A53"/>
    <w:rsid w:val="77F9798C"/>
    <w:rsid w:val="783525A0"/>
    <w:rsid w:val="786F12BD"/>
    <w:rsid w:val="786F1AA9"/>
    <w:rsid w:val="7872551D"/>
    <w:rsid w:val="7920071D"/>
    <w:rsid w:val="79C52BC7"/>
    <w:rsid w:val="79C747F6"/>
    <w:rsid w:val="79FB1332"/>
    <w:rsid w:val="7A122D59"/>
    <w:rsid w:val="7A36659D"/>
    <w:rsid w:val="7A43765F"/>
    <w:rsid w:val="7A6027C1"/>
    <w:rsid w:val="7A854A12"/>
    <w:rsid w:val="7A8A0B42"/>
    <w:rsid w:val="7AF00718"/>
    <w:rsid w:val="7B237820"/>
    <w:rsid w:val="7B974622"/>
    <w:rsid w:val="7C962567"/>
    <w:rsid w:val="7D025FEB"/>
    <w:rsid w:val="7D100764"/>
    <w:rsid w:val="7D4E72F0"/>
    <w:rsid w:val="7DC66335"/>
    <w:rsid w:val="7E40063A"/>
    <w:rsid w:val="7E9219F9"/>
    <w:rsid w:val="7EE57DF5"/>
    <w:rsid w:val="7EF87B3E"/>
    <w:rsid w:val="7F302965"/>
    <w:rsid w:val="7F924DA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0" w:semiHidden="0" w:name="index 1"/>
    <w:lsdException w:unhideWhenUsed="0" w:uiPriority="0" w:semiHidden="0" w:name="index 2"/>
    <w:lsdException w:unhideWhenUsed="0" w:uiPriority="0" w:semiHidden="0" w:name="index 3"/>
    <w:lsdException w:qFormat="1" w:unhideWhenUsed="0" w:uiPriority="99"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99"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99"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qFormat="1"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qFormat="1"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99"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99" w:semiHidden="0" w:name="Emphasis"/>
    <w:lsdException w:qFormat="1" w:unhideWhenUsed="0"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99"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qFormat="1" w:unhideWhenUsed="0" w:uiPriority="59"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99" w:semiHidden="0" w:name="Quote"/>
    <w:lsdException w:qFormat="1" w:unhideWhenUsed="0" w:uiPriority="99"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63"/>
    <w:qFormat/>
    <w:uiPriority w:val="99"/>
    <w:pPr>
      <w:keepNext/>
      <w:keepLines/>
      <w:spacing w:before="340" w:beforeLines="0" w:after="330" w:afterLines="0" w:line="576" w:lineRule="auto"/>
      <w:outlineLvl w:val="0"/>
    </w:pPr>
    <w:rPr>
      <w:b/>
      <w:bCs/>
      <w:kern w:val="44"/>
      <w:sz w:val="44"/>
      <w:szCs w:val="44"/>
    </w:rPr>
  </w:style>
  <w:style w:type="paragraph" w:styleId="4">
    <w:name w:val="heading 2"/>
    <w:basedOn w:val="1"/>
    <w:next w:val="1"/>
    <w:link w:val="64"/>
    <w:qFormat/>
    <w:uiPriority w:val="99"/>
    <w:pPr>
      <w:keepNext/>
      <w:keepLines/>
      <w:spacing w:before="260" w:beforeLines="0" w:after="260" w:afterLines="0" w:line="413" w:lineRule="auto"/>
      <w:outlineLvl w:val="1"/>
    </w:pPr>
    <w:rPr>
      <w:rFonts w:ascii="Arial" w:hAnsi="Arial" w:eastAsia="黑体"/>
      <w:b/>
      <w:bCs/>
      <w:sz w:val="32"/>
      <w:szCs w:val="32"/>
    </w:rPr>
  </w:style>
  <w:style w:type="paragraph" w:styleId="5">
    <w:name w:val="heading 3"/>
    <w:basedOn w:val="1"/>
    <w:next w:val="1"/>
    <w:link w:val="65"/>
    <w:qFormat/>
    <w:uiPriority w:val="99"/>
    <w:pPr>
      <w:keepNext/>
      <w:keepLines/>
      <w:spacing w:before="260" w:beforeLines="0" w:after="260" w:afterLines="0" w:line="413" w:lineRule="auto"/>
      <w:outlineLvl w:val="2"/>
    </w:pPr>
    <w:rPr>
      <w:b/>
      <w:bCs/>
      <w:sz w:val="32"/>
      <w:szCs w:val="32"/>
    </w:rPr>
  </w:style>
  <w:style w:type="paragraph" w:styleId="6">
    <w:name w:val="heading 4"/>
    <w:basedOn w:val="1"/>
    <w:next w:val="1"/>
    <w:link w:val="66"/>
    <w:qFormat/>
    <w:uiPriority w:val="99"/>
    <w:pPr>
      <w:keepNext/>
      <w:keepLines/>
      <w:widowControl/>
      <w:spacing w:before="120" w:beforeLines="0" w:after="120" w:afterLines="0" w:line="360" w:lineRule="auto"/>
      <w:jc w:val="center"/>
      <w:outlineLvl w:val="3"/>
    </w:pPr>
    <w:rPr>
      <w:rFonts w:ascii="Arial" w:hAnsi="Arial" w:eastAsia="黑体"/>
      <w:kern w:val="0"/>
      <w:sz w:val="28"/>
      <w:szCs w:val="20"/>
    </w:rPr>
  </w:style>
  <w:style w:type="paragraph" w:styleId="7">
    <w:name w:val="heading 5"/>
    <w:basedOn w:val="1"/>
    <w:next w:val="8"/>
    <w:link w:val="67"/>
    <w:qFormat/>
    <w:uiPriority w:val="99"/>
    <w:pPr>
      <w:keepNext/>
      <w:keepLines/>
      <w:spacing w:before="280" w:after="290" w:line="372" w:lineRule="auto"/>
      <w:outlineLvl w:val="4"/>
    </w:pPr>
    <w:rPr>
      <w:b/>
      <w:sz w:val="28"/>
    </w:rPr>
  </w:style>
  <w:style w:type="paragraph" w:styleId="9">
    <w:name w:val="heading 6"/>
    <w:basedOn w:val="1"/>
    <w:next w:val="8"/>
    <w:link w:val="69"/>
    <w:qFormat/>
    <w:uiPriority w:val="9"/>
    <w:pPr>
      <w:keepNext/>
      <w:keepLines/>
      <w:spacing w:before="240" w:after="64" w:line="317" w:lineRule="auto"/>
      <w:outlineLvl w:val="5"/>
    </w:pPr>
    <w:rPr>
      <w:rFonts w:ascii="Arial" w:hAnsi="Arial" w:eastAsia="黑体"/>
      <w:b/>
      <w:sz w:val="24"/>
    </w:rPr>
  </w:style>
  <w:style w:type="paragraph" w:styleId="10">
    <w:name w:val="heading 7"/>
    <w:basedOn w:val="1"/>
    <w:next w:val="8"/>
    <w:link w:val="70"/>
    <w:qFormat/>
    <w:uiPriority w:val="9"/>
    <w:pPr>
      <w:keepNext/>
      <w:keepLines/>
      <w:spacing w:before="240" w:after="64" w:line="317" w:lineRule="auto"/>
      <w:outlineLvl w:val="6"/>
    </w:pPr>
    <w:rPr>
      <w:b/>
      <w:sz w:val="24"/>
    </w:rPr>
  </w:style>
  <w:style w:type="paragraph" w:styleId="11">
    <w:name w:val="heading 8"/>
    <w:basedOn w:val="1"/>
    <w:next w:val="8"/>
    <w:link w:val="71"/>
    <w:qFormat/>
    <w:uiPriority w:val="9"/>
    <w:pPr>
      <w:keepNext/>
      <w:keepLines/>
      <w:spacing w:before="240" w:after="64" w:line="317" w:lineRule="auto"/>
      <w:outlineLvl w:val="7"/>
    </w:pPr>
    <w:rPr>
      <w:rFonts w:ascii="Arial" w:hAnsi="Arial" w:eastAsia="黑体"/>
      <w:sz w:val="24"/>
    </w:rPr>
  </w:style>
  <w:style w:type="paragraph" w:styleId="12">
    <w:name w:val="heading 9"/>
    <w:basedOn w:val="1"/>
    <w:next w:val="8"/>
    <w:link w:val="72"/>
    <w:qFormat/>
    <w:uiPriority w:val="9"/>
    <w:pPr>
      <w:keepNext/>
      <w:keepLines/>
      <w:spacing w:before="240" w:after="64" w:line="317" w:lineRule="auto"/>
      <w:outlineLvl w:val="8"/>
    </w:pPr>
    <w:rPr>
      <w:rFonts w:ascii="Arial" w:hAnsi="Arial" w:eastAsia="黑体"/>
    </w:rPr>
  </w:style>
  <w:style w:type="character" w:default="1" w:styleId="56">
    <w:name w:val="Default Paragraph Font"/>
    <w:qFormat/>
    <w:uiPriority w:val="0"/>
  </w:style>
  <w:style w:type="table" w:default="1" w:styleId="54">
    <w:name w:val="Normal Table"/>
    <w:semiHidden/>
    <w:qFormat/>
    <w:uiPriority w:val="0"/>
    <w:tblPr>
      <w:tblCellMar>
        <w:top w:w="0" w:type="dxa"/>
        <w:left w:w="108" w:type="dxa"/>
        <w:bottom w:w="0" w:type="dxa"/>
        <w:right w:w="108" w:type="dxa"/>
      </w:tblCellMar>
    </w:tblPr>
  </w:style>
  <w:style w:type="paragraph" w:styleId="2">
    <w:name w:val="Body Text"/>
    <w:basedOn w:val="1"/>
    <w:next w:val="1"/>
    <w:link w:val="76"/>
    <w:qFormat/>
    <w:uiPriority w:val="99"/>
    <w:pPr>
      <w:spacing w:line="380" w:lineRule="exact"/>
    </w:pPr>
    <w:rPr>
      <w:sz w:val="24"/>
    </w:rPr>
  </w:style>
  <w:style w:type="paragraph" w:styleId="8">
    <w:name w:val="Normal Indent"/>
    <w:basedOn w:val="1"/>
    <w:link w:val="68"/>
    <w:qFormat/>
    <w:uiPriority w:val="0"/>
    <w:pPr>
      <w:ind w:firstLine="420"/>
    </w:pPr>
    <w:rPr>
      <w:szCs w:val="20"/>
    </w:rPr>
  </w:style>
  <w:style w:type="paragraph" w:styleId="13">
    <w:name w:val="List 3"/>
    <w:basedOn w:val="1"/>
    <w:qFormat/>
    <w:uiPriority w:val="0"/>
    <w:pPr>
      <w:ind w:left="100" w:leftChars="400" w:hanging="200" w:hangingChars="200"/>
    </w:pPr>
  </w:style>
  <w:style w:type="paragraph" w:styleId="14">
    <w:name w:val="toc 7"/>
    <w:basedOn w:val="1"/>
    <w:next w:val="1"/>
    <w:qFormat/>
    <w:uiPriority w:val="39"/>
    <w:pPr>
      <w:tabs>
        <w:tab w:val="right" w:leader="dot" w:pos="9185"/>
      </w:tabs>
      <w:adjustRightInd w:val="0"/>
      <w:spacing w:line="312" w:lineRule="atLeast"/>
      <w:ind w:left="2520"/>
      <w:textAlignment w:val="baseline"/>
    </w:pPr>
    <w:rPr>
      <w:kern w:val="0"/>
      <w:szCs w:val="20"/>
    </w:rPr>
  </w:style>
  <w:style w:type="paragraph" w:styleId="15">
    <w:name w:val="List Number"/>
    <w:basedOn w:val="1"/>
    <w:qFormat/>
    <w:uiPriority w:val="0"/>
    <w:pPr>
      <w:widowControl/>
      <w:tabs>
        <w:tab w:val="left" w:pos="454"/>
        <w:tab w:val="left" w:pos="720"/>
        <w:tab w:val="left" w:pos="840"/>
      </w:tabs>
      <w:spacing w:after="156" w:afterLines="50"/>
      <w:ind w:left="454" w:hanging="284"/>
      <w:jc w:val="left"/>
    </w:pPr>
    <w:rPr>
      <w:kern w:val="0"/>
      <w:sz w:val="24"/>
      <w:szCs w:val="20"/>
    </w:rPr>
  </w:style>
  <w:style w:type="paragraph" w:styleId="16">
    <w:name w:val="caption"/>
    <w:basedOn w:val="1"/>
    <w:next w:val="1"/>
    <w:qFormat/>
    <w:uiPriority w:val="99"/>
    <w:pPr>
      <w:spacing w:before="152" w:beforeLines="0" w:after="160" w:afterLines="0"/>
    </w:pPr>
    <w:rPr>
      <w:rFonts w:ascii="Arial" w:hAnsi="Arial" w:eastAsia="黑体" w:cs="Arial"/>
      <w:sz w:val="20"/>
      <w:szCs w:val="20"/>
    </w:rPr>
  </w:style>
  <w:style w:type="paragraph" w:styleId="17">
    <w:name w:val="Document Map"/>
    <w:basedOn w:val="1"/>
    <w:link w:val="73"/>
    <w:qFormat/>
    <w:uiPriority w:val="99"/>
    <w:pPr>
      <w:shd w:val="clear" w:color="auto" w:fill="000080"/>
      <w:adjustRightInd w:val="0"/>
      <w:spacing w:line="312" w:lineRule="atLeast"/>
      <w:textAlignment w:val="baseline"/>
    </w:pPr>
    <w:rPr>
      <w:kern w:val="0"/>
      <w:szCs w:val="20"/>
    </w:rPr>
  </w:style>
  <w:style w:type="paragraph" w:styleId="18">
    <w:name w:val="annotation text"/>
    <w:basedOn w:val="1"/>
    <w:link w:val="74"/>
    <w:qFormat/>
    <w:uiPriority w:val="0"/>
    <w:pPr>
      <w:jc w:val="left"/>
    </w:pPr>
  </w:style>
  <w:style w:type="paragraph" w:styleId="19">
    <w:name w:val="Body Text 3"/>
    <w:basedOn w:val="1"/>
    <w:link w:val="75"/>
    <w:qFormat/>
    <w:uiPriority w:val="0"/>
    <w:pPr>
      <w:spacing w:line="500" w:lineRule="exact"/>
    </w:pPr>
    <w:rPr>
      <w:b/>
      <w:bCs/>
      <w:sz w:val="24"/>
    </w:rPr>
  </w:style>
  <w:style w:type="paragraph" w:styleId="20">
    <w:name w:val="Body Text Indent"/>
    <w:basedOn w:val="1"/>
    <w:link w:val="77"/>
    <w:qFormat/>
    <w:uiPriority w:val="99"/>
    <w:pPr>
      <w:ind w:firstLine="830" w:firstLineChars="352"/>
    </w:pPr>
    <w:rPr>
      <w:rFonts w:ascii="仿宋_GB2312" w:eastAsia="仿宋_GB2312"/>
      <w:sz w:val="32"/>
      <w:szCs w:val="20"/>
    </w:rPr>
  </w:style>
  <w:style w:type="paragraph" w:styleId="21">
    <w:name w:val="List Number 3"/>
    <w:basedOn w:val="1"/>
    <w:qFormat/>
    <w:uiPriority w:val="0"/>
    <w:pPr>
      <w:tabs>
        <w:tab w:val="left" w:pos="1200"/>
      </w:tabs>
      <w:ind w:left="1200" w:leftChars="400" w:hanging="360" w:hangingChars="200"/>
    </w:pPr>
  </w:style>
  <w:style w:type="paragraph" w:styleId="22">
    <w:name w:val="List 2"/>
    <w:basedOn w:val="1"/>
    <w:qFormat/>
    <w:uiPriority w:val="0"/>
    <w:pPr>
      <w:ind w:left="100" w:leftChars="200" w:hanging="200" w:hangingChars="200"/>
    </w:pPr>
    <w:rPr>
      <w:sz w:val="28"/>
    </w:rPr>
  </w:style>
  <w:style w:type="paragraph" w:styleId="23">
    <w:name w:val="Block Text"/>
    <w:basedOn w:val="1"/>
    <w:qFormat/>
    <w:uiPriority w:val="0"/>
    <w:pPr>
      <w:adjustRightInd w:val="0"/>
      <w:ind w:left="420" w:right="33"/>
      <w:jc w:val="left"/>
      <w:textAlignment w:val="baseline"/>
    </w:pPr>
    <w:rPr>
      <w:kern w:val="0"/>
      <w:sz w:val="24"/>
      <w:szCs w:val="20"/>
    </w:rPr>
  </w:style>
  <w:style w:type="paragraph" w:styleId="24">
    <w:name w:val="index 4"/>
    <w:basedOn w:val="1"/>
    <w:next w:val="1"/>
    <w:qFormat/>
    <w:uiPriority w:val="99"/>
    <w:pPr>
      <w:ind w:left="600" w:leftChars="600"/>
    </w:pPr>
  </w:style>
  <w:style w:type="paragraph" w:styleId="25">
    <w:name w:val="toc 5"/>
    <w:basedOn w:val="1"/>
    <w:next w:val="1"/>
    <w:qFormat/>
    <w:uiPriority w:val="39"/>
    <w:pPr>
      <w:tabs>
        <w:tab w:val="right" w:leader="dot" w:pos="9185"/>
      </w:tabs>
      <w:adjustRightInd w:val="0"/>
      <w:spacing w:line="312" w:lineRule="atLeast"/>
      <w:ind w:left="1680"/>
      <w:textAlignment w:val="baseline"/>
    </w:pPr>
    <w:rPr>
      <w:kern w:val="0"/>
      <w:szCs w:val="20"/>
    </w:rPr>
  </w:style>
  <w:style w:type="paragraph" w:styleId="26">
    <w:name w:val="toc 3"/>
    <w:basedOn w:val="1"/>
    <w:next w:val="1"/>
    <w:qFormat/>
    <w:uiPriority w:val="39"/>
    <w:pPr>
      <w:ind w:left="840" w:leftChars="400"/>
    </w:pPr>
  </w:style>
  <w:style w:type="paragraph" w:styleId="27">
    <w:name w:val="Plain Text"/>
    <w:basedOn w:val="1"/>
    <w:link w:val="78"/>
    <w:qFormat/>
    <w:uiPriority w:val="0"/>
    <w:rPr>
      <w:rFonts w:ascii="宋体" w:hAnsi="Courier New" w:cs="Courier New"/>
      <w:szCs w:val="21"/>
    </w:rPr>
  </w:style>
  <w:style w:type="paragraph" w:styleId="28">
    <w:name w:val="toc 8"/>
    <w:basedOn w:val="1"/>
    <w:next w:val="1"/>
    <w:qFormat/>
    <w:uiPriority w:val="39"/>
    <w:pPr>
      <w:tabs>
        <w:tab w:val="right" w:leader="dot" w:pos="9185"/>
      </w:tabs>
      <w:adjustRightInd w:val="0"/>
      <w:spacing w:line="312" w:lineRule="atLeast"/>
      <w:ind w:left="2940"/>
      <w:textAlignment w:val="baseline"/>
    </w:pPr>
    <w:rPr>
      <w:kern w:val="0"/>
      <w:szCs w:val="20"/>
    </w:rPr>
  </w:style>
  <w:style w:type="paragraph" w:styleId="29">
    <w:name w:val="Date"/>
    <w:basedOn w:val="1"/>
    <w:next w:val="1"/>
    <w:link w:val="79"/>
    <w:qFormat/>
    <w:uiPriority w:val="99"/>
    <w:pPr>
      <w:ind w:left="100" w:leftChars="2500"/>
    </w:pPr>
    <w:rPr>
      <w:rFonts w:ascii="宋体" w:hAnsi="Courier New"/>
      <w:szCs w:val="21"/>
    </w:rPr>
  </w:style>
  <w:style w:type="paragraph" w:styleId="30">
    <w:name w:val="Body Text Indent 2"/>
    <w:basedOn w:val="1"/>
    <w:link w:val="80"/>
    <w:qFormat/>
    <w:uiPriority w:val="99"/>
    <w:pPr>
      <w:ind w:firstLine="630"/>
    </w:pPr>
    <w:rPr>
      <w:sz w:val="32"/>
      <w:szCs w:val="20"/>
    </w:rPr>
  </w:style>
  <w:style w:type="paragraph" w:styleId="31">
    <w:name w:val="Balloon Text"/>
    <w:basedOn w:val="1"/>
    <w:link w:val="81"/>
    <w:qFormat/>
    <w:uiPriority w:val="99"/>
    <w:rPr>
      <w:sz w:val="18"/>
      <w:szCs w:val="18"/>
    </w:rPr>
  </w:style>
  <w:style w:type="paragraph" w:styleId="32">
    <w:name w:val="footer"/>
    <w:basedOn w:val="1"/>
    <w:link w:val="82"/>
    <w:qFormat/>
    <w:uiPriority w:val="99"/>
    <w:pPr>
      <w:tabs>
        <w:tab w:val="center" w:pos="4153"/>
        <w:tab w:val="right" w:pos="8306"/>
      </w:tabs>
      <w:snapToGrid w:val="0"/>
      <w:jc w:val="left"/>
    </w:pPr>
    <w:rPr>
      <w:sz w:val="18"/>
      <w:szCs w:val="18"/>
    </w:rPr>
  </w:style>
  <w:style w:type="paragraph" w:styleId="33">
    <w:name w:val="header"/>
    <w:basedOn w:val="1"/>
    <w:link w:val="83"/>
    <w:qFormat/>
    <w:uiPriority w:val="99"/>
    <w:pPr>
      <w:pBdr>
        <w:bottom w:val="single" w:color="auto" w:sz="6" w:space="1"/>
      </w:pBdr>
      <w:tabs>
        <w:tab w:val="center" w:pos="4153"/>
        <w:tab w:val="right" w:pos="8306"/>
      </w:tabs>
      <w:snapToGrid w:val="0"/>
      <w:jc w:val="center"/>
    </w:pPr>
    <w:rPr>
      <w:sz w:val="18"/>
      <w:szCs w:val="18"/>
    </w:rPr>
  </w:style>
  <w:style w:type="paragraph" w:styleId="34">
    <w:name w:val="toc 1"/>
    <w:basedOn w:val="1"/>
    <w:next w:val="1"/>
    <w:qFormat/>
    <w:uiPriority w:val="39"/>
    <w:pPr>
      <w:tabs>
        <w:tab w:val="right" w:leader="dot" w:pos="8398"/>
      </w:tabs>
      <w:spacing w:before="120" w:beforeLines="0" w:after="120" w:afterLines="0"/>
      <w:ind w:firstLine="240" w:firstLineChars="100"/>
      <w:jc w:val="left"/>
    </w:pPr>
    <w:rPr>
      <w:rFonts w:ascii="宋体" w:hAnsi="宋体"/>
      <w:b/>
      <w:bCs/>
      <w:caps/>
      <w:sz w:val="24"/>
    </w:rPr>
  </w:style>
  <w:style w:type="paragraph" w:styleId="35">
    <w:name w:val="toc 4"/>
    <w:basedOn w:val="1"/>
    <w:next w:val="1"/>
    <w:qFormat/>
    <w:uiPriority w:val="39"/>
    <w:pPr>
      <w:tabs>
        <w:tab w:val="right" w:leader="dot" w:pos="9185"/>
      </w:tabs>
      <w:adjustRightInd w:val="0"/>
      <w:spacing w:line="312" w:lineRule="atLeast"/>
      <w:ind w:left="1260"/>
      <w:textAlignment w:val="baseline"/>
    </w:pPr>
    <w:rPr>
      <w:kern w:val="0"/>
      <w:szCs w:val="20"/>
    </w:rPr>
  </w:style>
  <w:style w:type="paragraph" w:styleId="36">
    <w:name w:val="Subtitle"/>
    <w:basedOn w:val="1"/>
    <w:next w:val="1"/>
    <w:link w:val="84"/>
    <w:qFormat/>
    <w:uiPriority w:val="11"/>
    <w:pPr>
      <w:spacing w:before="240" w:after="60" w:line="312" w:lineRule="auto"/>
      <w:jc w:val="center"/>
      <w:outlineLvl w:val="1"/>
    </w:pPr>
    <w:rPr>
      <w:rFonts w:ascii="Cambria" w:hAnsi="Cambria"/>
      <w:b/>
      <w:bCs/>
      <w:kern w:val="28"/>
      <w:sz w:val="32"/>
      <w:szCs w:val="32"/>
    </w:rPr>
  </w:style>
  <w:style w:type="paragraph" w:styleId="37">
    <w:name w:val="List"/>
    <w:basedOn w:val="1"/>
    <w:qFormat/>
    <w:uiPriority w:val="0"/>
    <w:pPr>
      <w:ind w:left="200" w:hanging="200" w:hangingChars="200"/>
    </w:pPr>
    <w:rPr>
      <w:sz w:val="28"/>
    </w:rPr>
  </w:style>
  <w:style w:type="paragraph" w:styleId="38">
    <w:name w:val="footnote text"/>
    <w:basedOn w:val="1"/>
    <w:link w:val="85"/>
    <w:qFormat/>
    <w:uiPriority w:val="99"/>
    <w:pPr>
      <w:adjustRightInd w:val="0"/>
      <w:spacing w:line="312" w:lineRule="atLeast"/>
      <w:jc w:val="left"/>
      <w:textAlignment w:val="baseline"/>
    </w:pPr>
    <w:rPr>
      <w:kern w:val="0"/>
      <w:sz w:val="18"/>
      <w:szCs w:val="20"/>
    </w:rPr>
  </w:style>
  <w:style w:type="paragraph" w:styleId="39">
    <w:name w:val="toc 6"/>
    <w:basedOn w:val="1"/>
    <w:next w:val="1"/>
    <w:qFormat/>
    <w:uiPriority w:val="39"/>
    <w:pPr>
      <w:tabs>
        <w:tab w:val="right" w:leader="dot" w:pos="9185"/>
      </w:tabs>
      <w:adjustRightInd w:val="0"/>
      <w:spacing w:line="312" w:lineRule="atLeast"/>
      <w:ind w:left="2100"/>
      <w:textAlignment w:val="baseline"/>
    </w:pPr>
    <w:rPr>
      <w:kern w:val="0"/>
      <w:szCs w:val="20"/>
    </w:rPr>
  </w:style>
  <w:style w:type="paragraph" w:styleId="40">
    <w:name w:val="List 5"/>
    <w:basedOn w:val="1"/>
    <w:qFormat/>
    <w:uiPriority w:val="0"/>
    <w:pPr>
      <w:ind w:left="2100" w:hanging="420"/>
    </w:pPr>
    <w:rPr>
      <w:szCs w:val="20"/>
    </w:rPr>
  </w:style>
  <w:style w:type="paragraph" w:styleId="41">
    <w:name w:val="Body Text Indent 3"/>
    <w:basedOn w:val="1"/>
    <w:link w:val="86"/>
    <w:qFormat/>
    <w:uiPriority w:val="0"/>
    <w:pPr>
      <w:spacing w:after="120" w:afterLines="0"/>
      <w:ind w:left="420" w:leftChars="200"/>
    </w:pPr>
    <w:rPr>
      <w:sz w:val="16"/>
      <w:szCs w:val="16"/>
    </w:rPr>
  </w:style>
  <w:style w:type="paragraph" w:styleId="42">
    <w:name w:val="toc 2"/>
    <w:basedOn w:val="1"/>
    <w:next w:val="1"/>
    <w:qFormat/>
    <w:uiPriority w:val="39"/>
    <w:pPr>
      <w:ind w:left="420" w:leftChars="200"/>
    </w:pPr>
  </w:style>
  <w:style w:type="paragraph" w:styleId="43">
    <w:name w:val="toc 9"/>
    <w:basedOn w:val="1"/>
    <w:next w:val="1"/>
    <w:qFormat/>
    <w:uiPriority w:val="39"/>
    <w:pPr>
      <w:tabs>
        <w:tab w:val="right" w:leader="dot" w:pos="9185"/>
      </w:tabs>
      <w:adjustRightInd w:val="0"/>
      <w:spacing w:line="312" w:lineRule="atLeast"/>
      <w:ind w:left="3360"/>
      <w:textAlignment w:val="baseline"/>
    </w:pPr>
    <w:rPr>
      <w:kern w:val="0"/>
      <w:szCs w:val="20"/>
    </w:rPr>
  </w:style>
  <w:style w:type="paragraph" w:styleId="44">
    <w:name w:val="Body Text 2"/>
    <w:basedOn w:val="1"/>
    <w:link w:val="87"/>
    <w:qFormat/>
    <w:uiPriority w:val="0"/>
    <w:pPr>
      <w:spacing w:after="120" w:afterLines="0" w:line="480" w:lineRule="auto"/>
    </w:pPr>
  </w:style>
  <w:style w:type="paragraph" w:styleId="45">
    <w:name w:val="List 4"/>
    <w:basedOn w:val="1"/>
    <w:qFormat/>
    <w:uiPriority w:val="0"/>
    <w:pPr>
      <w:ind w:left="100" w:leftChars="600" w:hanging="200" w:hangingChars="200"/>
    </w:pPr>
  </w:style>
  <w:style w:type="paragraph" w:styleId="46">
    <w:name w:val="List Continue 2"/>
    <w:basedOn w:val="1"/>
    <w:qFormat/>
    <w:uiPriority w:val="0"/>
    <w:pPr>
      <w:spacing w:after="120" w:afterLines="0"/>
      <w:ind w:left="840" w:leftChars="400"/>
    </w:pPr>
  </w:style>
  <w:style w:type="paragraph" w:styleId="47">
    <w:name w:val="HTML Preformatted"/>
    <w:basedOn w:val="1"/>
    <w:link w:val="88"/>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szCs w:val="20"/>
    </w:rPr>
  </w:style>
  <w:style w:type="paragraph" w:styleId="48">
    <w:name w:val="Normal (Web)"/>
    <w:basedOn w:val="1"/>
    <w:qFormat/>
    <w:uiPriority w:val="0"/>
    <w:pPr>
      <w:widowControl/>
      <w:spacing w:before="100" w:beforeLines="0" w:beforeAutospacing="1" w:after="100" w:afterLines="0" w:afterAutospacing="1"/>
      <w:jc w:val="left"/>
    </w:pPr>
    <w:rPr>
      <w:rFonts w:ascii="宋体" w:hAnsi="宋体"/>
      <w:kern w:val="0"/>
      <w:sz w:val="24"/>
    </w:rPr>
  </w:style>
  <w:style w:type="paragraph" w:styleId="49">
    <w:name w:val="index 1"/>
    <w:basedOn w:val="1"/>
    <w:next w:val="1"/>
    <w:qFormat/>
    <w:uiPriority w:val="0"/>
    <w:pPr>
      <w:spacing w:line="400" w:lineRule="exact"/>
      <w:ind w:firstLine="420" w:firstLineChars="200"/>
    </w:pPr>
    <w:rPr>
      <w:rFonts w:ascii="宋体" w:hAnsi="Courier New"/>
      <w:b/>
      <w:szCs w:val="20"/>
    </w:rPr>
  </w:style>
  <w:style w:type="paragraph" w:styleId="50">
    <w:name w:val="Title"/>
    <w:basedOn w:val="1"/>
    <w:link w:val="89"/>
    <w:qFormat/>
    <w:uiPriority w:val="99"/>
    <w:pPr>
      <w:jc w:val="center"/>
    </w:pPr>
    <w:rPr>
      <w:sz w:val="30"/>
    </w:rPr>
  </w:style>
  <w:style w:type="paragraph" w:styleId="51">
    <w:name w:val="annotation subject"/>
    <w:basedOn w:val="18"/>
    <w:next w:val="18"/>
    <w:link w:val="90"/>
    <w:qFormat/>
    <w:uiPriority w:val="99"/>
    <w:rPr>
      <w:b/>
      <w:bCs/>
    </w:rPr>
  </w:style>
  <w:style w:type="paragraph" w:styleId="52">
    <w:name w:val="Body Text First Indent"/>
    <w:basedOn w:val="2"/>
    <w:link w:val="91"/>
    <w:qFormat/>
    <w:uiPriority w:val="0"/>
    <w:pPr>
      <w:spacing w:after="120" w:afterLines="0" w:line="240" w:lineRule="auto"/>
      <w:ind w:firstLine="420" w:firstLineChars="100"/>
    </w:pPr>
    <w:rPr>
      <w:sz w:val="21"/>
    </w:rPr>
  </w:style>
  <w:style w:type="paragraph" w:styleId="53">
    <w:name w:val="Body Text First Indent 2"/>
    <w:basedOn w:val="20"/>
    <w:link w:val="92"/>
    <w:qFormat/>
    <w:uiPriority w:val="0"/>
    <w:pPr>
      <w:spacing w:after="120" w:afterLines="0"/>
      <w:ind w:left="420" w:leftChars="200" w:firstLine="420" w:firstLineChars="200"/>
    </w:pPr>
    <w:rPr>
      <w:rFonts w:ascii="Times New Roman" w:eastAsia="宋体"/>
      <w:sz w:val="21"/>
      <w:szCs w:val="24"/>
    </w:rPr>
  </w:style>
  <w:style w:type="table" w:styleId="55">
    <w:name w:val="Table Grid"/>
    <w:basedOn w:val="5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7">
    <w:name w:val="Strong"/>
    <w:qFormat/>
    <w:uiPriority w:val="22"/>
    <w:rPr>
      <w:b/>
      <w:bCs/>
    </w:rPr>
  </w:style>
  <w:style w:type="character" w:styleId="58">
    <w:name w:val="page number"/>
    <w:basedOn w:val="56"/>
    <w:qFormat/>
    <w:uiPriority w:val="99"/>
  </w:style>
  <w:style w:type="character" w:styleId="59">
    <w:name w:val="FollowedHyperlink"/>
    <w:qFormat/>
    <w:uiPriority w:val="99"/>
    <w:rPr>
      <w:color w:val="800080"/>
      <w:u w:val="single"/>
    </w:rPr>
  </w:style>
  <w:style w:type="character" w:styleId="60">
    <w:name w:val="Emphasis"/>
    <w:qFormat/>
    <w:uiPriority w:val="99"/>
    <w:rPr>
      <w:i/>
      <w:iCs/>
    </w:rPr>
  </w:style>
  <w:style w:type="character" w:styleId="61">
    <w:name w:val="Hyperlink"/>
    <w:qFormat/>
    <w:uiPriority w:val="99"/>
    <w:rPr>
      <w:color w:val="0000FF"/>
      <w:u w:val="single"/>
    </w:rPr>
  </w:style>
  <w:style w:type="character" w:styleId="62">
    <w:name w:val="annotation reference"/>
    <w:qFormat/>
    <w:uiPriority w:val="0"/>
    <w:rPr>
      <w:sz w:val="21"/>
      <w:szCs w:val="21"/>
    </w:rPr>
  </w:style>
  <w:style w:type="character" w:customStyle="1" w:styleId="63">
    <w:name w:val="标题 1 Char"/>
    <w:link w:val="3"/>
    <w:qFormat/>
    <w:uiPriority w:val="99"/>
    <w:rPr>
      <w:rFonts w:eastAsia="宋体"/>
      <w:b/>
      <w:bCs/>
      <w:kern w:val="44"/>
      <w:sz w:val="44"/>
      <w:szCs w:val="44"/>
      <w:lang w:val="en-US" w:eastAsia="zh-CN" w:bidi="ar-SA"/>
    </w:rPr>
  </w:style>
  <w:style w:type="character" w:customStyle="1" w:styleId="64">
    <w:name w:val="标题 2 Char"/>
    <w:link w:val="4"/>
    <w:qFormat/>
    <w:uiPriority w:val="99"/>
    <w:rPr>
      <w:rFonts w:ascii="Arial" w:hAnsi="Arial" w:eastAsia="黑体"/>
      <w:b/>
      <w:bCs/>
      <w:kern w:val="2"/>
      <w:sz w:val="32"/>
      <w:szCs w:val="32"/>
    </w:rPr>
  </w:style>
  <w:style w:type="character" w:customStyle="1" w:styleId="65">
    <w:name w:val="标题 3 Char"/>
    <w:link w:val="5"/>
    <w:qFormat/>
    <w:uiPriority w:val="99"/>
    <w:rPr>
      <w:b/>
      <w:bCs/>
      <w:kern w:val="2"/>
      <w:sz w:val="32"/>
      <w:szCs w:val="32"/>
    </w:rPr>
  </w:style>
  <w:style w:type="character" w:customStyle="1" w:styleId="66">
    <w:name w:val="标题 4 Char"/>
    <w:link w:val="6"/>
    <w:qFormat/>
    <w:uiPriority w:val="99"/>
    <w:rPr>
      <w:rFonts w:ascii="Arial" w:hAnsi="Arial" w:eastAsia="黑体"/>
      <w:sz w:val="28"/>
    </w:rPr>
  </w:style>
  <w:style w:type="character" w:customStyle="1" w:styleId="67">
    <w:name w:val="标题 5 Char"/>
    <w:link w:val="7"/>
    <w:qFormat/>
    <w:uiPriority w:val="99"/>
    <w:rPr>
      <w:b/>
      <w:kern w:val="2"/>
      <w:sz w:val="28"/>
      <w:szCs w:val="24"/>
    </w:rPr>
  </w:style>
  <w:style w:type="character" w:customStyle="1" w:styleId="68">
    <w:name w:val="正文缩进 字符"/>
    <w:link w:val="8"/>
    <w:qFormat/>
    <w:uiPriority w:val="99"/>
    <w:rPr>
      <w:kern w:val="2"/>
      <w:sz w:val="21"/>
    </w:rPr>
  </w:style>
  <w:style w:type="character" w:customStyle="1" w:styleId="69">
    <w:name w:val="标题 6 Char"/>
    <w:link w:val="9"/>
    <w:qFormat/>
    <w:uiPriority w:val="9"/>
    <w:rPr>
      <w:rFonts w:ascii="Arial" w:hAnsi="Arial" w:eastAsia="黑体"/>
      <w:b/>
      <w:kern w:val="2"/>
      <w:sz w:val="24"/>
      <w:szCs w:val="24"/>
    </w:rPr>
  </w:style>
  <w:style w:type="character" w:customStyle="1" w:styleId="70">
    <w:name w:val="标题 7 Char"/>
    <w:link w:val="10"/>
    <w:qFormat/>
    <w:uiPriority w:val="9"/>
    <w:rPr>
      <w:b/>
      <w:kern w:val="2"/>
      <w:sz w:val="24"/>
      <w:szCs w:val="24"/>
    </w:rPr>
  </w:style>
  <w:style w:type="character" w:customStyle="1" w:styleId="71">
    <w:name w:val="标题 8 Char"/>
    <w:link w:val="11"/>
    <w:qFormat/>
    <w:uiPriority w:val="9"/>
    <w:rPr>
      <w:rFonts w:ascii="Arial" w:hAnsi="Arial" w:eastAsia="黑体"/>
      <w:kern w:val="2"/>
      <w:sz w:val="24"/>
      <w:szCs w:val="24"/>
    </w:rPr>
  </w:style>
  <w:style w:type="character" w:customStyle="1" w:styleId="72">
    <w:name w:val="标题 9 Char"/>
    <w:link w:val="12"/>
    <w:qFormat/>
    <w:uiPriority w:val="9"/>
    <w:rPr>
      <w:rFonts w:ascii="Arial" w:hAnsi="Arial" w:eastAsia="黑体"/>
      <w:kern w:val="2"/>
      <w:sz w:val="21"/>
      <w:szCs w:val="24"/>
    </w:rPr>
  </w:style>
  <w:style w:type="character" w:customStyle="1" w:styleId="73">
    <w:name w:val="文档结构图 Char"/>
    <w:link w:val="17"/>
    <w:qFormat/>
    <w:uiPriority w:val="99"/>
    <w:rPr>
      <w:sz w:val="21"/>
      <w:shd w:val="clear" w:color="auto" w:fill="000080"/>
    </w:rPr>
  </w:style>
  <w:style w:type="character" w:customStyle="1" w:styleId="74">
    <w:name w:val="批注文字 Char"/>
    <w:link w:val="18"/>
    <w:qFormat/>
    <w:uiPriority w:val="99"/>
    <w:rPr>
      <w:kern w:val="2"/>
      <w:sz w:val="21"/>
      <w:szCs w:val="24"/>
    </w:rPr>
  </w:style>
  <w:style w:type="character" w:customStyle="1" w:styleId="75">
    <w:name w:val="正文文本 3 Char"/>
    <w:link w:val="19"/>
    <w:qFormat/>
    <w:uiPriority w:val="0"/>
    <w:rPr>
      <w:b/>
      <w:bCs/>
      <w:kern w:val="2"/>
      <w:sz w:val="24"/>
      <w:szCs w:val="24"/>
    </w:rPr>
  </w:style>
  <w:style w:type="character" w:customStyle="1" w:styleId="76">
    <w:name w:val="正文文本 Char"/>
    <w:link w:val="2"/>
    <w:qFormat/>
    <w:uiPriority w:val="99"/>
    <w:rPr>
      <w:kern w:val="2"/>
      <w:sz w:val="24"/>
      <w:szCs w:val="24"/>
    </w:rPr>
  </w:style>
  <w:style w:type="character" w:customStyle="1" w:styleId="77">
    <w:name w:val="正文文本缩进 Char"/>
    <w:link w:val="20"/>
    <w:qFormat/>
    <w:uiPriority w:val="99"/>
    <w:rPr>
      <w:rFonts w:ascii="仿宋_GB2312" w:eastAsia="仿宋_GB2312"/>
      <w:kern w:val="2"/>
      <w:sz w:val="32"/>
    </w:rPr>
  </w:style>
  <w:style w:type="character" w:customStyle="1" w:styleId="78">
    <w:name w:val="纯文本 Char"/>
    <w:link w:val="27"/>
    <w:qFormat/>
    <w:uiPriority w:val="99"/>
    <w:rPr>
      <w:rFonts w:ascii="宋体" w:hAnsi="Courier New" w:eastAsia="宋体" w:cs="Courier New"/>
      <w:kern w:val="2"/>
      <w:sz w:val="21"/>
      <w:szCs w:val="21"/>
      <w:lang w:val="en-US" w:eastAsia="zh-CN" w:bidi="ar-SA"/>
    </w:rPr>
  </w:style>
  <w:style w:type="character" w:customStyle="1" w:styleId="79">
    <w:name w:val="日期 Char"/>
    <w:link w:val="29"/>
    <w:qFormat/>
    <w:uiPriority w:val="99"/>
    <w:rPr>
      <w:rFonts w:ascii="宋体" w:hAnsi="Courier New" w:cs="Courier New"/>
      <w:kern w:val="2"/>
      <w:sz w:val="21"/>
      <w:szCs w:val="21"/>
    </w:rPr>
  </w:style>
  <w:style w:type="character" w:customStyle="1" w:styleId="80">
    <w:name w:val="正文文本缩进 2 Char"/>
    <w:link w:val="30"/>
    <w:qFormat/>
    <w:uiPriority w:val="99"/>
    <w:rPr>
      <w:kern w:val="2"/>
      <w:sz w:val="32"/>
    </w:rPr>
  </w:style>
  <w:style w:type="character" w:customStyle="1" w:styleId="81">
    <w:name w:val="批注框文本 Char"/>
    <w:link w:val="31"/>
    <w:qFormat/>
    <w:uiPriority w:val="99"/>
    <w:rPr>
      <w:kern w:val="2"/>
      <w:sz w:val="18"/>
      <w:szCs w:val="18"/>
    </w:rPr>
  </w:style>
  <w:style w:type="character" w:customStyle="1" w:styleId="82">
    <w:name w:val="页脚 Char"/>
    <w:link w:val="32"/>
    <w:qFormat/>
    <w:uiPriority w:val="99"/>
    <w:rPr>
      <w:kern w:val="2"/>
      <w:sz w:val="18"/>
      <w:szCs w:val="18"/>
    </w:rPr>
  </w:style>
  <w:style w:type="character" w:customStyle="1" w:styleId="83">
    <w:name w:val="页眉 Char"/>
    <w:link w:val="33"/>
    <w:qFormat/>
    <w:uiPriority w:val="99"/>
    <w:rPr>
      <w:kern w:val="2"/>
      <w:sz w:val="18"/>
      <w:szCs w:val="18"/>
    </w:rPr>
  </w:style>
  <w:style w:type="character" w:customStyle="1" w:styleId="84">
    <w:name w:val="副标题 Char"/>
    <w:link w:val="36"/>
    <w:qFormat/>
    <w:uiPriority w:val="11"/>
    <w:rPr>
      <w:rFonts w:ascii="Cambria" w:hAnsi="Cambria"/>
      <w:b/>
      <w:bCs/>
      <w:kern w:val="28"/>
      <w:sz w:val="32"/>
      <w:szCs w:val="32"/>
    </w:rPr>
  </w:style>
  <w:style w:type="character" w:customStyle="1" w:styleId="85">
    <w:name w:val="脚注文本 Char"/>
    <w:link w:val="38"/>
    <w:qFormat/>
    <w:uiPriority w:val="99"/>
    <w:rPr>
      <w:sz w:val="18"/>
    </w:rPr>
  </w:style>
  <w:style w:type="character" w:customStyle="1" w:styleId="86">
    <w:name w:val="正文文本缩进 3 Char"/>
    <w:link w:val="41"/>
    <w:qFormat/>
    <w:uiPriority w:val="0"/>
    <w:rPr>
      <w:kern w:val="2"/>
      <w:sz w:val="16"/>
      <w:szCs w:val="16"/>
    </w:rPr>
  </w:style>
  <w:style w:type="character" w:customStyle="1" w:styleId="87">
    <w:name w:val="正文文本 2 Char"/>
    <w:link w:val="44"/>
    <w:qFormat/>
    <w:uiPriority w:val="0"/>
    <w:rPr>
      <w:kern w:val="2"/>
      <w:sz w:val="21"/>
      <w:szCs w:val="24"/>
    </w:rPr>
  </w:style>
  <w:style w:type="character" w:customStyle="1" w:styleId="88">
    <w:name w:val="HTML 预设格式 Char"/>
    <w:link w:val="47"/>
    <w:qFormat/>
    <w:uiPriority w:val="0"/>
    <w:rPr>
      <w:rFonts w:ascii="黑体" w:hAnsi="Courier New" w:eastAsia="黑体" w:cs="Courier New"/>
    </w:rPr>
  </w:style>
  <w:style w:type="character" w:customStyle="1" w:styleId="89">
    <w:name w:val="标题 Char"/>
    <w:link w:val="50"/>
    <w:qFormat/>
    <w:uiPriority w:val="99"/>
    <w:rPr>
      <w:kern w:val="2"/>
      <w:sz w:val="30"/>
      <w:szCs w:val="24"/>
    </w:rPr>
  </w:style>
  <w:style w:type="character" w:customStyle="1" w:styleId="90">
    <w:name w:val="批注主题 Char"/>
    <w:link w:val="51"/>
    <w:qFormat/>
    <w:uiPriority w:val="99"/>
    <w:rPr>
      <w:b/>
      <w:bCs/>
      <w:kern w:val="2"/>
      <w:sz w:val="21"/>
      <w:szCs w:val="24"/>
    </w:rPr>
  </w:style>
  <w:style w:type="character" w:customStyle="1" w:styleId="91">
    <w:name w:val="正文首行缩进 Char"/>
    <w:link w:val="52"/>
    <w:qFormat/>
    <w:uiPriority w:val="0"/>
    <w:rPr>
      <w:kern w:val="2"/>
      <w:sz w:val="21"/>
      <w:szCs w:val="24"/>
    </w:rPr>
  </w:style>
  <w:style w:type="character" w:customStyle="1" w:styleId="92">
    <w:name w:val="正文首行缩进 2 Char"/>
    <w:link w:val="53"/>
    <w:qFormat/>
    <w:uiPriority w:val="0"/>
    <w:rPr>
      <w:kern w:val="2"/>
      <w:sz w:val="21"/>
      <w:szCs w:val="24"/>
    </w:rPr>
  </w:style>
  <w:style w:type="character" w:customStyle="1" w:styleId="93">
    <w:name w:val="content2"/>
    <w:basedOn w:val="56"/>
    <w:qFormat/>
    <w:uiPriority w:val="0"/>
  </w:style>
  <w:style w:type="character" w:customStyle="1" w:styleId="94">
    <w:name w:val="case31"/>
    <w:qFormat/>
    <w:uiPriority w:val="0"/>
    <w:rPr>
      <w:rFonts w:hint="default" w:ascii="_x000B__x000C_" w:hAnsi="_x000B__x000C_"/>
      <w:sz w:val="21"/>
      <w:szCs w:val="21"/>
    </w:rPr>
  </w:style>
  <w:style w:type="character" w:customStyle="1" w:styleId="95">
    <w:name w:val="062"/>
    <w:qFormat/>
    <w:uiPriority w:val="0"/>
    <w:rPr>
      <w:rFonts w:ascii="宋体" w:hAnsi="宋体"/>
      <w:b/>
      <w:bCs/>
      <w:sz w:val="32"/>
    </w:rPr>
  </w:style>
  <w:style w:type="character" w:customStyle="1" w:styleId="96">
    <w:name w:val="f151"/>
    <w:qFormat/>
    <w:uiPriority w:val="0"/>
    <w:rPr>
      <w:sz w:val="23"/>
      <w:szCs w:val="23"/>
    </w:rPr>
  </w:style>
  <w:style w:type="character" w:customStyle="1" w:styleId="97">
    <w:name w:val="unnamed3"/>
    <w:basedOn w:val="56"/>
    <w:qFormat/>
    <w:uiPriority w:val="0"/>
  </w:style>
  <w:style w:type="character" w:customStyle="1" w:styleId="98">
    <w:name w:val="z-窗体顶端 Char"/>
    <w:link w:val="99"/>
    <w:qFormat/>
    <w:uiPriority w:val="0"/>
    <w:rPr>
      <w:rFonts w:ascii="Arial"/>
      <w:vanish/>
      <w:kern w:val="2"/>
      <w:sz w:val="16"/>
      <w:szCs w:val="24"/>
    </w:rPr>
  </w:style>
  <w:style w:type="paragraph" w:customStyle="1" w:styleId="99">
    <w:name w:val="_Style 98"/>
    <w:basedOn w:val="1"/>
    <w:next w:val="1"/>
    <w:link w:val="98"/>
    <w:qFormat/>
    <w:uiPriority w:val="0"/>
    <w:pPr>
      <w:pBdr>
        <w:bottom w:val="single" w:color="auto" w:sz="6" w:space="1"/>
      </w:pBdr>
      <w:jc w:val="center"/>
    </w:pPr>
    <w:rPr>
      <w:rFonts w:ascii="Arial"/>
      <w:vanish/>
      <w:sz w:val="16"/>
    </w:rPr>
  </w:style>
  <w:style w:type="character" w:customStyle="1" w:styleId="100">
    <w:name w:val="gray12"/>
    <w:basedOn w:val="56"/>
    <w:qFormat/>
    <w:uiPriority w:val="0"/>
  </w:style>
  <w:style w:type="character" w:customStyle="1" w:styleId="101">
    <w:name w:val="style11"/>
    <w:qFormat/>
    <w:uiPriority w:val="0"/>
    <w:rPr>
      <w:rFonts w:hint="default" w:ascii="Arial" w:hAnsi="Arial" w:cs="Arial"/>
    </w:rPr>
  </w:style>
  <w:style w:type="character" w:customStyle="1" w:styleId="102">
    <w:name w:val="纯文本 Char1"/>
    <w:qFormat/>
    <w:uiPriority w:val="99"/>
    <w:rPr>
      <w:rFonts w:ascii="宋体" w:hAnsi="Courier New" w:eastAsia="宋体" w:cs="Courier New"/>
      <w:kern w:val="2"/>
      <w:sz w:val="21"/>
      <w:szCs w:val="21"/>
      <w:lang w:val="en-US" w:eastAsia="zh-CN" w:bidi="ar-SA"/>
    </w:rPr>
  </w:style>
  <w:style w:type="character" w:customStyle="1" w:styleId="103">
    <w:name w:val="text11"/>
    <w:qFormat/>
    <w:uiPriority w:val="0"/>
    <w:rPr>
      <w:rFonts w:hint="default" w:ascii="Verdana" w:hAnsi="Verdana"/>
      <w:color w:val="4E4E4E"/>
      <w:sz w:val="18"/>
      <w:szCs w:val="18"/>
    </w:rPr>
  </w:style>
  <w:style w:type="character" w:customStyle="1" w:styleId="104">
    <w:name w:val="1ji Char"/>
    <w:link w:val="105"/>
    <w:qFormat/>
    <w:uiPriority w:val="0"/>
    <w:rPr>
      <w:rFonts w:ascii="宋体" w:hAnsi="宋体" w:eastAsia="宋体"/>
      <w:b/>
      <w:bCs/>
      <w:kern w:val="44"/>
      <w:sz w:val="36"/>
      <w:szCs w:val="44"/>
      <w:lang w:val="en-US" w:eastAsia="zh-CN" w:bidi="ar-SA"/>
    </w:rPr>
  </w:style>
  <w:style w:type="paragraph" w:customStyle="1" w:styleId="105">
    <w:name w:val="1ji"/>
    <w:basedOn w:val="3"/>
    <w:link w:val="104"/>
    <w:qFormat/>
    <w:uiPriority w:val="0"/>
    <w:pPr>
      <w:keepLines w:val="0"/>
      <w:widowControl/>
      <w:spacing w:before="0" w:beforeLines="0" w:after="0" w:afterLines="0" w:line="240" w:lineRule="auto"/>
      <w:jc w:val="center"/>
    </w:pPr>
    <w:rPr>
      <w:rFonts w:ascii="宋体" w:hAnsi="宋体"/>
      <w:sz w:val="36"/>
    </w:rPr>
  </w:style>
  <w:style w:type="character" w:customStyle="1" w:styleId="106">
    <w:name w:val="short_text1"/>
    <w:qFormat/>
    <w:uiPriority w:val="0"/>
    <w:rPr>
      <w:sz w:val="26"/>
    </w:rPr>
  </w:style>
  <w:style w:type="character" w:customStyle="1" w:styleId="107">
    <w:name w:val="mark8"/>
    <w:qFormat/>
    <w:uiPriority w:val="0"/>
    <w:rPr>
      <w:b/>
      <w:bCs/>
      <w:sz w:val="21"/>
      <w:szCs w:val="21"/>
    </w:rPr>
  </w:style>
  <w:style w:type="character" w:customStyle="1" w:styleId="108">
    <w:name w:val="white"/>
    <w:basedOn w:val="56"/>
    <w:qFormat/>
    <w:uiPriority w:val="0"/>
  </w:style>
  <w:style w:type="character" w:customStyle="1" w:styleId="109">
    <w:name w:val="graytext1"/>
    <w:qFormat/>
    <w:uiPriority w:val="0"/>
    <w:rPr>
      <w:color w:val="666666"/>
    </w:rPr>
  </w:style>
  <w:style w:type="character" w:customStyle="1" w:styleId="110">
    <w:name w:val="small"/>
    <w:basedOn w:val="56"/>
    <w:qFormat/>
    <w:uiPriority w:val="0"/>
  </w:style>
  <w:style w:type="character" w:customStyle="1" w:styleId="111">
    <w:name w:val="style21"/>
    <w:qFormat/>
    <w:uiPriority w:val="0"/>
    <w:rPr>
      <w:sz w:val="17"/>
      <w:szCs w:val="17"/>
    </w:rPr>
  </w:style>
  <w:style w:type="character" w:customStyle="1" w:styleId="112">
    <w:name w:val="1051"/>
    <w:qFormat/>
    <w:uiPriority w:val="0"/>
    <w:rPr>
      <w:sz w:val="21"/>
      <w:szCs w:val="21"/>
    </w:rPr>
  </w:style>
  <w:style w:type="character" w:customStyle="1" w:styleId="113">
    <w:name w:val="apple-converted-space"/>
    <w:qFormat/>
    <w:uiPriority w:val="0"/>
  </w:style>
  <w:style w:type="character" w:customStyle="1" w:styleId="114">
    <w:name w:val="font01"/>
    <w:qFormat/>
    <w:uiPriority w:val="0"/>
    <w:rPr>
      <w:rFonts w:hint="eastAsia" w:ascii="宋体" w:hAnsi="宋体" w:eastAsia="宋体"/>
      <w:color w:val="000000"/>
      <w:sz w:val="22"/>
      <w:szCs w:val="22"/>
      <w:u w:val="none"/>
    </w:rPr>
  </w:style>
  <w:style w:type="character" w:customStyle="1" w:styleId="115">
    <w:name w:val="标题3 Char"/>
    <w:link w:val="116"/>
    <w:qFormat/>
    <w:uiPriority w:val="0"/>
    <w:rPr>
      <w:rFonts w:ascii="宋体" w:hAnsi="宋体"/>
      <w:b/>
      <w:bCs/>
      <w:kern w:val="44"/>
      <w:sz w:val="24"/>
      <w:szCs w:val="24"/>
    </w:rPr>
  </w:style>
  <w:style w:type="paragraph" w:customStyle="1" w:styleId="116">
    <w:name w:val="标题3"/>
    <w:basedOn w:val="3"/>
    <w:link w:val="115"/>
    <w:qFormat/>
    <w:uiPriority w:val="0"/>
    <w:pPr>
      <w:spacing w:before="0" w:beforeLines="50" w:after="0" w:afterLines="50" w:line="400" w:lineRule="exact"/>
    </w:pPr>
    <w:rPr>
      <w:rFonts w:ascii="宋体" w:hAnsi="宋体"/>
      <w:sz w:val="24"/>
      <w:szCs w:val="24"/>
    </w:rPr>
  </w:style>
  <w:style w:type="paragraph" w:customStyle="1" w:styleId="117">
    <w:name w:val="Char"/>
    <w:basedOn w:val="1"/>
    <w:qFormat/>
    <w:uiPriority w:val="99"/>
    <w:pPr>
      <w:widowControl/>
      <w:spacing w:line="500" w:lineRule="exact"/>
      <w:outlineLvl w:val="2"/>
    </w:pPr>
    <w:rPr>
      <w:rFonts w:ascii="黑体" w:hAnsi="Verdana" w:eastAsia="黑体" w:cs="黑体"/>
      <w:kern w:val="0"/>
      <w:sz w:val="28"/>
      <w:szCs w:val="28"/>
      <w:lang w:eastAsia="en-US"/>
    </w:rPr>
  </w:style>
  <w:style w:type="paragraph" w:customStyle="1" w:styleId="118">
    <w:name w:val="Char Char Char Char Char Char Char Char Char Char Char Char Char Char Char Char"/>
    <w:basedOn w:val="1"/>
    <w:qFormat/>
    <w:uiPriority w:val="0"/>
    <w:pPr>
      <w:tabs>
        <w:tab w:val="left" w:pos="360"/>
      </w:tabs>
      <w:spacing w:line="360" w:lineRule="auto"/>
      <w:ind w:left="482" w:firstLine="200" w:firstLineChars="200"/>
    </w:pPr>
    <w:rPr>
      <w:rFonts w:ascii="宋体"/>
      <w:sz w:val="24"/>
    </w:rPr>
  </w:style>
  <w:style w:type="paragraph" w:customStyle="1" w:styleId="119">
    <w:name w:val="Char1"/>
    <w:basedOn w:val="1"/>
    <w:qFormat/>
    <w:uiPriority w:val="99"/>
    <w:rPr>
      <w:szCs w:val="21"/>
    </w:rPr>
  </w:style>
  <w:style w:type="paragraph" w:styleId="120">
    <w:name w:val="List Paragraph"/>
    <w:basedOn w:val="1"/>
    <w:qFormat/>
    <w:uiPriority w:val="34"/>
    <w:pPr>
      <w:ind w:firstLine="420" w:firstLineChars="200"/>
    </w:pPr>
    <w:rPr>
      <w:rFonts w:ascii="Calibri" w:hAnsi="Calibri"/>
      <w:szCs w:val="22"/>
    </w:rPr>
  </w:style>
  <w:style w:type="paragraph" w:customStyle="1" w:styleId="121">
    <w:name w:val="缺省文本"/>
    <w:basedOn w:val="1"/>
    <w:qFormat/>
    <w:uiPriority w:val="0"/>
    <w:pPr>
      <w:autoSpaceDE w:val="0"/>
      <w:autoSpaceDN w:val="0"/>
      <w:adjustRightInd w:val="0"/>
      <w:spacing w:line="360" w:lineRule="auto"/>
      <w:jc w:val="left"/>
    </w:pPr>
    <w:rPr>
      <w:kern w:val="0"/>
      <w:sz w:val="24"/>
      <w:szCs w:val="20"/>
    </w:rPr>
  </w:style>
  <w:style w:type="paragraph" w:customStyle="1" w:styleId="122">
    <w:name w:val="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3">
    <w:name w:val=" Char Char Char Char Char Char Char Char Char Char Char Char Char Char Char Char"/>
    <w:basedOn w:val="1"/>
    <w:qFormat/>
    <w:uiPriority w:val="0"/>
    <w:pPr>
      <w:tabs>
        <w:tab w:val="left" w:pos="360"/>
      </w:tabs>
      <w:spacing w:line="360" w:lineRule="auto"/>
      <w:ind w:left="482" w:firstLine="200" w:firstLineChars="200"/>
    </w:pPr>
    <w:rPr>
      <w:rFonts w:ascii="宋体"/>
      <w:sz w:val="24"/>
    </w:rPr>
  </w:style>
  <w:style w:type="paragraph" w:customStyle="1" w:styleId="124">
    <w:name w:val="xl30"/>
    <w:basedOn w:val="1"/>
    <w:qFormat/>
    <w:uiPriority w:val="0"/>
    <w:pPr>
      <w:widowControl/>
      <w:pBdr>
        <w:left w:val="single" w:color="auto" w:sz="4" w:space="0"/>
        <w:bottom w:val="single" w:color="auto" w:sz="4" w:space="0"/>
        <w:right w:val="single" w:color="auto" w:sz="4" w:space="0"/>
      </w:pBdr>
      <w:spacing w:before="100" w:beforeLines="0" w:beforeAutospacing="1" w:after="100" w:afterLines="0" w:afterAutospacing="1"/>
      <w:jc w:val="center"/>
    </w:pPr>
    <w:rPr>
      <w:kern w:val="0"/>
      <w:szCs w:val="21"/>
    </w:rPr>
  </w:style>
  <w:style w:type="paragraph" w:customStyle="1" w:styleId="125">
    <w:name w:val="正文首行缩进两字符"/>
    <w:basedOn w:val="1"/>
    <w:qFormat/>
    <w:uiPriority w:val="0"/>
    <w:pPr>
      <w:spacing w:line="360" w:lineRule="auto"/>
      <w:ind w:firstLine="200" w:firstLineChars="200"/>
    </w:pPr>
  </w:style>
  <w:style w:type="paragraph" w:customStyle="1" w:styleId="126">
    <w:name w:val="样式 标题 2 + Times New Roman 四号 非加粗 段前: 5 磅 段后: 0 磅 行距: 固定值 20..."/>
    <w:basedOn w:val="4"/>
    <w:qFormat/>
    <w:uiPriority w:val="99"/>
    <w:pPr>
      <w:spacing w:before="100" w:beforeLines="0" w:after="0" w:afterLines="0" w:line="400" w:lineRule="exact"/>
    </w:pPr>
    <w:rPr>
      <w:rFonts w:ascii="Times New Roman" w:hAnsi="Times New Roman" w:cs="宋体"/>
      <w:b w:val="0"/>
      <w:bCs w:val="0"/>
      <w:sz w:val="28"/>
      <w:szCs w:val="20"/>
    </w:rPr>
  </w:style>
  <w:style w:type="paragraph" w:customStyle="1" w:styleId="127">
    <w:name w:val="表内文字"/>
    <w:basedOn w:val="1"/>
    <w:qFormat/>
    <w:uiPriority w:val="0"/>
    <w:pPr>
      <w:snapToGrid w:val="0"/>
      <w:spacing w:before="50" w:beforeLines="0" w:after="50" w:afterLines="0"/>
      <w:jc w:val="center"/>
    </w:pPr>
    <w:rPr>
      <w:rFonts w:ascii="仿宋_GB2312" w:hAnsi="宋体" w:eastAsia="仿宋_GB2312"/>
      <w:b/>
      <w:color w:val="000000"/>
      <w:sz w:val="32"/>
      <w:szCs w:val="32"/>
    </w:rPr>
  </w:style>
  <w:style w:type="paragraph" w:customStyle="1" w:styleId="128">
    <w:name w:val="Char Char Char"/>
    <w:basedOn w:val="1"/>
    <w:qFormat/>
    <w:uiPriority w:val="0"/>
    <w:rPr>
      <w:rFonts w:ascii="Tahoma" w:hAnsi="Tahoma"/>
      <w:sz w:val="24"/>
      <w:szCs w:val="20"/>
    </w:rPr>
  </w:style>
  <w:style w:type="paragraph" w:customStyle="1" w:styleId="129">
    <w:name w:val="样式 首行缩进:  2 字符"/>
    <w:basedOn w:val="1"/>
    <w:qFormat/>
    <w:uiPriority w:val="0"/>
    <w:pPr>
      <w:spacing w:line="400" w:lineRule="exact"/>
      <w:ind w:firstLine="200" w:firstLineChars="200"/>
    </w:pPr>
    <w:rPr>
      <w:rFonts w:cs="宋体"/>
      <w:sz w:val="24"/>
    </w:rPr>
  </w:style>
  <w:style w:type="paragraph" w:customStyle="1" w:styleId="130">
    <w:name w:val="表格"/>
    <w:basedOn w:val="1"/>
    <w:qFormat/>
    <w:uiPriority w:val="0"/>
    <w:pPr>
      <w:spacing w:line="400" w:lineRule="exact"/>
    </w:pPr>
    <w:rPr>
      <w:sz w:val="24"/>
    </w:rPr>
  </w:style>
  <w:style w:type="paragraph" w:customStyle="1" w:styleId="131">
    <w:name w:val="Default"/>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32">
    <w:name w:val=" Char Char Char Char Char Char Char"/>
    <w:basedOn w:val="1"/>
    <w:qFormat/>
    <w:uiPriority w:val="0"/>
  </w:style>
  <w:style w:type="paragraph" w:customStyle="1" w:styleId="133">
    <w:name w:val=" Char Char Char"/>
    <w:basedOn w:val="17"/>
    <w:qFormat/>
    <w:uiPriority w:val="0"/>
    <w:pPr>
      <w:adjustRightInd/>
      <w:spacing w:line="240" w:lineRule="auto"/>
      <w:textAlignment w:val="auto"/>
    </w:pPr>
    <w:rPr>
      <w:rFonts w:ascii="Tahoma" w:hAnsi="Tahoma"/>
      <w:kern w:val="2"/>
      <w:sz w:val="24"/>
      <w:szCs w:val="24"/>
    </w:rPr>
  </w:style>
  <w:style w:type="paragraph" w:customStyle="1" w:styleId="134">
    <w:name w:val="样式1"/>
    <w:basedOn w:val="1"/>
    <w:qFormat/>
    <w:uiPriority w:val="99"/>
    <w:pPr>
      <w:spacing w:before="120" w:beforeLines="0" w:after="120" w:afterLines="0" w:line="300" w:lineRule="auto"/>
    </w:pPr>
    <w:rPr>
      <w:rFonts w:ascii="宋体" w:hAnsi="宋体"/>
      <w:b/>
      <w:sz w:val="24"/>
      <w:szCs w:val="20"/>
    </w:rPr>
  </w:style>
  <w:style w:type="paragraph" w:customStyle="1" w:styleId="135">
    <w:name w:val="xl26"/>
    <w:basedOn w:val="1"/>
    <w:qFormat/>
    <w:uiPriority w:val="0"/>
    <w:pPr>
      <w:widowControl/>
      <w:pBdr>
        <w:left w:val="single" w:color="auto" w:sz="4" w:space="0"/>
        <w:bottom w:val="single" w:color="auto" w:sz="4" w:space="0"/>
        <w:right w:val="single" w:color="auto" w:sz="4" w:space="0"/>
      </w:pBdr>
      <w:spacing w:before="100" w:beforeLines="0" w:beforeAutospacing="1" w:after="100" w:afterLines="0" w:afterAutospacing="1"/>
    </w:pPr>
    <w:rPr>
      <w:kern w:val="0"/>
      <w:szCs w:val="21"/>
    </w:rPr>
  </w:style>
  <w:style w:type="paragraph" w:customStyle="1" w:styleId="136">
    <w:name w:val="Char Char Char Char Char Char Char"/>
    <w:basedOn w:val="1"/>
    <w:qFormat/>
    <w:uiPriority w:val="99"/>
  </w:style>
  <w:style w:type="paragraph" w:customStyle="1" w:styleId="137">
    <w:name w:val="xl31"/>
    <w:basedOn w:val="1"/>
    <w:qFormat/>
    <w:uiPriority w:val="0"/>
    <w:pPr>
      <w:widowControl/>
      <w:pBdr>
        <w:bottom w:val="single" w:color="auto" w:sz="4" w:space="0"/>
        <w:right w:val="single" w:color="auto" w:sz="4" w:space="0"/>
      </w:pBdr>
      <w:spacing w:before="100" w:beforeLines="0" w:beforeAutospacing="1" w:after="100" w:afterLines="0" w:afterAutospacing="1"/>
      <w:jc w:val="center"/>
    </w:pPr>
    <w:rPr>
      <w:rFonts w:ascii="宋体" w:hAnsi="宋体"/>
      <w:kern w:val="0"/>
      <w:szCs w:val="21"/>
    </w:rPr>
  </w:style>
  <w:style w:type="paragraph" w:customStyle="1" w:styleId="138">
    <w:name w:val="次小点说明 Char"/>
    <w:basedOn w:val="8"/>
    <w:qFormat/>
    <w:uiPriority w:val="0"/>
    <w:pPr>
      <w:ind w:firstLine="0"/>
    </w:pPr>
    <w:rPr>
      <w:sz w:val="24"/>
      <w:szCs w:val="24"/>
    </w:rPr>
  </w:style>
  <w:style w:type="paragraph" w:customStyle="1" w:styleId="139">
    <w:name w:val="五号正文（标准）"/>
    <w:basedOn w:val="1"/>
    <w:qFormat/>
    <w:uiPriority w:val="0"/>
    <w:pPr>
      <w:spacing w:line="360" w:lineRule="auto"/>
      <w:ind w:right="55" w:firstLine="560" w:firstLineChars="200"/>
    </w:pPr>
    <w:rPr>
      <w:rFonts w:eastAsia="仿宋_GB2312"/>
      <w:sz w:val="28"/>
      <w:szCs w:val="20"/>
    </w:rPr>
  </w:style>
  <w:style w:type="paragraph" w:customStyle="1" w:styleId="140">
    <w:name w:val=" Char Char Char Char"/>
    <w:basedOn w:val="1"/>
    <w:qFormat/>
    <w:uiPriority w:val="0"/>
    <w:pPr>
      <w:widowControl/>
      <w:spacing w:after="160" w:afterLines="0" w:line="240" w:lineRule="exact"/>
      <w:jc w:val="left"/>
    </w:pPr>
    <w:rPr>
      <w:rFonts w:ascii="Verdana" w:hAnsi="Verdana" w:eastAsia="仿宋_GB2312"/>
      <w:kern w:val="0"/>
      <w:sz w:val="24"/>
      <w:szCs w:val="20"/>
      <w:lang w:eastAsia="en-US"/>
    </w:rPr>
  </w:style>
  <w:style w:type="paragraph" w:customStyle="1" w:styleId="141">
    <w:name w:val="Char2"/>
    <w:basedOn w:val="1"/>
    <w:qFormat/>
    <w:uiPriority w:val="0"/>
    <w:pPr>
      <w:widowControl/>
      <w:spacing w:after="160" w:line="240" w:lineRule="exact"/>
      <w:jc w:val="left"/>
    </w:pPr>
    <w:rPr>
      <w:rFonts w:ascii="Verdana" w:hAnsi="Verdana"/>
      <w:kern w:val="0"/>
      <w:szCs w:val="20"/>
      <w:lang w:eastAsia="en-US"/>
    </w:rPr>
  </w:style>
  <w:style w:type="paragraph" w:customStyle="1" w:styleId="142">
    <w:name w:val="默认段落字体 Para Char Char Char Char Char Char Char Char Char1 Char Char Char Char"/>
    <w:basedOn w:val="1"/>
    <w:qFormat/>
    <w:uiPriority w:val="0"/>
    <w:rPr>
      <w:rFonts w:ascii="Tahoma" w:hAnsi="Tahoma"/>
      <w:sz w:val="24"/>
      <w:szCs w:val="20"/>
    </w:rPr>
  </w:style>
  <w:style w:type="paragraph" w:customStyle="1" w:styleId="143">
    <w:name w:val="默认段落字体 Para Char1"/>
    <w:next w:val="1"/>
    <w:qFormat/>
    <w:uiPriority w:val="0"/>
    <w:pPr>
      <w:keepNext/>
      <w:keepLines/>
      <w:tabs>
        <w:tab w:val="left" w:pos="360"/>
      </w:tabs>
      <w:snapToGrid w:val="0"/>
      <w:spacing w:before="240" w:after="240"/>
      <w:outlineLvl w:val="7"/>
    </w:pPr>
    <w:rPr>
      <w:rFonts w:ascii="Arial" w:hAnsi="Arial" w:eastAsia="宋体" w:cs="Arial"/>
      <w:kern w:val="2"/>
      <w:lang w:val="en-US" w:eastAsia="zh-CN" w:bidi="ar-SA"/>
    </w:rPr>
  </w:style>
  <w:style w:type="paragraph" w:customStyle="1" w:styleId="144">
    <w:name w:val="Char Char Char Char"/>
    <w:basedOn w:val="1"/>
    <w:qFormat/>
    <w:uiPriority w:val="99"/>
    <w:pPr>
      <w:widowControl/>
      <w:spacing w:after="160" w:line="240" w:lineRule="exact"/>
      <w:jc w:val="left"/>
    </w:pPr>
    <w:rPr>
      <w:rFonts w:ascii="Verdana" w:hAnsi="Verdana" w:eastAsia="仿宋_GB2312"/>
      <w:kern w:val="0"/>
      <w:sz w:val="24"/>
      <w:szCs w:val="20"/>
      <w:lang w:eastAsia="en-US"/>
    </w:rPr>
  </w:style>
  <w:style w:type="paragraph" w:customStyle="1" w:styleId="145">
    <w:name w:val=" Char Char Char Char Char Char Char Char Char Char Char Char Char"/>
    <w:basedOn w:val="17"/>
    <w:qFormat/>
    <w:uiPriority w:val="0"/>
    <w:pPr>
      <w:adjustRightInd/>
      <w:spacing w:line="240" w:lineRule="auto"/>
      <w:textAlignment w:val="auto"/>
    </w:pPr>
    <w:rPr>
      <w:rFonts w:ascii="Tahoma" w:hAnsi="Tahoma"/>
      <w:kern w:val="2"/>
      <w:sz w:val="24"/>
      <w:szCs w:val="24"/>
    </w:rPr>
  </w:style>
  <w:style w:type="paragraph" w:customStyle="1" w:styleId="146">
    <w:name w:val=" Char"/>
    <w:basedOn w:val="1"/>
    <w:qFormat/>
    <w:uiPriority w:val="0"/>
    <w:pPr>
      <w:tabs>
        <w:tab w:val="left" w:pos="360"/>
      </w:tabs>
      <w:ind w:left="252" w:hanging="252" w:hangingChars="140"/>
    </w:pPr>
    <w:rPr>
      <w:rFonts w:ascii="宋体"/>
      <w:sz w:val="18"/>
      <w:szCs w:val="18"/>
    </w:rPr>
  </w:style>
  <w:style w:type="paragraph" w:customStyle="1" w:styleId="147">
    <w:name w:val="图"/>
    <w:basedOn w:val="1"/>
    <w:qFormat/>
    <w:uiPriority w:val="0"/>
    <w:pPr>
      <w:keepNext/>
      <w:adjustRightInd w:val="0"/>
      <w:snapToGrid w:val="0"/>
      <w:spacing w:before="60" w:beforeLines="0" w:after="60" w:afterLines="0" w:line="300" w:lineRule="auto"/>
      <w:jc w:val="center"/>
    </w:pPr>
    <w:rPr>
      <w:spacing w:val="20"/>
      <w:kern w:val="0"/>
      <w:sz w:val="24"/>
      <w:szCs w:val="20"/>
    </w:rPr>
  </w:style>
  <w:style w:type="paragraph" w:customStyle="1" w:styleId="148">
    <w:name w:val=" Char Char Char Char Char Char1 Char"/>
    <w:basedOn w:val="1"/>
    <w:qFormat/>
    <w:uiPriority w:val="0"/>
    <w:pPr>
      <w:widowControl/>
      <w:spacing w:after="160" w:afterLines="0" w:line="240" w:lineRule="exact"/>
      <w:jc w:val="left"/>
    </w:pPr>
    <w:rPr>
      <w:rFonts w:ascii="Arial" w:hAnsi="Arial" w:eastAsia="Times New Roman" w:cs="Verdana"/>
      <w:b/>
      <w:kern w:val="0"/>
      <w:sz w:val="24"/>
      <w:szCs w:val="20"/>
      <w:lang w:eastAsia="en-US"/>
    </w:rPr>
  </w:style>
  <w:style w:type="paragraph" w:customStyle="1" w:styleId="149">
    <w:name w:val="Char Char Char1"/>
    <w:basedOn w:val="17"/>
    <w:qFormat/>
    <w:uiPriority w:val="0"/>
    <w:pPr>
      <w:adjustRightInd/>
      <w:spacing w:line="240" w:lineRule="auto"/>
      <w:textAlignment w:val="auto"/>
    </w:pPr>
    <w:rPr>
      <w:rFonts w:ascii="Tahoma" w:hAnsi="Tahoma"/>
      <w:kern w:val="2"/>
      <w:sz w:val="24"/>
      <w:szCs w:val="24"/>
    </w:rPr>
  </w:style>
  <w:style w:type="paragraph" w:customStyle="1" w:styleId="150">
    <w:name w:val="F2"/>
    <w:basedOn w:val="1"/>
    <w:qFormat/>
    <w:uiPriority w:val="0"/>
    <w:pPr>
      <w:autoSpaceDE w:val="0"/>
      <w:autoSpaceDN w:val="0"/>
      <w:adjustRightInd w:val="0"/>
      <w:ind w:firstLine="601"/>
      <w:textAlignment w:val="baseline"/>
    </w:pPr>
    <w:rPr>
      <w:kern w:val="0"/>
      <w:sz w:val="24"/>
      <w:szCs w:val="20"/>
    </w:rPr>
  </w:style>
  <w:style w:type="paragraph" w:customStyle="1" w:styleId="151">
    <w:name w:val="xl21"/>
    <w:basedOn w:val="1"/>
    <w:qFormat/>
    <w:uiPriority w:val="0"/>
    <w:pPr>
      <w:widowControl/>
      <w:spacing w:before="100" w:beforeLines="0" w:beforeAutospacing="1" w:after="100" w:afterLines="0" w:afterAutospacing="1"/>
      <w:jc w:val="center"/>
    </w:pPr>
    <w:rPr>
      <w:rFonts w:ascii="宋体" w:hAnsi="宋体"/>
      <w:b/>
      <w:bCs/>
      <w:kern w:val="0"/>
      <w:sz w:val="28"/>
      <w:szCs w:val="28"/>
    </w:rPr>
  </w:style>
  <w:style w:type="paragraph" w:customStyle="1" w:styleId="152">
    <w:name w:val="List Paragraph1"/>
    <w:basedOn w:val="1"/>
    <w:qFormat/>
    <w:uiPriority w:val="0"/>
    <w:pPr>
      <w:ind w:firstLine="420" w:firstLineChars="200"/>
    </w:pPr>
    <w:rPr>
      <w:rFonts w:ascii="Calibri" w:hAnsi="Calibri"/>
      <w:szCs w:val="22"/>
    </w:rPr>
  </w:style>
  <w:style w:type="paragraph" w:customStyle="1" w:styleId="153">
    <w:name w:val="普通 (Web)"/>
    <w:basedOn w:val="1"/>
    <w:qFormat/>
    <w:uiPriority w:val="0"/>
    <w:pPr>
      <w:widowControl/>
      <w:spacing w:before="100" w:beforeLines="0" w:beforeAutospacing="1" w:after="100" w:afterLines="0" w:afterAutospacing="1"/>
      <w:jc w:val="left"/>
    </w:pPr>
    <w:rPr>
      <w:rFonts w:ascii="宋体" w:hAnsi="宋体"/>
      <w:kern w:val="0"/>
      <w:sz w:val="24"/>
    </w:rPr>
  </w:style>
  <w:style w:type="paragraph" w:customStyle="1" w:styleId="154">
    <w:name w:val="a9"/>
    <w:basedOn w:val="1"/>
    <w:qFormat/>
    <w:uiPriority w:val="0"/>
    <w:pPr>
      <w:widowControl/>
      <w:spacing w:before="100" w:beforeLines="0" w:beforeAutospacing="1" w:after="100" w:afterLines="0" w:afterAutospacing="1"/>
      <w:jc w:val="left"/>
    </w:pPr>
    <w:rPr>
      <w:rFonts w:ascii="宋体" w:hAnsi="宋体" w:cs="宋体"/>
      <w:kern w:val="0"/>
      <w:sz w:val="24"/>
    </w:rPr>
  </w:style>
  <w:style w:type="paragraph" w:customStyle="1" w:styleId="155">
    <w:name w:val="_Style 154"/>
    <w:basedOn w:val="3"/>
    <w:next w:val="1"/>
    <w:qFormat/>
    <w:uiPriority w:val="0"/>
    <w:pPr>
      <w:widowControl/>
      <w:spacing w:before="480" w:after="0" w:line="276" w:lineRule="auto"/>
      <w:jc w:val="left"/>
      <w:outlineLvl w:val="9"/>
    </w:pPr>
    <w:rPr>
      <w:rFonts w:ascii="Cambria" w:hAnsi="Cambria" w:eastAsia="宋体" w:cs="Times New Roman"/>
      <w:color w:val="365F91"/>
      <w:kern w:val="0"/>
      <w:sz w:val="28"/>
      <w:szCs w:val="28"/>
    </w:rPr>
  </w:style>
  <w:style w:type="paragraph" w:customStyle="1" w:styleId="156">
    <w:name w:val="默认段落字体 Para Char"/>
    <w:basedOn w:val="1"/>
    <w:qFormat/>
    <w:uiPriority w:val="0"/>
    <w:pPr>
      <w:adjustRightInd w:val="0"/>
      <w:spacing w:line="360" w:lineRule="auto"/>
    </w:pPr>
    <w:rPr>
      <w:kern w:val="0"/>
      <w:sz w:val="24"/>
      <w:szCs w:val="20"/>
    </w:rPr>
  </w:style>
  <w:style w:type="paragraph" w:customStyle="1" w:styleId="157">
    <w:name w:val="xl23"/>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b/>
      <w:bCs/>
      <w:kern w:val="0"/>
      <w:sz w:val="24"/>
    </w:rPr>
  </w:style>
  <w:style w:type="paragraph" w:customStyle="1" w:styleId="158">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159">
    <w:name w:val="tgt1"/>
    <w:basedOn w:val="1"/>
    <w:qFormat/>
    <w:uiPriority w:val="0"/>
    <w:pPr>
      <w:widowControl/>
      <w:spacing w:after="150" w:afterLines="0"/>
      <w:jc w:val="left"/>
    </w:pPr>
    <w:rPr>
      <w:rFonts w:ascii="宋体" w:hAnsi="宋体" w:cs="宋体"/>
      <w:kern w:val="0"/>
      <w:sz w:val="24"/>
    </w:rPr>
  </w:style>
  <w:style w:type="paragraph" w:customStyle="1" w:styleId="160">
    <w:name w:val="样式 标题 3 + (中文) 黑体 小四 非加粗 段前: 7.8 磅 段后: 0 磅 行距: 固定值 20 磅"/>
    <w:basedOn w:val="5"/>
    <w:qFormat/>
    <w:uiPriority w:val="99"/>
    <w:pPr>
      <w:spacing w:before="0" w:beforeLines="0" w:after="0" w:afterLines="0" w:line="400" w:lineRule="exact"/>
    </w:pPr>
    <w:rPr>
      <w:rFonts w:eastAsia="黑体" w:cs="宋体"/>
      <w:b w:val="0"/>
      <w:bCs w:val="0"/>
      <w:sz w:val="24"/>
      <w:szCs w:val="20"/>
    </w:rPr>
  </w:style>
  <w:style w:type="paragraph" w:customStyle="1" w:styleId="161">
    <w:name w:val="正文段"/>
    <w:basedOn w:val="1"/>
    <w:qFormat/>
    <w:uiPriority w:val="0"/>
    <w:pPr>
      <w:widowControl/>
      <w:snapToGrid w:val="0"/>
      <w:spacing w:after="156" w:afterLines="50"/>
      <w:ind w:firstLine="200" w:firstLineChars="200"/>
    </w:pPr>
    <w:rPr>
      <w:kern w:val="0"/>
      <w:sz w:val="24"/>
      <w:szCs w:val="20"/>
    </w:rPr>
  </w:style>
  <w:style w:type="paragraph" w:customStyle="1" w:styleId="162">
    <w:name w:val="1"/>
    <w:basedOn w:val="1"/>
    <w:next w:val="27"/>
    <w:qFormat/>
    <w:uiPriority w:val="99"/>
    <w:rPr>
      <w:rFonts w:ascii="宋体" w:hAnsi="Courier New"/>
      <w:szCs w:val="20"/>
    </w:rPr>
  </w:style>
  <w:style w:type="paragraph" w:customStyle="1" w:styleId="163">
    <w:name w:val="Char Char Char Char Char Char Char Char Char Char Char Char Char"/>
    <w:basedOn w:val="17"/>
    <w:qFormat/>
    <w:uiPriority w:val="0"/>
    <w:pPr>
      <w:adjustRightInd/>
      <w:spacing w:line="240" w:lineRule="auto"/>
      <w:textAlignment w:val="auto"/>
    </w:pPr>
    <w:rPr>
      <w:rFonts w:ascii="Tahoma" w:hAnsi="Tahoma"/>
      <w:kern w:val="2"/>
      <w:sz w:val="24"/>
      <w:szCs w:val="24"/>
    </w:rPr>
  </w:style>
  <w:style w:type="paragraph" w:customStyle="1" w:styleId="164">
    <w:name w:val="2ji"/>
    <w:basedOn w:val="4"/>
    <w:qFormat/>
    <w:uiPriority w:val="0"/>
    <w:pPr>
      <w:adjustRightInd w:val="0"/>
      <w:spacing w:before="0" w:beforeLines="0" w:after="0" w:afterLines="0" w:line="360" w:lineRule="auto"/>
      <w:textAlignment w:val="baseline"/>
    </w:pPr>
    <w:rPr>
      <w:rFonts w:ascii="宋体" w:hAnsi="宋体" w:eastAsia="宋体"/>
      <w:kern w:val="0"/>
      <w:sz w:val="21"/>
      <w:szCs w:val="21"/>
    </w:rPr>
  </w:style>
  <w:style w:type="paragraph" w:customStyle="1" w:styleId="165">
    <w:name w:val="2-2ji"/>
    <w:basedOn w:val="4"/>
    <w:qFormat/>
    <w:uiPriority w:val="99"/>
    <w:pPr>
      <w:adjustRightInd w:val="0"/>
      <w:spacing w:before="0" w:beforeLines="0" w:after="0" w:afterLines="0" w:line="360" w:lineRule="auto"/>
      <w:jc w:val="center"/>
      <w:textAlignment w:val="baseline"/>
    </w:pPr>
    <w:rPr>
      <w:rFonts w:ascii="宋体" w:hAnsi="宋体" w:eastAsia="宋体"/>
      <w:bCs w:val="0"/>
      <w:kern w:val="0"/>
      <w:sz w:val="36"/>
    </w:rPr>
  </w:style>
  <w:style w:type="paragraph" w:customStyle="1" w:styleId="166">
    <w:name w:val="444"/>
    <w:basedOn w:val="1"/>
    <w:qFormat/>
    <w:uiPriority w:val="0"/>
    <w:pPr>
      <w:adjustRightInd w:val="0"/>
      <w:spacing w:line="312" w:lineRule="atLeast"/>
      <w:jc w:val="center"/>
      <w:textAlignment w:val="baseline"/>
    </w:pPr>
    <w:rPr>
      <w:b/>
      <w:kern w:val="0"/>
      <w:sz w:val="36"/>
      <w:szCs w:val="36"/>
    </w:rPr>
  </w:style>
  <w:style w:type="paragraph" w:customStyle="1" w:styleId="167">
    <w:name w:val=" Char2"/>
    <w:basedOn w:val="1"/>
    <w:qFormat/>
    <w:uiPriority w:val="0"/>
    <w:pPr>
      <w:widowControl/>
      <w:spacing w:after="160" w:afterLines="0" w:line="240" w:lineRule="exact"/>
      <w:jc w:val="left"/>
    </w:pPr>
    <w:rPr>
      <w:rFonts w:ascii="Verdana" w:hAnsi="Verdana"/>
      <w:kern w:val="0"/>
      <w:szCs w:val="20"/>
      <w:lang w:eastAsia="en-US"/>
    </w:rPr>
  </w:style>
  <w:style w:type="paragraph" w:customStyle="1" w:styleId="168">
    <w:name w:val="Char Char Char Char Char Char1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169">
    <w:name w:val="Char3"/>
    <w:basedOn w:val="1"/>
    <w:qFormat/>
    <w:uiPriority w:val="0"/>
    <w:pPr>
      <w:widowControl/>
      <w:spacing w:line="500" w:lineRule="exact"/>
      <w:outlineLvl w:val="2"/>
    </w:pPr>
    <w:rPr>
      <w:rFonts w:ascii="黑体" w:hAnsi="Verdana" w:eastAsia="黑体" w:cs="黑体"/>
      <w:kern w:val="0"/>
      <w:sz w:val="28"/>
      <w:szCs w:val="28"/>
      <w:lang w:eastAsia="en-US"/>
    </w:rPr>
  </w:style>
  <w:style w:type="paragraph" w:customStyle="1" w:styleId="170">
    <w:name w:val="Default Paragraph Font Para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71">
    <w:name w:val="_Style 170"/>
    <w:unhideWhenUsed/>
    <w:qFormat/>
    <w:uiPriority w:val="99"/>
    <w:rPr>
      <w:rFonts w:ascii="Times New Roman" w:hAnsi="Times New Roman" w:eastAsia="宋体" w:cs="Times New Roman"/>
      <w:kern w:val="2"/>
      <w:sz w:val="21"/>
      <w:szCs w:val="24"/>
      <w:lang w:val="en-US" w:eastAsia="zh-CN" w:bidi="ar-SA"/>
    </w:rPr>
  </w:style>
  <w:style w:type="character" w:customStyle="1" w:styleId="172">
    <w:name w:val="Char Char18"/>
    <w:qFormat/>
    <w:uiPriority w:val="99"/>
    <w:rPr>
      <w:rFonts w:ascii="Times New Roman" w:hAnsi="Times New Roman" w:eastAsia="宋体" w:cs="Times New Roman"/>
      <w:b/>
      <w:bCs/>
      <w:sz w:val="28"/>
      <w:szCs w:val="28"/>
    </w:rPr>
  </w:style>
  <w:style w:type="character" w:customStyle="1" w:styleId="173">
    <w:name w:val="标题4 Char Char"/>
    <w:link w:val="174"/>
    <w:qFormat/>
    <w:uiPriority w:val="99"/>
    <w:rPr>
      <w:rFonts w:ascii="Arial" w:hAnsi="Arial"/>
      <w:b/>
      <w:bCs/>
      <w:sz w:val="24"/>
      <w:szCs w:val="32"/>
    </w:rPr>
  </w:style>
  <w:style w:type="paragraph" w:customStyle="1" w:styleId="174">
    <w:name w:val="标题4"/>
    <w:basedOn w:val="4"/>
    <w:next w:val="24"/>
    <w:link w:val="173"/>
    <w:qFormat/>
    <w:uiPriority w:val="99"/>
    <w:rPr>
      <w:rFonts w:eastAsia="宋体"/>
      <w:kern w:val="0"/>
      <w:sz w:val="24"/>
    </w:rPr>
  </w:style>
  <w:style w:type="character" w:customStyle="1" w:styleId="175">
    <w:name w:val="批注框文本 Char1"/>
    <w:qFormat/>
    <w:uiPriority w:val="99"/>
    <w:rPr>
      <w:kern w:val="2"/>
      <w:sz w:val="18"/>
      <w:szCs w:val="18"/>
    </w:rPr>
  </w:style>
  <w:style w:type="character" w:customStyle="1" w:styleId="176">
    <w:name w:val="批注文字 Char Char"/>
    <w:qFormat/>
    <w:uiPriority w:val="99"/>
    <w:rPr>
      <w:rFonts w:ascii="宋体" w:hAnsi="Times New Roman" w:eastAsia="宋体" w:cs="Times New Roman"/>
      <w:sz w:val="28"/>
      <w:szCs w:val="20"/>
    </w:rPr>
  </w:style>
  <w:style w:type="character" w:customStyle="1" w:styleId="177">
    <w:name w:val="日期 Char1"/>
    <w:qFormat/>
    <w:uiPriority w:val="99"/>
    <w:rPr>
      <w:kern w:val="2"/>
      <w:sz w:val="21"/>
      <w:szCs w:val="22"/>
    </w:rPr>
  </w:style>
  <w:style w:type="character" w:customStyle="1" w:styleId="178">
    <w:name w:val="正文文本 Char1"/>
    <w:qFormat/>
    <w:uiPriority w:val="99"/>
    <w:rPr>
      <w:kern w:val="2"/>
      <w:sz w:val="21"/>
      <w:szCs w:val="22"/>
    </w:rPr>
  </w:style>
  <w:style w:type="character" w:customStyle="1" w:styleId="179">
    <w:name w:val="文档结构图 Char1"/>
    <w:qFormat/>
    <w:uiPriority w:val="99"/>
    <w:rPr>
      <w:rFonts w:ascii="宋体"/>
      <w:kern w:val="2"/>
      <w:sz w:val="18"/>
      <w:szCs w:val="18"/>
    </w:rPr>
  </w:style>
  <w:style w:type="character" w:customStyle="1" w:styleId="180">
    <w:name w:val="_Style 179"/>
    <w:qFormat/>
    <w:uiPriority w:val="0"/>
    <w:rPr>
      <w:b/>
      <w:bCs/>
      <w:smallCaps/>
      <w:color w:val="C0504D"/>
      <w:spacing w:val="5"/>
      <w:u w:val="single"/>
    </w:rPr>
  </w:style>
  <w:style w:type="character" w:customStyle="1" w:styleId="181">
    <w:name w:val="明显引用 Char"/>
    <w:link w:val="182"/>
    <w:qFormat/>
    <w:uiPriority w:val="99"/>
    <w:rPr>
      <w:b/>
      <w:bCs/>
      <w:i/>
      <w:iCs/>
      <w:color w:val="4F81BD"/>
      <w:kern w:val="2"/>
      <w:sz w:val="21"/>
      <w:szCs w:val="22"/>
    </w:rPr>
  </w:style>
  <w:style w:type="paragraph" w:styleId="182">
    <w:name w:val="Intense Quote"/>
    <w:basedOn w:val="1"/>
    <w:next w:val="1"/>
    <w:link w:val="181"/>
    <w:qFormat/>
    <w:uiPriority w:val="99"/>
    <w:pPr>
      <w:pBdr>
        <w:bottom w:val="single" w:color="4F81BD" w:sz="4" w:space="4"/>
      </w:pBdr>
      <w:spacing w:before="200" w:after="280"/>
      <w:ind w:left="936" w:right="936"/>
    </w:pPr>
    <w:rPr>
      <w:b/>
      <w:bCs/>
      <w:i/>
      <w:iCs/>
      <w:color w:val="4F81BD"/>
      <w:szCs w:val="22"/>
    </w:rPr>
  </w:style>
  <w:style w:type="character" w:customStyle="1" w:styleId="183">
    <w:name w:val="st1"/>
    <w:basedOn w:val="56"/>
    <w:qFormat/>
    <w:uiPriority w:val="0"/>
  </w:style>
  <w:style w:type="character" w:customStyle="1" w:styleId="184">
    <w:name w:val="_Style 183"/>
    <w:qFormat/>
    <w:uiPriority w:val="0"/>
    <w:rPr>
      <w:b/>
      <w:bCs/>
      <w:i/>
      <w:iCs/>
      <w:color w:val="4F81BD"/>
    </w:rPr>
  </w:style>
  <w:style w:type="character" w:customStyle="1" w:styleId="185">
    <w:name w:val="_Style 184"/>
    <w:qFormat/>
    <w:uiPriority w:val="0"/>
    <w:rPr>
      <w:b/>
      <w:bCs/>
      <w:smallCaps/>
      <w:spacing w:val="5"/>
    </w:rPr>
  </w:style>
  <w:style w:type="character" w:customStyle="1" w:styleId="186">
    <w:name w:val="_Style 185"/>
    <w:qFormat/>
    <w:uiPriority w:val="0"/>
    <w:rPr>
      <w:smallCaps/>
      <w:color w:val="C0504D"/>
      <w:u w:val="single"/>
    </w:rPr>
  </w:style>
  <w:style w:type="character" w:customStyle="1" w:styleId="187">
    <w:name w:val="textcontents"/>
    <w:qFormat/>
    <w:uiPriority w:val="99"/>
    <w:rPr>
      <w:rFonts w:cs="Times New Roman"/>
    </w:rPr>
  </w:style>
  <w:style w:type="character" w:customStyle="1" w:styleId="188">
    <w:name w:val="标题5 Char Char"/>
    <w:link w:val="189"/>
    <w:qFormat/>
    <w:uiPriority w:val="99"/>
    <w:rPr>
      <w:rFonts w:ascii="Arial" w:hAnsi="Arial"/>
      <w:b/>
      <w:bCs/>
      <w:sz w:val="24"/>
      <w:szCs w:val="32"/>
    </w:rPr>
  </w:style>
  <w:style w:type="paragraph" w:customStyle="1" w:styleId="189">
    <w:name w:val="标题5"/>
    <w:basedOn w:val="5"/>
    <w:link w:val="188"/>
    <w:qFormat/>
    <w:uiPriority w:val="99"/>
    <w:rPr>
      <w:rFonts w:ascii="Arial" w:hAnsi="Arial"/>
      <w:kern w:val="0"/>
      <w:sz w:val="24"/>
    </w:rPr>
  </w:style>
  <w:style w:type="character" w:customStyle="1" w:styleId="190">
    <w:name w:val="_Style 189"/>
    <w:qFormat/>
    <w:uiPriority w:val="0"/>
    <w:rPr>
      <w:i/>
      <w:iCs/>
      <w:color w:val="808080"/>
    </w:rPr>
  </w:style>
  <w:style w:type="character" w:customStyle="1" w:styleId="191">
    <w:name w:val="批注主题 Char1"/>
    <w:qFormat/>
    <w:uiPriority w:val="99"/>
    <w:rPr>
      <w:b/>
      <w:bCs/>
      <w:kern w:val="2"/>
      <w:sz w:val="21"/>
      <w:szCs w:val="22"/>
    </w:rPr>
  </w:style>
  <w:style w:type="character" w:customStyle="1" w:styleId="192">
    <w:name w:val="引用 Char"/>
    <w:link w:val="193"/>
    <w:qFormat/>
    <w:uiPriority w:val="99"/>
    <w:rPr>
      <w:i/>
      <w:iCs/>
      <w:color w:val="000000"/>
      <w:kern w:val="2"/>
      <w:sz w:val="21"/>
      <w:szCs w:val="22"/>
    </w:rPr>
  </w:style>
  <w:style w:type="paragraph" w:styleId="193">
    <w:name w:val="Quote"/>
    <w:basedOn w:val="1"/>
    <w:next w:val="1"/>
    <w:link w:val="192"/>
    <w:qFormat/>
    <w:uiPriority w:val="99"/>
    <w:rPr>
      <w:i/>
      <w:iCs/>
      <w:color w:val="000000"/>
      <w:szCs w:val="22"/>
    </w:rPr>
  </w:style>
  <w:style w:type="character" w:customStyle="1" w:styleId="194">
    <w:name w:val="副标题 Char1"/>
    <w:qFormat/>
    <w:uiPriority w:val="0"/>
    <w:rPr>
      <w:rFonts w:ascii="Cambria" w:hAnsi="Cambria" w:cs="Times New Roman"/>
      <w:b/>
      <w:bCs/>
      <w:kern w:val="28"/>
      <w:sz w:val="32"/>
      <w:szCs w:val="32"/>
    </w:rPr>
  </w:style>
  <w:style w:type="character" w:customStyle="1" w:styleId="195">
    <w:name w:val="引用 Char1"/>
    <w:qFormat/>
    <w:uiPriority w:val="99"/>
    <w:rPr>
      <w:i/>
      <w:iCs/>
      <w:color w:val="000000"/>
      <w:kern w:val="2"/>
      <w:sz w:val="21"/>
      <w:szCs w:val="24"/>
    </w:rPr>
  </w:style>
  <w:style w:type="paragraph" w:customStyle="1" w:styleId="196">
    <w:name w:val="flNote"/>
    <w:basedOn w:val="1"/>
    <w:qFormat/>
    <w:uiPriority w:val="99"/>
    <w:pPr>
      <w:adjustRightInd w:val="0"/>
      <w:spacing w:before="320" w:after="160" w:line="360" w:lineRule="atLeast"/>
      <w:jc w:val="center"/>
      <w:textAlignment w:val="baseline"/>
    </w:pPr>
    <w:rPr>
      <w:rFonts w:ascii="Arial" w:eastAsia="黑体"/>
      <w:kern w:val="0"/>
      <w:sz w:val="30"/>
      <w:szCs w:val="20"/>
    </w:rPr>
  </w:style>
  <w:style w:type="paragraph" w:styleId="197">
    <w:name w:val="No Spacing"/>
    <w:qFormat/>
    <w:uiPriority w:val="0"/>
    <w:pPr>
      <w:widowControl w:val="0"/>
      <w:jc w:val="both"/>
    </w:pPr>
    <w:rPr>
      <w:rFonts w:ascii="Calibri" w:hAnsi="Calibri" w:eastAsia="宋体" w:cs="Times New Roman"/>
      <w:kern w:val="2"/>
      <w:sz w:val="21"/>
      <w:szCs w:val="22"/>
      <w:lang w:val="en-US" w:eastAsia="zh-CN" w:bidi="ar-SA"/>
    </w:rPr>
  </w:style>
  <w:style w:type="character" w:customStyle="1" w:styleId="198">
    <w:name w:val="明显引用 Char1"/>
    <w:qFormat/>
    <w:uiPriority w:val="99"/>
    <w:rPr>
      <w:b/>
      <w:bCs/>
      <w:i/>
      <w:iCs/>
      <w:color w:val="4F81BD"/>
      <w:kern w:val="2"/>
      <w:sz w:val="21"/>
      <w:szCs w:val="24"/>
    </w:rPr>
  </w:style>
  <w:style w:type="paragraph" w:customStyle="1" w:styleId="199">
    <w:name w:val="空半行"/>
    <w:basedOn w:val="1"/>
    <w:qFormat/>
    <w:uiPriority w:val="99"/>
    <w:pPr>
      <w:adjustRightInd w:val="0"/>
      <w:spacing w:line="120" w:lineRule="exact"/>
      <w:textAlignment w:val="baseline"/>
    </w:pPr>
    <w:rPr>
      <w:rFonts w:eastAsia="仿宋_GB2312"/>
      <w:color w:val="FFFFFF"/>
      <w:kern w:val="0"/>
      <w:sz w:val="30"/>
      <w:szCs w:val="20"/>
    </w:rPr>
  </w:style>
  <w:style w:type="paragraph" w:customStyle="1" w:styleId="200">
    <w:name w:val="4"/>
    <w:basedOn w:val="1"/>
    <w:next w:val="27"/>
    <w:qFormat/>
    <w:uiPriority w:val="0"/>
    <w:rPr>
      <w:rFonts w:ascii="宋体" w:hAnsi="Courier New" w:cs="Courier New"/>
      <w:szCs w:val="21"/>
    </w:rPr>
  </w:style>
  <w:style w:type="paragraph" w:customStyle="1" w:styleId="201">
    <w:name w:val="Char Char Char Char1"/>
    <w:basedOn w:val="1"/>
    <w:qFormat/>
    <w:uiPriority w:val="0"/>
    <w:pPr>
      <w:ind w:firstLine="200" w:firstLineChars="200"/>
    </w:pPr>
    <w:rPr>
      <w:rFonts w:ascii="宋体" w:hAnsi="宋体" w:cs="宋体"/>
      <w:sz w:val="24"/>
    </w:rPr>
  </w:style>
  <w:style w:type="character" w:customStyle="1" w:styleId="202">
    <w:name w:val="Heading 3 Char1"/>
    <w:qFormat/>
    <w:uiPriority w:val="99"/>
    <w:rPr>
      <w:rFonts w:eastAsia="宋体"/>
      <w:b/>
      <w:bCs/>
      <w:kern w:val="2"/>
      <w:sz w:val="24"/>
      <w:szCs w:val="32"/>
      <w:lang w:val="en-US" w:eastAsia="zh-CN" w:bidi="ar-SA"/>
    </w:rPr>
  </w:style>
  <w:style w:type="character" w:customStyle="1" w:styleId="203">
    <w:name w:val="Balloon Text Char"/>
    <w:qFormat/>
    <w:uiPriority w:val="99"/>
    <w:rPr>
      <w:sz w:val="18"/>
      <w:lang w:bidi="ar-SA"/>
    </w:rPr>
  </w:style>
  <w:style w:type="character" w:customStyle="1" w:styleId="204">
    <w:name w:val="Char Char20"/>
    <w:qFormat/>
    <w:uiPriority w:val="99"/>
    <w:rPr>
      <w:rFonts w:ascii="Times New Roman" w:hAnsi="Times New Roman" w:eastAsia="宋体" w:cs="Times New Roman"/>
      <w:b/>
      <w:bCs/>
      <w:sz w:val="24"/>
      <w:szCs w:val="32"/>
    </w:rPr>
  </w:style>
  <w:style w:type="character" w:customStyle="1" w:styleId="205">
    <w:name w:val="Footer Char"/>
    <w:qFormat/>
    <w:uiPriority w:val="99"/>
    <w:rPr>
      <w:rFonts w:eastAsia="宋体"/>
      <w:kern w:val="2"/>
      <w:sz w:val="18"/>
      <w:szCs w:val="18"/>
      <w:lang w:val="en-US" w:eastAsia="zh-CN" w:bidi="ar-SA"/>
    </w:rPr>
  </w:style>
  <w:style w:type="character" w:customStyle="1" w:styleId="206">
    <w:name w:val="Body Text Indent 2 Char"/>
    <w:qFormat/>
    <w:uiPriority w:val="99"/>
    <w:rPr>
      <w:rFonts w:eastAsia="宋体"/>
      <w:kern w:val="2"/>
      <w:sz w:val="21"/>
      <w:szCs w:val="24"/>
      <w:lang w:val="en-US" w:eastAsia="zh-CN" w:bidi="ar-SA"/>
    </w:rPr>
  </w:style>
  <w:style w:type="character" w:customStyle="1" w:styleId="207">
    <w:name w:val="Comment Text Char"/>
    <w:qFormat/>
    <w:uiPriority w:val="99"/>
    <w:rPr>
      <w:rFonts w:cs="Times New Roman"/>
      <w:sz w:val="24"/>
      <w:szCs w:val="24"/>
    </w:rPr>
  </w:style>
  <w:style w:type="character" w:customStyle="1" w:styleId="208">
    <w:name w:val="Char Char23"/>
    <w:qFormat/>
    <w:uiPriority w:val="99"/>
    <w:rPr>
      <w:rFonts w:eastAsia="宋体"/>
      <w:b/>
      <w:bCs/>
      <w:kern w:val="44"/>
      <w:sz w:val="32"/>
      <w:szCs w:val="44"/>
      <w:lang w:val="en-US" w:eastAsia="zh-CN" w:bidi="ar-SA"/>
    </w:rPr>
  </w:style>
  <w:style w:type="character" w:customStyle="1" w:styleId="209">
    <w:name w:val="标题 Char2"/>
    <w:qFormat/>
    <w:uiPriority w:val="99"/>
    <w:rPr>
      <w:rFonts w:ascii="Cambria" w:hAnsi="Cambria" w:eastAsia="宋体" w:cs="Times New Roman"/>
      <w:b/>
      <w:bCs/>
      <w:sz w:val="32"/>
      <w:szCs w:val="32"/>
    </w:rPr>
  </w:style>
  <w:style w:type="character" w:customStyle="1" w:styleId="210">
    <w:name w:val="Char Char22"/>
    <w:qFormat/>
    <w:uiPriority w:val="99"/>
    <w:rPr>
      <w:rFonts w:ascii="Times New Roman" w:hAnsi="Times New Roman" w:eastAsia="宋体" w:cs="Times New Roman"/>
      <w:b/>
      <w:bCs/>
      <w:kern w:val="44"/>
      <w:sz w:val="32"/>
      <w:szCs w:val="44"/>
    </w:rPr>
  </w:style>
  <w:style w:type="character" w:customStyle="1" w:styleId="211">
    <w:name w:val="Heading 1 Char"/>
    <w:qFormat/>
    <w:uiPriority w:val="99"/>
    <w:rPr>
      <w:rFonts w:eastAsia="宋体"/>
      <w:b/>
      <w:bCs/>
      <w:kern w:val="44"/>
      <w:sz w:val="32"/>
      <w:szCs w:val="44"/>
      <w:lang w:val="en-US" w:eastAsia="zh-CN" w:bidi="ar-SA"/>
    </w:rPr>
  </w:style>
  <w:style w:type="character" w:customStyle="1" w:styleId="212">
    <w:name w:val="Char Char9"/>
    <w:qFormat/>
    <w:uiPriority w:val="99"/>
    <w:rPr>
      <w:rFonts w:eastAsia="宋体"/>
      <w:b/>
      <w:bCs/>
      <w:kern w:val="44"/>
      <w:sz w:val="32"/>
      <w:szCs w:val="44"/>
      <w:lang w:val="en-US" w:eastAsia="zh-CN" w:bidi="ar-SA"/>
    </w:rPr>
  </w:style>
  <w:style w:type="character" w:customStyle="1" w:styleId="213">
    <w:name w:val="Char Char21"/>
    <w:qFormat/>
    <w:uiPriority w:val="99"/>
    <w:rPr>
      <w:rFonts w:ascii="Arial" w:hAnsi="Arial" w:eastAsia="黑体" w:cs="Times New Roman"/>
      <w:b/>
      <w:bCs/>
      <w:sz w:val="32"/>
      <w:szCs w:val="32"/>
    </w:rPr>
  </w:style>
  <w:style w:type="character" w:customStyle="1" w:styleId="214">
    <w:name w:val="Comment Subject Char"/>
    <w:qFormat/>
    <w:uiPriority w:val="99"/>
    <w:rPr>
      <w:b/>
      <w:sz w:val="24"/>
      <w:lang w:bidi="ar-SA"/>
    </w:rPr>
  </w:style>
  <w:style w:type="character" w:customStyle="1" w:styleId="215">
    <w:name w:val="Title Char"/>
    <w:qFormat/>
    <w:uiPriority w:val="99"/>
    <w:rPr>
      <w:rFonts w:ascii="Cambria" w:hAnsi="Cambria"/>
      <w:b/>
      <w:sz w:val="32"/>
      <w:lang w:bidi="ar-SA"/>
    </w:rPr>
  </w:style>
  <w:style w:type="character" w:customStyle="1" w:styleId="216">
    <w:name w:val="Heading 5 Char"/>
    <w:qFormat/>
    <w:uiPriority w:val="99"/>
    <w:rPr>
      <w:rFonts w:eastAsia="宋体"/>
      <w:b/>
      <w:bCs/>
      <w:kern w:val="2"/>
      <w:sz w:val="28"/>
      <w:szCs w:val="28"/>
      <w:lang w:val="en-US" w:eastAsia="zh-CN" w:bidi="ar-SA"/>
    </w:rPr>
  </w:style>
  <w:style w:type="character" w:customStyle="1" w:styleId="217">
    <w:name w:val="Body Text Indent Char"/>
    <w:qFormat/>
    <w:uiPriority w:val="99"/>
    <w:rPr>
      <w:rFonts w:ascii="宋体" w:hAnsi="宋体" w:eastAsia="宋体"/>
      <w:kern w:val="2"/>
      <w:sz w:val="21"/>
      <w:lang w:val="en-US" w:eastAsia="zh-CN" w:bidi="ar-SA"/>
    </w:rPr>
  </w:style>
  <w:style w:type="character" w:customStyle="1" w:styleId="218">
    <w:name w:val="Footnote Text Char"/>
    <w:qFormat/>
    <w:uiPriority w:val="99"/>
    <w:rPr>
      <w:rFonts w:eastAsia="宋体"/>
      <w:sz w:val="18"/>
      <w:lang w:val="en-US" w:eastAsia="zh-CN" w:bidi="ar-SA"/>
    </w:rPr>
  </w:style>
  <w:style w:type="character" w:customStyle="1" w:styleId="219">
    <w:name w:val="批注文字 Char1"/>
    <w:qFormat/>
    <w:uiPriority w:val="99"/>
    <w:rPr>
      <w:rFonts w:ascii="Times New Roman" w:hAnsi="Times New Roman" w:eastAsia="宋体" w:cs="Times New Roman"/>
      <w:szCs w:val="24"/>
    </w:rPr>
  </w:style>
  <w:style w:type="character" w:customStyle="1" w:styleId="220">
    <w:name w:val="标题 Char1"/>
    <w:qFormat/>
    <w:uiPriority w:val="99"/>
    <w:rPr>
      <w:rFonts w:ascii="Cambria" w:hAnsi="Cambria" w:eastAsia="宋体" w:cs="Times New Roman"/>
      <w:b/>
      <w:bCs/>
      <w:sz w:val="32"/>
      <w:szCs w:val="32"/>
    </w:rPr>
  </w:style>
  <w:style w:type="character" w:customStyle="1" w:styleId="221">
    <w:name w:val="Document Map Char"/>
    <w:qFormat/>
    <w:uiPriority w:val="99"/>
    <w:rPr>
      <w:rFonts w:eastAsia="宋体"/>
      <w:kern w:val="2"/>
      <w:sz w:val="21"/>
      <w:szCs w:val="24"/>
      <w:lang w:val="en-US" w:eastAsia="zh-CN" w:bidi="ar-SA"/>
    </w:rPr>
  </w:style>
  <w:style w:type="character" w:customStyle="1" w:styleId="222">
    <w:name w:val="Date Char"/>
    <w:qFormat/>
    <w:uiPriority w:val="99"/>
    <w:rPr>
      <w:rFonts w:eastAsia="宋体"/>
      <w:kern w:val="2"/>
      <w:sz w:val="21"/>
      <w:szCs w:val="24"/>
      <w:lang w:val="en-US" w:eastAsia="zh-CN" w:bidi="ar-SA"/>
    </w:rPr>
  </w:style>
  <w:style w:type="character" w:customStyle="1" w:styleId="223">
    <w:name w:val="Char Char181"/>
    <w:qFormat/>
    <w:uiPriority w:val="99"/>
    <w:rPr>
      <w:b/>
      <w:bCs/>
      <w:kern w:val="44"/>
      <w:sz w:val="44"/>
      <w:szCs w:val="44"/>
    </w:rPr>
  </w:style>
  <w:style w:type="character" w:customStyle="1" w:styleId="224">
    <w:name w:val="Header Char"/>
    <w:qFormat/>
    <w:uiPriority w:val="99"/>
    <w:rPr>
      <w:rFonts w:eastAsia="宋体"/>
      <w:kern w:val="2"/>
      <w:sz w:val="18"/>
      <w:szCs w:val="18"/>
      <w:lang w:val="en-US" w:eastAsia="zh-CN" w:bidi="ar-SA"/>
    </w:rPr>
  </w:style>
  <w:style w:type="character" w:customStyle="1" w:styleId="225">
    <w:name w:val="Char Char19"/>
    <w:qFormat/>
    <w:uiPriority w:val="99"/>
    <w:rPr>
      <w:rFonts w:ascii="Arial" w:hAnsi="Arial" w:eastAsia="宋体" w:cs="Times New Roman"/>
      <w:b/>
      <w:bCs/>
      <w:szCs w:val="28"/>
    </w:rPr>
  </w:style>
  <w:style w:type="character" w:customStyle="1" w:styleId="226">
    <w:name w:val="批注文字 Char2"/>
    <w:qFormat/>
    <w:uiPriority w:val="0"/>
    <w:rPr>
      <w:kern w:val="2"/>
      <w:sz w:val="21"/>
      <w:szCs w:val="24"/>
      <w:lang w:bidi="ar-SA"/>
    </w:rPr>
  </w:style>
  <w:style w:type="character" w:customStyle="1" w:styleId="227">
    <w:name w:val="Plain Text Char"/>
    <w:qFormat/>
    <w:uiPriority w:val="99"/>
    <w:rPr>
      <w:rFonts w:ascii="宋体" w:hAnsi="Courier New" w:eastAsia="宋体"/>
      <w:sz w:val="24"/>
      <w:lang w:bidi="ar-SA"/>
    </w:rPr>
  </w:style>
  <w:style w:type="character" w:customStyle="1" w:styleId="228">
    <w:name w:val="Heading 2 Char"/>
    <w:qFormat/>
    <w:uiPriority w:val="99"/>
    <w:rPr>
      <w:rFonts w:ascii="Arial" w:hAnsi="Arial" w:eastAsia="黑体"/>
      <w:b/>
      <w:bCs/>
      <w:kern w:val="2"/>
      <w:sz w:val="32"/>
      <w:szCs w:val="32"/>
      <w:lang w:val="en-US" w:eastAsia="zh-CN" w:bidi="ar-SA"/>
    </w:rPr>
  </w:style>
  <w:style w:type="character" w:customStyle="1" w:styleId="229">
    <w:name w:val="Heading 3 Char"/>
    <w:qFormat/>
    <w:uiPriority w:val="99"/>
    <w:rPr>
      <w:rFonts w:cs="Times New Roman"/>
      <w:b/>
      <w:bCs/>
      <w:kern w:val="2"/>
      <w:sz w:val="32"/>
      <w:szCs w:val="32"/>
    </w:rPr>
  </w:style>
  <w:style w:type="character" w:customStyle="1" w:styleId="230">
    <w:name w:val="Comment Text Char1"/>
    <w:qFormat/>
    <w:uiPriority w:val="99"/>
    <w:rPr>
      <w:sz w:val="24"/>
      <w:lang w:bidi="ar-SA"/>
    </w:rPr>
  </w:style>
  <w:style w:type="character" w:customStyle="1" w:styleId="231">
    <w:name w:val="Char Char24"/>
    <w:qFormat/>
    <w:uiPriority w:val="99"/>
    <w:rPr>
      <w:rFonts w:eastAsia="宋体"/>
      <w:b/>
      <w:bCs/>
      <w:kern w:val="44"/>
      <w:sz w:val="32"/>
      <w:szCs w:val="44"/>
      <w:lang w:val="en-US" w:eastAsia="zh-CN" w:bidi="ar-SA"/>
    </w:rPr>
  </w:style>
  <w:style w:type="character" w:customStyle="1" w:styleId="232">
    <w:name w:val="Char Char91"/>
    <w:qFormat/>
    <w:uiPriority w:val="99"/>
    <w:rPr>
      <w:rFonts w:eastAsia="宋体"/>
      <w:b/>
      <w:bCs/>
      <w:kern w:val="44"/>
      <w:sz w:val="32"/>
      <w:szCs w:val="44"/>
      <w:lang w:val="en-US" w:eastAsia="zh-CN" w:bidi="ar-SA"/>
    </w:rPr>
  </w:style>
  <w:style w:type="character" w:customStyle="1" w:styleId="233">
    <w:name w:val="Char Char6"/>
    <w:qFormat/>
    <w:uiPriority w:val="99"/>
    <w:rPr>
      <w:rFonts w:eastAsia="宋体"/>
      <w:b/>
      <w:bCs/>
      <w:kern w:val="44"/>
      <w:sz w:val="32"/>
      <w:szCs w:val="44"/>
      <w:lang w:val="en-US" w:eastAsia="zh-CN" w:bidi="ar-SA"/>
    </w:rPr>
  </w:style>
  <w:style w:type="character" w:customStyle="1" w:styleId="234">
    <w:name w:val="Heading 4 Char"/>
    <w:qFormat/>
    <w:uiPriority w:val="99"/>
    <w:rPr>
      <w:rFonts w:ascii="Arial" w:hAnsi="Arial" w:eastAsia="宋体"/>
      <w:b/>
      <w:bCs/>
      <w:kern w:val="2"/>
      <w:sz w:val="21"/>
      <w:szCs w:val="28"/>
      <w:lang w:val="en-US" w:eastAsia="zh-CN" w:bidi="ar-SA"/>
    </w:rPr>
  </w:style>
  <w:style w:type="paragraph" w:customStyle="1" w:styleId="235">
    <w:name w:val="无间隔1"/>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236">
    <w:name w:val="列出段落1"/>
    <w:basedOn w:val="1"/>
    <w:qFormat/>
    <w:uiPriority w:val="99"/>
    <w:pPr>
      <w:ind w:firstLine="420" w:firstLineChars="200"/>
    </w:pPr>
    <w:rPr>
      <w:rFonts w:ascii="Calibri" w:hAnsi="Calibri"/>
      <w:szCs w:val="22"/>
    </w:rPr>
  </w:style>
  <w:style w:type="character" w:customStyle="1" w:styleId="237">
    <w:name w:val="明显引用 Char2"/>
    <w:qFormat/>
    <w:uiPriority w:val="30"/>
    <w:rPr>
      <w:rFonts w:ascii="Times New Roman" w:hAnsi="Times New Roman" w:eastAsia="宋体" w:cs="Times New Roman"/>
      <w:b/>
      <w:bCs/>
      <w:i/>
      <w:iCs/>
      <w:color w:val="4F81BD"/>
      <w:szCs w:val="24"/>
    </w:rPr>
  </w:style>
  <w:style w:type="character" w:customStyle="1" w:styleId="238">
    <w:name w:val="脚注文本 Char1"/>
    <w:qFormat/>
    <w:uiPriority w:val="99"/>
    <w:rPr>
      <w:kern w:val="2"/>
      <w:sz w:val="18"/>
      <w:szCs w:val="18"/>
    </w:rPr>
  </w:style>
  <w:style w:type="character" w:customStyle="1" w:styleId="239">
    <w:name w:val="批注框文本 Char2"/>
    <w:semiHidden/>
    <w:qFormat/>
    <w:uiPriority w:val="99"/>
    <w:rPr>
      <w:rFonts w:ascii="Times New Roman" w:hAnsi="Times New Roman" w:eastAsia="宋体" w:cs="Times New Roman"/>
      <w:sz w:val="18"/>
      <w:szCs w:val="18"/>
    </w:rPr>
  </w:style>
  <w:style w:type="character" w:customStyle="1" w:styleId="240">
    <w:name w:val="标题 Char3"/>
    <w:qFormat/>
    <w:uiPriority w:val="10"/>
    <w:rPr>
      <w:rFonts w:ascii="Cambria" w:hAnsi="Cambria" w:eastAsia="宋体" w:cs="Times New Roman"/>
      <w:b/>
      <w:bCs/>
      <w:sz w:val="32"/>
      <w:szCs w:val="32"/>
    </w:rPr>
  </w:style>
  <w:style w:type="character" w:customStyle="1" w:styleId="241">
    <w:name w:val="文档结构图 Char2"/>
    <w:semiHidden/>
    <w:qFormat/>
    <w:uiPriority w:val="99"/>
    <w:rPr>
      <w:rFonts w:ascii="宋体" w:hAnsi="Times New Roman" w:eastAsia="宋体" w:cs="Times New Roman"/>
      <w:sz w:val="18"/>
      <w:szCs w:val="18"/>
    </w:rPr>
  </w:style>
  <w:style w:type="character" w:customStyle="1" w:styleId="242">
    <w:name w:val="页脚 Char1"/>
    <w:semiHidden/>
    <w:qFormat/>
    <w:uiPriority w:val="99"/>
    <w:rPr>
      <w:rFonts w:ascii="Times New Roman" w:hAnsi="Times New Roman" w:eastAsia="宋体" w:cs="Times New Roman"/>
      <w:sz w:val="18"/>
      <w:szCs w:val="18"/>
    </w:rPr>
  </w:style>
  <w:style w:type="character" w:customStyle="1" w:styleId="243">
    <w:name w:val="正文文本 Char2"/>
    <w:semiHidden/>
    <w:qFormat/>
    <w:uiPriority w:val="99"/>
    <w:rPr>
      <w:rFonts w:ascii="Times New Roman" w:hAnsi="Times New Roman" w:eastAsia="宋体" w:cs="Times New Roman"/>
      <w:szCs w:val="24"/>
    </w:rPr>
  </w:style>
  <w:style w:type="character" w:customStyle="1" w:styleId="244">
    <w:name w:val="批注文字 Char3"/>
    <w:semiHidden/>
    <w:qFormat/>
    <w:uiPriority w:val="99"/>
    <w:rPr>
      <w:rFonts w:ascii="Times New Roman" w:hAnsi="Times New Roman" w:eastAsia="宋体" w:cs="Times New Roman"/>
      <w:szCs w:val="24"/>
    </w:rPr>
  </w:style>
  <w:style w:type="character" w:customStyle="1" w:styleId="245">
    <w:name w:val="批注主题 Char2"/>
    <w:semiHidden/>
    <w:qFormat/>
    <w:uiPriority w:val="99"/>
    <w:rPr>
      <w:rFonts w:ascii="Times New Roman" w:hAnsi="Times New Roman" w:eastAsia="宋体" w:cs="Times New Roman"/>
      <w:b/>
      <w:bCs/>
      <w:szCs w:val="24"/>
    </w:rPr>
  </w:style>
  <w:style w:type="character" w:customStyle="1" w:styleId="246">
    <w:name w:val="日期 Char2"/>
    <w:semiHidden/>
    <w:qFormat/>
    <w:uiPriority w:val="99"/>
    <w:rPr>
      <w:rFonts w:ascii="Times New Roman" w:hAnsi="Times New Roman" w:eastAsia="宋体" w:cs="Times New Roman"/>
      <w:szCs w:val="24"/>
    </w:rPr>
  </w:style>
  <w:style w:type="paragraph" w:customStyle="1" w:styleId="247">
    <w:name w:val="p0"/>
    <w:basedOn w:val="1"/>
    <w:qFormat/>
    <w:uiPriority w:val="99"/>
    <w:pPr>
      <w:widowControl/>
    </w:pPr>
    <w:rPr>
      <w:rFonts w:ascii="Calibri" w:hAnsi="Calibri" w:cs="宋体"/>
      <w:kern w:val="0"/>
      <w:szCs w:val="21"/>
    </w:rPr>
  </w:style>
  <w:style w:type="paragraph" w:customStyle="1" w:styleId="248">
    <w:name w:val="_Style 37"/>
    <w:basedOn w:val="1"/>
    <w:next w:val="1"/>
    <w:qFormat/>
    <w:uiPriority w:val="99"/>
  </w:style>
  <w:style w:type="character" w:customStyle="1" w:styleId="249">
    <w:name w:val="页眉 Char1"/>
    <w:semiHidden/>
    <w:qFormat/>
    <w:uiPriority w:val="99"/>
    <w:rPr>
      <w:rFonts w:ascii="Times New Roman" w:hAnsi="Times New Roman" w:eastAsia="宋体" w:cs="Times New Roman"/>
      <w:sz w:val="18"/>
      <w:szCs w:val="18"/>
    </w:rPr>
  </w:style>
  <w:style w:type="character" w:customStyle="1" w:styleId="250">
    <w:name w:val="纯文本 Char2"/>
    <w:semiHidden/>
    <w:qFormat/>
    <w:uiPriority w:val="99"/>
    <w:rPr>
      <w:rFonts w:ascii="宋体" w:hAnsi="Courier New" w:eastAsia="宋体" w:cs="Courier New"/>
      <w:szCs w:val="21"/>
    </w:rPr>
  </w:style>
  <w:style w:type="character" w:customStyle="1" w:styleId="251">
    <w:name w:val="正文文本缩进 Char1"/>
    <w:semiHidden/>
    <w:qFormat/>
    <w:uiPriority w:val="99"/>
    <w:rPr>
      <w:rFonts w:ascii="Times New Roman" w:hAnsi="Times New Roman" w:eastAsia="宋体" w:cs="Times New Roman"/>
      <w:szCs w:val="24"/>
    </w:rPr>
  </w:style>
  <w:style w:type="character" w:customStyle="1" w:styleId="252">
    <w:name w:val="引用 Char2"/>
    <w:qFormat/>
    <w:uiPriority w:val="29"/>
    <w:rPr>
      <w:rFonts w:ascii="Times New Roman" w:hAnsi="Times New Roman" w:eastAsia="宋体" w:cs="Times New Roman"/>
      <w:i/>
      <w:iCs/>
      <w:color w:val="000000"/>
      <w:szCs w:val="24"/>
    </w:rPr>
  </w:style>
  <w:style w:type="paragraph" w:customStyle="1" w:styleId="253">
    <w:name w:val="reader-word-layer"/>
    <w:basedOn w:val="1"/>
    <w:qFormat/>
    <w:uiPriority w:val="99"/>
    <w:pPr>
      <w:widowControl/>
      <w:spacing w:before="100" w:beforeAutospacing="1" w:after="100" w:afterAutospacing="1"/>
      <w:jc w:val="left"/>
    </w:pPr>
    <w:rPr>
      <w:rFonts w:ascii="宋体" w:hAnsi="宋体" w:cs="宋体"/>
      <w:kern w:val="0"/>
      <w:sz w:val="24"/>
    </w:rPr>
  </w:style>
  <w:style w:type="character" w:customStyle="1" w:styleId="254">
    <w:name w:val="正文文本缩进 2 Char1"/>
    <w:semiHidden/>
    <w:qFormat/>
    <w:uiPriority w:val="99"/>
    <w:rPr>
      <w:rFonts w:ascii="Times New Roman" w:hAnsi="Times New Roman" w:eastAsia="宋体" w:cs="Times New Roman"/>
      <w:szCs w:val="24"/>
    </w:rPr>
  </w:style>
  <w:style w:type="paragraph" w:customStyle="1" w:styleId="255">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56">
    <w:name w:val="正文_1"/>
    <w:qFormat/>
    <w:uiPriority w:val="99"/>
    <w:pPr>
      <w:widowControl w:val="0"/>
      <w:jc w:val="both"/>
    </w:pPr>
    <w:rPr>
      <w:rFonts w:ascii="Times New Roman" w:hAnsi="Times New Roman" w:eastAsia="宋体" w:cs="Times New Roman"/>
      <w:kern w:val="2"/>
      <w:sz w:val="21"/>
      <w:szCs w:val="24"/>
      <w:lang w:val="en-US" w:eastAsia="zh-CN" w:bidi="ar-SA"/>
    </w:rPr>
  </w:style>
  <w:style w:type="character" w:customStyle="1" w:styleId="257">
    <w:name w:val="批注文字 字符"/>
    <w:qFormat/>
    <w:locked/>
    <w:uiPriority w:val="0"/>
    <w:rPr>
      <w:rFonts w:eastAsia="宋体"/>
      <w:kern w:val="2"/>
      <w:sz w:val="24"/>
      <w:szCs w:val="24"/>
      <w:lang w:val="en-US" w:eastAsia="zh-CN"/>
    </w:rPr>
  </w:style>
  <w:style w:type="character" w:customStyle="1" w:styleId="258">
    <w:name w:val="标题 7 字符"/>
    <w:qFormat/>
    <w:uiPriority w:val="9"/>
    <w:rPr>
      <w:b/>
      <w:bCs/>
      <w:kern w:val="2"/>
      <w:sz w:val="24"/>
      <w:szCs w:val="24"/>
    </w:rPr>
  </w:style>
  <w:style w:type="character" w:customStyle="1" w:styleId="259">
    <w:name w:val="明显引用 字符"/>
    <w:qFormat/>
    <w:uiPriority w:val="0"/>
    <w:rPr>
      <w:b/>
      <w:bCs/>
      <w:i/>
      <w:iCs/>
      <w:color w:val="4F81BD"/>
      <w:kern w:val="2"/>
      <w:sz w:val="21"/>
      <w:szCs w:val="22"/>
    </w:rPr>
  </w:style>
  <w:style w:type="character" w:customStyle="1" w:styleId="260">
    <w:name w:val="标题 1 字符"/>
    <w:qFormat/>
    <w:uiPriority w:val="99"/>
    <w:rPr>
      <w:b/>
      <w:bCs/>
      <w:kern w:val="44"/>
      <w:sz w:val="44"/>
      <w:szCs w:val="44"/>
    </w:rPr>
  </w:style>
  <w:style w:type="character" w:customStyle="1" w:styleId="261">
    <w:name w:val="日期 字符"/>
    <w:qFormat/>
    <w:uiPriority w:val="99"/>
    <w:rPr>
      <w:rFonts w:ascii="宋体" w:hAnsi="Times New Roman"/>
      <w:sz w:val="28"/>
    </w:rPr>
  </w:style>
  <w:style w:type="character" w:customStyle="1" w:styleId="262">
    <w:name w:val="页眉 字符"/>
    <w:qFormat/>
    <w:uiPriority w:val="99"/>
    <w:rPr>
      <w:kern w:val="2"/>
      <w:sz w:val="18"/>
      <w:szCs w:val="18"/>
    </w:rPr>
  </w:style>
  <w:style w:type="character" w:customStyle="1" w:styleId="263">
    <w:name w:val="文档结构图 字符"/>
    <w:qFormat/>
    <w:uiPriority w:val="99"/>
    <w:rPr>
      <w:rFonts w:ascii="Times New Roman" w:hAnsi="Times New Roman"/>
      <w:szCs w:val="24"/>
      <w:shd w:val="clear" w:color="auto" w:fill="000080"/>
    </w:rPr>
  </w:style>
  <w:style w:type="character" w:customStyle="1" w:styleId="264">
    <w:name w:val="引用 字符"/>
    <w:qFormat/>
    <w:uiPriority w:val="0"/>
    <w:rPr>
      <w:i/>
      <w:iCs/>
      <w:color w:val="000000"/>
      <w:kern w:val="2"/>
      <w:sz w:val="21"/>
      <w:szCs w:val="22"/>
    </w:rPr>
  </w:style>
  <w:style w:type="character" w:customStyle="1" w:styleId="265">
    <w:name w:val="标题 5 字符"/>
    <w:qFormat/>
    <w:uiPriority w:val="99"/>
    <w:rPr>
      <w:b/>
      <w:bCs/>
      <w:kern w:val="2"/>
      <w:sz w:val="28"/>
      <w:szCs w:val="28"/>
    </w:rPr>
  </w:style>
  <w:style w:type="character" w:customStyle="1" w:styleId="266">
    <w:name w:val="正文文本 字符"/>
    <w:qFormat/>
    <w:uiPriority w:val="99"/>
    <w:rPr>
      <w:rFonts w:ascii="Times New Roman" w:hAnsi="Times New Roman"/>
    </w:rPr>
  </w:style>
  <w:style w:type="character" w:customStyle="1" w:styleId="267">
    <w:name w:val="批注框文本 字符"/>
    <w:qFormat/>
    <w:uiPriority w:val="99"/>
    <w:rPr>
      <w:rFonts w:ascii="宋体" w:hAnsi="Times New Roman"/>
      <w:sz w:val="18"/>
      <w:szCs w:val="18"/>
    </w:rPr>
  </w:style>
  <w:style w:type="character" w:customStyle="1" w:styleId="268">
    <w:name w:val="标题 8 字符"/>
    <w:qFormat/>
    <w:uiPriority w:val="9"/>
    <w:rPr>
      <w:rFonts w:ascii="Cambria" w:hAnsi="Cambria" w:eastAsia="宋体" w:cs="Times New Roman"/>
      <w:kern w:val="2"/>
      <w:sz w:val="24"/>
      <w:szCs w:val="24"/>
    </w:rPr>
  </w:style>
  <w:style w:type="character" w:customStyle="1" w:styleId="269">
    <w:name w:val="批注主题 字符"/>
    <w:qFormat/>
    <w:uiPriority w:val="99"/>
    <w:rPr>
      <w:rFonts w:ascii="宋体" w:hAnsi="Times New Roman"/>
      <w:b/>
      <w:bCs/>
      <w:sz w:val="28"/>
    </w:rPr>
  </w:style>
  <w:style w:type="character" w:customStyle="1" w:styleId="270">
    <w:name w:val="标题 4 字符"/>
    <w:qFormat/>
    <w:uiPriority w:val="99"/>
    <w:rPr>
      <w:rFonts w:ascii="Cambria" w:hAnsi="Cambria" w:eastAsia="宋体" w:cs="Times New Roman"/>
      <w:b/>
      <w:bCs/>
      <w:kern w:val="2"/>
      <w:sz w:val="28"/>
      <w:szCs w:val="28"/>
    </w:rPr>
  </w:style>
  <w:style w:type="character" w:customStyle="1" w:styleId="271">
    <w:name w:val="标题 9 字符"/>
    <w:qFormat/>
    <w:uiPriority w:val="9"/>
    <w:rPr>
      <w:rFonts w:ascii="Cambria" w:hAnsi="Cambria" w:eastAsia="宋体" w:cs="Times New Roman"/>
      <w:kern w:val="2"/>
      <w:sz w:val="21"/>
      <w:szCs w:val="21"/>
    </w:rPr>
  </w:style>
  <w:style w:type="character" w:customStyle="1" w:styleId="272">
    <w:name w:val="标题 2 字符"/>
    <w:qFormat/>
    <w:uiPriority w:val="99"/>
    <w:rPr>
      <w:rFonts w:ascii="Cambria" w:hAnsi="Cambria" w:eastAsia="宋体" w:cs="Times New Roman"/>
      <w:b/>
      <w:bCs/>
      <w:kern w:val="2"/>
      <w:sz w:val="32"/>
      <w:szCs w:val="32"/>
    </w:rPr>
  </w:style>
  <w:style w:type="character" w:customStyle="1" w:styleId="273">
    <w:name w:val="标题 3 字符"/>
    <w:qFormat/>
    <w:uiPriority w:val="99"/>
    <w:rPr>
      <w:b/>
      <w:bCs/>
      <w:kern w:val="2"/>
      <w:sz w:val="32"/>
      <w:szCs w:val="32"/>
    </w:rPr>
  </w:style>
  <w:style w:type="character" w:customStyle="1" w:styleId="274">
    <w:name w:val="标题 字符"/>
    <w:qFormat/>
    <w:uiPriority w:val="99"/>
    <w:rPr>
      <w:rFonts w:ascii="Cambria" w:hAnsi="Cambria" w:cs="Times New Roman"/>
      <w:b/>
      <w:bCs/>
      <w:kern w:val="2"/>
      <w:sz w:val="32"/>
      <w:szCs w:val="32"/>
    </w:rPr>
  </w:style>
  <w:style w:type="character" w:customStyle="1" w:styleId="275">
    <w:name w:val="标题 6 字符"/>
    <w:qFormat/>
    <w:uiPriority w:val="9"/>
    <w:rPr>
      <w:rFonts w:ascii="Cambria" w:hAnsi="Cambria" w:eastAsia="宋体" w:cs="Times New Roman"/>
      <w:b/>
      <w:bCs/>
      <w:kern w:val="2"/>
      <w:sz w:val="24"/>
      <w:szCs w:val="24"/>
    </w:rPr>
  </w:style>
  <w:style w:type="character" w:customStyle="1" w:styleId="276">
    <w:name w:val="副标题 字符"/>
    <w:qFormat/>
    <w:uiPriority w:val="11"/>
    <w:rPr>
      <w:rFonts w:ascii="Cambria" w:hAnsi="Cambria" w:cs="Times New Roman"/>
      <w:b/>
      <w:bCs/>
      <w:kern w:val="28"/>
      <w:sz w:val="32"/>
      <w:szCs w:val="32"/>
    </w:rPr>
  </w:style>
  <w:style w:type="character" w:customStyle="1" w:styleId="277">
    <w:name w:val="页脚 字符"/>
    <w:qFormat/>
    <w:uiPriority w:val="99"/>
    <w:rPr>
      <w:kern w:val="2"/>
      <w:sz w:val="18"/>
      <w:szCs w:val="18"/>
    </w:rPr>
  </w:style>
  <w:style w:type="character" w:customStyle="1" w:styleId="278">
    <w:name w:val="不明显参考1"/>
    <w:qFormat/>
    <w:uiPriority w:val="99"/>
    <w:rPr>
      <w:smallCaps/>
      <w:color w:val="auto"/>
      <w:u w:val="single"/>
    </w:rPr>
  </w:style>
  <w:style w:type="character" w:customStyle="1" w:styleId="279">
    <w:name w:val="明显参考1"/>
    <w:qFormat/>
    <w:uiPriority w:val="99"/>
    <w:rPr>
      <w:b/>
      <w:bCs/>
      <w:smallCaps/>
      <w:color w:val="auto"/>
      <w:spacing w:val="5"/>
      <w:u w:val="single"/>
    </w:rPr>
  </w:style>
  <w:style w:type="character" w:customStyle="1" w:styleId="280">
    <w:name w:val="明显强调1"/>
    <w:qFormat/>
    <w:uiPriority w:val="99"/>
    <w:rPr>
      <w:b/>
      <w:bCs/>
      <w:i/>
      <w:iCs/>
      <w:color w:val="4F81BD"/>
    </w:rPr>
  </w:style>
  <w:style w:type="character" w:customStyle="1" w:styleId="281">
    <w:name w:val="书籍标题1"/>
    <w:qFormat/>
    <w:uiPriority w:val="99"/>
    <w:rPr>
      <w:b/>
      <w:bCs/>
      <w:smallCaps/>
      <w:spacing w:val="5"/>
    </w:rPr>
  </w:style>
  <w:style w:type="character" w:customStyle="1" w:styleId="282">
    <w:name w:val="不明显强调1"/>
    <w:qFormat/>
    <w:uiPriority w:val="99"/>
    <w:rPr>
      <w:i/>
      <w:iCs/>
      <w:color w:val="808080"/>
    </w:rPr>
  </w:style>
  <w:style w:type="paragraph" w:customStyle="1" w:styleId="283">
    <w:name w:val="TOC 标题1"/>
    <w:basedOn w:val="3"/>
    <w:next w:val="1"/>
    <w:qFormat/>
    <w:uiPriority w:val="99"/>
    <w:pPr>
      <w:outlineLvl w:val="9"/>
    </w:pPr>
    <w:rPr>
      <w:rFonts w:ascii="Calibri" w:hAnsi="Calibri" w:eastAsia="黑体" w:cs="Calibri"/>
      <w:lang w:val="zh-CN"/>
    </w:rPr>
  </w:style>
  <w:style w:type="paragraph" w:customStyle="1" w:styleId="284">
    <w:name w:val="列出段落2"/>
    <w:basedOn w:val="1"/>
    <w:qFormat/>
    <w:uiPriority w:val="99"/>
    <w:pPr>
      <w:ind w:firstLine="420" w:firstLineChars="200"/>
    </w:pPr>
    <w:rPr>
      <w:rFonts w:ascii="Calibri" w:hAnsi="Calibri" w:cs="Calibri"/>
      <w:szCs w:val="21"/>
    </w:rPr>
  </w:style>
  <w:style w:type="paragraph" w:customStyle="1" w:styleId="285">
    <w:name w:val="引用1"/>
    <w:basedOn w:val="1"/>
    <w:next w:val="1"/>
    <w:qFormat/>
    <w:uiPriority w:val="99"/>
    <w:rPr>
      <w:i/>
      <w:iCs/>
      <w:color w:val="000000"/>
      <w:kern w:val="0"/>
      <w:sz w:val="20"/>
      <w:szCs w:val="20"/>
    </w:rPr>
  </w:style>
  <w:style w:type="paragraph" w:customStyle="1" w:styleId="286">
    <w:name w:val="无间隔11"/>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287">
    <w:name w:val="修订1"/>
    <w:qFormat/>
    <w:uiPriority w:val="99"/>
    <w:rPr>
      <w:rFonts w:ascii="Times New Roman" w:hAnsi="Times New Roman" w:eastAsia="宋体" w:cs="Times New Roman"/>
      <w:kern w:val="2"/>
      <w:sz w:val="21"/>
      <w:szCs w:val="21"/>
      <w:lang w:val="en-US" w:eastAsia="zh-CN" w:bidi="ar-SA"/>
    </w:rPr>
  </w:style>
  <w:style w:type="paragraph" w:customStyle="1" w:styleId="288">
    <w:name w:val="明显引用1"/>
    <w:basedOn w:val="1"/>
    <w:next w:val="1"/>
    <w:qFormat/>
    <w:uiPriority w:val="99"/>
    <w:pPr>
      <w:pBdr>
        <w:bottom w:val="single" w:color="4F81BD" w:sz="4" w:space="4"/>
      </w:pBdr>
      <w:spacing w:before="200" w:after="280"/>
      <w:ind w:left="936" w:right="936"/>
    </w:pPr>
    <w:rPr>
      <w:b/>
      <w:bCs/>
      <w:i/>
      <w:iCs/>
      <w:color w:val="4F81BD"/>
      <w:kern w:val="0"/>
      <w:sz w:val="20"/>
      <w:szCs w:val="20"/>
    </w:rPr>
  </w:style>
  <w:style w:type="character" w:customStyle="1" w:styleId="289">
    <w:name w:val="纯文本 字符"/>
    <w:qFormat/>
    <w:uiPriority w:val="0"/>
    <w:rPr>
      <w:rFonts w:ascii="宋体" w:hAnsi="Courier New" w:cs="宋体"/>
      <w:kern w:val="2"/>
      <w:sz w:val="24"/>
      <w:szCs w:val="24"/>
    </w:rPr>
  </w:style>
  <w:style w:type="character" w:customStyle="1" w:styleId="290">
    <w:name w:val="批注文字 字符1"/>
    <w:qFormat/>
    <w:uiPriority w:val="0"/>
    <w:rPr>
      <w:kern w:val="2"/>
      <w:sz w:val="21"/>
      <w:szCs w:val="22"/>
    </w:rPr>
  </w:style>
  <w:style w:type="paragraph" w:customStyle="1" w:styleId="291">
    <w:name w:val="正文_0_0_0_0"/>
    <w:qFormat/>
    <w:uiPriority w:val="0"/>
    <w:pPr>
      <w:widowControl w:val="0"/>
      <w:jc w:val="both"/>
    </w:pPr>
    <w:rPr>
      <w:rFonts w:ascii="Calibri" w:hAnsi="Calibri" w:eastAsia="宋体" w:cs="Times New Roman"/>
      <w:kern w:val="2"/>
      <w:sz w:val="21"/>
      <w:szCs w:val="22"/>
      <w:lang w:val="en-US" w:eastAsia="zh-CN" w:bidi="ar-SA"/>
    </w:rPr>
  </w:style>
  <w:style w:type="character" w:customStyle="1" w:styleId="292">
    <w:name w:val="_Style 291"/>
    <w:unhideWhenUsed/>
    <w:qFormat/>
    <w:uiPriority w:val="99"/>
    <w:rPr>
      <w:color w:val="605E5C"/>
      <w:shd w:val="clear" w:color="auto" w:fill="E1DFDD"/>
    </w:rPr>
  </w:style>
  <w:style w:type="character" w:customStyle="1" w:styleId="293">
    <w:name w:val="纯文本 字符1"/>
    <w:qFormat/>
    <w:uiPriority w:val="99"/>
    <w:rPr>
      <w:rFonts w:ascii="宋体" w:hAnsi="Courier New" w:eastAsia="宋体" w:cs="Courier New"/>
      <w:kern w:val="2"/>
      <w:sz w:val="21"/>
      <w:szCs w:val="21"/>
      <w:lang w:val="en-US" w:eastAsia="zh-CN" w:bidi="ar-SA"/>
    </w:rPr>
  </w:style>
  <w:style w:type="character" w:customStyle="1" w:styleId="294">
    <w:name w:val="页眉 字符1"/>
    <w:qFormat/>
    <w:uiPriority w:val="99"/>
    <w:rPr>
      <w:sz w:val="18"/>
      <w:szCs w:val="18"/>
    </w:rPr>
  </w:style>
  <w:style w:type="character" w:customStyle="1" w:styleId="295">
    <w:name w:val="文档结构图 字符1"/>
    <w:qFormat/>
    <w:uiPriority w:val="99"/>
    <w:rPr>
      <w:shd w:val="clear" w:color="auto" w:fill="000080"/>
    </w:rPr>
  </w:style>
  <w:style w:type="character" w:customStyle="1" w:styleId="296">
    <w:name w:val="批注文字 字符2"/>
    <w:qFormat/>
    <w:uiPriority w:val="0"/>
    <w:rPr>
      <w:szCs w:val="24"/>
    </w:rPr>
  </w:style>
  <w:style w:type="character" w:customStyle="1" w:styleId="297">
    <w:name w:val="标题 字符1"/>
    <w:qFormat/>
    <w:uiPriority w:val="99"/>
    <w:rPr>
      <w:sz w:val="30"/>
      <w:szCs w:val="24"/>
    </w:rPr>
  </w:style>
  <w:style w:type="character" w:customStyle="1" w:styleId="298">
    <w:name w:val="标题 6 字符1"/>
    <w:qFormat/>
    <w:uiPriority w:val="0"/>
    <w:rPr>
      <w:rFonts w:ascii="Arial" w:hAnsi="Arial" w:eastAsia="黑体" w:cs="Times New Roman"/>
      <w:b/>
      <w:sz w:val="24"/>
      <w:szCs w:val="24"/>
    </w:rPr>
  </w:style>
  <w:style w:type="character" w:customStyle="1" w:styleId="299">
    <w:name w:val="正文文本 字符1"/>
    <w:qFormat/>
    <w:uiPriority w:val="99"/>
    <w:rPr>
      <w:sz w:val="24"/>
      <w:szCs w:val="24"/>
    </w:rPr>
  </w:style>
  <w:style w:type="character" w:customStyle="1" w:styleId="300">
    <w:name w:val="批注主题 字符1"/>
    <w:qFormat/>
    <w:uiPriority w:val="99"/>
    <w:rPr>
      <w:b/>
      <w:bCs/>
      <w:szCs w:val="24"/>
    </w:rPr>
  </w:style>
  <w:style w:type="character" w:customStyle="1" w:styleId="301">
    <w:name w:val="标题 1 字符1"/>
    <w:qFormat/>
    <w:uiPriority w:val="0"/>
    <w:rPr>
      <w:rFonts w:ascii="Times New Roman" w:hAnsi="Times New Roman" w:eastAsia="宋体" w:cs="Times New Roman"/>
      <w:b/>
      <w:bCs/>
      <w:kern w:val="44"/>
      <w:sz w:val="44"/>
      <w:szCs w:val="44"/>
    </w:rPr>
  </w:style>
  <w:style w:type="character" w:customStyle="1" w:styleId="302">
    <w:name w:val="标题 2 字符1"/>
    <w:qFormat/>
    <w:uiPriority w:val="0"/>
    <w:rPr>
      <w:rFonts w:ascii="Arial" w:hAnsi="Arial" w:eastAsia="黑体" w:cs="Times New Roman"/>
      <w:b/>
      <w:bCs/>
      <w:sz w:val="32"/>
      <w:szCs w:val="32"/>
    </w:rPr>
  </w:style>
  <w:style w:type="character" w:customStyle="1" w:styleId="303">
    <w:name w:val="标题 4 字符1"/>
    <w:qFormat/>
    <w:uiPriority w:val="0"/>
    <w:rPr>
      <w:rFonts w:ascii="Arial" w:hAnsi="Arial" w:eastAsia="黑体" w:cs="Times New Roman"/>
      <w:kern w:val="0"/>
      <w:sz w:val="28"/>
      <w:szCs w:val="20"/>
    </w:rPr>
  </w:style>
  <w:style w:type="character" w:customStyle="1" w:styleId="304">
    <w:name w:val="页脚 字符1"/>
    <w:qFormat/>
    <w:uiPriority w:val="99"/>
    <w:rPr>
      <w:sz w:val="18"/>
      <w:szCs w:val="18"/>
    </w:rPr>
  </w:style>
  <w:style w:type="character" w:customStyle="1" w:styleId="305">
    <w:name w:val="日期 字符1"/>
    <w:qFormat/>
    <w:uiPriority w:val="99"/>
    <w:rPr>
      <w:rFonts w:ascii="宋体" w:hAnsi="Courier New" w:cs="Courier New"/>
      <w:szCs w:val="21"/>
    </w:rPr>
  </w:style>
  <w:style w:type="character" w:customStyle="1" w:styleId="306">
    <w:name w:val="正文文本缩进 字符1"/>
    <w:qFormat/>
    <w:uiPriority w:val="99"/>
    <w:rPr>
      <w:rFonts w:ascii="仿宋_GB2312" w:eastAsia="仿宋_GB2312"/>
      <w:sz w:val="32"/>
    </w:rPr>
  </w:style>
  <w:style w:type="character" w:customStyle="1" w:styleId="307">
    <w:name w:val="标题 8 字符1"/>
    <w:qFormat/>
    <w:uiPriority w:val="0"/>
    <w:rPr>
      <w:rFonts w:ascii="Arial" w:hAnsi="Arial" w:eastAsia="黑体" w:cs="Times New Roman"/>
      <w:sz w:val="24"/>
      <w:szCs w:val="24"/>
    </w:rPr>
  </w:style>
  <w:style w:type="character" w:customStyle="1" w:styleId="308">
    <w:name w:val="正文文本缩进 2 字符1"/>
    <w:qFormat/>
    <w:uiPriority w:val="99"/>
    <w:rPr>
      <w:sz w:val="32"/>
    </w:rPr>
  </w:style>
  <w:style w:type="character" w:customStyle="1" w:styleId="309">
    <w:name w:val="z-窗体顶端 字符1"/>
    <w:qFormat/>
    <w:uiPriority w:val="0"/>
    <w:rPr>
      <w:rFonts w:ascii="Arial"/>
      <w:vanish/>
      <w:sz w:val="16"/>
      <w:szCs w:val="24"/>
    </w:rPr>
  </w:style>
  <w:style w:type="character" w:customStyle="1" w:styleId="310">
    <w:name w:val="正文文本 3 字符1"/>
    <w:qFormat/>
    <w:uiPriority w:val="0"/>
    <w:rPr>
      <w:b/>
      <w:bCs/>
      <w:sz w:val="24"/>
      <w:szCs w:val="24"/>
    </w:rPr>
  </w:style>
  <w:style w:type="character" w:customStyle="1" w:styleId="311">
    <w:name w:val="标题 7 字符1"/>
    <w:qFormat/>
    <w:uiPriority w:val="0"/>
    <w:rPr>
      <w:rFonts w:ascii="Times New Roman" w:hAnsi="Times New Roman" w:eastAsia="宋体" w:cs="Times New Roman"/>
      <w:b/>
      <w:sz w:val="24"/>
      <w:szCs w:val="24"/>
    </w:rPr>
  </w:style>
  <w:style w:type="character" w:customStyle="1" w:styleId="312">
    <w:name w:val="正文文本首行缩进 2 字符1"/>
    <w:qFormat/>
    <w:uiPriority w:val="0"/>
    <w:rPr>
      <w:kern w:val="2"/>
      <w:sz w:val="21"/>
      <w:szCs w:val="24"/>
    </w:rPr>
  </w:style>
  <w:style w:type="character" w:customStyle="1" w:styleId="313">
    <w:name w:val="正文文本缩进 3 字符1"/>
    <w:qFormat/>
    <w:uiPriority w:val="0"/>
    <w:rPr>
      <w:sz w:val="16"/>
      <w:szCs w:val="16"/>
    </w:rPr>
  </w:style>
  <w:style w:type="character" w:customStyle="1" w:styleId="314">
    <w:name w:val="标题 5 字符1"/>
    <w:qFormat/>
    <w:uiPriority w:val="0"/>
    <w:rPr>
      <w:rFonts w:ascii="Times New Roman" w:hAnsi="Times New Roman" w:eastAsia="宋体" w:cs="Times New Roman"/>
      <w:b/>
      <w:sz w:val="28"/>
      <w:szCs w:val="24"/>
    </w:rPr>
  </w:style>
  <w:style w:type="character" w:customStyle="1" w:styleId="315">
    <w:name w:val="批注框文本 字符1"/>
    <w:qFormat/>
    <w:uiPriority w:val="99"/>
    <w:rPr>
      <w:sz w:val="18"/>
      <w:szCs w:val="18"/>
    </w:rPr>
  </w:style>
  <w:style w:type="character" w:customStyle="1" w:styleId="316">
    <w:name w:val="标题 3 字符1"/>
    <w:qFormat/>
    <w:uiPriority w:val="0"/>
    <w:rPr>
      <w:rFonts w:ascii="Times New Roman" w:hAnsi="Times New Roman" w:eastAsia="宋体" w:cs="Times New Roman"/>
      <w:b/>
      <w:bCs/>
      <w:sz w:val="32"/>
      <w:szCs w:val="32"/>
    </w:rPr>
  </w:style>
  <w:style w:type="character" w:customStyle="1" w:styleId="317">
    <w:name w:val="标题 9 字符1"/>
    <w:qFormat/>
    <w:uiPriority w:val="0"/>
    <w:rPr>
      <w:rFonts w:ascii="Arial" w:hAnsi="Arial" w:eastAsia="黑体" w:cs="Times New Roman"/>
      <w:szCs w:val="24"/>
    </w:rPr>
  </w:style>
  <w:style w:type="character" w:customStyle="1" w:styleId="318">
    <w:name w:val="正文文本首行缩进 字符1"/>
    <w:qFormat/>
    <w:uiPriority w:val="0"/>
    <w:rPr>
      <w:kern w:val="2"/>
      <w:sz w:val="21"/>
      <w:szCs w:val="24"/>
    </w:rPr>
  </w:style>
  <w:style w:type="character" w:customStyle="1" w:styleId="319">
    <w:name w:val="正文文本 2 字符1"/>
    <w:qFormat/>
    <w:uiPriority w:val="0"/>
    <w:rPr>
      <w:szCs w:val="24"/>
    </w:rPr>
  </w:style>
  <w:style w:type="character" w:customStyle="1" w:styleId="320">
    <w:name w:val="HTML 预设格式 字符1"/>
    <w:qFormat/>
    <w:uiPriority w:val="0"/>
    <w:rPr>
      <w:rFonts w:ascii="黑体" w:hAnsi="Courier New" w:eastAsia="黑体" w:cs="Courier New"/>
    </w:rPr>
  </w:style>
  <w:style w:type="paragraph" w:customStyle="1" w:styleId="321">
    <w:name w:val="3"/>
    <w:basedOn w:val="1"/>
    <w:next w:val="120"/>
    <w:qFormat/>
    <w:uiPriority w:val="0"/>
    <w:pPr>
      <w:ind w:firstLine="420" w:firstLineChars="200"/>
    </w:pPr>
    <w:rPr>
      <w:rFonts w:ascii="Calibri" w:hAnsi="Calibri"/>
      <w:szCs w:val="22"/>
    </w:rPr>
  </w:style>
  <w:style w:type="character" w:customStyle="1" w:styleId="322">
    <w:name w:val="正文文本缩进 2 字符"/>
    <w:qFormat/>
    <w:uiPriority w:val="99"/>
    <w:rPr>
      <w:rFonts w:ascii="Times New Roman" w:hAnsi="Times New Roman" w:eastAsia="宋体" w:cs="Times New Roman"/>
      <w:szCs w:val="24"/>
    </w:rPr>
  </w:style>
  <w:style w:type="character" w:customStyle="1" w:styleId="323">
    <w:name w:val="正文文本缩进 字符"/>
    <w:qFormat/>
    <w:uiPriority w:val="99"/>
    <w:rPr>
      <w:rFonts w:ascii="Times New Roman" w:hAnsi="Times New Roman" w:eastAsia="宋体" w:cs="Times New Roman"/>
      <w:szCs w:val="24"/>
    </w:rPr>
  </w:style>
  <w:style w:type="character" w:customStyle="1" w:styleId="324">
    <w:name w:val="正文文本 3 字符"/>
    <w:semiHidden/>
    <w:qFormat/>
    <w:uiPriority w:val="99"/>
    <w:rPr>
      <w:rFonts w:ascii="Times New Roman" w:hAnsi="Times New Roman" w:eastAsia="宋体" w:cs="Times New Roman"/>
      <w:sz w:val="16"/>
      <w:szCs w:val="16"/>
    </w:rPr>
  </w:style>
  <w:style w:type="character" w:customStyle="1" w:styleId="325">
    <w:name w:val="HTML 预设格式 字符"/>
    <w:semiHidden/>
    <w:qFormat/>
    <w:uiPriority w:val="99"/>
    <w:rPr>
      <w:rFonts w:ascii="Courier New" w:hAnsi="Courier New" w:eastAsia="宋体" w:cs="Courier New"/>
      <w:sz w:val="20"/>
      <w:szCs w:val="20"/>
    </w:rPr>
  </w:style>
  <w:style w:type="character" w:customStyle="1" w:styleId="326">
    <w:name w:val="正文文本 2 字符"/>
    <w:semiHidden/>
    <w:qFormat/>
    <w:uiPriority w:val="99"/>
    <w:rPr>
      <w:rFonts w:ascii="Times New Roman" w:hAnsi="Times New Roman" w:eastAsia="宋体" w:cs="Times New Roman"/>
      <w:szCs w:val="24"/>
    </w:rPr>
  </w:style>
  <w:style w:type="character" w:customStyle="1" w:styleId="327">
    <w:name w:val="正文文本缩进 3 字符"/>
    <w:semiHidden/>
    <w:qFormat/>
    <w:uiPriority w:val="99"/>
    <w:rPr>
      <w:rFonts w:ascii="Times New Roman" w:hAnsi="Times New Roman" w:eastAsia="宋体" w:cs="Times New Roman"/>
      <w:sz w:val="16"/>
      <w:szCs w:val="16"/>
    </w:rPr>
  </w:style>
  <w:style w:type="paragraph" w:customStyle="1" w:styleId="328">
    <w:name w:val="Char Char Char Char Char Char Char Char Char Char Char Char Char Char Char Char1"/>
    <w:basedOn w:val="1"/>
    <w:qFormat/>
    <w:uiPriority w:val="0"/>
    <w:pPr>
      <w:tabs>
        <w:tab w:val="left" w:pos="360"/>
      </w:tabs>
      <w:spacing w:line="360" w:lineRule="auto"/>
      <w:ind w:left="482" w:firstLine="200" w:firstLineChars="200"/>
    </w:pPr>
    <w:rPr>
      <w:rFonts w:ascii="宋体"/>
      <w:sz w:val="24"/>
    </w:rPr>
  </w:style>
  <w:style w:type="paragraph" w:customStyle="1" w:styleId="329">
    <w:name w:val="Char Char Char2"/>
    <w:basedOn w:val="17"/>
    <w:qFormat/>
    <w:uiPriority w:val="0"/>
    <w:pPr>
      <w:adjustRightInd/>
      <w:spacing w:line="240" w:lineRule="auto"/>
      <w:textAlignment w:val="auto"/>
    </w:pPr>
    <w:rPr>
      <w:rFonts w:ascii="Tahoma" w:hAnsi="Tahoma" w:eastAsia="等线" w:cs="Times New Roman"/>
      <w:kern w:val="2"/>
      <w:sz w:val="24"/>
      <w:szCs w:val="24"/>
    </w:rPr>
  </w:style>
  <w:style w:type="paragraph" w:customStyle="1" w:styleId="330">
    <w:name w:val="Char Char Char Char Char Char Char1"/>
    <w:basedOn w:val="1"/>
    <w:qFormat/>
    <w:uiPriority w:val="99"/>
  </w:style>
  <w:style w:type="paragraph" w:customStyle="1" w:styleId="331">
    <w:name w:val="Char Char Char Char2"/>
    <w:basedOn w:val="1"/>
    <w:qFormat/>
    <w:uiPriority w:val="99"/>
    <w:pPr>
      <w:widowControl/>
      <w:spacing w:after="160" w:line="240" w:lineRule="exact"/>
      <w:jc w:val="left"/>
    </w:pPr>
    <w:rPr>
      <w:rFonts w:ascii="Verdana" w:hAnsi="Verdana" w:eastAsia="仿宋_GB2312"/>
      <w:kern w:val="0"/>
      <w:sz w:val="24"/>
      <w:szCs w:val="20"/>
      <w:lang w:eastAsia="en-US"/>
    </w:rPr>
  </w:style>
  <w:style w:type="paragraph" w:customStyle="1" w:styleId="332">
    <w:name w:val="Char4"/>
    <w:basedOn w:val="1"/>
    <w:qFormat/>
    <w:uiPriority w:val="0"/>
    <w:pPr>
      <w:tabs>
        <w:tab w:val="left" w:pos="360"/>
      </w:tabs>
      <w:ind w:left="252" w:hanging="252" w:hangingChars="140"/>
    </w:pPr>
    <w:rPr>
      <w:rFonts w:ascii="宋体"/>
      <w:sz w:val="18"/>
      <w:szCs w:val="18"/>
    </w:rPr>
  </w:style>
  <w:style w:type="character" w:customStyle="1" w:styleId="333">
    <w:name w:val="z-窗体顶端 字符"/>
    <w:semiHidden/>
    <w:qFormat/>
    <w:uiPriority w:val="99"/>
    <w:rPr>
      <w:rFonts w:ascii="Arial" w:hAnsi="Arial" w:eastAsia="宋体" w:cs="Arial"/>
      <w:vanish/>
      <w:sz w:val="16"/>
      <w:szCs w:val="16"/>
    </w:rPr>
  </w:style>
  <w:style w:type="paragraph" w:customStyle="1" w:styleId="334">
    <w:name w:val="Char Char Char Char Char Char Char Char Char Char Char Char Char1"/>
    <w:basedOn w:val="17"/>
    <w:qFormat/>
    <w:uiPriority w:val="0"/>
    <w:pPr>
      <w:adjustRightInd/>
      <w:spacing w:line="240" w:lineRule="auto"/>
      <w:textAlignment w:val="auto"/>
    </w:pPr>
    <w:rPr>
      <w:rFonts w:ascii="Tahoma" w:hAnsi="Tahoma" w:eastAsia="等线" w:cs="Times New Roman"/>
      <w:kern w:val="2"/>
      <w:sz w:val="24"/>
      <w:szCs w:val="24"/>
    </w:rPr>
  </w:style>
  <w:style w:type="paragraph" w:customStyle="1" w:styleId="335">
    <w:name w:val="Char21"/>
    <w:basedOn w:val="1"/>
    <w:qFormat/>
    <w:uiPriority w:val="0"/>
    <w:pPr>
      <w:widowControl/>
      <w:spacing w:after="160" w:line="240" w:lineRule="exact"/>
      <w:jc w:val="left"/>
    </w:pPr>
    <w:rPr>
      <w:rFonts w:ascii="Verdana" w:hAnsi="Verdana"/>
      <w:kern w:val="0"/>
      <w:szCs w:val="20"/>
      <w:lang w:eastAsia="en-US"/>
    </w:rPr>
  </w:style>
  <w:style w:type="paragraph" w:customStyle="1" w:styleId="336">
    <w:name w:val="Char Char Char Char Char Char1 Char1"/>
    <w:basedOn w:val="1"/>
    <w:qFormat/>
    <w:uiPriority w:val="0"/>
    <w:pPr>
      <w:widowControl/>
      <w:spacing w:after="160" w:line="240" w:lineRule="exact"/>
      <w:jc w:val="left"/>
    </w:pPr>
    <w:rPr>
      <w:rFonts w:ascii="Arial" w:hAnsi="Arial" w:eastAsia="Times New Roman" w:cs="Verdana"/>
      <w:b/>
      <w:kern w:val="0"/>
      <w:sz w:val="24"/>
      <w:szCs w:val="20"/>
      <w:lang w:eastAsia="en-US"/>
    </w:rPr>
  </w:style>
  <w:style w:type="character" w:customStyle="1" w:styleId="337">
    <w:name w:val="明显引用 字符1"/>
    <w:qFormat/>
    <w:uiPriority w:val="99"/>
    <w:rPr>
      <w:b/>
      <w:bCs/>
      <w:i/>
      <w:iCs/>
      <w:color w:val="4F81BD"/>
    </w:rPr>
  </w:style>
  <w:style w:type="character" w:customStyle="1" w:styleId="338">
    <w:name w:val="副标题 字符1"/>
    <w:qFormat/>
    <w:uiPriority w:val="11"/>
    <w:rPr>
      <w:rFonts w:ascii="Cambria" w:hAnsi="Cambria"/>
      <w:b/>
      <w:bCs/>
      <w:kern w:val="28"/>
      <w:sz w:val="32"/>
      <w:szCs w:val="32"/>
    </w:rPr>
  </w:style>
  <w:style w:type="character" w:customStyle="1" w:styleId="339">
    <w:name w:val="引用 字符1"/>
    <w:qFormat/>
    <w:uiPriority w:val="99"/>
    <w:rPr>
      <w:i/>
      <w:iCs/>
      <w:color w:val="000000"/>
    </w:rPr>
  </w:style>
  <w:style w:type="character" w:customStyle="1" w:styleId="340">
    <w:name w:val="脚注文本 字符1"/>
    <w:qFormat/>
    <w:uiPriority w:val="99"/>
    <w:rPr>
      <w:sz w:val="18"/>
    </w:rPr>
  </w:style>
  <w:style w:type="character" w:customStyle="1" w:styleId="341">
    <w:name w:val="脚注文本 字符"/>
    <w:qFormat/>
    <w:uiPriority w:val="99"/>
    <w:rPr>
      <w:rFonts w:ascii="Times New Roman" w:hAnsi="Times New Roman" w:eastAsia="宋体" w:cs="Times New Roman"/>
      <w:sz w:val="18"/>
      <w:szCs w:val="18"/>
    </w:rPr>
  </w:style>
  <w:style w:type="character" w:customStyle="1" w:styleId="342">
    <w:name w:val="正文文本首行缩进 2 字符"/>
    <w:semiHidden/>
    <w:qFormat/>
    <w:uiPriority w:val="99"/>
  </w:style>
  <w:style w:type="character" w:customStyle="1" w:styleId="343">
    <w:name w:val="正文文本首行缩进 字符"/>
    <w:semiHidden/>
    <w:qFormat/>
    <w:uiPriority w:val="99"/>
    <w:rPr>
      <w:rFonts w:ascii="Times New Roman" w:hAnsi="Times New Roman" w:eastAsia="宋体" w:cs="Times New Roman"/>
      <w:szCs w:val="24"/>
    </w:rPr>
  </w:style>
  <w:style w:type="paragraph" w:customStyle="1" w:styleId="344">
    <w:name w:val="Body text|1"/>
    <w:basedOn w:val="1"/>
    <w:qFormat/>
    <w:uiPriority w:val="0"/>
    <w:pPr>
      <w:spacing w:line="360" w:lineRule="auto"/>
      <w:ind w:firstLine="400"/>
    </w:pPr>
    <w:rPr>
      <w:rFonts w:ascii="宋体" w:hAnsi="宋体" w:cs="宋体"/>
      <w:szCs w:val="20"/>
      <w:lang w:val="zh-CN" w:bidi="zh-CN"/>
    </w:rPr>
  </w:style>
  <w:style w:type="paragraph" w:customStyle="1" w:styleId="345">
    <w:name w:val="Table Text"/>
    <w:basedOn w:val="1"/>
    <w:qFormat/>
    <w:uiPriority w:val="0"/>
    <w:rPr>
      <w:rFonts w:ascii="Arial" w:hAnsi="Arial" w:eastAsia="Arial" w:cs="Arial"/>
      <w:szCs w:val="21"/>
      <w:lang w:eastAsia="en-US"/>
    </w:rPr>
  </w:style>
  <w:style w:type="table" w:customStyle="1" w:styleId="346">
    <w:name w:val="Table Normal"/>
    <w:qFormat/>
    <w:uiPriority w:val="0"/>
    <w:rPr>
      <w:rFonts w:ascii="等线" w:hAnsi="等线" w:eastAsia="等线" w:cs="Times New Roman"/>
    </w:rPr>
    <w:tblPr>
      <w:tblCellMar>
        <w:top w:w="0" w:type="dxa"/>
        <w:left w:w="0" w:type="dxa"/>
        <w:bottom w:w="0" w:type="dxa"/>
        <w:right w:w="0" w:type="dxa"/>
      </w:tblCellMar>
    </w:tblPr>
  </w:style>
  <w:style w:type="paragraph" w:customStyle="1" w:styleId="347">
    <w:name w:val="Table Paragraph"/>
    <w:basedOn w:val="1"/>
    <w:qFormat/>
    <w:uiPriority w:val="0"/>
    <w:rPr>
      <w:rFonts w:ascii="Times New Roman" w:hAnsi="Times New Roman" w:eastAsia="宋体" w:cs="Times New Roman"/>
    </w:rPr>
  </w:style>
  <w:style w:type="character" w:customStyle="1" w:styleId="348">
    <w:name w:val="10"/>
    <w:qFormat/>
    <w:uiPriority w:val="0"/>
    <w:rPr>
      <w:rFonts w:hint="default" w:ascii="Times New Roman" w:hAnsi="Times New Roman" w:cs="Times New Roman"/>
    </w:rPr>
  </w:style>
  <w:style w:type="paragraph" w:customStyle="1" w:styleId="349">
    <w:name w:val="标题 2_0"/>
    <w:basedOn w:val="350"/>
    <w:next w:val="350"/>
    <w:qFormat/>
    <w:uiPriority w:val="0"/>
    <w:pPr>
      <w:keepNext/>
      <w:keepLines/>
      <w:spacing w:before="60" w:after="60" w:line="412" w:lineRule="auto"/>
      <w:outlineLvl w:val="1"/>
    </w:pPr>
    <w:rPr>
      <w:rFonts w:ascii="Arial" w:hAnsi="Arial" w:eastAsia="黑体"/>
      <w:b/>
      <w:bCs/>
    </w:rPr>
  </w:style>
  <w:style w:type="paragraph" w:customStyle="1" w:styleId="350">
    <w:name w:val="正文_2"/>
    <w:basedOn w:val="351"/>
    <w:next w:val="352"/>
    <w:qFormat/>
    <w:uiPriority w:val="0"/>
    <w:rPr>
      <w:rFonts w:ascii="Calibri" w:hAnsi="Calibri"/>
    </w:rPr>
  </w:style>
  <w:style w:type="paragraph" w:customStyle="1" w:styleId="351">
    <w:name w:val="正文_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52">
    <w:name w:val="标题 2_1"/>
    <w:basedOn w:val="350"/>
    <w:next w:val="353"/>
    <w:qFormat/>
    <w:uiPriority w:val="99"/>
    <w:pPr>
      <w:keepNext/>
      <w:keepLines/>
      <w:spacing w:before="60" w:after="60" w:line="413" w:lineRule="auto"/>
      <w:outlineLvl w:val="1"/>
    </w:pPr>
    <w:rPr>
      <w:rFonts w:ascii="Arial" w:hAnsi="Arial" w:eastAsia="黑体"/>
      <w:b/>
      <w:bCs/>
      <w:szCs w:val="32"/>
    </w:rPr>
  </w:style>
  <w:style w:type="paragraph" w:customStyle="1" w:styleId="353">
    <w:name w:val="正文_2_0"/>
    <w:qFormat/>
    <w:uiPriority w:val="0"/>
    <w:pPr>
      <w:widowControl w:val="0"/>
      <w:jc w:val="both"/>
    </w:pPr>
    <w:rPr>
      <w:rFonts w:ascii="Calibri" w:hAnsi="Calibri" w:eastAsia="宋体" w:cs="Times New Roman"/>
      <w:kern w:val="2"/>
      <w:sz w:val="21"/>
      <w:szCs w:val="24"/>
      <w:lang w:val="en-US" w:eastAsia="zh-CN" w:bidi="ar-SA"/>
    </w:rPr>
  </w:style>
  <w:style w:type="paragraph" w:customStyle="1" w:styleId="354">
    <w:name w:val="标题 3_0"/>
    <w:basedOn w:val="355"/>
    <w:next w:val="355"/>
    <w:qFormat/>
    <w:uiPriority w:val="0"/>
    <w:pPr>
      <w:keepNext/>
      <w:keepLines/>
      <w:spacing w:line="360" w:lineRule="auto"/>
      <w:outlineLvl w:val="2"/>
    </w:pPr>
    <w:rPr>
      <w:rFonts w:eastAsia="黑体"/>
      <w:b/>
      <w:bCs/>
    </w:rPr>
  </w:style>
  <w:style w:type="paragraph" w:customStyle="1" w:styleId="355">
    <w:name w:val="正文_3_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56">
    <w:name w:val="纯文本_0"/>
    <w:basedOn w:val="350"/>
    <w:qFormat/>
    <w:uiPriority w:val="0"/>
    <w:rPr>
      <w:rFonts w:ascii="宋体" w:hAnsi="Courier New"/>
    </w:rPr>
  </w:style>
  <w:style w:type="paragraph" w:customStyle="1" w:styleId="357">
    <w:name w:val="正文_3_0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358">
    <w:name w:val="正文_3_0"/>
    <w:basedOn w:val="359"/>
    <w:qFormat/>
    <w:uiPriority w:val="0"/>
    <w:rPr>
      <w:rFonts w:ascii="Calibri" w:hAnsi="Calibri"/>
    </w:rPr>
  </w:style>
  <w:style w:type="paragraph" w:customStyle="1" w:styleId="359">
    <w:name w:val="正文_4"/>
    <w:basedOn w:val="360"/>
    <w:next w:val="361"/>
    <w:qFormat/>
    <w:uiPriority w:val="0"/>
    <w:rPr>
      <w:rFonts w:ascii="Times New Roman" w:hAnsi="Times New Roman"/>
      <w:szCs w:val="24"/>
    </w:rPr>
  </w:style>
  <w:style w:type="paragraph" w:customStyle="1" w:styleId="360">
    <w:name w:val="正文_5"/>
    <w:qFormat/>
    <w:uiPriority w:val="0"/>
    <w:pPr>
      <w:widowControl w:val="0"/>
      <w:jc w:val="both"/>
    </w:pPr>
    <w:rPr>
      <w:rFonts w:ascii="Calibri" w:hAnsi="Calibri" w:eastAsia="宋体" w:cs="Times New Roman"/>
      <w:kern w:val="2"/>
      <w:sz w:val="21"/>
      <w:szCs w:val="22"/>
      <w:lang w:val="en-US" w:eastAsia="zh-CN" w:bidi="ar-SA"/>
    </w:rPr>
  </w:style>
  <w:style w:type="paragraph" w:customStyle="1" w:styleId="361">
    <w:name w:val="正文文本_0"/>
    <w:basedOn w:val="359"/>
    <w:next w:val="362"/>
    <w:qFormat/>
    <w:uiPriority w:val="99"/>
    <w:pPr>
      <w:spacing w:after="120"/>
    </w:pPr>
  </w:style>
  <w:style w:type="paragraph" w:customStyle="1" w:styleId="362">
    <w:name w:val="Default_0"/>
    <w:qFormat/>
    <w:uiPriority w:val="99"/>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363">
    <w:name w:val="正文_4_0"/>
    <w:basedOn w:val="364"/>
    <w:qFormat/>
    <w:uiPriority w:val="0"/>
    <w:rPr>
      <w:rFonts w:cs="Times New Roman"/>
      <w:szCs w:val="22"/>
    </w:rPr>
  </w:style>
  <w:style w:type="paragraph" w:customStyle="1" w:styleId="364">
    <w:name w:val="正文_5_0"/>
    <w:basedOn w:val="365"/>
    <w:qFormat/>
    <w:uiPriority w:val="0"/>
    <w:rPr>
      <w:rFonts w:cs="Calibri"/>
    </w:rPr>
  </w:style>
  <w:style w:type="paragraph" w:customStyle="1" w:styleId="365">
    <w:name w:val="正文_3_2"/>
    <w:basedOn w:val="351"/>
    <w:qFormat/>
    <w:uiPriority w:val="0"/>
    <w:rPr>
      <w:rFonts w:ascii="Calibri" w:hAnsi="Calibri"/>
      <w:szCs w:val="21"/>
    </w:rPr>
  </w:style>
  <w:style w:type="character" w:customStyle="1" w:styleId="366">
    <w:name w:val="16"/>
    <w:qFormat/>
    <w:uiPriority w:val="0"/>
    <w:rPr>
      <w:rFonts w:hint="default" w:ascii="Times New Roman" w:hAnsi="Times New Roman" w:cs="Times New Roman"/>
    </w:rPr>
  </w:style>
  <w:style w:type="paragraph" w:customStyle="1" w:styleId="367">
    <w:name w:val="表格文字"/>
    <w:basedOn w:val="1"/>
    <w:autoRedefine/>
    <w:qFormat/>
    <w:uiPriority w:val="0"/>
    <w:pPr>
      <w:jc w:val="left"/>
    </w:pPr>
    <w:rPr>
      <w:rFonts w:ascii="Calibri" w:hAnsi="Calibri"/>
      <w:bCs/>
      <w:spacing w:val="10"/>
      <w:kern w:val="0"/>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image" Target="media/image2.png"/><Relationship Id="rId18" Type="http://schemas.openxmlformats.org/officeDocument/2006/relationships/image" Target="media/image1.png"/><Relationship Id="rId17" Type="http://schemas.openxmlformats.org/officeDocument/2006/relationships/theme" Target="theme/theme1.xml"/><Relationship Id="rId16" Type="http://schemas.openxmlformats.org/officeDocument/2006/relationships/header" Target="header10.xml"/><Relationship Id="rId15" Type="http://schemas.openxmlformats.org/officeDocument/2006/relationships/header" Target="header9.xml"/><Relationship Id="rId14" Type="http://schemas.openxmlformats.org/officeDocument/2006/relationships/header" Target="header8.xml"/><Relationship Id="rId13" Type="http://schemas.openxmlformats.org/officeDocument/2006/relationships/header" Target="header7.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120</Pages>
  <Words>6712</Words>
  <Characters>7585</Characters>
  <Lines>710</Lines>
  <Paragraphs>200</Paragraphs>
  <TotalTime>19</TotalTime>
  <ScaleCrop>false</ScaleCrop>
  <LinksUpToDate>false</LinksUpToDate>
  <CharactersWithSpaces>7684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2019-10-11T08:12:00Z</dcterms:created>
  <dc:creator>微软用户</dc:creator>
  <cp:lastModifiedBy>PENG</cp:lastModifiedBy>
  <cp:lastPrinted>2016-03-22T07:52:00Z</cp:lastPrinted>
  <dcterms:modified xsi:type="dcterms:W3CDTF">2026-09-04T07:56:26Z</dcterms:modified>
  <dc:title>桂财采〔2009〕 号</dc:title>
  <cp:revision>701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Subject">
    <vt:lpwstr/>
  </property>
  <property fmtid="{D5CDD505-2E9C-101B-9397-08002B2CF9AE}" pid="4" name="Keywords">
    <vt:lpwstr/>
  </property>
  <property fmtid="{D5CDD505-2E9C-101B-9397-08002B2CF9AE}" pid="5" name="_Author">
    <vt:lpwstr>微软用户</vt:lpwstr>
  </property>
  <property fmtid="{D5CDD505-2E9C-101B-9397-08002B2CF9AE}" pid="6" name="_Category">
    <vt:lpwstr/>
  </property>
  <property fmtid="{D5CDD505-2E9C-101B-9397-08002B2CF9AE}" pid="7" name="Slides">
    <vt:lpwstr>0</vt:lpwstr>
  </property>
  <property fmtid="{D5CDD505-2E9C-101B-9397-08002B2CF9AE}" pid="8" name="Categories">
    <vt:lpwstr/>
  </property>
  <property fmtid="{D5CDD505-2E9C-101B-9397-08002B2CF9AE}" pid="9" name="Approval Level">
    <vt:lpwstr/>
  </property>
  <property fmtid="{D5CDD505-2E9C-101B-9397-08002B2CF9AE}" pid="10" name="_Comments">
    <vt:lpwstr/>
  </property>
  <property fmtid="{D5CDD505-2E9C-101B-9397-08002B2CF9AE}" pid="11" name="Assigned To">
    <vt:lpwstr/>
  </property>
  <property fmtid="{D5CDD505-2E9C-101B-9397-08002B2CF9AE}" pid="12" name="ContentTypeId">
    <vt:lpwstr>0x010100766A5C3ADF4EA94E9357209EBD74570E</vt:lpwstr>
  </property>
  <property fmtid="{D5CDD505-2E9C-101B-9397-08002B2CF9AE}" pid="13" name="ICV">
    <vt:lpwstr>4FF2B746E9A54A608664810697DB830E_13</vt:lpwstr>
  </property>
  <property fmtid="{D5CDD505-2E9C-101B-9397-08002B2CF9AE}" pid="14" name="KSOTemplateDocerSaveRecord">
    <vt:lpwstr>eyJoZGlkIjoiOTZiY2Y5MzJmYzBkMjk1NjU5YTAwMGNjOGU0ZDFhMTIiLCJ1c2VySWQiOiI4ODAyNzA4OTcifQ==</vt:lpwstr>
  </property>
</Properties>
</file>