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C5AE7">
      <w:pPr>
        <w:pStyle w:val="2"/>
        <w:snapToGrid w:val="0"/>
        <w:spacing w:before="120" w:after="120" w:line="320" w:lineRule="exact"/>
        <w:jc w:val="center"/>
        <w:outlineLvl w:val="0"/>
        <w:rPr>
          <w:rFonts w:ascii="Times New Roman" w:hAnsi="Times New Roman" w:cs="Times New Roman"/>
          <w:color w:val="auto"/>
          <w:sz w:val="32"/>
          <w:szCs w:val="32"/>
          <w:highlight w:val="none"/>
        </w:rPr>
      </w:pPr>
      <w:bookmarkStart w:id="0" w:name="_Toc24439"/>
      <w:bookmarkStart w:id="1" w:name="_Toc12824"/>
      <w:bookmarkStart w:id="2" w:name="_Toc2421"/>
      <w:bookmarkStart w:id="3" w:name="_Toc11415"/>
      <w:r>
        <w:rPr>
          <w:rFonts w:ascii="Times New Roman" w:hAnsi="Times New Roman" w:cs="Times New Roman"/>
          <w:color w:val="auto"/>
          <w:sz w:val="32"/>
          <w:szCs w:val="32"/>
          <w:highlight w:val="none"/>
        </w:rPr>
        <w:t>第二章  项目采购需求</w:t>
      </w:r>
      <w:bookmarkEnd w:id="0"/>
      <w:bookmarkEnd w:id="1"/>
      <w:bookmarkEnd w:id="2"/>
      <w:bookmarkEnd w:id="3"/>
    </w:p>
    <w:p w14:paraId="1DD4B348">
      <w:pPr>
        <w:spacing w:before="120"/>
        <w:rPr>
          <w:rFonts w:ascii="宋体" w:hAnsi="宋体" w:cs="宋体"/>
          <w:b/>
          <w:bCs/>
          <w:color w:val="auto"/>
          <w:sz w:val="28"/>
          <w:szCs w:val="28"/>
          <w:highlight w:val="none"/>
        </w:rPr>
      </w:pPr>
    </w:p>
    <w:p w14:paraId="71BBC117">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60574578">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36DC7E0">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779EB40D">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63A44651">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w:t>
      </w:r>
      <w:r>
        <w:rPr>
          <w:rFonts w:hint="eastAsia"/>
          <w:color w:val="auto"/>
          <w:szCs w:val="21"/>
          <w:highlight w:val="none"/>
          <w:lang w:val="en-US" w:eastAsia="zh-CN"/>
        </w:rPr>
        <w:t>无效</w:t>
      </w:r>
      <w:r>
        <w:rPr>
          <w:color w:val="auto"/>
          <w:szCs w:val="21"/>
          <w:highlight w:val="none"/>
        </w:rPr>
        <w:t>。</w:t>
      </w:r>
    </w:p>
    <w:p w14:paraId="65B98F0B">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70230909">
      <w:pPr>
        <w:spacing w:line="360" w:lineRule="auto"/>
        <w:rPr>
          <w:color w:val="auto"/>
          <w:szCs w:val="21"/>
          <w:highlight w:val="none"/>
        </w:rPr>
      </w:pPr>
      <w:r>
        <w:rPr>
          <w:rFonts w:hint="eastAsia"/>
          <w:color w:val="auto"/>
          <w:szCs w:val="21"/>
          <w:highlight w:val="none"/>
        </w:rPr>
        <w:t>1.需实现的功能、目标及应用场景</w:t>
      </w:r>
    </w:p>
    <w:p w14:paraId="426F525A">
      <w:pPr>
        <w:spacing w:line="360" w:lineRule="auto"/>
        <w:rPr>
          <w:rFonts w:hint="eastAsia"/>
          <w:color w:val="auto"/>
          <w:szCs w:val="21"/>
          <w:highlight w:val="none"/>
        </w:rPr>
      </w:pPr>
      <w:r>
        <w:rPr>
          <w:rFonts w:hint="eastAsia"/>
          <w:color w:val="auto"/>
          <w:szCs w:val="21"/>
          <w:highlight w:val="none"/>
        </w:rPr>
        <w:t>满足采购文件要求，验收达到合格标准。</w:t>
      </w:r>
    </w:p>
    <w:p w14:paraId="777D9034">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72E9B48B">
      <w:pPr>
        <w:spacing w:line="360" w:lineRule="auto"/>
        <w:rPr>
          <w:color w:val="auto"/>
          <w:szCs w:val="21"/>
          <w:highlight w:val="none"/>
        </w:rPr>
      </w:pPr>
      <w:r>
        <w:rPr>
          <w:color w:val="auto"/>
          <w:szCs w:val="21"/>
          <w:highlight w:val="none"/>
        </w:rPr>
        <w:sym w:font="Wingdings 2" w:char="F052"/>
      </w:r>
      <w:r>
        <w:rPr>
          <w:rFonts w:hint="eastAsia"/>
          <w:color w:val="auto"/>
          <w:szCs w:val="21"/>
          <w:highlight w:val="none"/>
        </w:rPr>
        <w:t>否</w:t>
      </w:r>
    </w:p>
    <w:p w14:paraId="6AD33275">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1）以上所述不接受进口产品的，供应商不得选用进口产品参与响应，否则响应按无效响应处理；列明接受进口产品的分项，供应商可以选用进口产品参与响应，但不排斥国内产品。</w:t>
      </w:r>
    </w:p>
    <w:p w14:paraId="1AF8BC18">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7DF3CCCD">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501D8D5B">
      <w:pPr>
        <w:spacing w:line="360" w:lineRule="auto"/>
        <w:rPr>
          <w:rFonts w:hint="eastAsia"/>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4）其余内容以《政府采购进口产品管理办法》（财库〔2007〕119号）和《关于政府采购进口产品管理有关问题的通知》（财办库</w:t>
      </w:r>
      <w:r>
        <w:rPr>
          <w:rFonts w:hint="eastAsia" w:eastAsia="宋体"/>
          <w:color w:val="auto"/>
          <w:szCs w:val="21"/>
          <w:highlight w:val="none"/>
          <w:lang w:eastAsia="zh-CN"/>
        </w:rPr>
        <w:t>〔2008〕248号</w:t>
      </w:r>
      <w:r>
        <w:rPr>
          <w:color w:val="auto"/>
          <w:szCs w:val="21"/>
          <w:highlight w:val="none"/>
        </w:rPr>
        <w:t>）的相关规定为准。</w:t>
      </w:r>
    </w:p>
    <w:p w14:paraId="118B16D0">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6B1526B1">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rFonts w:hint="eastAsia"/>
          <w:i/>
          <w:color w:val="auto"/>
          <w:szCs w:val="21"/>
          <w:highlight w:val="none"/>
          <w:u w:val="single"/>
        </w:rPr>
        <w:t>详见技术指标要求</w:t>
      </w:r>
      <w:r>
        <w:rPr>
          <w:i/>
          <w:color w:val="auto"/>
          <w:szCs w:val="21"/>
          <w:highlight w:val="none"/>
          <w:u w:val="single"/>
        </w:rPr>
        <w:t xml:space="preserve">   </w:t>
      </w:r>
      <w:r>
        <w:rPr>
          <w:color w:val="auto"/>
          <w:szCs w:val="21"/>
          <w:highlight w:val="none"/>
          <w:u w:val="single"/>
        </w:rPr>
        <w:t xml:space="preserve">  </w:t>
      </w:r>
    </w:p>
    <w:p w14:paraId="6BB510F5">
      <w:pPr>
        <w:spacing w:line="360" w:lineRule="auto"/>
        <w:rPr>
          <w:rFonts w:hint="eastAsia" w:eastAsia="宋体"/>
          <w:color w:val="auto"/>
          <w:szCs w:val="21"/>
          <w:highlight w:val="none"/>
          <w:lang w:val="en-US" w:eastAsia="zh-CN"/>
        </w:rPr>
      </w:pPr>
      <w:r>
        <w:rPr>
          <w:color w:val="auto"/>
          <w:szCs w:val="21"/>
          <w:highlight w:val="none"/>
        </w:rPr>
        <w:t>4</w:t>
      </w:r>
      <w:r>
        <w:rPr>
          <w:rFonts w:hint="eastAsia"/>
          <w:color w:val="auto"/>
          <w:szCs w:val="21"/>
          <w:highlight w:val="none"/>
        </w:rPr>
        <w:t>.标的所属行业：</w:t>
      </w:r>
      <w:r>
        <w:rPr>
          <w:rFonts w:hint="eastAsia"/>
          <w:b/>
          <w:bCs/>
          <w:color w:val="auto"/>
          <w:szCs w:val="21"/>
          <w:highlight w:val="none"/>
        </w:rPr>
        <w:t>其他未列明行业</w:t>
      </w:r>
      <w:r>
        <w:rPr>
          <w:rFonts w:hint="eastAsia"/>
          <w:color w:val="auto"/>
          <w:szCs w:val="21"/>
          <w:highlight w:val="none"/>
          <w:lang w:val="en-US" w:eastAsia="zh-CN"/>
        </w:rPr>
        <w:t>。</w:t>
      </w:r>
    </w:p>
    <w:p w14:paraId="348C2BCE">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51DCB68D">
      <w:pPr>
        <w:spacing w:line="360" w:lineRule="auto"/>
        <w:rPr>
          <w:color w:val="auto"/>
          <w:szCs w:val="21"/>
          <w:highlight w:val="none"/>
        </w:rPr>
      </w:pPr>
      <w:r>
        <w:rPr>
          <w:rFonts w:hint="eastAsia"/>
          <w:color w:val="auto"/>
          <w:szCs w:val="21"/>
          <w:highlight w:val="none"/>
        </w:rPr>
        <w:t>本项目为服务项目，不适用核心产品规定。</w:t>
      </w:r>
    </w:p>
    <w:p w14:paraId="573C717C">
      <w:pPr>
        <w:spacing w:line="360" w:lineRule="auto"/>
        <w:rPr>
          <w:rFonts w:hint="eastAsia"/>
          <w:color w:val="auto"/>
          <w:szCs w:val="21"/>
          <w:highlight w:val="none"/>
        </w:rPr>
      </w:pPr>
      <w:r>
        <w:rPr>
          <w:color w:val="auto"/>
          <w:szCs w:val="21"/>
          <w:highlight w:val="none"/>
        </w:rPr>
        <w:t>▲6</w:t>
      </w:r>
      <w:r>
        <w:rPr>
          <w:rFonts w:hint="eastAsia"/>
          <w:color w:val="auto"/>
          <w:szCs w:val="21"/>
          <w:highlight w:val="none"/>
        </w:rPr>
        <w:t>.服务内容和标准</w:t>
      </w:r>
      <w:bookmarkStart w:id="4" w:name="_Hlk132788047"/>
    </w:p>
    <w:bookmarkEnd w:id="4"/>
    <w:tbl>
      <w:tblPr>
        <w:tblStyle w:val="3"/>
        <w:tblW w:w="88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5"/>
        <w:gridCol w:w="1892"/>
        <w:gridCol w:w="928"/>
        <w:gridCol w:w="4986"/>
      </w:tblGrid>
      <w:tr w14:paraId="404F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1065" w:type="dxa"/>
            <w:noWrap w:val="0"/>
            <w:vAlign w:val="center"/>
          </w:tcPr>
          <w:p w14:paraId="13956306">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92" w:type="dxa"/>
            <w:noWrap w:val="0"/>
            <w:vAlign w:val="center"/>
          </w:tcPr>
          <w:p w14:paraId="6C9C6A5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928" w:type="dxa"/>
            <w:noWrap w:val="0"/>
            <w:vAlign w:val="center"/>
          </w:tcPr>
          <w:p w14:paraId="74FCCC35">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4986" w:type="dxa"/>
            <w:noWrap w:val="0"/>
            <w:vAlign w:val="center"/>
          </w:tcPr>
          <w:p w14:paraId="542CE7BB">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服务及</w:t>
            </w:r>
            <w:r>
              <w:rPr>
                <w:rFonts w:hint="eastAsia" w:ascii="宋体" w:hAnsi="宋体" w:cs="宋体"/>
                <w:color w:val="auto"/>
                <w:szCs w:val="21"/>
                <w:highlight w:val="none"/>
              </w:rPr>
              <w:t>技术要求</w:t>
            </w:r>
          </w:p>
        </w:tc>
      </w:tr>
      <w:tr w14:paraId="38070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6" w:hRule="atLeast"/>
          <w:jc w:val="center"/>
        </w:trPr>
        <w:tc>
          <w:tcPr>
            <w:tcW w:w="1065" w:type="dxa"/>
            <w:noWrap w:val="0"/>
            <w:vAlign w:val="center"/>
          </w:tcPr>
          <w:p w14:paraId="37F2B8C7">
            <w:pPr>
              <w:tabs>
                <w:tab w:val="left" w:pos="180"/>
                <w:tab w:val="left" w:pos="1620"/>
              </w:tabs>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892" w:type="dxa"/>
            <w:noWrap w:val="0"/>
            <w:vAlign w:val="center"/>
          </w:tcPr>
          <w:p w14:paraId="5FF2A0F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eastAsia="宋体" w:cs="宋体"/>
                <w:color w:val="auto"/>
                <w:highlight w:val="none"/>
              </w:rPr>
            </w:pPr>
            <w:r>
              <w:rPr>
                <w:rFonts w:hint="eastAsia" w:ascii="宋体" w:hAnsi="宋体" w:eastAsia="宋体" w:cs="Times New Roman"/>
                <w:color w:val="auto"/>
                <w:szCs w:val="21"/>
                <w:highlight w:val="none"/>
                <w:lang w:eastAsia="zh-CN"/>
              </w:rPr>
              <w:t>血液样本核酸检测服务</w:t>
            </w:r>
          </w:p>
        </w:tc>
        <w:tc>
          <w:tcPr>
            <w:tcW w:w="928" w:type="dxa"/>
            <w:noWrap w:val="0"/>
            <w:vAlign w:val="center"/>
          </w:tcPr>
          <w:p w14:paraId="154B29E8">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（以实际送检的标本数量为准）</w:t>
            </w:r>
          </w:p>
        </w:tc>
        <w:tc>
          <w:tcPr>
            <w:tcW w:w="4986" w:type="dxa"/>
            <w:noWrap w:val="0"/>
            <w:vAlign w:val="center"/>
          </w:tcPr>
          <w:p w14:paraId="5C169FB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1.对</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送检的核酸检测标本采集、送检、处理及保存等过程进行管理和控制，确保血液标本符合检测要求。</w:t>
            </w:r>
          </w:p>
          <w:p w14:paraId="2A4CAD8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2.对</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的核酸检测报告的发放、收回、更改和重新签发等过程进行管理和控制，确保检测报告及时、准确。</w:t>
            </w:r>
          </w:p>
          <w:p w14:paraId="2D5372E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3.负责核酸检测标本的质量审核、接收、处理、保存及检测。</w:t>
            </w:r>
          </w:p>
          <w:p w14:paraId="25B1038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4.负责核酸检测报告的发放、收回、更改和重新签发。</w:t>
            </w:r>
          </w:p>
          <w:p w14:paraId="4B46304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5.核酸检测标本的管理要求：</w:t>
            </w:r>
          </w:p>
          <w:p w14:paraId="3DDA59DE">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5.1核酸检测标本采集前的准备</w:t>
            </w:r>
          </w:p>
          <w:p w14:paraId="26D2E3E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5.1.1标本采集人员的资质要求：应经过血液标本采集培训并考核合格，具有卫生专业技术资格。</w:t>
            </w:r>
          </w:p>
          <w:p w14:paraId="583D4FC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5.1.2标本容器要求：</w:t>
            </w:r>
          </w:p>
          <w:p w14:paraId="1249B081">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1)采血管无破裂、无污染，密闭性好，有一定的刚性、不易损坏，试管容量、材质等性能应满足</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要求。</w:t>
            </w:r>
          </w:p>
          <w:p w14:paraId="4A74CC74">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2)采用无菌、无DNA 酶、无RNA 酶含惰性分离胶的EDTA盐抗凝真空采血管。</w:t>
            </w:r>
          </w:p>
          <w:p w14:paraId="27E7DEF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5.1.3献血者知情同意：采集血液标本前应征得献血者的知情同意。</w:t>
            </w:r>
          </w:p>
          <w:p w14:paraId="46EB754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5.1.4献血者的身份确认：血液标本采集前应核对献血者身份。</w:t>
            </w:r>
          </w:p>
          <w:p w14:paraId="4882831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5.2核酸检测标本的采集</w:t>
            </w:r>
          </w:p>
          <w:p w14:paraId="720F3A5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5.2.1标本量：至少5mlEDTA盐抗凝全血(采集量应满足全部检测的要求)。</w:t>
            </w:r>
          </w:p>
          <w:p w14:paraId="7E726FB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5.2.2标本标识：</w:t>
            </w:r>
          </w:p>
          <w:p w14:paraId="523BCDA0">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1)标本应有</w:t>
            </w:r>
            <w:r>
              <w:rPr>
                <w:rFonts w:hint="eastAsia" w:ascii="宋体" w:hAnsi="宋体" w:cs="宋体"/>
                <w:color w:val="auto"/>
                <w:highlight w:val="none"/>
                <w:lang w:val="en-US" w:eastAsia="zh-CN"/>
              </w:rPr>
              <w:t>唯一</w:t>
            </w:r>
            <w:r>
              <w:rPr>
                <w:rFonts w:hint="eastAsia" w:ascii="宋体" w:hAnsi="宋体" w:eastAsia="宋体" w:cs="宋体"/>
                <w:color w:val="auto"/>
                <w:highlight w:val="none"/>
                <w:lang w:val="en-US" w:eastAsia="zh-CN"/>
              </w:rPr>
              <w:t>性标识，并确保献血者的血袋、标本管和献血记录的同源性。</w:t>
            </w:r>
          </w:p>
          <w:p w14:paraId="2997798A">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2)条形码应完整清晰，包含</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单位代码。</w:t>
            </w:r>
          </w:p>
          <w:p w14:paraId="540B639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3)无污渍、无皱折、无脱落、笔划不应覆盖条形码。</w:t>
            </w:r>
          </w:p>
          <w:p w14:paraId="18F1ED8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4)在距试管口1厘米处向下垂直粘贴条形码。</w:t>
            </w:r>
          </w:p>
          <w:p w14:paraId="7699950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的标本应使用特殊颜色标识与</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的标本区别。</w:t>
            </w:r>
          </w:p>
          <w:p w14:paraId="5C5ED6E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5.2.3标本外观：</w:t>
            </w:r>
          </w:p>
          <w:p w14:paraId="5D97C04A">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1)无严重溶血、污染、稀释等情况。</w:t>
            </w:r>
          </w:p>
          <w:p w14:paraId="0E92EE2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2)容器无破损渗漏。</w:t>
            </w:r>
          </w:p>
          <w:p w14:paraId="3DDA1EFF">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3）核酸标本血浆和红细胞被分离胶隔离。</w:t>
            </w:r>
          </w:p>
          <w:p w14:paraId="5378702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5.2.4标本留取方法：</w:t>
            </w:r>
          </w:p>
          <w:p w14:paraId="1290F396">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1)应在采集血袋血液的同时或从血袋旁袋中同步留取，不得在献血者健康检查时提前留取。</w:t>
            </w:r>
          </w:p>
          <w:p w14:paraId="3598FBDB">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2)应单手操作，避免手被针头刺伤。</w:t>
            </w:r>
          </w:p>
          <w:p w14:paraId="6D35CB6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3)第1管用于酶免、生化等检测，第2管用于核酸检测，如需留特殊标本(如造血干细胞标本或其他标本)时先留血液标本后特殊标本。</w:t>
            </w:r>
          </w:p>
          <w:p w14:paraId="4767668D">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4)留取样本后应来回颠倒试管8～10次保证样本充分抗凝。 一次颠倒混匀是指将样本试管朝下倒置再立即朝上。每次颠倒，每个方向至少保持1秒，将试管朝下倒置，保持至少1秒；然后将标本朝上，保持至少1秒。</w:t>
            </w:r>
          </w:p>
          <w:p w14:paraId="383D9F24">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5)标本留取完毕后不得开启试管密封盖，避免被污染而影响检测结果。如需再次留取标本，应更换新的试管进行操作。</w:t>
            </w:r>
          </w:p>
          <w:p w14:paraId="65FBCCA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5.3核酸检测标本采集后的处理和保存</w:t>
            </w:r>
          </w:p>
          <w:p w14:paraId="45EBFA8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5.3.1标本在采血现场的临时保存温度为2～8℃,室温放置不应超过30分钟。</w:t>
            </w:r>
          </w:p>
          <w:p w14:paraId="4713356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5.3.2标本采集后应在4小时内离心(离心条件1600g*15min), 分离细胞和血浆，由采血科移交检验科后，由检验科在-20℃以下冻存。</w:t>
            </w:r>
          </w:p>
          <w:p w14:paraId="19758F2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5.4核酸检测标本的运送</w:t>
            </w:r>
          </w:p>
          <w:p w14:paraId="6CAB762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5.4.1标本应隔离密封包装，运输箱应防水、防破损、防外泄、保持温度、易于消毒。装箱时应保存标本管口向上。</w:t>
            </w:r>
          </w:p>
          <w:p w14:paraId="6D33CC1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5.4.2核酸标本的运输温度应在-40℃～-10℃。</w:t>
            </w:r>
          </w:p>
          <w:p w14:paraId="2469E24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5.4.3运输过程应防止剧烈颠簸。</w:t>
            </w:r>
          </w:p>
          <w:p w14:paraId="4C7F85A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5.4.4应记录箱内温度。</w:t>
            </w:r>
          </w:p>
          <w:p w14:paraId="50F30DB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5.4.5标本应及时送交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实验室。</w:t>
            </w:r>
          </w:p>
          <w:p w14:paraId="375FC1A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5.5血液标本的送检</w:t>
            </w:r>
          </w:p>
          <w:p w14:paraId="74492B4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5.5.1标本的质量检查：</w:t>
            </w:r>
          </w:p>
          <w:p w14:paraId="60EDC60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1)标本来源、数量、采集时间等。</w:t>
            </w:r>
          </w:p>
          <w:p w14:paraId="0104E86D">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2)标本采集管使用是否正确。</w:t>
            </w:r>
          </w:p>
          <w:p w14:paraId="4045F2B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)标本与送检单信息对应性和完整性。</w:t>
            </w:r>
          </w:p>
          <w:p w14:paraId="449518F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)标本运输温度是否保持规定范围内</w:t>
            </w:r>
          </w:p>
          <w:p w14:paraId="07BD6D1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5.5.2标本的交接：</w:t>
            </w:r>
          </w:p>
          <w:p w14:paraId="457B05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将血液标本、血液标本送交单送交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w:t>
            </w:r>
          </w:p>
          <w:p w14:paraId="6F145B66">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2)双方核实确认标本与记录是否一致、是否符合标本质量要求。</w:t>
            </w:r>
          </w:p>
          <w:p w14:paraId="6B153175">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录入标本信息后，打印标本交接记录，双方签名。</w:t>
            </w:r>
          </w:p>
          <w:p w14:paraId="3AE89A6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5.5.3标本的拒收：如有以下情形应拒收标本：</w:t>
            </w:r>
          </w:p>
          <w:p w14:paraId="6014A772">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1)纸张信息或电子信息的标本类型、采血日期、地点和总数量任一项错误或检测申请关键信息缺失或不符。</w:t>
            </w:r>
          </w:p>
          <w:p w14:paraId="6081E838">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2)标本管上无标识或标识不清、不正确。</w:t>
            </w:r>
          </w:p>
          <w:p w14:paraId="41EB5363">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3)标本保存不当造成严重溶血或标本管选用错误。</w:t>
            </w:r>
          </w:p>
          <w:p w14:paraId="78EB208F">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4)检测标本量少于检测需求量(应至少5ml)。</w:t>
            </w:r>
          </w:p>
          <w:p w14:paraId="3098DFA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5)不符合试剂说明书要求的情形。</w:t>
            </w:r>
          </w:p>
          <w:p w14:paraId="0ADD863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5.6不符合接收要求标本的处理</w:t>
            </w:r>
          </w:p>
          <w:p w14:paraId="7A77CDC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5.6.1如遇标本信息不符或出现错误、标本条码缺失或损坏，应将标本隔离放置，及时通知标本送交人员，纠正错误后给予接收。</w:t>
            </w:r>
          </w:p>
          <w:p w14:paraId="5DCFAAE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5.6.2如遇标本量少、溢漏、严重溶血等情况，</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应重新留取样本送交</w:t>
            </w:r>
            <w:r>
              <w:rPr>
                <w:rFonts w:hint="eastAsia" w:ascii="宋体" w:hAnsi="宋体" w:cs="宋体"/>
                <w:color w:val="auto"/>
                <w:highlight w:val="none"/>
                <w:lang w:val="en-US" w:eastAsia="zh-CN"/>
              </w:rPr>
              <w:t>成交供应商</w:t>
            </w:r>
            <w:r>
              <w:rPr>
                <w:rFonts w:hint="eastAsia" w:ascii="宋体" w:hAnsi="宋体" w:eastAsia="宋体" w:cs="宋体"/>
                <w:color w:val="auto"/>
                <w:highlight w:val="none"/>
                <w:lang w:val="en-US" w:eastAsia="zh-CN"/>
              </w:rPr>
              <w:t>核收。</w:t>
            </w:r>
          </w:p>
          <w:p w14:paraId="371BA1A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5.6.3不合格情况处理须记录。</w:t>
            </w:r>
          </w:p>
          <w:p w14:paraId="34AD61E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5.7标本接收后的处理及保存</w:t>
            </w:r>
          </w:p>
          <w:p w14:paraId="7A8B944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5.7.1标本的离心：</w:t>
            </w:r>
          </w:p>
          <w:p w14:paraId="4C69D703">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1)应遵循生物安全守则，防止标本气溶胶对环境和人员的污染，标本应在不开启试管塞的情况下进行离心操作。</w:t>
            </w:r>
          </w:p>
          <w:p w14:paraId="0EBB5AFE">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2)若离心破管，应遵循生物安全守则，消毒离心槽和离心罐。立即通知</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，重新提取标本送检。</w:t>
            </w:r>
          </w:p>
          <w:p w14:paraId="7A2C90C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5.7.2冻存的标本应在2～8℃或18～25℃条件下复融。完 全复融后标本轻轻颠倒混匀3～5次，如有纤原析出，应在标本采集时的离心条件下进行再次离心，同时检查标本条码是否破顺。</w:t>
            </w:r>
          </w:p>
          <w:p w14:paraId="7B826DA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6标本的检测：</w:t>
            </w:r>
          </w:p>
          <w:p w14:paraId="4EA5C0F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▲6.1检测项目：乙型肝炎病毒核酸（HBV DNA）、丙型肝炎病毒核酸（HCV RNA）及人类免疫缺陷病毒核酸（HIV RNA）。</w:t>
            </w:r>
          </w:p>
          <w:p w14:paraId="5DB1E71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6.2检测流程须符合《血站实验室质量管理规范》、《血站技术操作规程（2019版）》以及其他现行国家相关标准、血站行业标准等要求。</w:t>
            </w:r>
          </w:p>
          <w:p w14:paraId="22B2217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6.3血液标本检测使用的试剂中进口试剂须占比60%。</w:t>
            </w:r>
          </w:p>
          <w:p w14:paraId="4BA226F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lang w:val="en-US" w:eastAsia="zh-CN"/>
              </w:rPr>
            </w:pPr>
          </w:p>
          <w:p w14:paraId="410F703D">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.检测报告管理要求</w:t>
            </w:r>
          </w:p>
          <w:p w14:paraId="61D8D28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.1检测报告的发放</w:t>
            </w:r>
          </w:p>
          <w:p w14:paraId="25091EB5">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.1.1检测报告发放前应进行汇总，形成检测报告后，由授权人员对报告进行最终审核，以保证检测报告的正确和完整。</w:t>
            </w:r>
          </w:p>
          <w:p w14:paraId="6B21EAA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.1.2实验室检测结果报告内容应至少包括：检测实验室名称、标本信息、标本采集日期、检测项目、检测日期、检测方法、检测结果、检测结论、报告人、复核人和审核签发人的签名和日期。</w:t>
            </w:r>
          </w:p>
          <w:p w14:paraId="5D298A4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.1.3检测报告的发放：</w:t>
            </w:r>
          </w:p>
          <w:p w14:paraId="27FE0349">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由实验室报告签发人员按报告审核签发程序核对后，经信息管理系统对血液检测结果进行审核和发布。实现检测报告电子信息传输至采购人，同时打印纸质报告签名后及时以传真或扫描后通过网络传输方式移交采购人，采购人核对电子信息和纸质报告(传真件或扫描件)后方能决定血液的放行。纸质报告可以在双方交接血液标本时当面移交。</w:t>
            </w:r>
            <w:r>
              <w:rPr>
                <w:rFonts w:hint="eastAsia" w:ascii="宋体" w:hAnsi="宋体" w:cs="宋体"/>
                <w:color w:val="auto"/>
                <w:lang w:val="en-US" w:eastAsia="zh-CN"/>
              </w:rPr>
              <w:t>检测结果</w:t>
            </w:r>
            <w:r>
              <w:rPr>
                <w:rFonts w:hint="eastAsia" w:ascii="宋体" w:hAnsi="宋体" w:eastAsia="宋体" w:cs="宋体"/>
                <w:color w:val="auto"/>
                <w:sz w:val="21"/>
                <w:szCs w:val="21"/>
              </w:rPr>
              <w:t>与血站主业务</w:t>
            </w:r>
            <w:r>
              <w:rPr>
                <w:rFonts w:hint="eastAsia" w:ascii="宋体" w:hAnsi="宋体" w:eastAsia="宋体" w:cs="宋体"/>
                <w:color w:val="auto"/>
                <w:sz w:val="21"/>
                <w:szCs w:val="21"/>
                <w:lang w:eastAsia="zh-CN"/>
              </w:rPr>
              <w:t>信息</w:t>
            </w:r>
            <w:r>
              <w:rPr>
                <w:rFonts w:hint="eastAsia" w:ascii="宋体" w:hAnsi="宋体" w:eastAsia="宋体" w:cs="宋体"/>
                <w:color w:val="auto"/>
                <w:sz w:val="21"/>
                <w:szCs w:val="21"/>
              </w:rPr>
              <w:t>系统数据无缝兼容对接</w:t>
            </w:r>
            <w:r>
              <w:rPr>
                <w:rFonts w:hint="eastAsia" w:ascii="宋体" w:hAnsi="宋体" w:eastAsia="宋体" w:cs="宋体"/>
                <w:color w:val="auto"/>
                <w:sz w:val="21"/>
                <w:szCs w:val="21"/>
                <w:lang w:val="en-US" w:eastAsia="zh-CN"/>
              </w:rPr>
              <w:t>。</w:t>
            </w:r>
            <w:r>
              <w:rPr>
                <w:rFonts w:hint="eastAsia" w:ascii="黑体" w:hAnsi="黑体" w:eastAsia="黑体" w:cs="黑体"/>
                <w:color w:val="auto"/>
                <w:sz w:val="21"/>
                <w:szCs w:val="21"/>
                <w:lang w:val="en-US" w:eastAsia="zh-CN"/>
              </w:rPr>
              <w:t>（注：供应商已具备</w:t>
            </w:r>
            <w:r>
              <w:rPr>
                <w:rFonts w:hint="eastAsia" w:ascii="黑体" w:hAnsi="黑体" w:eastAsia="黑体" w:cs="黑体"/>
                <w:color w:val="auto"/>
                <w:sz w:val="21"/>
                <w:szCs w:val="21"/>
              </w:rPr>
              <w:t>与血站主业务</w:t>
            </w:r>
            <w:r>
              <w:rPr>
                <w:rFonts w:hint="eastAsia" w:ascii="黑体" w:hAnsi="黑体" w:eastAsia="黑体" w:cs="黑体"/>
                <w:color w:val="auto"/>
                <w:sz w:val="21"/>
                <w:szCs w:val="21"/>
                <w:lang w:eastAsia="zh-CN"/>
              </w:rPr>
              <w:t>信息</w:t>
            </w:r>
            <w:r>
              <w:rPr>
                <w:rFonts w:hint="eastAsia" w:ascii="黑体" w:hAnsi="黑体" w:eastAsia="黑体" w:cs="黑体"/>
                <w:color w:val="auto"/>
                <w:sz w:val="21"/>
                <w:szCs w:val="21"/>
              </w:rPr>
              <w:t>系统数据无缝兼容对接</w:t>
            </w:r>
            <w:r>
              <w:rPr>
                <w:rFonts w:hint="eastAsia" w:ascii="黑体" w:hAnsi="黑体" w:eastAsia="黑体" w:cs="黑体"/>
                <w:color w:val="auto"/>
                <w:sz w:val="21"/>
                <w:szCs w:val="21"/>
                <w:lang w:val="en-US" w:eastAsia="zh-CN"/>
              </w:rPr>
              <w:t>条件的，须在响应文件中提供相关证明材料；供应商未具备</w:t>
            </w:r>
            <w:r>
              <w:rPr>
                <w:rFonts w:hint="eastAsia" w:ascii="黑体" w:hAnsi="黑体" w:eastAsia="黑体" w:cs="黑体"/>
                <w:color w:val="auto"/>
                <w:sz w:val="21"/>
                <w:szCs w:val="21"/>
              </w:rPr>
              <w:t>与血站主业务</w:t>
            </w:r>
            <w:r>
              <w:rPr>
                <w:rFonts w:hint="eastAsia" w:ascii="黑体" w:hAnsi="黑体" w:eastAsia="黑体" w:cs="黑体"/>
                <w:color w:val="auto"/>
                <w:sz w:val="21"/>
                <w:szCs w:val="21"/>
                <w:lang w:eastAsia="zh-CN"/>
              </w:rPr>
              <w:t>信息</w:t>
            </w:r>
            <w:r>
              <w:rPr>
                <w:rFonts w:hint="eastAsia" w:ascii="黑体" w:hAnsi="黑体" w:eastAsia="黑体" w:cs="黑体"/>
                <w:color w:val="auto"/>
                <w:sz w:val="21"/>
                <w:szCs w:val="21"/>
              </w:rPr>
              <w:t>系统数据无缝兼容对接</w:t>
            </w:r>
            <w:r>
              <w:rPr>
                <w:rFonts w:hint="eastAsia" w:ascii="黑体" w:hAnsi="黑体" w:eastAsia="黑体" w:cs="黑体"/>
                <w:color w:val="auto"/>
                <w:sz w:val="21"/>
                <w:szCs w:val="21"/>
                <w:lang w:val="en-US" w:eastAsia="zh-CN"/>
              </w:rPr>
              <w:t>条件的，须</w:t>
            </w:r>
            <w:r>
              <w:rPr>
                <w:rFonts w:hint="eastAsia" w:ascii="黑体" w:hAnsi="黑体" w:eastAsia="黑体" w:cs="黑体"/>
                <w:color w:val="auto"/>
                <w:sz w:val="21"/>
                <w:szCs w:val="21"/>
              </w:rPr>
              <w:t>在</w:t>
            </w:r>
            <w:r>
              <w:rPr>
                <w:rFonts w:hint="eastAsia" w:ascii="黑体" w:hAnsi="黑体" w:eastAsia="黑体" w:cs="黑体"/>
                <w:color w:val="auto"/>
                <w:sz w:val="21"/>
                <w:szCs w:val="21"/>
                <w:lang w:val="en-US" w:eastAsia="zh-CN"/>
              </w:rPr>
              <w:t>响应</w:t>
            </w:r>
            <w:r>
              <w:rPr>
                <w:rFonts w:hint="eastAsia" w:ascii="黑体" w:hAnsi="黑体" w:eastAsia="黑体" w:cs="黑体"/>
                <w:color w:val="auto"/>
                <w:sz w:val="21"/>
                <w:szCs w:val="21"/>
              </w:rPr>
              <w:t>文件中承诺</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于收到成交通知书之日起3日内完成兼容对接建设且兼容对接，全部费用由成交供应商自行承担，</w:t>
            </w:r>
            <w:r>
              <w:rPr>
                <w:rFonts w:hint="eastAsia" w:ascii="黑体" w:hAnsi="黑体" w:eastAsia="黑体" w:cs="黑体"/>
                <w:b/>
                <w:bCs/>
                <w:color w:val="auto"/>
                <w:sz w:val="21"/>
                <w:szCs w:val="21"/>
              </w:rPr>
              <w:t>否则</w:t>
            </w:r>
            <w:r>
              <w:rPr>
                <w:rFonts w:hint="eastAsia" w:ascii="黑体" w:hAnsi="黑体" w:eastAsia="黑体" w:cs="黑体"/>
                <w:b/>
                <w:bCs/>
                <w:color w:val="auto"/>
                <w:sz w:val="21"/>
                <w:szCs w:val="21"/>
                <w:lang w:val="en-US" w:eastAsia="zh-CN"/>
              </w:rPr>
              <w:t>竞标</w:t>
            </w:r>
            <w:r>
              <w:rPr>
                <w:rFonts w:hint="eastAsia" w:ascii="黑体" w:hAnsi="黑体" w:eastAsia="黑体" w:cs="黑体"/>
                <w:b/>
                <w:bCs/>
                <w:color w:val="auto"/>
                <w:sz w:val="21"/>
                <w:szCs w:val="21"/>
              </w:rPr>
              <w:t>无效。</w:t>
            </w:r>
            <w:r>
              <w:rPr>
                <w:rFonts w:hint="eastAsia" w:ascii="黑体" w:hAnsi="黑体" w:eastAsia="黑体" w:cs="黑体"/>
                <w:color w:val="auto"/>
                <w:sz w:val="21"/>
                <w:szCs w:val="21"/>
                <w:lang w:eastAsia="zh-CN"/>
              </w:rPr>
              <w:t>）</w:t>
            </w:r>
          </w:p>
          <w:p w14:paraId="3C257B5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2)实验室应以及时、安全、有效的方式向委托方移交报告。</w:t>
            </w:r>
          </w:p>
          <w:p w14:paraId="312ADFA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.2检测报告的收回、更改和重新签发</w:t>
            </w:r>
          </w:p>
          <w:p w14:paraId="78A9BAA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.2.1已发布电子报告，但纸质报告还未以传真或扫描后通过网络传输方式移交至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的，由检测者或授权人员提出需重发申请，由复核者、审核者复核，签署意见，并报告实验室主管。实验室主管就报告重发申请的内容与检测关键控制点、检验结果分析检查等其它情况进行审核并针对不同情况决定实施以下程序：</w:t>
            </w:r>
          </w:p>
          <w:p w14:paraId="2BBC5F6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1)错发：需回退，重新录入，重新发布检测报告。</w:t>
            </w:r>
          </w:p>
          <w:p w14:paraId="52DC01A0">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2)实验不成立：需全部回退。重新试验后再按照报告签发程序签发检测报告。</w:t>
            </w:r>
          </w:p>
          <w:p w14:paraId="27B6BD2F">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.2.2已发布电子报告并且纸质报告以传真或扫描后通过网络传输方式移交至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，但该批血液尚未放行：</w:t>
            </w:r>
          </w:p>
          <w:p w14:paraId="55A51BF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7.2.3</w:t>
            </w:r>
            <w:r>
              <w:rPr>
                <w:rFonts w:hint="eastAsia" w:ascii="宋体" w:hAnsi="宋体" w:eastAsia="宋体" w:cs="宋体"/>
                <w:lang w:val="en-US" w:eastAsia="zh-CN"/>
              </w:rPr>
              <w:t>紧急书面通知委托方停止该批血液放行，检测结果纸质报告紧急收回。</w:t>
            </w:r>
          </w:p>
          <w:p w14:paraId="15FA7ACB">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7</w:t>
            </w:r>
            <w:r>
              <w:rPr>
                <w:rFonts w:hint="eastAsia" w:ascii="宋体" w:hAnsi="宋体" w:eastAsia="宋体" w:cs="宋体"/>
                <w:lang w:val="en-US" w:eastAsia="zh-CN"/>
              </w:rPr>
              <w:t>.2.</w:t>
            </w:r>
            <w:r>
              <w:rPr>
                <w:rFonts w:hint="eastAsia" w:ascii="宋体" w:hAnsi="宋体" w:cs="宋体"/>
                <w:lang w:val="en-US" w:eastAsia="zh-CN"/>
              </w:rPr>
              <w:t>4</w:t>
            </w:r>
            <w:r>
              <w:rPr>
                <w:rFonts w:hint="eastAsia" w:ascii="宋体" w:hAnsi="宋体" w:eastAsia="宋体" w:cs="宋体"/>
                <w:lang w:val="en-US" w:eastAsia="zh-CN"/>
              </w:rPr>
              <w:t>已发布电子报告并且纸质报告以传真或扫描后通过网络传输方式移交至</w:t>
            </w:r>
            <w:r>
              <w:rPr>
                <w:rFonts w:hint="eastAsia" w:ascii="宋体" w:hAnsi="宋体" w:cs="宋体"/>
                <w:lang w:val="en-US" w:eastAsia="zh-CN"/>
              </w:rPr>
              <w:t>采购人</w:t>
            </w:r>
            <w:r>
              <w:rPr>
                <w:rFonts w:hint="eastAsia" w:ascii="宋体" w:hAnsi="宋体" w:eastAsia="宋体" w:cs="宋体"/>
                <w:lang w:val="en-US" w:eastAsia="zh-CN"/>
              </w:rPr>
              <w:t>，该批血液</w:t>
            </w:r>
            <w:r>
              <w:rPr>
                <w:rFonts w:hint="eastAsia" w:ascii="宋体" w:hAnsi="宋体" w:cs="宋体"/>
                <w:lang w:val="en-US" w:eastAsia="zh-CN"/>
              </w:rPr>
              <w:t>采购人</w:t>
            </w:r>
            <w:r>
              <w:rPr>
                <w:rFonts w:hint="eastAsia" w:ascii="宋体" w:hAnsi="宋体" w:eastAsia="宋体" w:cs="宋体"/>
                <w:lang w:val="en-US" w:eastAsia="zh-CN"/>
              </w:rPr>
              <w:t>已发往临床：</w:t>
            </w:r>
          </w:p>
          <w:p w14:paraId="2141625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1)由检测实验室形成文字材料，紧急报告</w:t>
            </w:r>
            <w:r>
              <w:rPr>
                <w:rFonts w:hint="eastAsia" w:ascii="宋体" w:hAnsi="宋体" w:cs="宋体"/>
                <w:lang w:val="en-US" w:eastAsia="zh-CN"/>
              </w:rPr>
              <w:t>成交供应商</w:t>
            </w:r>
            <w:r>
              <w:rPr>
                <w:rFonts w:hint="eastAsia" w:ascii="宋体" w:hAnsi="宋体" w:eastAsia="宋体" w:cs="宋体"/>
                <w:lang w:val="en-US" w:eastAsia="zh-CN"/>
              </w:rPr>
              <w:t>质量管理部门和</w:t>
            </w:r>
            <w:r>
              <w:rPr>
                <w:rFonts w:hint="eastAsia" w:ascii="宋体" w:hAnsi="宋体" w:cs="宋体"/>
                <w:lang w:val="en-US" w:eastAsia="zh-CN"/>
              </w:rPr>
              <w:t>采购人</w:t>
            </w:r>
            <w:r>
              <w:rPr>
                <w:rFonts w:hint="eastAsia" w:ascii="宋体" w:hAnsi="宋体" w:eastAsia="宋体" w:cs="宋体"/>
                <w:lang w:val="en-US" w:eastAsia="zh-CN"/>
              </w:rPr>
              <w:t>，</w:t>
            </w:r>
            <w:r>
              <w:rPr>
                <w:rFonts w:hint="eastAsia" w:ascii="宋体" w:hAnsi="宋体" w:cs="宋体"/>
                <w:lang w:val="en-US" w:eastAsia="zh-CN"/>
              </w:rPr>
              <w:t>成交供应商</w:t>
            </w:r>
            <w:r>
              <w:rPr>
                <w:rFonts w:hint="eastAsia" w:ascii="宋体" w:hAnsi="宋体" w:eastAsia="宋体" w:cs="宋体"/>
                <w:lang w:val="en-US" w:eastAsia="zh-CN"/>
              </w:rPr>
              <w:t>质量管理部门和</w:t>
            </w:r>
            <w:r>
              <w:rPr>
                <w:rFonts w:hint="eastAsia" w:ascii="宋体" w:hAnsi="宋体" w:cs="宋体"/>
                <w:lang w:val="en-US" w:eastAsia="zh-CN"/>
              </w:rPr>
              <w:t>采购人</w:t>
            </w:r>
            <w:r>
              <w:rPr>
                <w:rFonts w:hint="eastAsia" w:ascii="宋体" w:hAnsi="宋体" w:eastAsia="宋体" w:cs="宋体"/>
                <w:lang w:val="en-US" w:eastAsia="zh-CN"/>
              </w:rPr>
              <w:t>按血液收回程序处理相关血液。</w:t>
            </w:r>
          </w:p>
          <w:p w14:paraId="4B1E9A2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2)通知</w:t>
            </w:r>
            <w:r>
              <w:rPr>
                <w:rFonts w:hint="eastAsia" w:ascii="宋体" w:hAnsi="宋体" w:cs="宋体"/>
                <w:lang w:val="en-US" w:eastAsia="zh-CN"/>
              </w:rPr>
              <w:t>采购人</w:t>
            </w:r>
            <w:r>
              <w:rPr>
                <w:rFonts w:hint="eastAsia" w:ascii="宋体" w:hAnsi="宋体" w:eastAsia="宋体" w:cs="宋体"/>
                <w:lang w:val="en-US" w:eastAsia="zh-CN"/>
              </w:rPr>
              <w:t>停发该批尚未发往临床的血液，并做物理隔离。</w:t>
            </w:r>
          </w:p>
          <w:p w14:paraId="098EACD7">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lang w:val="en-US" w:eastAsia="zh-CN"/>
              </w:rPr>
            </w:pPr>
            <w:r>
              <w:rPr>
                <w:rFonts w:hint="eastAsia" w:ascii="宋体" w:hAnsi="宋体" w:cs="宋体"/>
                <w:lang w:val="en-US" w:eastAsia="zh-CN"/>
              </w:rPr>
              <w:t>3</w:t>
            </w:r>
            <w:r>
              <w:rPr>
                <w:rFonts w:hint="eastAsia" w:ascii="宋体" w:hAnsi="宋体" w:eastAsia="宋体" w:cs="宋体"/>
                <w:lang w:val="en-US" w:eastAsia="zh-CN"/>
              </w:rPr>
              <w:t>)按照报告重新签发程序签发报告。</w:t>
            </w:r>
          </w:p>
          <w:p w14:paraId="537955D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highlight w:val="none"/>
              </w:rPr>
            </w:pPr>
            <w:r>
              <w:rPr>
                <w:rFonts w:hint="eastAsia" w:ascii="宋体" w:hAnsi="宋体" w:cs="宋体"/>
                <w:lang w:val="en-US" w:eastAsia="zh-CN"/>
              </w:rPr>
              <w:t>7</w:t>
            </w:r>
            <w:r>
              <w:rPr>
                <w:rFonts w:hint="eastAsia" w:ascii="宋体" w:hAnsi="宋体" w:eastAsia="宋体" w:cs="宋体"/>
                <w:lang w:val="en-US" w:eastAsia="zh-CN"/>
              </w:rPr>
              <w:t>.2.4报告收回、更改和重新签发由</w:t>
            </w:r>
            <w:r>
              <w:rPr>
                <w:rFonts w:hint="eastAsia" w:ascii="宋体" w:hAnsi="宋体" w:cs="宋体"/>
                <w:lang w:val="en-US" w:eastAsia="zh-CN"/>
              </w:rPr>
              <w:t>成交供应商</w:t>
            </w:r>
            <w:r>
              <w:rPr>
                <w:rFonts w:hint="eastAsia" w:ascii="宋体" w:hAnsi="宋体" w:eastAsia="宋体" w:cs="宋体"/>
                <w:lang w:val="en-US" w:eastAsia="zh-CN"/>
              </w:rPr>
              <w:t>负责解释和协调补救以尽可能消除不良影响。</w:t>
            </w:r>
          </w:p>
        </w:tc>
      </w:tr>
    </w:tbl>
    <w:p w14:paraId="3D149C51">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51F16FCE">
      <w:pPr>
        <w:spacing w:line="360" w:lineRule="auto"/>
        <w:rPr>
          <w:color w:val="auto"/>
          <w:szCs w:val="21"/>
          <w:highlight w:val="none"/>
        </w:rPr>
      </w:pPr>
      <w:r>
        <w:rPr>
          <w:rFonts w:hint="eastAsia" w:ascii="宋体" w:hAnsi="宋体" w:cs="宋体"/>
          <w:color w:val="auto"/>
          <w:szCs w:val="21"/>
          <w:highlight w:val="none"/>
        </w:rPr>
        <w:t>▲</w:t>
      </w:r>
      <w:r>
        <w:rPr>
          <w:rFonts w:hint="eastAsia"/>
          <w:color w:val="auto"/>
          <w:szCs w:val="21"/>
          <w:highlight w:val="none"/>
        </w:rPr>
        <w:t>1．报价要求</w:t>
      </w:r>
    </w:p>
    <w:p w14:paraId="79B153EB">
      <w:pPr>
        <w:spacing w:line="360" w:lineRule="auto"/>
        <w:rPr>
          <w:rFonts w:hint="eastAsia"/>
          <w:color w:val="auto"/>
          <w:szCs w:val="21"/>
          <w:highlight w:val="none"/>
        </w:rPr>
      </w:pPr>
      <w:r>
        <w:rPr>
          <w:rFonts w:hint="eastAsia"/>
          <w:color w:val="auto"/>
          <w:szCs w:val="21"/>
          <w:highlight w:val="none"/>
        </w:rPr>
        <w:t>本次报价须为人民币报价，包含本次采购范围内的所有服务以及其他所有成本费用的总和。</w:t>
      </w:r>
    </w:p>
    <w:p w14:paraId="4065C7DA">
      <w:pPr>
        <w:spacing w:line="360" w:lineRule="auto"/>
        <w:rPr>
          <w:color w:val="auto"/>
          <w:szCs w:val="21"/>
          <w:highlight w:val="none"/>
        </w:rPr>
      </w:pPr>
      <w:r>
        <w:rPr>
          <w:rFonts w:hint="eastAsia"/>
          <w:color w:val="auto"/>
          <w:szCs w:val="21"/>
          <w:highlight w:val="none"/>
        </w:rPr>
        <w:t>2.合同签订日期</w:t>
      </w:r>
    </w:p>
    <w:p w14:paraId="0ED73A32">
      <w:pPr>
        <w:spacing w:line="360" w:lineRule="auto"/>
        <w:rPr>
          <w:rFonts w:ascii="宋体" w:hAnsi="宋体"/>
          <w:i/>
          <w:color w:val="auto"/>
          <w:sz w:val="28"/>
          <w:szCs w:val="28"/>
          <w:highlight w:val="none"/>
        </w:rPr>
      </w:pPr>
      <w:r>
        <w:rPr>
          <w:rFonts w:hint="eastAsia"/>
          <w:color w:val="auto"/>
          <w:szCs w:val="21"/>
          <w:highlight w:val="none"/>
          <w:lang w:eastAsia="zh-CN"/>
        </w:rPr>
        <w:t>自成交通知书发出之日起15日内。</w:t>
      </w:r>
    </w:p>
    <w:p w14:paraId="20FB5386">
      <w:pPr>
        <w:spacing w:line="360" w:lineRule="auto"/>
        <w:rPr>
          <w:color w:val="auto"/>
          <w:szCs w:val="21"/>
          <w:highlight w:val="none"/>
        </w:rPr>
      </w:pPr>
      <w:r>
        <w:rPr>
          <w:rFonts w:hint="eastAsia"/>
          <w:color w:val="auto"/>
          <w:szCs w:val="21"/>
          <w:highlight w:val="none"/>
        </w:rPr>
        <w:t>3.交货（实施）时间</w:t>
      </w:r>
    </w:p>
    <w:p w14:paraId="12320C92">
      <w:pPr>
        <w:spacing w:line="360" w:lineRule="auto"/>
        <w:rPr>
          <w:rFonts w:hint="eastAsia"/>
          <w:color w:val="auto"/>
          <w:szCs w:val="21"/>
          <w:highlight w:val="none"/>
        </w:rPr>
      </w:pPr>
      <w:r>
        <w:rPr>
          <w:rFonts w:hint="eastAsia"/>
          <w:color w:val="auto"/>
          <w:szCs w:val="21"/>
          <w:highlight w:val="none"/>
        </w:rPr>
        <w:t>自签订合同之日起一年；</w:t>
      </w:r>
    </w:p>
    <w:p w14:paraId="38679AF0">
      <w:pPr>
        <w:numPr>
          <w:ilvl w:val="0"/>
          <w:numId w:val="0"/>
        </w:numPr>
        <w:spacing w:line="360" w:lineRule="auto"/>
        <w:rPr>
          <w:rFonts w:hint="eastAsia" w:ascii="宋体" w:hAnsi="宋体" w:cs="宋体"/>
          <w:color w:val="auto"/>
          <w:szCs w:val="21"/>
          <w:highlight w:val="none"/>
        </w:rPr>
      </w:pP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szCs w:val="21"/>
          <w:highlight w:val="none"/>
        </w:rPr>
        <w:t>合同形式：单价合同。</w:t>
      </w:r>
    </w:p>
    <w:p w14:paraId="46835163">
      <w:pPr>
        <w:numPr>
          <w:ilvl w:val="0"/>
          <w:numId w:val="0"/>
        </w:numPr>
        <w:spacing w:line="360" w:lineRule="auto"/>
        <w:rPr>
          <w:rFonts w:hint="eastAsia"/>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color w:val="auto"/>
          <w:szCs w:val="21"/>
          <w:highlight w:val="none"/>
        </w:rPr>
        <w:t>．</w:t>
      </w:r>
      <w:r>
        <w:rPr>
          <w:rFonts w:hint="eastAsia"/>
          <w:color w:val="auto"/>
          <w:szCs w:val="21"/>
          <w:highlight w:val="none"/>
          <w:lang w:val="en-US" w:eastAsia="zh-CN"/>
        </w:rPr>
        <w:t>单价最高限价</w:t>
      </w:r>
    </w:p>
    <w:p w14:paraId="27B94854">
      <w:pPr>
        <w:spacing w:line="360" w:lineRule="auto"/>
        <w:rPr>
          <w:rFonts w:hint="eastAsia"/>
          <w:color w:val="auto"/>
          <w:szCs w:val="21"/>
          <w:highlight w:val="none"/>
        </w:rPr>
      </w:pPr>
      <w:r>
        <w:rPr>
          <w:rFonts w:hint="eastAsia"/>
          <w:color w:val="auto"/>
          <w:szCs w:val="21"/>
          <w:highlight w:val="none"/>
          <w:lang w:val="en-US" w:eastAsia="zh-CN"/>
        </w:rPr>
        <w:t>本项目标本检测最高限价为每份45元，供应商报价采用单价报价形式，供应商的单价报价超出最高限价的，响应无效</w:t>
      </w:r>
      <w:r>
        <w:rPr>
          <w:rFonts w:hint="eastAsia"/>
          <w:color w:val="auto"/>
          <w:szCs w:val="21"/>
          <w:highlight w:val="none"/>
          <w:lang w:eastAsia="zh-CN"/>
        </w:rPr>
        <w:t>。</w:t>
      </w:r>
    </w:p>
    <w:p w14:paraId="1760DAE7">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.交货地点或服务地点</w:t>
      </w:r>
    </w:p>
    <w:p w14:paraId="13820E74">
      <w:pPr>
        <w:spacing w:line="360" w:lineRule="auto"/>
        <w:rPr>
          <w:rFonts w:hint="eastAsia"/>
          <w:color w:val="auto"/>
          <w:szCs w:val="21"/>
          <w:highlight w:val="none"/>
          <w:lang w:eastAsia="zh-CN"/>
        </w:rPr>
      </w:pPr>
      <w:r>
        <w:rPr>
          <w:rFonts w:hint="eastAsia"/>
          <w:color w:val="auto"/>
          <w:szCs w:val="21"/>
          <w:highlight w:val="none"/>
          <w:lang w:eastAsia="zh-CN"/>
        </w:rPr>
        <w:t>崇左市内采购人指定地点。</w:t>
      </w:r>
    </w:p>
    <w:p w14:paraId="35294229">
      <w:pPr>
        <w:spacing w:line="360" w:lineRule="auto"/>
        <w:rPr>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color w:val="auto"/>
          <w:szCs w:val="21"/>
          <w:highlight w:val="none"/>
        </w:rPr>
        <w:t>.验收标准</w:t>
      </w:r>
    </w:p>
    <w:p w14:paraId="17704FA4">
      <w:pPr>
        <w:spacing w:line="360" w:lineRule="auto"/>
        <w:rPr>
          <w:rFonts w:hint="eastAsia"/>
          <w:color w:val="auto"/>
          <w:szCs w:val="21"/>
          <w:highlight w:val="none"/>
        </w:rPr>
      </w:pPr>
      <w:r>
        <w:rPr>
          <w:rFonts w:hint="eastAsia" w:ascii="宋体" w:hAnsi="宋体" w:eastAsia="宋体" w:cs="宋体"/>
          <w:color w:val="auto"/>
          <w:sz w:val="21"/>
          <w:szCs w:val="21"/>
          <w:highlight w:val="none"/>
        </w:rPr>
        <w:t>符合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血站实验室质量管理规范</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血站技术操作规程（2019版）</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临床输血技术规范</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以及其他</w:t>
      </w:r>
      <w:r>
        <w:rPr>
          <w:rFonts w:hint="eastAsia" w:ascii="宋体" w:hAnsi="宋体" w:eastAsia="宋体" w:cs="宋体"/>
          <w:color w:val="auto"/>
          <w:sz w:val="21"/>
          <w:szCs w:val="21"/>
          <w:highlight w:val="none"/>
        </w:rPr>
        <w:t>现行国家相关标准、</w:t>
      </w:r>
      <w:r>
        <w:rPr>
          <w:rFonts w:hint="eastAsia" w:ascii="宋体" w:hAnsi="宋体" w:cs="宋体"/>
          <w:color w:val="auto"/>
          <w:sz w:val="21"/>
          <w:szCs w:val="21"/>
          <w:highlight w:val="none"/>
          <w:lang w:val="en-US" w:eastAsia="zh-CN"/>
        </w:rPr>
        <w:t>血站</w:t>
      </w:r>
      <w:r>
        <w:rPr>
          <w:rFonts w:hint="eastAsia" w:ascii="宋体" w:hAnsi="宋体" w:eastAsia="宋体" w:cs="宋体"/>
          <w:color w:val="auto"/>
          <w:sz w:val="21"/>
          <w:szCs w:val="21"/>
          <w:highlight w:val="none"/>
        </w:rPr>
        <w:t>行业标准、地方标准或者其他</w:t>
      </w:r>
      <w:r>
        <w:rPr>
          <w:rFonts w:hint="eastAsia" w:ascii="宋体" w:hAnsi="宋体" w:eastAsia="宋体" w:cs="宋体"/>
          <w:color w:val="auto"/>
          <w:sz w:val="21"/>
          <w:szCs w:val="21"/>
          <w:highlight w:val="none"/>
          <w:lang w:eastAsia="zh-CN"/>
        </w:rPr>
        <w:t>标准、规范。</w:t>
      </w:r>
      <w:r>
        <w:rPr>
          <w:rFonts w:hint="eastAsia" w:ascii="宋体" w:hAnsi="宋体" w:cs="宋体"/>
          <w:color w:val="auto"/>
          <w:sz w:val="21"/>
          <w:szCs w:val="21"/>
          <w:highlight w:val="none"/>
          <w:lang w:val="en-US" w:eastAsia="zh-CN"/>
        </w:rPr>
        <w:t>委托方不定期对检测结果进行抽查，抽查频率不少15份/月，检测结果错误≥1份，</w:t>
      </w:r>
      <w:r>
        <w:rPr>
          <w:rFonts w:hint="eastAsia" w:ascii="宋体" w:hAnsi="宋体" w:eastAsia="宋体" w:cs="宋体"/>
          <w:color w:val="auto"/>
          <w:sz w:val="21"/>
          <w:szCs w:val="21"/>
          <w:highlight w:val="none"/>
        </w:rPr>
        <w:t>不</w:t>
      </w:r>
      <w:r>
        <w:rPr>
          <w:rFonts w:hint="eastAsia" w:ascii="宋体" w:hAnsi="宋体" w:eastAsia="宋体" w:cs="宋体"/>
          <w:color w:val="auto"/>
          <w:sz w:val="21"/>
          <w:szCs w:val="21"/>
          <w:highlight w:val="none"/>
          <w:lang w:val="en-US" w:eastAsia="zh-CN"/>
        </w:rPr>
        <w:t>通过</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不安排付款，按无效合同处理。</w:t>
      </w:r>
      <w:r>
        <w:rPr>
          <w:rFonts w:hint="eastAsia"/>
          <w:color w:val="auto"/>
          <w:szCs w:val="21"/>
          <w:highlight w:val="none"/>
          <w:lang w:val="en-US" w:eastAsia="zh-CN"/>
        </w:rPr>
        <w:t>8.</w:t>
      </w:r>
      <w:r>
        <w:rPr>
          <w:rFonts w:hint="eastAsia"/>
          <w:color w:val="auto"/>
          <w:szCs w:val="21"/>
          <w:highlight w:val="none"/>
        </w:rPr>
        <w:t>付款方式、时间及条件</w:t>
      </w:r>
    </w:p>
    <w:p w14:paraId="0CE85BA2">
      <w:pPr>
        <w:spacing w:line="360" w:lineRule="auto"/>
        <w:rPr>
          <w:rFonts w:hint="default" w:eastAsia="宋体"/>
          <w:color w:val="auto"/>
          <w:szCs w:val="21"/>
          <w:highlight w:val="none"/>
          <w:lang w:val="en-US" w:eastAsia="zh-CN"/>
        </w:rPr>
      </w:pPr>
      <w:r>
        <w:rPr>
          <w:rFonts w:hint="eastAsia"/>
          <w:color w:val="auto"/>
          <w:szCs w:val="21"/>
          <w:highlight w:val="none"/>
          <w:lang w:val="en-US" w:eastAsia="zh-CN"/>
        </w:rPr>
        <w:t>8.1实际结算价=实际检测数量×成交单价。</w:t>
      </w:r>
    </w:p>
    <w:p w14:paraId="5060B905">
      <w:pPr>
        <w:spacing w:line="360" w:lineRule="auto"/>
        <w:rPr>
          <w:rFonts w:hint="eastAsia"/>
          <w:color w:val="auto"/>
          <w:szCs w:val="21"/>
          <w:highlight w:val="none"/>
          <w:lang w:val="en-US" w:eastAsia="zh-CN"/>
        </w:rPr>
      </w:pPr>
      <w:r>
        <w:rPr>
          <w:rFonts w:hint="eastAsia"/>
          <w:color w:val="auto"/>
          <w:szCs w:val="21"/>
          <w:highlight w:val="none"/>
          <w:lang w:val="en-US" w:eastAsia="zh-CN"/>
        </w:rPr>
        <w:t>8.2合同签订后，成交供应商按照季度标本数量核算金额开具发票给采购人，采购人于每年 12 月 31 日前结清本年度全部应付服务款。</w:t>
      </w:r>
    </w:p>
    <w:p w14:paraId="6ACE410E">
      <w:pPr>
        <w:spacing w:line="360" w:lineRule="auto"/>
        <w:rPr>
          <w:color w:val="auto"/>
          <w:szCs w:val="21"/>
          <w:highlight w:val="none"/>
        </w:rPr>
      </w:pPr>
      <w:r>
        <w:rPr>
          <w:rFonts w:hint="eastAsia"/>
          <w:color w:val="auto"/>
          <w:szCs w:val="21"/>
          <w:highlight w:val="none"/>
          <w:lang w:val="en-US" w:eastAsia="zh-CN"/>
        </w:rPr>
        <w:t>9</w:t>
      </w:r>
      <w:r>
        <w:rPr>
          <w:rFonts w:hint="eastAsia"/>
          <w:color w:val="auto"/>
          <w:szCs w:val="21"/>
          <w:highlight w:val="none"/>
        </w:rPr>
        <w:t>.履约保证金</w:t>
      </w:r>
    </w:p>
    <w:p w14:paraId="7C3F1E1B">
      <w:pPr>
        <w:spacing w:line="360" w:lineRule="auto"/>
        <w:rPr>
          <w:color w:val="auto"/>
          <w:szCs w:val="21"/>
          <w:highlight w:val="none"/>
        </w:rPr>
      </w:pPr>
      <w:r>
        <w:rPr>
          <w:rFonts w:hint="eastAsia"/>
          <w:color w:val="auto"/>
          <w:szCs w:val="21"/>
          <w:highlight w:val="none"/>
        </w:rPr>
        <w:t>详见采购文件合同主要条款格式部分</w:t>
      </w:r>
    </w:p>
    <w:p w14:paraId="64B83F8C">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36A0362B">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所有服务均严格按</w:t>
      </w:r>
      <w:r>
        <w:rPr>
          <w:rFonts w:hint="default" w:ascii="Times New Roman" w:hAnsi="Times New Roman" w:eastAsia="宋体" w:cs="Times New Roman"/>
          <w:color w:val="auto"/>
          <w:sz w:val="21"/>
          <w:szCs w:val="21"/>
          <w:highlight w:val="none"/>
          <w:lang w:eastAsia="zh-CN"/>
        </w:rPr>
        <w:t>采购文件</w:t>
      </w:r>
      <w:r>
        <w:rPr>
          <w:rFonts w:hint="default" w:ascii="Times New Roman" w:hAnsi="Times New Roman" w:eastAsia="宋体" w:cs="Times New Roman"/>
          <w:color w:val="auto"/>
          <w:sz w:val="21"/>
          <w:szCs w:val="21"/>
          <w:highlight w:val="none"/>
        </w:rPr>
        <w:t>上购买服务内容</w:t>
      </w:r>
      <w:r>
        <w:rPr>
          <w:rFonts w:hint="default" w:ascii="Times New Roman" w:hAnsi="Times New Roman" w:eastAsia="宋体"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的实质要求、供应商响应和承诺的服务内容等有关标准进行验收，达不到要求的不予验收</w:t>
      </w:r>
      <w:r>
        <w:rPr>
          <w:rFonts w:hint="default" w:ascii="Times New Roman" w:hAnsi="Times New Roman" w:eastAsia="宋体" w:cs="Times New Roman"/>
          <w:color w:val="auto"/>
          <w:sz w:val="21"/>
          <w:szCs w:val="21"/>
          <w:highlight w:val="none"/>
          <w:lang w:eastAsia="zh-CN"/>
        </w:rPr>
        <w:t>。</w:t>
      </w:r>
    </w:p>
    <w:p w14:paraId="1E7CEB16">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供应商根据项目需求及自身情况，于响应文件中提供相应的服务方案，该方案内容包括但不限于服务保障措施、增值服务方案。</w:t>
      </w:r>
    </w:p>
    <w:p w14:paraId="4AAFDF06">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成交供应商未按</w:t>
      </w:r>
      <w:r>
        <w:rPr>
          <w:rFonts w:hint="default" w:ascii="Times New Roman" w:hAnsi="Times New Roman" w:eastAsia="宋体" w:cs="Times New Roman"/>
          <w:color w:val="auto"/>
          <w:sz w:val="21"/>
          <w:szCs w:val="21"/>
          <w:highlight w:val="none"/>
          <w:lang w:eastAsia="zh-CN"/>
        </w:rPr>
        <w:t>采购文件</w:t>
      </w:r>
      <w:r>
        <w:rPr>
          <w:rFonts w:hint="default" w:ascii="Times New Roman" w:hAnsi="Times New Roman" w:eastAsia="宋体" w:cs="Times New Roman"/>
          <w:color w:val="auto"/>
          <w:sz w:val="21"/>
          <w:szCs w:val="21"/>
          <w:highlight w:val="none"/>
        </w:rPr>
        <w:t>中《</w:t>
      </w:r>
      <w:r>
        <w:rPr>
          <w:rFonts w:hint="default" w:ascii="Times New Roman" w:hAnsi="Times New Roman" w:eastAsia="宋体" w:cs="Times New Roman"/>
          <w:color w:val="auto"/>
          <w:sz w:val="21"/>
          <w:szCs w:val="21"/>
          <w:highlight w:val="none"/>
          <w:lang w:val="en-US" w:eastAsia="zh-CN"/>
        </w:rPr>
        <w:t>采购</w:t>
      </w:r>
      <w:r>
        <w:rPr>
          <w:rFonts w:hint="default" w:ascii="Times New Roman" w:hAnsi="Times New Roman" w:eastAsia="宋体" w:cs="Times New Roman"/>
          <w:color w:val="auto"/>
          <w:sz w:val="21"/>
          <w:szCs w:val="21"/>
          <w:highlight w:val="none"/>
        </w:rPr>
        <w:t>需求一览表》中的</w:t>
      </w:r>
      <w:r>
        <w:rPr>
          <w:rFonts w:hint="default" w:ascii="Times New Roman" w:hAnsi="Times New Roman" w:eastAsia="宋体" w:cs="Times New Roman"/>
          <w:color w:val="auto"/>
          <w:sz w:val="21"/>
          <w:szCs w:val="21"/>
          <w:highlight w:val="none"/>
          <w:lang w:eastAsia="zh-CN"/>
        </w:rPr>
        <w:t>内</w:t>
      </w:r>
      <w:r>
        <w:rPr>
          <w:rFonts w:hint="default" w:ascii="Times New Roman" w:hAnsi="Times New Roman" w:eastAsia="宋体" w:cs="Times New Roman"/>
          <w:color w:val="auto"/>
          <w:sz w:val="21"/>
          <w:szCs w:val="21"/>
          <w:highlight w:val="none"/>
        </w:rPr>
        <w:t>容提供服务或服务未达标准的，采购人可解除本合同。</w:t>
      </w: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602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2026-09-07T03:58:14Z</dcterms:created>
  <dc:creator>Administrator</dc:creator>
  <cp:lastModifiedBy>admin</cp:lastModifiedBy>
  <dcterms:modified xsi:type="dcterms:W3CDTF">2026-09-07T03:58:33Z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44C11EC571214FD49BC2D5080496D1E8_12</vt:lpwstr>
  </property>
</Properties>
</file>